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0E66E">
      <w:pPr>
        <w:tabs>
          <w:tab w:val="left" w:pos="4935"/>
        </w:tabs>
        <w:snapToGrid w:val="0"/>
        <w:rPr>
          <w:rStyle w:val="28"/>
          <w:rFonts w:hint="eastAsia" w:hAnsi="宋体" w:eastAsia="宋体"/>
          <w:b/>
          <w:bCs/>
          <w:kern w:val="0"/>
          <w:sz w:val="28"/>
          <w:szCs w:val="28"/>
          <w:lang w:eastAsia="zh-CN"/>
        </w:rPr>
        <w:sectPr>
          <w:footerReference r:id="rId5" w:type="default"/>
          <w:endnotePr>
            <w:numFmt w:val="decimal"/>
          </w:endnotePr>
          <w:pgSz w:w="11906" w:h="16838"/>
          <w:pgMar w:top="1701" w:right="1015" w:bottom="1417" w:left="1531" w:header="850" w:footer="992" w:gutter="0"/>
          <w:pgNumType w:start="1"/>
          <w:cols w:space="720" w:num="1"/>
          <w:docGrid w:linePitch="327" w:charSpace="0"/>
        </w:sectPr>
      </w:pPr>
      <w:r>
        <w:rPr>
          <w:rStyle w:val="28"/>
          <w:rFonts w:hint="eastAsia" w:hAnsi="宋体" w:eastAsia="宋体"/>
          <w:b/>
          <w:bCs/>
          <w:kern w:val="0"/>
          <w:sz w:val="28"/>
          <w:szCs w:val="28"/>
          <w:lang w:eastAsia="zh-CN"/>
        </w:rPr>
        <w:drawing>
          <wp:inline distT="0" distB="0" distL="114300" distR="114300">
            <wp:extent cx="5927725" cy="8380730"/>
            <wp:effectExtent l="0" t="0" r="15875" b="1270"/>
            <wp:docPr id="6" name="图片 6" descr="招文封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招文封面_01"/>
                    <pic:cNvPicPr>
                      <a:picLocks noChangeAspect="1"/>
                    </pic:cNvPicPr>
                  </pic:nvPicPr>
                  <pic:blipFill>
                    <a:blip r:embed="rId9"/>
                    <a:stretch>
                      <a:fillRect/>
                    </a:stretch>
                  </pic:blipFill>
                  <pic:spPr>
                    <a:xfrm>
                      <a:off x="0" y="0"/>
                      <a:ext cx="5927725" cy="8380730"/>
                    </a:xfrm>
                    <a:prstGeom prst="rect">
                      <a:avLst/>
                    </a:prstGeom>
                  </pic:spPr>
                </pic:pic>
              </a:graphicData>
            </a:graphic>
          </wp:inline>
        </w:drawing>
      </w:r>
    </w:p>
    <w:p w14:paraId="6104C78D">
      <w:pPr>
        <w:tabs>
          <w:tab w:val="left" w:pos="4935"/>
        </w:tabs>
        <w:snapToGrid w:val="0"/>
        <w:jc w:val="center"/>
        <w:rPr>
          <w:rStyle w:val="28"/>
          <w:rFonts w:hint="eastAsia" w:hAnsi="宋体"/>
          <w:b/>
          <w:bCs/>
          <w:kern w:val="0"/>
          <w:sz w:val="36"/>
          <w:szCs w:val="36"/>
        </w:rPr>
      </w:pPr>
      <w:r>
        <w:rPr>
          <w:rStyle w:val="28"/>
          <w:rFonts w:hint="eastAsia" w:hAnsi="宋体"/>
          <w:b/>
          <w:bCs/>
          <w:kern w:val="0"/>
          <w:sz w:val="36"/>
          <w:szCs w:val="36"/>
        </w:rPr>
        <w:br w:type="page"/>
      </w:r>
      <w:r>
        <w:rPr>
          <w:rStyle w:val="28"/>
          <w:rFonts w:hint="eastAsia" w:hAnsi="宋体"/>
          <w:b/>
          <w:bCs/>
          <w:kern w:val="0"/>
          <w:sz w:val="36"/>
          <w:szCs w:val="36"/>
        </w:rPr>
        <w:t>目   录</w:t>
      </w:r>
    </w:p>
    <w:p w14:paraId="0F6868E8">
      <w:pPr>
        <w:jc w:val="center"/>
        <w:rPr>
          <w:rFonts w:hint="eastAsia" w:hAnsi="宋体"/>
        </w:rPr>
      </w:pPr>
    </w:p>
    <w:p w14:paraId="338D4959">
      <w:pPr>
        <w:pStyle w:val="14"/>
        <w:tabs>
          <w:tab w:val="right" w:leader="dot" w:pos="8844"/>
        </w:tabs>
        <w:rPr>
          <w:rFonts w:hint="eastAsia" w:hAnsi="宋体"/>
        </w:rPr>
      </w:pPr>
      <w:r>
        <w:rPr>
          <w:rStyle w:val="28"/>
        </w:rPr>
        <w:fldChar w:fldCharType="begin"/>
      </w:r>
      <w:r>
        <w:rPr>
          <w:rStyle w:val="28"/>
          <w:rFonts w:hint="eastAsia" w:hAnsi="宋体"/>
        </w:rPr>
        <w:instrText xml:space="preserve">TOC \o "1-2" \h \u </w:instrText>
      </w:r>
      <w:r>
        <w:rPr>
          <w:rStyle w:val="28"/>
        </w:rPr>
        <w:fldChar w:fldCharType="separate"/>
      </w:r>
      <w:r>
        <w:fldChar w:fldCharType="begin"/>
      </w:r>
      <w:r>
        <w:instrText xml:space="preserve"> HYPERLINK \l "_Toc17047" </w:instrText>
      </w:r>
      <w:r>
        <w:fldChar w:fldCharType="separate"/>
      </w:r>
      <w:r>
        <w:rPr>
          <w:rFonts w:hint="eastAsia" w:hAnsi="宋体"/>
          <w:bCs/>
        </w:rPr>
        <w:t>第一章 投标人须知</w:t>
      </w:r>
      <w:r>
        <w:rPr>
          <w:rFonts w:hint="eastAsia" w:hAnsi="宋体"/>
        </w:rPr>
        <w:tab/>
      </w:r>
      <w:r>
        <w:rPr>
          <w:rFonts w:hint="eastAsia" w:hAnsi="宋体"/>
        </w:rPr>
        <w:fldChar w:fldCharType="begin"/>
      </w:r>
      <w:r>
        <w:rPr>
          <w:rFonts w:hint="eastAsia" w:hAnsi="宋体"/>
        </w:rPr>
        <w:instrText xml:space="preserve"> PAGEREF _Toc17047 \h </w:instrText>
      </w:r>
      <w:r>
        <w:rPr>
          <w:rFonts w:hint="eastAsia" w:hAnsi="宋体"/>
        </w:rPr>
        <w:fldChar w:fldCharType="separate"/>
      </w:r>
      <w:r>
        <w:rPr>
          <w:rFonts w:hint="eastAsia" w:hAnsi="宋体"/>
        </w:rPr>
        <w:t>1</w:t>
      </w:r>
      <w:r>
        <w:rPr>
          <w:rFonts w:hint="eastAsia" w:hAnsi="宋体"/>
        </w:rPr>
        <w:fldChar w:fldCharType="end"/>
      </w:r>
      <w:r>
        <w:rPr>
          <w:rFonts w:hint="eastAsia" w:hAnsi="宋体"/>
        </w:rPr>
        <w:fldChar w:fldCharType="end"/>
      </w:r>
    </w:p>
    <w:p w14:paraId="4E43B698">
      <w:pPr>
        <w:pStyle w:val="15"/>
        <w:tabs>
          <w:tab w:val="right" w:leader="dot" w:pos="8844"/>
        </w:tabs>
        <w:ind w:left="480"/>
        <w:rPr>
          <w:rFonts w:hint="eastAsia" w:hAnsi="宋体"/>
        </w:rPr>
      </w:pPr>
      <w:r>
        <w:fldChar w:fldCharType="begin"/>
      </w:r>
      <w:r>
        <w:instrText xml:space="preserve"> HYPERLINK \l "_Toc11271" </w:instrText>
      </w:r>
      <w:r>
        <w:fldChar w:fldCharType="separate"/>
      </w:r>
      <w:r>
        <w:rPr>
          <w:rFonts w:hint="eastAsia" w:hAnsi="宋体"/>
          <w:bCs/>
        </w:rPr>
        <w:t>第一节 投标人须知前附表</w:t>
      </w:r>
      <w:r>
        <w:rPr>
          <w:rFonts w:hint="eastAsia" w:hAnsi="宋体"/>
        </w:rPr>
        <w:tab/>
      </w:r>
      <w:r>
        <w:rPr>
          <w:rFonts w:hint="eastAsia" w:hAnsi="宋体"/>
        </w:rPr>
        <w:fldChar w:fldCharType="begin"/>
      </w:r>
      <w:r>
        <w:rPr>
          <w:rFonts w:hint="eastAsia" w:hAnsi="宋体"/>
        </w:rPr>
        <w:instrText xml:space="preserve"> PAGEREF _Toc11271 \h </w:instrText>
      </w:r>
      <w:r>
        <w:rPr>
          <w:rFonts w:hint="eastAsia" w:hAnsi="宋体"/>
        </w:rPr>
        <w:fldChar w:fldCharType="separate"/>
      </w:r>
      <w:r>
        <w:rPr>
          <w:rFonts w:hint="eastAsia" w:hAnsi="宋体"/>
        </w:rPr>
        <w:t>1</w:t>
      </w:r>
      <w:r>
        <w:rPr>
          <w:rFonts w:hint="eastAsia" w:hAnsi="宋体"/>
        </w:rPr>
        <w:fldChar w:fldCharType="end"/>
      </w:r>
      <w:r>
        <w:rPr>
          <w:rFonts w:hint="eastAsia" w:hAnsi="宋体"/>
        </w:rPr>
        <w:fldChar w:fldCharType="end"/>
      </w:r>
    </w:p>
    <w:p w14:paraId="16C0C834">
      <w:pPr>
        <w:pStyle w:val="15"/>
        <w:tabs>
          <w:tab w:val="right" w:leader="dot" w:pos="8844"/>
        </w:tabs>
        <w:ind w:left="480"/>
        <w:rPr>
          <w:rFonts w:hint="eastAsia" w:hAnsi="宋体"/>
        </w:rPr>
      </w:pPr>
      <w:r>
        <w:fldChar w:fldCharType="begin"/>
      </w:r>
      <w:r>
        <w:instrText xml:space="preserve"> HYPERLINK \l "_Toc21104" </w:instrText>
      </w:r>
      <w:r>
        <w:fldChar w:fldCharType="separate"/>
      </w:r>
      <w:r>
        <w:rPr>
          <w:rFonts w:hint="eastAsia" w:hAnsi="宋体"/>
          <w:bCs/>
        </w:rPr>
        <w:t>第二节 重要事项时间地点一览表</w:t>
      </w:r>
      <w:r>
        <w:rPr>
          <w:rFonts w:hint="eastAsia" w:hAnsi="宋体"/>
        </w:rPr>
        <w:tab/>
      </w:r>
      <w:r>
        <w:rPr>
          <w:rFonts w:hint="eastAsia" w:hAnsi="宋体"/>
        </w:rPr>
        <w:fldChar w:fldCharType="begin"/>
      </w:r>
      <w:r>
        <w:rPr>
          <w:rFonts w:hint="eastAsia" w:hAnsi="宋体"/>
        </w:rPr>
        <w:instrText xml:space="preserve"> PAGEREF _Toc21104 \h </w:instrText>
      </w:r>
      <w:r>
        <w:rPr>
          <w:rFonts w:hint="eastAsia" w:hAnsi="宋体"/>
        </w:rPr>
        <w:fldChar w:fldCharType="separate"/>
      </w:r>
      <w:r>
        <w:rPr>
          <w:rFonts w:hint="eastAsia" w:hAnsi="宋体"/>
        </w:rPr>
        <w:t>7</w:t>
      </w:r>
      <w:r>
        <w:rPr>
          <w:rFonts w:hint="eastAsia" w:hAnsi="宋体"/>
        </w:rPr>
        <w:fldChar w:fldCharType="end"/>
      </w:r>
      <w:r>
        <w:rPr>
          <w:rFonts w:hint="eastAsia" w:hAnsi="宋体"/>
        </w:rPr>
        <w:fldChar w:fldCharType="end"/>
      </w:r>
    </w:p>
    <w:p w14:paraId="7CCD2457">
      <w:pPr>
        <w:pStyle w:val="15"/>
        <w:tabs>
          <w:tab w:val="right" w:leader="dot" w:pos="8844"/>
        </w:tabs>
        <w:ind w:left="480"/>
        <w:rPr>
          <w:rFonts w:hint="eastAsia" w:hAnsi="宋体"/>
        </w:rPr>
      </w:pPr>
      <w:r>
        <w:fldChar w:fldCharType="begin"/>
      </w:r>
      <w:r>
        <w:instrText xml:space="preserve"> HYPERLINK \l "_Toc21949" </w:instrText>
      </w:r>
      <w:r>
        <w:fldChar w:fldCharType="separate"/>
      </w:r>
      <w:r>
        <w:rPr>
          <w:rFonts w:hint="eastAsia" w:hAnsi="宋体"/>
          <w:bCs/>
        </w:rPr>
        <w:t>第三节 投标人须知正文</w:t>
      </w:r>
      <w:r>
        <w:rPr>
          <w:rFonts w:hint="eastAsia" w:hAnsi="宋体"/>
        </w:rPr>
        <w:tab/>
      </w:r>
      <w:r>
        <w:rPr>
          <w:rFonts w:hint="eastAsia" w:hAnsi="宋体"/>
        </w:rPr>
        <w:fldChar w:fldCharType="begin"/>
      </w:r>
      <w:r>
        <w:rPr>
          <w:rFonts w:hint="eastAsia" w:hAnsi="宋体"/>
        </w:rPr>
        <w:instrText xml:space="preserve"> PAGEREF _Toc21949 \h </w:instrText>
      </w:r>
      <w:r>
        <w:rPr>
          <w:rFonts w:hint="eastAsia" w:hAnsi="宋体"/>
        </w:rPr>
        <w:fldChar w:fldCharType="separate"/>
      </w:r>
      <w:r>
        <w:rPr>
          <w:rFonts w:hint="eastAsia" w:hAnsi="宋体"/>
        </w:rPr>
        <w:t>8</w:t>
      </w:r>
      <w:r>
        <w:rPr>
          <w:rFonts w:hint="eastAsia" w:hAnsi="宋体"/>
        </w:rPr>
        <w:fldChar w:fldCharType="end"/>
      </w:r>
      <w:r>
        <w:rPr>
          <w:rFonts w:hint="eastAsia" w:hAnsi="宋体"/>
        </w:rPr>
        <w:fldChar w:fldCharType="end"/>
      </w:r>
    </w:p>
    <w:p w14:paraId="64F8194F">
      <w:pPr>
        <w:pStyle w:val="15"/>
        <w:tabs>
          <w:tab w:val="right" w:leader="dot" w:pos="8844"/>
        </w:tabs>
        <w:ind w:left="480"/>
        <w:rPr>
          <w:rFonts w:hint="eastAsia" w:hAnsi="宋体"/>
        </w:rPr>
      </w:pPr>
      <w:r>
        <w:fldChar w:fldCharType="begin"/>
      </w:r>
      <w:r>
        <w:instrText xml:space="preserve"> HYPERLINK \l "_Toc19502" </w:instrText>
      </w:r>
      <w:r>
        <w:fldChar w:fldCharType="separate"/>
      </w:r>
      <w:r>
        <w:rPr>
          <w:rFonts w:hint="eastAsia" w:hAnsi="宋体"/>
          <w:bCs/>
        </w:rPr>
        <w:t>第四节 否决投标条件</w:t>
      </w:r>
      <w:r>
        <w:rPr>
          <w:rFonts w:hint="eastAsia" w:hAnsi="宋体"/>
        </w:rPr>
        <w:tab/>
      </w:r>
      <w:r>
        <w:rPr>
          <w:rFonts w:hint="eastAsia" w:hAnsi="宋体"/>
        </w:rPr>
        <w:fldChar w:fldCharType="begin"/>
      </w:r>
      <w:r>
        <w:rPr>
          <w:rFonts w:hint="eastAsia" w:hAnsi="宋体"/>
        </w:rPr>
        <w:instrText xml:space="preserve"> PAGEREF _Toc19502 \h </w:instrText>
      </w:r>
      <w:r>
        <w:rPr>
          <w:rFonts w:hint="eastAsia" w:hAnsi="宋体"/>
        </w:rPr>
        <w:fldChar w:fldCharType="separate"/>
      </w:r>
      <w:r>
        <w:rPr>
          <w:rFonts w:hint="eastAsia" w:hAnsi="宋体"/>
        </w:rPr>
        <w:t>38</w:t>
      </w:r>
      <w:r>
        <w:rPr>
          <w:rFonts w:hint="eastAsia" w:hAnsi="宋体"/>
        </w:rPr>
        <w:fldChar w:fldCharType="end"/>
      </w:r>
      <w:r>
        <w:rPr>
          <w:rFonts w:hint="eastAsia" w:hAnsi="宋体"/>
        </w:rPr>
        <w:fldChar w:fldCharType="end"/>
      </w:r>
    </w:p>
    <w:p w14:paraId="1CEFE7B5">
      <w:pPr>
        <w:pStyle w:val="15"/>
        <w:tabs>
          <w:tab w:val="right" w:leader="dot" w:pos="8844"/>
        </w:tabs>
        <w:ind w:left="480"/>
        <w:rPr>
          <w:rFonts w:hint="eastAsia" w:hAnsi="宋体"/>
        </w:rPr>
      </w:pPr>
      <w:r>
        <w:fldChar w:fldCharType="begin"/>
      </w:r>
      <w:r>
        <w:instrText xml:space="preserve"> HYPERLINK \l "_Toc31748" </w:instrText>
      </w:r>
      <w:r>
        <w:fldChar w:fldCharType="separate"/>
      </w:r>
      <w:r>
        <w:rPr>
          <w:rFonts w:hint="eastAsia" w:hAnsi="宋体"/>
          <w:bCs/>
        </w:rPr>
        <w:t>第五节 定标规定及细则</w:t>
      </w:r>
      <w:r>
        <w:rPr>
          <w:rFonts w:hint="eastAsia" w:hAnsi="宋体"/>
        </w:rPr>
        <w:tab/>
      </w:r>
      <w:r>
        <w:rPr>
          <w:rFonts w:hint="eastAsia" w:hAnsi="宋体"/>
        </w:rPr>
        <w:fldChar w:fldCharType="begin"/>
      </w:r>
      <w:r>
        <w:rPr>
          <w:rFonts w:hint="eastAsia" w:hAnsi="宋体"/>
        </w:rPr>
        <w:instrText xml:space="preserve"> PAGEREF _Toc31748 \h </w:instrText>
      </w:r>
      <w:r>
        <w:rPr>
          <w:rFonts w:hint="eastAsia" w:hAnsi="宋体"/>
        </w:rPr>
        <w:fldChar w:fldCharType="separate"/>
      </w:r>
      <w:r>
        <w:rPr>
          <w:rFonts w:hint="eastAsia" w:hAnsi="宋体"/>
        </w:rPr>
        <w:t>41</w:t>
      </w:r>
      <w:r>
        <w:rPr>
          <w:rFonts w:hint="eastAsia" w:hAnsi="宋体"/>
        </w:rPr>
        <w:fldChar w:fldCharType="end"/>
      </w:r>
      <w:r>
        <w:rPr>
          <w:rFonts w:hint="eastAsia" w:hAnsi="宋体"/>
        </w:rPr>
        <w:fldChar w:fldCharType="end"/>
      </w:r>
    </w:p>
    <w:p w14:paraId="3A98D5D5">
      <w:pPr>
        <w:pStyle w:val="15"/>
        <w:tabs>
          <w:tab w:val="right" w:leader="dot" w:pos="8844"/>
        </w:tabs>
        <w:ind w:left="480"/>
        <w:rPr>
          <w:rFonts w:hint="eastAsia" w:hAnsi="宋体"/>
        </w:rPr>
      </w:pPr>
      <w:r>
        <w:fldChar w:fldCharType="begin"/>
      </w:r>
      <w:r>
        <w:instrText xml:space="preserve"> HYPERLINK \l "_Toc13938" </w:instrText>
      </w:r>
      <w:r>
        <w:fldChar w:fldCharType="separate"/>
      </w:r>
      <w:r>
        <w:rPr>
          <w:rFonts w:hint="eastAsia" w:hAnsi="宋体"/>
          <w:bCs/>
        </w:rPr>
        <w:t>第六节 中标确</w:t>
      </w:r>
      <w:r>
        <w:rPr>
          <w:rFonts w:hint="eastAsia" w:hAnsi="宋体"/>
          <w:bCs/>
          <w:kern w:val="0"/>
          <w:shd w:val="clear" w:color="auto" w:fill="FFFFFF"/>
        </w:rPr>
        <w:t>定</w:t>
      </w:r>
      <w:r>
        <w:rPr>
          <w:rFonts w:hint="eastAsia" w:hAnsi="宋体"/>
        </w:rPr>
        <w:tab/>
      </w:r>
      <w:r>
        <w:rPr>
          <w:rFonts w:hint="eastAsia" w:hAnsi="宋体"/>
        </w:rPr>
        <w:fldChar w:fldCharType="begin"/>
      </w:r>
      <w:r>
        <w:rPr>
          <w:rFonts w:hint="eastAsia" w:hAnsi="宋体"/>
        </w:rPr>
        <w:instrText xml:space="preserve"> PAGEREF _Toc13938 \h </w:instrText>
      </w:r>
      <w:r>
        <w:rPr>
          <w:rFonts w:hint="eastAsia" w:hAnsi="宋体"/>
        </w:rPr>
        <w:fldChar w:fldCharType="separate"/>
      </w:r>
      <w:r>
        <w:rPr>
          <w:rFonts w:hint="eastAsia" w:hAnsi="宋体"/>
        </w:rPr>
        <w:t>44</w:t>
      </w:r>
      <w:r>
        <w:rPr>
          <w:rFonts w:hint="eastAsia" w:hAnsi="宋体"/>
        </w:rPr>
        <w:fldChar w:fldCharType="end"/>
      </w:r>
      <w:r>
        <w:rPr>
          <w:rFonts w:hint="eastAsia" w:hAnsi="宋体"/>
        </w:rPr>
        <w:fldChar w:fldCharType="end"/>
      </w:r>
    </w:p>
    <w:p w14:paraId="1450265F">
      <w:pPr>
        <w:pStyle w:val="14"/>
        <w:tabs>
          <w:tab w:val="right" w:leader="dot" w:pos="8844"/>
        </w:tabs>
        <w:rPr>
          <w:rFonts w:hint="eastAsia" w:hAnsi="宋体"/>
        </w:rPr>
      </w:pPr>
      <w:r>
        <w:fldChar w:fldCharType="begin"/>
      </w:r>
      <w:r>
        <w:instrText xml:space="preserve"> HYPERLINK \l "_Toc24324" </w:instrText>
      </w:r>
      <w:r>
        <w:fldChar w:fldCharType="separate"/>
      </w:r>
      <w:r>
        <w:rPr>
          <w:rFonts w:hint="eastAsia" w:hAnsi="宋体"/>
          <w:bCs/>
          <w:kern w:val="0"/>
        </w:rPr>
        <w:t>第二章 中标人须知</w:t>
      </w:r>
      <w:r>
        <w:rPr>
          <w:rFonts w:hint="eastAsia" w:hAnsi="宋体"/>
        </w:rPr>
        <w:tab/>
      </w:r>
      <w:r>
        <w:rPr>
          <w:rFonts w:hint="eastAsia" w:hAnsi="宋体"/>
        </w:rPr>
        <w:fldChar w:fldCharType="begin"/>
      </w:r>
      <w:r>
        <w:rPr>
          <w:rFonts w:hint="eastAsia" w:hAnsi="宋体"/>
        </w:rPr>
        <w:instrText xml:space="preserve"> PAGEREF _Toc24324 \h </w:instrText>
      </w:r>
      <w:r>
        <w:rPr>
          <w:rFonts w:hint="eastAsia" w:hAnsi="宋体"/>
        </w:rPr>
        <w:fldChar w:fldCharType="separate"/>
      </w:r>
      <w:r>
        <w:rPr>
          <w:rFonts w:hint="eastAsia" w:hAnsi="宋体"/>
        </w:rPr>
        <w:t>46</w:t>
      </w:r>
      <w:r>
        <w:rPr>
          <w:rFonts w:hint="eastAsia" w:hAnsi="宋体"/>
        </w:rPr>
        <w:fldChar w:fldCharType="end"/>
      </w:r>
      <w:r>
        <w:rPr>
          <w:rFonts w:hint="eastAsia" w:hAnsi="宋体"/>
        </w:rPr>
        <w:fldChar w:fldCharType="end"/>
      </w:r>
    </w:p>
    <w:p w14:paraId="61DCC3C1">
      <w:pPr>
        <w:pStyle w:val="15"/>
        <w:tabs>
          <w:tab w:val="right" w:leader="dot" w:pos="8844"/>
        </w:tabs>
        <w:ind w:left="480"/>
        <w:rPr>
          <w:rFonts w:hint="eastAsia" w:hAnsi="宋体"/>
        </w:rPr>
      </w:pPr>
      <w:r>
        <w:fldChar w:fldCharType="begin"/>
      </w:r>
      <w:r>
        <w:instrText xml:space="preserve"> HYPERLINK \l "_Toc31919" </w:instrText>
      </w:r>
      <w:r>
        <w:fldChar w:fldCharType="separate"/>
      </w:r>
      <w:r>
        <w:rPr>
          <w:rFonts w:hint="eastAsia" w:hAnsi="宋体"/>
          <w:bCs/>
          <w:kern w:val="0"/>
        </w:rPr>
        <w:t>1.中标通知书</w:t>
      </w:r>
      <w:r>
        <w:rPr>
          <w:rFonts w:hint="eastAsia" w:hAnsi="宋体"/>
        </w:rPr>
        <w:tab/>
      </w:r>
      <w:r>
        <w:rPr>
          <w:rFonts w:hint="eastAsia" w:hAnsi="宋体"/>
        </w:rPr>
        <w:fldChar w:fldCharType="begin"/>
      </w:r>
      <w:r>
        <w:rPr>
          <w:rFonts w:hint="eastAsia" w:hAnsi="宋体"/>
        </w:rPr>
        <w:instrText xml:space="preserve"> PAGEREF _Toc31919 \h </w:instrText>
      </w:r>
      <w:r>
        <w:rPr>
          <w:rFonts w:hint="eastAsia" w:hAnsi="宋体"/>
        </w:rPr>
        <w:fldChar w:fldCharType="separate"/>
      </w:r>
      <w:r>
        <w:rPr>
          <w:rFonts w:hint="eastAsia" w:hAnsi="宋体"/>
        </w:rPr>
        <w:t>46</w:t>
      </w:r>
      <w:r>
        <w:rPr>
          <w:rFonts w:hint="eastAsia" w:hAnsi="宋体"/>
        </w:rPr>
        <w:fldChar w:fldCharType="end"/>
      </w:r>
      <w:r>
        <w:rPr>
          <w:rFonts w:hint="eastAsia" w:hAnsi="宋体"/>
        </w:rPr>
        <w:fldChar w:fldCharType="end"/>
      </w:r>
    </w:p>
    <w:p w14:paraId="6D4EBA9F">
      <w:pPr>
        <w:pStyle w:val="15"/>
        <w:tabs>
          <w:tab w:val="right" w:leader="dot" w:pos="8844"/>
        </w:tabs>
        <w:ind w:left="480"/>
        <w:rPr>
          <w:rFonts w:hint="eastAsia" w:hAnsi="宋体"/>
        </w:rPr>
      </w:pPr>
      <w:r>
        <w:fldChar w:fldCharType="begin"/>
      </w:r>
      <w:r>
        <w:instrText xml:space="preserve"> HYPERLINK \l "_Toc16576" </w:instrText>
      </w:r>
      <w:r>
        <w:fldChar w:fldCharType="separate"/>
      </w:r>
      <w:r>
        <w:rPr>
          <w:rFonts w:hint="eastAsia" w:hAnsi="宋体"/>
          <w:bCs/>
          <w:kern w:val="0"/>
        </w:rPr>
        <w:t>2.中标结果公示</w:t>
      </w:r>
      <w:r>
        <w:rPr>
          <w:rFonts w:hint="eastAsia" w:hAnsi="宋体"/>
        </w:rPr>
        <w:tab/>
      </w:r>
      <w:r>
        <w:rPr>
          <w:rFonts w:hint="eastAsia" w:hAnsi="宋体"/>
        </w:rPr>
        <w:fldChar w:fldCharType="begin"/>
      </w:r>
      <w:r>
        <w:rPr>
          <w:rFonts w:hint="eastAsia" w:hAnsi="宋体"/>
        </w:rPr>
        <w:instrText xml:space="preserve"> PAGEREF _Toc16576 \h </w:instrText>
      </w:r>
      <w:r>
        <w:rPr>
          <w:rFonts w:hint="eastAsia" w:hAnsi="宋体"/>
        </w:rPr>
        <w:fldChar w:fldCharType="separate"/>
      </w:r>
      <w:r>
        <w:rPr>
          <w:rFonts w:hint="eastAsia" w:hAnsi="宋体"/>
        </w:rPr>
        <w:t>46</w:t>
      </w:r>
      <w:r>
        <w:rPr>
          <w:rFonts w:hint="eastAsia" w:hAnsi="宋体"/>
        </w:rPr>
        <w:fldChar w:fldCharType="end"/>
      </w:r>
      <w:r>
        <w:rPr>
          <w:rFonts w:hint="eastAsia" w:hAnsi="宋体"/>
        </w:rPr>
        <w:fldChar w:fldCharType="end"/>
      </w:r>
    </w:p>
    <w:p w14:paraId="005A5B1B">
      <w:pPr>
        <w:pStyle w:val="15"/>
        <w:tabs>
          <w:tab w:val="right" w:leader="dot" w:pos="8844"/>
        </w:tabs>
        <w:ind w:left="480"/>
        <w:rPr>
          <w:rFonts w:hint="eastAsia" w:hAnsi="宋体"/>
        </w:rPr>
      </w:pPr>
      <w:r>
        <w:fldChar w:fldCharType="begin"/>
      </w:r>
      <w:r>
        <w:instrText xml:space="preserve"> HYPERLINK \l "_Toc13251" </w:instrText>
      </w:r>
      <w:r>
        <w:fldChar w:fldCharType="separate"/>
      </w:r>
      <w:r>
        <w:rPr>
          <w:rFonts w:hint="eastAsia" w:hAnsi="宋体"/>
          <w:bCs/>
          <w:kern w:val="0"/>
        </w:rPr>
        <w:t>3.履约保证</w:t>
      </w:r>
      <w:r>
        <w:rPr>
          <w:rFonts w:hint="eastAsia" w:hAnsi="宋体"/>
        </w:rPr>
        <w:tab/>
      </w:r>
      <w:r>
        <w:rPr>
          <w:rFonts w:hint="eastAsia" w:hAnsi="宋体"/>
        </w:rPr>
        <w:fldChar w:fldCharType="begin"/>
      </w:r>
      <w:r>
        <w:rPr>
          <w:rFonts w:hint="eastAsia" w:hAnsi="宋体"/>
        </w:rPr>
        <w:instrText xml:space="preserve"> PAGEREF _Toc13251 \h </w:instrText>
      </w:r>
      <w:r>
        <w:rPr>
          <w:rFonts w:hint="eastAsia" w:hAnsi="宋体"/>
        </w:rPr>
        <w:fldChar w:fldCharType="separate"/>
      </w:r>
      <w:r>
        <w:rPr>
          <w:rFonts w:hint="eastAsia" w:hAnsi="宋体"/>
        </w:rPr>
        <w:t>46</w:t>
      </w:r>
      <w:r>
        <w:rPr>
          <w:rFonts w:hint="eastAsia" w:hAnsi="宋体"/>
        </w:rPr>
        <w:fldChar w:fldCharType="end"/>
      </w:r>
      <w:r>
        <w:rPr>
          <w:rFonts w:hint="eastAsia" w:hAnsi="宋体"/>
        </w:rPr>
        <w:fldChar w:fldCharType="end"/>
      </w:r>
    </w:p>
    <w:p w14:paraId="2565B94E">
      <w:pPr>
        <w:pStyle w:val="15"/>
        <w:tabs>
          <w:tab w:val="right" w:leader="dot" w:pos="8844"/>
        </w:tabs>
        <w:ind w:left="480"/>
        <w:rPr>
          <w:rFonts w:hint="eastAsia" w:hAnsi="宋体"/>
        </w:rPr>
      </w:pPr>
      <w:r>
        <w:fldChar w:fldCharType="begin"/>
      </w:r>
      <w:r>
        <w:instrText xml:space="preserve"> HYPERLINK \l "_Toc6597" </w:instrText>
      </w:r>
      <w:r>
        <w:fldChar w:fldCharType="separate"/>
      </w:r>
      <w:r>
        <w:rPr>
          <w:rFonts w:hint="eastAsia" w:hAnsi="宋体"/>
          <w:bCs/>
          <w:kern w:val="0"/>
        </w:rPr>
        <w:t>4.合同订立</w:t>
      </w:r>
      <w:r>
        <w:rPr>
          <w:rFonts w:hint="eastAsia" w:hAnsi="宋体"/>
        </w:rPr>
        <w:tab/>
      </w:r>
      <w:r>
        <w:rPr>
          <w:rFonts w:hint="eastAsia" w:hAnsi="宋体"/>
        </w:rPr>
        <w:fldChar w:fldCharType="begin"/>
      </w:r>
      <w:r>
        <w:rPr>
          <w:rFonts w:hint="eastAsia" w:hAnsi="宋体"/>
        </w:rPr>
        <w:instrText xml:space="preserve"> PAGEREF _Toc6597 \h </w:instrText>
      </w:r>
      <w:r>
        <w:rPr>
          <w:rFonts w:hint="eastAsia" w:hAnsi="宋体"/>
        </w:rPr>
        <w:fldChar w:fldCharType="separate"/>
      </w:r>
      <w:r>
        <w:rPr>
          <w:rFonts w:hint="eastAsia" w:hAnsi="宋体"/>
        </w:rPr>
        <w:t>47</w:t>
      </w:r>
      <w:r>
        <w:rPr>
          <w:rFonts w:hint="eastAsia" w:hAnsi="宋体"/>
        </w:rPr>
        <w:fldChar w:fldCharType="end"/>
      </w:r>
      <w:r>
        <w:rPr>
          <w:rFonts w:hint="eastAsia" w:hAnsi="宋体"/>
        </w:rPr>
        <w:fldChar w:fldCharType="end"/>
      </w:r>
    </w:p>
    <w:p w14:paraId="4A82BC67">
      <w:pPr>
        <w:pStyle w:val="15"/>
        <w:tabs>
          <w:tab w:val="right" w:leader="dot" w:pos="8844"/>
        </w:tabs>
        <w:ind w:left="480"/>
        <w:rPr>
          <w:rFonts w:hint="eastAsia" w:hAnsi="宋体"/>
        </w:rPr>
      </w:pPr>
      <w:r>
        <w:fldChar w:fldCharType="begin"/>
      </w:r>
      <w:r>
        <w:instrText xml:space="preserve"> HYPERLINK \l "_Toc29840" </w:instrText>
      </w:r>
      <w:r>
        <w:fldChar w:fldCharType="separate"/>
      </w:r>
      <w:r>
        <w:rPr>
          <w:rFonts w:hint="eastAsia" w:hAnsi="宋体"/>
          <w:bCs/>
          <w:kern w:val="0"/>
        </w:rPr>
        <w:t>5.放弃中标的处理</w:t>
      </w:r>
      <w:r>
        <w:rPr>
          <w:rFonts w:hint="eastAsia" w:hAnsi="宋体"/>
        </w:rPr>
        <w:tab/>
      </w:r>
      <w:r>
        <w:rPr>
          <w:rFonts w:hint="eastAsia" w:hAnsi="宋体"/>
        </w:rPr>
        <w:fldChar w:fldCharType="begin"/>
      </w:r>
      <w:r>
        <w:rPr>
          <w:rFonts w:hint="eastAsia" w:hAnsi="宋体"/>
        </w:rPr>
        <w:instrText xml:space="preserve"> PAGEREF _Toc29840 \h </w:instrText>
      </w:r>
      <w:r>
        <w:rPr>
          <w:rFonts w:hint="eastAsia" w:hAnsi="宋体"/>
        </w:rPr>
        <w:fldChar w:fldCharType="separate"/>
      </w:r>
      <w:r>
        <w:rPr>
          <w:rFonts w:hint="eastAsia" w:hAnsi="宋体"/>
        </w:rPr>
        <w:t>48</w:t>
      </w:r>
      <w:r>
        <w:rPr>
          <w:rFonts w:hint="eastAsia" w:hAnsi="宋体"/>
        </w:rPr>
        <w:fldChar w:fldCharType="end"/>
      </w:r>
      <w:r>
        <w:rPr>
          <w:rFonts w:hint="eastAsia" w:hAnsi="宋体"/>
        </w:rPr>
        <w:fldChar w:fldCharType="end"/>
      </w:r>
    </w:p>
    <w:p w14:paraId="1482A632">
      <w:pPr>
        <w:pStyle w:val="15"/>
        <w:tabs>
          <w:tab w:val="right" w:leader="dot" w:pos="8844"/>
        </w:tabs>
        <w:ind w:left="480"/>
        <w:rPr>
          <w:rFonts w:hint="eastAsia" w:hAnsi="宋体"/>
        </w:rPr>
      </w:pPr>
      <w:r>
        <w:fldChar w:fldCharType="begin"/>
      </w:r>
      <w:r>
        <w:instrText xml:space="preserve"> HYPERLINK \l "_Toc8167" </w:instrText>
      </w:r>
      <w:r>
        <w:fldChar w:fldCharType="separate"/>
      </w:r>
      <w:r>
        <w:rPr>
          <w:rFonts w:hint="eastAsia" w:hAnsi="宋体"/>
          <w:bCs/>
          <w:kern w:val="0"/>
        </w:rPr>
        <w:t>6.专业工程分包</w:t>
      </w:r>
      <w:r>
        <w:rPr>
          <w:rFonts w:hint="eastAsia" w:hAnsi="宋体"/>
        </w:rPr>
        <w:tab/>
      </w:r>
      <w:r>
        <w:rPr>
          <w:rFonts w:hint="eastAsia" w:hAnsi="宋体"/>
        </w:rPr>
        <w:fldChar w:fldCharType="begin"/>
      </w:r>
      <w:r>
        <w:rPr>
          <w:rFonts w:hint="eastAsia" w:hAnsi="宋体"/>
        </w:rPr>
        <w:instrText xml:space="preserve"> PAGEREF _Toc8167 \h </w:instrText>
      </w:r>
      <w:r>
        <w:rPr>
          <w:rFonts w:hint="eastAsia" w:hAnsi="宋体"/>
        </w:rPr>
        <w:fldChar w:fldCharType="separate"/>
      </w:r>
      <w:r>
        <w:rPr>
          <w:rFonts w:hint="eastAsia" w:hAnsi="宋体"/>
        </w:rPr>
        <w:t>49</w:t>
      </w:r>
      <w:r>
        <w:rPr>
          <w:rFonts w:hint="eastAsia" w:hAnsi="宋体"/>
        </w:rPr>
        <w:fldChar w:fldCharType="end"/>
      </w:r>
      <w:r>
        <w:rPr>
          <w:rFonts w:hint="eastAsia" w:hAnsi="宋体"/>
        </w:rPr>
        <w:fldChar w:fldCharType="end"/>
      </w:r>
    </w:p>
    <w:p w14:paraId="732E796B">
      <w:pPr>
        <w:pStyle w:val="15"/>
        <w:tabs>
          <w:tab w:val="right" w:leader="dot" w:pos="8844"/>
        </w:tabs>
        <w:ind w:left="480"/>
        <w:rPr>
          <w:rFonts w:hint="eastAsia" w:hAnsi="宋体"/>
        </w:rPr>
      </w:pPr>
      <w:r>
        <w:fldChar w:fldCharType="begin"/>
      </w:r>
      <w:r>
        <w:instrText xml:space="preserve"> HYPERLINK \l "_Toc1068" </w:instrText>
      </w:r>
      <w:r>
        <w:fldChar w:fldCharType="separate"/>
      </w:r>
      <w:r>
        <w:rPr>
          <w:rFonts w:hint="eastAsia" w:hAnsi="宋体"/>
          <w:bCs/>
          <w:kern w:val="0"/>
        </w:rPr>
        <w:t>7.工人工资支付专用账户</w:t>
      </w:r>
      <w:r>
        <w:rPr>
          <w:rFonts w:hint="eastAsia" w:hAnsi="宋体"/>
        </w:rPr>
        <w:tab/>
      </w:r>
      <w:r>
        <w:rPr>
          <w:rFonts w:hint="eastAsia" w:hAnsi="宋体"/>
        </w:rPr>
        <w:fldChar w:fldCharType="begin"/>
      </w:r>
      <w:r>
        <w:rPr>
          <w:rFonts w:hint="eastAsia" w:hAnsi="宋体"/>
        </w:rPr>
        <w:instrText xml:space="preserve"> PAGEREF _Toc1068 \h </w:instrText>
      </w:r>
      <w:r>
        <w:rPr>
          <w:rFonts w:hint="eastAsia" w:hAnsi="宋体"/>
        </w:rPr>
        <w:fldChar w:fldCharType="separate"/>
      </w:r>
      <w:r>
        <w:rPr>
          <w:rFonts w:hint="eastAsia" w:hAnsi="宋体"/>
        </w:rPr>
        <w:t>49</w:t>
      </w:r>
      <w:r>
        <w:rPr>
          <w:rFonts w:hint="eastAsia" w:hAnsi="宋体"/>
        </w:rPr>
        <w:fldChar w:fldCharType="end"/>
      </w:r>
      <w:r>
        <w:rPr>
          <w:rFonts w:hint="eastAsia" w:hAnsi="宋体"/>
        </w:rPr>
        <w:fldChar w:fldCharType="end"/>
      </w:r>
    </w:p>
    <w:p w14:paraId="58F4F2FC">
      <w:pPr>
        <w:pStyle w:val="15"/>
        <w:tabs>
          <w:tab w:val="right" w:leader="dot" w:pos="8844"/>
        </w:tabs>
        <w:ind w:left="480"/>
        <w:rPr>
          <w:rFonts w:hint="eastAsia" w:hAnsi="宋体"/>
        </w:rPr>
      </w:pPr>
      <w:r>
        <w:fldChar w:fldCharType="begin"/>
      </w:r>
      <w:r>
        <w:instrText xml:space="preserve"> HYPERLINK \l "_Toc6194" </w:instrText>
      </w:r>
      <w:r>
        <w:fldChar w:fldCharType="separate"/>
      </w:r>
      <w:r>
        <w:rPr>
          <w:rFonts w:hint="eastAsia" w:hAnsi="宋体"/>
          <w:bCs/>
          <w:kern w:val="0"/>
        </w:rPr>
        <w:t>8.工期进度</w:t>
      </w:r>
      <w:r>
        <w:rPr>
          <w:rFonts w:hint="eastAsia" w:hAnsi="宋体"/>
        </w:rPr>
        <w:tab/>
      </w:r>
      <w:r>
        <w:rPr>
          <w:rFonts w:hint="eastAsia" w:hAnsi="宋体"/>
        </w:rPr>
        <w:fldChar w:fldCharType="begin"/>
      </w:r>
      <w:r>
        <w:rPr>
          <w:rFonts w:hint="eastAsia" w:hAnsi="宋体"/>
        </w:rPr>
        <w:instrText xml:space="preserve"> PAGEREF _Toc6194 \h </w:instrText>
      </w:r>
      <w:r>
        <w:rPr>
          <w:rFonts w:hint="eastAsia" w:hAnsi="宋体"/>
        </w:rPr>
        <w:fldChar w:fldCharType="separate"/>
      </w:r>
      <w:r>
        <w:rPr>
          <w:rFonts w:hint="eastAsia" w:hAnsi="宋体"/>
        </w:rPr>
        <w:t>49</w:t>
      </w:r>
      <w:r>
        <w:rPr>
          <w:rFonts w:hint="eastAsia" w:hAnsi="宋体"/>
        </w:rPr>
        <w:fldChar w:fldCharType="end"/>
      </w:r>
      <w:r>
        <w:rPr>
          <w:rFonts w:hint="eastAsia" w:hAnsi="宋体"/>
        </w:rPr>
        <w:fldChar w:fldCharType="end"/>
      </w:r>
    </w:p>
    <w:p w14:paraId="481A83CA">
      <w:pPr>
        <w:pStyle w:val="15"/>
        <w:tabs>
          <w:tab w:val="right" w:leader="dot" w:pos="8844"/>
        </w:tabs>
        <w:ind w:left="480"/>
        <w:rPr>
          <w:rFonts w:hint="eastAsia" w:hAnsi="宋体"/>
        </w:rPr>
      </w:pPr>
      <w:r>
        <w:fldChar w:fldCharType="begin"/>
      </w:r>
      <w:r>
        <w:instrText xml:space="preserve"> HYPERLINK \l "_Toc32402" </w:instrText>
      </w:r>
      <w:r>
        <w:fldChar w:fldCharType="separate"/>
      </w:r>
      <w:r>
        <w:rPr>
          <w:rFonts w:hint="eastAsia" w:hAnsi="宋体"/>
          <w:bCs/>
          <w:kern w:val="0"/>
        </w:rPr>
        <w:t>9.项目管理机构</w:t>
      </w:r>
      <w:r>
        <w:rPr>
          <w:rFonts w:hint="eastAsia" w:hAnsi="宋体"/>
        </w:rPr>
        <w:tab/>
      </w:r>
      <w:r>
        <w:rPr>
          <w:rFonts w:hint="eastAsia" w:hAnsi="宋体"/>
        </w:rPr>
        <w:fldChar w:fldCharType="begin"/>
      </w:r>
      <w:r>
        <w:rPr>
          <w:rFonts w:hint="eastAsia" w:hAnsi="宋体"/>
        </w:rPr>
        <w:instrText xml:space="preserve"> PAGEREF _Toc32402 \h </w:instrText>
      </w:r>
      <w:r>
        <w:rPr>
          <w:rFonts w:hint="eastAsia" w:hAnsi="宋体"/>
        </w:rPr>
        <w:fldChar w:fldCharType="separate"/>
      </w:r>
      <w:r>
        <w:rPr>
          <w:rFonts w:hint="eastAsia" w:hAnsi="宋体"/>
        </w:rPr>
        <w:t>50</w:t>
      </w:r>
      <w:r>
        <w:rPr>
          <w:rFonts w:hint="eastAsia" w:hAnsi="宋体"/>
        </w:rPr>
        <w:fldChar w:fldCharType="end"/>
      </w:r>
      <w:r>
        <w:rPr>
          <w:rFonts w:hint="eastAsia" w:hAnsi="宋体"/>
        </w:rPr>
        <w:fldChar w:fldCharType="end"/>
      </w:r>
    </w:p>
    <w:p w14:paraId="3C3EB8D8">
      <w:pPr>
        <w:pStyle w:val="15"/>
        <w:tabs>
          <w:tab w:val="right" w:leader="dot" w:pos="8844"/>
        </w:tabs>
        <w:ind w:left="480"/>
        <w:rPr>
          <w:rFonts w:hint="eastAsia" w:hAnsi="宋体"/>
        </w:rPr>
      </w:pPr>
      <w:r>
        <w:fldChar w:fldCharType="begin"/>
      </w:r>
      <w:r>
        <w:instrText xml:space="preserve"> HYPERLINK \l "_Toc30025" </w:instrText>
      </w:r>
      <w:r>
        <w:fldChar w:fldCharType="separate"/>
      </w:r>
      <w:r>
        <w:rPr>
          <w:rFonts w:hint="eastAsia" w:hAnsi="宋体"/>
          <w:bCs/>
          <w:kern w:val="0"/>
        </w:rPr>
        <w:t>10.现场管理</w:t>
      </w:r>
      <w:r>
        <w:rPr>
          <w:rFonts w:hint="eastAsia" w:hAnsi="宋体"/>
        </w:rPr>
        <w:tab/>
      </w:r>
      <w:r>
        <w:rPr>
          <w:rFonts w:hint="eastAsia" w:hAnsi="宋体"/>
        </w:rPr>
        <w:fldChar w:fldCharType="begin"/>
      </w:r>
      <w:r>
        <w:rPr>
          <w:rFonts w:hint="eastAsia" w:hAnsi="宋体"/>
        </w:rPr>
        <w:instrText xml:space="preserve"> PAGEREF _Toc30025 \h </w:instrText>
      </w:r>
      <w:r>
        <w:rPr>
          <w:rFonts w:hint="eastAsia" w:hAnsi="宋体"/>
        </w:rPr>
        <w:fldChar w:fldCharType="separate"/>
      </w:r>
      <w:r>
        <w:rPr>
          <w:rFonts w:hint="eastAsia" w:hAnsi="宋体"/>
        </w:rPr>
        <w:t>50</w:t>
      </w:r>
      <w:r>
        <w:rPr>
          <w:rFonts w:hint="eastAsia" w:hAnsi="宋体"/>
        </w:rPr>
        <w:fldChar w:fldCharType="end"/>
      </w:r>
      <w:r>
        <w:rPr>
          <w:rFonts w:hint="eastAsia" w:hAnsi="宋体"/>
        </w:rPr>
        <w:fldChar w:fldCharType="end"/>
      </w:r>
    </w:p>
    <w:p w14:paraId="4D4615DA">
      <w:pPr>
        <w:pStyle w:val="15"/>
        <w:tabs>
          <w:tab w:val="right" w:leader="dot" w:pos="8844"/>
        </w:tabs>
        <w:ind w:left="480"/>
        <w:rPr>
          <w:rFonts w:hint="eastAsia" w:hAnsi="宋体"/>
        </w:rPr>
      </w:pPr>
      <w:r>
        <w:fldChar w:fldCharType="begin"/>
      </w:r>
      <w:r>
        <w:instrText xml:space="preserve"> HYPERLINK \l "_Toc8204" </w:instrText>
      </w:r>
      <w:r>
        <w:fldChar w:fldCharType="separate"/>
      </w:r>
      <w:r>
        <w:rPr>
          <w:rFonts w:hint="eastAsia" w:hAnsi="宋体"/>
          <w:bCs/>
          <w:kern w:val="0"/>
        </w:rPr>
        <w:t>11.监督实施</w:t>
      </w:r>
      <w:r>
        <w:rPr>
          <w:rFonts w:hint="eastAsia" w:hAnsi="宋体"/>
        </w:rPr>
        <w:tab/>
      </w:r>
      <w:r>
        <w:rPr>
          <w:rFonts w:hint="eastAsia" w:hAnsi="宋体"/>
        </w:rPr>
        <w:fldChar w:fldCharType="begin"/>
      </w:r>
      <w:r>
        <w:rPr>
          <w:rFonts w:hint="eastAsia" w:hAnsi="宋体"/>
        </w:rPr>
        <w:instrText xml:space="preserve"> PAGEREF _Toc8204 \h </w:instrText>
      </w:r>
      <w:r>
        <w:rPr>
          <w:rFonts w:hint="eastAsia" w:hAnsi="宋体"/>
        </w:rPr>
        <w:fldChar w:fldCharType="separate"/>
      </w:r>
      <w:r>
        <w:rPr>
          <w:rFonts w:hint="eastAsia" w:hAnsi="宋体"/>
        </w:rPr>
        <w:t>51</w:t>
      </w:r>
      <w:r>
        <w:rPr>
          <w:rFonts w:hint="eastAsia" w:hAnsi="宋体"/>
        </w:rPr>
        <w:fldChar w:fldCharType="end"/>
      </w:r>
      <w:r>
        <w:rPr>
          <w:rFonts w:hint="eastAsia" w:hAnsi="宋体"/>
        </w:rPr>
        <w:fldChar w:fldCharType="end"/>
      </w:r>
    </w:p>
    <w:p w14:paraId="14C12ECE">
      <w:pPr>
        <w:pStyle w:val="15"/>
        <w:tabs>
          <w:tab w:val="right" w:leader="dot" w:pos="8844"/>
        </w:tabs>
        <w:ind w:left="480"/>
        <w:rPr>
          <w:rFonts w:hint="eastAsia" w:hAnsi="宋体"/>
        </w:rPr>
      </w:pPr>
      <w:r>
        <w:fldChar w:fldCharType="begin"/>
      </w:r>
      <w:r>
        <w:instrText xml:space="preserve"> HYPERLINK \l "_Toc3520" </w:instrText>
      </w:r>
      <w:r>
        <w:fldChar w:fldCharType="separate"/>
      </w:r>
      <w:r>
        <w:rPr>
          <w:rFonts w:hint="eastAsia" w:hAnsi="宋体"/>
          <w:bCs/>
          <w:kern w:val="0"/>
        </w:rPr>
        <w:t>12.主材的采购和使用</w:t>
      </w:r>
      <w:r>
        <w:rPr>
          <w:rFonts w:hint="eastAsia" w:hAnsi="宋体"/>
        </w:rPr>
        <w:tab/>
      </w:r>
      <w:r>
        <w:rPr>
          <w:rFonts w:hint="eastAsia" w:hAnsi="宋体"/>
        </w:rPr>
        <w:fldChar w:fldCharType="begin"/>
      </w:r>
      <w:r>
        <w:rPr>
          <w:rFonts w:hint="eastAsia" w:hAnsi="宋体"/>
        </w:rPr>
        <w:instrText xml:space="preserve"> PAGEREF _Toc3520 \h </w:instrText>
      </w:r>
      <w:r>
        <w:rPr>
          <w:rFonts w:hint="eastAsia" w:hAnsi="宋体"/>
        </w:rPr>
        <w:fldChar w:fldCharType="separate"/>
      </w:r>
      <w:r>
        <w:rPr>
          <w:rFonts w:hint="eastAsia" w:hAnsi="宋体"/>
        </w:rPr>
        <w:t>51</w:t>
      </w:r>
      <w:r>
        <w:rPr>
          <w:rFonts w:hint="eastAsia" w:hAnsi="宋体"/>
        </w:rPr>
        <w:fldChar w:fldCharType="end"/>
      </w:r>
      <w:r>
        <w:rPr>
          <w:rFonts w:hint="eastAsia" w:hAnsi="宋体"/>
        </w:rPr>
        <w:fldChar w:fldCharType="end"/>
      </w:r>
    </w:p>
    <w:p w14:paraId="522D49CF">
      <w:pPr>
        <w:pStyle w:val="15"/>
        <w:tabs>
          <w:tab w:val="right" w:leader="dot" w:pos="8844"/>
        </w:tabs>
        <w:ind w:left="480"/>
        <w:rPr>
          <w:rFonts w:hint="eastAsia" w:hAnsi="宋体"/>
        </w:rPr>
      </w:pPr>
      <w:r>
        <w:fldChar w:fldCharType="begin"/>
      </w:r>
      <w:r>
        <w:instrText xml:space="preserve"> HYPERLINK \l "_Toc27298" </w:instrText>
      </w:r>
      <w:r>
        <w:fldChar w:fldCharType="separate"/>
      </w:r>
      <w:r>
        <w:rPr>
          <w:rFonts w:hint="eastAsia" w:hAnsi="宋体"/>
          <w:bCs/>
          <w:kern w:val="0"/>
        </w:rPr>
        <w:t>13.竣工资料移交</w:t>
      </w:r>
      <w:r>
        <w:rPr>
          <w:rFonts w:hint="eastAsia" w:hAnsi="宋体"/>
        </w:rPr>
        <w:tab/>
      </w:r>
      <w:r>
        <w:rPr>
          <w:rFonts w:hint="eastAsia" w:hAnsi="宋体"/>
        </w:rPr>
        <w:fldChar w:fldCharType="begin"/>
      </w:r>
      <w:r>
        <w:rPr>
          <w:rFonts w:hint="eastAsia" w:hAnsi="宋体"/>
        </w:rPr>
        <w:instrText xml:space="preserve"> PAGEREF _Toc27298 \h </w:instrText>
      </w:r>
      <w:r>
        <w:rPr>
          <w:rFonts w:hint="eastAsia" w:hAnsi="宋体"/>
        </w:rPr>
        <w:fldChar w:fldCharType="separate"/>
      </w:r>
      <w:r>
        <w:rPr>
          <w:rFonts w:hint="eastAsia" w:hAnsi="宋体"/>
        </w:rPr>
        <w:t>51</w:t>
      </w:r>
      <w:r>
        <w:rPr>
          <w:rFonts w:hint="eastAsia" w:hAnsi="宋体"/>
        </w:rPr>
        <w:fldChar w:fldCharType="end"/>
      </w:r>
      <w:r>
        <w:rPr>
          <w:rFonts w:hint="eastAsia" w:hAnsi="宋体"/>
        </w:rPr>
        <w:fldChar w:fldCharType="end"/>
      </w:r>
    </w:p>
    <w:p w14:paraId="2E757426">
      <w:pPr>
        <w:pStyle w:val="15"/>
        <w:tabs>
          <w:tab w:val="right" w:leader="dot" w:pos="8844"/>
        </w:tabs>
        <w:ind w:left="480"/>
        <w:rPr>
          <w:rFonts w:hint="eastAsia" w:hAnsi="宋体"/>
        </w:rPr>
      </w:pPr>
      <w:r>
        <w:fldChar w:fldCharType="begin"/>
      </w:r>
      <w:r>
        <w:instrText xml:space="preserve"> HYPERLINK \l "_Toc21040" </w:instrText>
      </w:r>
      <w:r>
        <w:fldChar w:fldCharType="separate"/>
      </w:r>
      <w:r>
        <w:rPr>
          <w:rFonts w:hint="eastAsia" w:hAnsi="宋体"/>
          <w:bCs/>
          <w:kern w:val="0"/>
        </w:rPr>
        <w:t>14.质量保证</w:t>
      </w:r>
      <w:r>
        <w:rPr>
          <w:rFonts w:hint="eastAsia" w:hAnsi="宋体"/>
        </w:rPr>
        <w:tab/>
      </w:r>
      <w:r>
        <w:rPr>
          <w:rFonts w:hint="eastAsia" w:hAnsi="宋体"/>
        </w:rPr>
        <w:fldChar w:fldCharType="begin"/>
      </w:r>
      <w:r>
        <w:rPr>
          <w:rFonts w:hint="eastAsia" w:hAnsi="宋体"/>
        </w:rPr>
        <w:instrText xml:space="preserve"> PAGEREF _Toc21040 \h </w:instrText>
      </w:r>
      <w:r>
        <w:rPr>
          <w:rFonts w:hint="eastAsia" w:hAnsi="宋体"/>
        </w:rPr>
        <w:fldChar w:fldCharType="separate"/>
      </w:r>
      <w:r>
        <w:rPr>
          <w:rFonts w:hint="eastAsia" w:hAnsi="宋体"/>
        </w:rPr>
        <w:t>51</w:t>
      </w:r>
      <w:r>
        <w:rPr>
          <w:rFonts w:hint="eastAsia" w:hAnsi="宋体"/>
        </w:rPr>
        <w:fldChar w:fldCharType="end"/>
      </w:r>
      <w:r>
        <w:rPr>
          <w:rFonts w:hint="eastAsia" w:hAnsi="宋体"/>
        </w:rPr>
        <w:fldChar w:fldCharType="end"/>
      </w:r>
    </w:p>
    <w:p w14:paraId="6AF5A97F">
      <w:pPr>
        <w:pStyle w:val="15"/>
        <w:tabs>
          <w:tab w:val="right" w:leader="dot" w:pos="8844"/>
        </w:tabs>
        <w:ind w:left="480"/>
        <w:rPr>
          <w:rFonts w:hint="eastAsia" w:hAnsi="宋体"/>
        </w:rPr>
      </w:pPr>
      <w:r>
        <w:fldChar w:fldCharType="begin"/>
      </w:r>
      <w:r>
        <w:instrText xml:space="preserve"> HYPERLINK \l "_Toc4183" </w:instrText>
      </w:r>
      <w:r>
        <w:fldChar w:fldCharType="separate"/>
      </w:r>
      <w:r>
        <w:rPr>
          <w:rFonts w:hint="eastAsia" w:hAnsi="宋体"/>
          <w:bCs/>
          <w:kern w:val="0"/>
        </w:rPr>
        <w:t>15.不良行为处理</w:t>
      </w:r>
      <w:r>
        <w:rPr>
          <w:rFonts w:hint="eastAsia" w:hAnsi="宋体"/>
        </w:rPr>
        <w:tab/>
      </w:r>
      <w:r>
        <w:rPr>
          <w:rFonts w:hint="eastAsia" w:hAnsi="宋体"/>
        </w:rPr>
        <w:fldChar w:fldCharType="begin"/>
      </w:r>
      <w:r>
        <w:rPr>
          <w:rFonts w:hint="eastAsia" w:hAnsi="宋体"/>
        </w:rPr>
        <w:instrText xml:space="preserve"> PAGEREF _Toc4183 \h </w:instrText>
      </w:r>
      <w:r>
        <w:rPr>
          <w:rFonts w:hint="eastAsia" w:hAnsi="宋体"/>
        </w:rPr>
        <w:fldChar w:fldCharType="separate"/>
      </w:r>
      <w:r>
        <w:rPr>
          <w:rFonts w:hint="eastAsia" w:hAnsi="宋体"/>
        </w:rPr>
        <w:t>52</w:t>
      </w:r>
      <w:r>
        <w:rPr>
          <w:rFonts w:hint="eastAsia" w:hAnsi="宋体"/>
        </w:rPr>
        <w:fldChar w:fldCharType="end"/>
      </w:r>
      <w:r>
        <w:rPr>
          <w:rFonts w:hint="eastAsia" w:hAnsi="宋体"/>
        </w:rPr>
        <w:fldChar w:fldCharType="end"/>
      </w:r>
    </w:p>
    <w:p w14:paraId="6D746937">
      <w:pPr>
        <w:pStyle w:val="15"/>
        <w:tabs>
          <w:tab w:val="right" w:leader="dot" w:pos="8844"/>
        </w:tabs>
        <w:ind w:left="480"/>
        <w:rPr>
          <w:rFonts w:hint="eastAsia" w:hAnsi="宋体"/>
        </w:rPr>
      </w:pPr>
      <w:r>
        <w:fldChar w:fldCharType="begin"/>
      </w:r>
      <w:r>
        <w:instrText xml:space="preserve"> HYPERLINK \l "_Toc4093" </w:instrText>
      </w:r>
      <w:r>
        <w:fldChar w:fldCharType="separate"/>
      </w:r>
      <w:r>
        <w:rPr>
          <w:rFonts w:hint="eastAsia" w:hAnsi="宋体"/>
          <w:bCs/>
          <w:kern w:val="0"/>
        </w:rPr>
        <w:t>16.信用评价条款内容</w:t>
      </w:r>
      <w:r>
        <w:rPr>
          <w:rFonts w:hint="eastAsia" w:hAnsi="宋体"/>
        </w:rPr>
        <w:tab/>
      </w:r>
      <w:r>
        <w:rPr>
          <w:rFonts w:hint="eastAsia" w:hAnsi="宋体"/>
        </w:rPr>
        <w:fldChar w:fldCharType="begin"/>
      </w:r>
      <w:r>
        <w:rPr>
          <w:rFonts w:hint="eastAsia" w:hAnsi="宋体"/>
        </w:rPr>
        <w:instrText xml:space="preserve"> PAGEREF _Toc4093 \h </w:instrText>
      </w:r>
      <w:r>
        <w:rPr>
          <w:rFonts w:hint="eastAsia" w:hAnsi="宋体"/>
        </w:rPr>
        <w:fldChar w:fldCharType="separate"/>
      </w:r>
      <w:r>
        <w:rPr>
          <w:rFonts w:hint="eastAsia" w:hAnsi="宋体"/>
        </w:rPr>
        <w:t>52</w:t>
      </w:r>
      <w:r>
        <w:rPr>
          <w:rFonts w:hint="eastAsia" w:hAnsi="宋体"/>
        </w:rPr>
        <w:fldChar w:fldCharType="end"/>
      </w:r>
      <w:r>
        <w:rPr>
          <w:rFonts w:hint="eastAsia" w:hAnsi="宋体"/>
        </w:rPr>
        <w:fldChar w:fldCharType="end"/>
      </w:r>
    </w:p>
    <w:p w14:paraId="25F55B64">
      <w:pPr>
        <w:pStyle w:val="15"/>
        <w:tabs>
          <w:tab w:val="right" w:leader="dot" w:pos="8844"/>
        </w:tabs>
        <w:ind w:left="480"/>
        <w:rPr>
          <w:rFonts w:hint="eastAsia" w:hAnsi="宋体"/>
        </w:rPr>
      </w:pPr>
      <w:r>
        <w:fldChar w:fldCharType="begin"/>
      </w:r>
      <w:r>
        <w:instrText xml:space="preserve"> HYPERLINK \l "_Toc1776" </w:instrText>
      </w:r>
      <w:r>
        <w:fldChar w:fldCharType="separate"/>
      </w:r>
      <w:r>
        <w:rPr>
          <w:rFonts w:hint="eastAsia" w:hAnsi="宋体"/>
          <w:bCs/>
        </w:rPr>
        <w:t>17.其他事项</w:t>
      </w:r>
      <w:r>
        <w:rPr>
          <w:rFonts w:hint="eastAsia" w:hAnsi="宋体"/>
        </w:rPr>
        <w:tab/>
      </w:r>
      <w:r>
        <w:rPr>
          <w:rFonts w:hint="eastAsia" w:hAnsi="宋体"/>
        </w:rPr>
        <w:fldChar w:fldCharType="begin"/>
      </w:r>
      <w:r>
        <w:rPr>
          <w:rFonts w:hint="eastAsia" w:hAnsi="宋体"/>
        </w:rPr>
        <w:instrText xml:space="preserve"> PAGEREF _Toc1776 \h </w:instrText>
      </w:r>
      <w:r>
        <w:rPr>
          <w:rFonts w:hint="eastAsia" w:hAnsi="宋体"/>
        </w:rPr>
        <w:fldChar w:fldCharType="separate"/>
      </w:r>
      <w:r>
        <w:rPr>
          <w:rFonts w:hint="eastAsia" w:hAnsi="宋体"/>
        </w:rPr>
        <w:t>53</w:t>
      </w:r>
      <w:r>
        <w:rPr>
          <w:rFonts w:hint="eastAsia" w:hAnsi="宋体"/>
        </w:rPr>
        <w:fldChar w:fldCharType="end"/>
      </w:r>
      <w:r>
        <w:rPr>
          <w:rFonts w:hint="eastAsia" w:hAnsi="宋体"/>
        </w:rPr>
        <w:fldChar w:fldCharType="end"/>
      </w:r>
    </w:p>
    <w:p w14:paraId="50BFE145">
      <w:pPr>
        <w:pStyle w:val="14"/>
        <w:tabs>
          <w:tab w:val="right" w:leader="dot" w:pos="8844"/>
        </w:tabs>
        <w:rPr>
          <w:rFonts w:hint="eastAsia" w:hAnsi="宋体"/>
        </w:rPr>
      </w:pPr>
      <w:r>
        <w:fldChar w:fldCharType="begin"/>
      </w:r>
      <w:r>
        <w:instrText xml:space="preserve"> HYPERLINK \l "_Toc8671" </w:instrText>
      </w:r>
      <w:r>
        <w:fldChar w:fldCharType="separate"/>
      </w:r>
      <w:r>
        <w:rPr>
          <w:rFonts w:hint="eastAsia" w:hAnsi="宋体"/>
          <w:bCs/>
        </w:rPr>
        <w:t>第三章 拟签订合同的主要条款</w:t>
      </w:r>
      <w:r>
        <w:rPr>
          <w:rFonts w:hint="eastAsia" w:hAnsi="宋体"/>
        </w:rPr>
        <w:tab/>
      </w:r>
      <w:r>
        <w:rPr>
          <w:rFonts w:hint="eastAsia" w:hAnsi="宋体"/>
        </w:rPr>
        <w:fldChar w:fldCharType="begin"/>
      </w:r>
      <w:r>
        <w:rPr>
          <w:rFonts w:hint="eastAsia" w:hAnsi="宋体"/>
        </w:rPr>
        <w:instrText xml:space="preserve"> PAGEREF _Toc8671 \h </w:instrText>
      </w:r>
      <w:r>
        <w:rPr>
          <w:rFonts w:hint="eastAsia" w:hAnsi="宋体"/>
        </w:rPr>
        <w:fldChar w:fldCharType="separate"/>
      </w:r>
      <w:r>
        <w:rPr>
          <w:rFonts w:hint="eastAsia" w:hAnsi="宋体"/>
        </w:rPr>
        <w:t>64</w:t>
      </w:r>
      <w:r>
        <w:rPr>
          <w:rFonts w:hint="eastAsia" w:hAnsi="宋体"/>
        </w:rPr>
        <w:fldChar w:fldCharType="end"/>
      </w:r>
      <w:r>
        <w:rPr>
          <w:rFonts w:hint="eastAsia" w:hAnsi="宋体"/>
        </w:rPr>
        <w:fldChar w:fldCharType="end"/>
      </w:r>
    </w:p>
    <w:p w14:paraId="6C31FB04">
      <w:pPr>
        <w:pStyle w:val="14"/>
        <w:tabs>
          <w:tab w:val="right" w:leader="dot" w:pos="8844"/>
        </w:tabs>
        <w:rPr>
          <w:rFonts w:hint="eastAsia" w:hAnsi="宋体"/>
        </w:rPr>
      </w:pPr>
      <w:r>
        <w:fldChar w:fldCharType="begin"/>
      </w:r>
      <w:r>
        <w:instrText xml:space="preserve"> HYPERLINK \l "_Toc19055" </w:instrText>
      </w:r>
      <w:r>
        <w:fldChar w:fldCharType="separate"/>
      </w:r>
      <w:r>
        <w:rPr>
          <w:rFonts w:hint="eastAsia" w:hAnsi="宋体"/>
          <w:bCs/>
        </w:rPr>
        <w:t>第四章 技术要求</w:t>
      </w:r>
      <w:r>
        <w:rPr>
          <w:rFonts w:hint="eastAsia" w:hAnsi="宋体"/>
        </w:rPr>
        <w:tab/>
      </w:r>
      <w:r>
        <w:rPr>
          <w:rFonts w:hint="eastAsia" w:hAnsi="宋体"/>
        </w:rPr>
        <w:fldChar w:fldCharType="begin"/>
      </w:r>
      <w:r>
        <w:rPr>
          <w:rFonts w:hint="eastAsia" w:hAnsi="宋体"/>
        </w:rPr>
        <w:instrText xml:space="preserve"> PAGEREF _Toc19055 \h </w:instrText>
      </w:r>
      <w:r>
        <w:rPr>
          <w:rFonts w:hint="eastAsia" w:hAnsi="宋体"/>
        </w:rPr>
        <w:fldChar w:fldCharType="separate"/>
      </w:r>
      <w:r>
        <w:rPr>
          <w:rFonts w:hint="eastAsia" w:hAnsi="宋体"/>
        </w:rPr>
        <w:t>89</w:t>
      </w:r>
      <w:r>
        <w:rPr>
          <w:rFonts w:hint="eastAsia" w:hAnsi="宋体"/>
        </w:rPr>
        <w:fldChar w:fldCharType="end"/>
      </w:r>
      <w:r>
        <w:rPr>
          <w:rFonts w:hint="eastAsia" w:hAnsi="宋体"/>
        </w:rPr>
        <w:fldChar w:fldCharType="end"/>
      </w:r>
    </w:p>
    <w:p w14:paraId="5477B852">
      <w:pPr>
        <w:pStyle w:val="14"/>
        <w:tabs>
          <w:tab w:val="right" w:leader="dot" w:pos="8844"/>
        </w:tabs>
        <w:rPr>
          <w:rFonts w:hint="eastAsia" w:hAnsi="宋体"/>
        </w:rPr>
      </w:pPr>
      <w:r>
        <w:fldChar w:fldCharType="begin"/>
      </w:r>
      <w:r>
        <w:instrText xml:space="preserve"> HYPERLINK \l "_Toc15000" </w:instrText>
      </w:r>
      <w:r>
        <w:fldChar w:fldCharType="separate"/>
      </w:r>
      <w:r>
        <w:rPr>
          <w:rFonts w:hint="eastAsia" w:hAnsi="宋体"/>
          <w:bCs/>
        </w:rPr>
        <w:t>第五章 图纸和招标工程量清单</w:t>
      </w:r>
      <w:r>
        <w:rPr>
          <w:rFonts w:hint="eastAsia" w:hAnsi="宋体"/>
        </w:rPr>
        <w:tab/>
      </w:r>
      <w:r>
        <w:rPr>
          <w:rFonts w:hint="eastAsia" w:hAnsi="宋体"/>
        </w:rPr>
        <w:fldChar w:fldCharType="begin"/>
      </w:r>
      <w:r>
        <w:rPr>
          <w:rFonts w:hint="eastAsia" w:hAnsi="宋体"/>
        </w:rPr>
        <w:instrText xml:space="preserve"> PAGEREF _Toc15000 \h </w:instrText>
      </w:r>
      <w:r>
        <w:rPr>
          <w:rFonts w:hint="eastAsia" w:hAnsi="宋体"/>
        </w:rPr>
        <w:fldChar w:fldCharType="separate"/>
      </w:r>
      <w:r>
        <w:rPr>
          <w:rFonts w:hint="eastAsia" w:hAnsi="宋体"/>
        </w:rPr>
        <w:t>91</w:t>
      </w:r>
      <w:r>
        <w:rPr>
          <w:rFonts w:hint="eastAsia" w:hAnsi="宋体"/>
        </w:rPr>
        <w:fldChar w:fldCharType="end"/>
      </w:r>
      <w:r>
        <w:rPr>
          <w:rFonts w:hint="eastAsia" w:hAnsi="宋体"/>
        </w:rPr>
        <w:fldChar w:fldCharType="end"/>
      </w:r>
    </w:p>
    <w:p w14:paraId="0FE702F9">
      <w:pPr>
        <w:pStyle w:val="15"/>
        <w:tabs>
          <w:tab w:val="right" w:leader="dot" w:pos="8844"/>
        </w:tabs>
        <w:ind w:left="480"/>
        <w:rPr>
          <w:rFonts w:hint="eastAsia" w:hAnsi="宋体"/>
        </w:rPr>
      </w:pPr>
      <w:r>
        <w:fldChar w:fldCharType="begin"/>
      </w:r>
      <w:r>
        <w:instrText xml:space="preserve"> HYPERLINK \l "_Toc27327" </w:instrText>
      </w:r>
      <w:r>
        <w:fldChar w:fldCharType="separate"/>
      </w:r>
      <w:r>
        <w:rPr>
          <w:rFonts w:hint="eastAsia" w:hAnsi="宋体"/>
          <w:bCs/>
          <w:kern w:val="0"/>
        </w:rPr>
        <w:t>1.图纸</w:t>
      </w:r>
      <w:r>
        <w:rPr>
          <w:rFonts w:hint="eastAsia" w:hAnsi="宋体"/>
        </w:rPr>
        <w:tab/>
      </w:r>
      <w:r>
        <w:rPr>
          <w:rFonts w:hint="eastAsia" w:hAnsi="宋体"/>
        </w:rPr>
        <w:fldChar w:fldCharType="begin"/>
      </w:r>
      <w:r>
        <w:rPr>
          <w:rFonts w:hint="eastAsia" w:hAnsi="宋体"/>
        </w:rPr>
        <w:instrText xml:space="preserve"> PAGEREF _Toc27327 \h </w:instrText>
      </w:r>
      <w:r>
        <w:rPr>
          <w:rFonts w:hint="eastAsia" w:hAnsi="宋体"/>
        </w:rPr>
        <w:fldChar w:fldCharType="separate"/>
      </w:r>
      <w:r>
        <w:rPr>
          <w:rFonts w:hint="eastAsia" w:hAnsi="宋体"/>
        </w:rPr>
        <w:t>91</w:t>
      </w:r>
      <w:r>
        <w:rPr>
          <w:rFonts w:hint="eastAsia" w:hAnsi="宋体"/>
        </w:rPr>
        <w:fldChar w:fldCharType="end"/>
      </w:r>
      <w:r>
        <w:rPr>
          <w:rFonts w:hint="eastAsia" w:hAnsi="宋体"/>
        </w:rPr>
        <w:fldChar w:fldCharType="end"/>
      </w:r>
    </w:p>
    <w:p w14:paraId="2C69D47D">
      <w:pPr>
        <w:pStyle w:val="15"/>
        <w:tabs>
          <w:tab w:val="right" w:leader="dot" w:pos="8844"/>
        </w:tabs>
        <w:ind w:left="480"/>
        <w:rPr>
          <w:rFonts w:hint="eastAsia" w:hAnsi="宋体"/>
        </w:rPr>
      </w:pPr>
      <w:r>
        <w:fldChar w:fldCharType="begin"/>
      </w:r>
      <w:r>
        <w:instrText xml:space="preserve"> HYPERLINK \l "_Toc24018" </w:instrText>
      </w:r>
      <w:r>
        <w:fldChar w:fldCharType="separate"/>
      </w:r>
      <w:r>
        <w:rPr>
          <w:rFonts w:hint="eastAsia" w:hAnsi="宋体"/>
          <w:bCs/>
          <w:kern w:val="0"/>
        </w:rPr>
        <w:t>2.招标工程量清单</w:t>
      </w:r>
      <w:r>
        <w:rPr>
          <w:rFonts w:hint="eastAsia" w:hAnsi="宋体"/>
        </w:rPr>
        <w:tab/>
      </w:r>
      <w:r>
        <w:rPr>
          <w:rFonts w:hint="eastAsia" w:hAnsi="宋体"/>
        </w:rPr>
        <w:fldChar w:fldCharType="begin"/>
      </w:r>
      <w:r>
        <w:rPr>
          <w:rFonts w:hint="eastAsia" w:hAnsi="宋体"/>
        </w:rPr>
        <w:instrText xml:space="preserve"> PAGEREF _Toc24018 \h </w:instrText>
      </w:r>
      <w:r>
        <w:rPr>
          <w:rFonts w:hint="eastAsia" w:hAnsi="宋体"/>
        </w:rPr>
        <w:fldChar w:fldCharType="separate"/>
      </w:r>
      <w:r>
        <w:rPr>
          <w:rFonts w:hint="eastAsia" w:hAnsi="宋体"/>
        </w:rPr>
        <w:t>91</w:t>
      </w:r>
      <w:r>
        <w:rPr>
          <w:rFonts w:hint="eastAsia" w:hAnsi="宋体"/>
        </w:rPr>
        <w:fldChar w:fldCharType="end"/>
      </w:r>
      <w:r>
        <w:rPr>
          <w:rFonts w:hint="eastAsia" w:hAnsi="宋体"/>
        </w:rPr>
        <w:fldChar w:fldCharType="end"/>
      </w:r>
    </w:p>
    <w:p w14:paraId="73098491">
      <w:pPr>
        <w:pStyle w:val="14"/>
        <w:tabs>
          <w:tab w:val="right" w:leader="dot" w:pos="8844"/>
        </w:tabs>
        <w:rPr>
          <w:rFonts w:hint="eastAsia" w:hAnsi="宋体"/>
        </w:rPr>
      </w:pPr>
      <w:r>
        <w:fldChar w:fldCharType="begin"/>
      </w:r>
      <w:r>
        <w:instrText xml:space="preserve"> HYPERLINK \l "_Toc10673" </w:instrText>
      </w:r>
      <w:r>
        <w:fldChar w:fldCharType="separate"/>
      </w:r>
      <w:r>
        <w:rPr>
          <w:rFonts w:hint="eastAsia" w:hAnsi="宋体"/>
          <w:bCs/>
        </w:rPr>
        <w:t>第六章 投标文件格式</w:t>
      </w:r>
      <w:r>
        <w:rPr>
          <w:rFonts w:hint="eastAsia" w:hAnsi="宋体"/>
        </w:rPr>
        <w:tab/>
      </w:r>
      <w:r>
        <w:rPr>
          <w:rFonts w:hint="eastAsia" w:hAnsi="宋体"/>
        </w:rPr>
        <w:fldChar w:fldCharType="begin"/>
      </w:r>
      <w:r>
        <w:rPr>
          <w:rFonts w:hint="eastAsia" w:hAnsi="宋体"/>
        </w:rPr>
        <w:instrText xml:space="preserve"> PAGEREF _Toc10673 \h </w:instrText>
      </w:r>
      <w:r>
        <w:rPr>
          <w:rFonts w:hint="eastAsia" w:hAnsi="宋体"/>
        </w:rPr>
        <w:fldChar w:fldCharType="separate"/>
      </w:r>
      <w:r>
        <w:rPr>
          <w:rFonts w:hint="eastAsia" w:hAnsi="宋体"/>
        </w:rPr>
        <w:t>93</w:t>
      </w:r>
      <w:r>
        <w:rPr>
          <w:rFonts w:hint="eastAsia" w:hAnsi="宋体"/>
        </w:rPr>
        <w:fldChar w:fldCharType="end"/>
      </w:r>
      <w:r>
        <w:rPr>
          <w:rFonts w:hint="eastAsia" w:hAnsi="宋体"/>
        </w:rPr>
        <w:fldChar w:fldCharType="end"/>
      </w:r>
    </w:p>
    <w:p w14:paraId="4F2FA19D">
      <w:pPr>
        <w:pStyle w:val="15"/>
        <w:tabs>
          <w:tab w:val="right" w:leader="dot" w:pos="8844"/>
        </w:tabs>
        <w:ind w:left="480"/>
        <w:rPr>
          <w:rFonts w:hint="eastAsia" w:hAnsi="宋体"/>
        </w:rPr>
      </w:pPr>
      <w:r>
        <w:fldChar w:fldCharType="begin"/>
      </w:r>
      <w:r>
        <w:instrText xml:space="preserve"> HYPERLINK \l "_Toc1983" </w:instrText>
      </w:r>
      <w:r>
        <w:fldChar w:fldCharType="separate"/>
      </w:r>
      <w:r>
        <w:rPr>
          <w:rFonts w:hint="eastAsia" w:hAnsi="宋体"/>
          <w:bCs/>
          <w:szCs w:val="21"/>
        </w:rPr>
        <w:t>格式一 封面</w:t>
      </w:r>
      <w:r>
        <w:rPr>
          <w:rFonts w:hint="eastAsia" w:hAnsi="宋体"/>
        </w:rPr>
        <w:tab/>
      </w:r>
      <w:r>
        <w:rPr>
          <w:rFonts w:hint="eastAsia" w:hAnsi="宋体"/>
        </w:rPr>
        <w:fldChar w:fldCharType="begin"/>
      </w:r>
      <w:r>
        <w:rPr>
          <w:rFonts w:hint="eastAsia" w:hAnsi="宋体"/>
        </w:rPr>
        <w:instrText xml:space="preserve"> PAGEREF _Toc1983 \h </w:instrText>
      </w:r>
      <w:r>
        <w:rPr>
          <w:rFonts w:hint="eastAsia" w:hAnsi="宋体"/>
        </w:rPr>
        <w:fldChar w:fldCharType="separate"/>
      </w:r>
      <w:r>
        <w:rPr>
          <w:rFonts w:hint="eastAsia" w:hAnsi="宋体"/>
        </w:rPr>
        <w:t>93</w:t>
      </w:r>
      <w:r>
        <w:rPr>
          <w:rFonts w:hint="eastAsia" w:hAnsi="宋体"/>
        </w:rPr>
        <w:fldChar w:fldCharType="end"/>
      </w:r>
      <w:r>
        <w:rPr>
          <w:rFonts w:hint="eastAsia" w:hAnsi="宋体"/>
        </w:rPr>
        <w:fldChar w:fldCharType="end"/>
      </w:r>
    </w:p>
    <w:p w14:paraId="7157F673">
      <w:pPr>
        <w:pStyle w:val="15"/>
        <w:tabs>
          <w:tab w:val="right" w:leader="dot" w:pos="8844"/>
        </w:tabs>
        <w:ind w:left="480"/>
        <w:rPr>
          <w:rFonts w:hint="eastAsia" w:hAnsi="宋体"/>
        </w:rPr>
      </w:pPr>
      <w:r>
        <w:fldChar w:fldCharType="begin"/>
      </w:r>
      <w:r>
        <w:instrText xml:space="preserve"> HYPERLINK \l "_Toc21959" </w:instrText>
      </w:r>
      <w:r>
        <w:fldChar w:fldCharType="separate"/>
      </w:r>
      <w:r>
        <w:rPr>
          <w:rFonts w:hint="eastAsia" w:hAnsi="宋体"/>
          <w:bCs/>
          <w:szCs w:val="21"/>
        </w:rPr>
        <w:t>格式二 投标函</w:t>
      </w:r>
      <w:r>
        <w:rPr>
          <w:rFonts w:hint="eastAsia" w:hAnsi="宋体"/>
        </w:rPr>
        <w:tab/>
      </w:r>
      <w:r>
        <w:rPr>
          <w:rFonts w:hint="eastAsia" w:hAnsi="宋体"/>
        </w:rPr>
        <w:fldChar w:fldCharType="begin"/>
      </w:r>
      <w:r>
        <w:rPr>
          <w:rFonts w:hint="eastAsia" w:hAnsi="宋体"/>
        </w:rPr>
        <w:instrText xml:space="preserve"> PAGEREF _Toc21959 \h </w:instrText>
      </w:r>
      <w:r>
        <w:rPr>
          <w:rFonts w:hint="eastAsia" w:hAnsi="宋体"/>
        </w:rPr>
        <w:fldChar w:fldCharType="separate"/>
      </w:r>
      <w:r>
        <w:rPr>
          <w:rFonts w:hint="eastAsia" w:hAnsi="宋体"/>
        </w:rPr>
        <w:t>94</w:t>
      </w:r>
      <w:r>
        <w:rPr>
          <w:rFonts w:hint="eastAsia" w:hAnsi="宋体"/>
        </w:rPr>
        <w:fldChar w:fldCharType="end"/>
      </w:r>
      <w:r>
        <w:rPr>
          <w:rFonts w:hint="eastAsia" w:hAnsi="宋体"/>
        </w:rPr>
        <w:fldChar w:fldCharType="end"/>
      </w:r>
    </w:p>
    <w:p w14:paraId="569681A0">
      <w:pPr>
        <w:pStyle w:val="15"/>
        <w:tabs>
          <w:tab w:val="right" w:leader="dot" w:pos="8844"/>
        </w:tabs>
        <w:ind w:left="480"/>
        <w:rPr>
          <w:rFonts w:hint="eastAsia" w:hAnsi="宋体"/>
        </w:rPr>
      </w:pPr>
      <w:r>
        <w:fldChar w:fldCharType="begin"/>
      </w:r>
      <w:r>
        <w:instrText xml:space="preserve"> HYPERLINK \l "_Toc27524" </w:instrText>
      </w:r>
      <w:r>
        <w:fldChar w:fldCharType="separate"/>
      </w:r>
      <w:r>
        <w:rPr>
          <w:rFonts w:hint="eastAsia" w:hAnsi="宋体"/>
          <w:szCs w:val="21"/>
        </w:rPr>
        <w:t>格式三 各项承诺一览表</w:t>
      </w:r>
      <w:r>
        <w:rPr>
          <w:rFonts w:hint="eastAsia" w:hAnsi="宋体"/>
        </w:rPr>
        <w:tab/>
      </w:r>
      <w:r>
        <w:rPr>
          <w:rFonts w:hint="eastAsia" w:hAnsi="宋体"/>
        </w:rPr>
        <w:fldChar w:fldCharType="begin"/>
      </w:r>
      <w:r>
        <w:rPr>
          <w:rFonts w:hint="eastAsia" w:hAnsi="宋体"/>
        </w:rPr>
        <w:instrText xml:space="preserve"> PAGEREF _Toc27524 \h </w:instrText>
      </w:r>
      <w:r>
        <w:rPr>
          <w:rFonts w:hint="eastAsia" w:hAnsi="宋体"/>
        </w:rPr>
        <w:fldChar w:fldCharType="separate"/>
      </w:r>
      <w:r>
        <w:rPr>
          <w:rFonts w:hint="eastAsia" w:hAnsi="宋体"/>
        </w:rPr>
        <w:t>95</w:t>
      </w:r>
      <w:r>
        <w:rPr>
          <w:rFonts w:hint="eastAsia" w:hAnsi="宋体"/>
        </w:rPr>
        <w:fldChar w:fldCharType="end"/>
      </w:r>
      <w:r>
        <w:rPr>
          <w:rFonts w:hint="eastAsia" w:hAnsi="宋体"/>
        </w:rPr>
        <w:fldChar w:fldCharType="end"/>
      </w:r>
    </w:p>
    <w:p w14:paraId="66F7CE09">
      <w:pPr>
        <w:pStyle w:val="15"/>
        <w:tabs>
          <w:tab w:val="right" w:leader="dot" w:pos="8844"/>
        </w:tabs>
        <w:ind w:left="480"/>
        <w:rPr>
          <w:rFonts w:hint="eastAsia" w:hAnsi="宋体"/>
        </w:rPr>
      </w:pPr>
      <w:r>
        <w:fldChar w:fldCharType="begin"/>
      </w:r>
      <w:r>
        <w:instrText xml:space="preserve"> HYPERLINK \l "_Toc16763" </w:instrText>
      </w:r>
      <w:r>
        <w:fldChar w:fldCharType="separate"/>
      </w:r>
      <w:r>
        <w:rPr>
          <w:rFonts w:hint="eastAsia" w:hAnsi="宋体"/>
          <w:bCs/>
          <w:szCs w:val="21"/>
        </w:rPr>
        <w:t>格式四 授权委托书</w:t>
      </w:r>
      <w:r>
        <w:rPr>
          <w:rFonts w:hint="eastAsia" w:hAnsi="宋体"/>
        </w:rPr>
        <w:tab/>
      </w:r>
      <w:r>
        <w:rPr>
          <w:rFonts w:hint="eastAsia" w:hAnsi="宋体"/>
        </w:rPr>
        <w:fldChar w:fldCharType="begin"/>
      </w:r>
      <w:r>
        <w:rPr>
          <w:rFonts w:hint="eastAsia" w:hAnsi="宋体"/>
        </w:rPr>
        <w:instrText xml:space="preserve"> PAGEREF _Toc16763 \h </w:instrText>
      </w:r>
      <w:r>
        <w:rPr>
          <w:rFonts w:hint="eastAsia" w:hAnsi="宋体"/>
        </w:rPr>
        <w:fldChar w:fldCharType="separate"/>
      </w:r>
      <w:r>
        <w:rPr>
          <w:rFonts w:hint="eastAsia" w:hAnsi="宋体"/>
        </w:rPr>
        <w:t>100</w:t>
      </w:r>
      <w:r>
        <w:rPr>
          <w:rFonts w:hint="eastAsia" w:hAnsi="宋体"/>
        </w:rPr>
        <w:fldChar w:fldCharType="end"/>
      </w:r>
      <w:r>
        <w:rPr>
          <w:rFonts w:hint="eastAsia" w:hAnsi="宋体"/>
        </w:rPr>
        <w:fldChar w:fldCharType="end"/>
      </w:r>
    </w:p>
    <w:p w14:paraId="4BA81339">
      <w:pPr>
        <w:pStyle w:val="15"/>
        <w:tabs>
          <w:tab w:val="right" w:leader="dot" w:pos="8844"/>
        </w:tabs>
        <w:ind w:left="480"/>
        <w:rPr>
          <w:rFonts w:hint="eastAsia" w:hAnsi="宋体"/>
        </w:rPr>
      </w:pPr>
      <w:r>
        <w:fldChar w:fldCharType="begin"/>
      </w:r>
      <w:r>
        <w:instrText xml:space="preserve"> HYPERLINK \l "_Toc30204" </w:instrText>
      </w:r>
      <w:r>
        <w:fldChar w:fldCharType="separate"/>
      </w:r>
      <w:r>
        <w:rPr>
          <w:rFonts w:hint="eastAsia" w:hAnsi="宋体"/>
          <w:bCs/>
          <w:szCs w:val="21"/>
        </w:rPr>
        <w:t>格式五 法定代表人身份证明</w:t>
      </w:r>
      <w:r>
        <w:rPr>
          <w:rFonts w:hint="eastAsia" w:hAnsi="宋体"/>
        </w:rPr>
        <w:tab/>
      </w:r>
      <w:r>
        <w:rPr>
          <w:rFonts w:hint="eastAsia" w:hAnsi="宋体"/>
        </w:rPr>
        <w:fldChar w:fldCharType="begin"/>
      </w:r>
      <w:r>
        <w:rPr>
          <w:rFonts w:hint="eastAsia" w:hAnsi="宋体"/>
        </w:rPr>
        <w:instrText xml:space="preserve"> PAGEREF _Toc30204 \h </w:instrText>
      </w:r>
      <w:r>
        <w:rPr>
          <w:rFonts w:hint="eastAsia" w:hAnsi="宋体"/>
        </w:rPr>
        <w:fldChar w:fldCharType="separate"/>
      </w:r>
      <w:r>
        <w:rPr>
          <w:rFonts w:hint="eastAsia" w:hAnsi="宋体"/>
        </w:rPr>
        <w:t>101</w:t>
      </w:r>
      <w:r>
        <w:rPr>
          <w:rFonts w:hint="eastAsia" w:hAnsi="宋体"/>
        </w:rPr>
        <w:fldChar w:fldCharType="end"/>
      </w:r>
      <w:r>
        <w:rPr>
          <w:rFonts w:hint="eastAsia" w:hAnsi="宋体"/>
        </w:rPr>
        <w:fldChar w:fldCharType="end"/>
      </w:r>
    </w:p>
    <w:p w14:paraId="09F65763">
      <w:pPr>
        <w:pStyle w:val="15"/>
        <w:tabs>
          <w:tab w:val="right" w:leader="dot" w:pos="8844"/>
        </w:tabs>
        <w:ind w:left="480"/>
        <w:rPr>
          <w:rFonts w:hint="eastAsia" w:hAnsi="宋体"/>
        </w:rPr>
      </w:pPr>
      <w:r>
        <w:fldChar w:fldCharType="begin"/>
      </w:r>
      <w:r>
        <w:instrText xml:space="preserve"> HYPERLINK \l "_Toc378" </w:instrText>
      </w:r>
      <w:r>
        <w:fldChar w:fldCharType="separate"/>
      </w:r>
      <w:r>
        <w:rPr>
          <w:rFonts w:hint="eastAsia" w:hAnsi="宋体"/>
          <w:bCs/>
          <w:szCs w:val="21"/>
        </w:rPr>
        <w:t>格式六 联合体协议书</w:t>
      </w:r>
      <w:r>
        <w:rPr>
          <w:rFonts w:hint="eastAsia" w:hAnsi="宋体"/>
        </w:rPr>
        <w:tab/>
      </w:r>
      <w:r>
        <w:rPr>
          <w:rFonts w:hint="eastAsia" w:hAnsi="宋体"/>
        </w:rPr>
        <w:fldChar w:fldCharType="begin"/>
      </w:r>
      <w:r>
        <w:rPr>
          <w:rFonts w:hint="eastAsia" w:hAnsi="宋体"/>
        </w:rPr>
        <w:instrText xml:space="preserve"> PAGEREF _Toc378 \h </w:instrText>
      </w:r>
      <w:r>
        <w:rPr>
          <w:rFonts w:hint="eastAsia" w:hAnsi="宋体"/>
        </w:rPr>
        <w:fldChar w:fldCharType="separate"/>
      </w:r>
      <w:r>
        <w:rPr>
          <w:rFonts w:hint="eastAsia" w:hAnsi="宋体"/>
        </w:rPr>
        <w:t>102</w:t>
      </w:r>
      <w:r>
        <w:rPr>
          <w:rFonts w:hint="eastAsia" w:hAnsi="宋体"/>
        </w:rPr>
        <w:fldChar w:fldCharType="end"/>
      </w:r>
      <w:r>
        <w:rPr>
          <w:rFonts w:hint="eastAsia" w:hAnsi="宋体"/>
        </w:rPr>
        <w:fldChar w:fldCharType="end"/>
      </w:r>
    </w:p>
    <w:p w14:paraId="4A833719">
      <w:pPr>
        <w:pStyle w:val="15"/>
        <w:tabs>
          <w:tab w:val="right" w:leader="dot" w:pos="8844"/>
        </w:tabs>
        <w:ind w:left="480"/>
        <w:rPr>
          <w:rFonts w:hint="eastAsia" w:hAnsi="宋体"/>
        </w:rPr>
      </w:pPr>
      <w:r>
        <w:fldChar w:fldCharType="begin"/>
      </w:r>
      <w:r>
        <w:instrText xml:space="preserve"> HYPERLINK \l "_Toc16239" </w:instrText>
      </w:r>
      <w:r>
        <w:fldChar w:fldCharType="separate"/>
      </w:r>
      <w:r>
        <w:rPr>
          <w:rFonts w:hint="eastAsia" w:hAnsi="宋体"/>
          <w:bCs/>
          <w:szCs w:val="21"/>
        </w:rPr>
        <w:t>格式七 投标人基本情况表</w:t>
      </w:r>
      <w:r>
        <w:rPr>
          <w:rFonts w:hint="eastAsia" w:hAnsi="宋体"/>
        </w:rPr>
        <w:tab/>
      </w:r>
      <w:r>
        <w:rPr>
          <w:rFonts w:hint="eastAsia" w:hAnsi="宋体"/>
        </w:rPr>
        <w:fldChar w:fldCharType="begin"/>
      </w:r>
      <w:r>
        <w:rPr>
          <w:rFonts w:hint="eastAsia" w:hAnsi="宋体"/>
        </w:rPr>
        <w:instrText xml:space="preserve"> PAGEREF _Toc16239 \h </w:instrText>
      </w:r>
      <w:r>
        <w:rPr>
          <w:rFonts w:hint="eastAsia" w:hAnsi="宋体"/>
        </w:rPr>
        <w:fldChar w:fldCharType="separate"/>
      </w:r>
      <w:r>
        <w:rPr>
          <w:rFonts w:hint="eastAsia" w:hAnsi="宋体"/>
        </w:rPr>
        <w:t>104</w:t>
      </w:r>
      <w:r>
        <w:rPr>
          <w:rFonts w:hint="eastAsia" w:hAnsi="宋体"/>
        </w:rPr>
        <w:fldChar w:fldCharType="end"/>
      </w:r>
      <w:r>
        <w:rPr>
          <w:rFonts w:hint="eastAsia" w:hAnsi="宋体"/>
        </w:rPr>
        <w:fldChar w:fldCharType="end"/>
      </w:r>
    </w:p>
    <w:p w14:paraId="26E59486">
      <w:pPr>
        <w:pStyle w:val="15"/>
        <w:tabs>
          <w:tab w:val="right" w:leader="dot" w:pos="8844"/>
        </w:tabs>
        <w:ind w:left="480"/>
        <w:rPr>
          <w:rFonts w:hint="eastAsia" w:hAnsi="宋体"/>
        </w:rPr>
      </w:pPr>
      <w:r>
        <w:fldChar w:fldCharType="begin"/>
      </w:r>
      <w:r>
        <w:instrText xml:space="preserve"> HYPERLINK \l "_Toc4592" </w:instrText>
      </w:r>
      <w:r>
        <w:fldChar w:fldCharType="separate"/>
      </w:r>
      <w:r>
        <w:rPr>
          <w:rFonts w:hint="eastAsia" w:hAnsi="宋体"/>
          <w:bCs/>
          <w:szCs w:val="21"/>
        </w:rPr>
        <w:t>格式八 项目经理简历表</w:t>
      </w:r>
      <w:r>
        <w:rPr>
          <w:rFonts w:hint="eastAsia" w:hAnsi="宋体"/>
        </w:rPr>
        <w:tab/>
      </w:r>
      <w:r>
        <w:rPr>
          <w:rFonts w:hint="eastAsia" w:hAnsi="宋体"/>
        </w:rPr>
        <w:fldChar w:fldCharType="begin"/>
      </w:r>
      <w:r>
        <w:rPr>
          <w:rFonts w:hint="eastAsia" w:hAnsi="宋体"/>
        </w:rPr>
        <w:instrText xml:space="preserve"> PAGEREF _Toc4592 \h </w:instrText>
      </w:r>
      <w:r>
        <w:rPr>
          <w:rFonts w:hint="eastAsia" w:hAnsi="宋体"/>
        </w:rPr>
        <w:fldChar w:fldCharType="separate"/>
      </w:r>
      <w:r>
        <w:rPr>
          <w:rFonts w:hint="eastAsia" w:hAnsi="宋体"/>
        </w:rPr>
        <w:t>105</w:t>
      </w:r>
      <w:r>
        <w:rPr>
          <w:rFonts w:hint="eastAsia" w:hAnsi="宋体"/>
        </w:rPr>
        <w:fldChar w:fldCharType="end"/>
      </w:r>
      <w:r>
        <w:rPr>
          <w:rFonts w:hint="eastAsia" w:hAnsi="宋体"/>
        </w:rPr>
        <w:fldChar w:fldCharType="end"/>
      </w:r>
    </w:p>
    <w:p w14:paraId="507F955F">
      <w:pPr>
        <w:pStyle w:val="15"/>
        <w:tabs>
          <w:tab w:val="right" w:leader="dot" w:pos="8844"/>
        </w:tabs>
        <w:ind w:left="480"/>
        <w:rPr>
          <w:rFonts w:hint="eastAsia" w:hAnsi="宋体"/>
        </w:rPr>
      </w:pPr>
      <w:r>
        <w:fldChar w:fldCharType="begin"/>
      </w:r>
      <w:r>
        <w:instrText xml:space="preserve"> HYPERLINK \l "_Toc11322" </w:instrText>
      </w:r>
      <w:r>
        <w:fldChar w:fldCharType="separate"/>
      </w:r>
      <w:r>
        <w:rPr>
          <w:rFonts w:hint="eastAsia" w:hAnsi="宋体"/>
          <w:bCs/>
          <w:kern w:val="0"/>
          <w:szCs w:val="21"/>
        </w:rPr>
        <w:t>格式九 项目经理任职声明</w:t>
      </w:r>
      <w:r>
        <w:rPr>
          <w:rFonts w:hint="eastAsia" w:hAnsi="宋体"/>
        </w:rPr>
        <w:tab/>
      </w:r>
      <w:r>
        <w:rPr>
          <w:rFonts w:hint="eastAsia" w:hAnsi="宋体"/>
        </w:rPr>
        <w:fldChar w:fldCharType="begin"/>
      </w:r>
      <w:r>
        <w:rPr>
          <w:rFonts w:hint="eastAsia" w:hAnsi="宋体"/>
        </w:rPr>
        <w:instrText xml:space="preserve"> PAGEREF _Toc11322 \h </w:instrText>
      </w:r>
      <w:r>
        <w:rPr>
          <w:rFonts w:hint="eastAsia" w:hAnsi="宋体"/>
        </w:rPr>
        <w:fldChar w:fldCharType="separate"/>
      </w:r>
      <w:r>
        <w:rPr>
          <w:rFonts w:hint="eastAsia" w:hAnsi="宋体"/>
        </w:rPr>
        <w:t>106</w:t>
      </w:r>
      <w:r>
        <w:rPr>
          <w:rFonts w:hint="eastAsia" w:hAnsi="宋体"/>
        </w:rPr>
        <w:fldChar w:fldCharType="end"/>
      </w:r>
      <w:r>
        <w:rPr>
          <w:rFonts w:hint="eastAsia" w:hAnsi="宋体"/>
        </w:rPr>
        <w:fldChar w:fldCharType="end"/>
      </w:r>
    </w:p>
    <w:p w14:paraId="49923C4C">
      <w:pPr>
        <w:pStyle w:val="15"/>
        <w:tabs>
          <w:tab w:val="right" w:leader="dot" w:pos="8844"/>
        </w:tabs>
        <w:ind w:left="480"/>
        <w:rPr>
          <w:rFonts w:hint="eastAsia" w:hAnsi="宋体"/>
        </w:rPr>
      </w:pPr>
      <w:r>
        <w:fldChar w:fldCharType="begin"/>
      </w:r>
      <w:r>
        <w:instrText xml:space="preserve"> HYPERLINK \l "_Toc17190" </w:instrText>
      </w:r>
      <w:r>
        <w:fldChar w:fldCharType="separate"/>
      </w:r>
      <w:r>
        <w:rPr>
          <w:rFonts w:hint="eastAsia" w:hAnsi="宋体"/>
          <w:bCs/>
          <w:szCs w:val="21"/>
        </w:rPr>
        <w:t>格式十 项目技术负责人简历表</w:t>
      </w:r>
      <w:r>
        <w:rPr>
          <w:rFonts w:hint="eastAsia" w:hAnsi="宋体"/>
        </w:rPr>
        <w:tab/>
      </w:r>
      <w:r>
        <w:rPr>
          <w:rFonts w:hint="eastAsia" w:hAnsi="宋体"/>
        </w:rPr>
        <w:fldChar w:fldCharType="begin"/>
      </w:r>
      <w:r>
        <w:rPr>
          <w:rFonts w:hint="eastAsia" w:hAnsi="宋体"/>
        </w:rPr>
        <w:instrText xml:space="preserve"> PAGEREF _Toc17190 \h </w:instrText>
      </w:r>
      <w:r>
        <w:rPr>
          <w:rFonts w:hint="eastAsia" w:hAnsi="宋体"/>
        </w:rPr>
        <w:fldChar w:fldCharType="separate"/>
      </w:r>
      <w:r>
        <w:rPr>
          <w:rFonts w:hint="eastAsia" w:hAnsi="宋体"/>
        </w:rPr>
        <w:t>107</w:t>
      </w:r>
      <w:r>
        <w:rPr>
          <w:rFonts w:hint="eastAsia" w:hAnsi="宋体"/>
        </w:rPr>
        <w:fldChar w:fldCharType="end"/>
      </w:r>
      <w:r>
        <w:rPr>
          <w:rFonts w:hint="eastAsia" w:hAnsi="宋体"/>
        </w:rPr>
        <w:fldChar w:fldCharType="end"/>
      </w:r>
    </w:p>
    <w:p w14:paraId="0A2000D6">
      <w:pPr>
        <w:pStyle w:val="15"/>
        <w:tabs>
          <w:tab w:val="right" w:leader="dot" w:pos="8844"/>
        </w:tabs>
        <w:ind w:left="480"/>
        <w:rPr>
          <w:rFonts w:hint="eastAsia" w:hAnsi="宋体"/>
        </w:rPr>
      </w:pPr>
      <w:r>
        <w:fldChar w:fldCharType="begin"/>
      </w:r>
      <w:r>
        <w:instrText xml:space="preserve"> HYPERLINK \l "_Toc15225" </w:instrText>
      </w:r>
      <w:r>
        <w:fldChar w:fldCharType="separate"/>
      </w:r>
      <w:r>
        <w:rPr>
          <w:rFonts w:hint="eastAsia" w:hAnsi="宋体"/>
          <w:bCs/>
          <w:szCs w:val="21"/>
        </w:rPr>
        <w:t>格式十一 专职安全员简历表</w:t>
      </w:r>
      <w:r>
        <w:rPr>
          <w:rFonts w:hint="eastAsia" w:hAnsi="宋体"/>
        </w:rPr>
        <w:tab/>
      </w:r>
      <w:r>
        <w:rPr>
          <w:rFonts w:hint="eastAsia" w:hAnsi="宋体"/>
        </w:rPr>
        <w:fldChar w:fldCharType="begin"/>
      </w:r>
      <w:r>
        <w:rPr>
          <w:rFonts w:hint="eastAsia" w:hAnsi="宋体"/>
        </w:rPr>
        <w:instrText xml:space="preserve"> PAGEREF _Toc15225 \h </w:instrText>
      </w:r>
      <w:r>
        <w:rPr>
          <w:rFonts w:hint="eastAsia" w:hAnsi="宋体"/>
        </w:rPr>
        <w:fldChar w:fldCharType="separate"/>
      </w:r>
      <w:r>
        <w:rPr>
          <w:rFonts w:hint="eastAsia" w:hAnsi="宋体"/>
        </w:rPr>
        <w:t>108</w:t>
      </w:r>
      <w:r>
        <w:rPr>
          <w:rFonts w:hint="eastAsia" w:hAnsi="宋体"/>
        </w:rPr>
        <w:fldChar w:fldCharType="end"/>
      </w:r>
      <w:r>
        <w:rPr>
          <w:rFonts w:hint="eastAsia" w:hAnsi="宋体"/>
        </w:rPr>
        <w:fldChar w:fldCharType="end"/>
      </w:r>
    </w:p>
    <w:p w14:paraId="08CCC153">
      <w:pPr>
        <w:pStyle w:val="15"/>
        <w:tabs>
          <w:tab w:val="right" w:leader="dot" w:pos="8844"/>
        </w:tabs>
        <w:ind w:left="480"/>
        <w:rPr>
          <w:rFonts w:hint="eastAsia" w:hAnsi="宋体"/>
        </w:rPr>
      </w:pPr>
      <w:r>
        <w:fldChar w:fldCharType="begin"/>
      </w:r>
      <w:r>
        <w:instrText xml:space="preserve"> HYPERLINK \l "_Toc4080" </w:instrText>
      </w:r>
      <w:r>
        <w:fldChar w:fldCharType="separate"/>
      </w:r>
      <w:r>
        <w:rPr>
          <w:rFonts w:hint="eastAsia" w:hAnsi="宋体"/>
          <w:bCs/>
          <w:szCs w:val="21"/>
        </w:rPr>
        <w:t>格式十二 项目管理机构组成表</w:t>
      </w:r>
      <w:r>
        <w:rPr>
          <w:rFonts w:hint="eastAsia" w:hAnsi="宋体"/>
        </w:rPr>
        <w:tab/>
      </w:r>
      <w:r>
        <w:rPr>
          <w:rFonts w:hint="eastAsia" w:hAnsi="宋体"/>
        </w:rPr>
        <w:fldChar w:fldCharType="begin"/>
      </w:r>
      <w:r>
        <w:rPr>
          <w:rFonts w:hint="eastAsia" w:hAnsi="宋体"/>
        </w:rPr>
        <w:instrText xml:space="preserve"> PAGEREF _Toc4080 \h </w:instrText>
      </w:r>
      <w:r>
        <w:rPr>
          <w:rFonts w:hint="eastAsia" w:hAnsi="宋体"/>
        </w:rPr>
        <w:fldChar w:fldCharType="separate"/>
      </w:r>
      <w:r>
        <w:rPr>
          <w:rFonts w:hint="eastAsia" w:hAnsi="宋体"/>
        </w:rPr>
        <w:t>109</w:t>
      </w:r>
      <w:r>
        <w:rPr>
          <w:rFonts w:hint="eastAsia" w:hAnsi="宋体"/>
        </w:rPr>
        <w:fldChar w:fldCharType="end"/>
      </w:r>
      <w:r>
        <w:rPr>
          <w:rFonts w:hint="eastAsia" w:hAnsi="宋体"/>
        </w:rPr>
        <w:fldChar w:fldCharType="end"/>
      </w:r>
    </w:p>
    <w:p w14:paraId="32214DBE">
      <w:pPr>
        <w:pStyle w:val="15"/>
        <w:tabs>
          <w:tab w:val="right" w:leader="dot" w:pos="8844"/>
        </w:tabs>
        <w:ind w:left="480"/>
        <w:rPr>
          <w:rFonts w:hint="eastAsia" w:hAnsi="宋体"/>
        </w:rPr>
      </w:pPr>
      <w:r>
        <w:fldChar w:fldCharType="begin"/>
      </w:r>
      <w:r>
        <w:instrText xml:space="preserve"> HYPERLINK \l "_Toc15402" </w:instrText>
      </w:r>
      <w:r>
        <w:fldChar w:fldCharType="separate"/>
      </w:r>
      <w:r>
        <w:rPr>
          <w:rFonts w:hint="eastAsia" w:hAnsi="宋体"/>
          <w:bCs/>
          <w:szCs w:val="21"/>
        </w:rPr>
        <w:t>格式十三 建造师查询页（有效期+建造师签字）</w:t>
      </w:r>
      <w:r>
        <w:rPr>
          <w:rFonts w:hint="eastAsia" w:hAnsi="宋体"/>
        </w:rPr>
        <w:tab/>
      </w:r>
      <w:r>
        <w:rPr>
          <w:rFonts w:hint="eastAsia" w:hAnsi="宋体"/>
        </w:rPr>
        <w:fldChar w:fldCharType="begin"/>
      </w:r>
      <w:r>
        <w:rPr>
          <w:rFonts w:hint="eastAsia" w:hAnsi="宋体"/>
        </w:rPr>
        <w:instrText xml:space="preserve"> PAGEREF _Toc15402 \h </w:instrText>
      </w:r>
      <w:r>
        <w:rPr>
          <w:rFonts w:hint="eastAsia" w:hAnsi="宋体"/>
        </w:rPr>
        <w:fldChar w:fldCharType="separate"/>
      </w:r>
      <w:r>
        <w:rPr>
          <w:rFonts w:hint="eastAsia" w:hAnsi="宋体"/>
        </w:rPr>
        <w:t>110</w:t>
      </w:r>
      <w:r>
        <w:rPr>
          <w:rFonts w:hint="eastAsia" w:hAnsi="宋体"/>
        </w:rPr>
        <w:fldChar w:fldCharType="end"/>
      </w:r>
      <w:r>
        <w:rPr>
          <w:rFonts w:hint="eastAsia" w:hAnsi="宋体"/>
        </w:rPr>
        <w:fldChar w:fldCharType="end"/>
      </w:r>
    </w:p>
    <w:p w14:paraId="42B03B87">
      <w:pPr>
        <w:pStyle w:val="15"/>
        <w:tabs>
          <w:tab w:val="right" w:leader="dot" w:pos="8844"/>
        </w:tabs>
        <w:ind w:left="480"/>
        <w:rPr>
          <w:rFonts w:hint="eastAsia" w:hAnsi="宋体"/>
        </w:rPr>
      </w:pPr>
      <w:r>
        <w:fldChar w:fldCharType="begin"/>
      </w:r>
      <w:r>
        <w:instrText xml:space="preserve"> HYPERLINK \l "_Toc21705" </w:instrText>
      </w:r>
      <w:r>
        <w:fldChar w:fldCharType="separate"/>
      </w:r>
      <w:r>
        <w:rPr>
          <w:rFonts w:hint="eastAsia" w:hAnsi="宋体"/>
          <w:bCs/>
          <w:szCs w:val="21"/>
        </w:rPr>
        <w:t>格式十四 危险性较大的分部分项工程清单及超过一定规模的危险性较大的分部分项工程清单</w:t>
      </w:r>
      <w:r>
        <w:rPr>
          <w:rFonts w:hint="eastAsia" w:hAnsi="宋体"/>
        </w:rPr>
        <w:tab/>
      </w:r>
      <w:r>
        <w:rPr>
          <w:rFonts w:hint="eastAsia" w:hAnsi="宋体"/>
        </w:rPr>
        <w:fldChar w:fldCharType="begin"/>
      </w:r>
      <w:r>
        <w:rPr>
          <w:rFonts w:hint="eastAsia" w:hAnsi="宋体"/>
        </w:rPr>
        <w:instrText xml:space="preserve"> PAGEREF _Toc21705 \h </w:instrText>
      </w:r>
      <w:r>
        <w:rPr>
          <w:rFonts w:hint="eastAsia" w:hAnsi="宋体"/>
        </w:rPr>
        <w:fldChar w:fldCharType="separate"/>
      </w:r>
      <w:r>
        <w:rPr>
          <w:rFonts w:hint="eastAsia" w:hAnsi="宋体"/>
        </w:rPr>
        <w:t>111</w:t>
      </w:r>
      <w:r>
        <w:rPr>
          <w:rFonts w:hint="eastAsia" w:hAnsi="宋体"/>
        </w:rPr>
        <w:fldChar w:fldCharType="end"/>
      </w:r>
      <w:r>
        <w:rPr>
          <w:rFonts w:hint="eastAsia" w:hAnsi="宋体"/>
        </w:rPr>
        <w:fldChar w:fldCharType="end"/>
      </w:r>
    </w:p>
    <w:p w14:paraId="7DE88B26">
      <w:pPr>
        <w:pStyle w:val="15"/>
        <w:tabs>
          <w:tab w:val="right" w:leader="dot" w:pos="8844"/>
        </w:tabs>
        <w:ind w:left="480"/>
        <w:rPr>
          <w:rFonts w:hint="eastAsia" w:hAnsi="宋体"/>
        </w:rPr>
      </w:pPr>
      <w:r>
        <w:fldChar w:fldCharType="begin"/>
      </w:r>
      <w:r>
        <w:instrText xml:space="preserve"> HYPERLINK \l "_Toc9333" </w:instrText>
      </w:r>
      <w:r>
        <w:fldChar w:fldCharType="separate"/>
      </w:r>
      <w:r>
        <w:rPr>
          <w:rFonts w:hint="eastAsia" w:hAnsi="宋体"/>
          <w:bCs/>
          <w:szCs w:val="21"/>
        </w:rPr>
        <w:t>格式十五 原件一览表</w:t>
      </w:r>
      <w:r>
        <w:rPr>
          <w:rFonts w:hint="eastAsia" w:hAnsi="宋体"/>
        </w:rPr>
        <w:tab/>
      </w:r>
      <w:r>
        <w:rPr>
          <w:rFonts w:hint="eastAsia" w:hAnsi="宋体"/>
        </w:rPr>
        <w:fldChar w:fldCharType="begin"/>
      </w:r>
      <w:r>
        <w:rPr>
          <w:rFonts w:hint="eastAsia" w:hAnsi="宋体"/>
        </w:rPr>
        <w:instrText xml:space="preserve"> PAGEREF _Toc9333 \h </w:instrText>
      </w:r>
      <w:r>
        <w:rPr>
          <w:rFonts w:hint="eastAsia" w:hAnsi="宋体"/>
        </w:rPr>
        <w:fldChar w:fldCharType="separate"/>
      </w:r>
      <w:r>
        <w:rPr>
          <w:rFonts w:hint="eastAsia" w:hAnsi="宋体"/>
        </w:rPr>
        <w:t>115</w:t>
      </w:r>
      <w:r>
        <w:rPr>
          <w:rFonts w:hint="eastAsia" w:hAnsi="宋体"/>
        </w:rPr>
        <w:fldChar w:fldCharType="end"/>
      </w:r>
      <w:r>
        <w:rPr>
          <w:rFonts w:hint="eastAsia" w:hAnsi="宋体"/>
        </w:rPr>
        <w:fldChar w:fldCharType="end"/>
      </w:r>
    </w:p>
    <w:p w14:paraId="5D2F1A3A">
      <w:pPr>
        <w:pStyle w:val="14"/>
        <w:tabs>
          <w:tab w:val="right" w:leader="dot" w:pos="8844"/>
        </w:tabs>
        <w:rPr>
          <w:rFonts w:hint="eastAsia" w:hAnsi="宋体"/>
        </w:rPr>
      </w:pPr>
      <w:r>
        <w:fldChar w:fldCharType="begin"/>
      </w:r>
      <w:r>
        <w:instrText xml:space="preserve"> HYPERLINK \l "_Toc21644" </w:instrText>
      </w:r>
      <w:r>
        <w:fldChar w:fldCharType="separate"/>
      </w:r>
      <w:r>
        <w:rPr>
          <w:rFonts w:hint="eastAsia" w:hAnsi="宋体"/>
          <w:bCs/>
        </w:rPr>
        <w:t>第七章 定标文件格式</w:t>
      </w:r>
      <w:r>
        <w:rPr>
          <w:rFonts w:hint="eastAsia" w:hAnsi="宋体"/>
        </w:rPr>
        <w:tab/>
      </w:r>
      <w:r>
        <w:rPr>
          <w:rFonts w:hint="eastAsia" w:hAnsi="宋体"/>
        </w:rPr>
        <w:fldChar w:fldCharType="begin"/>
      </w:r>
      <w:r>
        <w:rPr>
          <w:rFonts w:hint="eastAsia" w:hAnsi="宋体"/>
        </w:rPr>
        <w:instrText xml:space="preserve"> PAGEREF _Toc21644 \h </w:instrText>
      </w:r>
      <w:r>
        <w:rPr>
          <w:rFonts w:hint="eastAsia" w:hAnsi="宋体"/>
        </w:rPr>
        <w:fldChar w:fldCharType="separate"/>
      </w:r>
      <w:r>
        <w:rPr>
          <w:rFonts w:hint="eastAsia" w:hAnsi="宋体"/>
        </w:rPr>
        <w:t>116</w:t>
      </w:r>
      <w:r>
        <w:rPr>
          <w:rFonts w:hint="eastAsia" w:hAnsi="宋体"/>
        </w:rPr>
        <w:fldChar w:fldCharType="end"/>
      </w:r>
      <w:r>
        <w:rPr>
          <w:rFonts w:hint="eastAsia" w:hAnsi="宋体"/>
        </w:rPr>
        <w:fldChar w:fldCharType="end"/>
      </w:r>
    </w:p>
    <w:p w14:paraId="730E12C9">
      <w:pPr>
        <w:pStyle w:val="15"/>
        <w:tabs>
          <w:tab w:val="right" w:leader="dot" w:pos="8844"/>
        </w:tabs>
        <w:ind w:left="480"/>
        <w:rPr>
          <w:rFonts w:hint="eastAsia" w:hAnsi="宋体"/>
        </w:rPr>
      </w:pPr>
      <w:r>
        <w:fldChar w:fldCharType="begin"/>
      </w:r>
      <w:r>
        <w:instrText xml:space="preserve"> HYPERLINK \l "_Toc25574" </w:instrText>
      </w:r>
      <w:r>
        <w:fldChar w:fldCharType="separate"/>
      </w:r>
      <w:r>
        <w:rPr>
          <w:rFonts w:hint="eastAsia" w:hAnsi="宋体"/>
          <w:bCs/>
          <w:szCs w:val="21"/>
        </w:rPr>
        <w:t>格式十六 定标文件封面</w:t>
      </w:r>
      <w:r>
        <w:rPr>
          <w:rFonts w:hint="eastAsia" w:hAnsi="宋体"/>
        </w:rPr>
        <w:tab/>
      </w:r>
      <w:r>
        <w:rPr>
          <w:rFonts w:hint="eastAsia" w:hAnsi="宋体"/>
        </w:rPr>
        <w:fldChar w:fldCharType="begin"/>
      </w:r>
      <w:r>
        <w:rPr>
          <w:rFonts w:hint="eastAsia" w:hAnsi="宋体"/>
        </w:rPr>
        <w:instrText xml:space="preserve"> PAGEREF _Toc25574 \h </w:instrText>
      </w:r>
      <w:r>
        <w:rPr>
          <w:rFonts w:hint="eastAsia" w:hAnsi="宋体"/>
        </w:rPr>
        <w:fldChar w:fldCharType="separate"/>
      </w:r>
      <w:r>
        <w:rPr>
          <w:rFonts w:hint="eastAsia" w:hAnsi="宋体"/>
        </w:rPr>
        <w:t>116</w:t>
      </w:r>
      <w:r>
        <w:rPr>
          <w:rFonts w:hint="eastAsia" w:hAnsi="宋体"/>
        </w:rPr>
        <w:fldChar w:fldCharType="end"/>
      </w:r>
      <w:r>
        <w:rPr>
          <w:rFonts w:hint="eastAsia" w:hAnsi="宋体"/>
        </w:rPr>
        <w:fldChar w:fldCharType="end"/>
      </w:r>
    </w:p>
    <w:p w14:paraId="7DF3A28D">
      <w:pPr>
        <w:pStyle w:val="15"/>
        <w:tabs>
          <w:tab w:val="right" w:leader="dot" w:pos="8844"/>
        </w:tabs>
        <w:ind w:left="480"/>
        <w:rPr>
          <w:rFonts w:hint="eastAsia" w:hAnsi="宋体"/>
        </w:rPr>
      </w:pPr>
      <w:r>
        <w:fldChar w:fldCharType="begin"/>
      </w:r>
      <w:r>
        <w:instrText xml:space="preserve"> HYPERLINK \l "_Toc8230" </w:instrText>
      </w:r>
      <w:r>
        <w:fldChar w:fldCharType="separate"/>
      </w:r>
      <w:r>
        <w:rPr>
          <w:rFonts w:hint="eastAsia" w:hAnsi="宋体"/>
          <w:bCs/>
          <w:szCs w:val="21"/>
        </w:rPr>
        <w:t>格式十七 助力项目承诺书</w:t>
      </w:r>
      <w:r>
        <w:rPr>
          <w:rFonts w:hint="eastAsia" w:hAnsi="宋体"/>
        </w:rPr>
        <w:tab/>
      </w:r>
      <w:r>
        <w:rPr>
          <w:rFonts w:hint="eastAsia" w:hAnsi="宋体"/>
        </w:rPr>
        <w:fldChar w:fldCharType="begin"/>
      </w:r>
      <w:r>
        <w:rPr>
          <w:rFonts w:hint="eastAsia" w:hAnsi="宋体"/>
        </w:rPr>
        <w:instrText xml:space="preserve"> PAGEREF _Toc8230 \h </w:instrText>
      </w:r>
      <w:r>
        <w:rPr>
          <w:rFonts w:hint="eastAsia" w:hAnsi="宋体"/>
        </w:rPr>
        <w:fldChar w:fldCharType="separate"/>
      </w:r>
      <w:r>
        <w:rPr>
          <w:rFonts w:hint="eastAsia" w:hAnsi="宋体"/>
        </w:rPr>
        <w:t>117</w:t>
      </w:r>
      <w:r>
        <w:rPr>
          <w:rFonts w:hint="eastAsia" w:hAnsi="宋体"/>
        </w:rPr>
        <w:fldChar w:fldCharType="end"/>
      </w:r>
      <w:r>
        <w:rPr>
          <w:rFonts w:hint="eastAsia" w:hAnsi="宋体"/>
        </w:rPr>
        <w:fldChar w:fldCharType="end"/>
      </w:r>
    </w:p>
    <w:p w14:paraId="06AFED0B">
      <w:pPr>
        <w:pStyle w:val="15"/>
        <w:tabs>
          <w:tab w:val="right" w:leader="dot" w:pos="8844"/>
        </w:tabs>
        <w:ind w:left="480"/>
        <w:rPr>
          <w:rFonts w:hint="eastAsia" w:hAnsi="宋体"/>
        </w:rPr>
      </w:pPr>
      <w:r>
        <w:fldChar w:fldCharType="begin"/>
      </w:r>
      <w:r>
        <w:instrText xml:space="preserve"> HYPERLINK \l "_Toc4331" </w:instrText>
      </w:r>
      <w:r>
        <w:fldChar w:fldCharType="separate"/>
      </w:r>
      <w:r>
        <w:rPr>
          <w:rFonts w:hint="eastAsia" w:hAnsi="宋体"/>
          <w:bCs/>
          <w:szCs w:val="21"/>
        </w:rPr>
        <w:t>格式十八 定标因素评审资料</w:t>
      </w:r>
      <w:r>
        <w:rPr>
          <w:rFonts w:hint="eastAsia" w:hAnsi="宋体"/>
        </w:rPr>
        <w:tab/>
      </w:r>
      <w:r>
        <w:rPr>
          <w:rFonts w:hint="eastAsia" w:hAnsi="宋体"/>
        </w:rPr>
        <w:fldChar w:fldCharType="begin"/>
      </w:r>
      <w:r>
        <w:rPr>
          <w:rFonts w:hint="eastAsia" w:hAnsi="宋体"/>
        </w:rPr>
        <w:instrText xml:space="preserve"> PAGEREF _Toc4331 \h </w:instrText>
      </w:r>
      <w:r>
        <w:rPr>
          <w:rFonts w:hint="eastAsia" w:hAnsi="宋体"/>
        </w:rPr>
        <w:fldChar w:fldCharType="separate"/>
      </w:r>
      <w:r>
        <w:rPr>
          <w:rFonts w:hint="eastAsia" w:hAnsi="宋体"/>
        </w:rPr>
        <w:t>118</w:t>
      </w:r>
      <w:r>
        <w:rPr>
          <w:rFonts w:hint="eastAsia" w:hAnsi="宋体"/>
        </w:rPr>
        <w:fldChar w:fldCharType="end"/>
      </w:r>
      <w:r>
        <w:rPr>
          <w:rFonts w:hint="eastAsia" w:hAnsi="宋体"/>
        </w:rPr>
        <w:fldChar w:fldCharType="end"/>
      </w:r>
    </w:p>
    <w:p w14:paraId="26256F2D">
      <w:pPr>
        <w:pStyle w:val="14"/>
        <w:tabs>
          <w:tab w:val="right" w:leader="dot" w:pos="8844"/>
        </w:tabs>
        <w:rPr>
          <w:rFonts w:hint="eastAsia" w:hAnsi="宋体"/>
        </w:rPr>
      </w:pPr>
      <w:r>
        <w:fldChar w:fldCharType="begin"/>
      </w:r>
      <w:r>
        <w:instrText xml:space="preserve"> HYPERLINK \l "_Toc24765" </w:instrText>
      </w:r>
      <w:r>
        <w:fldChar w:fldCharType="separate"/>
      </w:r>
      <w:r>
        <w:rPr>
          <w:rFonts w:hint="eastAsia" w:hAnsi="宋体"/>
          <w:bCs/>
        </w:rPr>
        <w:t>第八章 建设工程施工合同</w:t>
      </w:r>
      <w:r>
        <w:rPr>
          <w:rFonts w:hint="eastAsia" w:hAnsi="宋体"/>
        </w:rPr>
        <w:tab/>
      </w:r>
      <w:r>
        <w:rPr>
          <w:rFonts w:hint="eastAsia" w:hAnsi="宋体"/>
        </w:rPr>
        <w:fldChar w:fldCharType="begin"/>
      </w:r>
      <w:r>
        <w:rPr>
          <w:rFonts w:hint="eastAsia" w:hAnsi="宋体"/>
        </w:rPr>
        <w:instrText xml:space="preserve"> PAGEREF _Toc24765 \h </w:instrText>
      </w:r>
      <w:r>
        <w:rPr>
          <w:rFonts w:hint="eastAsia" w:hAnsi="宋体"/>
        </w:rPr>
        <w:fldChar w:fldCharType="separate"/>
      </w:r>
      <w:r>
        <w:rPr>
          <w:rFonts w:hint="eastAsia" w:hAnsi="宋体"/>
        </w:rPr>
        <w:t>119</w:t>
      </w:r>
      <w:r>
        <w:rPr>
          <w:rFonts w:hint="eastAsia" w:hAnsi="宋体"/>
        </w:rPr>
        <w:fldChar w:fldCharType="end"/>
      </w:r>
      <w:r>
        <w:rPr>
          <w:rFonts w:hint="eastAsia" w:hAnsi="宋体"/>
        </w:rPr>
        <w:fldChar w:fldCharType="end"/>
      </w:r>
    </w:p>
    <w:p w14:paraId="0526E353">
      <w:pPr>
        <w:rPr>
          <w:rStyle w:val="28"/>
          <w:rFonts w:hint="eastAsia" w:hAnsi="宋体"/>
        </w:rPr>
      </w:pPr>
      <w:r>
        <w:rPr>
          <w:rFonts w:hint="eastAsia" w:hAnsi="宋体"/>
        </w:rPr>
        <w:fldChar w:fldCharType="end"/>
      </w:r>
    </w:p>
    <w:p w14:paraId="3FEB8FB0">
      <w:pPr>
        <w:pStyle w:val="30"/>
        <w:spacing w:line="360" w:lineRule="auto"/>
        <w:rPr>
          <w:rStyle w:val="28"/>
          <w:rFonts w:hint="eastAsia" w:hAnsi="宋体"/>
        </w:rPr>
        <w:sectPr>
          <w:footerReference r:id="rId6" w:type="default"/>
          <w:endnotePr>
            <w:numFmt w:val="decimal"/>
          </w:endnotePr>
          <w:pgSz w:w="11906" w:h="16838"/>
          <w:pgMar w:top="1247" w:right="1531" w:bottom="1276" w:left="1531" w:header="850" w:footer="547" w:gutter="0"/>
          <w:pgNumType w:start="1"/>
          <w:cols w:space="720" w:num="1"/>
          <w:docGrid w:linePitch="327" w:charSpace="0"/>
        </w:sectPr>
      </w:pPr>
    </w:p>
    <w:p w14:paraId="4AF4370B">
      <w:pPr>
        <w:pStyle w:val="31"/>
        <w:snapToGrid w:val="0"/>
        <w:jc w:val="center"/>
        <w:outlineLvl w:val="0"/>
        <w:rPr>
          <w:rStyle w:val="28"/>
          <w:rFonts w:hint="eastAsia" w:hAnsi="宋体"/>
          <w:b/>
          <w:bCs/>
          <w:sz w:val="24"/>
          <w:szCs w:val="24"/>
        </w:rPr>
      </w:pPr>
      <w:bookmarkStart w:id="0" w:name="_Toc6102"/>
      <w:bookmarkStart w:id="1" w:name="_Toc16198"/>
      <w:bookmarkStart w:id="2" w:name="_Toc4903"/>
      <w:bookmarkStart w:id="3" w:name="_Toc7086"/>
      <w:bookmarkStart w:id="4" w:name="_Toc17047"/>
      <w:bookmarkStart w:id="5" w:name="_Toc53"/>
      <w:bookmarkStart w:id="6" w:name="_Toc23635"/>
      <w:bookmarkStart w:id="7" w:name="_Toc4493"/>
      <w:bookmarkStart w:id="8" w:name="_Toc4058"/>
      <w:bookmarkStart w:id="9" w:name="_Toc25664"/>
      <w:bookmarkStart w:id="10" w:name="_Toc30953"/>
      <w:bookmarkStart w:id="11" w:name="_Toc11284"/>
      <w:bookmarkStart w:id="12" w:name="_Toc10328"/>
      <w:r>
        <w:rPr>
          <w:rStyle w:val="28"/>
          <w:rFonts w:hint="eastAsia" w:hAnsi="宋体"/>
          <w:b/>
          <w:bCs/>
          <w:sz w:val="24"/>
          <w:szCs w:val="24"/>
        </w:rPr>
        <w:t>第一章 投标人须知</w:t>
      </w:r>
      <w:bookmarkEnd w:id="0"/>
      <w:bookmarkEnd w:id="1"/>
      <w:bookmarkEnd w:id="2"/>
      <w:bookmarkEnd w:id="3"/>
      <w:bookmarkEnd w:id="4"/>
      <w:bookmarkEnd w:id="5"/>
      <w:bookmarkEnd w:id="6"/>
      <w:bookmarkEnd w:id="7"/>
      <w:bookmarkEnd w:id="8"/>
      <w:bookmarkEnd w:id="9"/>
      <w:bookmarkEnd w:id="10"/>
      <w:bookmarkEnd w:id="11"/>
      <w:bookmarkEnd w:id="12"/>
    </w:p>
    <w:p w14:paraId="15F06E40">
      <w:pPr>
        <w:pStyle w:val="32"/>
        <w:snapToGrid w:val="0"/>
        <w:jc w:val="center"/>
        <w:outlineLvl w:val="1"/>
        <w:rPr>
          <w:rStyle w:val="28"/>
          <w:rFonts w:hint="eastAsia" w:hAnsi="宋体"/>
          <w:b/>
          <w:bCs/>
        </w:rPr>
      </w:pPr>
      <w:bookmarkStart w:id="13" w:name="_Toc29644"/>
      <w:bookmarkStart w:id="14" w:name="_Toc25211"/>
      <w:bookmarkStart w:id="15" w:name="_Toc11684"/>
      <w:bookmarkStart w:id="16" w:name="_Toc25451"/>
      <w:bookmarkStart w:id="17" w:name="_Toc21473"/>
      <w:bookmarkStart w:id="18" w:name="_Toc2781"/>
      <w:bookmarkStart w:id="19" w:name="_Toc11271"/>
      <w:bookmarkStart w:id="20" w:name="_Toc12302"/>
      <w:bookmarkStart w:id="21" w:name="_Toc27751"/>
      <w:bookmarkStart w:id="22" w:name="_Toc21683"/>
      <w:bookmarkStart w:id="23" w:name="_Toc29223"/>
      <w:bookmarkStart w:id="24" w:name="_Toc23819"/>
      <w:bookmarkStart w:id="25" w:name="_Toc17236"/>
      <w:r>
        <w:rPr>
          <w:rStyle w:val="28"/>
          <w:rFonts w:hint="eastAsia" w:hAnsi="宋体"/>
          <w:b/>
          <w:bCs/>
        </w:rPr>
        <w:t>第一节 投标人须知前附表</w:t>
      </w:r>
      <w:bookmarkEnd w:id="13"/>
      <w:bookmarkEnd w:id="14"/>
      <w:bookmarkEnd w:id="15"/>
      <w:bookmarkEnd w:id="16"/>
      <w:bookmarkEnd w:id="17"/>
      <w:bookmarkEnd w:id="18"/>
      <w:bookmarkEnd w:id="19"/>
      <w:bookmarkEnd w:id="20"/>
      <w:bookmarkEnd w:id="21"/>
      <w:bookmarkEnd w:id="22"/>
      <w:bookmarkEnd w:id="23"/>
      <w:bookmarkEnd w:id="24"/>
      <w:bookmarkEnd w:id="25"/>
    </w:p>
    <w:tbl>
      <w:tblPr>
        <w:tblStyle w:val="19"/>
        <w:tblW w:w="9705"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58"/>
        <w:gridCol w:w="1577"/>
        <w:gridCol w:w="7370"/>
      </w:tblGrid>
      <w:tr w14:paraId="47475B6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58" w:type="dxa"/>
            <w:tcBorders>
              <w:top w:val="single" w:color="000000" w:sz="4" w:space="0"/>
              <w:bottom w:val="single" w:color="000000" w:sz="4" w:space="0"/>
              <w:right w:val="single" w:color="000000" w:sz="4" w:space="0"/>
            </w:tcBorders>
            <w:vAlign w:val="center"/>
          </w:tcPr>
          <w:p w14:paraId="43C24B24">
            <w:pPr>
              <w:snapToGrid w:val="0"/>
              <w:jc w:val="center"/>
              <w:rPr>
                <w:rStyle w:val="28"/>
                <w:rFonts w:hint="eastAsia" w:hAnsi="宋体"/>
                <w:kern w:val="0"/>
              </w:rPr>
            </w:pPr>
            <w:r>
              <w:rPr>
                <w:rStyle w:val="28"/>
                <w:rFonts w:hint="eastAsia" w:hAnsi="宋体"/>
                <w:kern w:val="0"/>
              </w:rPr>
              <w:t>序号</w:t>
            </w:r>
          </w:p>
        </w:tc>
        <w:tc>
          <w:tcPr>
            <w:tcW w:w="1577" w:type="dxa"/>
            <w:tcBorders>
              <w:top w:val="single" w:color="000000" w:sz="4" w:space="0"/>
              <w:left w:val="single" w:color="000000" w:sz="4" w:space="0"/>
              <w:bottom w:val="single" w:color="000000" w:sz="4" w:space="0"/>
              <w:right w:val="single" w:color="000000" w:sz="4" w:space="0"/>
            </w:tcBorders>
            <w:vAlign w:val="center"/>
          </w:tcPr>
          <w:p w14:paraId="0FC97F45">
            <w:pPr>
              <w:snapToGrid w:val="0"/>
              <w:jc w:val="center"/>
              <w:rPr>
                <w:rStyle w:val="28"/>
                <w:rFonts w:hint="eastAsia" w:hAnsi="宋体"/>
                <w:kern w:val="0"/>
              </w:rPr>
            </w:pPr>
            <w:r>
              <w:rPr>
                <w:rStyle w:val="28"/>
                <w:rFonts w:hint="eastAsia" w:hAnsi="宋体"/>
                <w:kern w:val="0"/>
              </w:rPr>
              <w:t>内容</w:t>
            </w:r>
          </w:p>
        </w:tc>
        <w:tc>
          <w:tcPr>
            <w:tcW w:w="7370" w:type="dxa"/>
            <w:tcBorders>
              <w:top w:val="single" w:color="000000" w:sz="4" w:space="0"/>
              <w:left w:val="single" w:color="000000" w:sz="4" w:space="0"/>
              <w:bottom w:val="single" w:color="000000" w:sz="4" w:space="0"/>
            </w:tcBorders>
            <w:vAlign w:val="center"/>
          </w:tcPr>
          <w:p w14:paraId="40242FB7">
            <w:pPr>
              <w:tabs>
                <w:tab w:val="left" w:pos="1180"/>
              </w:tabs>
              <w:snapToGrid w:val="0"/>
              <w:jc w:val="center"/>
              <w:rPr>
                <w:rStyle w:val="28"/>
                <w:rFonts w:hint="eastAsia" w:hAnsi="宋体"/>
                <w:kern w:val="0"/>
              </w:rPr>
            </w:pPr>
            <w:r>
              <w:rPr>
                <w:rStyle w:val="28"/>
                <w:rFonts w:hint="eastAsia" w:hAnsi="宋体"/>
                <w:kern w:val="0"/>
              </w:rPr>
              <w:t>说明与要求</w:t>
            </w:r>
          </w:p>
        </w:tc>
      </w:tr>
      <w:tr w14:paraId="435BC6F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35" w:hRule="atLeast"/>
          <w:jc w:val="center"/>
        </w:trPr>
        <w:tc>
          <w:tcPr>
            <w:tcW w:w="758" w:type="dxa"/>
            <w:tcBorders>
              <w:top w:val="single" w:color="000000" w:sz="4" w:space="0"/>
              <w:bottom w:val="single" w:color="000000" w:sz="4" w:space="0"/>
              <w:right w:val="single" w:color="000000" w:sz="4" w:space="0"/>
            </w:tcBorders>
            <w:vAlign w:val="center"/>
          </w:tcPr>
          <w:p w14:paraId="178AECD8">
            <w:pPr>
              <w:snapToGrid w:val="0"/>
              <w:jc w:val="center"/>
              <w:rPr>
                <w:rStyle w:val="28"/>
                <w:rFonts w:hint="eastAsia" w:hAnsi="宋体"/>
                <w:kern w:val="0"/>
              </w:rPr>
            </w:pPr>
            <w:r>
              <w:rPr>
                <w:rStyle w:val="28"/>
                <w:rFonts w:hint="eastAsia" w:hAnsi="宋体"/>
                <w:kern w:val="0"/>
              </w:rPr>
              <w:t>1</w:t>
            </w:r>
          </w:p>
        </w:tc>
        <w:tc>
          <w:tcPr>
            <w:tcW w:w="1577" w:type="dxa"/>
            <w:tcBorders>
              <w:top w:val="single" w:color="000000" w:sz="4" w:space="0"/>
              <w:left w:val="single" w:color="000000" w:sz="4" w:space="0"/>
              <w:bottom w:val="single" w:color="000000" w:sz="4" w:space="0"/>
              <w:right w:val="single" w:color="000000" w:sz="4" w:space="0"/>
            </w:tcBorders>
            <w:vAlign w:val="center"/>
          </w:tcPr>
          <w:p w14:paraId="47ACCD32">
            <w:pPr>
              <w:snapToGrid w:val="0"/>
              <w:jc w:val="center"/>
              <w:rPr>
                <w:rStyle w:val="28"/>
                <w:rFonts w:hint="eastAsia" w:hAnsi="宋体"/>
                <w:kern w:val="0"/>
              </w:rPr>
            </w:pPr>
            <w:r>
              <w:rPr>
                <w:rStyle w:val="28"/>
                <w:rFonts w:hint="eastAsia" w:hAnsi="宋体"/>
                <w:kern w:val="0"/>
              </w:rPr>
              <w:t>工程名称</w:t>
            </w:r>
          </w:p>
        </w:tc>
        <w:tc>
          <w:tcPr>
            <w:tcW w:w="7370" w:type="dxa"/>
            <w:tcBorders>
              <w:top w:val="single" w:color="000000" w:sz="4" w:space="0"/>
              <w:left w:val="single" w:color="000000" w:sz="4" w:space="0"/>
              <w:bottom w:val="single" w:color="000000" w:sz="4" w:space="0"/>
            </w:tcBorders>
            <w:vAlign w:val="center"/>
          </w:tcPr>
          <w:p w14:paraId="4B48CFE1">
            <w:pPr>
              <w:wordWrap w:val="0"/>
              <w:adjustRightInd w:val="0"/>
              <w:snapToGrid w:val="0"/>
              <w:rPr>
                <w:rStyle w:val="28"/>
                <w:rFonts w:hint="eastAsia" w:hAnsi="宋体"/>
                <w:kern w:val="0"/>
              </w:rPr>
            </w:pPr>
            <w:r>
              <w:rPr>
                <w:rFonts w:hint="eastAsia" w:hAnsi="宋体"/>
                <w:snapToGrid w:val="0"/>
                <w:kern w:val="0"/>
              </w:rPr>
              <w:t>数据要素集聚区（一期）项目之数据要素集聚区（一期）产业园区建设项目装修施工</w:t>
            </w:r>
          </w:p>
        </w:tc>
      </w:tr>
      <w:tr w14:paraId="1AF2435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78" w:hRule="atLeast"/>
          <w:jc w:val="center"/>
        </w:trPr>
        <w:tc>
          <w:tcPr>
            <w:tcW w:w="758" w:type="dxa"/>
            <w:tcBorders>
              <w:top w:val="single" w:color="000000" w:sz="4" w:space="0"/>
              <w:bottom w:val="single" w:color="000000" w:sz="4" w:space="0"/>
              <w:right w:val="single" w:color="000000" w:sz="4" w:space="0"/>
            </w:tcBorders>
            <w:vAlign w:val="center"/>
          </w:tcPr>
          <w:p w14:paraId="32ED2F4D">
            <w:pPr>
              <w:snapToGrid w:val="0"/>
              <w:jc w:val="center"/>
              <w:rPr>
                <w:rStyle w:val="28"/>
                <w:rFonts w:hint="eastAsia" w:hAnsi="宋体"/>
                <w:kern w:val="0"/>
              </w:rPr>
            </w:pPr>
            <w:r>
              <w:rPr>
                <w:rStyle w:val="28"/>
                <w:rFonts w:hint="eastAsia" w:hAnsi="宋体"/>
                <w:kern w:val="0"/>
              </w:rPr>
              <w:t>2</w:t>
            </w:r>
          </w:p>
        </w:tc>
        <w:tc>
          <w:tcPr>
            <w:tcW w:w="1577" w:type="dxa"/>
            <w:tcBorders>
              <w:top w:val="single" w:color="000000" w:sz="4" w:space="0"/>
              <w:left w:val="single" w:color="000000" w:sz="4" w:space="0"/>
              <w:bottom w:val="single" w:color="000000" w:sz="4" w:space="0"/>
              <w:right w:val="single" w:color="000000" w:sz="4" w:space="0"/>
            </w:tcBorders>
            <w:vAlign w:val="center"/>
          </w:tcPr>
          <w:p w14:paraId="503C6594">
            <w:pPr>
              <w:snapToGrid w:val="0"/>
              <w:jc w:val="center"/>
              <w:rPr>
                <w:rStyle w:val="28"/>
                <w:rFonts w:hint="eastAsia" w:hAnsi="宋体"/>
                <w:kern w:val="0"/>
              </w:rPr>
            </w:pPr>
            <w:r>
              <w:rPr>
                <w:rStyle w:val="28"/>
                <w:rFonts w:hint="eastAsia" w:hAnsi="宋体"/>
                <w:kern w:val="0"/>
              </w:rPr>
              <w:t>项目业主</w:t>
            </w:r>
          </w:p>
        </w:tc>
        <w:tc>
          <w:tcPr>
            <w:tcW w:w="7370" w:type="dxa"/>
            <w:tcBorders>
              <w:top w:val="single" w:color="000000" w:sz="4" w:space="0"/>
              <w:left w:val="single" w:color="000000" w:sz="4" w:space="0"/>
              <w:bottom w:val="single" w:color="000000" w:sz="4" w:space="0"/>
            </w:tcBorders>
            <w:vAlign w:val="center"/>
          </w:tcPr>
          <w:p w14:paraId="3811B8FB">
            <w:pPr>
              <w:snapToGrid w:val="0"/>
              <w:jc w:val="left"/>
              <w:rPr>
                <w:rStyle w:val="28"/>
                <w:rFonts w:hint="eastAsia" w:hAnsi="宋体"/>
                <w:kern w:val="0"/>
              </w:rPr>
            </w:pPr>
            <w:r>
              <w:rPr>
                <w:rStyle w:val="28"/>
                <w:rFonts w:hint="eastAsia" w:hAnsi="宋体"/>
                <w:kern w:val="0"/>
              </w:rPr>
              <w:t>广东韶关数据产业投资发展有限公司</w:t>
            </w:r>
          </w:p>
        </w:tc>
      </w:tr>
      <w:tr w14:paraId="07AEFF0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92" w:hRule="atLeast"/>
          <w:jc w:val="center"/>
        </w:trPr>
        <w:tc>
          <w:tcPr>
            <w:tcW w:w="758" w:type="dxa"/>
            <w:tcBorders>
              <w:top w:val="single" w:color="000000" w:sz="4" w:space="0"/>
              <w:bottom w:val="single" w:color="000000" w:sz="4" w:space="0"/>
              <w:right w:val="single" w:color="000000" w:sz="4" w:space="0"/>
            </w:tcBorders>
            <w:vAlign w:val="center"/>
          </w:tcPr>
          <w:p w14:paraId="5B0DFF06">
            <w:pPr>
              <w:snapToGrid w:val="0"/>
              <w:jc w:val="center"/>
              <w:rPr>
                <w:rStyle w:val="28"/>
                <w:rFonts w:hint="eastAsia" w:hAnsi="宋体"/>
                <w:kern w:val="0"/>
              </w:rPr>
            </w:pPr>
            <w:r>
              <w:rPr>
                <w:rStyle w:val="28"/>
                <w:rFonts w:hint="eastAsia" w:hAnsi="宋体"/>
                <w:kern w:val="0"/>
              </w:rPr>
              <w:t>3</w:t>
            </w:r>
          </w:p>
        </w:tc>
        <w:tc>
          <w:tcPr>
            <w:tcW w:w="1577" w:type="dxa"/>
            <w:tcBorders>
              <w:top w:val="single" w:color="000000" w:sz="4" w:space="0"/>
              <w:left w:val="single" w:color="000000" w:sz="4" w:space="0"/>
              <w:bottom w:val="single" w:color="000000" w:sz="4" w:space="0"/>
              <w:right w:val="single" w:color="000000" w:sz="4" w:space="0"/>
            </w:tcBorders>
            <w:vAlign w:val="center"/>
          </w:tcPr>
          <w:p w14:paraId="42FD7FA4">
            <w:pPr>
              <w:snapToGrid w:val="0"/>
              <w:jc w:val="center"/>
              <w:rPr>
                <w:rStyle w:val="28"/>
                <w:rFonts w:hint="eastAsia" w:hAnsi="宋体"/>
                <w:kern w:val="0"/>
              </w:rPr>
            </w:pPr>
            <w:r>
              <w:rPr>
                <w:rStyle w:val="28"/>
                <w:rFonts w:hint="eastAsia" w:hAnsi="宋体"/>
                <w:kern w:val="0"/>
              </w:rPr>
              <w:t>项目批准部门</w:t>
            </w:r>
          </w:p>
        </w:tc>
        <w:tc>
          <w:tcPr>
            <w:tcW w:w="7370" w:type="dxa"/>
            <w:tcBorders>
              <w:top w:val="single" w:color="000000" w:sz="4" w:space="0"/>
              <w:left w:val="single" w:color="000000" w:sz="4" w:space="0"/>
              <w:bottom w:val="single" w:color="000000" w:sz="4" w:space="0"/>
            </w:tcBorders>
            <w:vAlign w:val="center"/>
          </w:tcPr>
          <w:p w14:paraId="12169717">
            <w:pPr>
              <w:snapToGrid w:val="0"/>
              <w:jc w:val="left"/>
              <w:rPr>
                <w:rStyle w:val="28"/>
                <w:rFonts w:hint="eastAsia" w:hAnsi="宋体"/>
                <w:kern w:val="0"/>
              </w:rPr>
            </w:pPr>
            <w:r>
              <w:rPr>
                <w:rStyle w:val="28"/>
                <w:rFonts w:hint="eastAsia" w:hAnsi="宋体"/>
                <w:kern w:val="0"/>
              </w:rPr>
              <w:t>韶关市发展和改革局</w:t>
            </w:r>
          </w:p>
        </w:tc>
      </w:tr>
      <w:tr w14:paraId="2D957EB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758" w:type="dxa"/>
            <w:tcBorders>
              <w:top w:val="single" w:color="000000" w:sz="4" w:space="0"/>
              <w:bottom w:val="single" w:color="000000" w:sz="4" w:space="0"/>
              <w:right w:val="single" w:color="000000" w:sz="4" w:space="0"/>
            </w:tcBorders>
            <w:vAlign w:val="center"/>
          </w:tcPr>
          <w:p w14:paraId="5F7AC027">
            <w:pPr>
              <w:snapToGrid w:val="0"/>
              <w:jc w:val="center"/>
              <w:rPr>
                <w:rStyle w:val="28"/>
                <w:rFonts w:hint="eastAsia" w:hAnsi="宋体"/>
                <w:kern w:val="0"/>
              </w:rPr>
            </w:pPr>
            <w:r>
              <w:rPr>
                <w:rStyle w:val="28"/>
                <w:rFonts w:hint="eastAsia" w:hAnsi="宋体"/>
                <w:kern w:val="0"/>
              </w:rPr>
              <w:t>4</w:t>
            </w:r>
          </w:p>
        </w:tc>
        <w:tc>
          <w:tcPr>
            <w:tcW w:w="1577" w:type="dxa"/>
            <w:tcBorders>
              <w:top w:val="single" w:color="000000" w:sz="4" w:space="0"/>
              <w:left w:val="single" w:color="000000" w:sz="4" w:space="0"/>
              <w:bottom w:val="single" w:color="000000" w:sz="4" w:space="0"/>
              <w:right w:val="single" w:color="000000" w:sz="4" w:space="0"/>
            </w:tcBorders>
            <w:vAlign w:val="center"/>
          </w:tcPr>
          <w:p w14:paraId="032A87BD">
            <w:pPr>
              <w:snapToGrid w:val="0"/>
              <w:jc w:val="center"/>
              <w:rPr>
                <w:rStyle w:val="28"/>
                <w:rFonts w:hint="eastAsia" w:hAnsi="宋体"/>
                <w:kern w:val="0"/>
              </w:rPr>
            </w:pPr>
            <w:r>
              <w:rPr>
                <w:rStyle w:val="28"/>
                <w:rFonts w:hint="eastAsia" w:hAnsi="宋体"/>
                <w:kern w:val="0"/>
              </w:rPr>
              <w:t>项目批准文号</w:t>
            </w:r>
          </w:p>
        </w:tc>
        <w:tc>
          <w:tcPr>
            <w:tcW w:w="7370" w:type="dxa"/>
            <w:tcBorders>
              <w:top w:val="single" w:color="000000" w:sz="4" w:space="0"/>
              <w:left w:val="single" w:color="000000" w:sz="4" w:space="0"/>
              <w:bottom w:val="single" w:color="000000" w:sz="4" w:space="0"/>
            </w:tcBorders>
            <w:vAlign w:val="center"/>
          </w:tcPr>
          <w:p w14:paraId="11A622E6">
            <w:pPr>
              <w:snapToGrid w:val="0"/>
              <w:jc w:val="left"/>
              <w:rPr>
                <w:rStyle w:val="28"/>
                <w:rFonts w:hint="eastAsia" w:hAnsi="宋体"/>
                <w:kern w:val="0"/>
              </w:rPr>
            </w:pPr>
            <w:r>
              <w:rPr>
                <w:rStyle w:val="28"/>
                <w:rFonts w:hint="eastAsia" w:hAnsi="宋体"/>
                <w:kern w:val="0"/>
              </w:rPr>
              <w:t>韶发改投审〔2025〕31号</w:t>
            </w:r>
            <w:r>
              <w:rPr>
                <w:rFonts w:hint="eastAsia"/>
              </w:rPr>
              <w:t>、韶发改投审〔2025〕39号</w:t>
            </w:r>
          </w:p>
        </w:tc>
      </w:tr>
      <w:tr w14:paraId="2CA9A57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6" w:hRule="atLeast"/>
          <w:jc w:val="center"/>
        </w:trPr>
        <w:tc>
          <w:tcPr>
            <w:tcW w:w="758" w:type="dxa"/>
            <w:tcBorders>
              <w:top w:val="single" w:color="000000" w:sz="4" w:space="0"/>
              <w:bottom w:val="single" w:color="000000" w:sz="4" w:space="0"/>
              <w:right w:val="single" w:color="000000" w:sz="4" w:space="0"/>
            </w:tcBorders>
            <w:vAlign w:val="center"/>
          </w:tcPr>
          <w:p w14:paraId="5B2BF771">
            <w:pPr>
              <w:snapToGrid w:val="0"/>
              <w:jc w:val="center"/>
              <w:rPr>
                <w:rStyle w:val="28"/>
                <w:rFonts w:hint="eastAsia" w:hAnsi="宋体"/>
                <w:kern w:val="0"/>
              </w:rPr>
            </w:pPr>
            <w:r>
              <w:rPr>
                <w:rStyle w:val="28"/>
                <w:rFonts w:hint="eastAsia" w:hAnsi="宋体"/>
                <w:kern w:val="0"/>
              </w:rPr>
              <w:t>5</w:t>
            </w:r>
          </w:p>
        </w:tc>
        <w:tc>
          <w:tcPr>
            <w:tcW w:w="1577" w:type="dxa"/>
            <w:tcBorders>
              <w:top w:val="single" w:color="000000" w:sz="4" w:space="0"/>
              <w:left w:val="single" w:color="000000" w:sz="4" w:space="0"/>
              <w:bottom w:val="single" w:color="000000" w:sz="4" w:space="0"/>
              <w:right w:val="single" w:color="000000" w:sz="4" w:space="0"/>
            </w:tcBorders>
            <w:vAlign w:val="center"/>
          </w:tcPr>
          <w:p w14:paraId="40C0A1A3">
            <w:pPr>
              <w:snapToGrid w:val="0"/>
              <w:jc w:val="center"/>
              <w:rPr>
                <w:rStyle w:val="28"/>
                <w:rFonts w:hint="eastAsia" w:hAnsi="宋体"/>
                <w:kern w:val="0"/>
              </w:rPr>
            </w:pPr>
            <w:r>
              <w:rPr>
                <w:rStyle w:val="28"/>
                <w:rFonts w:hint="eastAsia" w:hAnsi="宋体"/>
                <w:kern w:val="0"/>
              </w:rPr>
              <w:t>项目代码</w:t>
            </w:r>
          </w:p>
        </w:tc>
        <w:tc>
          <w:tcPr>
            <w:tcW w:w="7370" w:type="dxa"/>
            <w:tcBorders>
              <w:top w:val="single" w:color="000000" w:sz="4" w:space="0"/>
              <w:left w:val="single" w:color="000000" w:sz="4" w:space="0"/>
              <w:bottom w:val="single" w:color="000000" w:sz="4" w:space="0"/>
            </w:tcBorders>
            <w:vAlign w:val="center"/>
          </w:tcPr>
          <w:p w14:paraId="3905C029">
            <w:pPr>
              <w:snapToGrid w:val="0"/>
              <w:jc w:val="left"/>
              <w:rPr>
                <w:rStyle w:val="28"/>
                <w:rFonts w:hint="eastAsia" w:hAnsi="宋体"/>
                <w:kern w:val="0"/>
              </w:rPr>
            </w:pPr>
            <w:r>
              <w:rPr>
                <w:rStyle w:val="28"/>
                <w:rFonts w:hint="eastAsia" w:hAnsi="宋体"/>
                <w:kern w:val="0"/>
              </w:rPr>
              <w:t>2508-440203-04-05-295567</w:t>
            </w:r>
          </w:p>
        </w:tc>
      </w:tr>
      <w:tr w14:paraId="732FA1F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73" w:hRule="atLeast"/>
          <w:jc w:val="center"/>
        </w:trPr>
        <w:tc>
          <w:tcPr>
            <w:tcW w:w="758" w:type="dxa"/>
            <w:tcBorders>
              <w:top w:val="single" w:color="000000" w:sz="4" w:space="0"/>
              <w:bottom w:val="single" w:color="000000" w:sz="4" w:space="0"/>
              <w:right w:val="single" w:color="000000" w:sz="4" w:space="0"/>
            </w:tcBorders>
            <w:vAlign w:val="center"/>
          </w:tcPr>
          <w:p w14:paraId="033E4F8E">
            <w:pPr>
              <w:snapToGrid w:val="0"/>
              <w:jc w:val="center"/>
              <w:rPr>
                <w:rStyle w:val="28"/>
                <w:rFonts w:hint="eastAsia" w:hAnsi="宋体"/>
                <w:kern w:val="0"/>
              </w:rPr>
            </w:pPr>
            <w:r>
              <w:rPr>
                <w:rStyle w:val="28"/>
                <w:rFonts w:hint="eastAsia" w:hAnsi="宋体"/>
                <w:kern w:val="0"/>
              </w:rPr>
              <w:t>6</w:t>
            </w:r>
          </w:p>
        </w:tc>
        <w:tc>
          <w:tcPr>
            <w:tcW w:w="1577" w:type="dxa"/>
            <w:tcBorders>
              <w:top w:val="single" w:color="000000" w:sz="4" w:space="0"/>
              <w:left w:val="single" w:color="000000" w:sz="4" w:space="0"/>
              <w:bottom w:val="single" w:color="000000" w:sz="4" w:space="0"/>
              <w:right w:val="single" w:color="000000" w:sz="4" w:space="0"/>
            </w:tcBorders>
            <w:vAlign w:val="center"/>
          </w:tcPr>
          <w:p w14:paraId="087EB555">
            <w:pPr>
              <w:snapToGrid w:val="0"/>
              <w:jc w:val="center"/>
              <w:rPr>
                <w:rStyle w:val="28"/>
                <w:rFonts w:hint="eastAsia" w:hAnsi="宋体"/>
                <w:kern w:val="0"/>
              </w:rPr>
            </w:pPr>
            <w:r>
              <w:rPr>
                <w:rStyle w:val="28"/>
                <w:rFonts w:hint="eastAsia" w:hAnsi="宋体"/>
                <w:kern w:val="0"/>
              </w:rPr>
              <w:t>资金来源</w:t>
            </w:r>
          </w:p>
          <w:p w14:paraId="7FFF40F0">
            <w:pPr>
              <w:snapToGrid w:val="0"/>
              <w:jc w:val="center"/>
              <w:rPr>
                <w:rStyle w:val="28"/>
                <w:rFonts w:hint="eastAsia" w:hAnsi="宋体"/>
                <w:kern w:val="0"/>
              </w:rPr>
            </w:pPr>
            <w:r>
              <w:rPr>
                <w:rStyle w:val="28"/>
                <w:rFonts w:hint="eastAsia" w:hAnsi="宋体"/>
                <w:kern w:val="0"/>
              </w:rPr>
              <w:t>及出资比例</w:t>
            </w:r>
          </w:p>
        </w:tc>
        <w:tc>
          <w:tcPr>
            <w:tcW w:w="7370" w:type="dxa"/>
            <w:tcBorders>
              <w:top w:val="single" w:color="000000" w:sz="4" w:space="0"/>
              <w:left w:val="single" w:color="000000" w:sz="4" w:space="0"/>
              <w:bottom w:val="single" w:color="000000" w:sz="4" w:space="0"/>
            </w:tcBorders>
            <w:vAlign w:val="center"/>
          </w:tcPr>
          <w:p w14:paraId="7E6B3DD2">
            <w:pPr>
              <w:snapToGrid w:val="0"/>
              <w:jc w:val="left"/>
              <w:rPr>
                <w:rStyle w:val="28"/>
                <w:rFonts w:hint="eastAsia" w:hAnsi="宋体"/>
                <w:kern w:val="0"/>
              </w:rPr>
            </w:pPr>
            <w:r>
              <w:rPr>
                <w:rStyle w:val="28"/>
                <w:rFonts w:hint="eastAsia" w:hAnsi="宋体"/>
                <w:kern w:val="0"/>
              </w:rPr>
              <w:t>项目建设所需资金通过申报地方政府专项债、企业筹集等方式解决，100%</w:t>
            </w:r>
          </w:p>
        </w:tc>
      </w:tr>
      <w:tr w14:paraId="2C489EE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7" w:hRule="atLeast"/>
          <w:jc w:val="center"/>
        </w:trPr>
        <w:tc>
          <w:tcPr>
            <w:tcW w:w="758" w:type="dxa"/>
            <w:tcBorders>
              <w:top w:val="single" w:color="000000" w:sz="4" w:space="0"/>
              <w:bottom w:val="single" w:color="000000" w:sz="4" w:space="0"/>
              <w:right w:val="single" w:color="000000" w:sz="4" w:space="0"/>
            </w:tcBorders>
            <w:vAlign w:val="center"/>
          </w:tcPr>
          <w:p w14:paraId="05646FC0">
            <w:pPr>
              <w:snapToGrid w:val="0"/>
              <w:jc w:val="center"/>
              <w:rPr>
                <w:rStyle w:val="28"/>
                <w:rFonts w:hint="eastAsia" w:hAnsi="宋体"/>
                <w:kern w:val="0"/>
              </w:rPr>
            </w:pPr>
            <w:r>
              <w:rPr>
                <w:rStyle w:val="28"/>
                <w:rFonts w:hint="eastAsia" w:hAnsi="宋体"/>
                <w:kern w:val="0"/>
              </w:rPr>
              <w:t>7</w:t>
            </w:r>
          </w:p>
        </w:tc>
        <w:tc>
          <w:tcPr>
            <w:tcW w:w="1577" w:type="dxa"/>
            <w:tcBorders>
              <w:top w:val="single" w:color="000000" w:sz="4" w:space="0"/>
              <w:left w:val="single" w:color="000000" w:sz="4" w:space="0"/>
              <w:bottom w:val="single" w:color="000000" w:sz="4" w:space="0"/>
              <w:right w:val="single" w:color="000000" w:sz="4" w:space="0"/>
            </w:tcBorders>
            <w:vAlign w:val="center"/>
          </w:tcPr>
          <w:p w14:paraId="791FBA17">
            <w:pPr>
              <w:snapToGrid w:val="0"/>
              <w:jc w:val="center"/>
              <w:rPr>
                <w:rStyle w:val="28"/>
                <w:rFonts w:hint="eastAsia" w:hAnsi="宋体"/>
                <w:kern w:val="0"/>
              </w:rPr>
            </w:pPr>
            <w:r>
              <w:rPr>
                <w:rStyle w:val="28"/>
                <w:rFonts w:hint="eastAsia" w:hAnsi="宋体"/>
                <w:kern w:val="0"/>
              </w:rPr>
              <w:t>招标人</w:t>
            </w:r>
          </w:p>
        </w:tc>
        <w:tc>
          <w:tcPr>
            <w:tcW w:w="7370" w:type="dxa"/>
            <w:tcBorders>
              <w:top w:val="single" w:color="000000" w:sz="4" w:space="0"/>
              <w:left w:val="single" w:color="000000" w:sz="4" w:space="0"/>
              <w:bottom w:val="single" w:color="000000" w:sz="4" w:space="0"/>
            </w:tcBorders>
            <w:vAlign w:val="center"/>
          </w:tcPr>
          <w:p w14:paraId="5132FE0A">
            <w:pPr>
              <w:snapToGrid w:val="0"/>
              <w:jc w:val="left"/>
              <w:rPr>
                <w:rStyle w:val="28"/>
                <w:rFonts w:hint="eastAsia" w:hAnsi="宋体"/>
                <w:kern w:val="0"/>
              </w:rPr>
            </w:pPr>
            <w:r>
              <w:rPr>
                <w:rStyle w:val="28"/>
                <w:rFonts w:hint="eastAsia" w:hAnsi="宋体"/>
                <w:kern w:val="0"/>
              </w:rPr>
              <w:t>广东韶关数据产业投资发展有限公司</w:t>
            </w:r>
          </w:p>
        </w:tc>
      </w:tr>
      <w:tr w14:paraId="4E64546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758" w:type="dxa"/>
            <w:tcBorders>
              <w:top w:val="single" w:color="000000" w:sz="4" w:space="0"/>
              <w:bottom w:val="single" w:color="000000" w:sz="4" w:space="0"/>
              <w:right w:val="single" w:color="000000" w:sz="4" w:space="0"/>
            </w:tcBorders>
            <w:vAlign w:val="center"/>
          </w:tcPr>
          <w:p w14:paraId="7903B7A9">
            <w:pPr>
              <w:snapToGrid w:val="0"/>
              <w:jc w:val="center"/>
              <w:rPr>
                <w:rStyle w:val="28"/>
                <w:rFonts w:hint="eastAsia" w:hAnsi="宋体"/>
                <w:kern w:val="0"/>
              </w:rPr>
            </w:pPr>
            <w:r>
              <w:rPr>
                <w:rStyle w:val="28"/>
                <w:rFonts w:hint="eastAsia" w:hAnsi="宋体"/>
                <w:kern w:val="0"/>
              </w:rPr>
              <w:t>8</w:t>
            </w:r>
          </w:p>
        </w:tc>
        <w:tc>
          <w:tcPr>
            <w:tcW w:w="1577" w:type="dxa"/>
            <w:tcBorders>
              <w:top w:val="single" w:color="000000" w:sz="4" w:space="0"/>
              <w:left w:val="single" w:color="000000" w:sz="4" w:space="0"/>
              <w:bottom w:val="single" w:color="000000" w:sz="4" w:space="0"/>
              <w:right w:val="single" w:color="000000" w:sz="4" w:space="0"/>
            </w:tcBorders>
            <w:vAlign w:val="center"/>
          </w:tcPr>
          <w:p w14:paraId="1EA9C8C1">
            <w:pPr>
              <w:snapToGrid w:val="0"/>
              <w:jc w:val="center"/>
              <w:rPr>
                <w:rStyle w:val="28"/>
                <w:rFonts w:hint="eastAsia" w:hAnsi="宋体"/>
                <w:kern w:val="0"/>
              </w:rPr>
            </w:pPr>
            <w:r>
              <w:rPr>
                <w:rStyle w:val="28"/>
                <w:rFonts w:hint="eastAsia" w:hAnsi="宋体"/>
                <w:kern w:val="0"/>
              </w:rPr>
              <w:t>招标代理机构</w:t>
            </w:r>
          </w:p>
        </w:tc>
        <w:tc>
          <w:tcPr>
            <w:tcW w:w="7370" w:type="dxa"/>
            <w:tcBorders>
              <w:top w:val="single" w:color="000000" w:sz="4" w:space="0"/>
              <w:left w:val="single" w:color="000000" w:sz="4" w:space="0"/>
              <w:bottom w:val="single" w:color="000000" w:sz="4" w:space="0"/>
            </w:tcBorders>
            <w:vAlign w:val="center"/>
          </w:tcPr>
          <w:p w14:paraId="72875F6A">
            <w:pPr>
              <w:snapToGrid w:val="0"/>
              <w:jc w:val="left"/>
              <w:rPr>
                <w:rStyle w:val="28"/>
                <w:rFonts w:hint="eastAsia" w:hAnsi="宋体"/>
                <w:kern w:val="0"/>
              </w:rPr>
            </w:pPr>
            <w:r>
              <w:rPr>
                <w:rStyle w:val="28"/>
                <w:rFonts w:hint="eastAsia" w:hAnsi="宋体"/>
                <w:kern w:val="0"/>
              </w:rPr>
              <w:t>韶关市国之信工程咨询有限公司</w:t>
            </w:r>
          </w:p>
        </w:tc>
      </w:tr>
      <w:tr w14:paraId="2BDAFBD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4" w:hRule="atLeast"/>
          <w:jc w:val="center"/>
        </w:trPr>
        <w:tc>
          <w:tcPr>
            <w:tcW w:w="758" w:type="dxa"/>
            <w:tcBorders>
              <w:top w:val="single" w:color="000000" w:sz="4" w:space="0"/>
              <w:bottom w:val="single" w:color="000000" w:sz="4" w:space="0"/>
              <w:right w:val="single" w:color="000000" w:sz="4" w:space="0"/>
            </w:tcBorders>
            <w:vAlign w:val="center"/>
          </w:tcPr>
          <w:p w14:paraId="7A06C6A9">
            <w:pPr>
              <w:snapToGrid w:val="0"/>
              <w:jc w:val="center"/>
              <w:rPr>
                <w:rFonts w:hint="eastAsia" w:hAnsi="宋体"/>
                <w:kern w:val="0"/>
              </w:rPr>
            </w:pPr>
            <w:r>
              <w:rPr>
                <w:rStyle w:val="28"/>
                <w:rFonts w:hint="eastAsia" w:hAnsi="宋体"/>
                <w:kern w:val="0"/>
              </w:rPr>
              <w:t>9</w:t>
            </w:r>
          </w:p>
        </w:tc>
        <w:tc>
          <w:tcPr>
            <w:tcW w:w="1577" w:type="dxa"/>
            <w:tcBorders>
              <w:top w:val="single" w:color="000000" w:sz="4" w:space="0"/>
              <w:left w:val="single" w:color="000000" w:sz="4" w:space="0"/>
              <w:bottom w:val="single" w:color="000000" w:sz="4" w:space="0"/>
              <w:right w:val="single" w:color="000000" w:sz="4" w:space="0"/>
            </w:tcBorders>
            <w:vAlign w:val="center"/>
          </w:tcPr>
          <w:p w14:paraId="71003A07">
            <w:pPr>
              <w:snapToGrid w:val="0"/>
              <w:jc w:val="center"/>
              <w:rPr>
                <w:rFonts w:hint="eastAsia" w:hAnsi="宋体"/>
                <w:kern w:val="0"/>
              </w:rPr>
            </w:pPr>
            <w:r>
              <w:rPr>
                <w:rStyle w:val="28"/>
                <w:rFonts w:hint="eastAsia" w:hAnsi="宋体"/>
                <w:kern w:val="0"/>
              </w:rPr>
              <w:t>设计单位</w:t>
            </w:r>
          </w:p>
        </w:tc>
        <w:tc>
          <w:tcPr>
            <w:tcW w:w="7370" w:type="dxa"/>
            <w:tcBorders>
              <w:top w:val="single" w:color="000000" w:sz="4" w:space="0"/>
              <w:left w:val="single" w:color="000000" w:sz="4" w:space="0"/>
              <w:bottom w:val="single" w:color="000000" w:sz="4" w:space="0"/>
            </w:tcBorders>
            <w:vAlign w:val="center"/>
          </w:tcPr>
          <w:p w14:paraId="30BF0978">
            <w:pPr>
              <w:snapToGrid w:val="0"/>
              <w:jc w:val="left"/>
              <w:rPr>
                <w:rFonts w:hint="eastAsia" w:hAnsi="宋体"/>
                <w:kern w:val="0"/>
              </w:rPr>
            </w:pPr>
            <w:r>
              <w:rPr>
                <w:rFonts w:hint="eastAsia" w:hAnsi="宋体"/>
                <w:kern w:val="0"/>
              </w:rPr>
              <w:t>千亿设计集团有限公司</w:t>
            </w:r>
          </w:p>
        </w:tc>
      </w:tr>
      <w:tr w14:paraId="72E04DC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19" w:hRule="atLeast"/>
          <w:jc w:val="center"/>
        </w:trPr>
        <w:tc>
          <w:tcPr>
            <w:tcW w:w="758" w:type="dxa"/>
            <w:tcBorders>
              <w:top w:val="single" w:color="000000" w:sz="4" w:space="0"/>
              <w:bottom w:val="single" w:color="000000" w:sz="4" w:space="0"/>
              <w:right w:val="single" w:color="000000" w:sz="4" w:space="0"/>
            </w:tcBorders>
            <w:vAlign w:val="center"/>
          </w:tcPr>
          <w:p w14:paraId="0AFD1AC4">
            <w:pPr>
              <w:snapToGrid w:val="0"/>
              <w:jc w:val="center"/>
              <w:rPr>
                <w:rStyle w:val="28"/>
                <w:rFonts w:hint="eastAsia" w:hAnsi="宋体"/>
                <w:kern w:val="0"/>
              </w:rPr>
            </w:pPr>
            <w:r>
              <w:rPr>
                <w:rStyle w:val="28"/>
                <w:rFonts w:hint="eastAsia" w:hAnsi="宋体"/>
                <w:kern w:val="0"/>
              </w:rPr>
              <w:t>10</w:t>
            </w:r>
          </w:p>
        </w:tc>
        <w:tc>
          <w:tcPr>
            <w:tcW w:w="1577" w:type="dxa"/>
            <w:tcBorders>
              <w:top w:val="single" w:color="000000" w:sz="4" w:space="0"/>
              <w:left w:val="single" w:color="000000" w:sz="4" w:space="0"/>
              <w:bottom w:val="single" w:color="000000" w:sz="4" w:space="0"/>
              <w:right w:val="single" w:color="000000" w:sz="4" w:space="0"/>
            </w:tcBorders>
            <w:vAlign w:val="center"/>
          </w:tcPr>
          <w:p w14:paraId="2AF87DA3">
            <w:pPr>
              <w:snapToGrid w:val="0"/>
              <w:jc w:val="center"/>
              <w:rPr>
                <w:rFonts w:hint="eastAsia" w:hAnsi="宋体"/>
              </w:rPr>
            </w:pPr>
            <w:r>
              <w:rPr>
                <w:rFonts w:hint="eastAsia" w:hAnsi="宋体"/>
              </w:rPr>
              <w:t>造价咨询单位</w:t>
            </w:r>
          </w:p>
        </w:tc>
        <w:tc>
          <w:tcPr>
            <w:tcW w:w="7370" w:type="dxa"/>
            <w:tcBorders>
              <w:top w:val="single" w:color="000000" w:sz="4" w:space="0"/>
              <w:left w:val="single" w:color="000000" w:sz="4" w:space="0"/>
              <w:bottom w:val="single" w:color="000000" w:sz="4" w:space="0"/>
            </w:tcBorders>
            <w:vAlign w:val="center"/>
          </w:tcPr>
          <w:p w14:paraId="19F8A50B">
            <w:pPr>
              <w:snapToGrid w:val="0"/>
              <w:jc w:val="left"/>
              <w:rPr>
                <w:rFonts w:hint="eastAsia" w:hAnsi="宋体"/>
              </w:rPr>
            </w:pPr>
            <w:r>
              <w:rPr>
                <w:rFonts w:hint="eastAsia" w:hAnsi="宋体"/>
              </w:rPr>
              <w:t>广东欧采工程管理有限公司</w:t>
            </w:r>
          </w:p>
        </w:tc>
      </w:tr>
      <w:tr w14:paraId="0B39A28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758" w:type="dxa"/>
            <w:tcBorders>
              <w:top w:val="single" w:color="000000" w:sz="4" w:space="0"/>
              <w:bottom w:val="single" w:color="000000" w:sz="4" w:space="0"/>
              <w:right w:val="single" w:color="000000" w:sz="4" w:space="0"/>
            </w:tcBorders>
            <w:vAlign w:val="center"/>
          </w:tcPr>
          <w:p w14:paraId="22144FF1">
            <w:pPr>
              <w:snapToGrid w:val="0"/>
              <w:jc w:val="center"/>
              <w:rPr>
                <w:rFonts w:hint="eastAsia" w:hAnsi="宋体"/>
                <w:kern w:val="0"/>
              </w:rPr>
            </w:pPr>
            <w:r>
              <w:rPr>
                <w:rStyle w:val="28"/>
                <w:rFonts w:hint="eastAsia" w:hAnsi="宋体"/>
                <w:kern w:val="0"/>
              </w:rPr>
              <w:t>11</w:t>
            </w:r>
          </w:p>
        </w:tc>
        <w:tc>
          <w:tcPr>
            <w:tcW w:w="1577" w:type="dxa"/>
            <w:tcBorders>
              <w:top w:val="single" w:color="000000" w:sz="4" w:space="0"/>
              <w:left w:val="single" w:color="000000" w:sz="4" w:space="0"/>
              <w:bottom w:val="single" w:color="000000" w:sz="4" w:space="0"/>
              <w:right w:val="single" w:color="000000" w:sz="4" w:space="0"/>
            </w:tcBorders>
            <w:vAlign w:val="center"/>
          </w:tcPr>
          <w:p w14:paraId="004B8E39">
            <w:pPr>
              <w:snapToGrid w:val="0"/>
              <w:jc w:val="center"/>
              <w:rPr>
                <w:rFonts w:hint="eastAsia" w:hAnsi="宋体"/>
                <w:kern w:val="0"/>
              </w:rPr>
            </w:pPr>
            <w:r>
              <w:rPr>
                <w:rStyle w:val="28"/>
                <w:rFonts w:hint="eastAsia" w:hAnsi="宋体"/>
                <w:kern w:val="0"/>
              </w:rPr>
              <w:t>监理单位</w:t>
            </w:r>
          </w:p>
        </w:tc>
        <w:tc>
          <w:tcPr>
            <w:tcW w:w="7370" w:type="dxa"/>
            <w:tcBorders>
              <w:top w:val="single" w:color="000000" w:sz="4" w:space="0"/>
              <w:left w:val="single" w:color="000000" w:sz="4" w:space="0"/>
              <w:bottom w:val="single" w:color="000000" w:sz="4" w:space="0"/>
            </w:tcBorders>
            <w:vAlign w:val="center"/>
          </w:tcPr>
          <w:p w14:paraId="6D9BC0A0">
            <w:pPr>
              <w:snapToGrid w:val="0"/>
              <w:jc w:val="left"/>
              <w:rPr>
                <w:rFonts w:hint="eastAsia" w:hAnsi="宋体"/>
                <w:kern w:val="0"/>
              </w:rPr>
            </w:pPr>
            <w:r>
              <w:rPr>
                <w:rFonts w:hint="eastAsia" w:hAnsi="宋体"/>
                <w:kern w:val="0"/>
              </w:rPr>
              <w:t>首盛国际工程咨询集团有限公司</w:t>
            </w:r>
          </w:p>
        </w:tc>
      </w:tr>
      <w:tr w14:paraId="19AA292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6" w:hRule="atLeast"/>
          <w:jc w:val="center"/>
        </w:trPr>
        <w:tc>
          <w:tcPr>
            <w:tcW w:w="758" w:type="dxa"/>
            <w:tcBorders>
              <w:top w:val="single" w:color="000000" w:sz="4" w:space="0"/>
              <w:bottom w:val="single" w:color="000000" w:sz="4" w:space="0"/>
              <w:right w:val="single" w:color="000000" w:sz="4" w:space="0"/>
            </w:tcBorders>
            <w:vAlign w:val="center"/>
          </w:tcPr>
          <w:p w14:paraId="3D1BF1C6">
            <w:pPr>
              <w:snapToGrid w:val="0"/>
              <w:jc w:val="center"/>
              <w:rPr>
                <w:rFonts w:hint="eastAsia" w:hAnsi="宋体"/>
                <w:kern w:val="0"/>
              </w:rPr>
            </w:pPr>
            <w:r>
              <w:rPr>
                <w:rStyle w:val="28"/>
                <w:rFonts w:hint="eastAsia" w:hAnsi="宋体"/>
                <w:kern w:val="0"/>
              </w:rPr>
              <w:t>12</w:t>
            </w:r>
          </w:p>
        </w:tc>
        <w:tc>
          <w:tcPr>
            <w:tcW w:w="1577" w:type="dxa"/>
            <w:tcBorders>
              <w:top w:val="single" w:color="000000" w:sz="4" w:space="0"/>
              <w:left w:val="single" w:color="000000" w:sz="4" w:space="0"/>
              <w:bottom w:val="single" w:color="000000" w:sz="4" w:space="0"/>
              <w:right w:val="single" w:color="000000" w:sz="4" w:space="0"/>
            </w:tcBorders>
            <w:vAlign w:val="center"/>
          </w:tcPr>
          <w:p w14:paraId="74171AA2">
            <w:pPr>
              <w:snapToGrid w:val="0"/>
              <w:jc w:val="center"/>
              <w:rPr>
                <w:rFonts w:hint="eastAsia" w:hAnsi="宋体"/>
                <w:kern w:val="0"/>
              </w:rPr>
            </w:pPr>
            <w:r>
              <w:rPr>
                <w:rStyle w:val="28"/>
                <w:rFonts w:hint="eastAsia" w:hAnsi="宋体"/>
                <w:kern w:val="0"/>
              </w:rPr>
              <w:t>建设地点</w:t>
            </w:r>
          </w:p>
        </w:tc>
        <w:tc>
          <w:tcPr>
            <w:tcW w:w="7370" w:type="dxa"/>
            <w:tcBorders>
              <w:top w:val="single" w:color="000000" w:sz="4" w:space="0"/>
              <w:left w:val="single" w:color="000000" w:sz="4" w:space="0"/>
              <w:bottom w:val="single" w:color="000000" w:sz="4" w:space="0"/>
            </w:tcBorders>
            <w:vAlign w:val="center"/>
          </w:tcPr>
          <w:p w14:paraId="3565B3A9">
            <w:pPr>
              <w:snapToGrid w:val="0"/>
              <w:jc w:val="left"/>
              <w:rPr>
                <w:rFonts w:hint="eastAsia" w:hAnsi="宋体"/>
                <w:kern w:val="0"/>
              </w:rPr>
            </w:pPr>
            <w:r>
              <w:rPr>
                <w:rFonts w:hint="eastAsia" w:hAnsi="宋体"/>
                <w:kern w:val="0"/>
              </w:rPr>
              <w:t>韶关市武江区西联镇粤港澳大湾区数据应用产业园。</w:t>
            </w:r>
          </w:p>
        </w:tc>
      </w:tr>
      <w:tr w14:paraId="7FD0951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73" w:hRule="atLeast"/>
          <w:jc w:val="center"/>
        </w:trPr>
        <w:tc>
          <w:tcPr>
            <w:tcW w:w="758" w:type="dxa"/>
            <w:tcBorders>
              <w:top w:val="single" w:color="000000" w:sz="4" w:space="0"/>
              <w:bottom w:val="single" w:color="000000" w:sz="4" w:space="0"/>
              <w:right w:val="single" w:color="000000" w:sz="4" w:space="0"/>
            </w:tcBorders>
            <w:vAlign w:val="center"/>
          </w:tcPr>
          <w:p w14:paraId="2FF9469C">
            <w:pPr>
              <w:snapToGrid w:val="0"/>
              <w:jc w:val="center"/>
              <w:rPr>
                <w:rFonts w:hint="eastAsia" w:hAnsi="宋体"/>
                <w:kern w:val="0"/>
              </w:rPr>
            </w:pPr>
            <w:r>
              <w:rPr>
                <w:rStyle w:val="28"/>
                <w:rFonts w:hint="eastAsia" w:hAnsi="宋体"/>
                <w:kern w:val="0"/>
              </w:rPr>
              <w:t>13</w:t>
            </w:r>
          </w:p>
        </w:tc>
        <w:tc>
          <w:tcPr>
            <w:tcW w:w="1577" w:type="dxa"/>
            <w:tcBorders>
              <w:top w:val="single" w:color="000000" w:sz="4" w:space="0"/>
              <w:left w:val="single" w:color="000000" w:sz="4" w:space="0"/>
              <w:bottom w:val="single" w:color="000000" w:sz="4" w:space="0"/>
              <w:right w:val="single" w:color="000000" w:sz="4" w:space="0"/>
            </w:tcBorders>
            <w:vAlign w:val="center"/>
          </w:tcPr>
          <w:p w14:paraId="0916A42B">
            <w:pPr>
              <w:snapToGrid w:val="0"/>
              <w:jc w:val="center"/>
              <w:rPr>
                <w:rFonts w:hint="eastAsia" w:hAnsi="宋体"/>
                <w:kern w:val="0"/>
              </w:rPr>
            </w:pPr>
            <w:r>
              <w:rPr>
                <w:rStyle w:val="28"/>
                <w:rFonts w:hint="eastAsia" w:hAnsi="宋体"/>
                <w:kern w:val="0"/>
              </w:rPr>
              <w:t>建设内容和规模</w:t>
            </w:r>
          </w:p>
        </w:tc>
        <w:tc>
          <w:tcPr>
            <w:tcW w:w="7370" w:type="dxa"/>
            <w:tcBorders>
              <w:top w:val="single" w:color="000000" w:sz="4" w:space="0"/>
              <w:left w:val="single" w:color="000000" w:sz="4" w:space="0"/>
              <w:bottom w:val="single" w:color="000000" w:sz="4" w:space="0"/>
            </w:tcBorders>
            <w:vAlign w:val="center"/>
          </w:tcPr>
          <w:p w14:paraId="44A4C2C3">
            <w:pPr>
              <w:jc w:val="left"/>
              <w:textAlignment w:val="center"/>
              <w:rPr>
                <w:rFonts w:hint="eastAsia" w:hAnsi="宋体"/>
              </w:rPr>
            </w:pPr>
            <w:r>
              <w:rPr>
                <w:rFonts w:hint="eastAsia" w:hAnsi="宋体"/>
              </w:rPr>
              <w:t>对粤港澳大湾区数据应用产业园A栋第四、五、六、七、八、十、十一、十二、十三、十四、十五、十六层面积约38500㎡场地进行装饰装修，以及完成智能化工程建设和设备设施采购。</w:t>
            </w:r>
          </w:p>
        </w:tc>
      </w:tr>
      <w:tr w14:paraId="61DF17B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08" w:hRule="atLeast"/>
          <w:jc w:val="center"/>
        </w:trPr>
        <w:tc>
          <w:tcPr>
            <w:tcW w:w="758" w:type="dxa"/>
            <w:tcBorders>
              <w:top w:val="single" w:color="000000" w:sz="4" w:space="0"/>
              <w:bottom w:val="single" w:color="000000" w:sz="4" w:space="0"/>
              <w:right w:val="single" w:color="000000" w:sz="4" w:space="0"/>
            </w:tcBorders>
            <w:vAlign w:val="center"/>
          </w:tcPr>
          <w:p w14:paraId="7FF3B265">
            <w:pPr>
              <w:snapToGrid w:val="0"/>
              <w:jc w:val="center"/>
              <w:rPr>
                <w:rFonts w:hint="eastAsia" w:hAnsi="宋体"/>
                <w:kern w:val="0"/>
              </w:rPr>
            </w:pPr>
            <w:r>
              <w:rPr>
                <w:rStyle w:val="28"/>
                <w:rFonts w:hint="eastAsia" w:hAnsi="宋体"/>
                <w:kern w:val="0"/>
              </w:rPr>
              <w:t>14</w:t>
            </w:r>
          </w:p>
        </w:tc>
        <w:tc>
          <w:tcPr>
            <w:tcW w:w="1577" w:type="dxa"/>
            <w:tcBorders>
              <w:top w:val="single" w:color="000000" w:sz="4" w:space="0"/>
              <w:left w:val="single" w:color="000000" w:sz="4" w:space="0"/>
              <w:bottom w:val="single" w:color="000000" w:sz="4" w:space="0"/>
              <w:right w:val="single" w:color="000000" w:sz="4" w:space="0"/>
            </w:tcBorders>
            <w:vAlign w:val="center"/>
          </w:tcPr>
          <w:p w14:paraId="430FCB65">
            <w:pPr>
              <w:snapToGrid w:val="0"/>
              <w:jc w:val="center"/>
              <w:rPr>
                <w:rFonts w:hint="eastAsia" w:hAnsi="宋体"/>
                <w:kern w:val="0"/>
              </w:rPr>
            </w:pPr>
            <w:r>
              <w:rPr>
                <w:rStyle w:val="28"/>
                <w:rFonts w:hint="eastAsia" w:hAnsi="宋体"/>
                <w:kern w:val="0"/>
              </w:rPr>
              <w:t>项目总投资</w:t>
            </w:r>
          </w:p>
        </w:tc>
        <w:tc>
          <w:tcPr>
            <w:tcW w:w="7370" w:type="dxa"/>
            <w:tcBorders>
              <w:top w:val="single" w:color="000000" w:sz="4" w:space="0"/>
              <w:left w:val="single" w:color="000000" w:sz="4" w:space="0"/>
              <w:bottom w:val="single" w:color="000000" w:sz="4" w:space="0"/>
            </w:tcBorders>
            <w:vAlign w:val="center"/>
          </w:tcPr>
          <w:p w14:paraId="4FFAC186">
            <w:pPr>
              <w:pStyle w:val="33"/>
              <w:rPr>
                <w:rFonts w:hint="eastAsia" w:hAnsi="宋体" w:cs="宋体"/>
                <w:kern w:val="0"/>
                <w:szCs w:val="24"/>
              </w:rPr>
            </w:pPr>
            <w:r>
              <w:rPr>
                <w:rFonts w:hint="eastAsia" w:hAnsi="宋体" w:cs="宋体"/>
                <w:szCs w:val="24"/>
              </w:rPr>
              <w:t>项目投资概算为6083.57万元，其中：建安工程费用约5274.55万元，工程建设其他费用519.32万元，预备费289.70万元。</w:t>
            </w:r>
          </w:p>
        </w:tc>
      </w:tr>
      <w:tr w14:paraId="28985A6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34" w:hRule="atLeast"/>
          <w:jc w:val="center"/>
        </w:trPr>
        <w:tc>
          <w:tcPr>
            <w:tcW w:w="758" w:type="dxa"/>
            <w:tcBorders>
              <w:top w:val="single" w:color="000000" w:sz="4" w:space="0"/>
              <w:bottom w:val="single" w:color="000000" w:sz="4" w:space="0"/>
              <w:right w:val="single" w:color="000000" w:sz="4" w:space="0"/>
            </w:tcBorders>
            <w:vAlign w:val="center"/>
          </w:tcPr>
          <w:p w14:paraId="469E49E8">
            <w:pPr>
              <w:snapToGrid w:val="0"/>
              <w:jc w:val="center"/>
              <w:rPr>
                <w:rFonts w:hint="eastAsia" w:hAnsi="宋体"/>
                <w:kern w:val="0"/>
              </w:rPr>
            </w:pPr>
            <w:r>
              <w:rPr>
                <w:rStyle w:val="28"/>
                <w:rFonts w:hint="eastAsia" w:hAnsi="宋体"/>
                <w:kern w:val="0"/>
              </w:rPr>
              <w:t>15</w:t>
            </w:r>
          </w:p>
        </w:tc>
        <w:tc>
          <w:tcPr>
            <w:tcW w:w="1577" w:type="dxa"/>
            <w:tcBorders>
              <w:top w:val="single" w:color="000000" w:sz="4" w:space="0"/>
              <w:left w:val="single" w:color="000000" w:sz="4" w:space="0"/>
              <w:bottom w:val="single" w:color="000000" w:sz="4" w:space="0"/>
              <w:right w:val="single" w:color="000000" w:sz="4" w:space="0"/>
            </w:tcBorders>
            <w:vAlign w:val="center"/>
          </w:tcPr>
          <w:p w14:paraId="4186357A">
            <w:pPr>
              <w:snapToGrid w:val="0"/>
              <w:jc w:val="center"/>
              <w:rPr>
                <w:rFonts w:hint="eastAsia" w:hAnsi="宋体"/>
                <w:kern w:val="0"/>
              </w:rPr>
            </w:pPr>
            <w:r>
              <w:rPr>
                <w:rStyle w:val="28"/>
                <w:rFonts w:hint="eastAsia" w:hAnsi="宋体"/>
                <w:kern w:val="0"/>
              </w:rPr>
              <w:t>招标范围</w:t>
            </w:r>
          </w:p>
        </w:tc>
        <w:tc>
          <w:tcPr>
            <w:tcW w:w="7370" w:type="dxa"/>
            <w:tcBorders>
              <w:top w:val="single" w:color="000000" w:sz="4" w:space="0"/>
              <w:left w:val="single" w:color="000000" w:sz="4" w:space="0"/>
              <w:bottom w:val="single" w:color="000000" w:sz="4" w:space="0"/>
            </w:tcBorders>
            <w:vAlign w:val="center"/>
          </w:tcPr>
          <w:p w14:paraId="54BE6E3F">
            <w:pPr>
              <w:snapToGrid w:val="0"/>
              <w:jc w:val="left"/>
              <w:rPr>
                <w:rFonts w:hint="eastAsia" w:hAnsi="宋体"/>
                <w:kern w:val="0"/>
              </w:rPr>
            </w:pPr>
            <w:r>
              <w:rPr>
                <w:rFonts w:hint="eastAsia" w:hAnsi="宋体"/>
                <w:snapToGrid w:val="0"/>
                <w:kern w:val="0"/>
              </w:rPr>
              <w:t>工程量清单及施工图纸范围内的所有工程及配套附属工程等施工。</w:t>
            </w:r>
          </w:p>
        </w:tc>
      </w:tr>
      <w:tr w14:paraId="4C6C8C1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36" w:hRule="atLeast"/>
          <w:jc w:val="center"/>
        </w:trPr>
        <w:tc>
          <w:tcPr>
            <w:tcW w:w="758" w:type="dxa"/>
            <w:tcBorders>
              <w:top w:val="single" w:color="000000" w:sz="4" w:space="0"/>
              <w:bottom w:val="single" w:color="000000" w:sz="4" w:space="0"/>
              <w:right w:val="single" w:color="000000" w:sz="4" w:space="0"/>
            </w:tcBorders>
            <w:vAlign w:val="center"/>
          </w:tcPr>
          <w:p w14:paraId="77D1E4E1">
            <w:pPr>
              <w:snapToGrid w:val="0"/>
              <w:jc w:val="center"/>
              <w:rPr>
                <w:rFonts w:hint="eastAsia" w:hAnsi="宋体"/>
                <w:kern w:val="0"/>
              </w:rPr>
            </w:pPr>
            <w:r>
              <w:rPr>
                <w:rStyle w:val="28"/>
                <w:rFonts w:hint="eastAsia" w:hAnsi="宋体"/>
                <w:kern w:val="0"/>
              </w:rPr>
              <w:t>16</w:t>
            </w:r>
          </w:p>
        </w:tc>
        <w:tc>
          <w:tcPr>
            <w:tcW w:w="1577" w:type="dxa"/>
            <w:tcBorders>
              <w:top w:val="single" w:color="000000" w:sz="4" w:space="0"/>
              <w:left w:val="single" w:color="000000" w:sz="4" w:space="0"/>
              <w:bottom w:val="single" w:color="000000" w:sz="4" w:space="0"/>
              <w:right w:val="single" w:color="000000" w:sz="4" w:space="0"/>
            </w:tcBorders>
            <w:vAlign w:val="center"/>
          </w:tcPr>
          <w:p w14:paraId="4A469169">
            <w:pPr>
              <w:snapToGrid w:val="0"/>
              <w:jc w:val="center"/>
              <w:rPr>
                <w:rFonts w:hint="eastAsia" w:hAnsi="宋体"/>
                <w:kern w:val="0"/>
              </w:rPr>
            </w:pPr>
            <w:r>
              <w:rPr>
                <w:rStyle w:val="28"/>
                <w:rFonts w:hint="eastAsia" w:hAnsi="宋体"/>
                <w:kern w:val="0"/>
              </w:rPr>
              <w:t>标段划分</w:t>
            </w:r>
          </w:p>
        </w:tc>
        <w:tc>
          <w:tcPr>
            <w:tcW w:w="7370" w:type="dxa"/>
            <w:tcBorders>
              <w:top w:val="single" w:color="000000" w:sz="4" w:space="0"/>
              <w:left w:val="single" w:color="000000" w:sz="4" w:space="0"/>
              <w:bottom w:val="single" w:color="000000" w:sz="4" w:space="0"/>
            </w:tcBorders>
            <w:vAlign w:val="center"/>
          </w:tcPr>
          <w:p w14:paraId="104544C9">
            <w:pPr>
              <w:snapToGrid w:val="0"/>
              <w:jc w:val="left"/>
              <w:rPr>
                <w:rFonts w:hint="eastAsia" w:hAnsi="宋体"/>
                <w:kern w:val="0"/>
              </w:rPr>
            </w:pPr>
            <w:r>
              <w:rPr>
                <w:rStyle w:val="28"/>
                <w:rFonts w:hint="eastAsia" w:hAnsi="宋体"/>
                <w:kern w:val="0"/>
              </w:rPr>
              <w:t>本项目不划分标段。</w:t>
            </w:r>
          </w:p>
        </w:tc>
      </w:tr>
      <w:tr w14:paraId="178A4E0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29" w:hRule="atLeast"/>
          <w:jc w:val="center"/>
        </w:trPr>
        <w:tc>
          <w:tcPr>
            <w:tcW w:w="758" w:type="dxa"/>
            <w:tcBorders>
              <w:top w:val="single" w:color="000000" w:sz="4" w:space="0"/>
              <w:bottom w:val="single" w:color="000000" w:sz="4" w:space="0"/>
              <w:right w:val="single" w:color="000000" w:sz="4" w:space="0"/>
            </w:tcBorders>
            <w:vAlign w:val="center"/>
          </w:tcPr>
          <w:p w14:paraId="7B481E1B">
            <w:pPr>
              <w:snapToGrid w:val="0"/>
              <w:jc w:val="center"/>
              <w:rPr>
                <w:rFonts w:hint="eastAsia" w:hAnsi="宋体"/>
                <w:kern w:val="0"/>
              </w:rPr>
            </w:pPr>
            <w:r>
              <w:rPr>
                <w:rStyle w:val="28"/>
                <w:rFonts w:hint="eastAsia" w:hAnsi="宋体"/>
                <w:kern w:val="0"/>
              </w:rPr>
              <w:t>17</w:t>
            </w:r>
          </w:p>
        </w:tc>
        <w:tc>
          <w:tcPr>
            <w:tcW w:w="1577" w:type="dxa"/>
            <w:tcBorders>
              <w:top w:val="single" w:color="000000" w:sz="4" w:space="0"/>
              <w:left w:val="single" w:color="000000" w:sz="4" w:space="0"/>
              <w:bottom w:val="single" w:color="000000" w:sz="4" w:space="0"/>
              <w:right w:val="single" w:color="000000" w:sz="4" w:space="0"/>
            </w:tcBorders>
            <w:vAlign w:val="center"/>
          </w:tcPr>
          <w:p w14:paraId="18B7EF64">
            <w:pPr>
              <w:snapToGrid w:val="0"/>
              <w:jc w:val="center"/>
              <w:rPr>
                <w:rFonts w:hint="eastAsia" w:hAnsi="宋体"/>
                <w:kern w:val="0"/>
              </w:rPr>
            </w:pPr>
            <w:r>
              <w:rPr>
                <w:rStyle w:val="28"/>
                <w:rFonts w:hint="eastAsia" w:hAnsi="宋体"/>
                <w:kern w:val="0"/>
              </w:rPr>
              <w:t>工期</w:t>
            </w:r>
          </w:p>
        </w:tc>
        <w:tc>
          <w:tcPr>
            <w:tcW w:w="7370" w:type="dxa"/>
            <w:tcBorders>
              <w:top w:val="single" w:color="000000" w:sz="4" w:space="0"/>
              <w:left w:val="single" w:color="000000" w:sz="4" w:space="0"/>
              <w:bottom w:val="single" w:color="000000" w:sz="4" w:space="0"/>
            </w:tcBorders>
            <w:vAlign w:val="center"/>
          </w:tcPr>
          <w:p w14:paraId="63679349">
            <w:pPr>
              <w:snapToGrid w:val="0"/>
              <w:jc w:val="left"/>
              <w:rPr>
                <w:rFonts w:hint="eastAsia" w:hAnsi="宋体"/>
                <w:kern w:val="0"/>
              </w:rPr>
            </w:pPr>
            <w:r>
              <w:rPr>
                <w:rStyle w:val="28"/>
                <w:rFonts w:hint="eastAsia" w:hAnsi="宋体"/>
                <w:kern w:val="0"/>
              </w:rPr>
              <w:t>本招标项目施工招标工期为232日历天。</w:t>
            </w:r>
          </w:p>
        </w:tc>
      </w:tr>
      <w:tr w14:paraId="5624D53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85" w:hRule="atLeast"/>
          <w:jc w:val="center"/>
        </w:trPr>
        <w:tc>
          <w:tcPr>
            <w:tcW w:w="758" w:type="dxa"/>
            <w:tcBorders>
              <w:top w:val="single" w:color="000000" w:sz="4" w:space="0"/>
              <w:bottom w:val="single" w:color="000000" w:sz="4" w:space="0"/>
              <w:right w:val="single" w:color="000000" w:sz="4" w:space="0"/>
            </w:tcBorders>
            <w:vAlign w:val="center"/>
          </w:tcPr>
          <w:p w14:paraId="2FE15690">
            <w:pPr>
              <w:snapToGrid w:val="0"/>
              <w:jc w:val="center"/>
              <w:rPr>
                <w:rFonts w:hint="eastAsia" w:hAnsi="宋体"/>
                <w:kern w:val="0"/>
              </w:rPr>
            </w:pPr>
            <w:r>
              <w:rPr>
                <w:rStyle w:val="28"/>
                <w:rFonts w:hint="eastAsia" w:hAnsi="宋体"/>
                <w:kern w:val="0"/>
              </w:rPr>
              <w:t>18</w:t>
            </w:r>
          </w:p>
        </w:tc>
        <w:tc>
          <w:tcPr>
            <w:tcW w:w="1577" w:type="dxa"/>
            <w:tcBorders>
              <w:top w:val="single" w:color="000000" w:sz="4" w:space="0"/>
              <w:left w:val="single" w:color="000000" w:sz="4" w:space="0"/>
              <w:bottom w:val="single" w:color="000000" w:sz="4" w:space="0"/>
              <w:right w:val="single" w:color="000000" w:sz="4" w:space="0"/>
            </w:tcBorders>
            <w:vAlign w:val="center"/>
          </w:tcPr>
          <w:p w14:paraId="72C2A63B">
            <w:pPr>
              <w:snapToGrid w:val="0"/>
              <w:jc w:val="center"/>
              <w:rPr>
                <w:rFonts w:hint="eastAsia" w:hAnsi="宋体"/>
                <w:kern w:val="0"/>
              </w:rPr>
            </w:pPr>
            <w:r>
              <w:rPr>
                <w:rStyle w:val="28"/>
                <w:rFonts w:hint="eastAsia" w:hAnsi="宋体"/>
                <w:kern w:val="0"/>
              </w:rPr>
              <w:t>质量标准</w:t>
            </w:r>
          </w:p>
        </w:tc>
        <w:tc>
          <w:tcPr>
            <w:tcW w:w="7370" w:type="dxa"/>
            <w:tcBorders>
              <w:top w:val="single" w:color="000000" w:sz="4" w:space="0"/>
              <w:left w:val="single" w:color="000000" w:sz="4" w:space="0"/>
              <w:bottom w:val="single" w:color="000000" w:sz="4" w:space="0"/>
            </w:tcBorders>
            <w:vAlign w:val="center"/>
          </w:tcPr>
          <w:p w14:paraId="3070100F">
            <w:pPr>
              <w:snapToGrid w:val="0"/>
              <w:jc w:val="left"/>
              <w:rPr>
                <w:rFonts w:hint="eastAsia" w:hAnsi="宋体"/>
                <w:kern w:val="0"/>
              </w:rPr>
            </w:pPr>
            <w:r>
              <w:rPr>
                <w:rStyle w:val="28"/>
                <w:rFonts w:hint="eastAsia" w:hAnsi="宋体"/>
                <w:kern w:val="0"/>
              </w:rPr>
              <w:t>达到《建筑工程施工质量验收统一标准》（GB50300-2013）和《建筑与市政工程施工质量控制通用规范》（GB55032-2022）合格标准。</w:t>
            </w:r>
          </w:p>
        </w:tc>
      </w:tr>
      <w:tr w14:paraId="1C32133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42" w:hRule="atLeast"/>
          <w:jc w:val="center"/>
        </w:trPr>
        <w:tc>
          <w:tcPr>
            <w:tcW w:w="758" w:type="dxa"/>
            <w:tcBorders>
              <w:top w:val="single" w:color="000000" w:sz="4" w:space="0"/>
              <w:bottom w:val="single" w:color="000000" w:sz="4" w:space="0"/>
              <w:right w:val="single" w:color="000000" w:sz="4" w:space="0"/>
            </w:tcBorders>
            <w:vAlign w:val="center"/>
          </w:tcPr>
          <w:p w14:paraId="5E143036">
            <w:pPr>
              <w:snapToGrid w:val="0"/>
              <w:jc w:val="center"/>
              <w:rPr>
                <w:rStyle w:val="28"/>
                <w:rFonts w:hint="eastAsia" w:hAnsi="宋体"/>
                <w:kern w:val="0"/>
              </w:rPr>
            </w:pPr>
            <w:r>
              <w:rPr>
                <w:rStyle w:val="28"/>
                <w:rFonts w:hint="eastAsia" w:hAnsi="宋体"/>
                <w:kern w:val="0"/>
              </w:rPr>
              <w:t>19</w:t>
            </w:r>
          </w:p>
        </w:tc>
        <w:tc>
          <w:tcPr>
            <w:tcW w:w="1577" w:type="dxa"/>
            <w:tcBorders>
              <w:top w:val="single" w:color="000000" w:sz="4" w:space="0"/>
              <w:left w:val="single" w:color="000000" w:sz="4" w:space="0"/>
              <w:bottom w:val="single" w:color="000000" w:sz="4" w:space="0"/>
              <w:right w:val="single" w:color="000000" w:sz="4" w:space="0"/>
            </w:tcBorders>
            <w:vAlign w:val="center"/>
          </w:tcPr>
          <w:p w14:paraId="478A7F47">
            <w:pPr>
              <w:snapToGrid w:val="0"/>
              <w:jc w:val="center"/>
              <w:rPr>
                <w:rFonts w:hint="eastAsia" w:hAnsi="宋体" w:eastAsia="宋体"/>
                <w:strike/>
                <w:kern w:val="0"/>
                <w:lang w:eastAsia="zh-CN"/>
              </w:rPr>
            </w:pPr>
            <w:r>
              <w:rPr>
                <w:rStyle w:val="28"/>
                <w:rFonts w:hint="eastAsia" w:hAnsi="宋体"/>
                <w:kern w:val="0"/>
                <w:lang w:eastAsia="zh-CN"/>
              </w:rPr>
              <w:t>最高投标限价</w:t>
            </w:r>
          </w:p>
        </w:tc>
        <w:tc>
          <w:tcPr>
            <w:tcW w:w="7370" w:type="dxa"/>
            <w:tcBorders>
              <w:top w:val="single" w:color="000000" w:sz="4" w:space="0"/>
              <w:left w:val="single" w:color="000000" w:sz="4" w:space="0"/>
              <w:bottom w:val="single" w:color="000000" w:sz="4" w:space="0"/>
            </w:tcBorders>
            <w:vAlign w:val="center"/>
          </w:tcPr>
          <w:p w14:paraId="2741A3B5">
            <w:pPr>
              <w:widowControl w:val="0"/>
              <w:jc w:val="left"/>
              <w:textAlignment w:val="auto"/>
              <w:rPr>
                <w:rFonts w:hint="eastAsia" w:hAnsi="宋体"/>
              </w:rPr>
            </w:pPr>
            <w:r>
              <w:rPr>
                <w:rFonts w:hint="eastAsia" w:hAnsi="宋体"/>
              </w:rPr>
              <w:t>本项目</w:t>
            </w:r>
            <w:r>
              <w:rPr>
                <w:rFonts w:hint="eastAsia" w:hAnsi="宋体"/>
                <w:lang w:eastAsia="zh-CN"/>
              </w:rPr>
              <w:t>最高投标限价</w:t>
            </w:r>
            <w:r>
              <w:rPr>
                <w:rFonts w:hint="eastAsia" w:hAnsi="宋体"/>
              </w:rPr>
              <w:t>、招标工程量清单、施工图纸在投标截止时间 15天前以补充通知的形式在广东省招标投标监管网（http://zbtb.gd.gov.cn/login）和全国公共资源交易平台（广东省·韶关市）（https://ygp.gdzwfw.gov.cn/ggzy-portal/#/440200/index）公布，各投标人自行下载。</w:t>
            </w:r>
          </w:p>
        </w:tc>
      </w:tr>
      <w:tr w14:paraId="4E354B7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758" w:type="dxa"/>
            <w:tcBorders>
              <w:top w:val="single" w:color="000000" w:sz="4" w:space="0"/>
              <w:bottom w:val="single" w:color="000000" w:sz="4" w:space="0"/>
              <w:right w:val="single" w:color="000000" w:sz="4" w:space="0"/>
            </w:tcBorders>
            <w:vAlign w:val="center"/>
          </w:tcPr>
          <w:p w14:paraId="48183B96">
            <w:pPr>
              <w:snapToGrid w:val="0"/>
              <w:jc w:val="center"/>
              <w:rPr>
                <w:rStyle w:val="28"/>
                <w:rFonts w:hint="eastAsia" w:hAnsi="宋体"/>
                <w:kern w:val="0"/>
              </w:rPr>
            </w:pPr>
            <w:r>
              <w:rPr>
                <w:rStyle w:val="28"/>
                <w:rFonts w:hint="eastAsia" w:hAnsi="宋体"/>
                <w:kern w:val="0"/>
              </w:rPr>
              <w:t>20</w:t>
            </w:r>
          </w:p>
        </w:tc>
        <w:tc>
          <w:tcPr>
            <w:tcW w:w="1577" w:type="dxa"/>
            <w:tcBorders>
              <w:top w:val="single" w:color="000000" w:sz="4" w:space="0"/>
              <w:left w:val="single" w:color="000000" w:sz="4" w:space="0"/>
              <w:bottom w:val="single" w:color="000000" w:sz="4" w:space="0"/>
              <w:right w:val="single" w:color="000000" w:sz="4" w:space="0"/>
            </w:tcBorders>
            <w:vAlign w:val="center"/>
          </w:tcPr>
          <w:p w14:paraId="64B2C713">
            <w:pPr>
              <w:snapToGrid w:val="0"/>
              <w:jc w:val="center"/>
              <w:rPr>
                <w:rStyle w:val="28"/>
                <w:rFonts w:hint="eastAsia" w:hAnsi="宋体"/>
                <w:kern w:val="0"/>
              </w:rPr>
            </w:pPr>
            <w:r>
              <w:rPr>
                <w:rStyle w:val="28"/>
                <w:rFonts w:hint="eastAsia" w:hAnsi="宋体"/>
                <w:kern w:val="0"/>
              </w:rPr>
              <w:t>投标人资格要求</w:t>
            </w:r>
          </w:p>
        </w:tc>
        <w:tc>
          <w:tcPr>
            <w:tcW w:w="7370" w:type="dxa"/>
            <w:tcBorders>
              <w:top w:val="single" w:color="000000" w:sz="4" w:space="0"/>
              <w:left w:val="single" w:color="000000" w:sz="4" w:space="0"/>
              <w:bottom w:val="single" w:color="000000" w:sz="4" w:space="0"/>
            </w:tcBorders>
            <w:vAlign w:val="center"/>
          </w:tcPr>
          <w:p w14:paraId="398C1F16">
            <w:pPr>
              <w:snapToGrid w:val="0"/>
              <w:jc w:val="left"/>
              <w:rPr>
                <w:rFonts w:hint="eastAsia" w:hAnsi="宋体"/>
              </w:rPr>
            </w:pPr>
            <w:r>
              <w:rPr>
                <w:rFonts w:hint="eastAsia" w:hAnsi="宋体"/>
              </w:rPr>
              <w:t>1.本次招标不接受联合体投标。</w:t>
            </w:r>
          </w:p>
          <w:p w14:paraId="4F915A25">
            <w:pPr>
              <w:snapToGrid w:val="0"/>
              <w:jc w:val="left"/>
              <w:rPr>
                <w:rFonts w:hint="eastAsia" w:hAnsi="宋体"/>
              </w:rPr>
            </w:pPr>
            <w:r>
              <w:rPr>
                <w:rFonts w:hint="eastAsia" w:hAnsi="宋体"/>
              </w:rPr>
              <w:t>2.资质要求</w:t>
            </w:r>
          </w:p>
          <w:p w14:paraId="163C1E67">
            <w:pPr>
              <w:snapToGrid w:val="0"/>
              <w:jc w:val="left"/>
              <w:rPr>
                <w:rFonts w:hint="eastAsia" w:hAnsi="宋体"/>
              </w:rPr>
            </w:pPr>
            <w:r>
              <w:rPr>
                <w:rFonts w:hint="eastAsia" w:hAnsi="宋体"/>
              </w:rPr>
              <w:t>2.1 投标人须具备独立法人资格，按国家法律经营。</w:t>
            </w:r>
          </w:p>
          <w:p w14:paraId="1B670A8B">
            <w:pPr>
              <w:snapToGrid w:val="0"/>
              <w:jc w:val="left"/>
              <w:rPr>
                <w:rFonts w:hint="eastAsia" w:hAnsi="宋体"/>
              </w:rPr>
            </w:pPr>
            <w:r>
              <w:rPr>
                <w:rFonts w:hint="eastAsia" w:hAnsi="宋体"/>
              </w:rPr>
              <w:t>2.2 投标人须持有建设行政主管部门颁发的企业资质证书及安全生产许可证。</w:t>
            </w:r>
          </w:p>
          <w:p w14:paraId="5B0C4804">
            <w:pPr>
              <w:snapToGrid w:val="0"/>
              <w:jc w:val="left"/>
              <w:rPr>
                <w:rFonts w:hint="eastAsia" w:hAnsi="宋体"/>
              </w:rPr>
            </w:pPr>
            <w:r>
              <w:rPr>
                <w:rFonts w:hint="eastAsia" w:hAnsi="宋体"/>
              </w:rPr>
              <w:t>2.3</w:t>
            </w:r>
            <w:bookmarkStart w:id="769" w:name="_GoBack"/>
            <w:bookmarkEnd w:id="769"/>
            <w:r>
              <w:rPr>
                <w:rFonts w:hint="eastAsia" w:hAnsi="宋体"/>
              </w:rPr>
              <w:t xml:space="preserve"> 投标人须具备以下资质：建筑工程施工总承包三级及以上（含三级）资质。</w:t>
            </w:r>
          </w:p>
          <w:p w14:paraId="0133B346">
            <w:pPr>
              <w:snapToGrid w:val="0"/>
              <w:jc w:val="left"/>
              <w:rPr>
                <w:rFonts w:hint="eastAsia" w:hAnsi="宋体"/>
              </w:rPr>
            </w:pPr>
            <w:r>
              <w:rPr>
                <w:rFonts w:hint="eastAsia" w:hAnsi="宋体"/>
              </w:rPr>
              <w:t>3.相关人员要求</w:t>
            </w:r>
          </w:p>
          <w:p w14:paraId="37713489">
            <w:pPr>
              <w:snapToGrid w:val="0"/>
              <w:jc w:val="left"/>
              <w:rPr>
                <w:rFonts w:hint="eastAsia" w:hAnsi="宋体"/>
              </w:rPr>
            </w:pPr>
            <w:r>
              <w:rPr>
                <w:rFonts w:hint="eastAsia" w:hAnsi="宋体"/>
              </w:rPr>
              <w:t>3.1 拟派项目经理为建筑工程专业一级注册建造师，应持有住建部门印发的在有效期内的电子注册证书，同时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0CF936C7">
            <w:pPr>
              <w:snapToGrid w:val="0"/>
              <w:rPr>
                <w:rFonts w:hint="eastAsia" w:hAnsi="宋体"/>
              </w:rPr>
            </w:pPr>
            <w:r>
              <w:rPr>
                <w:rFonts w:hint="eastAsia" w:hAnsi="宋体"/>
              </w:rPr>
              <w:t>3.2拟派项目技术负责人须具备建筑工程相关专业类中级以上（含中级）技术职称。</w:t>
            </w:r>
          </w:p>
          <w:p w14:paraId="4FB7286A">
            <w:pPr>
              <w:snapToGrid w:val="0"/>
              <w:jc w:val="left"/>
              <w:rPr>
                <w:rFonts w:hint="eastAsia" w:hAnsi="宋体"/>
              </w:rPr>
            </w:pPr>
            <w:r>
              <w:rPr>
                <w:rFonts w:hint="eastAsia" w:hAnsi="宋体"/>
              </w:rPr>
              <w:t>3.3 拟派专职安全生产管理人员须具备有效安全生产考核合格证明（C证，安全生产考核合格证书或“广东省建筑施工企业管理人员安全生产考核系统”考核合格信息打印页），且不少于2人。</w:t>
            </w:r>
          </w:p>
          <w:p w14:paraId="40964638">
            <w:pPr>
              <w:snapToGrid w:val="0"/>
              <w:rPr>
                <w:rFonts w:hint="eastAsia" w:hAnsi="宋体"/>
              </w:rPr>
            </w:pPr>
            <w:r>
              <w:rPr>
                <w:rFonts w:hint="eastAsia" w:hAnsi="宋体"/>
              </w:rPr>
              <w:t>3.4 投标人与其拟派往本项目管理机构的所有人员之间必须具备合法、唯一的劳动聘用关系。拟派人员中具备注册执业资格的，其注册单位须与投标人保持一致。</w:t>
            </w:r>
          </w:p>
          <w:p w14:paraId="6010B8C5">
            <w:pPr>
              <w:snapToGrid w:val="0"/>
              <w:rPr>
                <w:rFonts w:hint="eastAsia" w:hAnsi="宋体"/>
              </w:rPr>
            </w:pPr>
            <w:r>
              <w:rPr>
                <w:rFonts w:hint="eastAsia" w:hAnsi="宋体"/>
              </w:rPr>
              <w:t>4.禁止投标条款：</w:t>
            </w:r>
          </w:p>
          <w:p w14:paraId="7C8D4304">
            <w:pPr>
              <w:snapToGrid w:val="0"/>
              <w:rPr>
                <w:rFonts w:hint="eastAsia" w:hAnsi="宋体"/>
              </w:rPr>
            </w:pPr>
            <w:r>
              <w:rPr>
                <w:rFonts w:hint="eastAsia" w:hAnsi="宋体"/>
              </w:rPr>
              <w:t xml:space="preserve">4.1投标人不得存在下列情形之一：    </w:t>
            </w:r>
          </w:p>
          <w:p w14:paraId="5250EE68">
            <w:pPr>
              <w:wordWrap w:val="0"/>
              <w:adjustRightInd w:val="0"/>
              <w:snapToGrid w:val="0"/>
              <w:rPr>
                <w:rFonts w:hint="eastAsia" w:hAnsi="宋体"/>
              </w:rPr>
            </w:pPr>
            <w:r>
              <w:rPr>
                <w:rFonts w:hint="eastAsia" w:hAnsi="宋体"/>
              </w:rPr>
              <w:t>（1）为招标人不具有独立法人资格的附属机构（单位）；</w:t>
            </w:r>
          </w:p>
          <w:p w14:paraId="05D6F2A9">
            <w:pPr>
              <w:wordWrap w:val="0"/>
              <w:adjustRightInd w:val="0"/>
              <w:snapToGrid w:val="0"/>
              <w:rPr>
                <w:rFonts w:hint="eastAsia" w:hAnsi="宋体"/>
              </w:rPr>
            </w:pPr>
            <w:r>
              <w:rPr>
                <w:rFonts w:hint="eastAsia" w:hAnsi="宋体"/>
              </w:rPr>
              <w:t>（2）为本招标项目前期准备提供设计或咨询服务的；</w:t>
            </w:r>
          </w:p>
          <w:p w14:paraId="2227FFEF">
            <w:pPr>
              <w:wordWrap w:val="0"/>
              <w:adjustRightInd w:val="0"/>
              <w:snapToGrid w:val="0"/>
              <w:rPr>
                <w:rFonts w:hint="eastAsia" w:hAnsi="宋体"/>
              </w:rPr>
            </w:pPr>
            <w:r>
              <w:rPr>
                <w:rFonts w:hint="eastAsia" w:hAnsi="宋体"/>
              </w:rPr>
              <w:t>（3）与本招标项目的其他投标人为同一个单位负责人；</w:t>
            </w:r>
          </w:p>
          <w:p w14:paraId="739232B0">
            <w:pPr>
              <w:wordWrap w:val="0"/>
              <w:adjustRightInd w:val="0"/>
              <w:snapToGrid w:val="0"/>
              <w:rPr>
                <w:rFonts w:hint="eastAsia" w:hAnsi="宋体"/>
              </w:rPr>
            </w:pPr>
            <w:r>
              <w:rPr>
                <w:rFonts w:hint="eastAsia" w:hAnsi="宋体"/>
              </w:rPr>
              <w:t>（4）与本招标项目的其他投标人存在控股、管理关系；</w:t>
            </w:r>
          </w:p>
          <w:p w14:paraId="4AAF72FD">
            <w:pPr>
              <w:wordWrap w:val="0"/>
              <w:adjustRightInd w:val="0"/>
              <w:snapToGrid w:val="0"/>
              <w:rPr>
                <w:rFonts w:hint="eastAsia" w:hAnsi="宋体"/>
              </w:rPr>
            </w:pPr>
            <w:r>
              <w:rPr>
                <w:rFonts w:hint="eastAsia" w:hAnsi="宋体"/>
              </w:rPr>
              <w:t>（5）为本招标项目的监理人；</w:t>
            </w:r>
          </w:p>
          <w:p w14:paraId="47DB20DD">
            <w:pPr>
              <w:wordWrap w:val="0"/>
              <w:adjustRightInd w:val="0"/>
              <w:snapToGrid w:val="0"/>
              <w:rPr>
                <w:rFonts w:hint="eastAsia" w:hAnsi="宋体"/>
              </w:rPr>
            </w:pPr>
            <w:r>
              <w:rPr>
                <w:rFonts w:hint="eastAsia" w:hAnsi="宋体"/>
              </w:rPr>
              <w:t>（6）为本招标项目的代建人；</w:t>
            </w:r>
          </w:p>
          <w:p w14:paraId="3C8886AB">
            <w:pPr>
              <w:wordWrap w:val="0"/>
              <w:adjustRightInd w:val="0"/>
              <w:snapToGrid w:val="0"/>
              <w:rPr>
                <w:rFonts w:hint="eastAsia" w:hAnsi="宋体"/>
              </w:rPr>
            </w:pPr>
            <w:r>
              <w:rPr>
                <w:rFonts w:hint="eastAsia" w:hAnsi="宋体"/>
              </w:rPr>
              <w:t>（7）为本招标项目的招标代理机构；</w:t>
            </w:r>
          </w:p>
          <w:p w14:paraId="5CA3136E">
            <w:pPr>
              <w:wordWrap w:val="0"/>
              <w:adjustRightInd w:val="0"/>
              <w:snapToGrid w:val="0"/>
              <w:rPr>
                <w:rFonts w:hint="eastAsia" w:hAnsi="宋体"/>
              </w:rPr>
            </w:pPr>
            <w:r>
              <w:rPr>
                <w:rFonts w:hint="eastAsia" w:hAnsi="宋体"/>
              </w:rPr>
              <w:t>（8）与本招标项目的监理人或代建人或招标代理机构同为一个法定代表人；</w:t>
            </w:r>
          </w:p>
          <w:p w14:paraId="772D3D79">
            <w:pPr>
              <w:wordWrap w:val="0"/>
              <w:adjustRightInd w:val="0"/>
              <w:snapToGrid w:val="0"/>
              <w:rPr>
                <w:rFonts w:hint="eastAsia" w:hAnsi="宋体"/>
              </w:rPr>
            </w:pPr>
            <w:r>
              <w:rPr>
                <w:rFonts w:hint="eastAsia" w:hAnsi="宋体"/>
              </w:rPr>
              <w:t>（9）与本招标项目的监理人或代建人或招标代理机构存在控股或参股关系；</w:t>
            </w:r>
          </w:p>
          <w:p w14:paraId="1D9C34FC">
            <w:pPr>
              <w:wordWrap w:val="0"/>
              <w:adjustRightInd w:val="0"/>
              <w:snapToGrid w:val="0"/>
              <w:rPr>
                <w:rFonts w:hint="eastAsia" w:hAnsi="宋体"/>
              </w:rPr>
            </w:pPr>
            <w:r>
              <w:rPr>
                <w:rFonts w:hint="eastAsia" w:hAnsi="宋体"/>
              </w:rPr>
              <w:t>（10）与本招标项目的监理人或代建人或招标代理机构存在相互任职或工作关系；</w:t>
            </w:r>
          </w:p>
          <w:p w14:paraId="0CA95BED">
            <w:pPr>
              <w:wordWrap w:val="0"/>
              <w:adjustRightInd w:val="0"/>
              <w:snapToGrid w:val="0"/>
              <w:rPr>
                <w:rFonts w:hint="eastAsia" w:hAnsi="宋体"/>
              </w:rPr>
            </w:pPr>
            <w:r>
              <w:rPr>
                <w:rFonts w:hint="eastAsia" w:hAnsi="宋体"/>
              </w:rPr>
              <w:t>（11）被依法暂停或者取消投标资格；</w:t>
            </w:r>
          </w:p>
          <w:p w14:paraId="5838454C">
            <w:pPr>
              <w:wordWrap w:val="0"/>
              <w:adjustRightInd w:val="0"/>
              <w:snapToGrid w:val="0"/>
              <w:rPr>
                <w:rFonts w:hint="eastAsia" w:hAnsi="宋体"/>
              </w:rPr>
            </w:pPr>
            <w:r>
              <w:rPr>
                <w:rFonts w:hint="eastAsia" w:hAnsi="宋体"/>
              </w:rPr>
              <w:t>（12）被责令停产停业、暂扣或者吊销许可证、暂扣或者吊销执照；</w:t>
            </w:r>
          </w:p>
          <w:p w14:paraId="01C76947">
            <w:pPr>
              <w:wordWrap w:val="0"/>
              <w:adjustRightInd w:val="0"/>
              <w:snapToGrid w:val="0"/>
              <w:rPr>
                <w:rFonts w:hint="eastAsia" w:hAnsi="宋体"/>
              </w:rPr>
            </w:pPr>
            <w:r>
              <w:rPr>
                <w:rFonts w:hint="eastAsia" w:hAnsi="宋体"/>
              </w:rPr>
              <w:t>（13）进入清算程序，或被宣告破产，或其他丧失履约能力的情形；</w:t>
            </w:r>
          </w:p>
          <w:p w14:paraId="5A1E7526">
            <w:pPr>
              <w:wordWrap w:val="0"/>
              <w:adjustRightInd w:val="0"/>
              <w:snapToGrid w:val="0"/>
              <w:rPr>
                <w:rFonts w:hint="eastAsia" w:hAnsi="宋体"/>
              </w:rPr>
            </w:pPr>
            <w:r>
              <w:rPr>
                <w:rFonts w:hint="eastAsia" w:hAnsi="宋体"/>
              </w:rPr>
              <w:t>（14）在最近三年内发生重大工程质量或安全问题（以相关行业主管部门的行政处罚决定或司法机关出具的有关法律文书为准）；</w:t>
            </w:r>
          </w:p>
          <w:p w14:paraId="5D812106">
            <w:pPr>
              <w:wordWrap w:val="0"/>
              <w:adjustRightInd w:val="0"/>
              <w:snapToGrid w:val="0"/>
              <w:rPr>
                <w:rFonts w:hint="eastAsia" w:hAnsi="宋体"/>
              </w:rPr>
            </w:pPr>
            <w:r>
              <w:rPr>
                <w:rFonts w:hint="eastAsia" w:hAnsi="宋体"/>
              </w:rPr>
              <w:t>（15）被“信用中国”网站（https://www.creditchina.gov.cn）发布的《法人和非法人组织公共信用信息报告》列为严重失信主体名单的。</w:t>
            </w:r>
          </w:p>
          <w:p w14:paraId="3DDCDB71">
            <w:pPr>
              <w:snapToGrid w:val="0"/>
              <w:rPr>
                <w:rFonts w:hint="eastAsia" w:hAnsi="宋体"/>
              </w:rPr>
            </w:pPr>
            <w:r>
              <w:rPr>
                <w:rFonts w:hint="eastAsia" w:hAnsi="宋体"/>
              </w:rPr>
              <w:t>4.2 招标人拒绝以下名单中的单位参加本次投标：</w:t>
            </w:r>
          </w:p>
          <w:tbl>
            <w:tblPr>
              <w:tblStyle w:val="19"/>
              <w:tblW w:w="7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792"/>
              <w:gridCol w:w="3606"/>
            </w:tblGrid>
            <w:tr w14:paraId="0FCD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41" w:type="dxa"/>
                  <w:vAlign w:val="center"/>
                </w:tcPr>
                <w:p w14:paraId="5CDB45FB">
                  <w:pPr>
                    <w:wordWrap w:val="0"/>
                    <w:adjustRightInd w:val="0"/>
                    <w:snapToGrid w:val="0"/>
                    <w:ind w:right="-218" w:rightChars="-91"/>
                    <w:rPr>
                      <w:rFonts w:hint="eastAsia" w:hAnsi="宋体"/>
                      <w:sz w:val="21"/>
                      <w:szCs w:val="21"/>
                    </w:rPr>
                  </w:pPr>
                  <w:r>
                    <w:rPr>
                      <w:rFonts w:hint="eastAsia" w:hAnsi="宋体"/>
                      <w:sz w:val="21"/>
                      <w:szCs w:val="21"/>
                    </w:rPr>
                    <w:t>序号</w:t>
                  </w:r>
                </w:p>
              </w:tc>
              <w:tc>
                <w:tcPr>
                  <w:tcW w:w="2792" w:type="dxa"/>
                  <w:vAlign w:val="center"/>
                </w:tcPr>
                <w:p w14:paraId="63189668">
                  <w:pPr>
                    <w:wordWrap w:val="0"/>
                    <w:adjustRightInd w:val="0"/>
                    <w:snapToGrid w:val="0"/>
                    <w:ind w:right="-206" w:rightChars="-86"/>
                    <w:jc w:val="center"/>
                    <w:rPr>
                      <w:rFonts w:hint="eastAsia" w:hAnsi="宋体"/>
                      <w:sz w:val="21"/>
                      <w:szCs w:val="21"/>
                    </w:rPr>
                  </w:pPr>
                  <w:r>
                    <w:rPr>
                      <w:rFonts w:hint="eastAsia" w:hAnsi="宋体"/>
                      <w:sz w:val="21"/>
                      <w:szCs w:val="21"/>
                    </w:rPr>
                    <w:t>单位名称</w:t>
                  </w:r>
                </w:p>
              </w:tc>
              <w:tc>
                <w:tcPr>
                  <w:tcW w:w="3606" w:type="dxa"/>
                  <w:vAlign w:val="center"/>
                </w:tcPr>
                <w:p w14:paraId="414F0705">
                  <w:pPr>
                    <w:wordWrap w:val="0"/>
                    <w:adjustRightInd w:val="0"/>
                    <w:snapToGrid w:val="0"/>
                    <w:jc w:val="center"/>
                    <w:rPr>
                      <w:rFonts w:hint="eastAsia" w:hAnsi="宋体"/>
                      <w:sz w:val="21"/>
                      <w:szCs w:val="21"/>
                    </w:rPr>
                  </w:pPr>
                  <w:r>
                    <w:rPr>
                      <w:rFonts w:hint="eastAsia" w:hAnsi="宋体"/>
                      <w:sz w:val="21"/>
                      <w:szCs w:val="21"/>
                    </w:rPr>
                    <w:t>拒绝原因</w:t>
                  </w:r>
                </w:p>
              </w:tc>
            </w:tr>
            <w:tr w14:paraId="0A6B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641" w:type="dxa"/>
                  <w:vAlign w:val="center"/>
                </w:tcPr>
                <w:p w14:paraId="4E1ABAA6">
                  <w:pPr>
                    <w:pStyle w:val="34"/>
                    <w:wordWrap w:val="0"/>
                    <w:adjustRightInd w:val="0"/>
                    <w:snapToGrid w:val="0"/>
                    <w:spacing w:line="360" w:lineRule="auto"/>
                    <w:jc w:val="center"/>
                    <w:rPr>
                      <w:rFonts w:hint="eastAsia" w:ascii="宋体" w:hAnsi="宋体" w:cs="宋体"/>
                    </w:rPr>
                  </w:pPr>
                  <w:r>
                    <w:rPr>
                      <w:rFonts w:hint="eastAsia" w:ascii="宋体" w:hAnsi="宋体" w:cs="宋体"/>
                    </w:rPr>
                    <w:t>1</w:t>
                  </w:r>
                </w:p>
              </w:tc>
              <w:tc>
                <w:tcPr>
                  <w:tcW w:w="2792" w:type="dxa"/>
                  <w:vAlign w:val="center"/>
                </w:tcPr>
                <w:p w14:paraId="72774C71">
                  <w:pPr>
                    <w:wordWrap w:val="0"/>
                    <w:adjustRightInd w:val="0"/>
                    <w:snapToGrid w:val="0"/>
                    <w:jc w:val="center"/>
                    <w:rPr>
                      <w:rFonts w:hint="eastAsia" w:hAnsi="宋体"/>
                      <w:sz w:val="21"/>
                      <w:szCs w:val="21"/>
                    </w:rPr>
                  </w:pPr>
                  <w:r>
                    <w:rPr>
                      <w:rFonts w:hint="eastAsia" w:hAnsi="宋体"/>
                      <w:sz w:val="21"/>
                      <w:szCs w:val="21"/>
                    </w:rPr>
                    <w:t>广东韶关数据产业投资发展有限公司</w:t>
                  </w:r>
                </w:p>
              </w:tc>
              <w:tc>
                <w:tcPr>
                  <w:tcW w:w="3606" w:type="dxa"/>
                  <w:vAlign w:val="center"/>
                </w:tcPr>
                <w:p w14:paraId="65BC7898">
                  <w:pPr>
                    <w:wordWrap w:val="0"/>
                    <w:adjustRightInd w:val="0"/>
                    <w:snapToGrid w:val="0"/>
                    <w:jc w:val="center"/>
                    <w:rPr>
                      <w:rFonts w:hint="eastAsia" w:hAnsi="宋体"/>
                      <w:sz w:val="21"/>
                      <w:szCs w:val="21"/>
                    </w:rPr>
                  </w:pPr>
                  <w:r>
                    <w:rPr>
                      <w:rFonts w:hint="eastAsia" w:hAnsi="宋体"/>
                      <w:sz w:val="21"/>
                      <w:szCs w:val="21"/>
                    </w:rPr>
                    <w:t>为本招标项目的业主、招标人</w:t>
                  </w:r>
                </w:p>
              </w:tc>
            </w:tr>
            <w:tr w14:paraId="4C25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41" w:type="dxa"/>
                  <w:vAlign w:val="center"/>
                </w:tcPr>
                <w:p w14:paraId="51B4A0E0">
                  <w:pPr>
                    <w:pStyle w:val="34"/>
                    <w:wordWrap w:val="0"/>
                    <w:adjustRightInd w:val="0"/>
                    <w:snapToGrid w:val="0"/>
                    <w:spacing w:line="360" w:lineRule="auto"/>
                    <w:jc w:val="center"/>
                    <w:rPr>
                      <w:rFonts w:hint="eastAsia" w:ascii="宋体" w:hAnsi="宋体" w:cs="宋体"/>
                    </w:rPr>
                  </w:pPr>
                  <w:r>
                    <w:rPr>
                      <w:rFonts w:hint="eastAsia" w:ascii="宋体" w:hAnsi="宋体" w:cs="宋体"/>
                    </w:rPr>
                    <w:t>2</w:t>
                  </w:r>
                </w:p>
              </w:tc>
              <w:tc>
                <w:tcPr>
                  <w:tcW w:w="2792" w:type="dxa"/>
                  <w:vAlign w:val="center"/>
                </w:tcPr>
                <w:p w14:paraId="198C8D2A">
                  <w:pPr>
                    <w:wordWrap w:val="0"/>
                    <w:adjustRightInd w:val="0"/>
                    <w:snapToGrid w:val="0"/>
                    <w:jc w:val="center"/>
                    <w:rPr>
                      <w:rFonts w:hint="eastAsia" w:hAnsi="宋体"/>
                      <w:sz w:val="21"/>
                      <w:szCs w:val="21"/>
                    </w:rPr>
                  </w:pPr>
                  <w:r>
                    <w:rPr>
                      <w:rFonts w:hint="eastAsia" w:hAnsi="宋体"/>
                      <w:sz w:val="21"/>
                      <w:szCs w:val="21"/>
                    </w:rPr>
                    <w:t>上海邮电设计咨询研究院有限公司</w:t>
                  </w:r>
                </w:p>
              </w:tc>
              <w:tc>
                <w:tcPr>
                  <w:tcW w:w="3606" w:type="dxa"/>
                  <w:vAlign w:val="center"/>
                </w:tcPr>
                <w:p w14:paraId="40104B4A">
                  <w:pPr>
                    <w:wordWrap w:val="0"/>
                    <w:adjustRightInd w:val="0"/>
                    <w:snapToGrid w:val="0"/>
                    <w:jc w:val="center"/>
                    <w:rPr>
                      <w:rFonts w:hint="eastAsia" w:hAnsi="宋体"/>
                      <w:sz w:val="21"/>
                      <w:szCs w:val="21"/>
                    </w:rPr>
                  </w:pPr>
                  <w:r>
                    <w:rPr>
                      <w:rFonts w:hint="eastAsia" w:hAnsi="宋体"/>
                      <w:sz w:val="21"/>
                      <w:szCs w:val="21"/>
                    </w:rPr>
                    <w:t>为本招标项目的可行性研究报告编制单位</w:t>
                  </w:r>
                </w:p>
              </w:tc>
            </w:tr>
            <w:tr w14:paraId="0357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41" w:type="dxa"/>
                  <w:vAlign w:val="center"/>
                </w:tcPr>
                <w:p w14:paraId="4AC410F2">
                  <w:pPr>
                    <w:pStyle w:val="34"/>
                    <w:wordWrap w:val="0"/>
                    <w:adjustRightInd w:val="0"/>
                    <w:snapToGrid w:val="0"/>
                    <w:spacing w:line="360" w:lineRule="auto"/>
                    <w:jc w:val="center"/>
                    <w:rPr>
                      <w:rFonts w:hint="eastAsia" w:ascii="宋体" w:hAnsi="宋体" w:cs="宋体"/>
                    </w:rPr>
                  </w:pPr>
                  <w:r>
                    <w:rPr>
                      <w:rFonts w:hint="eastAsia" w:ascii="宋体" w:hAnsi="宋体" w:cs="宋体"/>
                    </w:rPr>
                    <w:t>3</w:t>
                  </w:r>
                </w:p>
              </w:tc>
              <w:tc>
                <w:tcPr>
                  <w:tcW w:w="2792" w:type="dxa"/>
                  <w:vAlign w:val="center"/>
                </w:tcPr>
                <w:p w14:paraId="5ECAF731">
                  <w:pPr>
                    <w:wordWrap w:val="0"/>
                    <w:adjustRightInd w:val="0"/>
                    <w:snapToGrid w:val="0"/>
                    <w:jc w:val="center"/>
                    <w:rPr>
                      <w:rFonts w:hint="eastAsia" w:hAnsi="宋体"/>
                      <w:sz w:val="21"/>
                      <w:szCs w:val="21"/>
                    </w:rPr>
                  </w:pPr>
                  <w:r>
                    <w:rPr>
                      <w:rFonts w:hint="eastAsia" w:hAnsi="宋体"/>
                      <w:sz w:val="21"/>
                      <w:szCs w:val="21"/>
                    </w:rPr>
                    <w:t>广东省电信规划设计院有限公司</w:t>
                  </w:r>
                </w:p>
              </w:tc>
              <w:tc>
                <w:tcPr>
                  <w:tcW w:w="3606" w:type="dxa"/>
                  <w:vAlign w:val="center"/>
                </w:tcPr>
                <w:p w14:paraId="2B7A067E">
                  <w:pPr>
                    <w:wordWrap w:val="0"/>
                    <w:adjustRightInd w:val="0"/>
                    <w:snapToGrid w:val="0"/>
                    <w:jc w:val="center"/>
                    <w:rPr>
                      <w:rFonts w:hint="eastAsia" w:hAnsi="宋体"/>
                      <w:sz w:val="21"/>
                      <w:szCs w:val="21"/>
                    </w:rPr>
                  </w:pPr>
                  <w:r>
                    <w:rPr>
                      <w:rFonts w:hint="eastAsia" w:hAnsi="宋体"/>
                      <w:sz w:val="21"/>
                      <w:szCs w:val="21"/>
                    </w:rPr>
                    <w:t>为本招标项目的方案设计及初步设计单位</w:t>
                  </w:r>
                </w:p>
              </w:tc>
            </w:tr>
            <w:tr w14:paraId="344C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41" w:type="dxa"/>
                  <w:vAlign w:val="center"/>
                </w:tcPr>
                <w:p w14:paraId="5B8521EB">
                  <w:pPr>
                    <w:pStyle w:val="34"/>
                    <w:wordWrap w:val="0"/>
                    <w:adjustRightInd w:val="0"/>
                    <w:snapToGrid w:val="0"/>
                    <w:spacing w:line="360" w:lineRule="auto"/>
                    <w:jc w:val="center"/>
                    <w:rPr>
                      <w:rFonts w:hint="eastAsia" w:ascii="宋体" w:hAnsi="宋体" w:cs="宋体"/>
                    </w:rPr>
                  </w:pPr>
                  <w:r>
                    <w:rPr>
                      <w:rFonts w:hint="eastAsia" w:ascii="宋体" w:hAnsi="宋体" w:cs="宋体"/>
                    </w:rPr>
                    <w:t>4</w:t>
                  </w:r>
                </w:p>
              </w:tc>
              <w:tc>
                <w:tcPr>
                  <w:tcW w:w="2792" w:type="dxa"/>
                  <w:vAlign w:val="center"/>
                </w:tcPr>
                <w:p w14:paraId="1D7310C3">
                  <w:pPr>
                    <w:wordWrap w:val="0"/>
                    <w:adjustRightInd w:val="0"/>
                    <w:snapToGrid w:val="0"/>
                    <w:jc w:val="center"/>
                    <w:rPr>
                      <w:rFonts w:hint="eastAsia" w:hAnsi="宋体"/>
                      <w:sz w:val="21"/>
                      <w:szCs w:val="21"/>
                    </w:rPr>
                  </w:pPr>
                  <w:r>
                    <w:rPr>
                      <w:rFonts w:hint="eastAsia" w:hAnsi="宋体"/>
                      <w:sz w:val="21"/>
                      <w:szCs w:val="21"/>
                    </w:rPr>
                    <w:t>千亿设计集团有限公司</w:t>
                  </w:r>
                </w:p>
              </w:tc>
              <w:tc>
                <w:tcPr>
                  <w:tcW w:w="3606" w:type="dxa"/>
                  <w:vAlign w:val="center"/>
                </w:tcPr>
                <w:p w14:paraId="6256BAE4">
                  <w:pPr>
                    <w:wordWrap w:val="0"/>
                    <w:adjustRightInd w:val="0"/>
                    <w:snapToGrid w:val="0"/>
                    <w:jc w:val="center"/>
                    <w:rPr>
                      <w:rFonts w:hint="eastAsia" w:hAnsi="宋体"/>
                      <w:sz w:val="21"/>
                      <w:szCs w:val="21"/>
                    </w:rPr>
                  </w:pPr>
                  <w:r>
                    <w:rPr>
                      <w:rFonts w:hint="eastAsia" w:hAnsi="宋体"/>
                      <w:sz w:val="21"/>
                      <w:szCs w:val="21"/>
                    </w:rPr>
                    <w:t>为本招标项目的设计单位</w:t>
                  </w:r>
                </w:p>
              </w:tc>
            </w:tr>
            <w:tr w14:paraId="4A6D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41" w:type="dxa"/>
                  <w:vAlign w:val="center"/>
                </w:tcPr>
                <w:p w14:paraId="7B2B598C">
                  <w:pPr>
                    <w:pStyle w:val="34"/>
                    <w:wordWrap w:val="0"/>
                    <w:adjustRightInd w:val="0"/>
                    <w:snapToGrid w:val="0"/>
                    <w:spacing w:line="360" w:lineRule="auto"/>
                    <w:jc w:val="center"/>
                    <w:rPr>
                      <w:rFonts w:hint="eastAsia" w:ascii="宋体" w:hAnsi="宋体" w:cs="宋体"/>
                    </w:rPr>
                  </w:pPr>
                  <w:r>
                    <w:rPr>
                      <w:rFonts w:hint="eastAsia" w:ascii="宋体" w:hAnsi="宋体" w:cs="宋体"/>
                    </w:rPr>
                    <w:t>5</w:t>
                  </w:r>
                </w:p>
              </w:tc>
              <w:tc>
                <w:tcPr>
                  <w:tcW w:w="2792" w:type="dxa"/>
                  <w:vAlign w:val="center"/>
                </w:tcPr>
                <w:p w14:paraId="49173D54">
                  <w:pPr>
                    <w:jc w:val="center"/>
                    <w:rPr>
                      <w:rFonts w:hint="eastAsia" w:hAnsi="宋体"/>
                      <w:sz w:val="21"/>
                      <w:szCs w:val="21"/>
                    </w:rPr>
                  </w:pPr>
                  <w:r>
                    <w:rPr>
                      <w:rFonts w:hint="eastAsia" w:hAnsi="宋体"/>
                      <w:sz w:val="21"/>
                      <w:szCs w:val="21"/>
                    </w:rPr>
                    <w:t>广东欧采工程管理有限公司</w:t>
                  </w:r>
                </w:p>
              </w:tc>
              <w:tc>
                <w:tcPr>
                  <w:tcW w:w="3606" w:type="dxa"/>
                  <w:vAlign w:val="center"/>
                </w:tcPr>
                <w:p w14:paraId="1B98A7E5">
                  <w:pPr>
                    <w:jc w:val="center"/>
                    <w:rPr>
                      <w:rFonts w:hint="eastAsia" w:hAnsi="宋体"/>
                      <w:sz w:val="21"/>
                      <w:szCs w:val="21"/>
                    </w:rPr>
                  </w:pPr>
                  <w:r>
                    <w:rPr>
                      <w:rFonts w:hint="eastAsia" w:hAnsi="宋体"/>
                      <w:sz w:val="21"/>
                      <w:szCs w:val="21"/>
                    </w:rPr>
                    <w:t>为本招标项目的造价咨询单位</w:t>
                  </w:r>
                </w:p>
              </w:tc>
            </w:tr>
            <w:tr w14:paraId="2E9F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641" w:type="dxa"/>
                  <w:vAlign w:val="center"/>
                </w:tcPr>
                <w:p w14:paraId="6D1E631C">
                  <w:pPr>
                    <w:pStyle w:val="34"/>
                    <w:wordWrap w:val="0"/>
                    <w:adjustRightInd w:val="0"/>
                    <w:snapToGrid w:val="0"/>
                    <w:spacing w:line="360" w:lineRule="auto"/>
                    <w:jc w:val="center"/>
                    <w:rPr>
                      <w:rFonts w:hint="eastAsia" w:ascii="宋体" w:hAnsi="宋体" w:cs="宋体"/>
                    </w:rPr>
                  </w:pPr>
                  <w:r>
                    <w:rPr>
                      <w:rFonts w:hint="eastAsia" w:ascii="宋体" w:hAnsi="宋体" w:cs="宋体"/>
                    </w:rPr>
                    <w:t>6</w:t>
                  </w:r>
                </w:p>
              </w:tc>
              <w:tc>
                <w:tcPr>
                  <w:tcW w:w="2792" w:type="dxa"/>
                  <w:vAlign w:val="center"/>
                </w:tcPr>
                <w:p w14:paraId="41CD19B7">
                  <w:pPr>
                    <w:wordWrap w:val="0"/>
                    <w:adjustRightInd w:val="0"/>
                    <w:snapToGrid w:val="0"/>
                    <w:jc w:val="center"/>
                    <w:rPr>
                      <w:rFonts w:hint="eastAsia" w:hAnsi="宋体"/>
                      <w:sz w:val="21"/>
                      <w:szCs w:val="21"/>
                    </w:rPr>
                  </w:pPr>
                  <w:r>
                    <w:rPr>
                      <w:rFonts w:hint="eastAsia" w:hAnsi="宋体"/>
                      <w:sz w:val="21"/>
                      <w:szCs w:val="21"/>
                    </w:rPr>
                    <w:t>首盛国际工程咨询集团有限公司</w:t>
                  </w:r>
                </w:p>
              </w:tc>
              <w:tc>
                <w:tcPr>
                  <w:tcW w:w="3606" w:type="dxa"/>
                  <w:vAlign w:val="center"/>
                </w:tcPr>
                <w:p w14:paraId="746054B9">
                  <w:pPr>
                    <w:wordWrap w:val="0"/>
                    <w:adjustRightInd w:val="0"/>
                    <w:snapToGrid w:val="0"/>
                    <w:jc w:val="center"/>
                    <w:rPr>
                      <w:rFonts w:hint="eastAsia" w:hAnsi="宋体"/>
                      <w:sz w:val="21"/>
                      <w:szCs w:val="21"/>
                    </w:rPr>
                  </w:pPr>
                  <w:r>
                    <w:rPr>
                      <w:rFonts w:hint="eastAsia" w:hAnsi="宋体"/>
                      <w:sz w:val="21"/>
                      <w:szCs w:val="21"/>
                    </w:rPr>
                    <w:t>为本招标项目的监理单位、</w:t>
                  </w:r>
                  <w:r>
                    <w:fldChar w:fldCharType="begin"/>
                  </w:r>
                  <w:r>
                    <w:instrText xml:space="preserve"> HYPERLINK "https://ygp.gdzwfw.gov.cn/zjfwcs/gd-zjcs-pub/bidResultNotice/view/4402000069462272511100875" </w:instrText>
                  </w:r>
                  <w:r>
                    <w:fldChar w:fldCharType="separate"/>
                  </w:r>
                  <w:r>
                    <w:rPr>
                      <w:rFonts w:hint="eastAsia" w:hAnsi="宋体"/>
                      <w:sz w:val="21"/>
                      <w:szCs w:val="21"/>
                    </w:rPr>
                    <w:t>初步设计概算审核</w:t>
                  </w:r>
                  <w:r>
                    <w:rPr>
                      <w:rFonts w:hint="eastAsia" w:hAnsi="宋体"/>
                      <w:sz w:val="21"/>
                      <w:szCs w:val="21"/>
                    </w:rPr>
                    <w:fldChar w:fldCharType="end"/>
                  </w:r>
                  <w:r>
                    <w:rPr>
                      <w:rFonts w:hint="eastAsia" w:hAnsi="宋体"/>
                      <w:sz w:val="21"/>
                      <w:szCs w:val="21"/>
                    </w:rPr>
                    <w:t>单位</w:t>
                  </w:r>
                </w:p>
              </w:tc>
            </w:tr>
            <w:tr w14:paraId="64CE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41" w:type="dxa"/>
                  <w:vAlign w:val="center"/>
                </w:tcPr>
                <w:p w14:paraId="2CE16408">
                  <w:pPr>
                    <w:pStyle w:val="34"/>
                    <w:wordWrap w:val="0"/>
                    <w:adjustRightInd w:val="0"/>
                    <w:snapToGrid w:val="0"/>
                    <w:spacing w:line="360" w:lineRule="auto"/>
                    <w:jc w:val="center"/>
                    <w:rPr>
                      <w:rFonts w:hint="eastAsia" w:ascii="宋体" w:hAnsi="宋体" w:cs="宋体"/>
                    </w:rPr>
                  </w:pPr>
                  <w:r>
                    <w:rPr>
                      <w:rFonts w:hint="eastAsia" w:ascii="宋体" w:hAnsi="宋体" w:cs="宋体"/>
                    </w:rPr>
                    <w:t>7</w:t>
                  </w:r>
                </w:p>
              </w:tc>
              <w:tc>
                <w:tcPr>
                  <w:tcW w:w="2792" w:type="dxa"/>
                  <w:vAlign w:val="center"/>
                </w:tcPr>
                <w:p w14:paraId="5DC74219">
                  <w:pPr>
                    <w:wordWrap w:val="0"/>
                    <w:adjustRightInd w:val="0"/>
                    <w:snapToGrid w:val="0"/>
                    <w:jc w:val="center"/>
                    <w:rPr>
                      <w:rFonts w:hint="eastAsia" w:hAnsi="宋体"/>
                      <w:sz w:val="21"/>
                      <w:szCs w:val="21"/>
                    </w:rPr>
                  </w:pPr>
                  <w:r>
                    <w:rPr>
                      <w:rFonts w:hint="eastAsia" w:hAnsi="宋体"/>
                      <w:sz w:val="21"/>
                      <w:szCs w:val="21"/>
                    </w:rPr>
                    <w:t>韶关市国之信工程咨询有限公司</w:t>
                  </w:r>
                </w:p>
              </w:tc>
              <w:tc>
                <w:tcPr>
                  <w:tcW w:w="3606" w:type="dxa"/>
                  <w:vAlign w:val="center"/>
                </w:tcPr>
                <w:p w14:paraId="403FA5F4">
                  <w:pPr>
                    <w:wordWrap w:val="0"/>
                    <w:adjustRightInd w:val="0"/>
                    <w:snapToGrid w:val="0"/>
                    <w:jc w:val="center"/>
                    <w:rPr>
                      <w:rFonts w:hint="eastAsia" w:hAnsi="宋体"/>
                      <w:sz w:val="21"/>
                      <w:szCs w:val="21"/>
                    </w:rPr>
                  </w:pPr>
                  <w:r>
                    <w:rPr>
                      <w:rFonts w:hint="eastAsia" w:hAnsi="宋体"/>
                      <w:sz w:val="21"/>
                      <w:szCs w:val="21"/>
                    </w:rPr>
                    <w:t>为本招标项目的招标代理机构</w:t>
                  </w:r>
                </w:p>
              </w:tc>
            </w:tr>
            <w:tr w14:paraId="25FA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641" w:type="dxa"/>
                  <w:vAlign w:val="center"/>
                </w:tcPr>
                <w:p w14:paraId="5B283466">
                  <w:pPr>
                    <w:pStyle w:val="34"/>
                    <w:wordWrap w:val="0"/>
                    <w:adjustRightInd w:val="0"/>
                    <w:snapToGrid w:val="0"/>
                    <w:spacing w:line="360" w:lineRule="auto"/>
                    <w:jc w:val="center"/>
                    <w:rPr>
                      <w:rFonts w:hint="eastAsia" w:ascii="宋体" w:hAnsi="宋体" w:cs="宋体"/>
                    </w:rPr>
                  </w:pPr>
                  <w:r>
                    <w:rPr>
                      <w:rFonts w:hint="eastAsia" w:ascii="宋体" w:hAnsi="宋体" w:cs="宋体"/>
                    </w:rPr>
                    <w:t>8</w:t>
                  </w:r>
                </w:p>
              </w:tc>
              <w:tc>
                <w:tcPr>
                  <w:tcW w:w="2792" w:type="dxa"/>
                  <w:vAlign w:val="center"/>
                </w:tcPr>
                <w:p w14:paraId="306F0DB7">
                  <w:pPr>
                    <w:wordWrap w:val="0"/>
                    <w:adjustRightInd w:val="0"/>
                    <w:snapToGrid w:val="0"/>
                    <w:jc w:val="center"/>
                    <w:rPr>
                      <w:rFonts w:hint="eastAsia" w:hAnsi="宋体"/>
                      <w:sz w:val="21"/>
                      <w:szCs w:val="21"/>
                    </w:rPr>
                  </w:pPr>
                  <w:r>
                    <w:rPr>
                      <w:rFonts w:hint="eastAsia" w:hAnsi="宋体"/>
                      <w:sz w:val="21"/>
                      <w:szCs w:val="21"/>
                    </w:rPr>
                    <w:t>无</w:t>
                  </w:r>
                </w:p>
              </w:tc>
              <w:tc>
                <w:tcPr>
                  <w:tcW w:w="3606" w:type="dxa"/>
                  <w:vAlign w:val="center"/>
                </w:tcPr>
                <w:p w14:paraId="2F6DE519">
                  <w:pPr>
                    <w:wordWrap w:val="0"/>
                    <w:adjustRightInd w:val="0"/>
                    <w:snapToGrid w:val="0"/>
                    <w:jc w:val="center"/>
                    <w:rPr>
                      <w:rFonts w:hint="eastAsia" w:hAnsi="宋体"/>
                      <w:sz w:val="21"/>
                      <w:szCs w:val="21"/>
                    </w:rPr>
                  </w:pPr>
                  <w:r>
                    <w:rPr>
                      <w:rFonts w:hint="eastAsia" w:hAnsi="宋体"/>
                      <w:sz w:val="21"/>
                      <w:szCs w:val="21"/>
                    </w:rPr>
                    <w:t>为本招标项目上一次招标的中标人，但无正当理由不签订合同，被招标人书面拒绝其再次投标。</w:t>
                  </w:r>
                </w:p>
              </w:tc>
            </w:tr>
          </w:tbl>
          <w:p w14:paraId="1C9AC887">
            <w:pPr>
              <w:snapToGrid w:val="0"/>
              <w:jc w:val="left"/>
              <w:rPr>
                <w:rFonts w:hint="eastAsia" w:hAnsi="宋体"/>
              </w:rPr>
            </w:pPr>
            <w:r>
              <w:rPr>
                <w:rFonts w:hint="eastAsia" w:hAnsi="宋体"/>
              </w:rPr>
              <w:t>5.其他要求</w:t>
            </w:r>
          </w:p>
          <w:p w14:paraId="790BA13B">
            <w:pPr>
              <w:pStyle w:val="35"/>
              <w:snapToGrid w:val="0"/>
              <w:spacing w:line="360" w:lineRule="auto"/>
              <w:ind w:firstLine="480" w:firstLineChars="200"/>
              <w:jc w:val="left"/>
              <w:rPr>
                <w:rFonts w:hint="eastAsia" w:ascii="宋体" w:hAnsi="宋体" w:cs="宋体"/>
                <w:sz w:val="24"/>
                <w:szCs w:val="24"/>
              </w:rPr>
            </w:pPr>
            <w:r>
              <w:rPr>
                <w:rStyle w:val="28"/>
                <w:rFonts w:hint="eastAsia" w:ascii="宋体" w:hAnsi="宋体" w:cs="宋体"/>
                <w:kern w:val="0"/>
                <w:sz w:val="24"/>
                <w:szCs w:val="24"/>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7594344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758" w:type="dxa"/>
            <w:tcBorders>
              <w:top w:val="single" w:color="000000" w:sz="4" w:space="0"/>
              <w:bottom w:val="single" w:color="000000" w:sz="4" w:space="0"/>
              <w:right w:val="single" w:color="000000" w:sz="4" w:space="0"/>
            </w:tcBorders>
            <w:vAlign w:val="center"/>
          </w:tcPr>
          <w:p w14:paraId="6D9E12BD">
            <w:pPr>
              <w:snapToGrid w:val="0"/>
              <w:jc w:val="center"/>
              <w:rPr>
                <w:rStyle w:val="28"/>
                <w:rFonts w:hint="eastAsia" w:hAnsi="宋体"/>
                <w:kern w:val="0"/>
              </w:rPr>
            </w:pPr>
            <w:r>
              <w:rPr>
                <w:rStyle w:val="28"/>
                <w:rFonts w:hint="eastAsia" w:hAnsi="宋体"/>
                <w:kern w:val="0"/>
              </w:rPr>
              <w:t>21</w:t>
            </w:r>
          </w:p>
        </w:tc>
        <w:tc>
          <w:tcPr>
            <w:tcW w:w="1577" w:type="dxa"/>
            <w:tcBorders>
              <w:top w:val="single" w:color="000000" w:sz="4" w:space="0"/>
              <w:left w:val="single" w:color="000000" w:sz="4" w:space="0"/>
              <w:bottom w:val="single" w:color="000000" w:sz="4" w:space="0"/>
              <w:right w:val="single" w:color="000000" w:sz="4" w:space="0"/>
            </w:tcBorders>
            <w:vAlign w:val="center"/>
          </w:tcPr>
          <w:p w14:paraId="6441C110">
            <w:pPr>
              <w:snapToGrid w:val="0"/>
              <w:jc w:val="center"/>
              <w:rPr>
                <w:rStyle w:val="28"/>
                <w:rFonts w:hint="eastAsia" w:hAnsi="宋体"/>
                <w:kern w:val="0"/>
              </w:rPr>
            </w:pPr>
            <w:r>
              <w:rPr>
                <w:rStyle w:val="28"/>
                <w:rFonts w:hint="eastAsia" w:hAnsi="宋体"/>
                <w:kern w:val="0"/>
              </w:rPr>
              <w:t>投标保证</w:t>
            </w:r>
          </w:p>
        </w:tc>
        <w:tc>
          <w:tcPr>
            <w:tcW w:w="7370" w:type="dxa"/>
            <w:tcBorders>
              <w:top w:val="single" w:color="000000" w:sz="4" w:space="0"/>
              <w:left w:val="single" w:color="000000" w:sz="4" w:space="0"/>
              <w:bottom w:val="single" w:color="000000" w:sz="4" w:space="0"/>
            </w:tcBorders>
            <w:vAlign w:val="center"/>
          </w:tcPr>
          <w:p w14:paraId="49986BF0">
            <w:pPr>
              <w:snapToGrid w:val="0"/>
              <w:jc w:val="left"/>
              <w:rPr>
                <w:rStyle w:val="28"/>
                <w:rFonts w:hint="eastAsia" w:hAnsi="宋体"/>
                <w:strike/>
                <w:kern w:val="0"/>
              </w:rPr>
            </w:pPr>
            <w:r>
              <w:rPr>
                <w:rStyle w:val="28"/>
                <w:rFonts w:hint="eastAsia" w:hAnsi="宋体"/>
                <w:kern w:val="0"/>
              </w:rPr>
              <w:t>1.投标人须缴纳金额为人民币</w:t>
            </w:r>
            <w:r>
              <w:rPr>
                <w:rStyle w:val="28"/>
                <w:rFonts w:hint="eastAsia" w:hAnsi="宋体"/>
                <w:kern w:val="0"/>
                <w:u w:val="single"/>
              </w:rPr>
              <w:t>伍拾万元整</w:t>
            </w:r>
            <w:r>
              <w:rPr>
                <w:rStyle w:val="28"/>
                <w:rFonts w:hint="eastAsia" w:hAnsi="宋体"/>
                <w:kern w:val="0"/>
              </w:rPr>
              <w:t>的投标保证。</w:t>
            </w:r>
          </w:p>
          <w:p w14:paraId="7771A9F4">
            <w:pPr>
              <w:snapToGrid w:val="0"/>
              <w:jc w:val="left"/>
              <w:rPr>
                <w:rStyle w:val="28"/>
                <w:rFonts w:hint="eastAsia" w:hAnsi="宋体"/>
                <w:kern w:val="0"/>
              </w:rPr>
            </w:pPr>
            <w:r>
              <w:rPr>
                <w:rStyle w:val="28"/>
                <w:rFonts w:hint="eastAsia" w:hAnsi="宋体"/>
                <w:kern w:val="0"/>
              </w:rPr>
              <w:t>2.投标保证的形式包括投标保证金、投标保证担保、投标保证保险三种，由投标人自主选择。</w:t>
            </w:r>
          </w:p>
          <w:p w14:paraId="5E91F8B0">
            <w:pPr>
              <w:snapToGrid w:val="0"/>
              <w:jc w:val="left"/>
              <w:rPr>
                <w:rStyle w:val="28"/>
                <w:rFonts w:hint="eastAsia" w:hAnsi="宋体"/>
                <w:kern w:val="0"/>
              </w:rPr>
            </w:pPr>
            <w:r>
              <w:rPr>
                <w:rStyle w:val="28"/>
                <w:rFonts w:hint="eastAsia" w:hAnsi="宋体"/>
                <w:kern w:val="0"/>
              </w:rPr>
              <w:t>（1）采用投标保证金的，投标人在交易平台</w:t>
            </w:r>
            <w:r>
              <w:rPr>
                <w:rFonts w:hint="eastAsia" w:hAnsi="宋体"/>
                <w:snapToGrid w:val="0"/>
                <w:kern w:val="0"/>
              </w:rPr>
              <w:t>获取招标文件</w:t>
            </w:r>
            <w:r>
              <w:rPr>
                <w:rStyle w:val="28"/>
                <w:rFonts w:hint="eastAsia" w:hAnsi="宋体"/>
                <w:kern w:val="0"/>
              </w:rPr>
              <w:t xml:space="preserve">完毕后，即可在系统申请缴纳投标保证金，获取本次招标投标保证金缴纳账号。投标人须于投标保证金到账截止时间（见本章第二节“重要事项时间地点一览表”）前，从其基本账户将投标保证金转账到指定的缴纳账号。逾期到账的、从非投标人基本账户转出的，其投标无效。 </w:t>
            </w:r>
          </w:p>
          <w:p w14:paraId="20FE6C4E">
            <w:pPr>
              <w:widowControl w:val="0"/>
              <w:wordWrap w:val="0"/>
              <w:adjustRightInd w:val="0"/>
              <w:snapToGrid w:val="0"/>
              <w:textAlignment w:val="auto"/>
              <w:rPr>
                <w:rStyle w:val="28"/>
                <w:rFonts w:hint="eastAsia" w:hAnsi="宋体"/>
                <w:kern w:val="0"/>
              </w:rPr>
            </w:pPr>
            <w:r>
              <w:rPr>
                <w:rStyle w:val="28"/>
                <w:rFonts w:hint="eastAsia" w:hAnsi="宋体"/>
                <w:kern w:val="0"/>
              </w:rPr>
              <w:t>（2）采用投标保证担保的，投标人应提交有效的电子保函或保证保险，电子保函或保证保险的有效期不得短于投标有效期。投标人必须在投标保证担保截止时间（见本章第二节“重要事项时间地点一览表”）前，使用工程建设交易系统完成网上办理电子保函或保证保险。</w:t>
            </w:r>
          </w:p>
          <w:p w14:paraId="5B8DA32F">
            <w:pPr>
              <w:snapToGrid w:val="0"/>
              <w:jc w:val="left"/>
              <w:rPr>
                <w:rStyle w:val="28"/>
                <w:rFonts w:hint="eastAsia" w:hAnsi="宋体"/>
                <w:kern w:val="0"/>
              </w:rPr>
            </w:pPr>
            <w:r>
              <w:rPr>
                <w:rStyle w:val="28"/>
                <w:rFonts w:hint="eastAsia" w:hAnsi="宋体"/>
                <w:kern w:val="0"/>
              </w:rPr>
              <w:t>（3）采用投标保证保险的，投标人须在投标保证保险投保截止时间（见本章第二节“重要事项时间地点一览表”）前，使用交易平台完成网上投保。投标人可在系统选择保险机构、录入投保信息、支付保费、打印电子保单，电子保单的有效期不得短于投标有效期。</w:t>
            </w:r>
            <w:r>
              <w:rPr>
                <w:rStyle w:val="28"/>
                <w:rFonts w:hint="eastAsia" w:hAnsi="宋体"/>
              </w:rPr>
              <w:t>投标人可登录</w:t>
            </w:r>
            <w:r>
              <w:rPr>
                <w:rStyle w:val="28"/>
                <w:rFonts w:hint="eastAsia" w:hAnsi="宋体"/>
                <w:kern w:val="0"/>
              </w:rPr>
              <w:t>全国公共资源交易平台（广东省·韶关市）（https://ygp.gdzwfw.gov.cn/ggzy-portal/#/440200/index），在【服务指南】栏目中下载《韶关市公共资源建设工程交易系统－投标人操作指南（电子评标）》，了解网上投保具体操作流程。逾期投保的，其投标无效。</w:t>
            </w:r>
          </w:p>
          <w:p w14:paraId="63BA1A6A">
            <w:pPr>
              <w:snapToGrid w:val="0"/>
              <w:ind w:firstLine="240" w:firstLineChars="100"/>
              <w:jc w:val="left"/>
              <w:rPr>
                <w:rStyle w:val="28"/>
                <w:rFonts w:hint="eastAsia" w:hAnsi="宋体"/>
                <w:kern w:val="0"/>
              </w:rPr>
            </w:pPr>
            <w:r>
              <w:rPr>
                <w:rStyle w:val="28"/>
                <w:rFonts w:hint="eastAsia" w:hAnsi="宋体"/>
                <w:kern w:val="0"/>
              </w:rPr>
              <w:t>温馨提醒：投标人采用投标保证担保或投标保证保险的，为避免在评标过程中因有效期发生争议，建议投标人将银行保函、电子</w:t>
            </w:r>
            <w:r>
              <w:rPr>
                <w:rFonts w:hint="eastAsia" w:hAnsi="宋体"/>
              </w:rPr>
              <w:t>保函</w:t>
            </w:r>
            <w:r>
              <w:rPr>
                <w:rStyle w:val="28"/>
                <w:rFonts w:hint="eastAsia" w:hAnsi="宋体"/>
                <w:kern w:val="0"/>
              </w:rPr>
              <w:t>或电子保单的有效期设置为较招标文件规定的投标有效期延长不少于20日历天。</w:t>
            </w:r>
          </w:p>
        </w:tc>
      </w:tr>
      <w:tr w14:paraId="067CD46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58" w:type="dxa"/>
            <w:tcBorders>
              <w:top w:val="single" w:color="000000" w:sz="4" w:space="0"/>
              <w:bottom w:val="single" w:color="000000" w:sz="4" w:space="0"/>
              <w:right w:val="single" w:color="000000" w:sz="4" w:space="0"/>
            </w:tcBorders>
            <w:vAlign w:val="center"/>
          </w:tcPr>
          <w:p w14:paraId="51A5F3C9">
            <w:pPr>
              <w:snapToGrid w:val="0"/>
              <w:jc w:val="center"/>
              <w:rPr>
                <w:rStyle w:val="28"/>
                <w:rFonts w:hint="eastAsia" w:hAnsi="宋体"/>
                <w:kern w:val="0"/>
              </w:rPr>
            </w:pPr>
            <w:r>
              <w:rPr>
                <w:rStyle w:val="28"/>
                <w:rFonts w:hint="eastAsia" w:hAnsi="宋体"/>
                <w:kern w:val="0"/>
              </w:rPr>
              <w:t>22</w:t>
            </w:r>
          </w:p>
        </w:tc>
        <w:tc>
          <w:tcPr>
            <w:tcW w:w="1577" w:type="dxa"/>
            <w:tcBorders>
              <w:top w:val="single" w:color="000000" w:sz="4" w:space="0"/>
              <w:left w:val="single" w:color="000000" w:sz="4" w:space="0"/>
              <w:bottom w:val="single" w:color="000000" w:sz="4" w:space="0"/>
              <w:right w:val="single" w:color="000000" w:sz="4" w:space="0"/>
            </w:tcBorders>
            <w:vAlign w:val="center"/>
          </w:tcPr>
          <w:p w14:paraId="66865330">
            <w:pPr>
              <w:snapToGrid w:val="0"/>
              <w:jc w:val="center"/>
              <w:rPr>
                <w:rStyle w:val="28"/>
                <w:rFonts w:hint="eastAsia" w:hAnsi="宋体"/>
                <w:kern w:val="0"/>
              </w:rPr>
            </w:pPr>
            <w:r>
              <w:rPr>
                <w:rStyle w:val="28"/>
                <w:rFonts w:hint="eastAsia" w:hAnsi="宋体"/>
                <w:kern w:val="0"/>
              </w:rPr>
              <w:t>投标有效期</w:t>
            </w:r>
          </w:p>
        </w:tc>
        <w:tc>
          <w:tcPr>
            <w:tcW w:w="7370" w:type="dxa"/>
            <w:tcBorders>
              <w:top w:val="single" w:color="000000" w:sz="4" w:space="0"/>
              <w:left w:val="single" w:color="000000" w:sz="4" w:space="0"/>
              <w:bottom w:val="single" w:color="000000" w:sz="4" w:space="0"/>
            </w:tcBorders>
            <w:vAlign w:val="center"/>
          </w:tcPr>
          <w:p w14:paraId="4A324B3A">
            <w:pPr>
              <w:snapToGrid w:val="0"/>
              <w:jc w:val="left"/>
              <w:rPr>
                <w:rStyle w:val="28"/>
                <w:rFonts w:hint="eastAsia" w:hAnsi="宋体"/>
                <w:kern w:val="0"/>
              </w:rPr>
            </w:pPr>
            <w:r>
              <w:rPr>
                <w:rStyle w:val="28"/>
                <w:rFonts w:hint="eastAsia" w:hAnsi="宋体"/>
                <w:kern w:val="0"/>
              </w:rPr>
              <w:t>本次招标的投标有效期为</w:t>
            </w:r>
            <w:r>
              <w:rPr>
                <w:rStyle w:val="28"/>
                <w:rFonts w:hint="eastAsia" w:hAnsi="宋体"/>
                <w:kern w:val="0"/>
                <w:u w:val="single"/>
              </w:rPr>
              <w:t>90</w:t>
            </w:r>
            <w:r>
              <w:rPr>
                <w:rStyle w:val="28"/>
                <w:rFonts w:hint="eastAsia" w:hAnsi="宋体"/>
                <w:kern w:val="0"/>
              </w:rPr>
              <w:t>日历天。</w:t>
            </w:r>
          </w:p>
        </w:tc>
      </w:tr>
      <w:tr w14:paraId="6EBAFE8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58" w:type="dxa"/>
            <w:tcBorders>
              <w:top w:val="single" w:color="000000" w:sz="4" w:space="0"/>
              <w:bottom w:val="single" w:color="000000" w:sz="4" w:space="0"/>
              <w:right w:val="single" w:color="000000" w:sz="4" w:space="0"/>
            </w:tcBorders>
            <w:vAlign w:val="center"/>
          </w:tcPr>
          <w:p w14:paraId="7DED2F35">
            <w:pPr>
              <w:snapToGrid w:val="0"/>
              <w:jc w:val="center"/>
              <w:rPr>
                <w:rStyle w:val="28"/>
                <w:rFonts w:hint="eastAsia" w:hAnsi="宋体"/>
                <w:kern w:val="0"/>
              </w:rPr>
            </w:pPr>
            <w:r>
              <w:rPr>
                <w:rStyle w:val="28"/>
                <w:rFonts w:hint="eastAsia" w:hAnsi="宋体"/>
                <w:kern w:val="0"/>
              </w:rPr>
              <w:t>23</w:t>
            </w:r>
          </w:p>
        </w:tc>
        <w:tc>
          <w:tcPr>
            <w:tcW w:w="1577" w:type="dxa"/>
            <w:tcBorders>
              <w:top w:val="single" w:color="000000" w:sz="4" w:space="0"/>
              <w:left w:val="single" w:color="000000" w:sz="4" w:space="0"/>
              <w:bottom w:val="single" w:color="000000" w:sz="4" w:space="0"/>
              <w:right w:val="single" w:color="000000" w:sz="4" w:space="0"/>
            </w:tcBorders>
            <w:vAlign w:val="center"/>
          </w:tcPr>
          <w:p w14:paraId="0F390283">
            <w:pPr>
              <w:widowControl w:val="0"/>
              <w:wordWrap w:val="0"/>
              <w:adjustRightInd w:val="0"/>
              <w:snapToGrid w:val="0"/>
              <w:jc w:val="center"/>
              <w:textAlignment w:val="auto"/>
              <w:rPr>
                <w:rFonts w:hint="eastAsia" w:hAnsi="宋体"/>
                <w:snapToGrid w:val="0"/>
                <w:kern w:val="0"/>
              </w:rPr>
            </w:pPr>
            <w:r>
              <w:rPr>
                <w:rFonts w:hint="eastAsia" w:hAnsi="宋体"/>
                <w:snapToGrid w:val="0"/>
                <w:kern w:val="0"/>
              </w:rPr>
              <w:t>投标文件</w:t>
            </w:r>
          </w:p>
          <w:p w14:paraId="1922119E">
            <w:pPr>
              <w:widowControl w:val="0"/>
              <w:wordWrap w:val="0"/>
              <w:adjustRightInd w:val="0"/>
              <w:snapToGrid w:val="0"/>
              <w:jc w:val="center"/>
              <w:textAlignment w:val="auto"/>
              <w:rPr>
                <w:rStyle w:val="28"/>
                <w:rFonts w:hint="eastAsia" w:hAnsi="宋体"/>
                <w:kern w:val="0"/>
              </w:rPr>
            </w:pPr>
            <w:r>
              <w:rPr>
                <w:rFonts w:hint="eastAsia" w:hAnsi="宋体"/>
                <w:snapToGrid w:val="0"/>
                <w:kern w:val="0"/>
              </w:rPr>
              <w:t>组成</w:t>
            </w:r>
          </w:p>
        </w:tc>
        <w:tc>
          <w:tcPr>
            <w:tcW w:w="7370" w:type="dxa"/>
            <w:tcBorders>
              <w:top w:val="single" w:color="000000" w:sz="4" w:space="0"/>
              <w:left w:val="single" w:color="000000" w:sz="4" w:space="0"/>
              <w:bottom w:val="single" w:color="000000" w:sz="4" w:space="0"/>
            </w:tcBorders>
            <w:vAlign w:val="center"/>
          </w:tcPr>
          <w:p w14:paraId="4B0A8C73">
            <w:pPr>
              <w:widowControl w:val="0"/>
              <w:wordWrap w:val="0"/>
              <w:adjustRightInd w:val="0"/>
              <w:snapToGrid w:val="0"/>
              <w:textAlignment w:val="auto"/>
              <w:rPr>
                <w:rStyle w:val="28"/>
                <w:rFonts w:hint="eastAsia" w:hAnsi="宋体"/>
                <w:kern w:val="0"/>
              </w:rPr>
            </w:pPr>
            <w:r>
              <w:rPr>
                <w:rFonts w:hint="eastAsia" w:hAnsi="宋体"/>
                <w:snapToGrid w:val="0"/>
                <w:kern w:val="0"/>
              </w:rPr>
              <w:t>投标文件包括商务标书、经济标书、施工组织设计三个分册。</w:t>
            </w:r>
          </w:p>
        </w:tc>
      </w:tr>
      <w:tr w14:paraId="6187A9F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58" w:type="dxa"/>
            <w:tcBorders>
              <w:top w:val="single" w:color="000000" w:sz="4" w:space="0"/>
              <w:bottom w:val="single" w:color="000000" w:sz="4" w:space="0"/>
              <w:right w:val="single" w:color="000000" w:sz="4" w:space="0"/>
            </w:tcBorders>
            <w:vAlign w:val="center"/>
          </w:tcPr>
          <w:p w14:paraId="16C275D4">
            <w:pPr>
              <w:snapToGrid w:val="0"/>
              <w:jc w:val="center"/>
              <w:rPr>
                <w:rStyle w:val="28"/>
                <w:rFonts w:hint="eastAsia" w:hAnsi="宋体"/>
                <w:kern w:val="0"/>
              </w:rPr>
            </w:pPr>
            <w:r>
              <w:rPr>
                <w:rStyle w:val="28"/>
                <w:rFonts w:hint="eastAsia" w:hAnsi="宋体"/>
                <w:kern w:val="0"/>
              </w:rPr>
              <w:t>24</w:t>
            </w:r>
          </w:p>
        </w:tc>
        <w:tc>
          <w:tcPr>
            <w:tcW w:w="1577" w:type="dxa"/>
            <w:tcBorders>
              <w:top w:val="single" w:color="000000" w:sz="4" w:space="0"/>
              <w:left w:val="single" w:color="000000" w:sz="4" w:space="0"/>
              <w:bottom w:val="single" w:color="000000" w:sz="4" w:space="0"/>
              <w:right w:val="single" w:color="000000" w:sz="4" w:space="0"/>
            </w:tcBorders>
            <w:vAlign w:val="center"/>
          </w:tcPr>
          <w:p w14:paraId="3D2F0D46">
            <w:pPr>
              <w:widowControl w:val="0"/>
              <w:wordWrap w:val="0"/>
              <w:adjustRightInd w:val="0"/>
              <w:snapToGrid w:val="0"/>
              <w:jc w:val="center"/>
              <w:textAlignment w:val="auto"/>
              <w:rPr>
                <w:rFonts w:hint="eastAsia" w:hAnsi="宋体"/>
                <w:snapToGrid w:val="0"/>
                <w:kern w:val="0"/>
              </w:rPr>
            </w:pPr>
            <w:r>
              <w:rPr>
                <w:rFonts w:hint="eastAsia" w:hAnsi="宋体"/>
                <w:snapToGrid w:val="0"/>
                <w:kern w:val="0"/>
              </w:rPr>
              <w:t>定标文件组成</w:t>
            </w:r>
          </w:p>
        </w:tc>
        <w:tc>
          <w:tcPr>
            <w:tcW w:w="7370" w:type="dxa"/>
            <w:tcBorders>
              <w:top w:val="single" w:color="000000" w:sz="4" w:space="0"/>
              <w:left w:val="single" w:color="000000" w:sz="4" w:space="0"/>
              <w:bottom w:val="single" w:color="000000" w:sz="4" w:space="0"/>
            </w:tcBorders>
            <w:vAlign w:val="center"/>
          </w:tcPr>
          <w:p w14:paraId="511D064D">
            <w:pPr>
              <w:widowControl w:val="0"/>
              <w:wordWrap w:val="0"/>
              <w:adjustRightInd w:val="0"/>
              <w:snapToGrid w:val="0"/>
              <w:textAlignment w:val="auto"/>
              <w:rPr>
                <w:rFonts w:hint="eastAsia" w:hAnsi="宋体"/>
                <w:snapToGrid w:val="0"/>
                <w:kern w:val="0"/>
              </w:rPr>
            </w:pPr>
            <w:r>
              <w:rPr>
                <w:rFonts w:hint="eastAsia" w:hAnsi="宋体"/>
                <w:snapToGrid w:val="0"/>
                <w:kern w:val="0"/>
              </w:rPr>
              <w:t>定标文件。</w:t>
            </w:r>
          </w:p>
        </w:tc>
      </w:tr>
      <w:tr w14:paraId="32F2DA7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58" w:type="dxa"/>
            <w:tcBorders>
              <w:top w:val="single" w:color="000000" w:sz="4" w:space="0"/>
              <w:bottom w:val="single" w:color="000000" w:sz="4" w:space="0"/>
              <w:right w:val="single" w:color="000000" w:sz="4" w:space="0"/>
            </w:tcBorders>
            <w:vAlign w:val="center"/>
          </w:tcPr>
          <w:p w14:paraId="2C8F4098">
            <w:pPr>
              <w:snapToGrid w:val="0"/>
              <w:jc w:val="center"/>
              <w:rPr>
                <w:rFonts w:hint="eastAsia" w:hAnsi="宋体"/>
                <w:kern w:val="0"/>
              </w:rPr>
            </w:pPr>
            <w:r>
              <w:rPr>
                <w:rStyle w:val="28"/>
                <w:rFonts w:hint="eastAsia" w:hAnsi="宋体"/>
                <w:kern w:val="0"/>
              </w:rPr>
              <w:t>25</w:t>
            </w:r>
          </w:p>
        </w:tc>
        <w:tc>
          <w:tcPr>
            <w:tcW w:w="1577" w:type="dxa"/>
            <w:tcBorders>
              <w:top w:val="single" w:color="000000" w:sz="4" w:space="0"/>
              <w:left w:val="single" w:color="000000" w:sz="4" w:space="0"/>
              <w:bottom w:val="single" w:color="000000" w:sz="4" w:space="0"/>
              <w:right w:val="single" w:color="000000" w:sz="4" w:space="0"/>
            </w:tcBorders>
            <w:vAlign w:val="center"/>
          </w:tcPr>
          <w:p w14:paraId="0EADC9FC">
            <w:pPr>
              <w:snapToGrid w:val="0"/>
              <w:jc w:val="center"/>
              <w:rPr>
                <w:rStyle w:val="28"/>
                <w:rFonts w:hint="eastAsia" w:hAnsi="宋体"/>
                <w:kern w:val="0"/>
              </w:rPr>
            </w:pPr>
            <w:r>
              <w:rPr>
                <w:rStyle w:val="28"/>
                <w:rFonts w:hint="eastAsia" w:hAnsi="宋体"/>
                <w:kern w:val="0"/>
              </w:rPr>
              <w:t>施工组织设计</w:t>
            </w:r>
          </w:p>
          <w:p w14:paraId="3C2A75F4">
            <w:pPr>
              <w:snapToGrid w:val="0"/>
              <w:jc w:val="center"/>
              <w:rPr>
                <w:rStyle w:val="28"/>
                <w:rFonts w:hint="eastAsia" w:hAnsi="宋体"/>
                <w:kern w:val="0"/>
              </w:rPr>
            </w:pPr>
            <w:r>
              <w:rPr>
                <w:rStyle w:val="28"/>
                <w:rFonts w:hint="eastAsia" w:hAnsi="宋体"/>
                <w:kern w:val="0"/>
              </w:rPr>
              <w:t>评审方式</w:t>
            </w:r>
          </w:p>
        </w:tc>
        <w:tc>
          <w:tcPr>
            <w:tcW w:w="7370" w:type="dxa"/>
            <w:tcBorders>
              <w:top w:val="single" w:color="000000" w:sz="4" w:space="0"/>
              <w:left w:val="single" w:color="000000" w:sz="4" w:space="0"/>
              <w:bottom w:val="single" w:color="000000" w:sz="4" w:space="0"/>
            </w:tcBorders>
            <w:vAlign w:val="center"/>
          </w:tcPr>
          <w:p w14:paraId="43FBEE54">
            <w:pPr>
              <w:snapToGrid w:val="0"/>
              <w:jc w:val="left"/>
              <w:rPr>
                <w:rStyle w:val="28"/>
                <w:rFonts w:hint="eastAsia" w:hAnsi="宋体"/>
                <w:kern w:val="0"/>
              </w:rPr>
            </w:pPr>
            <w:r>
              <w:rPr>
                <w:rStyle w:val="28"/>
                <w:rFonts w:hint="eastAsia" w:hAnsi="宋体"/>
                <w:kern w:val="0"/>
              </w:rPr>
              <w:t>本次招标施工组织设计</w:t>
            </w:r>
            <w:r>
              <w:rPr>
                <w:rStyle w:val="28"/>
                <w:rFonts w:hint="eastAsia" w:hAnsi="宋体"/>
                <w:kern w:val="0"/>
                <w:u w:val="single"/>
              </w:rPr>
              <w:t>不采用</w:t>
            </w:r>
            <w:r>
              <w:rPr>
                <w:rStyle w:val="28"/>
                <w:rFonts w:hint="eastAsia" w:hAnsi="宋体"/>
                <w:kern w:val="0"/>
              </w:rPr>
              <w:t>“暗标”方式进行评审。</w:t>
            </w:r>
          </w:p>
        </w:tc>
      </w:tr>
      <w:tr w14:paraId="564B385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60" w:hRule="atLeast"/>
          <w:jc w:val="center"/>
        </w:trPr>
        <w:tc>
          <w:tcPr>
            <w:tcW w:w="758" w:type="dxa"/>
            <w:tcBorders>
              <w:top w:val="single" w:color="000000" w:sz="4" w:space="0"/>
              <w:bottom w:val="single" w:color="000000" w:sz="4" w:space="0"/>
              <w:right w:val="single" w:color="000000" w:sz="4" w:space="0"/>
            </w:tcBorders>
            <w:vAlign w:val="center"/>
          </w:tcPr>
          <w:p w14:paraId="29B2F74C">
            <w:pPr>
              <w:snapToGrid w:val="0"/>
              <w:jc w:val="center"/>
              <w:rPr>
                <w:rFonts w:hint="eastAsia" w:hAnsi="宋体"/>
                <w:kern w:val="0"/>
              </w:rPr>
            </w:pPr>
            <w:r>
              <w:rPr>
                <w:rStyle w:val="28"/>
                <w:rFonts w:hint="eastAsia" w:hAnsi="宋体"/>
                <w:kern w:val="0"/>
              </w:rPr>
              <w:t>26</w:t>
            </w:r>
          </w:p>
        </w:tc>
        <w:tc>
          <w:tcPr>
            <w:tcW w:w="1577" w:type="dxa"/>
            <w:tcBorders>
              <w:top w:val="single" w:color="000000" w:sz="4" w:space="0"/>
              <w:left w:val="single" w:color="000000" w:sz="4" w:space="0"/>
              <w:bottom w:val="single" w:color="000000" w:sz="4" w:space="0"/>
              <w:right w:val="single" w:color="000000" w:sz="4" w:space="0"/>
            </w:tcBorders>
            <w:vAlign w:val="center"/>
          </w:tcPr>
          <w:p w14:paraId="51C5D4B5">
            <w:pPr>
              <w:snapToGrid w:val="0"/>
              <w:jc w:val="center"/>
              <w:rPr>
                <w:rStyle w:val="28"/>
                <w:rFonts w:hint="eastAsia" w:hAnsi="宋体"/>
                <w:kern w:val="0"/>
              </w:rPr>
            </w:pPr>
            <w:r>
              <w:rPr>
                <w:rStyle w:val="28"/>
                <w:rFonts w:hint="eastAsia" w:hAnsi="宋体"/>
                <w:kern w:val="0"/>
              </w:rPr>
              <w:t>评标委员会</w:t>
            </w:r>
          </w:p>
        </w:tc>
        <w:tc>
          <w:tcPr>
            <w:tcW w:w="7370" w:type="dxa"/>
            <w:tcBorders>
              <w:top w:val="single" w:color="000000" w:sz="4" w:space="0"/>
              <w:left w:val="single" w:color="000000" w:sz="4" w:space="0"/>
              <w:bottom w:val="single" w:color="000000" w:sz="4" w:space="0"/>
            </w:tcBorders>
            <w:vAlign w:val="center"/>
          </w:tcPr>
          <w:p w14:paraId="2D7E0324">
            <w:pPr>
              <w:pStyle w:val="2"/>
              <w:spacing w:line="360" w:lineRule="auto"/>
              <w:rPr>
                <w:rFonts w:hint="eastAsia" w:ascii="宋体" w:hAnsi="宋体"/>
              </w:rPr>
            </w:pPr>
            <w:r>
              <w:rPr>
                <w:rStyle w:val="28"/>
                <w:rFonts w:hint="eastAsia" w:ascii="宋体" w:hAnsi="宋体"/>
                <w:kern w:val="0"/>
              </w:rPr>
              <w:t>本项目根据《广东省发展和改革委员会等部门关于印发广东省远程异地评标招标项目范围规定（试行）的通知》（粤发改规〔2026〕8号）文件要求，采用省域内远程异地评标方式。评标委员会由5人组成，其中招标人代表</w:t>
            </w:r>
            <w:r>
              <w:rPr>
                <w:rStyle w:val="28"/>
                <w:rFonts w:hint="eastAsia" w:ascii="宋体" w:hAnsi="宋体"/>
                <w:kern w:val="0"/>
                <w:u w:val="single"/>
              </w:rPr>
              <w:t xml:space="preserve"> 1 </w:t>
            </w:r>
            <w:r>
              <w:rPr>
                <w:rStyle w:val="28"/>
                <w:rFonts w:hint="eastAsia" w:ascii="宋体" w:hAnsi="宋体"/>
                <w:kern w:val="0"/>
              </w:rPr>
              <w:t>人，专家</w:t>
            </w:r>
            <w:r>
              <w:rPr>
                <w:rStyle w:val="28"/>
                <w:rFonts w:hint="eastAsia" w:ascii="宋体" w:hAnsi="宋体"/>
                <w:kern w:val="0"/>
                <w:u w:val="single"/>
              </w:rPr>
              <w:t>4</w:t>
            </w:r>
            <w:r>
              <w:rPr>
                <w:rStyle w:val="28"/>
                <w:rFonts w:hint="eastAsia" w:ascii="宋体" w:hAnsi="宋体"/>
                <w:kern w:val="0"/>
              </w:rPr>
              <w:t>人。专家从广东省综合评标评审专家库中随机抽取。</w:t>
            </w:r>
          </w:p>
        </w:tc>
      </w:tr>
      <w:tr w14:paraId="641AB1C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58" w:type="dxa"/>
            <w:tcBorders>
              <w:top w:val="single" w:color="000000" w:sz="4" w:space="0"/>
              <w:bottom w:val="single" w:color="000000" w:sz="4" w:space="0"/>
              <w:right w:val="single" w:color="000000" w:sz="4" w:space="0"/>
            </w:tcBorders>
            <w:vAlign w:val="center"/>
          </w:tcPr>
          <w:p w14:paraId="1EBC7D21">
            <w:pPr>
              <w:snapToGrid w:val="0"/>
              <w:jc w:val="center"/>
              <w:rPr>
                <w:rFonts w:hint="eastAsia" w:hAnsi="宋体"/>
                <w:kern w:val="0"/>
              </w:rPr>
            </w:pPr>
            <w:r>
              <w:rPr>
                <w:rStyle w:val="28"/>
                <w:rFonts w:hint="eastAsia" w:hAnsi="宋体"/>
                <w:kern w:val="0"/>
              </w:rPr>
              <w:t>27</w:t>
            </w:r>
          </w:p>
        </w:tc>
        <w:tc>
          <w:tcPr>
            <w:tcW w:w="1577" w:type="dxa"/>
            <w:tcBorders>
              <w:top w:val="single" w:color="000000" w:sz="4" w:space="0"/>
              <w:left w:val="single" w:color="000000" w:sz="4" w:space="0"/>
              <w:bottom w:val="single" w:color="000000" w:sz="4" w:space="0"/>
              <w:right w:val="single" w:color="000000" w:sz="4" w:space="0"/>
            </w:tcBorders>
            <w:vAlign w:val="center"/>
          </w:tcPr>
          <w:p w14:paraId="40191E93">
            <w:pPr>
              <w:snapToGrid w:val="0"/>
              <w:jc w:val="center"/>
              <w:rPr>
                <w:rStyle w:val="28"/>
                <w:rFonts w:hint="eastAsia" w:hAnsi="宋体"/>
                <w:kern w:val="0"/>
              </w:rPr>
            </w:pPr>
            <w:r>
              <w:rPr>
                <w:rStyle w:val="28"/>
                <w:rFonts w:hint="eastAsia" w:hAnsi="宋体"/>
                <w:kern w:val="0"/>
              </w:rPr>
              <w:t>评标方法</w:t>
            </w:r>
          </w:p>
        </w:tc>
        <w:tc>
          <w:tcPr>
            <w:tcW w:w="7370" w:type="dxa"/>
            <w:tcBorders>
              <w:top w:val="single" w:color="000000" w:sz="4" w:space="0"/>
              <w:left w:val="single" w:color="000000" w:sz="4" w:space="0"/>
              <w:bottom w:val="single" w:color="000000" w:sz="4" w:space="0"/>
            </w:tcBorders>
            <w:vAlign w:val="center"/>
          </w:tcPr>
          <w:p w14:paraId="1EB6C119">
            <w:pPr>
              <w:snapToGrid w:val="0"/>
              <w:jc w:val="left"/>
              <w:rPr>
                <w:rStyle w:val="28"/>
                <w:rFonts w:hint="eastAsia" w:hAnsi="宋体"/>
                <w:kern w:val="0"/>
              </w:rPr>
            </w:pPr>
            <w:r>
              <w:rPr>
                <w:rStyle w:val="28"/>
                <w:rFonts w:hint="eastAsia" w:hAnsi="宋体"/>
                <w:kern w:val="0"/>
              </w:rPr>
              <w:t>综合评估法</w:t>
            </w:r>
          </w:p>
        </w:tc>
      </w:tr>
      <w:tr w14:paraId="004C42D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758" w:type="dxa"/>
            <w:tcBorders>
              <w:top w:val="single" w:color="000000" w:sz="4" w:space="0"/>
              <w:bottom w:val="single" w:color="000000" w:sz="4" w:space="0"/>
              <w:right w:val="single" w:color="000000" w:sz="4" w:space="0"/>
            </w:tcBorders>
            <w:vAlign w:val="center"/>
          </w:tcPr>
          <w:p w14:paraId="6F23D784">
            <w:pPr>
              <w:snapToGrid w:val="0"/>
              <w:jc w:val="center"/>
              <w:rPr>
                <w:rStyle w:val="28"/>
                <w:rFonts w:hint="eastAsia" w:hAnsi="宋体"/>
                <w:kern w:val="0"/>
              </w:rPr>
            </w:pPr>
            <w:r>
              <w:rPr>
                <w:rStyle w:val="28"/>
                <w:rFonts w:hint="eastAsia" w:hAnsi="宋体"/>
                <w:kern w:val="0"/>
              </w:rPr>
              <w:t>28</w:t>
            </w:r>
          </w:p>
        </w:tc>
        <w:tc>
          <w:tcPr>
            <w:tcW w:w="1577" w:type="dxa"/>
            <w:tcBorders>
              <w:top w:val="single" w:color="000000" w:sz="4" w:space="0"/>
              <w:left w:val="single" w:color="000000" w:sz="4" w:space="0"/>
              <w:bottom w:val="single" w:color="000000" w:sz="4" w:space="0"/>
              <w:right w:val="single" w:color="000000" w:sz="4" w:space="0"/>
            </w:tcBorders>
            <w:vAlign w:val="center"/>
          </w:tcPr>
          <w:p w14:paraId="4D0FDF2F">
            <w:pPr>
              <w:widowControl w:val="0"/>
              <w:wordWrap w:val="0"/>
              <w:jc w:val="center"/>
              <w:textAlignment w:val="auto"/>
              <w:rPr>
                <w:rFonts w:hint="eastAsia" w:hAnsi="宋体"/>
                <w:snapToGrid w:val="0"/>
                <w:kern w:val="0"/>
              </w:rPr>
            </w:pPr>
            <w:r>
              <w:rPr>
                <w:rFonts w:hint="eastAsia" w:hAnsi="宋体"/>
              </w:rPr>
              <w:t>定标委员会</w:t>
            </w:r>
          </w:p>
        </w:tc>
        <w:tc>
          <w:tcPr>
            <w:tcW w:w="7370" w:type="dxa"/>
            <w:tcBorders>
              <w:top w:val="single" w:color="000000" w:sz="4" w:space="0"/>
              <w:left w:val="single" w:color="000000" w:sz="4" w:space="0"/>
              <w:bottom w:val="single" w:color="000000" w:sz="4" w:space="0"/>
            </w:tcBorders>
            <w:vAlign w:val="center"/>
          </w:tcPr>
          <w:p w14:paraId="74F1EE34">
            <w:pPr>
              <w:adjustRightInd w:val="0"/>
              <w:snapToGrid w:val="0"/>
              <w:jc w:val="left"/>
              <w:rPr>
                <w:rFonts w:hint="eastAsia" w:hAnsi="宋体"/>
                <w:kern w:val="0"/>
                <w:lang w:bidi="ar"/>
              </w:rPr>
            </w:pPr>
            <w:r>
              <w:rPr>
                <w:rFonts w:hint="eastAsia" w:hAnsi="宋体"/>
              </w:rPr>
              <w:t>本项目</w:t>
            </w:r>
            <w:r>
              <w:rPr>
                <w:rStyle w:val="28"/>
                <w:rFonts w:hint="eastAsia" w:hAnsi="宋体"/>
                <w:kern w:val="0"/>
              </w:rPr>
              <w:t>定标</w:t>
            </w:r>
            <w:r>
              <w:rPr>
                <w:rFonts w:hint="eastAsia" w:hAnsi="宋体"/>
              </w:rPr>
              <w:t>委员会组成人员为</w:t>
            </w:r>
            <w:r>
              <w:rPr>
                <w:rFonts w:hint="eastAsia" w:hAnsi="宋体"/>
                <w:u w:val="single"/>
              </w:rPr>
              <w:t xml:space="preserve"> 7 </w:t>
            </w:r>
            <w:r>
              <w:rPr>
                <w:rFonts w:hint="eastAsia" w:hAnsi="宋体"/>
              </w:rPr>
              <w:t>人。</w:t>
            </w:r>
          </w:p>
        </w:tc>
      </w:tr>
      <w:tr w14:paraId="45E508A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973" w:hRule="atLeast"/>
          <w:jc w:val="center"/>
        </w:trPr>
        <w:tc>
          <w:tcPr>
            <w:tcW w:w="758" w:type="dxa"/>
            <w:tcBorders>
              <w:top w:val="single" w:color="000000" w:sz="4" w:space="0"/>
              <w:bottom w:val="single" w:color="000000" w:sz="4" w:space="0"/>
              <w:right w:val="single" w:color="000000" w:sz="4" w:space="0"/>
            </w:tcBorders>
            <w:vAlign w:val="center"/>
          </w:tcPr>
          <w:p w14:paraId="08AC2492">
            <w:pPr>
              <w:snapToGrid w:val="0"/>
              <w:jc w:val="center"/>
              <w:rPr>
                <w:rStyle w:val="28"/>
                <w:rFonts w:hint="eastAsia" w:hAnsi="宋体"/>
                <w:kern w:val="0"/>
              </w:rPr>
            </w:pPr>
            <w:r>
              <w:rPr>
                <w:rStyle w:val="28"/>
                <w:rFonts w:hint="eastAsia" w:hAnsi="宋体"/>
                <w:kern w:val="0"/>
              </w:rPr>
              <w:t>29</w:t>
            </w:r>
          </w:p>
        </w:tc>
        <w:tc>
          <w:tcPr>
            <w:tcW w:w="1577" w:type="dxa"/>
            <w:tcBorders>
              <w:top w:val="single" w:color="000000" w:sz="4" w:space="0"/>
              <w:left w:val="single" w:color="000000" w:sz="4" w:space="0"/>
              <w:bottom w:val="single" w:color="000000" w:sz="4" w:space="0"/>
              <w:right w:val="single" w:color="000000" w:sz="4" w:space="0"/>
            </w:tcBorders>
            <w:vAlign w:val="center"/>
          </w:tcPr>
          <w:p w14:paraId="4F03A3F2">
            <w:pPr>
              <w:widowControl w:val="0"/>
              <w:wordWrap w:val="0"/>
              <w:jc w:val="center"/>
              <w:textAlignment w:val="auto"/>
              <w:rPr>
                <w:rFonts w:hint="eastAsia" w:hAnsi="宋体"/>
                <w:snapToGrid w:val="0"/>
                <w:kern w:val="0"/>
              </w:rPr>
            </w:pPr>
            <w:r>
              <w:rPr>
                <w:rFonts w:hint="eastAsia" w:hAnsi="宋体"/>
                <w:snapToGrid w:val="0"/>
                <w:kern w:val="0"/>
              </w:rPr>
              <w:t>定标办法</w:t>
            </w:r>
          </w:p>
        </w:tc>
        <w:tc>
          <w:tcPr>
            <w:tcW w:w="7370" w:type="dxa"/>
            <w:tcBorders>
              <w:top w:val="single" w:color="000000" w:sz="4" w:space="0"/>
              <w:left w:val="single" w:color="000000" w:sz="4" w:space="0"/>
              <w:bottom w:val="single" w:color="000000" w:sz="4" w:space="0"/>
            </w:tcBorders>
            <w:vAlign w:val="center"/>
          </w:tcPr>
          <w:p w14:paraId="59B557E4">
            <w:pPr>
              <w:adjustRightInd w:val="0"/>
              <w:snapToGrid w:val="0"/>
              <w:jc w:val="left"/>
              <w:rPr>
                <w:rFonts w:hint="eastAsia" w:hAnsi="宋体"/>
                <w:bCs/>
                <w:snapToGrid w:val="0"/>
                <w:kern w:val="0"/>
              </w:rPr>
            </w:pPr>
            <w:r>
              <w:rPr>
                <w:rFonts w:hint="eastAsia" w:hAnsi="宋体"/>
                <w:bCs/>
                <w:snapToGrid w:val="0"/>
                <w:kern w:val="0"/>
              </w:rPr>
              <w:t>采用</w:t>
            </w:r>
            <w:r>
              <w:rPr>
                <w:rFonts w:hint="eastAsia" w:hAnsi="宋体"/>
                <w:b/>
                <w:snapToGrid w:val="0"/>
                <w:kern w:val="0"/>
              </w:rPr>
              <w:t>评定分离</w:t>
            </w:r>
            <w:r>
              <w:rPr>
                <w:rFonts w:hint="eastAsia" w:hAnsi="宋体"/>
                <w:bCs/>
                <w:snapToGrid w:val="0"/>
                <w:kern w:val="0"/>
              </w:rPr>
              <w:t>的项目，应选定下列定标办法：</w:t>
            </w:r>
          </w:p>
          <w:p w14:paraId="1CF9A058">
            <w:pPr>
              <w:adjustRightInd w:val="0"/>
              <w:snapToGrid w:val="0"/>
              <w:jc w:val="left"/>
              <w:rPr>
                <w:rFonts w:hint="eastAsia" w:hAnsi="宋体"/>
                <w:bCs/>
                <w:snapToGrid w:val="0"/>
                <w:kern w:val="0"/>
              </w:rPr>
            </w:pPr>
            <w:r>
              <w:rPr>
                <w:rFonts w:hint="eastAsia" w:hAnsi="宋体"/>
                <w:bCs/>
                <w:snapToGrid w:val="0"/>
                <w:kern w:val="0"/>
              </w:rPr>
              <w:t>☑票决数量法</w:t>
            </w:r>
          </w:p>
          <w:p w14:paraId="2F8913A1">
            <w:pPr>
              <w:adjustRightInd w:val="0"/>
              <w:snapToGrid w:val="0"/>
              <w:jc w:val="left"/>
              <w:rPr>
                <w:rFonts w:hint="eastAsia" w:hAnsi="宋体"/>
                <w:bCs/>
                <w:snapToGrid w:val="0"/>
                <w:kern w:val="0"/>
              </w:rPr>
            </w:pPr>
            <w:r>
              <w:rPr>
                <w:rFonts w:hint="eastAsia" w:hAnsi="宋体"/>
                <w:bCs/>
                <w:snapToGrid w:val="0"/>
                <w:kern w:val="0"/>
              </w:rPr>
              <w:t>□票决计分法</w:t>
            </w:r>
          </w:p>
          <w:p w14:paraId="38C2E227">
            <w:pPr>
              <w:adjustRightInd w:val="0"/>
              <w:snapToGrid w:val="0"/>
              <w:jc w:val="left"/>
              <w:rPr>
                <w:rFonts w:hint="eastAsia" w:hAnsi="宋体"/>
                <w:bCs/>
                <w:snapToGrid w:val="0"/>
                <w:kern w:val="0"/>
              </w:rPr>
            </w:pPr>
            <w:r>
              <w:rPr>
                <w:rFonts w:hint="eastAsia" w:hAnsi="宋体"/>
                <w:bCs/>
                <w:snapToGrid w:val="0"/>
                <w:kern w:val="0"/>
              </w:rPr>
              <w:t>□集体议事法</w:t>
            </w:r>
          </w:p>
          <w:p w14:paraId="276AC3C4">
            <w:pPr>
              <w:adjustRightInd w:val="0"/>
              <w:snapToGrid w:val="0"/>
              <w:jc w:val="left"/>
              <w:rPr>
                <w:rFonts w:hint="eastAsia" w:hAnsi="宋体"/>
                <w:bCs/>
                <w:snapToGrid w:val="0"/>
                <w:kern w:val="0"/>
              </w:rPr>
            </w:pPr>
            <w:r>
              <w:rPr>
                <w:rFonts w:hint="eastAsia" w:hAnsi="宋体"/>
                <w:bCs/>
                <w:snapToGrid w:val="0"/>
                <w:kern w:val="0"/>
              </w:rPr>
              <w:t>□其他方法：</w:t>
            </w:r>
          </w:p>
        </w:tc>
      </w:tr>
      <w:tr w14:paraId="59AED73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48" w:hRule="atLeast"/>
          <w:jc w:val="center"/>
        </w:trPr>
        <w:tc>
          <w:tcPr>
            <w:tcW w:w="758" w:type="dxa"/>
            <w:tcBorders>
              <w:top w:val="single" w:color="000000" w:sz="4" w:space="0"/>
              <w:bottom w:val="single" w:color="000000" w:sz="4" w:space="0"/>
              <w:right w:val="single" w:color="000000" w:sz="4" w:space="0"/>
            </w:tcBorders>
            <w:vAlign w:val="center"/>
          </w:tcPr>
          <w:p w14:paraId="7E88B478">
            <w:pPr>
              <w:snapToGrid w:val="0"/>
              <w:jc w:val="center"/>
              <w:rPr>
                <w:rFonts w:hint="eastAsia" w:hAnsi="宋体"/>
                <w:kern w:val="0"/>
              </w:rPr>
            </w:pPr>
            <w:r>
              <w:rPr>
                <w:rStyle w:val="28"/>
                <w:rFonts w:hint="eastAsia" w:hAnsi="宋体"/>
                <w:kern w:val="0"/>
              </w:rPr>
              <w:t>30</w:t>
            </w:r>
          </w:p>
        </w:tc>
        <w:tc>
          <w:tcPr>
            <w:tcW w:w="1577" w:type="dxa"/>
            <w:tcBorders>
              <w:top w:val="single" w:color="000000" w:sz="4" w:space="0"/>
              <w:left w:val="single" w:color="000000" w:sz="4" w:space="0"/>
              <w:bottom w:val="single" w:color="000000" w:sz="4" w:space="0"/>
              <w:right w:val="single" w:color="000000" w:sz="4" w:space="0"/>
            </w:tcBorders>
            <w:vAlign w:val="center"/>
          </w:tcPr>
          <w:p w14:paraId="5D805155">
            <w:pPr>
              <w:snapToGrid w:val="0"/>
              <w:spacing w:before="120" w:beforeLines="50"/>
              <w:jc w:val="center"/>
              <w:rPr>
                <w:rStyle w:val="28"/>
                <w:rFonts w:hint="eastAsia" w:hAnsi="宋体"/>
                <w:kern w:val="0"/>
              </w:rPr>
            </w:pPr>
            <w:r>
              <w:rPr>
                <w:rFonts w:hint="eastAsia" w:hAnsi="宋体"/>
                <w:snapToGrid w:val="0"/>
                <w:kern w:val="0"/>
              </w:rPr>
              <w:t>招标代理服务费</w:t>
            </w:r>
          </w:p>
        </w:tc>
        <w:tc>
          <w:tcPr>
            <w:tcW w:w="7370" w:type="dxa"/>
            <w:tcBorders>
              <w:top w:val="single" w:color="000000" w:sz="4" w:space="0"/>
              <w:left w:val="single" w:color="000000" w:sz="4" w:space="0"/>
              <w:bottom w:val="single" w:color="000000" w:sz="4" w:space="0"/>
            </w:tcBorders>
            <w:vAlign w:val="center"/>
          </w:tcPr>
          <w:p w14:paraId="1EBD1FE5">
            <w:pPr>
              <w:adjustRightInd w:val="0"/>
              <w:snapToGrid w:val="0"/>
              <w:jc w:val="left"/>
              <w:rPr>
                <w:rFonts w:hint="eastAsia" w:hAnsi="宋体"/>
                <w:snapToGrid w:val="0"/>
                <w:kern w:val="0"/>
              </w:rPr>
            </w:pPr>
            <w:r>
              <w:rPr>
                <w:rFonts w:hint="eastAsia" w:hAnsi="宋体"/>
                <w:snapToGrid w:val="0"/>
                <w:kern w:val="0"/>
              </w:rPr>
              <w:t>根据《韶关城投公司建设项目专业服务价格及计算方法》（韶城投发〔2016〕112号）测算得出，以9.04万元作为招标代理费，代理费费率为0.17%（最终以建安费中标价为基数乘以代理费费率进行结算），招标代理费用由施工中标单位支付。该费用不再另行报价，由投标人在投标报价时综合考虑在内。</w:t>
            </w:r>
          </w:p>
          <w:p w14:paraId="587D4AE3">
            <w:pPr>
              <w:adjustRightInd w:val="0"/>
              <w:snapToGrid w:val="0"/>
              <w:jc w:val="left"/>
              <w:rPr>
                <w:rStyle w:val="28"/>
                <w:rFonts w:hint="eastAsia" w:hAnsi="宋体"/>
                <w:kern w:val="0"/>
              </w:rPr>
            </w:pPr>
            <w:r>
              <w:rPr>
                <w:rFonts w:hint="eastAsia" w:hAnsi="宋体"/>
                <w:b/>
                <w:bCs/>
                <w:snapToGrid w:val="0"/>
                <w:kern w:val="0"/>
              </w:rPr>
              <w:t>注：参与投标视为认可该条款。</w:t>
            </w:r>
          </w:p>
        </w:tc>
      </w:tr>
      <w:tr w14:paraId="469D3E9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58" w:type="dxa"/>
            <w:tcBorders>
              <w:top w:val="single" w:color="000000" w:sz="4" w:space="0"/>
              <w:bottom w:val="single" w:color="000000" w:sz="4" w:space="0"/>
              <w:right w:val="single" w:color="000000" w:sz="4" w:space="0"/>
            </w:tcBorders>
            <w:vAlign w:val="center"/>
          </w:tcPr>
          <w:p w14:paraId="2383DA70">
            <w:pPr>
              <w:snapToGrid w:val="0"/>
              <w:jc w:val="center"/>
              <w:rPr>
                <w:rFonts w:hint="eastAsia" w:hAnsi="宋体"/>
                <w:kern w:val="0"/>
              </w:rPr>
            </w:pPr>
            <w:r>
              <w:rPr>
                <w:rStyle w:val="28"/>
                <w:rFonts w:hint="eastAsia" w:hAnsi="宋体"/>
                <w:kern w:val="0"/>
              </w:rPr>
              <w:t>31</w:t>
            </w:r>
          </w:p>
        </w:tc>
        <w:tc>
          <w:tcPr>
            <w:tcW w:w="1577" w:type="dxa"/>
            <w:tcBorders>
              <w:top w:val="single" w:color="000000" w:sz="4" w:space="0"/>
              <w:left w:val="single" w:color="000000" w:sz="4" w:space="0"/>
              <w:bottom w:val="single" w:color="000000" w:sz="4" w:space="0"/>
              <w:right w:val="single" w:color="000000" w:sz="4" w:space="0"/>
            </w:tcBorders>
            <w:vAlign w:val="center"/>
          </w:tcPr>
          <w:p w14:paraId="145FB2A9">
            <w:pPr>
              <w:adjustRightInd w:val="0"/>
              <w:snapToGrid w:val="0"/>
              <w:jc w:val="left"/>
              <w:rPr>
                <w:rFonts w:hint="eastAsia" w:hAnsi="宋体"/>
                <w:snapToGrid w:val="0"/>
                <w:kern w:val="0"/>
              </w:rPr>
            </w:pPr>
            <w:r>
              <w:rPr>
                <w:rFonts w:hint="eastAsia" w:hAnsi="宋体"/>
                <w:snapToGrid w:val="0"/>
                <w:kern w:val="0"/>
              </w:rPr>
              <w:t>纳入“百千万工程”公益性项目</w:t>
            </w:r>
          </w:p>
        </w:tc>
        <w:tc>
          <w:tcPr>
            <w:tcW w:w="7370" w:type="dxa"/>
            <w:tcBorders>
              <w:top w:val="single" w:color="000000" w:sz="4" w:space="0"/>
              <w:left w:val="single" w:color="000000" w:sz="4" w:space="0"/>
              <w:bottom w:val="single" w:color="000000" w:sz="4" w:space="0"/>
            </w:tcBorders>
            <w:vAlign w:val="center"/>
          </w:tcPr>
          <w:p w14:paraId="3655CB2C">
            <w:pPr>
              <w:adjustRightInd w:val="0"/>
              <w:snapToGrid w:val="0"/>
              <w:jc w:val="left"/>
              <w:rPr>
                <w:rFonts w:hint="eastAsia" w:hAnsi="宋体"/>
                <w:snapToGrid w:val="0"/>
                <w:kern w:val="0"/>
              </w:rPr>
            </w:pPr>
            <w:r>
              <w:rPr>
                <w:rFonts w:hint="eastAsia" w:hAnsi="宋体"/>
                <w:snapToGrid w:val="0"/>
                <w:kern w:val="0"/>
              </w:rPr>
              <w:t>本次招标鼓励投标人积极响应政策号召，充分利用其人才、技术、专业、资源、资金、设备或管理优势，通过技术创新和资源优化，以投标人自愿为原则，助力“百千万工程”公益性项目。</w:t>
            </w:r>
          </w:p>
          <w:p w14:paraId="14601F4B">
            <w:pPr>
              <w:adjustRightInd w:val="0"/>
              <w:snapToGrid w:val="0"/>
              <w:jc w:val="left"/>
              <w:rPr>
                <w:rFonts w:hint="eastAsia" w:hAnsi="宋体"/>
                <w:snapToGrid w:val="0"/>
                <w:kern w:val="0"/>
              </w:rPr>
            </w:pPr>
            <w:r>
              <w:rPr>
                <w:rFonts w:hint="eastAsia" w:hAnsi="宋体"/>
                <w:snapToGrid w:val="0"/>
                <w:kern w:val="0"/>
              </w:rPr>
              <w:t>投标人需提供自愿助力“百千万工程”公益性项目公益捐建（捐赠或配建）进度计划及保证措施，以投标人自愿为原则，按投标文件格式十六要求提供《助力项目承诺书》。</w:t>
            </w:r>
          </w:p>
        </w:tc>
      </w:tr>
      <w:tr w14:paraId="10FE1D4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58" w:type="dxa"/>
            <w:tcBorders>
              <w:top w:val="single" w:color="000000" w:sz="4" w:space="0"/>
              <w:bottom w:val="single" w:color="000000" w:sz="4" w:space="0"/>
              <w:right w:val="single" w:color="000000" w:sz="4" w:space="0"/>
            </w:tcBorders>
            <w:vAlign w:val="center"/>
          </w:tcPr>
          <w:p w14:paraId="1976DF21">
            <w:pPr>
              <w:snapToGrid w:val="0"/>
              <w:jc w:val="center"/>
              <w:rPr>
                <w:rFonts w:hint="eastAsia" w:hAnsi="宋体"/>
                <w:kern w:val="0"/>
              </w:rPr>
            </w:pPr>
            <w:r>
              <w:rPr>
                <w:rFonts w:hint="eastAsia" w:hAnsi="宋体"/>
                <w:kern w:val="0"/>
              </w:rPr>
              <w:t>32</w:t>
            </w:r>
          </w:p>
        </w:tc>
        <w:tc>
          <w:tcPr>
            <w:tcW w:w="1577" w:type="dxa"/>
            <w:tcBorders>
              <w:top w:val="single" w:color="000000" w:sz="4" w:space="0"/>
              <w:left w:val="single" w:color="000000" w:sz="4" w:space="0"/>
              <w:bottom w:val="single" w:color="000000" w:sz="4" w:space="0"/>
              <w:right w:val="single" w:color="000000" w:sz="4" w:space="0"/>
            </w:tcBorders>
            <w:vAlign w:val="center"/>
          </w:tcPr>
          <w:p w14:paraId="005AB847">
            <w:pPr>
              <w:snapToGrid w:val="0"/>
              <w:jc w:val="center"/>
              <w:rPr>
                <w:rStyle w:val="28"/>
                <w:rFonts w:hint="eastAsia" w:hAnsi="宋体"/>
                <w:kern w:val="0"/>
              </w:rPr>
            </w:pPr>
            <w:r>
              <w:rPr>
                <w:rStyle w:val="28"/>
                <w:rFonts w:hint="eastAsia" w:hAnsi="宋体"/>
                <w:kern w:val="0"/>
              </w:rPr>
              <w:t>招标人</w:t>
            </w:r>
          </w:p>
          <w:p w14:paraId="335C339E">
            <w:pPr>
              <w:snapToGrid w:val="0"/>
              <w:jc w:val="center"/>
              <w:rPr>
                <w:rStyle w:val="28"/>
                <w:rFonts w:hint="eastAsia" w:hAnsi="宋体"/>
                <w:kern w:val="0"/>
              </w:rPr>
            </w:pPr>
            <w:r>
              <w:rPr>
                <w:rStyle w:val="28"/>
                <w:rFonts w:hint="eastAsia" w:hAnsi="宋体"/>
                <w:kern w:val="0"/>
              </w:rPr>
              <w:t>联系方式</w:t>
            </w:r>
          </w:p>
        </w:tc>
        <w:tc>
          <w:tcPr>
            <w:tcW w:w="7370" w:type="dxa"/>
            <w:tcBorders>
              <w:top w:val="single" w:color="000000" w:sz="4" w:space="0"/>
              <w:left w:val="single" w:color="000000" w:sz="4" w:space="0"/>
              <w:bottom w:val="single" w:color="000000" w:sz="4" w:space="0"/>
            </w:tcBorders>
            <w:vAlign w:val="center"/>
          </w:tcPr>
          <w:p w14:paraId="7334F43C">
            <w:pPr>
              <w:snapToGrid w:val="0"/>
              <w:jc w:val="left"/>
              <w:rPr>
                <w:rStyle w:val="28"/>
                <w:rFonts w:hint="eastAsia" w:hAnsi="宋体"/>
                <w:kern w:val="0"/>
              </w:rPr>
            </w:pPr>
            <w:r>
              <w:rPr>
                <w:rStyle w:val="28"/>
                <w:rFonts w:hint="eastAsia" w:hAnsi="宋体"/>
                <w:kern w:val="0"/>
              </w:rPr>
              <w:t>单位名称：广东韶关数据产业投资发展有限公司</w:t>
            </w:r>
          </w:p>
          <w:p w14:paraId="518AA718">
            <w:pPr>
              <w:snapToGrid w:val="0"/>
              <w:jc w:val="left"/>
              <w:rPr>
                <w:rStyle w:val="28"/>
                <w:rFonts w:hint="eastAsia" w:hAnsi="宋体"/>
                <w:kern w:val="0"/>
              </w:rPr>
            </w:pPr>
            <w:r>
              <w:rPr>
                <w:rStyle w:val="28"/>
                <w:rFonts w:hint="eastAsia" w:hAnsi="宋体"/>
                <w:kern w:val="0"/>
              </w:rPr>
              <w:t>办公地址：韶关市武江区芙蓉新城韶州大道（滨江路）9号粤港澳大湾区数据应用产业园A栋3层001</w:t>
            </w:r>
          </w:p>
          <w:p w14:paraId="4F3922F4">
            <w:pPr>
              <w:snapToGrid w:val="0"/>
              <w:jc w:val="left"/>
              <w:rPr>
                <w:rStyle w:val="28"/>
                <w:rFonts w:hint="eastAsia" w:hAnsi="宋体"/>
                <w:kern w:val="0"/>
              </w:rPr>
            </w:pPr>
            <w:r>
              <w:rPr>
                <w:rStyle w:val="28"/>
                <w:rFonts w:hint="eastAsia" w:hAnsi="宋体"/>
                <w:kern w:val="0"/>
              </w:rPr>
              <w:t>联系人（项目负责人）：张治华</w:t>
            </w:r>
          </w:p>
          <w:p w14:paraId="5DFEBF4F">
            <w:pPr>
              <w:snapToGrid w:val="0"/>
              <w:jc w:val="left"/>
              <w:rPr>
                <w:rStyle w:val="28"/>
                <w:rFonts w:hint="eastAsia" w:hAnsi="宋体"/>
                <w:kern w:val="0"/>
              </w:rPr>
            </w:pPr>
            <w:r>
              <w:rPr>
                <w:rStyle w:val="28"/>
                <w:rFonts w:hint="eastAsia" w:hAnsi="宋体"/>
                <w:kern w:val="0"/>
              </w:rPr>
              <w:t>联系电话：0751-6918382</w:t>
            </w:r>
          </w:p>
        </w:tc>
      </w:tr>
      <w:tr w14:paraId="26DE72D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652" w:hRule="atLeast"/>
          <w:jc w:val="center"/>
        </w:trPr>
        <w:tc>
          <w:tcPr>
            <w:tcW w:w="758" w:type="dxa"/>
            <w:tcBorders>
              <w:top w:val="single" w:color="000000" w:sz="4" w:space="0"/>
              <w:bottom w:val="single" w:color="000000" w:sz="4" w:space="0"/>
              <w:right w:val="single" w:color="000000" w:sz="4" w:space="0"/>
            </w:tcBorders>
            <w:vAlign w:val="center"/>
          </w:tcPr>
          <w:p w14:paraId="7FB615FD">
            <w:pPr>
              <w:snapToGrid w:val="0"/>
              <w:jc w:val="center"/>
              <w:rPr>
                <w:rFonts w:hint="eastAsia" w:hAnsi="宋体"/>
                <w:kern w:val="0"/>
              </w:rPr>
            </w:pPr>
            <w:r>
              <w:rPr>
                <w:rStyle w:val="28"/>
                <w:rFonts w:hint="eastAsia" w:hAnsi="宋体"/>
                <w:kern w:val="0"/>
              </w:rPr>
              <w:t>33</w:t>
            </w:r>
          </w:p>
        </w:tc>
        <w:tc>
          <w:tcPr>
            <w:tcW w:w="1577" w:type="dxa"/>
            <w:tcBorders>
              <w:top w:val="single" w:color="000000" w:sz="4" w:space="0"/>
              <w:left w:val="single" w:color="000000" w:sz="4" w:space="0"/>
              <w:bottom w:val="single" w:color="000000" w:sz="4" w:space="0"/>
              <w:right w:val="single" w:color="000000" w:sz="4" w:space="0"/>
            </w:tcBorders>
            <w:vAlign w:val="center"/>
          </w:tcPr>
          <w:p w14:paraId="07768C04">
            <w:pPr>
              <w:snapToGrid w:val="0"/>
              <w:jc w:val="center"/>
              <w:rPr>
                <w:rStyle w:val="28"/>
                <w:rFonts w:hint="eastAsia" w:hAnsi="宋体"/>
                <w:kern w:val="0"/>
              </w:rPr>
            </w:pPr>
            <w:r>
              <w:rPr>
                <w:rStyle w:val="28"/>
                <w:rFonts w:hint="eastAsia" w:hAnsi="宋体"/>
                <w:kern w:val="0"/>
              </w:rPr>
              <w:t>招标代理机构</w:t>
            </w:r>
          </w:p>
          <w:p w14:paraId="69E627BA">
            <w:pPr>
              <w:snapToGrid w:val="0"/>
              <w:jc w:val="center"/>
              <w:rPr>
                <w:rStyle w:val="28"/>
                <w:rFonts w:hint="eastAsia" w:hAnsi="宋体"/>
                <w:kern w:val="0"/>
              </w:rPr>
            </w:pPr>
            <w:r>
              <w:rPr>
                <w:rStyle w:val="28"/>
                <w:rFonts w:hint="eastAsia" w:hAnsi="宋体"/>
                <w:kern w:val="0"/>
              </w:rPr>
              <w:t>联系方式</w:t>
            </w:r>
          </w:p>
        </w:tc>
        <w:tc>
          <w:tcPr>
            <w:tcW w:w="7370" w:type="dxa"/>
            <w:tcBorders>
              <w:top w:val="single" w:color="000000" w:sz="4" w:space="0"/>
              <w:left w:val="single" w:color="000000" w:sz="4" w:space="0"/>
              <w:bottom w:val="single" w:color="000000" w:sz="4" w:space="0"/>
            </w:tcBorders>
            <w:vAlign w:val="center"/>
          </w:tcPr>
          <w:p w14:paraId="3D8F0634">
            <w:pPr>
              <w:widowControl w:val="0"/>
              <w:wordWrap w:val="0"/>
              <w:jc w:val="left"/>
              <w:textAlignment w:val="auto"/>
              <w:rPr>
                <w:rFonts w:hint="eastAsia" w:hAnsi="宋体"/>
                <w:snapToGrid w:val="0"/>
                <w:kern w:val="0"/>
              </w:rPr>
            </w:pPr>
            <w:r>
              <w:rPr>
                <w:rFonts w:hint="eastAsia" w:hAnsi="宋体"/>
                <w:snapToGrid w:val="0"/>
                <w:kern w:val="0"/>
              </w:rPr>
              <w:t>单位名称：韶关市国之信工程咨询有限公司</w:t>
            </w:r>
          </w:p>
          <w:p w14:paraId="32EDC77E">
            <w:pPr>
              <w:widowControl w:val="0"/>
              <w:wordWrap w:val="0"/>
              <w:jc w:val="left"/>
              <w:textAlignment w:val="auto"/>
              <w:rPr>
                <w:rFonts w:hint="eastAsia" w:hAnsi="宋体"/>
                <w:snapToGrid w:val="0"/>
                <w:kern w:val="0"/>
              </w:rPr>
            </w:pPr>
            <w:r>
              <w:rPr>
                <w:rFonts w:hint="eastAsia" w:hAnsi="宋体"/>
                <w:snapToGrid w:val="0"/>
                <w:kern w:val="0"/>
              </w:rPr>
              <w:t>办公地址：韶关市浈江区十里亭镇五里亭奔康小区二楼商铺</w:t>
            </w:r>
          </w:p>
          <w:p w14:paraId="670AF501">
            <w:pPr>
              <w:snapToGrid w:val="0"/>
              <w:jc w:val="left"/>
              <w:rPr>
                <w:rStyle w:val="28"/>
                <w:rFonts w:hint="eastAsia" w:hAnsi="宋体"/>
                <w:kern w:val="0"/>
              </w:rPr>
            </w:pPr>
            <w:r>
              <w:rPr>
                <w:rStyle w:val="28"/>
                <w:rFonts w:hint="eastAsia" w:hAnsi="宋体"/>
                <w:kern w:val="0"/>
              </w:rPr>
              <w:t>联系人（项目负责人）：黄芷豪</w:t>
            </w:r>
          </w:p>
          <w:p w14:paraId="2A66051A">
            <w:pPr>
              <w:snapToGrid w:val="0"/>
              <w:jc w:val="left"/>
              <w:rPr>
                <w:rStyle w:val="28"/>
                <w:rFonts w:hint="eastAsia" w:hAnsi="宋体"/>
                <w:kern w:val="0"/>
              </w:rPr>
            </w:pPr>
            <w:r>
              <w:rPr>
                <w:rFonts w:hint="eastAsia" w:hAnsi="宋体"/>
                <w:snapToGrid w:val="0"/>
                <w:kern w:val="0"/>
              </w:rPr>
              <w:t>联系电话：0751-8169716</w:t>
            </w:r>
          </w:p>
        </w:tc>
      </w:tr>
      <w:tr w14:paraId="4A262B2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58" w:type="dxa"/>
            <w:tcBorders>
              <w:top w:val="single" w:color="000000" w:sz="4" w:space="0"/>
              <w:bottom w:val="single" w:color="000000" w:sz="4" w:space="0"/>
              <w:right w:val="single" w:color="000000" w:sz="4" w:space="0"/>
            </w:tcBorders>
            <w:vAlign w:val="center"/>
          </w:tcPr>
          <w:p w14:paraId="3EE86504">
            <w:pPr>
              <w:snapToGrid w:val="0"/>
              <w:jc w:val="center"/>
              <w:rPr>
                <w:rFonts w:hint="eastAsia" w:hAnsi="宋体"/>
                <w:kern w:val="0"/>
              </w:rPr>
            </w:pPr>
            <w:r>
              <w:rPr>
                <w:rStyle w:val="28"/>
                <w:rFonts w:hint="eastAsia" w:hAnsi="宋体"/>
                <w:kern w:val="0"/>
              </w:rPr>
              <w:t>34</w:t>
            </w:r>
          </w:p>
        </w:tc>
        <w:tc>
          <w:tcPr>
            <w:tcW w:w="1577" w:type="dxa"/>
            <w:tcBorders>
              <w:top w:val="single" w:color="000000" w:sz="4" w:space="0"/>
              <w:left w:val="single" w:color="000000" w:sz="4" w:space="0"/>
              <w:bottom w:val="single" w:color="000000" w:sz="4" w:space="0"/>
              <w:right w:val="single" w:color="000000" w:sz="4" w:space="0"/>
            </w:tcBorders>
            <w:vAlign w:val="center"/>
          </w:tcPr>
          <w:p w14:paraId="74782C28">
            <w:pPr>
              <w:snapToGrid w:val="0"/>
              <w:jc w:val="center"/>
              <w:rPr>
                <w:rStyle w:val="28"/>
                <w:rFonts w:hint="eastAsia" w:hAnsi="宋体"/>
                <w:kern w:val="0"/>
              </w:rPr>
            </w:pPr>
            <w:r>
              <w:rPr>
                <w:rStyle w:val="28"/>
                <w:rFonts w:hint="eastAsia" w:hAnsi="宋体"/>
                <w:kern w:val="0"/>
              </w:rPr>
              <w:t>交易场所</w:t>
            </w:r>
          </w:p>
          <w:p w14:paraId="4142F557">
            <w:pPr>
              <w:snapToGrid w:val="0"/>
              <w:jc w:val="center"/>
              <w:rPr>
                <w:rStyle w:val="28"/>
                <w:rFonts w:hint="eastAsia" w:hAnsi="宋体"/>
                <w:kern w:val="0"/>
              </w:rPr>
            </w:pPr>
            <w:r>
              <w:rPr>
                <w:rStyle w:val="28"/>
                <w:rFonts w:hint="eastAsia" w:hAnsi="宋体"/>
                <w:kern w:val="0"/>
              </w:rPr>
              <w:t>联系方式</w:t>
            </w:r>
          </w:p>
        </w:tc>
        <w:tc>
          <w:tcPr>
            <w:tcW w:w="7370" w:type="dxa"/>
            <w:tcBorders>
              <w:top w:val="single" w:color="000000" w:sz="4" w:space="0"/>
              <w:left w:val="single" w:color="000000" w:sz="4" w:space="0"/>
              <w:bottom w:val="single" w:color="000000" w:sz="4" w:space="0"/>
            </w:tcBorders>
            <w:vAlign w:val="center"/>
          </w:tcPr>
          <w:p w14:paraId="40CAD95B">
            <w:pPr>
              <w:snapToGrid w:val="0"/>
              <w:jc w:val="left"/>
              <w:rPr>
                <w:rStyle w:val="28"/>
                <w:rFonts w:hint="eastAsia" w:hAnsi="宋体"/>
                <w:kern w:val="0"/>
              </w:rPr>
            </w:pPr>
            <w:r>
              <w:rPr>
                <w:rStyle w:val="28"/>
                <w:rFonts w:hint="eastAsia" w:hAnsi="宋体"/>
                <w:kern w:val="0"/>
              </w:rPr>
              <w:t>单位名称：韶关市公共资源交易中心</w:t>
            </w:r>
          </w:p>
          <w:p w14:paraId="41014E3A">
            <w:pPr>
              <w:snapToGrid w:val="0"/>
              <w:jc w:val="left"/>
              <w:rPr>
                <w:rStyle w:val="28"/>
                <w:rFonts w:hint="eastAsia" w:hAnsi="宋体"/>
                <w:kern w:val="0"/>
              </w:rPr>
            </w:pPr>
            <w:r>
              <w:rPr>
                <w:rStyle w:val="28"/>
                <w:rFonts w:hint="eastAsia" w:hAnsi="宋体"/>
                <w:kern w:val="0"/>
              </w:rPr>
              <w:t>办公地址：广东省韶关市武江区西联镇</w:t>
            </w:r>
          </w:p>
          <w:p w14:paraId="6A22DC90">
            <w:pPr>
              <w:snapToGrid w:val="0"/>
              <w:jc w:val="left"/>
              <w:rPr>
                <w:rStyle w:val="28"/>
                <w:rFonts w:hint="eastAsia" w:hAnsi="宋体"/>
                <w:kern w:val="0"/>
              </w:rPr>
            </w:pPr>
            <w:r>
              <w:rPr>
                <w:rStyle w:val="28"/>
                <w:rFonts w:hint="eastAsia" w:hAnsi="宋体"/>
                <w:kern w:val="0"/>
              </w:rPr>
              <w:t>联系人（部门）：工程交易部</w:t>
            </w:r>
          </w:p>
          <w:p w14:paraId="567463D1">
            <w:pPr>
              <w:snapToGrid w:val="0"/>
              <w:jc w:val="left"/>
              <w:rPr>
                <w:rStyle w:val="28"/>
                <w:rFonts w:hint="eastAsia" w:hAnsi="宋体"/>
                <w:kern w:val="0"/>
              </w:rPr>
            </w:pPr>
            <w:r>
              <w:rPr>
                <w:rStyle w:val="28"/>
                <w:rFonts w:hint="eastAsia" w:hAnsi="宋体"/>
                <w:kern w:val="0"/>
              </w:rPr>
              <w:t>联系电话：0751-8633071、0751-8633211</w:t>
            </w:r>
          </w:p>
        </w:tc>
      </w:tr>
      <w:tr w14:paraId="3B97036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58" w:type="dxa"/>
            <w:tcBorders>
              <w:top w:val="single" w:color="000000" w:sz="4" w:space="0"/>
              <w:bottom w:val="single" w:color="000000" w:sz="4" w:space="0"/>
              <w:right w:val="single" w:color="000000" w:sz="4" w:space="0"/>
            </w:tcBorders>
            <w:vAlign w:val="center"/>
          </w:tcPr>
          <w:p w14:paraId="35527C64">
            <w:pPr>
              <w:snapToGrid w:val="0"/>
              <w:jc w:val="center"/>
              <w:rPr>
                <w:rStyle w:val="28"/>
                <w:rFonts w:hint="eastAsia" w:hAnsi="宋体"/>
                <w:kern w:val="0"/>
              </w:rPr>
            </w:pPr>
            <w:r>
              <w:rPr>
                <w:rStyle w:val="28"/>
                <w:rFonts w:hint="eastAsia" w:hAnsi="宋体"/>
                <w:kern w:val="0"/>
              </w:rPr>
              <w:t>35</w:t>
            </w:r>
          </w:p>
        </w:tc>
        <w:tc>
          <w:tcPr>
            <w:tcW w:w="1577" w:type="dxa"/>
            <w:tcBorders>
              <w:top w:val="single" w:color="000000" w:sz="4" w:space="0"/>
              <w:left w:val="single" w:color="000000" w:sz="4" w:space="0"/>
              <w:bottom w:val="single" w:color="000000" w:sz="4" w:space="0"/>
              <w:right w:val="single" w:color="000000" w:sz="4" w:space="0"/>
            </w:tcBorders>
            <w:vAlign w:val="center"/>
          </w:tcPr>
          <w:p w14:paraId="387AE085">
            <w:pPr>
              <w:snapToGrid w:val="0"/>
              <w:jc w:val="center"/>
              <w:rPr>
                <w:rStyle w:val="28"/>
                <w:rFonts w:hint="eastAsia" w:hAnsi="宋体"/>
                <w:kern w:val="0"/>
              </w:rPr>
            </w:pPr>
            <w:r>
              <w:rPr>
                <w:rStyle w:val="28"/>
                <w:rFonts w:hint="eastAsia" w:hAnsi="宋体"/>
                <w:kern w:val="0"/>
              </w:rPr>
              <w:t>行政监督部门</w:t>
            </w:r>
          </w:p>
          <w:p w14:paraId="5D042023">
            <w:pPr>
              <w:snapToGrid w:val="0"/>
              <w:jc w:val="center"/>
              <w:rPr>
                <w:rStyle w:val="28"/>
                <w:rFonts w:hint="eastAsia" w:hAnsi="宋体"/>
                <w:kern w:val="0"/>
              </w:rPr>
            </w:pPr>
            <w:r>
              <w:rPr>
                <w:rStyle w:val="28"/>
                <w:rFonts w:hint="eastAsia" w:hAnsi="宋体"/>
                <w:kern w:val="0"/>
              </w:rPr>
              <w:t>联系方式</w:t>
            </w:r>
          </w:p>
        </w:tc>
        <w:tc>
          <w:tcPr>
            <w:tcW w:w="7370" w:type="dxa"/>
            <w:tcBorders>
              <w:top w:val="single" w:color="000000" w:sz="4" w:space="0"/>
              <w:left w:val="single" w:color="000000" w:sz="4" w:space="0"/>
              <w:bottom w:val="single" w:color="000000" w:sz="4" w:space="0"/>
            </w:tcBorders>
            <w:vAlign w:val="center"/>
          </w:tcPr>
          <w:p w14:paraId="0251C60C">
            <w:pPr>
              <w:snapToGrid w:val="0"/>
              <w:jc w:val="left"/>
              <w:rPr>
                <w:rStyle w:val="28"/>
                <w:rFonts w:hint="eastAsia" w:hAnsi="宋体"/>
                <w:kern w:val="0"/>
              </w:rPr>
            </w:pPr>
            <w:r>
              <w:rPr>
                <w:rStyle w:val="28"/>
                <w:rFonts w:hint="eastAsia" w:hAnsi="宋体"/>
                <w:kern w:val="0"/>
              </w:rPr>
              <w:t>单位名称：韶关市住房和城乡建设管理局</w:t>
            </w:r>
          </w:p>
          <w:p w14:paraId="162759FB">
            <w:pPr>
              <w:snapToGrid w:val="0"/>
              <w:jc w:val="left"/>
              <w:rPr>
                <w:rStyle w:val="28"/>
                <w:rFonts w:hint="eastAsia" w:hAnsi="宋体"/>
                <w:kern w:val="0"/>
              </w:rPr>
            </w:pPr>
            <w:r>
              <w:rPr>
                <w:rStyle w:val="28"/>
                <w:rFonts w:hint="eastAsia" w:hAnsi="宋体"/>
                <w:kern w:val="0"/>
              </w:rPr>
              <w:t>办公地址：广东省韶关市武江区芙蓉东路5号</w:t>
            </w:r>
          </w:p>
          <w:p w14:paraId="7EB3BEAF">
            <w:pPr>
              <w:snapToGrid w:val="0"/>
              <w:jc w:val="left"/>
              <w:rPr>
                <w:rStyle w:val="28"/>
                <w:rFonts w:hint="eastAsia" w:hAnsi="宋体"/>
                <w:kern w:val="0"/>
              </w:rPr>
            </w:pPr>
            <w:r>
              <w:rPr>
                <w:rStyle w:val="28"/>
                <w:rFonts w:hint="eastAsia" w:hAnsi="宋体"/>
                <w:kern w:val="0"/>
              </w:rPr>
              <w:t>联系人（部门）：建筑业市场管理科</w:t>
            </w:r>
          </w:p>
          <w:p w14:paraId="50A741E0">
            <w:pPr>
              <w:snapToGrid w:val="0"/>
              <w:jc w:val="left"/>
              <w:rPr>
                <w:rStyle w:val="28"/>
                <w:rFonts w:hint="eastAsia" w:hAnsi="宋体"/>
                <w:kern w:val="0"/>
              </w:rPr>
            </w:pPr>
            <w:r>
              <w:rPr>
                <w:rStyle w:val="28"/>
                <w:rFonts w:hint="eastAsia" w:hAnsi="宋体"/>
                <w:kern w:val="0"/>
              </w:rPr>
              <w:t>联系电话：0751-8892601</w:t>
            </w:r>
          </w:p>
        </w:tc>
      </w:tr>
    </w:tbl>
    <w:p w14:paraId="2B6AFFEE">
      <w:pPr>
        <w:pStyle w:val="32"/>
        <w:snapToGrid w:val="0"/>
        <w:spacing w:before="260" w:after="260"/>
        <w:jc w:val="both"/>
        <w:rPr>
          <w:rStyle w:val="28"/>
          <w:rFonts w:hint="eastAsia" w:hAnsi="宋体"/>
          <w:b/>
          <w:bCs/>
        </w:rPr>
        <w:sectPr>
          <w:footerReference r:id="rId7" w:type="default"/>
          <w:endnotePr>
            <w:numFmt w:val="decimal"/>
          </w:endnotePr>
          <w:pgSz w:w="11906" w:h="16838"/>
          <w:pgMar w:top="1247" w:right="1531" w:bottom="1276" w:left="1531" w:header="850" w:footer="547" w:gutter="0"/>
          <w:pgNumType w:start="1"/>
          <w:cols w:space="720" w:num="1"/>
          <w:docGrid w:linePitch="327" w:charSpace="0"/>
        </w:sectPr>
      </w:pPr>
    </w:p>
    <w:p w14:paraId="42E9220E">
      <w:pPr>
        <w:pStyle w:val="32"/>
        <w:snapToGrid w:val="0"/>
        <w:spacing w:after="260"/>
        <w:jc w:val="both"/>
        <w:outlineLvl w:val="1"/>
        <w:rPr>
          <w:rStyle w:val="28"/>
          <w:rFonts w:hint="eastAsia" w:hAnsi="宋体"/>
        </w:rPr>
      </w:pPr>
      <w:bookmarkStart w:id="26" w:name="_Toc11705"/>
      <w:bookmarkStart w:id="27" w:name="_Toc11352"/>
      <w:bookmarkStart w:id="28" w:name="_Toc30618"/>
      <w:bookmarkStart w:id="29" w:name="_Toc21104"/>
      <w:bookmarkStart w:id="30" w:name="_Toc32120"/>
      <w:bookmarkStart w:id="31" w:name="_Toc12413"/>
      <w:bookmarkStart w:id="32" w:name="_Toc3663"/>
      <w:bookmarkStart w:id="33" w:name="_Toc4906"/>
      <w:bookmarkStart w:id="34" w:name="_Toc30944"/>
      <w:bookmarkStart w:id="35" w:name="_Toc30806"/>
      <w:bookmarkStart w:id="36" w:name="_Toc20401"/>
      <w:bookmarkStart w:id="37" w:name="_Toc11396"/>
      <w:bookmarkStart w:id="38" w:name="_Toc27248"/>
      <w:r>
        <w:rPr>
          <w:rStyle w:val="28"/>
          <w:rFonts w:hint="eastAsia" w:hAnsi="宋体"/>
          <w:b/>
          <w:bCs/>
        </w:rPr>
        <w:t>第二节 重要事项时间地点一览表</w:t>
      </w:r>
      <w:bookmarkEnd w:id="26"/>
      <w:bookmarkEnd w:id="27"/>
      <w:bookmarkEnd w:id="28"/>
      <w:bookmarkEnd w:id="29"/>
      <w:bookmarkEnd w:id="30"/>
      <w:bookmarkEnd w:id="31"/>
      <w:bookmarkEnd w:id="32"/>
      <w:bookmarkEnd w:id="33"/>
      <w:bookmarkEnd w:id="34"/>
      <w:bookmarkEnd w:id="35"/>
      <w:bookmarkEnd w:id="36"/>
      <w:bookmarkEnd w:id="37"/>
      <w:bookmarkEnd w:id="38"/>
    </w:p>
    <w:tbl>
      <w:tblPr>
        <w:tblStyle w:val="19"/>
        <w:tblW w:w="9513"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17"/>
        <w:gridCol w:w="1806"/>
        <w:gridCol w:w="7290"/>
      </w:tblGrid>
      <w:tr w14:paraId="7F7197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841" w:hRule="exact"/>
          <w:jc w:val="center"/>
        </w:trPr>
        <w:tc>
          <w:tcPr>
            <w:tcW w:w="417" w:type="dxa"/>
            <w:tcBorders>
              <w:top w:val="single" w:color="080000" w:sz="4" w:space="0"/>
              <w:left w:val="single" w:color="080000" w:sz="4" w:space="0"/>
              <w:bottom w:val="single" w:color="080000" w:sz="4" w:space="0"/>
              <w:right w:val="single" w:color="080000" w:sz="4" w:space="0"/>
            </w:tcBorders>
            <w:vAlign w:val="center"/>
          </w:tcPr>
          <w:p w14:paraId="04CC4FB4">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1</w:t>
            </w:r>
          </w:p>
        </w:tc>
        <w:tc>
          <w:tcPr>
            <w:tcW w:w="1806" w:type="dxa"/>
            <w:tcBorders>
              <w:top w:val="single" w:color="080000" w:sz="4" w:space="0"/>
              <w:left w:val="single" w:color="080000" w:sz="4" w:space="0"/>
              <w:bottom w:val="single" w:color="080000" w:sz="4" w:space="0"/>
              <w:right w:val="single" w:color="080000" w:sz="4" w:space="0"/>
            </w:tcBorders>
            <w:vAlign w:val="center"/>
          </w:tcPr>
          <w:p w14:paraId="2D1A4CFC">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招标公告</w:t>
            </w:r>
          </w:p>
          <w:p w14:paraId="650839E9">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发布时间</w:t>
            </w:r>
          </w:p>
        </w:tc>
        <w:tc>
          <w:tcPr>
            <w:tcW w:w="7290" w:type="dxa"/>
            <w:tcBorders>
              <w:top w:val="single" w:color="080000" w:sz="4" w:space="0"/>
              <w:left w:val="single" w:color="080000" w:sz="4" w:space="0"/>
              <w:bottom w:val="single" w:color="080000" w:sz="4" w:space="0"/>
              <w:right w:val="single" w:color="080000" w:sz="4" w:space="0"/>
            </w:tcBorders>
            <w:vAlign w:val="center"/>
          </w:tcPr>
          <w:p w14:paraId="07A27BBC">
            <w:pPr>
              <w:pStyle w:val="34"/>
              <w:wordWrap w:val="0"/>
              <w:adjustRightInd w:val="0"/>
              <w:snapToGrid w:val="0"/>
              <w:spacing w:line="360" w:lineRule="auto"/>
              <w:jc w:val="left"/>
              <w:rPr>
                <w:rFonts w:hint="eastAsia" w:ascii="宋体" w:hAnsi="宋体" w:cs="宋体"/>
                <w:snapToGrid w:val="0"/>
                <w:kern w:val="0"/>
                <w:sz w:val="24"/>
                <w:szCs w:val="24"/>
              </w:rPr>
            </w:pPr>
            <w:r>
              <w:rPr>
                <w:rFonts w:hint="eastAsia" w:ascii="宋体" w:hAnsi="宋体" w:cs="宋体"/>
                <w:snapToGrid w:val="0"/>
                <w:kern w:val="0"/>
                <w:sz w:val="24"/>
                <w:szCs w:val="24"/>
              </w:rPr>
              <w:t>2026年</w:t>
            </w:r>
            <w:r>
              <w:rPr>
                <w:rFonts w:hint="eastAsia" w:ascii="宋体" w:hAnsi="宋体" w:cs="宋体"/>
                <w:snapToGrid w:val="0"/>
                <w:kern w:val="0"/>
                <w:sz w:val="24"/>
                <w:szCs w:val="24"/>
                <w:lang w:val="en-US" w:eastAsia="zh-CN"/>
              </w:rPr>
              <w:t>10</w:t>
            </w:r>
            <w:r>
              <w:rPr>
                <w:rFonts w:hint="eastAsia" w:ascii="宋体" w:hAnsi="宋体" w:cs="宋体"/>
                <w:snapToGrid w:val="0"/>
                <w:kern w:val="0"/>
                <w:sz w:val="24"/>
                <w:szCs w:val="24"/>
              </w:rPr>
              <w:t>月</w:t>
            </w:r>
            <w:r>
              <w:rPr>
                <w:rFonts w:hint="eastAsia" w:ascii="宋体" w:hAnsi="宋体" w:cs="宋体"/>
                <w:snapToGrid w:val="0"/>
                <w:kern w:val="0"/>
                <w:sz w:val="24"/>
                <w:szCs w:val="24"/>
                <w:lang w:val="en-US" w:eastAsia="zh-CN"/>
              </w:rPr>
              <w:t>14</w:t>
            </w:r>
            <w:r>
              <w:rPr>
                <w:rFonts w:hint="eastAsia" w:ascii="宋体" w:hAnsi="宋体" w:cs="宋体"/>
                <w:snapToGrid w:val="0"/>
                <w:kern w:val="0"/>
                <w:sz w:val="24"/>
                <w:szCs w:val="24"/>
              </w:rPr>
              <w:t>日</w:t>
            </w:r>
            <w:r>
              <w:rPr>
                <w:rFonts w:hint="eastAsia" w:ascii="宋体" w:hAnsi="宋体" w:cs="宋体"/>
                <w:snapToGrid w:val="0"/>
                <w:kern w:val="0"/>
                <w:sz w:val="24"/>
                <w:szCs w:val="24"/>
                <w:lang w:val="en-US" w:eastAsia="zh-CN"/>
              </w:rPr>
              <w:t>17</w:t>
            </w:r>
            <w:r>
              <w:rPr>
                <w:rFonts w:hint="eastAsia" w:ascii="宋体" w:hAnsi="宋体" w:cs="宋体"/>
                <w:snapToGrid w:val="0"/>
                <w:kern w:val="0"/>
                <w:sz w:val="24"/>
                <w:szCs w:val="24"/>
              </w:rPr>
              <w:t>时</w:t>
            </w:r>
            <w:r>
              <w:rPr>
                <w:rFonts w:hint="eastAsia" w:ascii="宋体" w:hAnsi="宋体" w:cs="宋体"/>
                <w:snapToGrid w:val="0"/>
                <w:kern w:val="0"/>
                <w:sz w:val="24"/>
                <w:szCs w:val="24"/>
                <w:lang w:val="en-US" w:eastAsia="zh-CN"/>
              </w:rPr>
              <w:t>00</w:t>
            </w:r>
            <w:r>
              <w:rPr>
                <w:rFonts w:hint="eastAsia" w:ascii="宋体" w:hAnsi="宋体" w:cs="宋体"/>
                <w:snapToGrid w:val="0"/>
                <w:kern w:val="0"/>
                <w:sz w:val="24"/>
                <w:szCs w:val="24"/>
              </w:rPr>
              <w:t>分</w:t>
            </w:r>
          </w:p>
        </w:tc>
      </w:tr>
      <w:tr w14:paraId="4A8C7A3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jc w:val="center"/>
        </w:trPr>
        <w:tc>
          <w:tcPr>
            <w:tcW w:w="417" w:type="dxa"/>
            <w:tcBorders>
              <w:top w:val="single" w:color="080000" w:sz="4" w:space="0"/>
              <w:left w:val="single" w:color="080000" w:sz="4" w:space="0"/>
              <w:bottom w:val="single" w:color="080000" w:sz="4" w:space="0"/>
              <w:right w:val="single" w:color="080000" w:sz="4" w:space="0"/>
            </w:tcBorders>
            <w:vAlign w:val="center"/>
          </w:tcPr>
          <w:p w14:paraId="43DAE3F4">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2</w:t>
            </w:r>
          </w:p>
        </w:tc>
        <w:tc>
          <w:tcPr>
            <w:tcW w:w="1806" w:type="dxa"/>
            <w:tcBorders>
              <w:top w:val="single" w:color="080000" w:sz="4" w:space="0"/>
              <w:left w:val="single" w:color="080000" w:sz="4" w:space="0"/>
              <w:bottom w:val="single" w:color="080000" w:sz="4" w:space="0"/>
              <w:right w:val="single" w:color="080000" w:sz="4" w:space="0"/>
            </w:tcBorders>
            <w:vAlign w:val="center"/>
          </w:tcPr>
          <w:p w14:paraId="3F67E12E">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获取招标文</w:t>
            </w:r>
          </w:p>
          <w:p w14:paraId="0F367DE0">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件截止时间</w:t>
            </w:r>
          </w:p>
        </w:tc>
        <w:tc>
          <w:tcPr>
            <w:tcW w:w="7290" w:type="dxa"/>
            <w:tcBorders>
              <w:top w:val="single" w:color="080000" w:sz="4" w:space="0"/>
              <w:left w:val="single" w:color="080000" w:sz="4" w:space="0"/>
              <w:bottom w:val="single" w:color="080000" w:sz="4" w:space="0"/>
              <w:right w:val="single" w:color="080000" w:sz="4" w:space="0"/>
            </w:tcBorders>
            <w:vAlign w:val="center"/>
          </w:tcPr>
          <w:p w14:paraId="3887BDE3">
            <w:pPr>
              <w:pStyle w:val="34"/>
              <w:wordWrap w:val="0"/>
              <w:adjustRightInd w:val="0"/>
              <w:snapToGrid w:val="0"/>
              <w:spacing w:line="360" w:lineRule="auto"/>
              <w:jc w:val="left"/>
              <w:rPr>
                <w:rFonts w:hint="eastAsia" w:ascii="宋体" w:hAnsi="宋体" w:cs="宋体"/>
                <w:snapToGrid w:val="0"/>
                <w:kern w:val="0"/>
                <w:sz w:val="24"/>
                <w:szCs w:val="24"/>
              </w:rPr>
            </w:pPr>
            <w:r>
              <w:rPr>
                <w:rFonts w:hint="eastAsia" w:ascii="宋体" w:hAnsi="宋体" w:cs="宋体"/>
                <w:snapToGrid w:val="0"/>
                <w:kern w:val="0"/>
                <w:sz w:val="24"/>
                <w:szCs w:val="24"/>
              </w:rPr>
              <w:t>2026年</w:t>
            </w:r>
            <w:r>
              <w:rPr>
                <w:rFonts w:hint="eastAsia" w:ascii="宋体" w:hAnsi="宋体" w:cs="宋体"/>
                <w:snapToGrid w:val="0"/>
                <w:kern w:val="0"/>
                <w:sz w:val="24"/>
                <w:szCs w:val="24"/>
                <w:lang w:val="en-US" w:eastAsia="zh-CN"/>
              </w:rPr>
              <w:t>11</w:t>
            </w:r>
            <w:r>
              <w:rPr>
                <w:rFonts w:hint="eastAsia" w:ascii="宋体" w:hAnsi="宋体" w:cs="宋体"/>
                <w:snapToGrid w:val="0"/>
                <w:kern w:val="0"/>
                <w:sz w:val="24"/>
                <w:szCs w:val="24"/>
              </w:rPr>
              <w:t>月</w:t>
            </w:r>
            <w:r>
              <w:rPr>
                <w:rFonts w:hint="eastAsia" w:ascii="宋体" w:hAnsi="宋体" w:cs="宋体"/>
                <w:snapToGrid w:val="0"/>
                <w:kern w:val="0"/>
                <w:sz w:val="24"/>
                <w:szCs w:val="24"/>
                <w:lang w:val="en-US" w:eastAsia="zh-CN"/>
              </w:rPr>
              <w:t>4</w:t>
            </w:r>
            <w:r>
              <w:rPr>
                <w:rFonts w:hint="eastAsia" w:ascii="宋体" w:hAnsi="宋体" w:cs="宋体"/>
                <w:snapToGrid w:val="0"/>
                <w:kern w:val="0"/>
                <w:sz w:val="24"/>
                <w:szCs w:val="24"/>
              </w:rPr>
              <w:t>日</w:t>
            </w:r>
            <w:r>
              <w:rPr>
                <w:rFonts w:hint="eastAsia" w:ascii="宋体" w:hAnsi="宋体" w:cs="宋体"/>
                <w:snapToGrid w:val="0"/>
                <w:kern w:val="0"/>
                <w:sz w:val="24"/>
                <w:szCs w:val="24"/>
                <w:lang w:val="en-US" w:eastAsia="zh-CN"/>
              </w:rPr>
              <w:t>9</w:t>
            </w:r>
            <w:r>
              <w:rPr>
                <w:rFonts w:hint="eastAsia" w:ascii="宋体" w:hAnsi="宋体" w:cs="宋体"/>
                <w:snapToGrid w:val="0"/>
                <w:kern w:val="0"/>
                <w:sz w:val="24"/>
                <w:szCs w:val="24"/>
              </w:rPr>
              <w:t>时</w:t>
            </w:r>
            <w:r>
              <w:rPr>
                <w:rFonts w:hint="eastAsia" w:ascii="宋体" w:hAnsi="宋体" w:cs="宋体"/>
                <w:snapToGrid w:val="0"/>
                <w:kern w:val="0"/>
                <w:sz w:val="24"/>
                <w:szCs w:val="24"/>
                <w:lang w:val="en-US" w:eastAsia="zh-CN"/>
              </w:rPr>
              <w:t>30</w:t>
            </w:r>
            <w:r>
              <w:rPr>
                <w:rFonts w:hint="eastAsia" w:ascii="宋体" w:hAnsi="宋体" w:cs="宋体"/>
                <w:snapToGrid w:val="0"/>
                <w:kern w:val="0"/>
                <w:sz w:val="24"/>
                <w:szCs w:val="24"/>
              </w:rPr>
              <w:t>分</w:t>
            </w:r>
          </w:p>
        </w:tc>
      </w:tr>
      <w:tr w14:paraId="5BEEC39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20" w:hRule="exact"/>
          <w:jc w:val="center"/>
        </w:trPr>
        <w:tc>
          <w:tcPr>
            <w:tcW w:w="417" w:type="dxa"/>
            <w:tcBorders>
              <w:top w:val="single" w:color="080000" w:sz="4" w:space="0"/>
              <w:left w:val="single" w:color="080000" w:sz="4" w:space="0"/>
              <w:bottom w:val="single" w:color="080000" w:sz="4" w:space="0"/>
              <w:right w:val="single" w:color="080000" w:sz="4" w:space="0"/>
            </w:tcBorders>
            <w:vAlign w:val="center"/>
          </w:tcPr>
          <w:p w14:paraId="0A3883A5">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3</w:t>
            </w:r>
          </w:p>
        </w:tc>
        <w:tc>
          <w:tcPr>
            <w:tcW w:w="1806" w:type="dxa"/>
            <w:tcBorders>
              <w:top w:val="single" w:color="080000" w:sz="4" w:space="0"/>
              <w:left w:val="single" w:color="080000" w:sz="4" w:space="0"/>
              <w:bottom w:val="single" w:color="080000" w:sz="4" w:space="0"/>
              <w:right w:val="single" w:color="080000" w:sz="4" w:space="0"/>
            </w:tcBorders>
            <w:vAlign w:val="center"/>
          </w:tcPr>
          <w:p w14:paraId="351EFC40">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网上提问</w:t>
            </w:r>
          </w:p>
          <w:p w14:paraId="00BFFCA5">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截止时间</w:t>
            </w:r>
          </w:p>
        </w:tc>
        <w:tc>
          <w:tcPr>
            <w:tcW w:w="7290" w:type="dxa"/>
            <w:tcBorders>
              <w:top w:val="single" w:color="080000" w:sz="4" w:space="0"/>
              <w:left w:val="single" w:color="080000" w:sz="4" w:space="0"/>
              <w:bottom w:val="single" w:color="080000" w:sz="4" w:space="0"/>
              <w:right w:val="single" w:color="080000" w:sz="4" w:space="0"/>
            </w:tcBorders>
            <w:vAlign w:val="center"/>
          </w:tcPr>
          <w:p w14:paraId="604BEDCD">
            <w:pPr>
              <w:pStyle w:val="34"/>
              <w:wordWrap w:val="0"/>
              <w:adjustRightInd w:val="0"/>
              <w:snapToGrid w:val="0"/>
              <w:spacing w:line="360" w:lineRule="auto"/>
              <w:jc w:val="left"/>
              <w:rPr>
                <w:rFonts w:hint="eastAsia" w:ascii="宋体" w:hAnsi="宋体" w:cs="宋体"/>
                <w:snapToGrid w:val="0"/>
                <w:kern w:val="0"/>
                <w:sz w:val="24"/>
                <w:szCs w:val="24"/>
              </w:rPr>
            </w:pPr>
            <w:r>
              <w:rPr>
                <w:rFonts w:hint="eastAsia" w:ascii="宋体" w:hAnsi="宋体" w:cs="宋体"/>
                <w:snapToGrid w:val="0"/>
                <w:kern w:val="0"/>
                <w:sz w:val="24"/>
                <w:szCs w:val="24"/>
              </w:rPr>
              <w:t>2026年</w:t>
            </w:r>
            <w:r>
              <w:rPr>
                <w:rFonts w:hint="eastAsia" w:ascii="宋体" w:hAnsi="宋体" w:cs="宋体"/>
                <w:snapToGrid w:val="0"/>
                <w:kern w:val="0"/>
                <w:sz w:val="24"/>
                <w:szCs w:val="24"/>
                <w:lang w:val="en-US" w:eastAsia="zh-CN"/>
              </w:rPr>
              <w:t>10</w:t>
            </w:r>
            <w:r>
              <w:rPr>
                <w:rFonts w:hint="eastAsia" w:ascii="宋体" w:hAnsi="宋体" w:cs="宋体"/>
                <w:snapToGrid w:val="0"/>
                <w:kern w:val="0"/>
                <w:sz w:val="24"/>
                <w:szCs w:val="24"/>
              </w:rPr>
              <w:t>月</w:t>
            </w:r>
            <w:r>
              <w:rPr>
                <w:rFonts w:hint="eastAsia" w:ascii="宋体" w:hAnsi="宋体" w:cs="宋体"/>
                <w:snapToGrid w:val="0"/>
                <w:kern w:val="0"/>
                <w:sz w:val="24"/>
                <w:szCs w:val="24"/>
                <w:lang w:val="en-US" w:eastAsia="zh-CN"/>
              </w:rPr>
              <w:t>25</w:t>
            </w:r>
            <w:r>
              <w:rPr>
                <w:rFonts w:hint="eastAsia" w:ascii="宋体" w:hAnsi="宋体" w:cs="宋体"/>
                <w:snapToGrid w:val="0"/>
                <w:kern w:val="0"/>
                <w:sz w:val="24"/>
                <w:szCs w:val="24"/>
              </w:rPr>
              <w:t>日</w:t>
            </w:r>
            <w:r>
              <w:rPr>
                <w:rFonts w:hint="eastAsia" w:ascii="宋体" w:hAnsi="宋体" w:cs="宋体"/>
                <w:snapToGrid w:val="0"/>
                <w:kern w:val="0"/>
                <w:sz w:val="24"/>
                <w:szCs w:val="24"/>
                <w:lang w:val="en-US" w:eastAsia="zh-CN"/>
              </w:rPr>
              <w:t>16</w:t>
            </w:r>
            <w:r>
              <w:rPr>
                <w:rFonts w:hint="eastAsia" w:ascii="宋体" w:hAnsi="宋体" w:cs="宋体"/>
                <w:snapToGrid w:val="0"/>
                <w:kern w:val="0"/>
                <w:sz w:val="24"/>
                <w:szCs w:val="24"/>
              </w:rPr>
              <w:t>时</w:t>
            </w:r>
            <w:r>
              <w:rPr>
                <w:rFonts w:hint="eastAsia" w:ascii="宋体" w:hAnsi="宋体" w:cs="宋体"/>
                <w:snapToGrid w:val="0"/>
                <w:kern w:val="0"/>
                <w:sz w:val="24"/>
                <w:szCs w:val="24"/>
                <w:lang w:val="en-US" w:eastAsia="zh-CN"/>
              </w:rPr>
              <w:t>00</w:t>
            </w:r>
            <w:r>
              <w:rPr>
                <w:rFonts w:hint="eastAsia" w:ascii="宋体" w:hAnsi="宋体" w:cs="宋体"/>
                <w:snapToGrid w:val="0"/>
                <w:kern w:val="0"/>
                <w:sz w:val="24"/>
                <w:szCs w:val="24"/>
              </w:rPr>
              <w:t>分</w:t>
            </w:r>
          </w:p>
        </w:tc>
      </w:tr>
      <w:tr w14:paraId="739986F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27" w:hRule="exact"/>
          <w:jc w:val="center"/>
        </w:trPr>
        <w:tc>
          <w:tcPr>
            <w:tcW w:w="417" w:type="dxa"/>
            <w:tcBorders>
              <w:top w:val="single" w:color="080000" w:sz="4" w:space="0"/>
              <w:left w:val="single" w:color="080000" w:sz="4" w:space="0"/>
              <w:bottom w:val="single" w:color="080000" w:sz="4" w:space="0"/>
              <w:right w:val="single" w:color="080000" w:sz="4" w:space="0"/>
            </w:tcBorders>
            <w:vAlign w:val="center"/>
          </w:tcPr>
          <w:p w14:paraId="71D24F4B">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4</w:t>
            </w:r>
          </w:p>
        </w:tc>
        <w:tc>
          <w:tcPr>
            <w:tcW w:w="1806" w:type="dxa"/>
            <w:tcBorders>
              <w:top w:val="single" w:color="080000" w:sz="4" w:space="0"/>
              <w:left w:val="single" w:color="080000" w:sz="4" w:space="0"/>
              <w:bottom w:val="single" w:color="080000" w:sz="4" w:space="0"/>
              <w:right w:val="single" w:color="080000" w:sz="4" w:space="0"/>
            </w:tcBorders>
            <w:vAlign w:val="center"/>
          </w:tcPr>
          <w:p w14:paraId="2C38EF7A">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网上答疑</w:t>
            </w:r>
          </w:p>
          <w:p w14:paraId="1F47DF48">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时间</w:t>
            </w:r>
          </w:p>
        </w:tc>
        <w:tc>
          <w:tcPr>
            <w:tcW w:w="7290" w:type="dxa"/>
            <w:tcBorders>
              <w:top w:val="single" w:color="080000" w:sz="4" w:space="0"/>
              <w:left w:val="single" w:color="080000" w:sz="4" w:space="0"/>
              <w:bottom w:val="single" w:color="080000" w:sz="4" w:space="0"/>
              <w:right w:val="single" w:color="080000" w:sz="4" w:space="0"/>
            </w:tcBorders>
            <w:vAlign w:val="center"/>
          </w:tcPr>
          <w:p w14:paraId="234D9D55">
            <w:pPr>
              <w:pStyle w:val="34"/>
              <w:wordWrap w:val="0"/>
              <w:adjustRightInd w:val="0"/>
              <w:snapToGrid w:val="0"/>
              <w:spacing w:line="360" w:lineRule="auto"/>
              <w:jc w:val="left"/>
              <w:rPr>
                <w:rFonts w:hint="eastAsia" w:ascii="宋体" w:hAnsi="宋体" w:cs="宋体"/>
                <w:snapToGrid w:val="0"/>
                <w:kern w:val="0"/>
                <w:sz w:val="24"/>
                <w:szCs w:val="24"/>
              </w:rPr>
            </w:pPr>
            <w:r>
              <w:rPr>
                <w:rFonts w:hint="eastAsia" w:ascii="宋体" w:hAnsi="宋体" w:cs="宋体"/>
                <w:snapToGrid w:val="0"/>
                <w:kern w:val="0"/>
                <w:sz w:val="24"/>
                <w:szCs w:val="24"/>
              </w:rPr>
              <w:t>2026年</w:t>
            </w:r>
            <w:r>
              <w:rPr>
                <w:rFonts w:hint="eastAsia" w:ascii="宋体" w:hAnsi="宋体" w:cs="宋体"/>
                <w:snapToGrid w:val="0"/>
                <w:kern w:val="0"/>
                <w:sz w:val="24"/>
                <w:szCs w:val="24"/>
                <w:lang w:val="en-US" w:eastAsia="zh-CN"/>
              </w:rPr>
              <w:t>10</w:t>
            </w:r>
            <w:r>
              <w:rPr>
                <w:rFonts w:hint="eastAsia" w:ascii="宋体" w:hAnsi="宋体" w:cs="宋体"/>
                <w:snapToGrid w:val="0"/>
                <w:kern w:val="0"/>
                <w:sz w:val="24"/>
                <w:szCs w:val="24"/>
              </w:rPr>
              <w:t>月</w:t>
            </w:r>
            <w:r>
              <w:rPr>
                <w:rFonts w:hint="eastAsia" w:ascii="宋体" w:hAnsi="宋体" w:cs="宋体"/>
                <w:snapToGrid w:val="0"/>
                <w:kern w:val="0"/>
                <w:sz w:val="24"/>
                <w:szCs w:val="24"/>
                <w:lang w:val="en-US" w:eastAsia="zh-CN"/>
              </w:rPr>
              <w:t>25</w:t>
            </w:r>
            <w:r>
              <w:rPr>
                <w:rFonts w:hint="eastAsia" w:ascii="宋体" w:hAnsi="宋体" w:cs="宋体"/>
                <w:snapToGrid w:val="0"/>
                <w:kern w:val="0"/>
                <w:sz w:val="24"/>
                <w:szCs w:val="24"/>
              </w:rPr>
              <w:t>日</w:t>
            </w:r>
            <w:r>
              <w:rPr>
                <w:rFonts w:hint="eastAsia" w:ascii="宋体" w:hAnsi="宋体" w:cs="宋体"/>
                <w:snapToGrid w:val="0"/>
                <w:kern w:val="0"/>
                <w:sz w:val="24"/>
                <w:szCs w:val="24"/>
                <w:lang w:val="en-US" w:eastAsia="zh-CN"/>
              </w:rPr>
              <w:t>16</w:t>
            </w:r>
            <w:r>
              <w:rPr>
                <w:rFonts w:hint="eastAsia" w:ascii="宋体" w:hAnsi="宋体" w:cs="宋体"/>
                <w:snapToGrid w:val="0"/>
                <w:kern w:val="0"/>
                <w:sz w:val="24"/>
                <w:szCs w:val="24"/>
              </w:rPr>
              <w:t>时</w:t>
            </w:r>
            <w:r>
              <w:rPr>
                <w:rFonts w:hint="eastAsia" w:ascii="宋体" w:hAnsi="宋体" w:cs="宋体"/>
                <w:snapToGrid w:val="0"/>
                <w:kern w:val="0"/>
                <w:sz w:val="24"/>
                <w:szCs w:val="24"/>
                <w:lang w:val="en-US" w:eastAsia="zh-CN"/>
              </w:rPr>
              <w:t>30</w:t>
            </w:r>
            <w:r>
              <w:rPr>
                <w:rFonts w:hint="eastAsia" w:ascii="宋体" w:hAnsi="宋体" w:cs="宋体"/>
                <w:snapToGrid w:val="0"/>
                <w:kern w:val="0"/>
                <w:sz w:val="24"/>
                <w:szCs w:val="24"/>
              </w:rPr>
              <w:t>分至2026年</w:t>
            </w:r>
            <w:r>
              <w:rPr>
                <w:rFonts w:hint="eastAsia" w:ascii="宋体" w:hAnsi="宋体" w:cs="宋体"/>
                <w:snapToGrid w:val="0"/>
                <w:kern w:val="0"/>
                <w:sz w:val="24"/>
                <w:szCs w:val="24"/>
                <w:lang w:val="en-US" w:eastAsia="zh-CN"/>
              </w:rPr>
              <w:t>10</w:t>
            </w:r>
            <w:r>
              <w:rPr>
                <w:rFonts w:hint="eastAsia" w:ascii="宋体" w:hAnsi="宋体" w:cs="宋体"/>
                <w:snapToGrid w:val="0"/>
                <w:kern w:val="0"/>
                <w:sz w:val="24"/>
                <w:szCs w:val="24"/>
              </w:rPr>
              <w:t>月</w:t>
            </w:r>
            <w:r>
              <w:rPr>
                <w:rFonts w:hint="eastAsia" w:ascii="宋体" w:hAnsi="宋体" w:cs="宋体"/>
                <w:snapToGrid w:val="0"/>
                <w:kern w:val="0"/>
                <w:sz w:val="24"/>
                <w:szCs w:val="24"/>
                <w:lang w:val="en-US" w:eastAsia="zh-CN"/>
              </w:rPr>
              <w:t>28</w:t>
            </w:r>
            <w:r>
              <w:rPr>
                <w:rFonts w:hint="eastAsia" w:ascii="宋体" w:hAnsi="宋体" w:cs="宋体"/>
                <w:snapToGrid w:val="0"/>
                <w:kern w:val="0"/>
                <w:sz w:val="24"/>
                <w:szCs w:val="24"/>
              </w:rPr>
              <w:t>日</w:t>
            </w:r>
            <w:r>
              <w:rPr>
                <w:rFonts w:hint="eastAsia" w:ascii="宋体" w:hAnsi="宋体" w:cs="宋体"/>
                <w:snapToGrid w:val="0"/>
                <w:kern w:val="0"/>
                <w:sz w:val="24"/>
                <w:szCs w:val="24"/>
                <w:lang w:val="en-US" w:eastAsia="zh-CN"/>
              </w:rPr>
              <w:t>16</w:t>
            </w:r>
            <w:r>
              <w:rPr>
                <w:rFonts w:hint="eastAsia" w:ascii="宋体" w:hAnsi="宋体" w:cs="宋体"/>
                <w:snapToGrid w:val="0"/>
                <w:kern w:val="0"/>
                <w:sz w:val="24"/>
                <w:szCs w:val="24"/>
              </w:rPr>
              <w:t>时</w:t>
            </w:r>
            <w:r>
              <w:rPr>
                <w:rFonts w:hint="eastAsia" w:ascii="宋体" w:hAnsi="宋体" w:cs="宋体"/>
                <w:snapToGrid w:val="0"/>
                <w:kern w:val="0"/>
                <w:sz w:val="24"/>
                <w:szCs w:val="24"/>
                <w:lang w:val="en-US" w:eastAsia="zh-CN"/>
              </w:rPr>
              <w:t>00</w:t>
            </w:r>
            <w:r>
              <w:rPr>
                <w:rFonts w:hint="eastAsia" w:ascii="宋体" w:hAnsi="宋体" w:cs="宋体"/>
                <w:snapToGrid w:val="0"/>
                <w:kern w:val="0"/>
                <w:sz w:val="24"/>
                <w:szCs w:val="24"/>
              </w:rPr>
              <w:t>分</w:t>
            </w:r>
          </w:p>
        </w:tc>
      </w:tr>
      <w:tr w14:paraId="4F9F26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04" w:hRule="exact"/>
          <w:jc w:val="center"/>
        </w:trPr>
        <w:tc>
          <w:tcPr>
            <w:tcW w:w="417" w:type="dxa"/>
            <w:tcBorders>
              <w:top w:val="single" w:color="080000" w:sz="4" w:space="0"/>
              <w:left w:val="single" w:color="080000" w:sz="4" w:space="0"/>
              <w:bottom w:val="single" w:color="080000" w:sz="4" w:space="0"/>
              <w:right w:val="single" w:color="080000" w:sz="4" w:space="0"/>
            </w:tcBorders>
            <w:vAlign w:val="center"/>
          </w:tcPr>
          <w:p w14:paraId="63DC9231">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5</w:t>
            </w:r>
          </w:p>
        </w:tc>
        <w:tc>
          <w:tcPr>
            <w:tcW w:w="1806" w:type="dxa"/>
            <w:tcBorders>
              <w:top w:val="single" w:color="080000" w:sz="4" w:space="0"/>
              <w:left w:val="single" w:color="080000" w:sz="4" w:space="0"/>
              <w:bottom w:val="single" w:color="080000" w:sz="4" w:space="0"/>
              <w:right w:val="single" w:color="080000" w:sz="4" w:space="0"/>
            </w:tcBorders>
            <w:vAlign w:val="center"/>
          </w:tcPr>
          <w:p w14:paraId="1FE14C6D">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投标保证缴</w:t>
            </w:r>
          </w:p>
          <w:p w14:paraId="213DB748">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纳截止时间</w:t>
            </w:r>
          </w:p>
        </w:tc>
        <w:tc>
          <w:tcPr>
            <w:tcW w:w="7290" w:type="dxa"/>
            <w:tcBorders>
              <w:top w:val="single" w:color="080000" w:sz="4" w:space="0"/>
              <w:left w:val="single" w:color="080000" w:sz="4" w:space="0"/>
              <w:bottom w:val="single" w:color="080000" w:sz="4" w:space="0"/>
              <w:right w:val="single" w:color="080000" w:sz="4" w:space="0"/>
            </w:tcBorders>
            <w:vAlign w:val="center"/>
          </w:tcPr>
          <w:p w14:paraId="57AD1C26">
            <w:pPr>
              <w:pStyle w:val="34"/>
              <w:wordWrap w:val="0"/>
              <w:adjustRightInd w:val="0"/>
              <w:snapToGrid w:val="0"/>
              <w:spacing w:line="360" w:lineRule="auto"/>
              <w:jc w:val="left"/>
              <w:rPr>
                <w:rFonts w:hint="eastAsia" w:ascii="宋体" w:hAnsi="宋体" w:cs="宋体"/>
                <w:snapToGrid w:val="0"/>
                <w:kern w:val="0"/>
                <w:sz w:val="24"/>
                <w:szCs w:val="24"/>
              </w:rPr>
            </w:pPr>
            <w:r>
              <w:rPr>
                <w:rFonts w:hint="eastAsia" w:ascii="宋体" w:hAnsi="宋体" w:cs="宋体"/>
                <w:snapToGrid w:val="0"/>
                <w:kern w:val="0"/>
                <w:sz w:val="24"/>
                <w:szCs w:val="24"/>
              </w:rPr>
              <w:t>投标保证金到账截止时间：2026年</w:t>
            </w:r>
            <w:r>
              <w:rPr>
                <w:rFonts w:hint="eastAsia" w:ascii="宋体" w:hAnsi="宋体" w:cs="宋体"/>
                <w:snapToGrid w:val="0"/>
                <w:kern w:val="0"/>
                <w:sz w:val="24"/>
                <w:szCs w:val="24"/>
                <w:lang w:val="en-US" w:eastAsia="zh-CN"/>
              </w:rPr>
              <w:t>11</w:t>
            </w:r>
            <w:r>
              <w:rPr>
                <w:rFonts w:hint="eastAsia" w:ascii="宋体" w:hAnsi="宋体" w:cs="宋体"/>
                <w:snapToGrid w:val="0"/>
                <w:kern w:val="0"/>
                <w:sz w:val="24"/>
                <w:szCs w:val="24"/>
              </w:rPr>
              <w:t>月</w:t>
            </w:r>
            <w:r>
              <w:rPr>
                <w:rFonts w:hint="eastAsia" w:ascii="宋体" w:hAnsi="宋体" w:cs="宋体"/>
                <w:snapToGrid w:val="0"/>
                <w:kern w:val="0"/>
                <w:sz w:val="24"/>
                <w:szCs w:val="24"/>
                <w:lang w:val="en-US" w:eastAsia="zh-CN"/>
              </w:rPr>
              <w:t>3</w:t>
            </w:r>
            <w:r>
              <w:rPr>
                <w:rFonts w:hint="eastAsia" w:ascii="宋体" w:hAnsi="宋体" w:cs="宋体"/>
                <w:snapToGrid w:val="0"/>
                <w:kern w:val="0"/>
                <w:sz w:val="24"/>
                <w:szCs w:val="24"/>
              </w:rPr>
              <w:t>日</w:t>
            </w:r>
            <w:r>
              <w:rPr>
                <w:rFonts w:hint="eastAsia" w:ascii="宋体" w:hAnsi="宋体" w:cs="宋体"/>
                <w:snapToGrid w:val="0"/>
                <w:kern w:val="0"/>
                <w:sz w:val="24"/>
                <w:szCs w:val="24"/>
                <w:lang w:val="en-US" w:eastAsia="zh-CN"/>
              </w:rPr>
              <w:t>9</w:t>
            </w:r>
            <w:r>
              <w:rPr>
                <w:rFonts w:hint="eastAsia" w:ascii="宋体" w:hAnsi="宋体" w:cs="宋体"/>
                <w:snapToGrid w:val="0"/>
                <w:kern w:val="0"/>
                <w:sz w:val="24"/>
                <w:szCs w:val="24"/>
              </w:rPr>
              <w:t>时</w:t>
            </w:r>
            <w:r>
              <w:rPr>
                <w:rFonts w:hint="eastAsia" w:ascii="宋体" w:hAnsi="宋体" w:cs="宋体"/>
                <w:snapToGrid w:val="0"/>
                <w:kern w:val="0"/>
                <w:sz w:val="24"/>
                <w:szCs w:val="24"/>
                <w:lang w:val="en-US" w:eastAsia="zh-CN"/>
              </w:rPr>
              <w:t>30</w:t>
            </w:r>
            <w:r>
              <w:rPr>
                <w:rFonts w:hint="eastAsia" w:ascii="宋体" w:hAnsi="宋体" w:cs="宋体"/>
                <w:snapToGrid w:val="0"/>
                <w:kern w:val="0"/>
                <w:sz w:val="24"/>
                <w:szCs w:val="24"/>
              </w:rPr>
              <w:t>分；</w:t>
            </w:r>
          </w:p>
          <w:p w14:paraId="271DB33A">
            <w:pPr>
              <w:pStyle w:val="34"/>
              <w:wordWrap w:val="0"/>
              <w:adjustRightInd w:val="0"/>
              <w:snapToGrid w:val="0"/>
              <w:spacing w:line="360" w:lineRule="auto"/>
              <w:jc w:val="left"/>
              <w:rPr>
                <w:rFonts w:hint="eastAsia" w:ascii="宋体" w:hAnsi="宋体" w:cs="宋体"/>
                <w:snapToGrid w:val="0"/>
                <w:kern w:val="0"/>
                <w:sz w:val="24"/>
                <w:szCs w:val="24"/>
              </w:rPr>
            </w:pPr>
            <w:r>
              <w:rPr>
                <w:rFonts w:hint="eastAsia" w:ascii="宋体" w:hAnsi="宋体" w:cs="宋体"/>
                <w:snapToGrid w:val="0"/>
                <w:kern w:val="0"/>
                <w:sz w:val="24"/>
                <w:szCs w:val="24"/>
              </w:rPr>
              <w:t>投标保证担保提交截止时间：2026年</w:t>
            </w:r>
            <w:r>
              <w:rPr>
                <w:rFonts w:hint="eastAsia" w:ascii="宋体" w:hAnsi="宋体" w:cs="宋体"/>
                <w:snapToGrid w:val="0"/>
                <w:kern w:val="0"/>
                <w:sz w:val="24"/>
                <w:szCs w:val="24"/>
                <w:lang w:val="en-US" w:eastAsia="zh-CN"/>
              </w:rPr>
              <w:t>11</w:t>
            </w:r>
            <w:r>
              <w:rPr>
                <w:rFonts w:hint="eastAsia" w:ascii="宋体" w:hAnsi="宋体" w:cs="宋体"/>
                <w:snapToGrid w:val="0"/>
                <w:kern w:val="0"/>
                <w:sz w:val="24"/>
                <w:szCs w:val="24"/>
              </w:rPr>
              <w:t>月</w:t>
            </w:r>
            <w:r>
              <w:rPr>
                <w:rFonts w:hint="eastAsia" w:ascii="宋体" w:hAnsi="宋体" w:cs="宋体"/>
                <w:snapToGrid w:val="0"/>
                <w:kern w:val="0"/>
                <w:sz w:val="24"/>
                <w:szCs w:val="24"/>
                <w:lang w:val="en-US" w:eastAsia="zh-CN"/>
              </w:rPr>
              <w:t>3</w:t>
            </w:r>
            <w:r>
              <w:rPr>
                <w:rFonts w:hint="eastAsia" w:ascii="宋体" w:hAnsi="宋体" w:cs="宋体"/>
                <w:snapToGrid w:val="0"/>
                <w:kern w:val="0"/>
                <w:sz w:val="24"/>
                <w:szCs w:val="24"/>
              </w:rPr>
              <w:t>日</w:t>
            </w:r>
            <w:r>
              <w:rPr>
                <w:rFonts w:hint="eastAsia" w:ascii="宋体" w:hAnsi="宋体" w:cs="宋体"/>
                <w:snapToGrid w:val="0"/>
                <w:kern w:val="0"/>
                <w:sz w:val="24"/>
                <w:szCs w:val="24"/>
                <w:lang w:val="en-US" w:eastAsia="zh-CN"/>
              </w:rPr>
              <w:t>9</w:t>
            </w:r>
            <w:r>
              <w:rPr>
                <w:rFonts w:hint="eastAsia" w:ascii="宋体" w:hAnsi="宋体" w:cs="宋体"/>
                <w:snapToGrid w:val="0"/>
                <w:kern w:val="0"/>
                <w:sz w:val="24"/>
                <w:szCs w:val="24"/>
              </w:rPr>
              <w:t>时</w:t>
            </w:r>
            <w:r>
              <w:rPr>
                <w:rFonts w:hint="eastAsia" w:ascii="宋体" w:hAnsi="宋体" w:cs="宋体"/>
                <w:snapToGrid w:val="0"/>
                <w:kern w:val="0"/>
                <w:sz w:val="24"/>
                <w:szCs w:val="24"/>
                <w:lang w:val="en-US" w:eastAsia="zh-CN"/>
              </w:rPr>
              <w:t>30</w:t>
            </w:r>
            <w:r>
              <w:rPr>
                <w:rFonts w:hint="eastAsia" w:ascii="宋体" w:hAnsi="宋体" w:cs="宋体"/>
                <w:snapToGrid w:val="0"/>
                <w:kern w:val="0"/>
                <w:sz w:val="24"/>
                <w:szCs w:val="24"/>
              </w:rPr>
              <w:t>分；</w:t>
            </w:r>
          </w:p>
          <w:p w14:paraId="39716E3F">
            <w:pPr>
              <w:pStyle w:val="16"/>
              <w:widowControl w:val="0"/>
              <w:wordWrap w:val="0"/>
              <w:adjustRightInd w:val="0"/>
              <w:snapToGrid w:val="0"/>
              <w:spacing w:line="360" w:lineRule="auto"/>
              <w:jc w:val="left"/>
              <w:textAlignment w:val="auto"/>
              <w:rPr>
                <w:rFonts w:hint="eastAsia" w:hAnsi="宋体" w:eastAsia="宋体"/>
                <w:snapToGrid w:val="0"/>
                <w:kern w:val="0"/>
              </w:rPr>
            </w:pPr>
            <w:r>
              <w:rPr>
                <w:rFonts w:hint="eastAsia" w:hAnsi="宋体" w:eastAsia="宋体"/>
                <w:snapToGrid w:val="0"/>
                <w:kern w:val="0"/>
              </w:rPr>
              <w:t>投标保证保险投保截止时间：2026年</w:t>
            </w:r>
            <w:r>
              <w:rPr>
                <w:rFonts w:hint="eastAsia" w:hAnsi="宋体" w:eastAsia="宋体"/>
                <w:snapToGrid w:val="0"/>
                <w:kern w:val="0"/>
                <w:lang w:val="en-US" w:eastAsia="zh-CN"/>
              </w:rPr>
              <w:t>11</w:t>
            </w:r>
            <w:r>
              <w:rPr>
                <w:rFonts w:hint="eastAsia" w:hAnsi="宋体" w:eastAsia="宋体"/>
                <w:snapToGrid w:val="0"/>
                <w:kern w:val="0"/>
              </w:rPr>
              <w:t>月</w:t>
            </w:r>
            <w:r>
              <w:rPr>
                <w:rFonts w:hint="eastAsia" w:hAnsi="宋体" w:eastAsia="宋体"/>
                <w:snapToGrid w:val="0"/>
                <w:kern w:val="0"/>
                <w:lang w:val="en-US" w:eastAsia="zh-CN"/>
              </w:rPr>
              <w:t>3</w:t>
            </w:r>
            <w:r>
              <w:rPr>
                <w:rFonts w:hint="eastAsia" w:hAnsi="宋体" w:eastAsia="宋体"/>
                <w:snapToGrid w:val="0"/>
                <w:kern w:val="0"/>
              </w:rPr>
              <w:t>日</w:t>
            </w:r>
            <w:r>
              <w:rPr>
                <w:rFonts w:hint="eastAsia" w:hAnsi="宋体" w:eastAsia="宋体"/>
                <w:snapToGrid w:val="0"/>
                <w:kern w:val="0"/>
                <w:lang w:val="en-US" w:eastAsia="zh-CN"/>
              </w:rPr>
              <w:t>9</w:t>
            </w:r>
            <w:r>
              <w:rPr>
                <w:rFonts w:hint="eastAsia" w:hAnsi="宋体" w:eastAsia="宋体"/>
                <w:snapToGrid w:val="0"/>
                <w:kern w:val="0"/>
              </w:rPr>
              <w:t>时</w:t>
            </w:r>
            <w:r>
              <w:rPr>
                <w:rFonts w:hint="eastAsia" w:hAnsi="宋体" w:eastAsia="宋体"/>
                <w:snapToGrid w:val="0"/>
                <w:kern w:val="0"/>
                <w:lang w:val="en-US" w:eastAsia="zh-CN"/>
              </w:rPr>
              <w:t>30</w:t>
            </w:r>
            <w:r>
              <w:rPr>
                <w:rFonts w:hint="eastAsia" w:hAnsi="宋体" w:eastAsia="宋体"/>
                <w:snapToGrid w:val="0"/>
                <w:kern w:val="0"/>
              </w:rPr>
              <w:t>分。</w:t>
            </w:r>
          </w:p>
        </w:tc>
      </w:tr>
      <w:tr w14:paraId="2DEF4E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84" w:hRule="exact"/>
          <w:jc w:val="center"/>
        </w:trPr>
        <w:tc>
          <w:tcPr>
            <w:tcW w:w="417" w:type="dxa"/>
            <w:tcBorders>
              <w:top w:val="single" w:color="080000" w:sz="4" w:space="0"/>
              <w:left w:val="single" w:color="080000" w:sz="4" w:space="0"/>
              <w:bottom w:val="single" w:color="080000" w:sz="4" w:space="0"/>
              <w:right w:val="single" w:color="080000" w:sz="4" w:space="0"/>
            </w:tcBorders>
            <w:vAlign w:val="center"/>
          </w:tcPr>
          <w:p w14:paraId="27A33DDD">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6</w:t>
            </w:r>
          </w:p>
        </w:tc>
        <w:tc>
          <w:tcPr>
            <w:tcW w:w="1806" w:type="dxa"/>
            <w:tcBorders>
              <w:top w:val="single" w:color="080000" w:sz="4" w:space="0"/>
              <w:left w:val="single" w:color="080000" w:sz="4" w:space="0"/>
              <w:bottom w:val="single" w:color="080000" w:sz="4" w:space="0"/>
              <w:right w:val="single" w:color="080000" w:sz="4" w:space="0"/>
            </w:tcBorders>
            <w:vAlign w:val="center"/>
          </w:tcPr>
          <w:p w14:paraId="3C88FCA2">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电子投标</w:t>
            </w:r>
          </w:p>
          <w:p w14:paraId="6E50B947">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截止时间</w:t>
            </w:r>
          </w:p>
        </w:tc>
        <w:tc>
          <w:tcPr>
            <w:tcW w:w="7290" w:type="dxa"/>
            <w:tcBorders>
              <w:top w:val="single" w:color="080000" w:sz="4" w:space="0"/>
              <w:left w:val="single" w:color="080000" w:sz="4" w:space="0"/>
              <w:bottom w:val="single" w:color="080000" w:sz="4" w:space="0"/>
              <w:right w:val="single" w:color="080000" w:sz="4" w:space="0"/>
            </w:tcBorders>
            <w:vAlign w:val="center"/>
          </w:tcPr>
          <w:p w14:paraId="29E0BE3F">
            <w:pPr>
              <w:pStyle w:val="16"/>
              <w:widowControl w:val="0"/>
              <w:wordWrap w:val="0"/>
              <w:adjustRightInd w:val="0"/>
              <w:snapToGrid w:val="0"/>
              <w:spacing w:line="360" w:lineRule="auto"/>
              <w:jc w:val="left"/>
              <w:textAlignment w:val="auto"/>
              <w:rPr>
                <w:rFonts w:hint="eastAsia" w:hAnsi="宋体" w:eastAsia="宋体"/>
                <w:snapToGrid w:val="0"/>
                <w:kern w:val="0"/>
              </w:rPr>
            </w:pPr>
            <w:r>
              <w:rPr>
                <w:rFonts w:hint="eastAsia" w:hAnsi="宋体" w:eastAsia="宋体"/>
                <w:snapToGrid w:val="0"/>
                <w:kern w:val="0"/>
              </w:rPr>
              <w:t>2026年</w:t>
            </w:r>
            <w:r>
              <w:rPr>
                <w:rFonts w:hint="eastAsia" w:hAnsi="宋体" w:eastAsia="宋体"/>
                <w:snapToGrid w:val="0"/>
                <w:kern w:val="0"/>
                <w:lang w:val="en-US" w:eastAsia="zh-CN"/>
              </w:rPr>
              <w:t>11</w:t>
            </w:r>
            <w:r>
              <w:rPr>
                <w:rFonts w:hint="eastAsia" w:hAnsi="宋体" w:eastAsia="宋体"/>
                <w:snapToGrid w:val="0"/>
                <w:kern w:val="0"/>
              </w:rPr>
              <w:t>月</w:t>
            </w:r>
            <w:r>
              <w:rPr>
                <w:rFonts w:hint="eastAsia" w:hAnsi="宋体" w:eastAsia="宋体"/>
                <w:snapToGrid w:val="0"/>
                <w:kern w:val="0"/>
                <w:lang w:val="en-US" w:eastAsia="zh-CN"/>
              </w:rPr>
              <w:t>4</w:t>
            </w:r>
            <w:r>
              <w:rPr>
                <w:rFonts w:hint="eastAsia" w:hAnsi="宋体" w:eastAsia="宋体"/>
                <w:snapToGrid w:val="0"/>
                <w:kern w:val="0"/>
              </w:rPr>
              <w:t>日</w:t>
            </w:r>
            <w:r>
              <w:rPr>
                <w:rFonts w:hint="eastAsia" w:hAnsi="宋体" w:eastAsia="宋体"/>
                <w:snapToGrid w:val="0"/>
                <w:kern w:val="0"/>
                <w:lang w:val="en-US" w:eastAsia="zh-CN"/>
              </w:rPr>
              <w:t>9</w:t>
            </w:r>
            <w:r>
              <w:rPr>
                <w:rFonts w:hint="eastAsia" w:hAnsi="宋体" w:eastAsia="宋体"/>
                <w:snapToGrid w:val="0"/>
                <w:kern w:val="0"/>
              </w:rPr>
              <w:t>时</w:t>
            </w:r>
            <w:r>
              <w:rPr>
                <w:rFonts w:hint="eastAsia" w:hAnsi="宋体" w:eastAsia="宋体"/>
                <w:snapToGrid w:val="0"/>
                <w:kern w:val="0"/>
                <w:lang w:val="en-US" w:eastAsia="zh-CN"/>
              </w:rPr>
              <w:t>30</w:t>
            </w:r>
            <w:r>
              <w:rPr>
                <w:rFonts w:hint="eastAsia" w:hAnsi="宋体" w:eastAsia="宋体"/>
                <w:snapToGrid w:val="0"/>
                <w:kern w:val="0"/>
              </w:rPr>
              <w:t>分</w:t>
            </w:r>
          </w:p>
        </w:tc>
      </w:tr>
      <w:tr w14:paraId="506EF7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44" w:hRule="exact"/>
          <w:jc w:val="center"/>
        </w:trPr>
        <w:tc>
          <w:tcPr>
            <w:tcW w:w="417" w:type="dxa"/>
            <w:tcBorders>
              <w:top w:val="single" w:color="080000" w:sz="4" w:space="0"/>
              <w:left w:val="single" w:color="080000" w:sz="4" w:space="0"/>
              <w:bottom w:val="single" w:color="080000" w:sz="4" w:space="0"/>
              <w:right w:val="single" w:color="080000" w:sz="4" w:space="0"/>
            </w:tcBorders>
            <w:vAlign w:val="center"/>
          </w:tcPr>
          <w:p w14:paraId="50A844DD">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7</w:t>
            </w:r>
          </w:p>
        </w:tc>
        <w:tc>
          <w:tcPr>
            <w:tcW w:w="1806" w:type="dxa"/>
            <w:tcBorders>
              <w:top w:val="single" w:color="080000" w:sz="4" w:space="0"/>
              <w:left w:val="single" w:color="080000" w:sz="4" w:space="0"/>
              <w:bottom w:val="single" w:color="080000" w:sz="4" w:space="0"/>
              <w:right w:val="single" w:color="080000" w:sz="4" w:space="0"/>
            </w:tcBorders>
            <w:vAlign w:val="center"/>
          </w:tcPr>
          <w:p w14:paraId="6266ABF9">
            <w:pPr>
              <w:pStyle w:val="34"/>
              <w:wordWrap w:val="0"/>
              <w:adjustRightInd w:val="0"/>
              <w:snapToGrid w:val="0"/>
              <w:spacing w:line="360" w:lineRule="auto"/>
              <w:jc w:val="center"/>
              <w:rPr>
                <w:rFonts w:hint="eastAsia" w:ascii="宋体" w:hAnsi="宋体" w:cs="宋体"/>
                <w:snapToGrid w:val="0"/>
                <w:kern w:val="0"/>
                <w:sz w:val="24"/>
              </w:rPr>
            </w:pPr>
            <w:r>
              <w:rPr>
                <w:rFonts w:hint="eastAsia" w:ascii="宋体" w:hAnsi="宋体" w:cs="宋体"/>
                <w:snapToGrid w:val="0"/>
                <w:kern w:val="0"/>
                <w:sz w:val="24"/>
              </w:rPr>
              <w:t>投标相关资料（如有）</w:t>
            </w:r>
          </w:p>
          <w:p w14:paraId="17E0598F">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rPr>
              <w:t>递交时间</w:t>
            </w:r>
          </w:p>
        </w:tc>
        <w:tc>
          <w:tcPr>
            <w:tcW w:w="7290" w:type="dxa"/>
            <w:tcBorders>
              <w:top w:val="single" w:color="080000" w:sz="4" w:space="0"/>
              <w:left w:val="single" w:color="080000" w:sz="4" w:space="0"/>
              <w:bottom w:val="single" w:color="080000" w:sz="4" w:space="0"/>
              <w:right w:val="single" w:color="080000" w:sz="4" w:space="0"/>
            </w:tcBorders>
            <w:vAlign w:val="center"/>
          </w:tcPr>
          <w:p w14:paraId="14D87E38">
            <w:pPr>
              <w:pStyle w:val="16"/>
              <w:widowControl w:val="0"/>
              <w:wordWrap w:val="0"/>
              <w:adjustRightInd w:val="0"/>
              <w:snapToGrid w:val="0"/>
              <w:spacing w:line="360" w:lineRule="auto"/>
              <w:jc w:val="left"/>
              <w:textAlignment w:val="auto"/>
              <w:rPr>
                <w:rFonts w:hint="eastAsia" w:hAnsi="宋体" w:eastAsia="宋体"/>
                <w:snapToGrid w:val="0"/>
                <w:kern w:val="0"/>
              </w:rPr>
            </w:pPr>
            <w:r>
              <w:rPr>
                <w:rFonts w:hint="eastAsia" w:hAnsi="宋体" w:eastAsia="宋体"/>
                <w:snapToGrid w:val="0"/>
                <w:kern w:val="0"/>
              </w:rPr>
              <w:t>2026年</w:t>
            </w:r>
            <w:r>
              <w:rPr>
                <w:rFonts w:hint="eastAsia" w:hAnsi="宋体" w:eastAsia="宋体"/>
                <w:snapToGrid w:val="0"/>
                <w:kern w:val="0"/>
                <w:lang w:val="en-US" w:eastAsia="zh-CN"/>
              </w:rPr>
              <w:t>11</w:t>
            </w:r>
            <w:r>
              <w:rPr>
                <w:rFonts w:hint="eastAsia" w:hAnsi="宋体" w:eastAsia="宋体"/>
                <w:snapToGrid w:val="0"/>
                <w:kern w:val="0"/>
              </w:rPr>
              <w:t>月</w:t>
            </w:r>
            <w:r>
              <w:rPr>
                <w:rFonts w:hint="eastAsia" w:hAnsi="宋体" w:eastAsia="宋体"/>
                <w:snapToGrid w:val="0"/>
                <w:kern w:val="0"/>
                <w:lang w:val="en-US" w:eastAsia="zh-CN"/>
              </w:rPr>
              <w:t>4</w:t>
            </w:r>
            <w:r>
              <w:rPr>
                <w:rFonts w:hint="eastAsia" w:hAnsi="宋体" w:eastAsia="宋体"/>
                <w:snapToGrid w:val="0"/>
                <w:kern w:val="0"/>
              </w:rPr>
              <w:t>日</w:t>
            </w:r>
            <w:r>
              <w:rPr>
                <w:rFonts w:hint="eastAsia" w:hAnsi="宋体" w:eastAsia="宋体"/>
                <w:snapToGrid w:val="0"/>
                <w:kern w:val="0"/>
                <w:lang w:val="en-US" w:eastAsia="zh-CN"/>
              </w:rPr>
              <w:t>9</w:t>
            </w:r>
            <w:r>
              <w:rPr>
                <w:rFonts w:hint="eastAsia" w:hAnsi="宋体" w:eastAsia="宋体"/>
                <w:snapToGrid w:val="0"/>
                <w:kern w:val="0"/>
              </w:rPr>
              <w:t>时</w:t>
            </w:r>
            <w:r>
              <w:rPr>
                <w:rFonts w:hint="eastAsia" w:hAnsi="宋体" w:eastAsia="宋体"/>
                <w:snapToGrid w:val="0"/>
                <w:kern w:val="0"/>
                <w:lang w:val="en-US" w:eastAsia="zh-CN"/>
              </w:rPr>
              <w:t>00</w:t>
            </w:r>
            <w:r>
              <w:rPr>
                <w:rFonts w:hint="eastAsia" w:hAnsi="宋体" w:eastAsia="宋体"/>
                <w:snapToGrid w:val="0"/>
                <w:kern w:val="0"/>
              </w:rPr>
              <w:t>分至2026年</w:t>
            </w:r>
            <w:r>
              <w:rPr>
                <w:rFonts w:hint="eastAsia" w:hAnsi="宋体" w:eastAsia="宋体"/>
                <w:snapToGrid w:val="0"/>
                <w:kern w:val="0"/>
                <w:lang w:val="en-US" w:eastAsia="zh-CN"/>
              </w:rPr>
              <w:t>11</w:t>
            </w:r>
            <w:r>
              <w:rPr>
                <w:rFonts w:hint="eastAsia" w:hAnsi="宋体" w:eastAsia="宋体"/>
                <w:snapToGrid w:val="0"/>
                <w:kern w:val="0"/>
              </w:rPr>
              <w:t>月</w:t>
            </w:r>
            <w:r>
              <w:rPr>
                <w:rFonts w:hint="eastAsia" w:hAnsi="宋体" w:eastAsia="宋体"/>
                <w:snapToGrid w:val="0"/>
                <w:kern w:val="0"/>
                <w:lang w:val="en-US" w:eastAsia="zh-CN"/>
              </w:rPr>
              <w:t>4</w:t>
            </w:r>
            <w:r>
              <w:rPr>
                <w:rFonts w:hint="eastAsia" w:hAnsi="宋体" w:eastAsia="宋体"/>
                <w:snapToGrid w:val="0"/>
                <w:kern w:val="0"/>
              </w:rPr>
              <w:t>日</w:t>
            </w:r>
            <w:r>
              <w:rPr>
                <w:rFonts w:hint="eastAsia" w:hAnsi="宋体" w:eastAsia="宋体"/>
                <w:snapToGrid w:val="0"/>
                <w:kern w:val="0"/>
                <w:lang w:val="en-US" w:eastAsia="zh-CN"/>
              </w:rPr>
              <w:t>9</w:t>
            </w:r>
            <w:r>
              <w:rPr>
                <w:rFonts w:hint="eastAsia" w:hAnsi="宋体" w:eastAsia="宋体"/>
                <w:snapToGrid w:val="0"/>
                <w:kern w:val="0"/>
              </w:rPr>
              <w:t>时</w:t>
            </w:r>
            <w:r>
              <w:rPr>
                <w:rFonts w:hint="eastAsia" w:hAnsi="宋体" w:eastAsia="宋体"/>
                <w:snapToGrid w:val="0"/>
                <w:kern w:val="0"/>
                <w:lang w:val="en-US" w:eastAsia="zh-CN"/>
              </w:rPr>
              <w:t>30</w:t>
            </w:r>
            <w:r>
              <w:rPr>
                <w:rFonts w:hint="eastAsia" w:hAnsi="宋体" w:eastAsia="宋体"/>
                <w:snapToGrid w:val="0"/>
                <w:kern w:val="0"/>
              </w:rPr>
              <w:t>分</w:t>
            </w:r>
          </w:p>
        </w:tc>
      </w:tr>
      <w:tr w14:paraId="061BC75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88" w:hRule="exact"/>
          <w:jc w:val="center"/>
        </w:trPr>
        <w:tc>
          <w:tcPr>
            <w:tcW w:w="417" w:type="dxa"/>
            <w:tcBorders>
              <w:top w:val="single" w:color="080000" w:sz="4" w:space="0"/>
              <w:left w:val="single" w:color="080000" w:sz="4" w:space="0"/>
              <w:bottom w:val="single" w:color="080000" w:sz="4" w:space="0"/>
              <w:right w:val="single" w:color="080000" w:sz="4" w:space="0"/>
            </w:tcBorders>
            <w:vAlign w:val="center"/>
          </w:tcPr>
          <w:p w14:paraId="4C260616">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8</w:t>
            </w:r>
          </w:p>
        </w:tc>
        <w:tc>
          <w:tcPr>
            <w:tcW w:w="1806" w:type="dxa"/>
            <w:tcBorders>
              <w:top w:val="single" w:color="080000" w:sz="4" w:space="0"/>
              <w:left w:val="single" w:color="080000" w:sz="4" w:space="0"/>
              <w:bottom w:val="single" w:color="080000" w:sz="4" w:space="0"/>
              <w:right w:val="single" w:color="080000" w:sz="4" w:space="0"/>
            </w:tcBorders>
            <w:vAlign w:val="center"/>
          </w:tcPr>
          <w:p w14:paraId="69C448D1">
            <w:pPr>
              <w:pStyle w:val="34"/>
              <w:wordWrap w:val="0"/>
              <w:adjustRightInd w:val="0"/>
              <w:snapToGrid w:val="0"/>
              <w:spacing w:line="360" w:lineRule="auto"/>
              <w:jc w:val="center"/>
              <w:rPr>
                <w:rFonts w:hint="eastAsia" w:ascii="宋体" w:hAnsi="宋体" w:cs="宋体"/>
                <w:snapToGrid w:val="0"/>
                <w:kern w:val="0"/>
                <w:sz w:val="24"/>
              </w:rPr>
            </w:pPr>
            <w:r>
              <w:rPr>
                <w:rFonts w:hint="eastAsia" w:ascii="宋体" w:hAnsi="宋体" w:cs="宋体"/>
                <w:snapToGrid w:val="0"/>
                <w:kern w:val="0"/>
                <w:sz w:val="24"/>
              </w:rPr>
              <w:t>投标相关资料（如有）</w:t>
            </w:r>
          </w:p>
          <w:p w14:paraId="2A2A5710">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z w:val="24"/>
              </w:rPr>
              <w:t>递交地点</w:t>
            </w:r>
          </w:p>
        </w:tc>
        <w:tc>
          <w:tcPr>
            <w:tcW w:w="7290" w:type="dxa"/>
            <w:tcBorders>
              <w:top w:val="single" w:color="080000" w:sz="4" w:space="0"/>
              <w:left w:val="single" w:color="080000" w:sz="4" w:space="0"/>
              <w:bottom w:val="single" w:color="080000" w:sz="4" w:space="0"/>
              <w:right w:val="single" w:color="080000" w:sz="4" w:space="0"/>
            </w:tcBorders>
            <w:vAlign w:val="center"/>
          </w:tcPr>
          <w:p w14:paraId="355AD230">
            <w:pPr>
              <w:widowControl w:val="0"/>
              <w:adjustRightInd w:val="0"/>
              <w:snapToGrid w:val="0"/>
              <w:jc w:val="left"/>
              <w:textAlignment w:val="auto"/>
              <w:rPr>
                <w:rFonts w:hint="eastAsia" w:hAnsi="宋体"/>
                <w:snapToGrid w:val="0"/>
                <w:kern w:val="0"/>
              </w:rPr>
            </w:pPr>
            <w:r>
              <w:rPr>
                <w:rFonts w:hint="eastAsia" w:hAnsi="宋体"/>
                <w:snapToGrid w:val="0"/>
                <w:kern w:val="0"/>
              </w:rPr>
              <w:t>递交场所：韶关市公共资源交易中心</w:t>
            </w:r>
          </w:p>
          <w:p w14:paraId="783E38F3">
            <w:pPr>
              <w:pStyle w:val="16"/>
              <w:widowControl w:val="0"/>
              <w:wordWrap w:val="0"/>
              <w:adjustRightInd w:val="0"/>
              <w:snapToGrid w:val="0"/>
              <w:spacing w:line="360" w:lineRule="auto"/>
              <w:jc w:val="left"/>
              <w:textAlignment w:val="auto"/>
              <w:rPr>
                <w:rFonts w:hint="eastAsia" w:hAnsi="宋体" w:eastAsia="宋体"/>
                <w:snapToGrid w:val="0"/>
                <w:kern w:val="0"/>
              </w:rPr>
            </w:pPr>
            <w:r>
              <w:rPr>
                <w:rFonts w:hint="eastAsia" w:hAnsi="宋体" w:eastAsia="宋体"/>
                <w:snapToGrid w:val="0"/>
                <w:kern w:val="0"/>
              </w:rPr>
              <w:t>地址：广东省韶关市武江区西联镇 ，具体房间号以当日现场通知为准。</w:t>
            </w:r>
          </w:p>
        </w:tc>
      </w:tr>
      <w:tr w14:paraId="0BFA00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6" w:hRule="exact"/>
          <w:jc w:val="center"/>
        </w:trPr>
        <w:tc>
          <w:tcPr>
            <w:tcW w:w="417" w:type="dxa"/>
            <w:tcBorders>
              <w:top w:val="single" w:color="080000" w:sz="4" w:space="0"/>
              <w:left w:val="single" w:color="080000" w:sz="4" w:space="0"/>
              <w:bottom w:val="single" w:color="080000" w:sz="4" w:space="0"/>
              <w:right w:val="single" w:color="080000" w:sz="4" w:space="0"/>
            </w:tcBorders>
            <w:vAlign w:val="center"/>
          </w:tcPr>
          <w:p w14:paraId="72BB91F2">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9</w:t>
            </w:r>
          </w:p>
        </w:tc>
        <w:tc>
          <w:tcPr>
            <w:tcW w:w="1806" w:type="dxa"/>
            <w:tcBorders>
              <w:top w:val="single" w:color="080000" w:sz="4" w:space="0"/>
              <w:left w:val="single" w:color="080000" w:sz="4" w:space="0"/>
              <w:bottom w:val="single" w:color="080000" w:sz="4" w:space="0"/>
              <w:right w:val="single" w:color="080000" w:sz="4" w:space="0"/>
            </w:tcBorders>
            <w:vAlign w:val="center"/>
          </w:tcPr>
          <w:p w14:paraId="20DAF158">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 xml:space="preserve">开标时间 </w:t>
            </w:r>
          </w:p>
        </w:tc>
        <w:tc>
          <w:tcPr>
            <w:tcW w:w="7290" w:type="dxa"/>
            <w:tcBorders>
              <w:top w:val="single" w:color="080000" w:sz="4" w:space="0"/>
              <w:left w:val="single" w:color="080000" w:sz="4" w:space="0"/>
              <w:bottom w:val="single" w:color="080000" w:sz="4" w:space="0"/>
              <w:right w:val="single" w:color="080000" w:sz="4" w:space="0"/>
            </w:tcBorders>
            <w:vAlign w:val="center"/>
          </w:tcPr>
          <w:p w14:paraId="0A697D56">
            <w:pPr>
              <w:pStyle w:val="16"/>
              <w:widowControl w:val="0"/>
              <w:wordWrap w:val="0"/>
              <w:adjustRightInd w:val="0"/>
              <w:snapToGrid w:val="0"/>
              <w:spacing w:line="360" w:lineRule="auto"/>
              <w:jc w:val="left"/>
              <w:textAlignment w:val="auto"/>
              <w:rPr>
                <w:rFonts w:hint="eastAsia" w:hAnsi="宋体" w:eastAsia="宋体"/>
                <w:snapToGrid w:val="0"/>
                <w:kern w:val="0"/>
              </w:rPr>
            </w:pPr>
            <w:r>
              <w:rPr>
                <w:rFonts w:hint="eastAsia" w:hAnsi="宋体" w:eastAsia="宋体"/>
                <w:snapToGrid w:val="0"/>
                <w:kern w:val="0"/>
              </w:rPr>
              <w:t>2026年</w:t>
            </w:r>
            <w:r>
              <w:rPr>
                <w:rFonts w:hint="eastAsia" w:hAnsi="宋体" w:eastAsia="宋体"/>
                <w:snapToGrid w:val="0"/>
                <w:kern w:val="0"/>
                <w:lang w:val="en-US" w:eastAsia="zh-CN"/>
              </w:rPr>
              <w:t>11</w:t>
            </w:r>
            <w:r>
              <w:rPr>
                <w:rFonts w:hint="eastAsia" w:hAnsi="宋体" w:eastAsia="宋体"/>
                <w:snapToGrid w:val="0"/>
                <w:kern w:val="0"/>
              </w:rPr>
              <w:t>月</w:t>
            </w:r>
            <w:r>
              <w:rPr>
                <w:rFonts w:hint="eastAsia" w:hAnsi="宋体" w:eastAsia="宋体"/>
                <w:snapToGrid w:val="0"/>
                <w:kern w:val="0"/>
                <w:lang w:val="en-US" w:eastAsia="zh-CN"/>
              </w:rPr>
              <w:t>4</w:t>
            </w:r>
            <w:r>
              <w:rPr>
                <w:rFonts w:hint="eastAsia" w:hAnsi="宋体" w:eastAsia="宋体"/>
                <w:snapToGrid w:val="0"/>
                <w:kern w:val="0"/>
              </w:rPr>
              <w:t>日</w:t>
            </w:r>
            <w:r>
              <w:rPr>
                <w:rFonts w:hint="eastAsia" w:hAnsi="宋体" w:eastAsia="宋体"/>
                <w:snapToGrid w:val="0"/>
                <w:kern w:val="0"/>
                <w:lang w:val="en-US" w:eastAsia="zh-CN"/>
              </w:rPr>
              <w:t>9</w:t>
            </w:r>
            <w:r>
              <w:rPr>
                <w:rFonts w:hint="eastAsia" w:hAnsi="宋体" w:eastAsia="宋体"/>
                <w:snapToGrid w:val="0"/>
                <w:kern w:val="0"/>
              </w:rPr>
              <w:t>时</w:t>
            </w:r>
            <w:r>
              <w:rPr>
                <w:rFonts w:hint="eastAsia" w:hAnsi="宋体" w:eastAsia="宋体"/>
                <w:snapToGrid w:val="0"/>
                <w:kern w:val="0"/>
                <w:lang w:val="en-US" w:eastAsia="zh-CN"/>
              </w:rPr>
              <w:t>30</w:t>
            </w:r>
            <w:r>
              <w:rPr>
                <w:rFonts w:hint="eastAsia" w:hAnsi="宋体" w:eastAsia="宋体"/>
                <w:snapToGrid w:val="0"/>
                <w:kern w:val="0"/>
              </w:rPr>
              <w:t>分</w:t>
            </w:r>
          </w:p>
        </w:tc>
      </w:tr>
      <w:tr w14:paraId="50A6BE1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10" w:hRule="exact"/>
          <w:jc w:val="center"/>
        </w:trPr>
        <w:tc>
          <w:tcPr>
            <w:tcW w:w="417" w:type="dxa"/>
            <w:tcBorders>
              <w:top w:val="single" w:color="080000" w:sz="4" w:space="0"/>
              <w:left w:val="single" w:color="080000" w:sz="4" w:space="0"/>
              <w:bottom w:val="single" w:color="080000" w:sz="4" w:space="0"/>
              <w:right w:val="single" w:color="080000" w:sz="4" w:space="0"/>
            </w:tcBorders>
            <w:vAlign w:val="center"/>
          </w:tcPr>
          <w:p w14:paraId="10FF2594">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10</w:t>
            </w:r>
          </w:p>
        </w:tc>
        <w:tc>
          <w:tcPr>
            <w:tcW w:w="1806" w:type="dxa"/>
            <w:tcBorders>
              <w:top w:val="single" w:color="080000" w:sz="4" w:space="0"/>
              <w:left w:val="single" w:color="080000" w:sz="4" w:space="0"/>
              <w:bottom w:val="single" w:color="080000" w:sz="4" w:space="0"/>
              <w:right w:val="single" w:color="080000" w:sz="4" w:space="0"/>
            </w:tcBorders>
            <w:vAlign w:val="center"/>
          </w:tcPr>
          <w:p w14:paraId="275160B4">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 xml:space="preserve">开标地点 </w:t>
            </w:r>
          </w:p>
        </w:tc>
        <w:tc>
          <w:tcPr>
            <w:tcW w:w="7290" w:type="dxa"/>
            <w:tcBorders>
              <w:top w:val="single" w:color="080000" w:sz="4" w:space="0"/>
              <w:left w:val="single" w:color="080000" w:sz="4" w:space="0"/>
              <w:bottom w:val="single" w:color="080000" w:sz="4" w:space="0"/>
              <w:right w:val="single" w:color="080000" w:sz="4" w:space="0"/>
            </w:tcBorders>
            <w:vAlign w:val="center"/>
          </w:tcPr>
          <w:p w14:paraId="77F7AD3B">
            <w:pPr>
              <w:widowControl w:val="0"/>
              <w:adjustRightInd w:val="0"/>
              <w:snapToGrid w:val="0"/>
              <w:jc w:val="left"/>
              <w:textAlignment w:val="auto"/>
              <w:rPr>
                <w:rFonts w:hint="eastAsia" w:hAnsi="宋体"/>
                <w:snapToGrid w:val="0"/>
                <w:kern w:val="0"/>
              </w:rPr>
            </w:pPr>
            <w:r>
              <w:rPr>
                <w:rFonts w:hint="eastAsia" w:hAnsi="宋体"/>
                <w:snapToGrid w:val="0"/>
                <w:kern w:val="0"/>
              </w:rPr>
              <w:t>开标场所：韶关市公共资源交易中心</w:t>
            </w:r>
          </w:p>
          <w:p w14:paraId="73BDBA73">
            <w:pPr>
              <w:widowControl w:val="0"/>
              <w:adjustRightInd w:val="0"/>
              <w:snapToGrid w:val="0"/>
              <w:jc w:val="left"/>
              <w:textAlignment w:val="auto"/>
              <w:rPr>
                <w:rFonts w:hint="eastAsia" w:hAnsi="宋体"/>
                <w:snapToGrid w:val="0"/>
                <w:kern w:val="0"/>
              </w:rPr>
            </w:pPr>
            <w:r>
              <w:rPr>
                <w:rFonts w:hint="eastAsia" w:hAnsi="宋体"/>
                <w:snapToGrid w:val="0"/>
                <w:kern w:val="0"/>
              </w:rPr>
              <w:t>地址：广东省韶关市武江区西联镇 ，具体房间号以当日现场通知为准。</w:t>
            </w:r>
          </w:p>
        </w:tc>
      </w:tr>
      <w:tr w14:paraId="775058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772" w:hRule="exact"/>
          <w:jc w:val="center"/>
        </w:trPr>
        <w:tc>
          <w:tcPr>
            <w:tcW w:w="2223" w:type="dxa"/>
            <w:gridSpan w:val="2"/>
            <w:tcBorders>
              <w:top w:val="single" w:color="080000" w:sz="4" w:space="0"/>
              <w:left w:val="single" w:color="080000" w:sz="4" w:space="0"/>
              <w:bottom w:val="single" w:color="080000" w:sz="4" w:space="0"/>
              <w:right w:val="single" w:color="080000" w:sz="4" w:space="0"/>
            </w:tcBorders>
            <w:vAlign w:val="center"/>
          </w:tcPr>
          <w:p w14:paraId="27D78359">
            <w:pPr>
              <w:pStyle w:val="34"/>
              <w:wordWrap w:val="0"/>
              <w:adjustRightInd w:val="0"/>
              <w:snapToGrid w:val="0"/>
              <w:spacing w:line="360" w:lineRule="auto"/>
              <w:jc w:val="center"/>
              <w:rPr>
                <w:rFonts w:hint="eastAsia" w:ascii="宋体" w:hAnsi="宋体" w:cs="宋体"/>
                <w:snapToGrid w:val="0"/>
                <w:kern w:val="0"/>
                <w:sz w:val="24"/>
                <w:szCs w:val="24"/>
              </w:rPr>
            </w:pPr>
            <w:r>
              <w:rPr>
                <w:rFonts w:hint="eastAsia" w:ascii="宋体" w:hAnsi="宋体" w:cs="宋体"/>
                <w:snapToGrid w:val="0"/>
                <w:kern w:val="0"/>
                <w:sz w:val="24"/>
                <w:szCs w:val="24"/>
              </w:rPr>
              <w:t>备注</w:t>
            </w:r>
          </w:p>
        </w:tc>
        <w:tc>
          <w:tcPr>
            <w:tcW w:w="7290" w:type="dxa"/>
            <w:tcBorders>
              <w:top w:val="single" w:color="080000" w:sz="4" w:space="0"/>
              <w:left w:val="single" w:color="080000" w:sz="4" w:space="0"/>
              <w:bottom w:val="single" w:color="080000" w:sz="4" w:space="0"/>
              <w:right w:val="single" w:color="080000" w:sz="4" w:space="0"/>
            </w:tcBorders>
            <w:vAlign w:val="center"/>
          </w:tcPr>
          <w:p w14:paraId="11D6C500">
            <w:pPr>
              <w:pStyle w:val="16"/>
              <w:wordWrap w:val="0"/>
              <w:adjustRightInd w:val="0"/>
              <w:snapToGrid w:val="0"/>
              <w:spacing w:line="360" w:lineRule="auto"/>
              <w:ind w:firstLine="240" w:firstLineChars="100"/>
              <w:jc w:val="left"/>
              <w:rPr>
                <w:rFonts w:hint="eastAsia" w:hAnsi="宋体" w:eastAsia="宋体"/>
                <w:snapToGrid w:val="0"/>
                <w:kern w:val="0"/>
              </w:rPr>
            </w:pPr>
            <w:r>
              <w:rPr>
                <w:rFonts w:hint="eastAsia" w:hAnsi="宋体" w:eastAsia="宋体"/>
                <w:shd w:val="clear" w:color="auto" w:fill="FFFFFF"/>
              </w:rPr>
              <w:t>投标人应按有关计划时间安排办理企业CA认证、企业入库等，获取招标文件后</w:t>
            </w:r>
            <w:r>
              <w:rPr>
                <w:rFonts w:hint="eastAsia" w:hAnsi="宋体" w:eastAsia="宋体"/>
                <w:snapToGrid w:val="0"/>
                <w:kern w:val="0"/>
              </w:rPr>
              <w:t>自行下载招标文件、资料文件及招标答疑书等。若由于投标人自身原因未能及时取得上述资料的，由此发生的任何责任由投标人自负。</w:t>
            </w:r>
          </w:p>
        </w:tc>
      </w:tr>
    </w:tbl>
    <w:p w14:paraId="605C6B97">
      <w:pPr>
        <w:pStyle w:val="31"/>
        <w:tabs>
          <w:tab w:val="left" w:pos="885"/>
        </w:tabs>
        <w:snapToGrid w:val="0"/>
        <w:ind w:left="885" w:hanging="885"/>
        <w:jc w:val="center"/>
        <w:rPr>
          <w:rStyle w:val="28"/>
          <w:rFonts w:hint="eastAsia" w:hAnsi="宋体"/>
          <w:sz w:val="24"/>
          <w:szCs w:val="24"/>
        </w:rPr>
        <w:sectPr>
          <w:endnotePr>
            <w:numFmt w:val="decimal"/>
          </w:endnotePr>
          <w:pgSz w:w="11906" w:h="16838"/>
          <w:pgMar w:top="1701" w:right="1531" w:bottom="1417" w:left="1531" w:header="850" w:footer="992" w:gutter="0"/>
          <w:cols w:space="720" w:num="1"/>
          <w:docGrid w:linePitch="327" w:charSpace="0"/>
        </w:sectPr>
      </w:pPr>
    </w:p>
    <w:p w14:paraId="54986994">
      <w:pPr>
        <w:pStyle w:val="31"/>
        <w:tabs>
          <w:tab w:val="left" w:pos="885"/>
        </w:tabs>
        <w:snapToGrid w:val="0"/>
        <w:ind w:left="885" w:hanging="885"/>
        <w:jc w:val="center"/>
        <w:outlineLvl w:val="1"/>
        <w:rPr>
          <w:rStyle w:val="28"/>
          <w:rFonts w:hint="eastAsia" w:hAnsi="宋体"/>
          <w:u w:val="single"/>
        </w:rPr>
      </w:pPr>
      <w:bookmarkStart w:id="39" w:name="_Toc9729"/>
      <w:bookmarkStart w:id="40" w:name="_Toc5521"/>
      <w:bookmarkStart w:id="41" w:name="_Toc5177"/>
      <w:bookmarkStart w:id="42" w:name="_Toc21949"/>
      <w:bookmarkStart w:id="43" w:name="_Toc21763"/>
      <w:bookmarkStart w:id="44" w:name="_Toc7836"/>
      <w:bookmarkStart w:id="45" w:name="_Toc26910"/>
      <w:bookmarkStart w:id="46" w:name="_Toc7395"/>
      <w:bookmarkStart w:id="47" w:name="_Toc12511"/>
      <w:bookmarkStart w:id="48" w:name="_Toc26764"/>
      <w:bookmarkStart w:id="49" w:name="_Toc4501"/>
      <w:bookmarkStart w:id="50" w:name="_Toc31767"/>
      <w:bookmarkStart w:id="51" w:name="_Toc28559"/>
      <w:r>
        <w:rPr>
          <w:rStyle w:val="28"/>
          <w:rFonts w:hint="eastAsia" w:hAnsi="宋体"/>
          <w:b/>
          <w:bCs/>
          <w:sz w:val="24"/>
          <w:szCs w:val="24"/>
        </w:rPr>
        <w:t>第三节 投标人须知正文</w:t>
      </w:r>
      <w:bookmarkEnd w:id="39"/>
      <w:bookmarkEnd w:id="40"/>
      <w:bookmarkEnd w:id="41"/>
      <w:bookmarkEnd w:id="42"/>
      <w:bookmarkEnd w:id="43"/>
      <w:bookmarkEnd w:id="44"/>
      <w:bookmarkEnd w:id="45"/>
      <w:bookmarkEnd w:id="46"/>
      <w:bookmarkEnd w:id="47"/>
      <w:bookmarkEnd w:id="48"/>
      <w:bookmarkEnd w:id="49"/>
      <w:bookmarkEnd w:id="50"/>
      <w:bookmarkEnd w:id="51"/>
    </w:p>
    <w:p w14:paraId="761737EA">
      <w:pPr>
        <w:pStyle w:val="35"/>
        <w:wordWrap w:val="0"/>
        <w:snapToGrid w:val="0"/>
        <w:spacing w:line="360" w:lineRule="auto"/>
        <w:ind w:firstLine="482"/>
        <w:jc w:val="left"/>
        <w:rPr>
          <w:rStyle w:val="28"/>
          <w:rFonts w:hint="eastAsia" w:ascii="宋体" w:hAnsi="宋体" w:cs="宋体"/>
          <w:kern w:val="0"/>
          <w:sz w:val="24"/>
          <w:szCs w:val="24"/>
        </w:rPr>
      </w:pPr>
      <w:r>
        <w:rPr>
          <w:rFonts w:hint="eastAsia" w:ascii="宋体" w:hAnsi="宋体" w:cs="宋体"/>
          <w:snapToGrid w:val="0"/>
          <w:kern w:val="0"/>
          <w:sz w:val="24"/>
          <w:szCs w:val="24"/>
          <w:u w:val="single"/>
        </w:rPr>
        <w:t>数据要素集聚区（一期）项目</w:t>
      </w:r>
      <w:r>
        <w:rPr>
          <w:rFonts w:hint="eastAsia" w:ascii="宋体" w:hAnsi="宋体" w:cs="宋体"/>
          <w:snapToGrid w:val="0"/>
          <w:kern w:val="0"/>
          <w:sz w:val="24"/>
          <w:szCs w:val="24"/>
        </w:rPr>
        <w:t>业经</w:t>
      </w:r>
      <w:r>
        <w:rPr>
          <w:rFonts w:hint="eastAsia" w:ascii="宋体" w:hAnsi="宋体" w:cs="宋体"/>
          <w:snapToGrid w:val="0"/>
          <w:kern w:val="0"/>
          <w:sz w:val="24"/>
          <w:u w:val="single"/>
        </w:rPr>
        <w:t>韶关市发展和改革局</w:t>
      </w:r>
      <w:r>
        <w:rPr>
          <w:rFonts w:hint="eastAsia" w:ascii="宋体" w:hAnsi="宋体" w:cs="宋体"/>
          <w:snapToGrid w:val="0"/>
          <w:kern w:val="0"/>
          <w:sz w:val="24"/>
          <w:szCs w:val="24"/>
        </w:rPr>
        <w:t>以</w:t>
      </w:r>
      <w:r>
        <w:rPr>
          <w:rFonts w:hint="eastAsia" w:ascii="宋体" w:hAnsi="宋体" w:cs="宋体"/>
          <w:snapToGrid w:val="0"/>
          <w:kern w:val="0"/>
          <w:sz w:val="24"/>
          <w:szCs w:val="24"/>
          <w:u w:val="single"/>
        </w:rPr>
        <w:t>《韶关市发展和改革局关于数据要素集聚区（一期）项目可行性研究报告的批复》（韶发改投审〔2025〕31号）、《韶关市发展和改革局关于数据要素集聚区（一期）项目初步设计概算的批复》（韶发改投审〔2025〕39号）</w:t>
      </w:r>
      <w:r>
        <w:rPr>
          <w:rFonts w:hint="eastAsia" w:ascii="宋体" w:hAnsi="宋体" w:cs="宋体"/>
          <w:snapToGrid w:val="0"/>
          <w:kern w:val="0"/>
          <w:sz w:val="24"/>
          <w:szCs w:val="24"/>
        </w:rPr>
        <w:t>批准建设，项目代码为</w:t>
      </w:r>
      <w:r>
        <w:rPr>
          <w:rFonts w:hint="eastAsia" w:ascii="宋体" w:hAnsi="宋体" w:cs="宋体"/>
          <w:snapToGrid w:val="0"/>
          <w:kern w:val="0"/>
          <w:sz w:val="24"/>
          <w:u w:val="single"/>
        </w:rPr>
        <w:t>2508-440203-04-05-295567</w:t>
      </w:r>
      <w:r>
        <w:rPr>
          <w:rFonts w:hint="eastAsia" w:ascii="宋体" w:hAnsi="宋体" w:cs="宋体"/>
          <w:snapToGrid w:val="0"/>
          <w:kern w:val="0"/>
          <w:sz w:val="24"/>
          <w:szCs w:val="24"/>
        </w:rPr>
        <w:t>。本项目</w:t>
      </w:r>
      <w:r>
        <w:rPr>
          <w:rFonts w:hint="eastAsia" w:ascii="宋体" w:hAnsi="宋体" w:cs="宋体"/>
          <w:snapToGrid w:val="0"/>
          <w:kern w:val="0"/>
          <w:sz w:val="24"/>
          <w:szCs w:val="24"/>
          <w:u w:val="single"/>
        </w:rPr>
        <w:t>数据要素集聚区（一期）项目之数据要素集聚区（一期）产业园区建设项目装修施工</w:t>
      </w:r>
      <w:r>
        <w:rPr>
          <w:rFonts w:hint="eastAsia" w:ascii="宋体" w:hAnsi="宋体" w:cs="宋体"/>
          <w:snapToGrid w:val="0"/>
          <w:kern w:val="0"/>
          <w:sz w:val="24"/>
          <w:szCs w:val="24"/>
        </w:rPr>
        <w:t>项目业主为</w:t>
      </w:r>
      <w:r>
        <w:rPr>
          <w:rFonts w:hint="eastAsia" w:ascii="宋体" w:hAnsi="宋体" w:cs="宋体"/>
          <w:kern w:val="0"/>
          <w:sz w:val="24"/>
          <w:u w:val="single"/>
        </w:rPr>
        <w:t>广东韶关数据产业投资发展有限公司</w:t>
      </w:r>
      <w:r>
        <w:rPr>
          <w:rStyle w:val="28"/>
          <w:rFonts w:hint="eastAsia" w:ascii="宋体" w:hAnsi="宋体" w:cs="宋体"/>
          <w:kern w:val="0"/>
          <w:sz w:val="24"/>
          <w:szCs w:val="24"/>
        </w:rPr>
        <w:t>，建设资金通过</w:t>
      </w:r>
      <w:r>
        <w:rPr>
          <w:rStyle w:val="28"/>
          <w:rFonts w:hint="eastAsia" w:ascii="宋体" w:hAnsi="宋体" w:cs="宋体"/>
          <w:kern w:val="0"/>
          <w:sz w:val="24"/>
          <w:szCs w:val="24"/>
          <w:u w:val="single"/>
        </w:rPr>
        <w:t>申报地方政府专项债、企业筹集等方式解决</w:t>
      </w:r>
      <w:r>
        <w:rPr>
          <w:rStyle w:val="28"/>
          <w:rFonts w:hint="eastAsia" w:ascii="宋体" w:hAnsi="宋体" w:cs="宋体"/>
          <w:kern w:val="0"/>
          <w:sz w:val="24"/>
          <w:szCs w:val="24"/>
        </w:rPr>
        <w:t>，出资比例为</w:t>
      </w:r>
      <w:r>
        <w:rPr>
          <w:rStyle w:val="28"/>
          <w:rFonts w:hint="eastAsia" w:ascii="宋体" w:hAnsi="宋体" w:cs="宋体"/>
          <w:kern w:val="0"/>
          <w:sz w:val="24"/>
          <w:szCs w:val="24"/>
          <w:u w:val="single"/>
        </w:rPr>
        <w:t>100%</w:t>
      </w:r>
      <w:r>
        <w:rPr>
          <w:rStyle w:val="28"/>
          <w:rFonts w:hint="eastAsia" w:ascii="宋体" w:hAnsi="宋体" w:cs="宋体"/>
          <w:kern w:val="0"/>
          <w:sz w:val="24"/>
          <w:szCs w:val="24"/>
        </w:rPr>
        <w:t>，招标人为</w:t>
      </w:r>
      <w:r>
        <w:rPr>
          <w:rStyle w:val="28"/>
          <w:rFonts w:hint="eastAsia" w:ascii="宋体" w:hAnsi="宋体" w:cs="宋体"/>
          <w:kern w:val="0"/>
          <w:sz w:val="24"/>
          <w:szCs w:val="24"/>
          <w:u w:val="single"/>
        </w:rPr>
        <w:t>广东韶关数据产业投资发展有限公司</w:t>
      </w:r>
      <w:r>
        <w:rPr>
          <w:rStyle w:val="28"/>
          <w:rFonts w:hint="eastAsia" w:ascii="宋体" w:hAnsi="宋体" w:cs="宋体"/>
          <w:kern w:val="0"/>
          <w:sz w:val="24"/>
          <w:szCs w:val="24"/>
        </w:rPr>
        <w:t>，招标代理机构为</w:t>
      </w:r>
      <w:r>
        <w:rPr>
          <w:rStyle w:val="28"/>
          <w:rFonts w:hint="eastAsia" w:ascii="宋体" w:hAnsi="宋体" w:cs="宋体"/>
          <w:kern w:val="0"/>
          <w:sz w:val="24"/>
          <w:szCs w:val="24"/>
          <w:u w:val="single"/>
        </w:rPr>
        <w:t>韶关市国之信工程咨询有限公司</w:t>
      </w:r>
      <w:r>
        <w:rPr>
          <w:rStyle w:val="28"/>
          <w:rFonts w:hint="eastAsia" w:ascii="宋体" w:hAnsi="宋体" w:cs="宋体"/>
          <w:kern w:val="0"/>
          <w:sz w:val="24"/>
          <w:szCs w:val="24"/>
        </w:rPr>
        <w:t>。项目已具备招标条件，现对该项目的</w:t>
      </w:r>
      <w:r>
        <w:rPr>
          <w:rStyle w:val="28"/>
          <w:rFonts w:hint="eastAsia" w:ascii="宋体" w:hAnsi="宋体" w:cs="宋体"/>
          <w:kern w:val="0"/>
          <w:sz w:val="24"/>
          <w:szCs w:val="24"/>
          <w:u w:val="single"/>
        </w:rPr>
        <w:t>装修施工</w:t>
      </w:r>
      <w:r>
        <w:rPr>
          <w:rStyle w:val="28"/>
          <w:rFonts w:hint="eastAsia" w:ascii="宋体" w:hAnsi="宋体" w:cs="宋体"/>
          <w:kern w:val="0"/>
          <w:sz w:val="24"/>
          <w:szCs w:val="24"/>
        </w:rPr>
        <w:t>进行公开招标。</w:t>
      </w:r>
    </w:p>
    <w:p w14:paraId="73C91473">
      <w:pPr>
        <w:pStyle w:val="32"/>
        <w:snapToGrid w:val="0"/>
        <w:ind w:firstLine="482" w:firstLineChars="200"/>
        <w:jc w:val="both"/>
        <w:rPr>
          <w:rStyle w:val="28"/>
          <w:rFonts w:hint="eastAsia" w:hAnsi="宋体"/>
          <w:b/>
          <w:bCs/>
        </w:rPr>
      </w:pPr>
      <w:r>
        <w:rPr>
          <w:rStyle w:val="28"/>
          <w:rFonts w:hint="eastAsia" w:hAnsi="宋体"/>
          <w:b/>
          <w:bCs/>
        </w:rPr>
        <w:t>1.工程概况、招标范围和标段划分、投标费用</w:t>
      </w:r>
    </w:p>
    <w:p w14:paraId="04227724">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 xml:space="preserve">1.1 </w:t>
      </w:r>
      <w:r>
        <w:rPr>
          <w:rStyle w:val="28"/>
          <w:rFonts w:hint="eastAsia" w:ascii="宋体" w:hAnsi="宋体" w:cs="宋体"/>
          <w:kern w:val="0"/>
          <w:sz w:val="24"/>
          <w:szCs w:val="24"/>
        </w:rPr>
        <w:t>工程概况</w:t>
      </w:r>
    </w:p>
    <w:p w14:paraId="39416131">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1.1.1</w:t>
      </w:r>
      <w:r>
        <w:rPr>
          <w:rStyle w:val="28"/>
          <w:rFonts w:hint="eastAsia" w:ascii="宋体" w:hAnsi="宋体" w:cs="宋体"/>
          <w:kern w:val="0"/>
          <w:sz w:val="24"/>
          <w:szCs w:val="24"/>
        </w:rPr>
        <w:t xml:space="preserve"> 建设地点：韶关市武江区西联镇粤港澳大湾区数据应用产业园。</w:t>
      </w:r>
    </w:p>
    <w:p w14:paraId="1C3A68B9">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1.1.2</w:t>
      </w:r>
      <w:r>
        <w:rPr>
          <w:rStyle w:val="28"/>
          <w:rFonts w:hint="eastAsia" w:ascii="宋体" w:hAnsi="宋体" w:cs="宋体"/>
          <w:kern w:val="0"/>
          <w:sz w:val="24"/>
          <w:szCs w:val="24"/>
        </w:rPr>
        <w:t xml:space="preserve"> 建设内容和规模：对粤港澳大湾区数据应用产业园A栋第四、五、六、七、八、十、十一、十二、十三、十四、十五、十六层面积约38500㎡场地进行装饰装修，以及完成智能化工程建设和设备设施采购。</w:t>
      </w:r>
    </w:p>
    <w:p w14:paraId="07D04578">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 xml:space="preserve">1.1.3 </w:t>
      </w:r>
      <w:r>
        <w:rPr>
          <w:rStyle w:val="28"/>
          <w:rFonts w:hint="eastAsia" w:ascii="宋体" w:hAnsi="宋体" w:cs="宋体"/>
          <w:kern w:val="0"/>
          <w:sz w:val="24"/>
          <w:szCs w:val="24"/>
        </w:rPr>
        <w:t>项目总投资：项目投资概算为6083.57万元，其中：建安工程费用约5274.55万元，工程建设其他费用519.32万元，预备费289.70万元。</w:t>
      </w:r>
    </w:p>
    <w:p w14:paraId="5C05D247">
      <w:pPr>
        <w:pStyle w:val="35"/>
        <w:snapToGrid w:val="0"/>
        <w:spacing w:line="360" w:lineRule="auto"/>
        <w:ind w:firstLine="480"/>
        <w:jc w:val="left"/>
        <w:rPr>
          <w:rStyle w:val="28"/>
          <w:rFonts w:hint="eastAsia" w:ascii="宋体" w:hAnsi="宋体" w:cs="宋体"/>
          <w:b/>
          <w:bCs/>
          <w:kern w:val="0"/>
          <w:sz w:val="24"/>
          <w:szCs w:val="24"/>
        </w:rPr>
      </w:pPr>
      <w:r>
        <w:rPr>
          <w:rStyle w:val="28"/>
          <w:rFonts w:hint="eastAsia" w:ascii="宋体" w:hAnsi="宋体" w:cs="宋体"/>
          <w:b/>
          <w:bCs/>
          <w:kern w:val="0"/>
          <w:sz w:val="24"/>
          <w:szCs w:val="24"/>
        </w:rPr>
        <w:t xml:space="preserve">1.2 </w:t>
      </w:r>
      <w:r>
        <w:rPr>
          <w:rStyle w:val="28"/>
          <w:rFonts w:hint="eastAsia" w:ascii="宋体" w:hAnsi="宋体" w:cs="宋体"/>
          <w:kern w:val="0"/>
          <w:sz w:val="24"/>
          <w:szCs w:val="24"/>
        </w:rPr>
        <w:t>招标范围和标段划分</w:t>
      </w:r>
    </w:p>
    <w:p w14:paraId="6660C4C8">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1.2.1</w:t>
      </w:r>
      <w:r>
        <w:rPr>
          <w:rStyle w:val="28"/>
          <w:rFonts w:hint="eastAsia" w:ascii="宋体" w:hAnsi="宋体" w:cs="宋体"/>
          <w:kern w:val="0"/>
          <w:sz w:val="24"/>
          <w:szCs w:val="24"/>
        </w:rPr>
        <w:t xml:space="preserve"> 招标范围：工程量清单及</w:t>
      </w:r>
      <w:r>
        <w:rPr>
          <w:rFonts w:hint="eastAsia" w:ascii="宋体" w:hAnsi="宋体" w:cs="宋体"/>
          <w:snapToGrid w:val="0"/>
          <w:kern w:val="0"/>
          <w:sz w:val="24"/>
          <w:szCs w:val="24"/>
        </w:rPr>
        <w:t>施工图纸范围内的</w:t>
      </w:r>
      <w:r>
        <w:rPr>
          <w:rFonts w:hint="eastAsia" w:ascii="宋体" w:hAnsi="宋体" w:cs="宋体"/>
          <w:snapToGrid w:val="0"/>
          <w:kern w:val="0"/>
          <w:sz w:val="24"/>
        </w:rPr>
        <w:t>所有工程</w:t>
      </w:r>
      <w:r>
        <w:rPr>
          <w:rStyle w:val="28"/>
          <w:rFonts w:hint="eastAsia" w:ascii="宋体" w:hAnsi="宋体" w:cs="宋体"/>
          <w:kern w:val="0"/>
          <w:sz w:val="24"/>
          <w:szCs w:val="24"/>
        </w:rPr>
        <w:t xml:space="preserve">及配套附属工程等施工。 </w:t>
      </w:r>
    </w:p>
    <w:p w14:paraId="296A2871">
      <w:pPr>
        <w:pStyle w:val="32"/>
        <w:snapToGrid w:val="0"/>
        <w:ind w:firstLine="480"/>
        <w:jc w:val="both"/>
        <w:rPr>
          <w:rStyle w:val="28"/>
          <w:rFonts w:hint="eastAsia" w:hAnsi="宋体"/>
          <w:b/>
          <w:bCs/>
        </w:rPr>
      </w:pPr>
      <w:r>
        <w:rPr>
          <w:rStyle w:val="28"/>
          <w:rFonts w:hint="eastAsia" w:hAnsi="宋体"/>
          <w:b/>
          <w:bCs/>
        </w:rPr>
        <w:t>1.2.2</w:t>
      </w:r>
      <w:r>
        <w:rPr>
          <w:rStyle w:val="28"/>
          <w:rFonts w:hint="eastAsia" w:hAnsi="宋体"/>
        </w:rPr>
        <w:t xml:space="preserve"> 标段划分：本项目不划分标段。</w:t>
      </w:r>
    </w:p>
    <w:p w14:paraId="689E2D39">
      <w:pPr>
        <w:tabs>
          <w:tab w:val="left" w:pos="7020"/>
        </w:tabs>
        <w:snapToGrid w:val="0"/>
        <w:ind w:firstLine="482" w:firstLineChars="200"/>
        <w:rPr>
          <w:rStyle w:val="28"/>
          <w:rFonts w:hint="eastAsia" w:hAnsi="宋体"/>
          <w:kern w:val="0"/>
        </w:rPr>
      </w:pPr>
      <w:r>
        <w:rPr>
          <w:rStyle w:val="28"/>
          <w:rFonts w:hint="eastAsia" w:hAnsi="宋体"/>
          <w:b/>
          <w:bCs/>
          <w:kern w:val="0"/>
        </w:rPr>
        <w:t>1.3</w:t>
      </w:r>
      <w:r>
        <w:rPr>
          <w:rStyle w:val="28"/>
          <w:rFonts w:hint="eastAsia" w:hAnsi="宋体"/>
          <w:kern w:val="0"/>
        </w:rPr>
        <w:t xml:space="preserve"> 投标费用：投标人应承担所有准备和参加投标的相关费用，不论投标结果如何，招标人均无义务和责任承担这些费用。</w:t>
      </w:r>
    </w:p>
    <w:p w14:paraId="1739CA10">
      <w:pPr>
        <w:pStyle w:val="36"/>
        <w:rPr>
          <w:rStyle w:val="28"/>
          <w:rFonts w:hint="eastAsia" w:ascii="宋体" w:hAnsi="宋体" w:cs="宋体"/>
        </w:rPr>
      </w:pPr>
    </w:p>
    <w:p w14:paraId="1F097FF0">
      <w:pPr>
        <w:pStyle w:val="32"/>
        <w:numPr>
          <w:ilvl w:val="255"/>
          <w:numId w:val="0"/>
        </w:numPr>
        <w:snapToGrid w:val="0"/>
        <w:ind w:firstLine="482" w:firstLineChars="200"/>
        <w:jc w:val="both"/>
        <w:rPr>
          <w:rStyle w:val="28"/>
          <w:rFonts w:hint="eastAsia" w:hAnsi="宋体"/>
          <w:b/>
          <w:bCs/>
        </w:rPr>
      </w:pPr>
      <w:r>
        <w:rPr>
          <w:rStyle w:val="28"/>
          <w:rFonts w:hint="eastAsia" w:hAnsi="宋体"/>
          <w:b/>
          <w:bCs/>
        </w:rPr>
        <w:t>2.投标人资格要求</w:t>
      </w:r>
    </w:p>
    <w:p w14:paraId="4A7DCF89">
      <w:pPr>
        <w:snapToGrid w:val="0"/>
        <w:ind w:firstLine="482" w:firstLineChars="200"/>
        <w:jc w:val="left"/>
        <w:rPr>
          <w:rStyle w:val="28"/>
          <w:rFonts w:hint="eastAsia" w:hAnsi="宋体"/>
          <w:kern w:val="0"/>
        </w:rPr>
      </w:pPr>
      <w:r>
        <w:rPr>
          <w:rStyle w:val="28"/>
          <w:rFonts w:hint="eastAsia" w:hAnsi="宋体"/>
          <w:b/>
          <w:bCs/>
          <w:kern w:val="0"/>
        </w:rPr>
        <w:t>2.1</w:t>
      </w:r>
      <w:r>
        <w:rPr>
          <w:rStyle w:val="28"/>
          <w:rFonts w:hint="eastAsia" w:hAnsi="宋体"/>
          <w:kern w:val="0"/>
        </w:rPr>
        <w:t xml:space="preserve"> 本次招标不接受联合体投标。</w:t>
      </w:r>
    </w:p>
    <w:p w14:paraId="578FA132">
      <w:pPr>
        <w:snapToGrid w:val="0"/>
        <w:ind w:firstLine="482" w:firstLineChars="200"/>
        <w:jc w:val="left"/>
        <w:rPr>
          <w:rStyle w:val="28"/>
          <w:rFonts w:hint="eastAsia" w:hAnsi="宋体"/>
          <w:kern w:val="0"/>
        </w:rPr>
      </w:pPr>
      <w:r>
        <w:rPr>
          <w:rStyle w:val="28"/>
          <w:rFonts w:hint="eastAsia" w:hAnsi="宋体"/>
          <w:b/>
          <w:bCs/>
          <w:kern w:val="0"/>
        </w:rPr>
        <w:t>2.2</w:t>
      </w:r>
      <w:r>
        <w:rPr>
          <w:rStyle w:val="28"/>
          <w:rFonts w:hint="eastAsia" w:hAnsi="宋体"/>
          <w:kern w:val="0"/>
        </w:rPr>
        <w:t xml:space="preserve"> 资格资质要求</w:t>
      </w:r>
    </w:p>
    <w:p w14:paraId="3C27E09E">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2.2.1</w:t>
      </w:r>
      <w:r>
        <w:rPr>
          <w:rStyle w:val="28"/>
          <w:rFonts w:hint="eastAsia" w:ascii="宋体" w:hAnsi="宋体" w:cs="宋体"/>
          <w:kern w:val="0"/>
          <w:sz w:val="24"/>
          <w:szCs w:val="24"/>
        </w:rPr>
        <w:t xml:space="preserve"> 投标人须具备独立法人资格，按国家法律经营。</w:t>
      </w:r>
    </w:p>
    <w:p w14:paraId="60E0E4FD">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2.2.2</w:t>
      </w:r>
      <w:r>
        <w:rPr>
          <w:rStyle w:val="28"/>
          <w:rFonts w:hint="eastAsia" w:ascii="宋体" w:hAnsi="宋体" w:cs="宋体"/>
          <w:kern w:val="0"/>
          <w:sz w:val="24"/>
          <w:szCs w:val="24"/>
        </w:rPr>
        <w:t xml:space="preserve"> 投标人须持有建设行政主管部门颁发的企业资质证书及安全生产许可证。</w:t>
      </w:r>
    </w:p>
    <w:p w14:paraId="2EBDA4B7">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2.2.3</w:t>
      </w:r>
      <w:r>
        <w:rPr>
          <w:rStyle w:val="28"/>
          <w:rFonts w:hint="eastAsia" w:ascii="宋体" w:hAnsi="宋体" w:cs="宋体"/>
          <w:kern w:val="0"/>
          <w:sz w:val="24"/>
          <w:szCs w:val="24"/>
        </w:rPr>
        <w:t xml:space="preserve"> 投标人须具备以下资质：建筑工程施工总承包三级及以上（含三级）资质。</w:t>
      </w:r>
    </w:p>
    <w:p w14:paraId="3C64BC0D">
      <w:pPr>
        <w:pStyle w:val="34"/>
        <w:wordWrap w:val="0"/>
        <w:adjustRightInd w:val="0"/>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2.3</w:t>
      </w:r>
      <w:r>
        <w:rPr>
          <w:rStyle w:val="28"/>
          <w:rFonts w:hint="eastAsia" w:ascii="宋体" w:hAnsi="宋体" w:cs="宋体"/>
          <w:kern w:val="0"/>
          <w:sz w:val="24"/>
          <w:szCs w:val="24"/>
        </w:rPr>
        <w:t xml:space="preserve"> 相关人员要求</w:t>
      </w:r>
    </w:p>
    <w:p w14:paraId="7F8F01B4">
      <w:pPr>
        <w:snapToGrid w:val="0"/>
        <w:ind w:firstLine="482" w:firstLineChars="200"/>
        <w:rPr>
          <w:rStyle w:val="28"/>
          <w:rFonts w:hint="eastAsia" w:hAnsi="宋体"/>
          <w:kern w:val="0"/>
        </w:rPr>
      </w:pPr>
      <w:r>
        <w:rPr>
          <w:rStyle w:val="28"/>
          <w:rFonts w:hint="eastAsia" w:hAnsi="宋体"/>
          <w:b/>
          <w:bCs/>
          <w:kern w:val="0"/>
        </w:rPr>
        <w:t xml:space="preserve">2.3.1 </w:t>
      </w:r>
      <w:r>
        <w:rPr>
          <w:rFonts w:hint="eastAsia" w:hAnsi="宋体"/>
        </w:rPr>
        <w:t>拟派项目经理为建筑工程专业一级注册建造师，应持有住建部门印发的在有效期内的电子注册证书，同时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2C41656E">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2.3.2</w:t>
      </w:r>
      <w:r>
        <w:rPr>
          <w:rStyle w:val="28"/>
          <w:rFonts w:hint="eastAsia" w:ascii="宋体" w:hAnsi="宋体" w:cs="宋体"/>
          <w:kern w:val="0"/>
          <w:sz w:val="24"/>
          <w:szCs w:val="24"/>
        </w:rPr>
        <w:t xml:space="preserve"> 拟派项目技术负责人须具备建筑工程相关专业类中级以上（含中级）技术职称。</w:t>
      </w:r>
    </w:p>
    <w:p w14:paraId="63DCFD5B">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2.3.3</w:t>
      </w:r>
      <w:r>
        <w:rPr>
          <w:rStyle w:val="28"/>
          <w:rFonts w:hint="eastAsia" w:ascii="宋体" w:hAnsi="宋体" w:cs="宋体"/>
          <w:kern w:val="0"/>
          <w:sz w:val="24"/>
          <w:szCs w:val="24"/>
        </w:rPr>
        <w:t xml:space="preserve"> 拟派专职安全生产管理人员须具备有效安全生产考核合格证明（C证，安全生产考核合格证书或“广东省建筑施工企业管理人员安全生产考核系统”考核合格信息打印页），且不少于2人。</w:t>
      </w:r>
    </w:p>
    <w:p w14:paraId="2FF08871">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2.3.4</w:t>
      </w:r>
      <w:r>
        <w:rPr>
          <w:rStyle w:val="28"/>
          <w:rFonts w:hint="eastAsia" w:ascii="宋体" w:hAnsi="宋体" w:cs="宋体"/>
          <w:kern w:val="0"/>
          <w:sz w:val="24"/>
          <w:szCs w:val="24"/>
        </w:rPr>
        <w:t xml:space="preserve"> </w:t>
      </w:r>
      <w:r>
        <w:rPr>
          <w:rFonts w:hint="eastAsia" w:ascii="宋体" w:hAnsi="宋体" w:cs="宋体"/>
          <w:snapToGrid w:val="0"/>
          <w:kern w:val="0"/>
          <w:sz w:val="24"/>
        </w:rPr>
        <w:t>投标人与其拟派往本项目管理机构的所有人员之间必须具备合法、唯一的劳动聘用关系。拟派人员中具备注册执业资格的，其注册单位须与投标人保持一致</w:t>
      </w:r>
      <w:r>
        <w:rPr>
          <w:rStyle w:val="28"/>
          <w:rFonts w:hint="eastAsia" w:ascii="宋体" w:hAnsi="宋体" w:cs="宋体"/>
          <w:kern w:val="0"/>
          <w:sz w:val="24"/>
          <w:szCs w:val="24"/>
        </w:rPr>
        <w:t>。</w:t>
      </w:r>
    </w:p>
    <w:p w14:paraId="39AF1E9C">
      <w:pPr>
        <w:pStyle w:val="35"/>
        <w:snapToGrid w:val="0"/>
        <w:spacing w:line="360" w:lineRule="auto"/>
        <w:ind w:firstLine="482" w:firstLineChars="200"/>
        <w:jc w:val="left"/>
        <w:rPr>
          <w:rStyle w:val="28"/>
          <w:rFonts w:hint="eastAsia" w:ascii="宋体" w:hAnsi="宋体" w:cs="宋体"/>
          <w:kern w:val="0"/>
          <w:sz w:val="24"/>
          <w:szCs w:val="24"/>
        </w:rPr>
      </w:pPr>
      <w:r>
        <w:rPr>
          <w:rStyle w:val="28"/>
          <w:rFonts w:hint="eastAsia" w:ascii="宋体" w:hAnsi="宋体" w:cs="宋体"/>
          <w:b/>
          <w:bCs/>
          <w:kern w:val="0"/>
          <w:sz w:val="24"/>
          <w:szCs w:val="24"/>
        </w:rPr>
        <w:t>2.4</w:t>
      </w:r>
      <w:r>
        <w:rPr>
          <w:rStyle w:val="28"/>
          <w:rFonts w:hint="eastAsia" w:ascii="宋体" w:hAnsi="宋体" w:cs="宋体"/>
          <w:kern w:val="0"/>
          <w:sz w:val="24"/>
          <w:szCs w:val="24"/>
        </w:rPr>
        <w:t xml:space="preserve"> 禁止投标条款</w:t>
      </w:r>
    </w:p>
    <w:p w14:paraId="0E360C0F">
      <w:pPr>
        <w:pStyle w:val="35"/>
        <w:snapToGrid w:val="0"/>
        <w:spacing w:line="360" w:lineRule="auto"/>
        <w:ind w:firstLine="480"/>
        <w:jc w:val="left"/>
        <w:rPr>
          <w:rStyle w:val="28"/>
          <w:rFonts w:hint="eastAsia" w:ascii="宋体" w:hAnsi="宋体" w:cs="宋体"/>
          <w:kern w:val="0"/>
          <w:sz w:val="24"/>
          <w:szCs w:val="24"/>
        </w:rPr>
      </w:pPr>
      <w:r>
        <w:rPr>
          <w:rStyle w:val="28"/>
          <w:rFonts w:hint="eastAsia" w:ascii="宋体" w:hAnsi="宋体" w:cs="宋体"/>
          <w:b/>
          <w:bCs/>
          <w:kern w:val="0"/>
          <w:sz w:val="24"/>
          <w:szCs w:val="24"/>
        </w:rPr>
        <w:t xml:space="preserve">2.4.1 </w:t>
      </w:r>
      <w:r>
        <w:rPr>
          <w:rStyle w:val="28"/>
          <w:rFonts w:hint="eastAsia" w:ascii="宋体" w:hAnsi="宋体" w:cs="宋体"/>
          <w:kern w:val="0"/>
          <w:sz w:val="24"/>
          <w:szCs w:val="24"/>
        </w:rPr>
        <w:t>投标人不得存在下列情形之一：</w:t>
      </w:r>
    </w:p>
    <w:p w14:paraId="4A795691">
      <w:pPr>
        <w:snapToGrid w:val="0"/>
        <w:ind w:firstLine="480" w:firstLineChars="200"/>
        <w:rPr>
          <w:rStyle w:val="28"/>
          <w:rFonts w:hint="eastAsia" w:hAnsi="宋体"/>
          <w:kern w:val="0"/>
        </w:rPr>
      </w:pPr>
      <w:r>
        <w:rPr>
          <w:rStyle w:val="28"/>
          <w:rFonts w:hint="eastAsia" w:hAnsi="宋体"/>
          <w:kern w:val="0"/>
        </w:rPr>
        <w:t>（1）为招标人不具有独立法人资格的附属机构（单位）；</w:t>
      </w:r>
    </w:p>
    <w:p w14:paraId="2BFADE94">
      <w:pPr>
        <w:snapToGrid w:val="0"/>
        <w:ind w:firstLine="480" w:firstLineChars="200"/>
        <w:rPr>
          <w:rStyle w:val="28"/>
          <w:rFonts w:hint="eastAsia" w:hAnsi="宋体"/>
          <w:kern w:val="0"/>
        </w:rPr>
      </w:pPr>
      <w:r>
        <w:rPr>
          <w:rStyle w:val="28"/>
          <w:rFonts w:hint="eastAsia" w:hAnsi="宋体"/>
          <w:kern w:val="0"/>
        </w:rPr>
        <w:t>（2）为本招标项目前期准备提供设计或咨询服务的；</w:t>
      </w:r>
    </w:p>
    <w:p w14:paraId="5239AECD">
      <w:pPr>
        <w:snapToGrid w:val="0"/>
        <w:ind w:firstLine="480" w:firstLineChars="200"/>
        <w:rPr>
          <w:rStyle w:val="28"/>
          <w:rFonts w:hint="eastAsia" w:hAnsi="宋体"/>
          <w:kern w:val="0"/>
        </w:rPr>
      </w:pPr>
      <w:r>
        <w:rPr>
          <w:rStyle w:val="28"/>
          <w:rFonts w:hint="eastAsia" w:hAnsi="宋体"/>
          <w:kern w:val="0"/>
        </w:rPr>
        <w:t>（3）与本招标项目的其他投标人为同一个单位负责人；</w:t>
      </w:r>
    </w:p>
    <w:p w14:paraId="09F3E2EA">
      <w:pPr>
        <w:snapToGrid w:val="0"/>
        <w:ind w:firstLine="480" w:firstLineChars="200"/>
        <w:rPr>
          <w:rStyle w:val="28"/>
          <w:rFonts w:hint="eastAsia" w:hAnsi="宋体"/>
          <w:kern w:val="0"/>
        </w:rPr>
      </w:pPr>
      <w:r>
        <w:rPr>
          <w:rStyle w:val="28"/>
          <w:rFonts w:hint="eastAsia" w:hAnsi="宋体"/>
          <w:kern w:val="0"/>
        </w:rPr>
        <w:t>（4）与本招标项目的其他投标人存在控股、管理关系；</w:t>
      </w:r>
    </w:p>
    <w:p w14:paraId="6C54E8D2">
      <w:pPr>
        <w:snapToGrid w:val="0"/>
        <w:ind w:firstLine="480" w:firstLineChars="200"/>
        <w:rPr>
          <w:rStyle w:val="28"/>
          <w:rFonts w:hint="eastAsia" w:hAnsi="宋体"/>
          <w:kern w:val="0"/>
        </w:rPr>
      </w:pPr>
      <w:r>
        <w:rPr>
          <w:rStyle w:val="28"/>
          <w:rFonts w:hint="eastAsia" w:hAnsi="宋体"/>
          <w:kern w:val="0"/>
        </w:rPr>
        <w:t>（5）为本招标项目的监理人；</w:t>
      </w:r>
    </w:p>
    <w:p w14:paraId="1074BAE0">
      <w:pPr>
        <w:snapToGrid w:val="0"/>
        <w:ind w:firstLine="480" w:firstLineChars="200"/>
        <w:rPr>
          <w:rStyle w:val="28"/>
          <w:rFonts w:hint="eastAsia" w:hAnsi="宋体"/>
          <w:kern w:val="0"/>
        </w:rPr>
      </w:pPr>
      <w:r>
        <w:rPr>
          <w:rStyle w:val="28"/>
          <w:rFonts w:hint="eastAsia" w:hAnsi="宋体"/>
          <w:kern w:val="0"/>
        </w:rPr>
        <w:t>（6）为本招标项目的代建人；</w:t>
      </w:r>
    </w:p>
    <w:p w14:paraId="6931DD24">
      <w:pPr>
        <w:snapToGrid w:val="0"/>
        <w:ind w:firstLine="480" w:firstLineChars="200"/>
        <w:rPr>
          <w:rStyle w:val="28"/>
          <w:rFonts w:hint="eastAsia" w:hAnsi="宋体"/>
          <w:kern w:val="0"/>
        </w:rPr>
      </w:pPr>
      <w:r>
        <w:rPr>
          <w:rStyle w:val="28"/>
          <w:rFonts w:hint="eastAsia" w:hAnsi="宋体"/>
          <w:kern w:val="0"/>
        </w:rPr>
        <w:t>（7）为本招标项目的招标代理机构；</w:t>
      </w:r>
    </w:p>
    <w:p w14:paraId="38FDB001">
      <w:pPr>
        <w:snapToGrid w:val="0"/>
        <w:ind w:firstLine="480" w:firstLineChars="200"/>
        <w:rPr>
          <w:rStyle w:val="28"/>
          <w:rFonts w:hint="eastAsia" w:hAnsi="宋体"/>
          <w:kern w:val="0"/>
        </w:rPr>
      </w:pPr>
      <w:r>
        <w:rPr>
          <w:rStyle w:val="28"/>
          <w:rFonts w:hint="eastAsia" w:hAnsi="宋体"/>
          <w:kern w:val="0"/>
        </w:rPr>
        <w:t>（8）与本招标项目的监理人或代建人或招标代理机构同为一个法定代表人；</w:t>
      </w:r>
    </w:p>
    <w:p w14:paraId="7755EEDA">
      <w:pPr>
        <w:snapToGrid w:val="0"/>
        <w:ind w:firstLine="480" w:firstLineChars="200"/>
        <w:rPr>
          <w:rStyle w:val="28"/>
          <w:rFonts w:hint="eastAsia" w:hAnsi="宋体"/>
          <w:kern w:val="0"/>
        </w:rPr>
      </w:pPr>
      <w:r>
        <w:rPr>
          <w:rStyle w:val="28"/>
          <w:rFonts w:hint="eastAsia" w:hAnsi="宋体"/>
          <w:kern w:val="0"/>
        </w:rPr>
        <w:t>（9）与本招标项目的监理人或代建人或招标代理机构存在控股或参股关系；</w:t>
      </w:r>
    </w:p>
    <w:p w14:paraId="36B90EE4">
      <w:pPr>
        <w:snapToGrid w:val="0"/>
        <w:ind w:firstLine="480" w:firstLineChars="200"/>
        <w:rPr>
          <w:rStyle w:val="28"/>
          <w:rFonts w:hint="eastAsia" w:hAnsi="宋体"/>
          <w:kern w:val="0"/>
        </w:rPr>
      </w:pPr>
      <w:r>
        <w:rPr>
          <w:rStyle w:val="28"/>
          <w:rFonts w:hint="eastAsia" w:hAnsi="宋体"/>
          <w:kern w:val="0"/>
        </w:rPr>
        <w:t>（10）与本招标项目的监理人或代建人或招标代理机构存在相互任职或工作关系；</w:t>
      </w:r>
    </w:p>
    <w:p w14:paraId="747D17AB">
      <w:pPr>
        <w:snapToGrid w:val="0"/>
        <w:ind w:firstLine="480" w:firstLineChars="200"/>
        <w:rPr>
          <w:rStyle w:val="28"/>
          <w:rFonts w:hint="eastAsia" w:hAnsi="宋体"/>
          <w:kern w:val="0"/>
        </w:rPr>
      </w:pPr>
      <w:r>
        <w:rPr>
          <w:rStyle w:val="28"/>
          <w:rFonts w:hint="eastAsia" w:hAnsi="宋体"/>
          <w:kern w:val="0"/>
        </w:rPr>
        <w:t>（11）被依法暂停或者取消投标资格；</w:t>
      </w:r>
    </w:p>
    <w:p w14:paraId="7E01E8F6">
      <w:pPr>
        <w:snapToGrid w:val="0"/>
        <w:ind w:firstLine="480" w:firstLineChars="200"/>
        <w:rPr>
          <w:rStyle w:val="28"/>
          <w:rFonts w:hint="eastAsia" w:hAnsi="宋体"/>
          <w:kern w:val="0"/>
        </w:rPr>
      </w:pPr>
      <w:r>
        <w:rPr>
          <w:rStyle w:val="28"/>
          <w:rFonts w:hint="eastAsia" w:hAnsi="宋体"/>
          <w:kern w:val="0"/>
        </w:rPr>
        <w:t>（12）被责令停产停业、暂扣或者吊销许可证、暂扣或者吊销执照；</w:t>
      </w:r>
    </w:p>
    <w:p w14:paraId="2A5330A9">
      <w:pPr>
        <w:snapToGrid w:val="0"/>
        <w:ind w:firstLine="480" w:firstLineChars="200"/>
        <w:rPr>
          <w:rStyle w:val="28"/>
          <w:rFonts w:hint="eastAsia" w:hAnsi="宋体"/>
          <w:kern w:val="0"/>
        </w:rPr>
      </w:pPr>
      <w:r>
        <w:rPr>
          <w:rStyle w:val="28"/>
          <w:rFonts w:hint="eastAsia" w:hAnsi="宋体"/>
          <w:kern w:val="0"/>
        </w:rPr>
        <w:t>（13）进入清算程序，或被宣告破产，或其他丧失履约能力的情形；</w:t>
      </w:r>
    </w:p>
    <w:p w14:paraId="547E90A5">
      <w:pPr>
        <w:snapToGrid w:val="0"/>
        <w:ind w:firstLine="480" w:firstLineChars="200"/>
        <w:rPr>
          <w:rStyle w:val="28"/>
          <w:rFonts w:hint="eastAsia" w:hAnsi="宋体"/>
          <w:kern w:val="0"/>
        </w:rPr>
      </w:pPr>
      <w:r>
        <w:rPr>
          <w:rStyle w:val="28"/>
          <w:rFonts w:hint="eastAsia" w:hAnsi="宋体"/>
          <w:kern w:val="0"/>
        </w:rPr>
        <w:t>（14）在最近三年内发生重大工程质量或安全问题（以相关行业主管部门的行政处罚决定或司法机关出具的有关法律文书为准）；</w:t>
      </w:r>
    </w:p>
    <w:p w14:paraId="167FEE33">
      <w:pPr>
        <w:snapToGrid w:val="0"/>
        <w:ind w:firstLine="480" w:firstLineChars="200"/>
        <w:rPr>
          <w:rStyle w:val="28"/>
          <w:rFonts w:hint="eastAsia" w:hAnsi="宋体"/>
          <w:kern w:val="0"/>
        </w:rPr>
      </w:pPr>
      <w:r>
        <w:rPr>
          <w:rStyle w:val="28"/>
          <w:rFonts w:hint="eastAsia" w:hAnsi="宋体"/>
          <w:kern w:val="0"/>
        </w:rPr>
        <w:t>（15）被“信用中国”网站（https://www.creditchina.gov.cn）发布的《法人和非法人组织公共信用信息报告》列为严重失信主体名单的。</w:t>
      </w:r>
    </w:p>
    <w:p w14:paraId="44E1CF5A">
      <w:pPr>
        <w:snapToGrid w:val="0"/>
        <w:ind w:firstLine="482" w:firstLineChars="200"/>
        <w:rPr>
          <w:rStyle w:val="28"/>
          <w:rFonts w:hint="eastAsia" w:hAnsi="宋体"/>
          <w:kern w:val="0"/>
        </w:rPr>
      </w:pPr>
      <w:r>
        <w:rPr>
          <w:rStyle w:val="28"/>
          <w:rFonts w:hint="eastAsia" w:hAnsi="宋体"/>
          <w:b/>
          <w:bCs/>
          <w:kern w:val="0"/>
        </w:rPr>
        <w:t>2.4.2</w:t>
      </w:r>
      <w:r>
        <w:rPr>
          <w:rStyle w:val="28"/>
          <w:rFonts w:hint="eastAsia" w:hAnsi="宋体"/>
          <w:kern w:val="0"/>
        </w:rPr>
        <w:t xml:space="preserve"> 招标人拒绝以下名单中的单位参加本次投标：</w:t>
      </w:r>
    </w:p>
    <w:tbl>
      <w:tblPr>
        <w:tblStyle w:val="19"/>
        <w:tblW w:w="9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4186"/>
        <w:gridCol w:w="4629"/>
      </w:tblGrid>
      <w:tr w14:paraId="067F0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578" w:type="dxa"/>
            <w:vAlign w:val="center"/>
          </w:tcPr>
          <w:p w14:paraId="25DC8BB6">
            <w:pPr>
              <w:wordWrap w:val="0"/>
              <w:adjustRightInd w:val="0"/>
              <w:snapToGrid w:val="0"/>
              <w:ind w:right="-218" w:rightChars="-91"/>
              <w:rPr>
                <w:rFonts w:hint="eastAsia" w:hAnsi="宋体"/>
              </w:rPr>
            </w:pPr>
            <w:r>
              <w:rPr>
                <w:rFonts w:hint="eastAsia" w:hAnsi="宋体"/>
              </w:rPr>
              <w:t>序号</w:t>
            </w:r>
          </w:p>
        </w:tc>
        <w:tc>
          <w:tcPr>
            <w:tcW w:w="4186" w:type="dxa"/>
            <w:vAlign w:val="center"/>
          </w:tcPr>
          <w:p w14:paraId="18E87AB2">
            <w:pPr>
              <w:wordWrap w:val="0"/>
              <w:adjustRightInd w:val="0"/>
              <w:snapToGrid w:val="0"/>
              <w:ind w:right="-206" w:rightChars="-86"/>
              <w:jc w:val="center"/>
              <w:rPr>
                <w:rFonts w:hint="eastAsia" w:hAnsi="宋体"/>
              </w:rPr>
            </w:pPr>
            <w:r>
              <w:rPr>
                <w:rFonts w:hint="eastAsia" w:hAnsi="宋体"/>
              </w:rPr>
              <w:t>单位名称</w:t>
            </w:r>
          </w:p>
        </w:tc>
        <w:tc>
          <w:tcPr>
            <w:tcW w:w="4629" w:type="dxa"/>
            <w:vAlign w:val="center"/>
          </w:tcPr>
          <w:p w14:paraId="29B7AD45">
            <w:pPr>
              <w:wordWrap w:val="0"/>
              <w:adjustRightInd w:val="0"/>
              <w:snapToGrid w:val="0"/>
              <w:jc w:val="center"/>
              <w:rPr>
                <w:rFonts w:hint="eastAsia" w:hAnsi="宋体"/>
              </w:rPr>
            </w:pPr>
            <w:r>
              <w:rPr>
                <w:rFonts w:hint="eastAsia" w:hAnsi="宋体"/>
              </w:rPr>
              <w:t>拒绝原因</w:t>
            </w:r>
          </w:p>
        </w:tc>
      </w:tr>
      <w:tr w14:paraId="39BF5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578" w:type="dxa"/>
            <w:vAlign w:val="center"/>
          </w:tcPr>
          <w:p w14:paraId="528F1C3F">
            <w:pPr>
              <w:pStyle w:val="34"/>
              <w:wordWrap w:val="0"/>
              <w:adjustRightInd w:val="0"/>
              <w:snapToGrid w:val="0"/>
              <w:spacing w:line="360" w:lineRule="auto"/>
              <w:jc w:val="center"/>
              <w:rPr>
                <w:rFonts w:hint="eastAsia" w:ascii="宋体" w:hAnsi="宋体" w:cs="宋体"/>
                <w:sz w:val="24"/>
                <w:szCs w:val="24"/>
              </w:rPr>
            </w:pPr>
            <w:r>
              <w:rPr>
                <w:rFonts w:hint="eastAsia" w:ascii="宋体" w:hAnsi="宋体" w:cs="宋体"/>
                <w:sz w:val="24"/>
                <w:szCs w:val="24"/>
              </w:rPr>
              <w:t>1</w:t>
            </w:r>
          </w:p>
        </w:tc>
        <w:tc>
          <w:tcPr>
            <w:tcW w:w="4186" w:type="dxa"/>
            <w:vAlign w:val="center"/>
          </w:tcPr>
          <w:p w14:paraId="573B791F">
            <w:pPr>
              <w:wordWrap w:val="0"/>
              <w:adjustRightInd w:val="0"/>
              <w:snapToGrid w:val="0"/>
              <w:jc w:val="center"/>
              <w:rPr>
                <w:rFonts w:hint="eastAsia" w:hAnsi="宋体"/>
              </w:rPr>
            </w:pPr>
            <w:r>
              <w:rPr>
                <w:rFonts w:hint="eastAsia" w:hAnsi="宋体"/>
              </w:rPr>
              <w:t>广东韶关数据产业投资发展有限公司</w:t>
            </w:r>
          </w:p>
        </w:tc>
        <w:tc>
          <w:tcPr>
            <w:tcW w:w="4629" w:type="dxa"/>
            <w:vAlign w:val="center"/>
          </w:tcPr>
          <w:p w14:paraId="1FA28B1B">
            <w:pPr>
              <w:wordWrap w:val="0"/>
              <w:adjustRightInd w:val="0"/>
              <w:snapToGrid w:val="0"/>
              <w:jc w:val="center"/>
              <w:rPr>
                <w:rFonts w:hint="eastAsia" w:hAnsi="宋体"/>
              </w:rPr>
            </w:pPr>
            <w:r>
              <w:rPr>
                <w:rFonts w:hint="eastAsia" w:hAnsi="宋体"/>
              </w:rPr>
              <w:t>为本招标项目的业主、招标人</w:t>
            </w:r>
          </w:p>
        </w:tc>
      </w:tr>
      <w:tr w14:paraId="4A55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578" w:type="dxa"/>
            <w:vAlign w:val="center"/>
          </w:tcPr>
          <w:p w14:paraId="7BEFE3B8">
            <w:pPr>
              <w:pStyle w:val="34"/>
              <w:wordWrap w:val="0"/>
              <w:adjustRightInd w:val="0"/>
              <w:snapToGrid w:val="0"/>
              <w:spacing w:line="360" w:lineRule="auto"/>
              <w:jc w:val="center"/>
              <w:rPr>
                <w:rFonts w:hint="eastAsia" w:ascii="宋体" w:hAnsi="宋体" w:cs="宋体"/>
                <w:sz w:val="24"/>
                <w:szCs w:val="24"/>
              </w:rPr>
            </w:pPr>
            <w:r>
              <w:rPr>
                <w:rFonts w:hint="eastAsia" w:ascii="宋体" w:hAnsi="宋体" w:cs="宋体"/>
                <w:sz w:val="24"/>
                <w:szCs w:val="24"/>
              </w:rPr>
              <w:t>2</w:t>
            </w:r>
          </w:p>
        </w:tc>
        <w:tc>
          <w:tcPr>
            <w:tcW w:w="4186" w:type="dxa"/>
            <w:vAlign w:val="center"/>
          </w:tcPr>
          <w:p w14:paraId="3CFFFE5C">
            <w:pPr>
              <w:wordWrap w:val="0"/>
              <w:adjustRightInd w:val="0"/>
              <w:snapToGrid w:val="0"/>
              <w:jc w:val="center"/>
              <w:rPr>
                <w:rFonts w:hint="eastAsia" w:hAnsi="宋体"/>
              </w:rPr>
            </w:pPr>
            <w:r>
              <w:rPr>
                <w:rFonts w:hint="eastAsia" w:hAnsi="宋体"/>
              </w:rPr>
              <w:t>上海邮电设计咨询研究院有限公司</w:t>
            </w:r>
          </w:p>
        </w:tc>
        <w:tc>
          <w:tcPr>
            <w:tcW w:w="4629" w:type="dxa"/>
            <w:vAlign w:val="center"/>
          </w:tcPr>
          <w:p w14:paraId="43CDD448">
            <w:pPr>
              <w:wordWrap w:val="0"/>
              <w:adjustRightInd w:val="0"/>
              <w:snapToGrid w:val="0"/>
              <w:jc w:val="center"/>
              <w:rPr>
                <w:rFonts w:hint="eastAsia" w:hAnsi="宋体"/>
              </w:rPr>
            </w:pPr>
            <w:r>
              <w:rPr>
                <w:rFonts w:hint="eastAsia" w:hAnsi="宋体"/>
              </w:rPr>
              <w:t>为本招标项目的可行性研究报告编制单位</w:t>
            </w:r>
          </w:p>
        </w:tc>
      </w:tr>
      <w:tr w14:paraId="38FA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578" w:type="dxa"/>
            <w:vAlign w:val="center"/>
          </w:tcPr>
          <w:p w14:paraId="52B05818">
            <w:pPr>
              <w:pStyle w:val="34"/>
              <w:wordWrap w:val="0"/>
              <w:adjustRightInd w:val="0"/>
              <w:snapToGrid w:val="0"/>
              <w:spacing w:line="360" w:lineRule="auto"/>
              <w:jc w:val="center"/>
              <w:rPr>
                <w:rFonts w:hint="eastAsia" w:ascii="宋体" w:hAnsi="宋体" w:cs="宋体"/>
                <w:sz w:val="24"/>
                <w:szCs w:val="24"/>
              </w:rPr>
            </w:pPr>
            <w:r>
              <w:rPr>
                <w:rFonts w:hint="eastAsia" w:ascii="宋体" w:hAnsi="宋体" w:cs="宋体"/>
                <w:sz w:val="24"/>
                <w:szCs w:val="24"/>
              </w:rPr>
              <w:t>3</w:t>
            </w:r>
          </w:p>
        </w:tc>
        <w:tc>
          <w:tcPr>
            <w:tcW w:w="4186" w:type="dxa"/>
            <w:vAlign w:val="center"/>
          </w:tcPr>
          <w:p w14:paraId="52306922">
            <w:pPr>
              <w:wordWrap w:val="0"/>
              <w:adjustRightInd w:val="0"/>
              <w:snapToGrid w:val="0"/>
              <w:jc w:val="center"/>
              <w:rPr>
                <w:rFonts w:hint="eastAsia" w:hAnsi="宋体"/>
              </w:rPr>
            </w:pPr>
            <w:r>
              <w:rPr>
                <w:rFonts w:hint="eastAsia" w:hAnsi="宋体"/>
              </w:rPr>
              <w:t>广东省电信规划设计院有限公司</w:t>
            </w:r>
          </w:p>
        </w:tc>
        <w:tc>
          <w:tcPr>
            <w:tcW w:w="4629" w:type="dxa"/>
            <w:vAlign w:val="center"/>
          </w:tcPr>
          <w:p w14:paraId="263E2415">
            <w:pPr>
              <w:wordWrap w:val="0"/>
              <w:adjustRightInd w:val="0"/>
              <w:snapToGrid w:val="0"/>
              <w:jc w:val="center"/>
              <w:rPr>
                <w:rFonts w:hint="eastAsia" w:hAnsi="宋体"/>
              </w:rPr>
            </w:pPr>
            <w:r>
              <w:rPr>
                <w:rFonts w:hint="eastAsia" w:hAnsi="宋体"/>
              </w:rPr>
              <w:t>为本招标项目的方案设计及初步设计单位</w:t>
            </w:r>
          </w:p>
        </w:tc>
      </w:tr>
      <w:tr w14:paraId="36E2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8" w:type="dxa"/>
            <w:vAlign w:val="center"/>
          </w:tcPr>
          <w:p w14:paraId="0D92148B">
            <w:pPr>
              <w:pStyle w:val="34"/>
              <w:wordWrap w:val="0"/>
              <w:adjustRightInd w:val="0"/>
              <w:snapToGrid w:val="0"/>
              <w:spacing w:line="360" w:lineRule="auto"/>
              <w:jc w:val="center"/>
              <w:rPr>
                <w:rFonts w:hint="eastAsia" w:ascii="宋体" w:hAnsi="宋体" w:cs="宋体"/>
                <w:sz w:val="24"/>
                <w:szCs w:val="24"/>
              </w:rPr>
            </w:pPr>
            <w:r>
              <w:rPr>
                <w:rFonts w:hint="eastAsia" w:ascii="宋体" w:hAnsi="宋体" w:cs="宋体"/>
                <w:sz w:val="24"/>
                <w:szCs w:val="24"/>
              </w:rPr>
              <w:t>4</w:t>
            </w:r>
          </w:p>
        </w:tc>
        <w:tc>
          <w:tcPr>
            <w:tcW w:w="4186" w:type="dxa"/>
            <w:vAlign w:val="center"/>
          </w:tcPr>
          <w:p w14:paraId="382ADA6F">
            <w:pPr>
              <w:wordWrap w:val="0"/>
              <w:adjustRightInd w:val="0"/>
              <w:snapToGrid w:val="0"/>
              <w:jc w:val="center"/>
              <w:rPr>
                <w:rFonts w:hint="eastAsia" w:hAnsi="宋体"/>
              </w:rPr>
            </w:pPr>
            <w:r>
              <w:rPr>
                <w:rFonts w:hint="eastAsia" w:hAnsi="宋体"/>
              </w:rPr>
              <w:t>千亿设计集团有限公司</w:t>
            </w:r>
          </w:p>
        </w:tc>
        <w:tc>
          <w:tcPr>
            <w:tcW w:w="4629" w:type="dxa"/>
            <w:vAlign w:val="center"/>
          </w:tcPr>
          <w:p w14:paraId="5F0AA82B">
            <w:pPr>
              <w:wordWrap w:val="0"/>
              <w:adjustRightInd w:val="0"/>
              <w:snapToGrid w:val="0"/>
              <w:jc w:val="center"/>
              <w:rPr>
                <w:rFonts w:hint="eastAsia" w:hAnsi="宋体"/>
              </w:rPr>
            </w:pPr>
            <w:r>
              <w:rPr>
                <w:rFonts w:hint="eastAsia" w:hAnsi="宋体"/>
              </w:rPr>
              <w:t>为本招标项目的设计单位</w:t>
            </w:r>
          </w:p>
        </w:tc>
      </w:tr>
      <w:tr w14:paraId="1CBD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8" w:type="dxa"/>
            <w:vAlign w:val="center"/>
          </w:tcPr>
          <w:p w14:paraId="25213699">
            <w:pPr>
              <w:pStyle w:val="34"/>
              <w:wordWrap w:val="0"/>
              <w:adjustRightInd w:val="0"/>
              <w:snapToGrid w:val="0"/>
              <w:spacing w:line="360" w:lineRule="auto"/>
              <w:jc w:val="center"/>
              <w:rPr>
                <w:rFonts w:hint="eastAsia" w:ascii="宋体" w:hAnsi="宋体" w:cs="宋体"/>
                <w:sz w:val="24"/>
                <w:szCs w:val="24"/>
              </w:rPr>
            </w:pPr>
            <w:r>
              <w:rPr>
                <w:rFonts w:hint="eastAsia" w:ascii="宋体" w:hAnsi="宋体" w:cs="宋体"/>
                <w:sz w:val="24"/>
                <w:szCs w:val="24"/>
              </w:rPr>
              <w:t>5</w:t>
            </w:r>
          </w:p>
        </w:tc>
        <w:tc>
          <w:tcPr>
            <w:tcW w:w="4186" w:type="dxa"/>
            <w:vAlign w:val="center"/>
          </w:tcPr>
          <w:p w14:paraId="06386234">
            <w:pPr>
              <w:jc w:val="center"/>
              <w:rPr>
                <w:rFonts w:hint="eastAsia" w:hAnsi="宋体"/>
              </w:rPr>
            </w:pPr>
            <w:r>
              <w:rPr>
                <w:rFonts w:hint="eastAsia" w:hAnsi="宋体"/>
              </w:rPr>
              <w:t>广东欧采工程管理有限公司</w:t>
            </w:r>
          </w:p>
        </w:tc>
        <w:tc>
          <w:tcPr>
            <w:tcW w:w="4629" w:type="dxa"/>
            <w:vAlign w:val="center"/>
          </w:tcPr>
          <w:p w14:paraId="3C1C1778">
            <w:pPr>
              <w:jc w:val="center"/>
              <w:rPr>
                <w:rFonts w:hint="eastAsia" w:hAnsi="宋体"/>
              </w:rPr>
            </w:pPr>
            <w:r>
              <w:rPr>
                <w:rFonts w:hint="eastAsia" w:hAnsi="宋体"/>
              </w:rPr>
              <w:t>为本招标项目的造价咨询单位</w:t>
            </w:r>
          </w:p>
        </w:tc>
      </w:tr>
      <w:tr w14:paraId="2E5C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8" w:type="dxa"/>
            <w:vAlign w:val="center"/>
          </w:tcPr>
          <w:p w14:paraId="1EB61DFE">
            <w:pPr>
              <w:pStyle w:val="34"/>
              <w:wordWrap w:val="0"/>
              <w:adjustRightInd w:val="0"/>
              <w:snapToGrid w:val="0"/>
              <w:spacing w:line="360" w:lineRule="auto"/>
              <w:jc w:val="center"/>
              <w:rPr>
                <w:rFonts w:hint="eastAsia" w:ascii="宋体" w:hAnsi="宋体" w:cs="宋体"/>
                <w:sz w:val="24"/>
                <w:szCs w:val="24"/>
              </w:rPr>
            </w:pPr>
            <w:r>
              <w:rPr>
                <w:rFonts w:hint="eastAsia" w:ascii="宋体" w:hAnsi="宋体" w:cs="宋体"/>
                <w:sz w:val="24"/>
                <w:szCs w:val="24"/>
              </w:rPr>
              <w:t>6</w:t>
            </w:r>
          </w:p>
        </w:tc>
        <w:tc>
          <w:tcPr>
            <w:tcW w:w="4186" w:type="dxa"/>
            <w:vAlign w:val="center"/>
          </w:tcPr>
          <w:p w14:paraId="4BA96301">
            <w:pPr>
              <w:wordWrap w:val="0"/>
              <w:adjustRightInd w:val="0"/>
              <w:snapToGrid w:val="0"/>
              <w:jc w:val="center"/>
              <w:rPr>
                <w:rFonts w:hint="eastAsia" w:hAnsi="宋体"/>
              </w:rPr>
            </w:pPr>
            <w:r>
              <w:rPr>
                <w:rFonts w:hint="eastAsia" w:hAnsi="宋体"/>
              </w:rPr>
              <w:t>首盛国际工程咨询集团有限公司</w:t>
            </w:r>
          </w:p>
        </w:tc>
        <w:tc>
          <w:tcPr>
            <w:tcW w:w="4629" w:type="dxa"/>
            <w:vAlign w:val="center"/>
          </w:tcPr>
          <w:p w14:paraId="3C47ED03">
            <w:pPr>
              <w:wordWrap w:val="0"/>
              <w:adjustRightInd w:val="0"/>
              <w:snapToGrid w:val="0"/>
              <w:jc w:val="center"/>
              <w:rPr>
                <w:rFonts w:hint="eastAsia" w:hAnsi="宋体"/>
              </w:rPr>
            </w:pPr>
            <w:r>
              <w:rPr>
                <w:rFonts w:hint="eastAsia" w:hAnsi="宋体"/>
              </w:rPr>
              <w:t>为本招标项目的监理单位、</w:t>
            </w:r>
            <w:r>
              <w:fldChar w:fldCharType="begin"/>
            </w:r>
            <w:r>
              <w:instrText xml:space="preserve"> HYPERLINK "https://ygp.gdzwfw.gov.cn/zjfwcs/gd-zjcs-pub/bidResultNotice/view/4402000069462272511100875" </w:instrText>
            </w:r>
            <w:r>
              <w:fldChar w:fldCharType="separate"/>
            </w:r>
            <w:r>
              <w:rPr>
                <w:rFonts w:hint="eastAsia" w:hAnsi="宋体"/>
              </w:rPr>
              <w:t>初步设计概算审核</w:t>
            </w:r>
            <w:r>
              <w:rPr>
                <w:rFonts w:hint="eastAsia" w:hAnsi="宋体"/>
              </w:rPr>
              <w:fldChar w:fldCharType="end"/>
            </w:r>
            <w:r>
              <w:rPr>
                <w:rFonts w:hint="eastAsia" w:hAnsi="宋体"/>
              </w:rPr>
              <w:t>单位</w:t>
            </w:r>
          </w:p>
        </w:tc>
      </w:tr>
      <w:tr w14:paraId="488A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78" w:type="dxa"/>
            <w:vAlign w:val="center"/>
          </w:tcPr>
          <w:p w14:paraId="2A3AC793">
            <w:pPr>
              <w:pStyle w:val="34"/>
              <w:wordWrap w:val="0"/>
              <w:adjustRightInd w:val="0"/>
              <w:snapToGrid w:val="0"/>
              <w:spacing w:line="360" w:lineRule="auto"/>
              <w:jc w:val="center"/>
              <w:rPr>
                <w:rFonts w:hint="eastAsia" w:ascii="宋体" w:hAnsi="宋体" w:cs="宋体"/>
                <w:sz w:val="24"/>
                <w:szCs w:val="24"/>
              </w:rPr>
            </w:pPr>
            <w:r>
              <w:rPr>
                <w:rFonts w:hint="eastAsia" w:ascii="宋体" w:hAnsi="宋体" w:cs="宋体"/>
                <w:sz w:val="24"/>
                <w:szCs w:val="24"/>
              </w:rPr>
              <w:t>7</w:t>
            </w:r>
          </w:p>
        </w:tc>
        <w:tc>
          <w:tcPr>
            <w:tcW w:w="4186" w:type="dxa"/>
            <w:vAlign w:val="center"/>
          </w:tcPr>
          <w:p w14:paraId="2C07140B">
            <w:pPr>
              <w:wordWrap w:val="0"/>
              <w:adjustRightInd w:val="0"/>
              <w:snapToGrid w:val="0"/>
              <w:jc w:val="center"/>
              <w:rPr>
                <w:rFonts w:hint="eastAsia" w:hAnsi="宋体"/>
              </w:rPr>
            </w:pPr>
            <w:r>
              <w:rPr>
                <w:rFonts w:hint="eastAsia" w:hAnsi="宋体"/>
              </w:rPr>
              <w:t>韶关市国之信工程咨询有限公司</w:t>
            </w:r>
          </w:p>
        </w:tc>
        <w:tc>
          <w:tcPr>
            <w:tcW w:w="4629" w:type="dxa"/>
            <w:vAlign w:val="center"/>
          </w:tcPr>
          <w:p w14:paraId="2698A1F8">
            <w:pPr>
              <w:wordWrap w:val="0"/>
              <w:adjustRightInd w:val="0"/>
              <w:snapToGrid w:val="0"/>
              <w:jc w:val="center"/>
              <w:rPr>
                <w:rFonts w:hint="eastAsia" w:hAnsi="宋体"/>
              </w:rPr>
            </w:pPr>
            <w:r>
              <w:rPr>
                <w:rFonts w:hint="eastAsia" w:hAnsi="宋体"/>
              </w:rPr>
              <w:t>为本招标项目的招标代理机构</w:t>
            </w:r>
          </w:p>
        </w:tc>
      </w:tr>
      <w:tr w14:paraId="6580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578" w:type="dxa"/>
            <w:vAlign w:val="center"/>
          </w:tcPr>
          <w:p w14:paraId="02B25752">
            <w:pPr>
              <w:pStyle w:val="34"/>
              <w:wordWrap w:val="0"/>
              <w:adjustRightInd w:val="0"/>
              <w:snapToGrid w:val="0"/>
              <w:spacing w:line="360" w:lineRule="auto"/>
              <w:jc w:val="center"/>
              <w:rPr>
                <w:rFonts w:hint="eastAsia" w:ascii="宋体" w:hAnsi="宋体" w:cs="宋体"/>
                <w:sz w:val="24"/>
                <w:szCs w:val="24"/>
              </w:rPr>
            </w:pPr>
            <w:r>
              <w:rPr>
                <w:rFonts w:hint="eastAsia" w:ascii="宋体" w:hAnsi="宋体" w:cs="宋体"/>
                <w:sz w:val="24"/>
                <w:szCs w:val="24"/>
              </w:rPr>
              <w:t>8</w:t>
            </w:r>
          </w:p>
        </w:tc>
        <w:tc>
          <w:tcPr>
            <w:tcW w:w="4186" w:type="dxa"/>
            <w:vAlign w:val="center"/>
          </w:tcPr>
          <w:p w14:paraId="0ECCA322">
            <w:pPr>
              <w:wordWrap w:val="0"/>
              <w:adjustRightInd w:val="0"/>
              <w:snapToGrid w:val="0"/>
              <w:jc w:val="center"/>
              <w:rPr>
                <w:rFonts w:hint="eastAsia" w:hAnsi="宋体"/>
              </w:rPr>
            </w:pPr>
            <w:r>
              <w:rPr>
                <w:rFonts w:hint="eastAsia" w:hAnsi="宋体"/>
              </w:rPr>
              <w:t>无</w:t>
            </w:r>
          </w:p>
        </w:tc>
        <w:tc>
          <w:tcPr>
            <w:tcW w:w="4629" w:type="dxa"/>
            <w:vAlign w:val="center"/>
          </w:tcPr>
          <w:p w14:paraId="5B9B07A0">
            <w:pPr>
              <w:wordWrap w:val="0"/>
              <w:adjustRightInd w:val="0"/>
              <w:snapToGrid w:val="0"/>
              <w:jc w:val="center"/>
              <w:rPr>
                <w:rFonts w:hint="eastAsia" w:hAnsi="宋体"/>
              </w:rPr>
            </w:pPr>
            <w:r>
              <w:rPr>
                <w:rFonts w:hint="eastAsia" w:hAnsi="宋体"/>
              </w:rPr>
              <w:t>为本招标项目上一次招标的中标人，但无正当理由不签订合同，被招标人书面拒绝再次投标。</w:t>
            </w:r>
          </w:p>
        </w:tc>
      </w:tr>
    </w:tbl>
    <w:p w14:paraId="08D93AA1">
      <w:pPr>
        <w:pStyle w:val="35"/>
        <w:snapToGrid w:val="0"/>
        <w:spacing w:line="360" w:lineRule="auto"/>
        <w:ind w:firstLine="482" w:firstLineChars="200"/>
        <w:jc w:val="left"/>
        <w:rPr>
          <w:rStyle w:val="28"/>
          <w:rFonts w:hint="eastAsia" w:ascii="宋体" w:hAnsi="宋体" w:cs="宋体"/>
          <w:kern w:val="0"/>
          <w:sz w:val="24"/>
          <w:szCs w:val="24"/>
        </w:rPr>
      </w:pPr>
      <w:r>
        <w:rPr>
          <w:rStyle w:val="28"/>
          <w:rFonts w:hint="eastAsia" w:ascii="宋体" w:hAnsi="宋体" w:cs="宋体"/>
          <w:b/>
          <w:bCs/>
          <w:kern w:val="0"/>
          <w:sz w:val="24"/>
          <w:szCs w:val="24"/>
        </w:rPr>
        <w:t>2.5</w:t>
      </w:r>
      <w:r>
        <w:rPr>
          <w:rStyle w:val="28"/>
          <w:rFonts w:hint="eastAsia" w:ascii="宋体" w:hAnsi="宋体" w:cs="宋体"/>
          <w:kern w:val="0"/>
          <w:sz w:val="24"/>
          <w:szCs w:val="24"/>
        </w:rPr>
        <w:t xml:space="preserve"> 其他要求</w:t>
      </w:r>
    </w:p>
    <w:p w14:paraId="10AAF328">
      <w:pPr>
        <w:pStyle w:val="35"/>
        <w:snapToGrid w:val="0"/>
        <w:spacing w:line="360" w:lineRule="auto"/>
        <w:ind w:firstLine="480" w:firstLineChars="200"/>
        <w:jc w:val="left"/>
        <w:rPr>
          <w:rStyle w:val="28"/>
          <w:rFonts w:hint="eastAsia" w:ascii="宋体" w:hAnsi="宋体" w:cs="宋体"/>
          <w:kern w:val="0"/>
          <w:sz w:val="24"/>
          <w:szCs w:val="24"/>
        </w:rPr>
      </w:pPr>
      <w:r>
        <w:rPr>
          <w:rStyle w:val="28"/>
          <w:rFonts w:hint="eastAsia" w:ascii="宋体" w:hAnsi="宋体" w:cs="宋体"/>
          <w:kern w:val="0"/>
          <w:sz w:val="24"/>
          <w:szCs w:val="24"/>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093EEFA5">
      <w:pPr>
        <w:pStyle w:val="35"/>
        <w:snapToGrid w:val="0"/>
        <w:spacing w:line="360" w:lineRule="auto"/>
        <w:ind w:firstLine="422" w:firstLineChars="200"/>
        <w:jc w:val="left"/>
        <w:rPr>
          <w:rStyle w:val="28"/>
          <w:rFonts w:hint="eastAsia" w:ascii="宋体" w:hAnsi="宋体" w:cs="宋体"/>
          <w:b/>
          <w:bCs/>
          <w:strike/>
          <w:kern w:val="0"/>
        </w:rPr>
      </w:pPr>
    </w:p>
    <w:p w14:paraId="4E7C4390">
      <w:pPr>
        <w:pStyle w:val="32"/>
        <w:numPr>
          <w:ilvl w:val="255"/>
          <w:numId w:val="0"/>
        </w:numPr>
        <w:snapToGrid w:val="0"/>
        <w:ind w:firstLine="482" w:firstLineChars="200"/>
        <w:jc w:val="both"/>
        <w:rPr>
          <w:rStyle w:val="28"/>
          <w:rFonts w:hint="eastAsia" w:hAnsi="宋体"/>
          <w:b/>
          <w:bCs/>
        </w:rPr>
      </w:pPr>
      <w:r>
        <w:rPr>
          <w:rFonts w:hint="eastAsia" w:hAnsi="宋体"/>
          <w:b/>
          <w:snapToGrid w:val="0"/>
        </w:rPr>
        <w:t>3.招标文件的获取、提问和答疑</w:t>
      </w:r>
    </w:p>
    <w:p w14:paraId="1038D51D">
      <w:pPr>
        <w:widowControl w:val="0"/>
        <w:tabs>
          <w:tab w:val="left" w:pos="7020"/>
        </w:tabs>
        <w:wordWrap w:val="0"/>
        <w:ind w:firstLine="482" w:firstLineChars="200"/>
        <w:textAlignment w:val="auto"/>
        <w:rPr>
          <w:rFonts w:hint="eastAsia" w:hAnsi="宋体"/>
          <w:b/>
          <w:bCs/>
          <w:snapToGrid w:val="0"/>
          <w:kern w:val="0"/>
        </w:rPr>
      </w:pPr>
      <w:r>
        <w:rPr>
          <w:rFonts w:hint="eastAsia" w:hAnsi="宋体"/>
          <w:b/>
          <w:bCs/>
          <w:snapToGrid w:val="0"/>
          <w:kern w:val="0"/>
        </w:rPr>
        <w:t xml:space="preserve">3.1 </w:t>
      </w:r>
      <w:r>
        <w:rPr>
          <w:rFonts w:hint="eastAsia" w:hAnsi="宋体"/>
          <w:snapToGrid w:val="0"/>
          <w:kern w:val="0"/>
        </w:rPr>
        <w:t>本次招标实行电子投标。本项目招标文件随招标公告一并在广东省招标投标监管网（https://zbtb.gd.gov.cn/#/index）、全国公共资源交易平台（广东省·韶关市）（https://ygp.gdzwfw.gov.cn/#/440200/index）网站发布。招标文件一经广东省招标投标监管网、全国公共资源交易平台（广东省·韶关市）发布，视为发送投标人，招标文件及相关附件由投标人自行在全国公共资源交易平台（广东省·韶关市）网站下载。请于招标文件获取期间，（见本招标文件“重要事项时间地点一览表”）招标文件获取期间与招标公告发布时间一致，投标人须登录全国公共资源交易平台（广东省·韶关市）（https://ygp.gdzwfw.gov.cn/#/440200/index），使用新建设工程交易系统进行下载招标文件及相关附件，并于电子投标截止时间（见本招标文件“重要事项时间地点一览表”）前完成电子投标。投标人可登录全国公共资源交易平台（广东省·韶关市）（https://ygp.gdzwfw.gov.cn/#/440200/index），在【服务指南】栏目中下载《韶关市公共资源建设工程交易系统－投标人操作指南（电子评标）》，了解网上获取招标文件操作流程。技术咨询电话：0751-8379671伍先生，业务咨询电话：0751-8633211、8633071。</w:t>
      </w:r>
    </w:p>
    <w:p w14:paraId="6F547F4A">
      <w:pPr>
        <w:widowControl w:val="0"/>
        <w:tabs>
          <w:tab w:val="left" w:pos="7020"/>
        </w:tabs>
        <w:wordWrap w:val="0"/>
        <w:ind w:firstLine="482" w:firstLineChars="200"/>
        <w:textAlignment w:val="auto"/>
        <w:rPr>
          <w:rFonts w:hint="eastAsia" w:hAnsi="宋体"/>
          <w:snapToGrid w:val="0"/>
          <w:kern w:val="0"/>
        </w:rPr>
      </w:pPr>
      <w:r>
        <w:rPr>
          <w:rFonts w:hint="eastAsia" w:hAnsi="宋体"/>
          <w:b/>
          <w:bCs/>
          <w:snapToGrid w:val="0"/>
          <w:kern w:val="0"/>
        </w:rPr>
        <w:t xml:space="preserve">3.2 </w:t>
      </w:r>
      <w:r>
        <w:rPr>
          <w:rFonts w:hint="eastAsia" w:hAnsi="宋体"/>
          <w:snapToGrid w:val="0"/>
          <w:kern w:val="0"/>
        </w:rPr>
        <w:t>只有申领了数字证书（CA）、“粤企签”或GDCA/SZCA/NETCA等符合法律法规规定的电子印章，并在交易系统中完成企业信息数据入库的投标人，方可使用建设工程交易系统进行招标文件及附件获取和电子投标。</w:t>
      </w:r>
    </w:p>
    <w:p w14:paraId="17A43E35">
      <w:pPr>
        <w:widowControl w:val="0"/>
        <w:tabs>
          <w:tab w:val="left" w:pos="7020"/>
        </w:tabs>
        <w:wordWrap w:val="0"/>
        <w:ind w:firstLine="480" w:firstLineChars="200"/>
        <w:textAlignment w:val="auto"/>
        <w:rPr>
          <w:rFonts w:hint="eastAsia" w:hAnsi="宋体"/>
          <w:snapToGrid w:val="0"/>
          <w:kern w:val="0"/>
        </w:rPr>
      </w:pPr>
      <w:r>
        <w:rPr>
          <w:rFonts w:hint="eastAsia" w:hAnsi="宋体"/>
          <w:snapToGrid w:val="0"/>
          <w:kern w:val="0"/>
        </w:rPr>
        <w:t>首次在韶关市参与建设工程招标投标活动的投标人，必须在平台系统上传企业相关资料办理企业入库事宜。投标人可登录全国公共资源交易平台（广东省·韶关市）（https://ygp.gdzwfw.gov.cn/#/440200/index）办理企业入库、数字证书及电子印章事宜，具体请在平台查阅相应的交易指引。</w:t>
      </w:r>
    </w:p>
    <w:p w14:paraId="12F348B4">
      <w:pPr>
        <w:widowControl w:val="0"/>
        <w:tabs>
          <w:tab w:val="left" w:pos="7020"/>
        </w:tabs>
        <w:wordWrap w:val="0"/>
        <w:ind w:firstLine="480" w:firstLineChars="200"/>
        <w:textAlignment w:val="auto"/>
        <w:rPr>
          <w:rFonts w:hint="eastAsia" w:hAnsi="宋体"/>
          <w:snapToGrid w:val="0"/>
          <w:kern w:val="0"/>
        </w:rPr>
      </w:pPr>
      <w:r>
        <w:rPr>
          <w:rFonts w:hint="eastAsia" w:hAnsi="宋体"/>
          <w:snapToGrid w:val="0"/>
          <w:kern w:val="0"/>
        </w:rPr>
        <w:t>已入库企业有关信息（如单位名称、基本账号、资质、人员等）发生变化的，须及时在交易系统进行相应变更。投标人未及时变更信息而造成的损失和后果，由投标人自行承担。</w:t>
      </w:r>
    </w:p>
    <w:p w14:paraId="1A38E5E1">
      <w:pPr>
        <w:widowControl w:val="0"/>
        <w:tabs>
          <w:tab w:val="left" w:pos="7020"/>
        </w:tabs>
        <w:wordWrap w:val="0"/>
        <w:ind w:firstLine="480" w:firstLineChars="200"/>
        <w:rPr>
          <w:rFonts w:hint="eastAsia" w:hAnsi="宋体"/>
          <w:snapToGrid w:val="0"/>
          <w:kern w:val="0"/>
        </w:rPr>
      </w:pPr>
      <w:r>
        <w:rPr>
          <w:rFonts w:hint="eastAsia" w:hAnsi="宋体"/>
          <w:snapToGrid w:val="0"/>
          <w:kern w:val="0"/>
        </w:rPr>
        <w:t>电子印章：是指获得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13D79CF7">
      <w:pPr>
        <w:widowControl w:val="0"/>
        <w:tabs>
          <w:tab w:val="left" w:pos="7020"/>
        </w:tabs>
        <w:wordWrap w:val="0"/>
        <w:ind w:firstLine="482" w:firstLineChars="200"/>
        <w:rPr>
          <w:rFonts w:hint="eastAsia" w:hAnsi="宋体"/>
          <w:snapToGrid w:val="0"/>
          <w:kern w:val="0"/>
        </w:rPr>
      </w:pPr>
      <w:r>
        <w:rPr>
          <w:rFonts w:hint="eastAsia" w:hAnsi="宋体"/>
          <w:b/>
          <w:bCs/>
          <w:snapToGrid w:val="0"/>
          <w:kern w:val="0"/>
        </w:rPr>
        <w:t>3.3</w:t>
      </w:r>
      <w:r>
        <w:rPr>
          <w:rFonts w:hint="eastAsia" w:hAnsi="宋体"/>
          <w:snapToGrid w:val="0"/>
          <w:kern w:val="0"/>
        </w:rPr>
        <w:t xml:space="preserve"> 投标保证</w:t>
      </w:r>
    </w:p>
    <w:p w14:paraId="51AD7A5C">
      <w:pPr>
        <w:widowControl w:val="0"/>
        <w:tabs>
          <w:tab w:val="left" w:pos="7020"/>
        </w:tabs>
        <w:wordWrap w:val="0"/>
        <w:ind w:firstLine="482" w:firstLineChars="200"/>
        <w:rPr>
          <w:rFonts w:hint="eastAsia" w:hAnsi="宋体"/>
          <w:snapToGrid w:val="0"/>
          <w:kern w:val="0"/>
        </w:rPr>
      </w:pPr>
      <w:r>
        <w:rPr>
          <w:rFonts w:hint="eastAsia" w:hAnsi="宋体"/>
          <w:b/>
          <w:bCs/>
          <w:snapToGrid w:val="0"/>
          <w:kern w:val="0"/>
        </w:rPr>
        <w:t>3.3.1</w:t>
      </w:r>
      <w:r>
        <w:rPr>
          <w:rFonts w:hint="eastAsia" w:hAnsi="宋体"/>
          <w:snapToGrid w:val="0"/>
          <w:kern w:val="0"/>
        </w:rPr>
        <w:t xml:space="preserve"> 投标人须缴纳金额为人民币</w:t>
      </w:r>
      <w:r>
        <w:rPr>
          <w:rFonts w:hint="eastAsia" w:hAnsi="宋体"/>
          <w:snapToGrid w:val="0"/>
          <w:kern w:val="0"/>
          <w:u w:val="single"/>
        </w:rPr>
        <w:t>伍拾万元整</w:t>
      </w:r>
      <w:r>
        <w:rPr>
          <w:rFonts w:hint="eastAsia" w:hAnsi="宋体"/>
          <w:snapToGrid w:val="0"/>
          <w:kern w:val="0"/>
        </w:rPr>
        <w:t>的投标保证。</w:t>
      </w:r>
    </w:p>
    <w:p w14:paraId="073BF1F8">
      <w:pPr>
        <w:widowControl w:val="0"/>
        <w:tabs>
          <w:tab w:val="left" w:pos="7020"/>
        </w:tabs>
        <w:wordWrap w:val="0"/>
        <w:ind w:firstLine="482" w:firstLineChars="200"/>
        <w:rPr>
          <w:rFonts w:hint="eastAsia" w:hAnsi="宋体"/>
          <w:snapToGrid w:val="0"/>
          <w:kern w:val="0"/>
        </w:rPr>
      </w:pPr>
      <w:r>
        <w:rPr>
          <w:rFonts w:hint="eastAsia" w:hAnsi="宋体"/>
          <w:b/>
          <w:bCs/>
          <w:snapToGrid w:val="0"/>
          <w:kern w:val="0"/>
        </w:rPr>
        <w:t>3.3.2</w:t>
      </w:r>
      <w:r>
        <w:rPr>
          <w:rFonts w:hint="eastAsia" w:hAnsi="宋体"/>
          <w:snapToGrid w:val="0"/>
          <w:kern w:val="0"/>
        </w:rPr>
        <w:t xml:space="preserve"> 投标保证的形式包括投标保证金、投标保证担保、投标保证保险三种，由投标人自主选择。</w:t>
      </w:r>
    </w:p>
    <w:p w14:paraId="21BE62B4">
      <w:pPr>
        <w:snapToGrid w:val="0"/>
        <w:ind w:firstLine="480" w:firstLineChars="200"/>
        <w:jc w:val="left"/>
        <w:rPr>
          <w:rStyle w:val="28"/>
          <w:rFonts w:hint="eastAsia" w:hAnsi="宋体"/>
          <w:kern w:val="0"/>
        </w:rPr>
      </w:pPr>
      <w:r>
        <w:rPr>
          <w:rStyle w:val="28"/>
          <w:rFonts w:hint="eastAsia" w:hAnsi="宋体"/>
          <w:kern w:val="0"/>
        </w:rPr>
        <w:t>（1）采用投标保证金的，投标人在交易平台</w:t>
      </w:r>
      <w:r>
        <w:rPr>
          <w:rFonts w:hint="eastAsia" w:hAnsi="宋体"/>
          <w:snapToGrid w:val="0"/>
          <w:kern w:val="0"/>
        </w:rPr>
        <w:t>获取招标文件</w:t>
      </w:r>
      <w:r>
        <w:rPr>
          <w:rStyle w:val="28"/>
          <w:rFonts w:hint="eastAsia" w:hAnsi="宋体"/>
          <w:kern w:val="0"/>
        </w:rPr>
        <w:t xml:space="preserve">完毕后，即可在系统申请缴纳投标保证金，获取本次招标投标保证金缴纳账号。投标人须于投标保证金到账截止时间（见本章第二节“重要事项时间地点一览表”）前，从其基本账户将投标保证金转账到指定的缴纳账号。逾期到账的、从非投标人基本账户转出的，其投标无效。 </w:t>
      </w:r>
    </w:p>
    <w:p w14:paraId="1FDD624B">
      <w:pPr>
        <w:widowControl w:val="0"/>
        <w:wordWrap w:val="0"/>
        <w:adjustRightInd w:val="0"/>
        <w:snapToGrid w:val="0"/>
        <w:ind w:firstLine="480" w:firstLineChars="200"/>
        <w:textAlignment w:val="auto"/>
        <w:rPr>
          <w:rStyle w:val="28"/>
          <w:rFonts w:hint="eastAsia" w:hAnsi="宋体"/>
          <w:kern w:val="0"/>
        </w:rPr>
      </w:pPr>
      <w:r>
        <w:rPr>
          <w:rStyle w:val="28"/>
          <w:rFonts w:hint="eastAsia" w:hAnsi="宋体"/>
          <w:kern w:val="0"/>
        </w:rPr>
        <w:t>（2）采用投标保证担保的，投标人应提交有效的电子保函或保证保险，电子保函或保证保险的有效期不得短于投标有效期。投标人必须在投标保证担保截止时间（见本章第二节“重要事项时间地点一览表”）前，使用工程建设交易系统完成网上办理电子保函或保证保险。</w:t>
      </w:r>
    </w:p>
    <w:p w14:paraId="0B1094FE">
      <w:pPr>
        <w:snapToGrid w:val="0"/>
        <w:ind w:firstLine="480" w:firstLineChars="200"/>
        <w:jc w:val="left"/>
        <w:rPr>
          <w:rStyle w:val="28"/>
          <w:rFonts w:hint="eastAsia" w:hAnsi="宋体"/>
          <w:kern w:val="0"/>
        </w:rPr>
      </w:pPr>
      <w:r>
        <w:rPr>
          <w:rStyle w:val="28"/>
          <w:rFonts w:hint="eastAsia" w:hAnsi="宋体"/>
          <w:kern w:val="0"/>
        </w:rPr>
        <w:t>（3）采用投标保证保险的，投标人须在投标保证保险投保截止时间（见本章第二节“重要事项时间地点一览表”）前，使用交易平台完成网上投保。投标人可在系统选择保险机构、录入投保信息、支付保费、打印电子保单，电子保单的有效期不得短于投标有效期。</w:t>
      </w:r>
      <w:r>
        <w:rPr>
          <w:rStyle w:val="28"/>
          <w:rFonts w:hint="eastAsia" w:hAnsi="宋体"/>
        </w:rPr>
        <w:t>投标人可登录</w:t>
      </w:r>
      <w:r>
        <w:rPr>
          <w:rStyle w:val="28"/>
          <w:rFonts w:hint="eastAsia" w:hAnsi="宋体"/>
          <w:kern w:val="0"/>
        </w:rPr>
        <w:t>全国公共资源交易平台（广东省·韶关市）（https://ygp.gdzwfw.gov.cn/ggzy-portal/#/440200/index），在【服务指南】栏目中下载《韶关市公共资源建设工程交易系统－投标人操作指南（电子评标）》，了解网上投保具体操作流程。逾期投保的，其投标无效。</w:t>
      </w:r>
    </w:p>
    <w:p w14:paraId="16307B2A">
      <w:pPr>
        <w:widowControl w:val="0"/>
        <w:tabs>
          <w:tab w:val="left" w:pos="7020"/>
        </w:tabs>
        <w:wordWrap w:val="0"/>
        <w:ind w:firstLine="480" w:firstLineChars="200"/>
        <w:rPr>
          <w:rFonts w:hint="eastAsia" w:hAnsi="宋体"/>
          <w:snapToGrid w:val="0"/>
          <w:kern w:val="0"/>
        </w:rPr>
      </w:pPr>
      <w:r>
        <w:rPr>
          <w:rStyle w:val="28"/>
          <w:rFonts w:hint="eastAsia" w:hAnsi="宋体"/>
          <w:kern w:val="0"/>
        </w:rPr>
        <w:t>温馨提醒：投标人采用投标保证担保或投标保证保险的，为避免在评标过程中因有效期发生争议，建议投标人将银行保函</w:t>
      </w:r>
      <w:r>
        <w:rPr>
          <w:rFonts w:hint="eastAsia" w:hAnsi="宋体"/>
        </w:rPr>
        <w:t>电子保函</w:t>
      </w:r>
      <w:r>
        <w:rPr>
          <w:rStyle w:val="28"/>
          <w:rFonts w:hint="eastAsia" w:hAnsi="宋体"/>
          <w:kern w:val="0"/>
        </w:rPr>
        <w:t>或电子保单有效期设置为较招标文件规定的投标有效期延长不少于20日历天。</w:t>
      </w:r>
    </w:p>
    <w:p w14:paraId="5CF1B826">
      <w:pPr>
        <w:pStyle w:val="7"/>
        <w:widowControl w:val="0"/>
        <w:adjustRightInd/>
        <w:spacing w:line="360" w:lineRule="auto"/>
        <w:ind w:firstLine="482" w:firstLineChars="200"/>
        <w:rPr>
          <w:rFonts w:hint="eastAsia" w:hAnsi="宋体" w:cs="宋体"/>
          <w:snapToGrid w:val="0"/>
        </w:rPr>
      </w:pPr>
      <w:r>
        <w:rPr>
          <w:rFonts w:hint="eastAsia" w:hAnsi="宋体" w:cs="宋体"/>
          <w:b/>
          <w:bCs/>
          <w:snapToGrid w:val="0"/>
        </w:rPr>
        <w:t>3.4</w:t>
      </w:r>
      <w:r>
        <w:rPr>
          <w:rFonts w:hint="eastAsia" w:hAnsi="宋体" w:cs="宋体"/>
          <w:snapToGrid w:val="0"/>
        </w:rPr>
        <w:t xml:space="preserve"> 若投标人因自身原因未能正确获取招标文件、电子投标、缴纳投标保证的，其投标无效。</w:t>
      </w:r>
    </w:p>
    <w:p w14:paraId="403264FE">
      <w:pPr>
        <w:tabs>
          <w:tab w:val="left" w:pos="7020"/>
        </w:tabs>
        <w:snapToGrid w:val="0"/>
        <w:ind w:firstLine="482" w:firstLineChars="200"/>
        <w:rPr>
          <w:rStyle w:val="28"/>
          <w:rFonts w:hint="eastAsia" w:hAnsi="宋体"/>
          <w:b/>
          <w:bCs/>
          <w:kern w:val="0"/>
        </w:rPr>
      </w:pPr>
    </w:p>
    <w:p w14:paraId="68594049">
      <w:pPr>
        <w:pStyle w:val="32"/>
        <w:numPr>
          <w:ilvl w:val="255"/>
          <w:numId w:val="0"/>
        </w:numPr>
        <w:snapToGrid w:val="0"/>
        <w:ind w:firstLine="482" w:firstLineChars="200"/>
        <w:jc w:val="both"/>
        <w:rPr>
          <w:rStyle w:val="28"/>
          <w:rFonts w:hint="eastAsia" w:hAnsi="宋体"/>
          <w:b/>
          <w:bCs/>
        </w:rPr>
      </w:pPr>
      <w:r>
        <w:rPr>
          <w:rStyle w:val="28"/>
          <w:rFonts w:hint="eastAsia" w:hAnsi="宋体"/>
          <w:b/>
          <w:bCs/>
        </w:rPr>
        <w:t>4.工期要求</w:t>
      </w:r>
    </w:p>
    <w:p w14:paraId="43040C75">
      <w:pPr>
        <w:tabs>
          <w:tab w:val="left" w:pos="7020"/>
        </w:tabs>
        <w:snapToGrid w:val="0"/>
        <w:ind w:firstLine="480" w:firstLineChars="200"/>
        <w:rPr>
          <w:rStyle w:val="28"/>
          <w:rFonts w:hint="eastAsia" w:hAnsi="宋体"/>
          <w:kern w:val="0"/>
        </w:rPr>
      </w:pPr>
      <w:r>
        <w:rPr>
          <w:rStyle w:val="28"/>
          <w:rFonts w:hint="eastAsia" w:hAnsi="宋体"/>
          <w:kern w:val="0"/>
        </w:rPr>
        <w:t>本招标项目施工招标工期为232日历天，中标人必须在招标工期内完成本工程招标范围内的全部内容。</w:t>
      </w:r>
    </w:p>
    <w:p w14:paraId="0D5EB97A">
      <w:pPr>
        <w:tabs>
          <w:tab w:val="left" w:pos="7020"/>
        </w:tabs>
        <w:snapToGrid w:val="0"/>
        <w:ind w:firstLine="482" w:firstLineChars="200"/>
        <w:rPr>
          <w:rStyle w:val="28"/>
          <w:rFonts w:hint="eastAsia" w:hAnsi="宋体"/>
          <w:b/>
          <w:bCs/>
          <w:kern w:val="0"/>
        </w:rPr>
      </w:pPr>
    </w:p>
    <w:p w14:paraId="05FE300D">
      <w:pPr>
        <w:pStyle w:val="32"/>
        <w:numPr>
          <w:ilvl w:val="255"/>
          <w:numId w:val="0"/>
        </w:numPr>
        <w:snapToGrid w:val="0"/>
        <w:ind w:firstLine="482" w:firstLineChars="200"/>
        <w:jc w:val="both"/>
        <w:rPr>
          <w:rStyle w:val="28"/>
          <w:rFonts w:hint="eastAsia" w:hAnsi="宋体"/>
          <w:b/>
          <w:bCs/>
        </w:rPr>
      </w:pPr>
      <w:r>
        <w:rPr>
          <w:rStyle w:val="28"/>
          <w:rFonts w:hint="eastAsia" w:hAnsi="宋体"/>
          <w:b/>
          <w:bCs/>
        </w:rPr>
        <w:t>5.质量标准和材料、机械要求</w:t>
      </w:r>
    </w:p>
    <w:p w14:paraId="03861514">
      <w:pPr>
        <w:snapToGrid w:val="0"/>
        <w:spacing w:before="120" w:after="120"/>
        <w:ind w:firstLine="482" w:firstLineChars="200"/>
        <w:rPr>
          <w:rFonts w:hint="eastAsia" w:hAnsi="宋体"/>
        </w:rPr>
      </w:pPr>
      <w:r>
        <w:rPr>
          <w:rStyle w:val="28"/>
          <w:rFonts w:hint="eastAsia" w:hAnsi="宋体"/>
          <w:b/>
          <w:bCs/>
          <w:kern w:val="0"/>
        </w:rPr>
        <w:t xml:space="preserve">5.1 </w:t>
      </w:r>
      <w:r>
        <w:rPr>
          <w:rStyle w:val="28"/>
          <w:rFonts w:hint="eastAsia" w:hAnsi="宋体"/>
          <w:kern w:val="0"/>
        </w:rPr>
        <w:t>施工工艺严格按照国家和广东省的有关现行施工技术规范及标准执行，工程质量标准</w:t>
      </w:r>
      <w:r>
        <w:rPr>
          <w:rFonts w:hint="eastAsia" w:hAnsi="宋体"/>
          <w:snapToGrid w:val="0"/>
          <w:kern w:val="0"/>
        </w:rPr>
        <w:t>须达到</w:t>
      </w:r>
      <w:r>
        <w:rPr>
          <w:rFonts w:hint="eastAsia" w:hAnsi="宋体"/>
          <w:bCs/>
          <w:snapToGrid w:val="0"/>
          <w:kern w:val="0"/>
          <w:u w:val="single"/>
        </w:rPr>
        <w:t>《建筑工程施工质量验收统一标准》（GB50300-2013）和《建筑与市政工程施工质量控制通用规范》（GB55032-2022）</w:t>
      </w:r>
      <w:r>
        <w:rPr>
          <w:rFonts w:hint="eastAsia" w:hAnsi="宋体"/>
          <w:snapToGrid w:val="0"/>
          <w:kern w:val="0"/>
          <w:u w:val="single"/>
        </w:rPr>
        <w:t>合格标准，</w:t>
      </w:r>
      <w:r>
        <w:rPr>
          <w:rFonts w:hint="eastAsia" w:hAnsi="宋体"/>
        </w:rPr>
        <w:t>如未达到合格标准，则按合同价款的</w:t>
      </w:r>
      <w:r>
        <w:rPr>
          <w:rFonts w:hint="eastAsia" w:hAnsi="宋体"/>
          <w:u w:val="single"/>
        </w:rPr>
        <w:t>1</w:t>
      </w:r>
      <w:r>
        <w:rPr>
          <w:rFonts w:hint="eastAsia" w:hAnsi="宋体"/>
        </w:rPr>
        <w:t>%向招标人支付质量违约金，并由中标人负责返修至达到</w:t>
      </w:r>
      <w:r>
        <w:rPr>
          <w:rFonts w:hint="eastAsia" w:hAnsi="宋体"/>
          <w:b/>
          <w:bCs/>
          <w:u w:val="single"/>
        </w:rPr>
        <w:t>合格标准</w:t>
      </w:r>
      <w:r>
        <w:rPr>
          <w:rFonts w:hint="eastAsia" w:hAnsi="宋体"/>
        </w:rPr>
        <w:t>，返修费用由中标人承担，同时承担所有的责任及经济损失。</w:t>
      </w:r>
    </w:p>
    <w:p w14:paraId="49E35624">
      <w:pPr>
        <w:snapToGrid w:val="0"/>
        <w:spacing w:before="120" w:after="120"/>
        <w:ind w:firstLine="482" w:firstLineChars="200"/>
        <w:rPr>
          <w:rFonts w:hint="eastAsia" w:hAnsi="宋体"/>
        </w:rPr>
      </w:pPr>
      <w:r>
        <w:rPr>
          <w:rFonts w:hint="eastAsia" w:hAnsi="宋体"/>
          <w:b/>
          <w:bCs/>
        </w:rPr>
        <w:t>5.2</w:t>
      </w:r>
      <w:r>
        <w:rPr>
          <w:rFonts w:hint="eastAsia" w:hAnsi="宋体"/>
        </w:rPr>
        <w:t xml:space="preserve"> 中标人在施工中如果工程质量不符合设计要求和有关规定，招标人或监理单位要求停工和返工的必须立即执行，并承担由此产生的各种费用，工期不予顺延。</w:t>
      </w:r>
    </w:p>
    <w:p w14:paraId="316C6D8F">
      <w:pPr>
        <w:snapToGrid w:val="0"/>
        <w:spacing w:before="120" w:after="120"/>
        <w:ind w:firstLine="482" w:firstLineChars="200"/>
        <w:jc w:val="left"/>
        <w:rPr>
          <w:rFonts w:hint="eastAsia" w:hAnsi="宋体"/>
          <w:lang w:bidi="ar"/>
        </w:rPr>
      </w:pPr>
      <w:r>
        <w:rPr>
          <w:rFonts w:hint="eastAsia" w:hAnsi="宋体"/>
          <w:b/>
          <w:bCs/>
        </w:rPr>
        <w:t>5.3</w:t>
      </w:r>
      <w:r>
        <w:rPr>
          <w:rFonts w:hint="eastAsia" w:hAnsi="宋体"/>
        </w:rPr>
        <w:t xml:space="preserve"> 保修期限按《建设工程质量管理条例》（中华人民共和国国务院令第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27B3CF8E">
      <w:pPr>
        <w:snapToGrid w:val="0"/>
        <w:spacing w:before="120" w:after="120"/>
        <w:ind w:firstLine="482" w:firstLineChars="200"/>
        <w:jc w:val="left"/>
        <w:rPr>
          <w:rFonts w:hint="eastAsia" w:hAnsi="宋体"/>
          <w:lang w:bidi="ar"/>
        </w:rPr>
      </w:pPr>
      <w:r>
        <w:rPr>
          <w:rStyle w:val="28"/>
          <w:rFonts w:hint="eastAsia" w:hAnsi="宋体"/>
          <w:b/>
          <w:bCs/>
        </w:rPr>
        <w:t>5.4 其他</w:t>
      </w:r>
      <w:r>
        <w:rPr>
          <w:rStyle w:val="28"/>
          <w:rFonts w:hint="eastAsia" w:hAnsi="宋体"/>
        </w:rPr>
        <w:t>：本招标文件（包括答疑纪要、补充及修改文件）中招标人对材料或设备有明确要求的，投标人必须响应招标人要求，如投标人在投标文件中未明确响应者视为默认；或投标人在投标文件中虽有响应但不符合招标人要求的，视为无效响应，中标后必须按</w:t>
      </w:r>
      <w:r>
        <w:rPr>
          <w:rFonts w:hint="eastAsia" w:hAnsi="宋体"/>
          <w:lang w:bidi="ar"/>
        </w:rPr>
        <w:t>招标人要求执行。如招标人在招标文件中对材料或设备没有明确要求，则中标人必须使用合格材料或设备，主要材料和设备在使用之前通知监理工程师验收，经验收合格后方可使用。</w:t>
      </w:r>
    </w:p>
    <w:p w14:paraId="382E54CD">
      <w:pPr>
        <w:snapToGrid w:val="0"/>
        <w:spacing w:before="120" w:after="120"/>
        <w:ind w:firstLine="482" w:firstLineChars="200"/>
        <w:jc w:val="left"/>
        <w:rPr>
          <w:rFonts w:hint="eastAsia" w:hAnsi="宋体"/>
          <w:b/>
          <w:bCs/>
          <w:lang w:bidi="ar"/>
        </w:rPr>
      </w:pPr>
      <w:r>
        <w:rPr>
          <w:rFonts w:hint="eastAsia" w:hAnsi="宋体"/>
          <w:b/>
          <w:bCs/>
          <w:snapToGrid w:val="0"/>
          <w:lang w:bidi="ar"/>
        </w:rPr>
        <w:t xml:space="preserve">5.5 </w:t>
      </w:r>
      <w:r>
        <w:rPr>
          <w:rFonts w:hint="eastAsia" w:hAnsi="宋体"/>
          <w:lang w:bidi="ar"/>
        </w:rPr>
        <w:t>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64780A9F">
      <w:pPr>
        <w:ind w:firstLine="480" w:firstLineChars="200"/>
        <w:rPr>
          <w:rStyle w:val="28"/>
          <w:rFonts w:hint="eastAsia" w:hAnsi="宋体"/>
        </w:rPr>
      </w:pPr>
    </w:p>
    <w:p w14:paraId="6C3C60E8">
      <w:pPr>
        <w:pStyle w:val="32"/>
        <w:numPr>
          <w:ilvl w:val="255"/>
          <w:numId w:val="0"/>
        </w:numPr>
        <w:snapToGrid w:val="0"/>
        <w:ind w:firstLine="482" w:firstLineChars="200"/>
        <w:jc w:val="both"/>
        <w:rPr>
          <w:rStyle w:val="28"/>
          <w:rFonts w:hint="eastAsia" w:hAnsi="宋体"/>
          <w:b/>
          <w:bCs/>
        </w:rPr>
      </w:pPr>
      <w:r>
        <w:rPr>
          <w:rStyle w:val="28"/>
          <w:rFonts w:hint="eastAsia" w:hAnsi="宋体"/>
          <w:b/>
          <w:bCs/>
        </w:rPr>
        <w:t>6.施工条件及现场踏勘</w:t>
      </w:r>
    </w:p>
    <w:p w14:paraId="635E9ABE">
      <w:pPr>
        <w:pStyle w:val="38"/>
        <w:snapToGrid w:val="0"/>
        <w:ind w:firstLine="482"/>
        <w:rPr>
          <w:rStyle w:val="28"/>
          <w:rFonts w:hint="eastAsia" w:hAnsi="宋体" w:cs="宋体"/>
          <w:kern w:val="0"/>
        </w:rPr>
      </w:pPr>
      <w:r>
        <w:rPr>
          <w:rStyle w:val="28"/>
          <w:rFonts w:hint="eastAsia" w:hAnsi="宋体" w:cs="宋体"/>
          <w:b/>
          <w:bCs/>
          <w:kern w:val="0"/>
        </w:rPr>
        <w:t>6.1</w:t>
      </w:r>
      <w:r>
        <w:rPr>
          <w:rStyle w:val="28"/>
          <w:rFonts w:hint="eastAsia" w:hAnsi="宋体" w:cs="宋体"/>
          <w:kern w:val="0"/>
        </w:rPr>
        <w:t xml:space="preserve"> 本工程招标人仅在征地红线范围内提供场地，其他一切场地费用由中标人自行负责（含临时道路）。</w:t>
      </w:r>
    </w:p>
    <w:p w14:paraId="3F634B9B">
      <w:pPr>
        <w:pStyle w:val="38"/>
        <w:wordWrap w:val="0"/>
        <w:adjustRightInd w:val="0"/>
        <w:snapToGrid w:val="0"/>
        <w:ind w:firstLine="482"/>
        <w:rPr>
          <w:rStyle w:val="28"/>
          <w:rFonts w:hint="eastAsia" w:hAnsi="宋体" w:cs="宋体"/>
          <w:kern w:val="0"/>
          <w:u w:val="single"/>
        </w:rPr>
      </w:pPr>
      <w:r>
        <w:rPr>
          <w:rFonts w:hint="eastAsia" w:hAnsi="宋体" w:cs="宋体"/>
          <w:b/>
          <w:bCs/>
          <w:snapToGrid w:val="0"/>
          <w:kern w:val="0"/>
        </w:rPr>
        <w:t>6.2 施工用水及水源：</w:t>
      </w:r>
      <w:r>
        <w:rPr>
          <w:rStyle w:val="28"/>
          <w:rFonts w:hint="eastAsia" w:hAnsi="宋体" w:cs="宋体"/>
          <w:kern w:val="0"/>
          <w:u w:val="single"/>
        </w:rPr>
        <w:t>由中标人自行解决，费用考虑在投标报价中</w:t>
      </w:r>
      <w:r>
        <w:rPr>
          <w:rFonts w:hint="eastAsia" w:hAnsi="宋体" w:cs="宋体"/>
          <w:snapToGrid w:val="0"/>
          <w:kern w:val="0"/>
          <w:u w:val="single"/>
        </w:rPr>
        <w:t>，不另计</w:t>
      </w:r>
      <w:r>
        <w:rPr>
          <w:rStyle w:val="28"/>
          <w:rFonts w:hint="eastAsia" w:hAnsi="宋体" w:cs="宋体"/>
          <w:kern w:val="0"/>
          <w:u w:val="single"/>
        </w:rPr>
        <w:t>。</w:t>
      </w:r>
    </w:p>
    <w:p w14:paraId="5F585851">
      <w:pPr>
        <w:pStyle w:val="38"/>
        <w:wordWrap w:val="0"/>
        <w:adjustRightInd w:val="0"/>
        <w:snapToGrid w:val="0"/>
        <w:ind w:firstLine="482"/>
        <w:rPr>
          <w:rFonts w:hint="eastAsia" w:hAnsi="宋体" w:cs="宋体"/>
          <w:b/>
          <w:bCs/>
          <w:snapToGrid w:val="0"/>
          <w:kern w:val="0"/>
        </w:rPr>
      </w:pPr>
      <w:r>
        <w:rPr>
          <w:rFonts w:hint="eastAsia" w:hAnsi="宋体" w:cs="宋体"/>
          <w:b/>
          <w:bCs/>
          <w:snapToGrid w:val="0"/>
          <w:kern w:val="0"/>
        </w:rPr>
        <w:t>6.3 施工用电及电源：</w:t>
      </w:r>
      <w:r>
        <w:rPr>
          <w:rStyle w:val="28"/>
          <w:rFonts w:hint="eastAsia" w:hAnsi="宋体" w:cs="宋体"/>
          <w:kern w:val="0"/>
          <w:u w:val="single"/>
        </w:rPr>
        <w:t>由中标人自行解决，费用考虑在投标报价中</w:t>
      </w:r>
      <w:r>
        <w:rPr>
          <w:rFonts w:hint="eastAsia" w:hAnsi="宋体" w:cs="宋体"/>
          <w:snapToGrid w:val="0"/>
          <w:kern w:val="0"/>
          <w:u w:val="single"/>
        </w:rPr>
        <w:t>，不另计</w:t>
      </w:r>
      <w:r>
        <w:rPr>
          <w:rStyle w:val="28"/>
          <w:rFonts w:hint="eastAsia" w:hAnsi="宋体" w:cs="宋体"/>
          <w:kern w:val="0"/>
          <w:u w:val="single"/>
        </w:rPr>
        <w:t>。</w:t>
      </w:r>
    </w:p>
    <w:p w14:paraId="5B41018D">
      <w:pPr>
        <w:pStyle w:val="30"/>
        <w:spacing w:line="360" w:lineRule="auto"/>
        <w:ind w:firstLine="482" w:firstLineChars="200"/>
        <w:rPr>
          <w:rStyle w:val="28"/>
          <w:rFonts w:hint="eastAsia" w:hAnsi="宋体"/>
        </w:rPr>
      </w:pPr>
      <w:r>
        <w:rPr>
          <w:rStyle w:val="28"/>
          <w:rFonts w:hint="eastAsia" w:hAnsi="宋体"/>
          <w:b/>
          <w:bCs/>
        </w:rPr>
        <w:t>6.4</w:t>
      </w:r>
      <w:r>
        <w:rPr>
          <w:rStyle w:val="28"/>
          <w:rFonts w:hint="eastAsia" w:hAnsi="宋体"/>
        </w:rPr>
        <w:t xml:space="preserve"> 施工用水、用电各提供一驳接点到现场边缘，要求中标人单独安装水表、电表，其水、电费按工程所在地韶关市基建工程水、电计费标准计算并由中标人缴纳，相关水、电接入费用及水、电表安装、购置等费用由中标人自行承担。上述水电费及中标人使用招标人提供的永久电梯时按计价规则进行计算的垂直运输费，按月从中标人工程进度款中扣除；若中标人选择自行报装水电设施或使用其他垂直运输设备，则全部相关费用由中标人自行承担。</w:t>
      </w:r>
    </w:p>
    <w:p w14:paraId="67E56E2A">
      <w:pPr>
        <w:snapToGrid w:val="0"/>
        <w:ind w:firstLine="560"/>
        <w:rPr>
          <w:rStyle w:val="28"/>
          <w:rFonts w:hint="eastAsia" w:hAnsi="宋体"/>
          <w:kern w:val="0"/>
        </w:rPr>
      </w:pPr>
      <w:r>
        <w:rPr>
          <w:rStyle w:val="28"/>
          <w:rFonts w:hint="eastAsia" w:hAnsi="宋体"/>
          <w:b/>
          <w:bCs/>
          <w:kern w:val="0"/>
        </w:rPr>
        <w:t>6.5</w:t>
      </w:r>
      <w:r>
        <w:rPr>
          <w:rStyle w:val="28"/>
          <w:rFonts w:hint="eastAsia" w:hAnsi="宋体"/>
          <w:kern w:val="0"/>
        </w:rPr>
        <w:t xml:space="preserve"> 招标人不组织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14:paraId="67C02955">
      <w:pPr>
        <w:snapToGrid w:val="0"/>
        <w:ind w:firstLine="560"/>
        <w:rPr>
          <w:rStyle w:val="28"/>
          <w:rFonts w:hint="eastAsia" w:hAnsi="宋体"/>
          <w:kern w:val="0"/>
        </w:rPr>
      </w:pPr>
      <w:r>
        <w:rPr>
          <w:rStyle w:val="28"/>
          <w:rFonts w:hint="eastAsia" w:hAnsi="宋体"/>
          <w:b/>
          <w:bCs/>
          <w:kern w:val="0"/>
        </w:rPr>
        <w:t>6.6</w:t>
      </w:r>
      <w:r>
        <w:rPr>
          <w:rStyle w:val="28"/>
          <w:rFonts w:hint="eastAsia" w:hAnsi="宋体"/>
          <w:kern w:val="0"/>
        </w:rPr>
        <w:t xml:space="preserve"> 在现场踏勘过程中，投标人应确保自身安全，投标人如果发生人身伤亡、财物或其他损失，法律法规有规定的按有关规定处理，没有规定的由投标人自行负责。</w:t>
      </w:r>
    </w:p>
    <w:p w14:paraId="51FE872E">
      <w:pPr>
        <w:snapToGrid w:val="0"/>
        <w:ind w:firstLine="560"/>
        <w:rPr>
          <w:rStyle w:val="28"/>
          <w:rFonts w:hint="eastAsia" w:hAnsi="宋体"/>
          <w:kern w:val="0"/>
        </w:rPr>
      </w:pPr>
      <w:r>
        <w:rPr>
          <w:rStyle w:val="28"/>
          <w:rFonts w:hint="eastAsia" w:hAnsi="宋体"/>
          <w:b/>
          <w:bCs/>
          <w:kern w:val="0"/>
        </w:rPr>
        <w:t>6.7</w:t>
      </w:r>
      <w:r>
        <w:rPr>
          <w:rStyle w:val="28"/>
          <w:rFonts w:hint="eastAsia" w:hAnsi="宋体"/>
          <w:kern w:val="0"/>
        </w:rPr>
        <w:t xml:space="preserve"> 现场踏勘期间的交通、食宿由投标人自行安排，费用自理。</w:t>
      </w:r>
    </w:p>
    <w:p w14:paraId="2C94DFBB">
      <w:pPr>
        <w:snapToGrid w:val="0"/>
        <w:ind w:firstLine="560"/>
        <w:rPr>
          <w:rStyle w:val="28"/>
          <w:rFonts w:hint="eastAsia" w:hAnsi="宋体"/>
          <w:kern w:val="0"/>
        </w:rPr>
      </w:pPr>
    </w:p>
    <w:p w14:paraId="6657D19D">
      <w:pPr>
        <w:snapToGrid w:val="0"/>
        <w:ind w:firstLine="482" w:firstLineChars="200"/>
        <w:rPr>
          <w:rStyle w:val="28"/>
          <w:rFonts w:hint="eastAsia" w:hAnsi="宋体"/>
          <w:b/>
          <w:bCs/>
        </w:rPr>
      </w:pPr>
      <w:r>
        <w:rPr>
          <w:rStyle w:val="28"/>
          <w:rFonts w:hint="eastAsia" w:hAnsi="宋体"/>
          <w:b/>
          <w:bCs/>
        </w:rPr>
        <w:t>7.招标文件的提问和答疑</w:t>
      </w:r>
    </w:p>
    <w:p w14:paraId="52115537">
      <w:pPr>
        <w:snapToGrid w:val="0"/>
        <w:ind w:firstLine="560"/>
        <w:rPr>
          <w:rStyle w:val="28"/>
          <w:rFonts w:hint="eastAsia" w:hAnsi="宋体"/>
          <w:kern w:val="0"/>
        </w:rPr>
      </w:pPr>
      <w:r>
        <w:rPr>
          <w:rStyle w:val="28"/>
          <w:rFonts w:hint="eastAsia" w:hAnsi="宋体"/>
          <w:b/>
          <w:bCs/>
          <w:kern w:val="0"/>
        </w:rPr>
        <w:t>7.1</w:t>
      </w:r>
      <w:r>
        <w:rPr>
          <w:rStyle w:val="28"/>
          <w:rFonts w:hint="eastAsia" w:hAnsi="宋体"/>
          <w:kern w:val="0"/>
        </w:rPr>
        <w:t xml:space="preserve"> 投标人若对招标文件（含施工图、招标工程量清单）有疑问，应在提问截止时间（见本章第二节</w:t>
      </w:r>
      <w:r>
        <w:rPr>
          <w:rStyle w:val="28"/>
          <w:rFonts w:hint="eastAsia" w:hAnsi="宋体"/>
          <w:snapToGrid w:val="0"/>
          <w:kern w:val="0"/>
        </w:rPr>
        <w:t>“重要事项时间地点一览表”</w:t>
      </w:r>
      <w:r>
        <w:rPr>
          <w:rStyle w:val="28"/>
          <w:rFonts w:hint="eastAsia" w:hAnsi="宋体"/>
          <w:kern w:val="0"/>
        </w:rPr>
        <w:t>）前使用新建设工程交易系统提出问题。未在指定时间前、未采用指定方式提出的，招标人不予受理。</w:t>
      </w:r>
    </w:p>
    <w:p w14:paraId="7DFF0F5F">
      <w:pPr>
        <w:snapToGrid w:val="0"/>
        <w:ind w:firstLine="560"/>
        <w:rPr>
          <w:rStyle w:val="28"/>
          <w:rFonts w:hint="eastAsia" w:hAnsi="宋体"/>
          <w:kern w:val="0"/>
        </w:rPr>
      </w:pPr>
      <w:r>
        <w:rPr>
          <w:rStyle w:val="28"/>
          <w:rFonts w:hint="eastAsia" w:hAnsi="宋体"/>
          <w:b/>
          <w:bCs/>
          <w:kern w:val="0"/>
        </w:rPr>
        <w:t xml:space="preserve">7.2 </w:t>
      </w:r>
      <w:r>
        <w:rPr>
          <w:rStyle w:val="28"/>
          <w:rFonts w:hint="eastAsia" w:hAnsi="宋体"/>
          <w:kern w:val="0"/>
        </w:rPr>
        <w:t>招标人在提问截止时间（见本章第二节</w:t>
      </w:r>
      <w:r>
        <w:rPr>
          <w:rStyle w:val="28"/>
          <w:rFonts w:hint="eastAsia" w:hAnsi="宋体"/>
          <w:snapToGrid w:val="0"/>
          <w:kern w:val="0"/>
        </w:rPr>
        <w:t>“重要事项时间地点一览表”</w:t>
      </w:r>
      <w:r>
        <w:rPr>
          <w:rStyle w:val="28"/>
          <w:rFonts w:hint="eastAsia" w:hAnsi="宋体"/>
          <w:kern w:val="0"/>
        </w:rPr>
        <w:t>）后3日内，一次性对收到的所有问题作出答复，并形成答疑（或修改）公告在发布招标公告的媒介上公开发布。答疑（或修改）公告一旦发布，即视为所有潜在投标人已经知悉答疑（或修改）内容，投标人未及时关注而造成的损失和后果，由投标人自行承担。</w:t>
      </w:r>
    </w:p>
    <w:p w14:paraId="3CFD9B09">
      <w:pPr>
        <w:snapToGrid w:val="0"/>
        <w:ind w:firstLine="560"/>
        <w:rPr>
          <w:rStyle w:val="28"/>
          <w:rFonts w:hint="eastAsia" w:hAnsi="宋体"/>
          <w:kern w:val="0"/>
        </w:rPr>
      </w:pPr>
      <w:r>
        <w:rPr>
          <w:rStyle w:val="28"/>
          <w:rFonts w:hint="eastAsia" w:hAnsi="宋体"/>
          <w:b/>
          <w:bCs/>
          <w:kern w:val="0"/>
        </w:rPr>
        <w:t>7.3</w:t>
      </w:r>
      <w:r>
        <w:rPr>
          <w:rStyle w:val="28"/>
          <w:rFonts w:hint="eastAsia" w:hAnsi="宋体"/>
          <w:kern w:val="0"/>
        </w:rPr>
        <w:t xml:space="preserve"> 招标人对招标文件所作的答疑（或修改）公告，构成招标文件的组成部分。</w:t>
      </w:r>
    </w:p>
    <w:p w14:paraId="683174EB">
      <w:pPr>
        <w:pStyle w:val="32"/>
        <w:snapToGrid w:val="0"/>
        <w:ind w:firstLine="480"/>
        <w:jc w:val="both"/>
        <w:rPr>
          <w:rStyle w:val="28"/>
          <w:rFonts w:hint="eastAsia" w:hAnsi="宋体"/>
          <w:b/>
          <w:bCs/>
        </w:rPr>
      </w:pPr>
    </w:p>
    <w:p w14:paraId="4C5F549B">
      <w:pPr>
        <w:pStyle w:val="32"/>
        <w:snapToGrid w:val="0"/>
        <w:ind w:firstLine="480"/>
        <w:jc w:val="both"/>
        <w:rPr>
          <w:rStyle w:val="28"/>
          <w:rFonts w:hint="eastAsia" w:hAnsi="宋体" w:eastAsia="宋体"/>
          <w:i/>
          <w:iCs/>
          <w:lang w:eastAsia="zh-CN"/>
        </w:rPr>
      </w:pPr>
      <w:r>
        <w:rPr>
          <w:rStyle w:val="28"/>
          <w:rFonts w:hint="eastAsia" w:hAnsi="宋体"/>
          <w:b/>
          <w:bCs/>
        </w:rPr>
        <w:t>8.</w:t>
      </w:r>
      <w:r>
        <w:rPr>
          <w:rStyle w:val="28"/>
          <w:rFonts w:hint="eastAsia" w:hAnsi="宋体"/>
          <w:b/>
          <w:bCs/>
          <w:lang w:eastAsia="zh-CN"/>
        </w:rPr>
        <w:t>最高投标限价</w:t>
      </w:r>
    </w:p>
    <w:p w14:paraId="003D941B">
      <w:pPr>
        <w:snapToGrid w:val="0"/>
        <w:ind w:firstLine="482" w:firstLineChars="200"/>
        <w:rPr>
          <w:rStyle w:val="28"/>
          <w:rFonts w:hint="eastAsia" w:hAnsi="宋体"/>
          <w:kern w:val="0"/>
        </w:rPr>
      </w:pPr>
      <w:r>
        <w:rPr>
          <w:rStyle w:val="28"/>
          <w:rFonts w:hint="eastAsia" w:hAnsi="宋体"/>
          <w:b/>
          <w:bCs/>
          <w:kern w:val="0"/>
        </w:rPr>
        <w:t>8.1</w:t>
      </w:r>
      <w:r>
        <w:rPr>
          <w:rStyle w:val="28"/>
          <w:rFonts w:hint="eastAsia" w:hAnsi="宋体"/>
          <w:kern w:val="0"/>
        </w:rPr>
        <w:t xml:space="preserve"> 本工程按照以下依据编制</w:t>
      </w:r>
      <w:r>
        <w:rPr>
          <w:rStyle w:val="28"/>
          <w:rFonts w:hint="eastAsia" w:hAnsi="宋体"/>
          <w:kern w:val="0"/>
          <w:lang w:eastAsia="zh-CN"/>
        </w:rPr>
        <w:t>最高投标限价</w:t>
      </w:r>
      <w:r>
        <w:rPr>
          <w:rStyle w:val="28"/>
          <w:rFonts w:hint="eastAsia" w:hAnsi="宋体"/>
          <w:kern w:val="0"/>
        </w:rPr>
        <w:t>：</w:t>
      </w:r>
    </w:p>
    <w:p w14:paraId="55678276">
      <w:pPr>
        <w:snapToGrid w:val="0"/>
        <w:ind w:firstLine="480" w:firstLineChars="200"/>
        <w:rPr>
          <w:rStyle w:val="28"/>
          <w:rFonts w:hint="eastAsia" w:hAnsi="宋体"/>
          <w:kern w:val="0"/>
        </w:rPr>
      </w:pPr>
      <w:r>
        <w:rPr>
          <w:rStyle w:val="28"/>
          <w:rFonts w:hint="eastAsia" w:hAnsi="宋体"/>
          <w:kern w:val="0"/>
        </w:rPr>
        <w:t>（1）</w:t>
      </w:r>
      <w:r>
        <w:rPr>
          <w:rFonts w:hint="eastAsia" w:hAnsi="宋体"/>
        </w:rPr>
        <w:t>《建设工程工程量清单计价标准》（GB/T 50500-2024）、《广东省住房和城乡建设厅关于贯彻实施〈建设工程工程量清单计价标准〉及九项专业工程工程量计算标准的通知》（粤建市〔2025〕196号）、《关于贯彻执行〈建设工程工程量清单计价标准〉及九项专业工程工程量计算标准的实施意见》（粤标定函〔2025〕24号）；</w:t>
      </w:r>
    </w:p>
    <w:p w14:paraId="7F04BA9D">
      <w:pPr>
        <w:snapToGrid w:val="0"/>
        <w:ind w:firstLine="480" w:firstLineChars="200"/>
        <w:rPr>
          <w:rStyle w:val="28"/>
          <w:rFonts w:hint="eastAsia" w:hAnsi="宋体"/>
          <w:kern w:val="0"/>
        </w:rPr>
      </w:pPr>
      <w:r>
        <w:rPr>
          <w:rStyle w:val="28"/>
          <w:rFonts w:hint="eastAsia" w:hAnsi="宋体"/>
          <w:kern w:val="0"/>
        </w:rPr>
        <w:t>（2）《广东省建设工程计价依据（2018）》</w:t>
      </w:r>
      <w:r>
        <w:rPr>
          <w:rFonts w:hint="eastAsia" w:hAnsi="宋体"/>
          <w:snapToGrid w:val="0"/>
          <w:kern w:val="0"/>
        </w:rPr>
        <w:t>《关于调整〈广东省建设工程计价依据2018〉计价规则的通知》（粤标定函〔2025〕22号）</w:t>
      </w:r>
      <w:r>
        <w:rPr>
          <w:rStyle w:val="28"/>
          <w:rFonts w:hint="eastAsia" w:hAnsi="宋体"/>
          <w:kern w:val="0"/>
        </w:rPr>
        <w:t>。具体包括：《广东省房屋建筑与装饰工程综合定额（2018）》《广东省市政工程综合定额（2018）》《广东省通用安装工程综合定额（2018）》《广东省园林绿化工程综合定额（2018）》《广东省建设工程施工机具台班费用编制规则（2018）》等；</w:t>
      </w:r>
    </w:p>
    <w:p w14:paraId="737807C7">
      <w:pPr>
        <w:wordWrap w:val="0"/>
        <w:adjustRightInd w:val="0"/>
        <w:snapToGrid w:val="0"/>
        <w:ind w:firstLine="480" w:firstLineChars="200"/>
        <w:rPr>
          <w:rFonts w:hint="eastAsia" w:hAnsi="宋体"/>
          <w:snapToGrid w:val="0"/>
          <w:kern w:val="0"/>
        </w:rPr>
      </w:pPr>
      <w:r>
        <w:rPr>
          <w:rFonts w:hint="eastAsia" w:hAnsi="宋体"/>
          <w:snapToGrid w:val="0"/>
          <w:kern w:val="0"/>
        </w:rPr>
        <w:t>（3）项目建设时间、建设地点、建设规模、施工图、完工交付标准、招投标方式、材料来源、使用工人来源等相关资料；</w:t>
      </w:r>
    </w:p>
    <w:p w14:paraId="5ECF491D">
      <w:pPr>
        <w:wordWrap w:val="0"/>
        <w:adjustRightInd w:val="0"/>
        <w:snapToGrid w:val="0"/>
        <w:ind w:firstLine="480" w:firstLineChars="200"/>
        <w:rPr>
          <w:rFonts w:hint="eastAsia" w:hAnsi="宋体"/>
          <w:snapToGrid w:val="0"/>
          <w:kern w:val="0"/>
        </w:rPr>
      </w:pPr>
      <w:r>
        <w:rPr>
          <w:rFonts w:hint="eastAsia" w:hAnsi="宋体"/>
          <w:snapToGrid w:val="0"/>
          <w:kern w:val="0"/>
        </w:rPr>
        <w:t>（4）招标文件及招标工程量清单；</w:t>
      </w:r>
    </w:p>
    <w:p w14:paraId="5134C60F">
      <w:pPr>
        <w:wordWrap w:val="0"/>
        <w:adjustRightInd w:val="0"/>
        <w:snapToGrid w:val="0"/>
        <w:ind w:firstLine="480" w:firstLineChars="200"/>
        <w:rPr>
          <w:rFonts w:hint="eastAsia" w:hAnsi="宋体"/>
          <w:snapToGrid w:val="0"/>
          <w:kern w:val="0"/>
        </w:rPr>
      </w:pPr>
      <w:r>
        <w:rPr>
          <w:rFonts w:hint="eastAsia" w:hAnsi="宋体"/>
          <w:snapToGrid w:val="0"/>
          <w:kern w:val="0"/>
        </w:rPr>
        <w:t>（5）施工现场情况、工程特点及常规施工方案；</w:t>
      </w:r>
    </w:p>
    <w:p w14:paraId="709F1632">
      <w:pPr>
        <w:wordWrap w:val="0"/>
        <w:adjustRightInd w:val="0"/>
        <w:snapToGrid w:val="0"/>
        <w:ind w:firstLine="480" w:firstLineChars="200"/>
        <w:rPr>
          <w:rFonts w:hint="eastAsia" w:hAnsi="宋体"/>
          <w:snapToGrid w:val="0"/>
          <w:kern w:val="0"/>
        </w:rPr>
      </w:pPr>
      <w:r>
        <w:rPr>
          <w:rFonts w:hint="eastAsia" w:hAnsi="宋体"/>
          <w:snapToGrid w:val="0"/>
          <w:kern w:val="0"/>
        </w:rPr>
        <w:t>（6）历史工程造价指标、要素价格指数；</w:t>
      </w:r>
    </w:p>
    <w:p w14:paraId="342DA94D">
      <w:pPr>
        <w:wordWrap w:val="0"/>
        <w:adjustRightInd w:val="0"/>
        <w:snapToGrid w:val="0"/>
        <w:ind w:firstLine="480" w:firstLineChars="200"/>
        <w:rPr>
          <w:rFonts w:hint="eastAsia" w:hAnsi="宋体"/>
          <w:snapToGrid w:val="0"/>
          <w:kern w:val="0"/>
          <w:lang w:eastAsia="zh-CN"/>
        </w:rPr>
      </w:pPr>
      <w:r>
        <w:rPr>
          <w:rFonts w:hint="eastAsia" w:hAnsi="宋体"/>
          <w:snapToGrid w:val="0"/>
          <w:kern w:val="0"/>
        </w:rPr>
        <w:t>（7）项目所在地工程造价管理机构发布的工程造价信息，工程造价信息缺项的，参照市场价格；本项目材料价格基期按2026年8月工程造价信息价计算</w:t>
      </w:r>
      <w:r>
        <w:rPr>
          <w:rFonts w:hint="eastAsia" w:hAnsi="宋体"/>
          <w:snapToGrid w:val="0"/>
          <w:kern w:val="0"/>
          <w:lang w:eastAsia="zh-CN"/>
        </w:rPr>
        <w:t>；</w:t>
      </w:r>
    </w:p>
    <w:p w14:paraId="4605384B">
      <w:pPr>
        <w:wordWrap w:val="0"/>
        <w:adjustRightInd w:val="0"/>
        <w:snapToGrid w:val="0"/>
        <w:ind w:firstLine="480" w:firstLineChars="200"/>
        <w:rPr>
          <w:rFonts w:hint="eastAsia" w:hAnsi="宋体"/>
          <w:snapToGrid w:val="0"/>
          <w:kern w:val="0"/>
        </w:rPr>
      </w:pPr>
      <w:r>
        <w:rPr>
          <w:rFonts w:hint="eastAsia" w:hAnsi="宋体"/>
          <w:snapToGrid w:val="0"/>
          <w:kern w:val="0"/>
        </w:rPr>
        <w:t>（</w:t>
      </w:r>
      <w:r>
        <w:rPr>
          <w:rFonts w:hint="default" w:hAnsi="宋体"/>
          <w:snapToGrid w:val="0"/>
          <w:kern w:val="0"/>
          <w:lang w:val="en-US"/>
        </w:rPr>
        <w:t>8</w:t>
      </w:r>
      <w:r>
        <w:rPr>
          <w:rFonts w:hint="eastAsia" w:hAnsi="宋体"/>
          <w:snapToGrid w:val="0"/>
          <w:kern w:val="0"/>
        </w:rPr>
        <w:t>）与建设项目相关的标准、规范、技术资料。</w:t>
      </w:r>
    </w:p>
    <w:p w14:paraId="514D6844">
      <w:pPr>
        <w:widowControl w:val="0"/>
        <w:ind w:firstLine="482" w:firstLineChars="200"/>
        <w:textAlignment w:val="auto"/>
        <w:rPr>
          <w:rFonts w:hint="eastAsia" w:hAnsi="宋体"/>
          <w:b/>
          <w:bCs/>
        </w:rPr>
      </w:pPr>
      <w:r>
        <w:rPr>
          <w:rFonts w:hint="eastAsia" w:hAnsi="宋体"/>
          <w:b/>
          <w:bCs/>
        </w:rPr>
        <w:t>8.2 本项目</w:t>
      </w:r>
      <w:r>
        <w:rPr>
          <w:rFonts w:hint="eastAsia" w:hAnsi="宋体"/>
          <w:b/>
          <w:bCs/>
          <w:lang w:eastAsia="zh-CN"/>
        </w:rPr>
        <w:t>最高投标限价</w:t>
      </w:r>
      <w:r>
        <w:rPr>
          <w:rFonts w:hint="eastAsia" w:hAnsi="宋体"/>
          <w:b/>
          <w:bCs/>
        </w:rPr>
        <w:t>、招标工程量清单、施工图纸在投标截止时间 15天前以补充通知的形式在广东省招标投标监管网（http://zbtb.gd.gov.cn/login）和全国公共资源交易平台（广东省·韶关市）（https://ygp.gdzwfw.gov.cn/ggzy-portal/#/440200/index）公布，各投标人自行下载。</w:t>
      </w:r>
    </w:p>
    <w:p w14:paraId="21A5DC6F">
      <w:pPr>
        <w:snapToGrid w:val="0"/>
        <w:ind w:firstLine="482" w:firstLineChars="200"/>
        <w:rPr>
          <w:rStyle w:val="28"/>
          <w:rFonts w:hint="eastAsia" w:hAnsi="宋体"/>
          <w:kern w:val="0"/>
        </w:rPr>
      </w:pPr>
      <w:r>
        <w:rPr>
          <w:rStyle w:val="28"/>
          <w:rFonts w:hint="eastAsia" w:hAnsi="宋体"/>
          <w:b/>
          <w:bCs/>
          <w:kern w:val="0"/>
        </w:rPr>
        <w:t>8.3</w:t>
      </w:r>
      <w:r>
        <w:rPr>
          <w:rStyle w:val="28"/>
          <w:rFonts w:hint="eastAsia" w:hAnsi="宋体"/>
          <w:kern w:val="0"/>
        </w:rPr>
        <w:t xml:space="preserve"> </w:t>
      </w:r>
      <w:r>
        <w:rPr>
          <w:rFonts w:hint="eastAsia" w:hAnsi="宋体"/>
          <w:snapToGrid w:val="0"/>
          <w:kern w:val="0"/>
        </w:rPr>
        <w:t>专业工程暂估价指招标工程量清单中提供的用于支付必然发生但暂时不能确定工程具体要求及价格的含增值税的专业工程费；</w:t>
      </w:r>
      <w:r>
        <w:rPr>
          <w:rStyle w:val="28"/>
          <w:rFonts w:hint="eastAsia" w:hAnsi="宋体"/>
          <w:kern w:val="0"/>
        </w:rPr>
        <w:t>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费用。</w:t>
      </w:r>
    </w:p>
    <w:p w14:paraId="73065F18">
      <w:pPr>
        <w:snapToGrid w:val="0"/>
        <w:ind w:firstLine="482" w:firstLineChars="200"/>
        <w:rPr>
          <w:rStyle w:val="28"/>
          <w:rFonts w:hint="eastAsia" w:hAnsi="宋体"/>
          <w:kern w:val="0"/>
        </w:rPr>
      </w:pPr>
      <w:r>
        <w:rPr>
          <w:rStyle w:val="28"/>
          <w:rFonts w:hint="eastAsia" w:hAnsi="宋体"/>
          <w:b/>
          <w:bCs/>
          <w:kern w:val="0"/>
        </w:rPr>
        <w:t>8.4</w:t>
      </w:r>
      <w:r>
        <w:rPr>
          <w:rStyle w:val="28"/>
          <w:rFonts w:hint="eastAsia" w:hAnsi="宋体"/>
          <w:kern w:val="0"/>
        </w:rPr>
        <w:t xml:space="preserve"> 本工程以专业工程暂估价形式列入招标工程量清单中的材料、工程设备、专业工程（以下统称“专业工程暂估价项目”）包括：（</w:t>
      </w:r>
      <w:r>
        <w:rPr>
          <w:rFonts w:hint="eastAsia" w:hAnsi="宋体"/>
          <w:snapToGrid w:val="0"/>
          <w:kern w:val="0"/>
        </w:rPr>
        <w:t>若有，具体详见工程清单） 专业工程暂估价为招标人在工程量清单中提供的用于支付必然发生但暂时不能确定工程具体要求及价格的含增值税的专业工程费。投标人必须按招标工程量清单中列出的单价、金额统一报价，其结算原则按本招标文件相关条款执行。</w:t>
      </w:r>
    </w:p>
    <w:p w14:paraId="567B1494">
      <w:pPr>
        <w:snapToGrid w:val="0"/>
        <w:ind w:firstLine="482" w:firstLineChars="200"/>
        <w:rPr>
          <w:rStyle w:val="28"/>
          <w:rFonts w:hint="eastAsia" w:hAnsi="宋体"/>
          <w:kern w:val="0"/>
        </w:rPr>
      </w:pPr>
      <w:r>
        <w:rPr>
          <w:rStyle w:val="28"/>
          <w:rFonts w:hint="eastAsia" w:hAnsi="宋体"/>
          <w:b/>
          <w:bCs/>
          <w:kern w:val="0"/>
        </w:rPr>
        <w:t>8.5</w:t>
      </w:r>
      <w:r>
        <w:rPr>
          <w:rStyle w:val="28"/>
          <w:rFonts w:hint="eastAsia" w:hAnsi="宋体"/>
          <w:kern w:val="0"/>
        </w:rPr>
        <w:t xml:space="preserve"> 当专业工程暂估价项目的内容、标准、要求在项目实施过程中得以深化、明确、固定后，按以下原则发包：</w:t>
      </w:r>
    </w:p>
    <w:p w14:paraId="4AD14B28">
      <w:pPr>
        <w:snapToGrid w:val="0"/>
        <w:ind w:firstLine="480" w:firstLineChars="200"/>
        <w:rPr>
          <w:rStyle w:val="28"/>
          <w:rFonts w:hint="eastAsia" w:hAnsi="宋体"/>
          <w:kern w:val="0"/>
        </w:rPr>
      </w:pPr>
      <w:r>
        <w:rPr>
          <w:rStyle w:val="28"/>
          <w:rFonts w:hint="eastAsia" w:hAnsi="宋体"/>
          <w:kern w:val="0"/>
        </w:rPr>
        <w:t>（1）专业工程暂估价项目金额达到必须招标规模标准的，由中标人招标，招标人参与管理 ，确定专业工程承包人和合同价格。</w:t>
      </w:r>
    </w:p>
    <w:p w14:paraId="5A3D0BC1">
      <w:pPr>
        <w:snapToGrid w:val="0"/>
        <w:ind w:firstLine="480" w:firstLineChars="200"/>
        <w:rPr>
          <w:rStyle w:val="28"/>
          <w:rFonts w:hint="eastAsia" w:hAnsi="宋体"/>
          <w:kern w:val="0"/>
        </w:rPr>
      </w:pPr>
      <w:r>
        <w:rPr>
          <w:rStyle w:val="28"/>
          <w:rFonts w:hint="eastAsia" w:hAnsi="宋体"/>
          <w:kern w:val="0"/>
        </w:rPr>
        <w:t>（2）专业工程暂估价项目按工程、货物的类别分类汇总的金额，未达到必须招标规模标准但适用政府采购规定的，按照政府采购规定确定专业工程承包人（或材料、工程设备供应商）和合同价格。</w:t>
      </w:r>
    </w:p>
    <w:p w14:paraId="72F8DD3A">
      <w:pPr>
        <w:snapToGrid w:val="0"/>
        <w:ind w:firstLine="480" w:firstLineChars="200"/>
        <w:rPr>
          <w:rStyle w:val="28"/>
          <w:rFonts w:hint="eastAsia" w:hAnsi="宋体"/>
          <w:kern w:val="0"/>
        </w:rPr>
      </w:pPr>
      <w:r>
        <w:rPr>
          <w:rStyle w:val="28"/>
          <w:rFonts w:hint="eastAsia" w:hAnsi="宋体"/>
          <w:kern w:val="0"/>
        </w:rPr>
        <w:t>（3）专业工程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504BEC69">
      <w:pPr>
        <w:snapToGrid w:val="0"/>
        <w:ind w:firstLine="480" w:firstLineChars="200"/>
        <w:rPr>
          <w:rStyle w:val="28"/>
          <w:rFonts w:hint="eastAsia" w:hAnsi="宋体"/>
          <w:kern w:val="0"/>
        </w:rPr>
      </w:pPr>
      <w:r>
        <w:rPr>
          <w:rStyle w:val="28"/>
          <w:rFonts w:hint="eastAsia" w:hAnsi="宋体"/>
          <w:kern w:val="0"/>
        </w:rPr>
        <w:t>（4）专业工程暂估价项目按工程、货物的类别分类汇总的金额，未达到必须招标规模标准也不适用政府采购规定，中标人既不具备相应资格条件又不具备分包权的，由招标人另行发包。</w:t>
      </w:r>
    </w:p>
    <w:p w14:paraId="0BB9592E">
      <w:pPr>
        <w:snapToGrid w:val="0"/>
        <w:ind w:firstLine="480" w:firstLineChars="200"/>
        <w:rPr>
          <w:rStyle w:val="28"/>
          <w:rFonts w:hint="eastAsia" w:hAnsi="宋体"/>
          <w:kern w:val="0"/>
        </w:rPr>
      </w:pPr>
      <w:r>
        <w:rPr>
          <w:rStyle w:val="28"/>
          <w:rFonts w:hint="eastAsia" w:hAnsi="宋体"/>
          <w:kern w:val="0"/>
        </w:rPr>
        <w:t>（5）专业工程暂估价项目由其他承包人承包的，纳入中标人的管理和协调范围，由其他承包人向中标人承担质量、安全、文明施工、工期责任，中标人向招标人承担责任。</w:t>
      </w:r>
    </w:p>
    <w:p w14:paraId="609EF5CD">
      <w:pPr>
        <w:snapToGrid w:val="0"/>
        <w:ind w:firstLine="482" w:firstLineChars="200"/>
        <w:rPr>
          <w:rStyle w:val="28"/>
          <w:rFonts w:hint="eastAsia" w:hAnsi="宋体"/>
        </w:rPr>
      </w:pPr>
      <w:r>
        <w:rPr>
          <w:rStyle w:val="28"/>
          <w:rFonts w:hint="eastAsia" w:hAnsi="宋体"/>
          <w:b/>
          <w:bCs/>
          <w:kern w:val="0"/>
        </w:rPr>
        <w:t>8.6</w:t>
      </w:r>
      <w:r>
        <w:rPr>
          <w:rStyle w:val="28"/>
          <w:rFonts w:hint="eastAsia" w:hAnsi="宋体"/>
          <w:kern w:val="0"/>
        </w:rPr>
        <w:t xml:space="preserve"> 本工程以</w:t>
      </w:r>
      <w:r>
        <w:rPr>
          <w:rStyle w:val="28"/>
          <w:rFonts w:hint="eastAsia" w:hAnsi="宋体"/>
        </w:rPr>
        <w:t>暂列金额</w:t>
      </w:r>
      <w:r>
        <w:rPr>
          <w:rStyle w:val="28"/>
          <w:rFonts w:hint="eastAsia" w:hAnsi="宋体"/>
          <w:kern w:val="0"/>
        </w:rPr>
        <w:t>形式列入招标工程量清单中的</w:t>
      </w:r>
      <w:r>
        <w:rPr>
          <w:rStyle w:val="28"/>
          <w:rFonts w:hint="eastAsia" w:hAnsi="宋体"/>
        </w:rPr>
        <w:t>所需货物和服务的采购</w:t>
      </w:r>
      <w:r>
        <w:rPr>
          <w:rStyle w:val="28"/>
          <w:rFonts w:hint="eastAsia" w:hAnsi="宋体"/>
          <w:kern w:val="0"/>
        </w:rPr>
        <w:t>（以下统称“暂列金额项目”）若有</w:t>
      </w:r>
      <w:r>
        <w:rPr>
          <w:rStyle w:val="28"/>
          <w:rFonts w:hint="eastAsia" w:hAnsi="宋体"/>
        </w:rPr>
        <w:t>发生，按照本节第</w:t>
      </w:r>
      <w:r>
        <w:rPr>
          <w:rStyle w:val="28"/>
          <w:rFonts w:hint="eastAsia" w:hAnsi="宋体"/>
          <w:b/>
          <w:bCs/>
          <w:kern w:val="0"/>
        </w:rPr>
        <w:t>8.5</w:t>
      </w:r>
      <w:r>
        <w:rPr>
          <w:rStyle w:val="28"/>
          <w:rFonts w:hint="eastAsia" w:hAnsi="宋体"/>
        </w:rPr>
        <w:t>条的规定确定货物（或服务）供应商和合同价格。暂列金额项目由其他承包人承包的，纳入中标人的管理和协调范围，由其他承包人向中标人承担质量、安全、文明施工、工期责任，中标人向招标人承担责任。</w:t>
      </w:r>
    </w:p>
    <w:p w14:paraId="4D48AD3D">
      <w:pPr>
        <w:snapToGrid w:val="0"/>
        <w:ind w:firstLine="480" w:firstLineChars="200"/>
        <w:rPr>
          <w:rStyle w:val="28"/>
          <w:rFonts w:hint="eastAsia" w:hAnsi="宋体"/>
        </w:rPr>
      </w:pPr>
    </w:p>
    <w:p w14:paraId="782AC8FC">
      <w:pPr>
        <w:pStyle w:val="32"/>
        <w:snapToGrid w:val="0"/>
        <w:ind w:firstLine="482" w:firstLineChars="200"/>
        <w:jc w:val="both"/>
        <w:rPr>
          <w:rStyle w:val="28"/>
          <w:rFonts w:hint="eastAsia" w:hAnsi="宋体"/>
          <w:b/>
          <w:bCs/>
        </w:rPr>
      </w:pPr>
      <w:r>
        <w:rPr>
          <w:rStyle w:val="28"/>
          <w:rFonts w:hint="eastAsia" w:hAnsi="宋体"/>
          <w:b/>
          <w:bCs/>
        </w:rPr>
        <w:t>9.投标报价</w:t>
      </w:r>
    </w:p>
    <w:p w14:paraId="1C6D64DC">
      <w:pPr>
        <w:snapToGrid w:val="0"/>
        <w:ind w:firstLine="482" w:firstLineChars="200"/>
        <w:rPr>
          <w:rStyle w:val="28"/>
          <w:rFonts w:hint="eastAsia" w:hAnsi="宋体"/>
          <w:kern w:val="0"/>
        </w:rPr>
      </w:pPr>
      <w:r>
        <w:rPr>
          <w:rStyle w:val="28"/>
          <w:rFonts w:hint="eastAsia" w:hAnsi="宋体"/>
          <w:b/>
          <w:bCs/>
          <w:kern w:val="0"/>
        </w:rPr>
        <w:t>9.1</w:t>
      </w:r>
      <w:r>
        <w:rPr>
          <w:rStyle w:val="28"/>
          <w:rFonts w:hint="eastAsia" w:hAnsi="宋体"/>
          <w:kern w:val="0"/>
        </w:rPr>
        <w:t xml:space="preserve"> 投标人应按照以下依据编制投标报价：</w:t>
      </w:r>
    </w:p>
    <w:p w14:paraId="2BC30265">
      <w:pPr>
        <w:snapToGrid w:val="0"/>
        <w:ind w:firstLine="480" w:firstLineChars="200"/>
        <w:rPr>
          <w:rStyle w:val="28"/>
          <w:rFonts w:hint="eastAsia" w:hAnsi="宋体"/>
          <w:kern w:val="0"/>
        </w:rPr>
      </w:pPr>
      <w:r>
        <w:rPr>
          <w:rStyle w:val="28"/>
          <w:rFonts w:hint="eastAsia" w:hAnsi="宋体"/>
          <w:kern w:val="0"/>
        </w:rPr>
        <w:t>（1）</w:t>
      </w:r>
      <w:r>
        <w:rPr>
          <w:rFonts w:hint="eastAsia" w:hAnsi="宋体"/>
          <w:snapToGrid w:val="0"/>
          <w:kern w:val="0"/>
        </w:rPr>
        <w:t>《建设工程工程量清单计价标准》（GB/T 50500-2024）、《广东省住房和城乡建设厅关于贯彻实施〈建设工程工程量清单计价标准〉及九项专业工程工程量计算标准的通知》（粤建市〔2025〕196号）、《关于贯彻执行〈建设工程工程量清单计价标准〉及九项专业工程工程量计算标准的实施意见》（粤标定函〔2025〕24号）</w:t>
      </w:r>
      <w:r>
        <w:rPr>
          <w:rFonts w:hint="eastAsia" w:hAnsi="宋体"/>
        </w:rPr>
        <w:t>；</w:t>
      </w:r>
    </w:p>
    <w:p w14:paraId="733FB88D">
      <w:pPr>
        <w:snapToGrid w:val="0"/>
        <w:ind w:firstLine="480" w:firstLineChars="200"/>
        <w:rPr>
          <w:rStyle w:val="28"/>
          <w:rFonts w:hint="eastAsia" w:hAnsi="宋体"/>
          <w:kern w:val="0"/>
        </w:rPr>
      </w:pPr>
      <w:r>
        <w:rPr>
          <w:rStyle w:val="28"/>
          <w:rFonts w:hint="eastAsia" w:hAnsi="宋体"/>
          <w:kern w:val="0"/>
        </w:rPr>
        <w:t>（2）《广东省建设工程计价依据（2018）》</w:t>
      </w:r>
      <w:r>
        <w:rPr>
          <w:rFonts w:hint="eastAsia" w:hAnsi="宋体"/>
          <w:snapToGrid w:val="0"/>
          <w:kern w:val="0"/>
        </w:rPr>
        <w:t>《关于调整〈广东省建设工程计价依据2018〉计价规则的通知》（粤标定函〔2025〕22号）</w:t>
      </w:r>
      <w:r>
        <w:rPr>
          <w:rStyle w:val="28"/>
          <w:rFonts w:hint="eastAsia" w:hAnsi="宋体"/>
          <w:kern w:val="0"/>
        </w:rPr>
        <w:t>。具体包括：《广东省房屋建筑与装饰工程综合定额（2018）》《广东省市政工程综合定额（2018）》《广东省通用安装工程综合定额（2018）》《广东省园林绿化工程综合定额（2018）》《广东省建设工程施工机具台班费用编制规则（2018）》等；</w:t>
      </w:r>
    </w:p>
    <w:p w14:paraId="6E97ED95">
      <w:pPr>
        <w:wordWrap w:val="0"/>
        <w:adjustRightInd w:val="0"/>
        <w:snapToGrid w:val="0"/>
        <w:ind w:firstLine="480" w:firstLineChars="200"/>
        <w:rPr>
          <w:rFonts w:hint="eastAsia" w:hAnsi="宋体"/>
          <w:snapToGrid w:val="0"/>
          <w:kern w:val="0"/>
        </w:rPr>
      </w:pPr>
      <w:r>
        <w:rPr>
          <w:rFonts w:hint="eastAsia" w:hAnsi="宋体"/>
          <w:snapToGrid w:val="0"/>
          <w:kern w:val="0"/>
        </w:rPr>
        <w:t>（3）企业定额；</w:t>
      </w:r>
    </w:p>
    <w:p w14:paraId="558270C7">
      <w:pPr>
        <w:wordWrap w:val="0"/>
        <w:adjustRightInd w:val="0"/>
        <w:snapToGrid w:val="0"/>
        <w:ind w:firstLine="480" w:firstLineChars="200"/>
        <w:rPr>
          <w:rFonts w:hint="eastAsia" w:hAnsi="宋体"/>
          <w:snapToGrid w:val="0"/>
          <w:kern w:val="0"/>
        </w:rPr>
      </w:pPr>
      <w:r>
        <w:rPr>
          <w:rFonts w:hint="eastAsia" w:hAnsi="宋体"/>
          <w:snapToGrid w:val="0"/>
          <w:kern w:val="0"/>
        </w:rPr>
        <w:t>（4）投标人自身装备及管理水平；</w:t>
      </w:r>
    </w:p>
    <w:p w14:paraId="082D61AE">
      <w:pPr>
        <w:wordWrap w:val="0"/>
        <w:adjustRightInd w:val="0"/>
        <w:snapToGrid w:val="0"/>
        <w:ind w:firstLine="480" w:firstLineChars="200"/>
        <w:rPr>
          <w:rFonts w:hint="eastAsia" w:hAnsi="宋体"/>
          <w:snapToGrid w:val="0"/>
          <w:kern w:val="0"/>
        </w:rPr>
      </w:pPr>
      <w:r>
        <w:rPr>
          <w:rFonts w:hint="eastAsia" w:hAnsi="宋体"/>
          <w:snapToGrid w:val="0"/>
          <w:kern w:val="0"/>
        </w:rPr>
        <w:t>（5）招标文件及其答疑（或修改）公告、招标工程量清单；</w:t>
      </w:r>
    </w:p>
    <w:p w14:paraId="50090C74">
      <w:pPr>
        <w:wordWrap w:val="0"/>
        <w:adjustRightInd w:val="0"/>
        <w:snapToGrid w:val="0"/>
        <w:ind w:firstLine="480" w:firstLineChars="200"/>
        <w:rPr>
          <w:rFonts w:hint="eastAsia" w:hAnsi="宋体"/>
          <w:snapToGrid w:val="0"/>
          <w:kern w:val="0"/>
        </w:rPr>
      </w:pPr>
      <w:r>
        <w:rPr>
          <w:rFonts w:hint="eastAsia" w:hAnsi="宋体"/>
          <w:snapToGrid w:val="0"/>
          <w:kern w:val="0"/>
        </w:rPr>
        <w:t>（6）项目建设时间、建设地点、建设规模、施工图、完工交付标准、材料来源、使用工人来源等相关资料；</w:t>
      </w:r>
    </w:p>
    <w:p w14:paraId="062F997B">
      <w:pPr>
        <w:wordWrap w:val="0"/>
        <w:adjustRightInd w:val="0"/>
        <w:snapToGrid w:val="0"/>
        <w:ind w:firstLine="480" w:firstLineChars="200"/>
        <w:rPr>
          <w:rFonts w:hint="eastAsia" w:hAnsi="宋体"/>
          <w:snapToGrid w:val="0"/>
          <w:kern w:val="0"/>
        </w:rPr>
      </w:pPr>
      <w:r>
        <w:rPr>
          <w:rFonts w:hint="eastAsia" w:hAnsi="宋体"/>
          <w:snapToGrid w:val="0"/>
          <w:kern w:val="0"/>
        </w:rPr>
        <w:t>（7）施工现场情况、工程特点及投标时拟定的施工组织设计或施工方案；</w:t>
      </w:r>
    </w:p>
    <w:p w14:paraId="6B1FC744">
      <w:pPr>
        <w:wordWrap w:val="0"/>
        <w:adjustRightInd w:val="0"/>
        <w:snapToGrid w:val="0"/>
        <w:ind w:firstLine="480" w:firstLineChars="200"/>
        <w:rPr>
          <w:rFonts w:hint="eastAsia" w:hAnsi="宋体"/>
          <w:snapToGrid w:val="0"/>
          <w:kern w:val="0"/>
        </w:rPr>
      </w:pPr>
      <w:r>
        <w:rPr>
          <w:rFonts w:hint="eastAsia" w:hAnsi="宋体"/>
          <w:snapToGrid w:val="0"/>
          <w:kern w:val="0"/>
        </w:rPr>
        <w:t>（8）市场价格信息或项目所在地工程造价管理机构发布的工程造价信息；</w:t>
      </w:r>
    </w:p>
    <w:p w14:paraId="3D2C75C3">
      <w:pPr>
        <w:wordWrap w:val="0"/>
        <w:adjustRightInd w:val="0"/>
        <w:snapToGrid w:val="0"/>
        <w:ind w:firstLine="480" w:firstLineChars="200"/>
        <w:rPr>
          <w:rFonts w:hint="eastAsia" w:hAnsi="宋体"/>
          <w:snapToGrid w:val="0"/>
          <w:kern w:val="0"/>
        </w:rPr>
      </w:pPr>
      <w:r>
        <w:rPr>
          <w:rFonts w:hint="eastAsia" w:hAnsi="宋体"/>
          <w:snapToGrid w:val="0"/>
          <w:kern w:val="0"/>
        </w:rPr>
        <w:t>（9）与建设项目相关的标准、规范、技术资料。</w:t>
      </w:r>
    </w:p>
    <w:p w14:paraId="6DAE8FA1">
      <w:pPr>
        <w:snapToGrid w:val="0"/>
        <w:ind w:firstLine="560"/>
        <w:rPr>
          <w:rStyle w:val="28"/>
          <w:rFonts w:hint="eastAsia" w:hAnsi="宋体"/>
          <w:kern w:val="0"/>
        </w:rPr>
      </w:pPr>
      <w:r>
        <w:rPr>
          <w:rStyle w:val="28"/>
          <w:rFonts w:hint="eastAsia" w:hAnsi="宋体"/>
          <w:b/>
          <w:bCs/>
          <w:kern w:val="0"/>
        </w:rPr>
        <w:t>9.2</w:t>
      </w:r>
      <w:r>
        <w:rPr>
          <w:rStyle w:val="28"/>
          <w:rFonts w:hint="eastAsia" w:hAnsi="宋体"/>
          <w:kern w:val="0"/>
        </w:rPr>
        <w:t xml:space="preserve"> 投标人应根据招标工程量清单、工程量清单计价规范中的工作内容、设计文件和有关要求、施工现场实际情况、投标人拟定的施工组织设计、本单位的企业定额和市场价格进行编制，自行报价，并承担一定范围内的风险费用。所谓</w:t>
      </w:r>
      <w:r>
        <w:rPr>
          <w:rFonts w:hint="eastAsia" w:hAnsi="宋体"/>
          <w:snapToGrid w:val="0"/>
          <w:kern w:val="0"/>
        </w:rPr>
        <w:t>“一定范围内的风险”</w:t>
      </w:r>
      <w:r>
        <w:rPr>
          <w:rStyle w:val="28"/>
          <w:rFonts w:hint="eastAsia" w:hAnsi="宋体"/>
          <w:kern w:val="0"/>
        </w:rPr>
        <w:t>是指合同约定的风险。</w:t>
      </w:r>
    </w:p>
    <w:p w14:paraId="5CC912DD">
      <w:pPr>
        <w:snapToGrid w:val="0"/>
        <w:ind w:firstLine="560"/>
        <w:rPr>
          <w:rStyle w:val="28"/>
          <w:rFonts w:hint="eastAsia" w:hAnsi="宋体"/>
          <w:kern w:val="0"/>
        </w:rPr>
      </w:pPr>
      <w:r>
        <w:rPr>
          <w:rStyle w:val="28"/>
          <w:rFonts w:hint="eastAsia" w:hAnsi="宋体"/>
          <w:b/>
          <w:bCs/>
          <w:kern w:val="0"/>
        </w:rPr>
        <w:t>9.3</w:t>
      </w:r>
      <w:r>
        <w:rPr>
          <w:rStyle w:val="28"/>
          <w:rFonts w:hint="eastAsia" w:hAnsi="宋体"/>
          <w:kern w:val="0"/>
        </w:rPr>
        <w:t xml:space="preserve"> 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14:paraId="28E5A066">
      <w:pPr>
        <w:snapToGrid w:val="0"/>
        <w:ind w:firstLine="560"/>
        <w:rPr>
          <w:rStyle w:val="28"/>
          <w:rFonts w:hint="eastAsia" w:hAnsi="宋体"/>
          <w:kern w:val="0"/>
        </w:rPr>
      </w:pPr>
      <w:r>
        <w:rPr>
          <w:rStyle w:val="28"/>
          <w:rFonts w:hint="eastAsia" w:hAnsi="宋体"/>
          <w:b/>
          <w:bCs/>
          <w:kern w:val="0"/>
        </w:rPr>
        <w:t xml:space="preserve">9.4 </w:t>
      </w:r>
      <w:r>
        <w:rPr>
          <w:rStyle w:val="28"/>
          <w:rFonts w:hint="eastAsia" w:hAnsi="宋体"/>
          <w:kern w:val="0"/>
        </w:rPr>
        <w:t>招标人向投标人提供的有关现场的数据和资料，是招标人现有的能被投标人利用的资料，招标人对投标人做出的任何推论、理解和结论均不负责任。</w:t>
      </w:r>
    </w:p>
    <w:p w14:paraId="0C47230D">
      <w:pPr>
        <w:snapToGrid w:val="0"/>
        <w:ind w:firstLine="560"/>
        <w:rPr>
          <w:rStyle w:val="28"/>
          <w:rFonts w:hint="eastAsia" w:hAnsi="宋体"/>
          <w:kern w:val="0"/>
        </w:rPr>
      </w:pPr>
      <w:r>
        <w:rPr>
          <w:rStyle w:val="28"/>
          <w:rFonts w:hint="eastAsia" w:hAnsi="宋体"/>
          <w:b/>
          <w:bCs/>
          <w:kern w:val="0"/>
        </w:rPr>
        <w:t xml:space="preserve">9.5 </w:t>
      </w:r>
      <w:r>
        <w:rPr>
          <w:rStyle w:val="28"/>
          <w:rFonts w:hint="eastAsia" w:hAnsi="宋体"/>
          <w:kern w:val="0"/>
        </w:rPr>
        <w:t>投标人必须按照招标工程量清单及表格填报价格。项目编码、工程名称、项目特征、计量单位、工程量必须与招标工程量清单一致。所有报价均以人民币“元”为单位，并保留小数点后两位。</w:t>
      </w:r>
    </w:p>
    <w:p w14:paraId="201873D4">
      <w:pPr>
        <w:snapToGrid w:val="0"/>
        <w:ind w:firstLine="560"/>
        <w:rPr>
          <w:rStyle w:val="28"/>
          <w:rFonts w:hint="eastAsia" w:hAnsi="宋体"/>
          <w:kern w:val="0"/>
        </w:rPr>
      </w:pPr>
      <w:r>
        <w:rPr>
          <w:rStyle w:val="28"/>
          <w:rFonts w:hint="eastAsia" w:hAnsi="宋体"/>
          <w:b/>
          <w:bCs/>
          <w:kern w:val="0"/>
        </w:rPr>
        <w:t xml:space="preserve">9.6 </w:t>
      </w:r>
      <w:r>
        <w:rPr>
          <w:rStyle w:val="28"/>
          <w:rFonts w:hint="eastAsia" w:hAnsi="宋体"/>
          <w:kern w:val="0"/>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65205824">
      <w:pPr>
        <w:snapToGrid w:val="0"/>
        <w:ind w:firstLine="560"/>
        <w:rPr>
          <w:rStyle w:val="28"/>
          <w:rFonts w:hint="eastAsia" w:hAnsi="宋体"/>
          <w:kern w:val="0"/>
        </w:rPr>
      </w:pPr>
      <w:r>
        <w:rPr>
          <w:rStyle w:val="28"/>
          <w:rFonts w:hint="eastAsia" w:hAnsi="宋体"/>
          <w:b/>
          <w:bCs/>
          <w:kern w:val="0"/>
        </w:rPr>
        <w:t>9.7</w:t>
      </w:r>
      <w:r>
        <w:rPr>
          <w:rStyle w:val="28"/>
          <w:rFonts w:hint="eastAsia" w:hAnsi="宋体"/>
          <w:kern w:val="0"/>
        </w:rPr>
        <w:t xml:space="preserve"> 投标人的投标总价不得高于</w:t>
      </w:r>
      <w:r>
        <w:rPr>
          <w:rStyle w:val="28"/>
          <w:rFonts w:hint="eastAsia" w:hAnsi="宋体"/>
          <w:kern w:val="0"/>
          <w:lang w:eastAsia="zh-CN"/>
        </w:rPr>
        <w:t>最高投标限价</w:t>
      </w:r>
      <w:r>
        <w:rPr>
          <w:rStyle w:val="28"/>
          <w:rFonts w:hint="eastAsia" w:hAnsi="宋体"/>
          <w:kern w:val="0"/>
        </w:rPr>
        <w:t>，也不得低于工程成本。投标人对投标总价的所有优惠（降价、让利等），均应当反映在具体清单项目或其综合单价的报价上。</w:t>
      </w:r>
      <w:r>
        <w:rPr>
          <w:rStyle w:val="28"/>
          <w:rFonts w:hint="eastAsia" w:hAnsi="宋体"/>
          <w:b/>
          <w:bCs/>
          <w:kern w:val="0"/>
        </w:rPr>
        <w:t>如果投标人的投标总价下浮率（投标总价下浮率＝100%－投标总价÷</w:t>
      </w:r>
      <w:r>
        <w:rPr>
          <w:rStyle w:val="28"/>
          <w:rFonts w:hint="eastAsia" w:hAnsi="宋体"/>
          <w:b/>
          <w:bCs/>
          <w:kern w:val="0"/>
          <w:lang w:eastAsia="zh-CN"/>
        </w:rPr>
        <w:t>最高投标限价</w:t>
      </w:r>
      <w:r>
        <w:rPr>
          <w:rStyle w:val="28"/>
          <w:rFonts w:hint="eastAsia" w:hAnsi="宋体"/>
          <w:b/>
          <w:bCs/>
          <w:kern w:val="0"/>
        </w:rPr>
        <w:t>×100%）高于15%时，投标人必须在投标文件中专项作出详细合理的书面说明并提供以往类似工程详细成本分析报告供评标委员会审查。</w:t>
      </w:r>
    </w:p>
    <w:p w14:paraId="24E24BE6">
      <w:pPr>
        <w:snapToGrid w:val="0"/>
        <w:ind w:firstLine="482" w:firstLineChars="200"/>
        <w:rPr>
          <w:rStyle w:val="28"/>
          <w:rFonts w:hint="eastAsia" w:hAnsi="宋体"/>
          <w:kern w:val="0"/>
        </w:rPr>
      </w:pPr>
      <w:r>
        <w:rPr>
          <w:rStyle w:val="28"/>
          <w:rFonts w:hint="eastAsia" w:hAnsi="宋体"/>
          <w:b/>
          <w:bCs/>
          <w:kern w:val="0"/>
        </w:rPr>
        <w:t>9.8</w:t>
      </w:r>
      <w:r>
        <w:rPr>
          <w:rStyle w:val="28"/>
          <w:rFonts w:hint="eastAsia" w:hAnsi="宋体"/>
          <w:kern w:val="0"/>
        </w:rPr>
        <w:t xml:space="preserve"> 投标人的安全生产措施费报价必须达到招标工程量清单中提供的安全生产措施费。</w:t>
      </w:r>
    </w:p>
    <w:p w14:paraId="188682D6">
      <w:pPr>
        <w:snapToGrid w:val="0"/>
        <w:ind w:firstLine="482" w:firstLineChars="200"/>
        <w:rPr>
          <w:rStyle w:val="28"/>
          <w:rFonts w:hint="eastAsia" w:hAnsi="宋体"/>
          <w:kern w:val="0"/>
        </w:rPr>
      </w:pPr>
      <w:r>
        <w:rPr>
          <w:rStyle w:val="28"/>
          <w:rFonts w:hint="eastAsia" w:hAnsi="宋体"/>
          <w:b/>
          <w:bCs/>
          <w:kern w:val="0"/>
        </w:rPr>
        <w:t>9.9</w:t>
      </w:r>
      <w:r>
        <w:rPr>
          <w:rStyle w:val="28"/>
          <w:rFonts w:hint="eastAsia" w:hAnsi="宋体"/>
          <w:kern w:val="0"/>
        </w:rPr>
        <w:t xml:space="preserve"> 投标人必须按照招标工程量清单中提供的暂列金额和专业工程暂估价统一报价。投标人应充分考虑专业工程暂估价项目（或暂列金额项目）的管理和协调所发生的费用，并将其纳入已标价工程量清单中的适当项目。招标人视该项管理和协调所发生的费用已包含在其它有价款的竞争性报价内，不再另行支付。</w:t>
      </w:r>
    </w:p>
    <w:p w14:paraId="7B55FBC5">
      <w:pPr>
        <w:wordWrap w:val="0"/>
        <w:adjustRightInd w:val="0"/>
        <w:snapToGrid w:val="0"/>
        <w:ind w:firstLine="482" w:firstLineChars="200"/>
        <w:jc w:val="left"/>
        <w:rPr>
          <w:rFonts w:hint="eastAsia" w:hAnsi="宋体"/>
        </w:rPr>
      </w:pPr>
      <w:r>
        <w:rPr>
          <w:rFonts w:hint="eastAsia" w:hAnsi="宋体"/>
          <w:b/>
          <w:u w:val="double"/>
        </w:rPr>
        <w:t>9.10招标人可根据政府有关项目工作计划或本项目资金安排情况或相关政策变化或项目实际实施情况，对本项目建设内容和规模进行调整，投标人中标后不得因此调整向招标人提出额外的费用补偿或索赔，必须按调整后的规模及内容完成工程的施工及结算。</w:t>
      </w:r>
    </w:p>
    <w:p w14:paraId="2CA89EF7">
      <w:pPr>
        <w:pStyle w:val="30"/>
        <w:spacing w:line="360" w:lineRule="auto"/>
        <w:rPr>
          <w:rStyle w:val="28"/>
          <w:rFonts w:hint="eastAsia" w:hAnsi="宋体"/>
          <w:b/>
          <w:bCs/>
        </w:rPr>
      </w:pPr>
    </w:p>
    <w:p w14:paraId="5BE740DF">
      <w:pPr>
        <w:pStyle w:val="32"/>
        <w:numPr>
          <w:ilvl w:val="255"/>
          <w:numId w:val="0"/>
        </w:numPr>
        <w:snapToGrid w:val="0"/>
        <w:ind w:firstLine="482" w:firstLineChars="200"/>
        <w:jc w:val="both"/>
        <w:rPr>
          <w:rStyle w:val="28"/>
          <w:rFonts w:hint="eastAsia" w:hAnsi="宋体"/>
          <w:b/>
          <w:bCs/>
        </w:rPr>
      </w:pPr>
      <w:r>
        <w:rPr>
          <w:rStyle w:val="28"/>
          <w:rFonts w:hint="eastAsia" w:hAnsi="宋体"/>
          <w:b/>
          <w:bCs/>
        </w:rPr>
        <w:t>10.投标文件及定标文件的编制要求</w:t>
      </w:r>
    </w:p>
    <w:p w14:paraId="51B08E5E">
      <w:pPr>
        <w:pStyle w:val="32"/>
        <w:snapToGrid w:val="0"/>
        <w:ind w:firstLine="482" w:firstLineChars="200"/>
        <w:jc w:val="both"/>
        <w:rPr>
          <w:rStyle w:val="28"/>
          <w:rFonts w:hint="eastAsia" w:hAnsi="宋体"/>
          <w:b/>
          <w:bCs/>
        </w:rPr>
      </w:pPr>
      <w:r>
        <w:rPr>
          <w:rStyle w:val="28"/>
          <w:rFonts w:hint="eastAsia" w:hAnsi="宋体"/>
          <w:b/>
          <w:bCs/>
        </w:rPr>
        <w:t>10.1</w:t>
      </w:r>
      <w:r>
        <w:rPr>
          <w:rStyle w:val="28"/>
          <w:rFonts w:hint="eastAsia" w:hAnsi="宋体"/>
        </w:rPr>
        <w:t xml:space="preserve"> 一般要求</w:t>
      </w:r>
    </w:p>
    <w:p w14:paraId="7D528070">
      <w:pPr>
        <w:pStyle w:val="9"/>
        <w:wordWrap w:val="0"/>
        <w:adjustRightInd w:val="0"/>
        <w:snapToGrid w:val="0"/>
        <w:ind w:firstLine="480"/>
        <w:rPr>
          <w:rFonts w:hint="eastAsia" w:hAnsi="宋体"/>
          <w:snapToGrid w:val="0"/>
          <w:kern w:val="0"/>
        </w:rPr>
      </w:pPr>
      <w:r>
        <w:rPr>
          <w:rFonts w:hint="eastAsia" w:hAnsi="宋体"/>
          <w:snapToGrid w:val="0"/>
          <w:kern w:val="0"/>
        </w:rPr>
        <w:t>投标文件应按第六章 投标文件格式规定的内容，投标人提交的投标文件应当使用招标文件所提供的投标文件全部格式。</w:t>
      </w:r>
    </w:p>
    <w:p w14:paraId="61165627">
      <w:pPr>
        <w:pStyle w:val="9"/>
        <w:wordWrap w:val="0"/>
        <w:adjustRightInd w:val="0"/>
        <w:snapToGrid w:val="0"/>
        <w:ind w:firstLine="480"/>
        <w:rPr>
          <w:rFonts w:hint="eastAsia" w:hAnsi="宋体"/>
          <w:snapToGrid w:val="0"/>
          <w:kern w:val="0"/>
        </w:rPr>
      </w:pPr>
      <w:r>
        <w:rPr>
          <w:rFonts w:hint="eastAsia" w:hAnsi="宋体"/>
          <w:snapToGrid w:val="0"/>
          <w:kern w:val="0"/>
        </w:rPr>
        <w:t>定标文件应按第七章 定标文件格式规定的内容进行编制。</w:t>
      </w:r>
    </w:p>
    <w:p w14:paraId="30F3ED9C">
      <w:pPr>
        <w:pStyle w:val="38"/>
        <w:snapToGrid w:val="0"/>
        <w:ind w:firstLineChars="0"/>
        <w:rPr>
          <w:rStyle w:val="28"/>
          <w:rFonts w:hint="eastAsia" w:hAnsi="宋体" w:cs="宋体"/>
          <w:kern w:val="0"/>
        </w:rPr>
      </w:pPr>
      <w:r>
        <w:rPr>
          <w:rStyle w:val="28"/>
          <w:rFonts w:hint="eastAsia" w:hAnsi="宋体" w:cs="宋体"/>
          <w:b/>
          <w:bCs/>
          <w:kern w:val="0"/>
        </w:rPr>
        <w:t>10.1.1</w:t>
      </w:r>
      <w:r>
        <w:rPr>
          <w:rStyle w:val="28"/>
          <w:rFonts w:hint="eastAsia" w:hAnsi="宋体" w:cs="宋体"/>
          <w:kern w:val="0"/>
        </w:rPr>
        <w:t xml:space="preserve"> 投标人必须响应招标文件，并在充分理解招标人提供的全部文件、设计图纸、资料及现场条件的基础上编制投标文件。因投标文件不符合招标文件的要求而造成的损失和后果，由投标人自行承担。</w:t>
      </w:r>
    </w:p>
    <w:p w14:paraId="18EF528A">
      <w:pPr>
        <w:pStyle w:val="38"/>
        <w:snapToGrid w:val="0"/>
        <w:ind w:firstLineChars="0"/>
        <w:rPr>
          <w:rStyle w:val="28"/>
          <w:rFonts w:hint="eastAsia" w:hAnsi="宋体" w:cs="宋体"/>
          <w:kern w:val="0"/>
        </w:rPr>
      </w:pPr>
      <w:r>
        <w:rPr>
          <w:rStyle w:val="28"/>
          <w:rFonts w:hint="eastAsia" w:hAnsi="宋体" w:cs="宋体"/>
          <w:b/>
          <w:bCs/>
          <w:kern w:val="0"/>
        </w:rPr>
        <w:t>10.1.2</w:t>
      </w:r>
      <w:r>
        <w:rPr>
          <w:rStyle w:val="28"/>
          <w:rFonts w:hint="eastAsia" w:hAnsi="宋体" w:cs="宋体"/>
          <w:kern w:val="0"/>
        </w:rPr>
        <w:t xml:space="preserve"> </w:t>
      </w:r>
      <w:r>
        <w:rPr>
          <w:rFonts w:hint="eastAsia" w:hAnsi="宋体" w:cs="宋体"/>
          <w:snapToGrid w:val="0"/>
          <w:kern w:val="0"/>
        </w:rPr>
        <w:t>投标文件及定标文件全部采用电子文档，</w:t>
      </w:r>
      <w:r>
        <w:rPr>
          <w:rFonts w:hint="eastAsia" w:hAnsi="宋体" w:cs="宋体"/>
          <w:b/>
          <w:bCs/>
          <w:snapToGrid w:val="0"/>
          <w:kern w:val="0"/>
        </w:rPr>
        <w:t>投标文件及定标文件所附证书证件均为原件扫描件</w:t>
      </w:r>
      <w:r>
        <w:rPr>
          <w:rFonts w:hint="eastAsia" w:hAnsi="宋体" w:cs="宋体"/>
          <w:snapToGrid w:val="0"/>
          <w:kern w:val="0"/>
        </w:rPr>
        <w:t>，并采用单位数字证书，按招标文件要求在相应位置加盖电子印章。投标文件中需个人签字或盖章的，应加盖个人电子印章或在线下完成后扫描上传。按照交易平台关于全流程电子化项目的相关指引进行操作。</w:t>
      </w:r>
      <w:r>
        <w:rPr>
          <w:rStyle w:val="28"/>
          <w:rFonts w:hint="eastAsia" w:hAnsi="宋体" w:cs="宋体"/>
          <w:kern w:val="0"/>
        </w:rPr>
        <w:t>详见：全国公共资源交易平台（广东省·韶关市）服务指南。</w:t>
      </w:r>
    </w:p>
    <w:p w14:paraId="303E3BF2">
      <w:pPr>
        <w:pStyle w:val="38"/>
        <w:snapToGrid w:val="0"/>
        <w:ind w:firstLineChars="0"/>
        <w:rPr>
          <w:rStyle w:val="28"/>
          <w:rFonts w:hint="eastAsia" w:hAnsi="宋体" w:cs="宋体"/>
          <w:kern w:val="0"/>
        </w:rPr>
      </w:pPr>
      <w:r>
        <w:rPr>
          <w:rFonts w:hint="eastAsia" w:hAnsi="宋体" w:cs="宋体"/>
          <w:b/>
          <w:bCs/>
          <w:snapToGrid w:val="0"/>
          <w:kern w:val="0"/>
        </w:rPr>
        <w:t xml:space="preserve">10.1.3 </w:t>
      </w:r>
      <w:r>
        <w:rPr>
          <w:rFonts w:hint="eastAsia" w:hAnsi="宋体" w:cs="宋体"/>
          <w:snapToGrid w:val="0"/>
          <w:kern w:val="0"/>
        </w:rPr>
        <w:t>投标文件及定标文件需按以下要求签字、盖章：</w:t>
      </w:r>
    </w:p>
    <w:p w14:paraId="5E8E7526">
      <w:pPr>
        <w:pStyle w:val="38"/>
        <w:snapToGrid w:val="0"/>
        <w:ind w:firstLineChars="0"/>
        <w:rPr>
          <w:rStyle w:val="28"/>
          <w:rFonts w:hint="eastAsia" w:hAnsi="宋体" w:cs="宋体"/>
          <w:b/>
          <w:bCs/>
          <w:kern w:val="0"/>
        </w:rPr>
      </w:pPr>
      <w:r>
        <w:rPr>
          <w:rStyle w:val="28"/>
          <w:rFonts w:hint="eastAsia" w:hAnsi="宋体" w:cs="宋体"/>
          <w:b/>
          <w:bCs/>
          <w:kern w:val="0"/>
        </w:rPr>
        <w:t>电子投标文件及定标文件：</w:t>
      </w:r>
    </w:p>
    <w:p w14:paraId="1A312287">
      <w:pPr>
        <w:pStyle w:val="38"/>
        <w:snapToGrid w:val="0"/>
        <w:ind w:firstLineChars="0"/>
        <w:rPr>
          <w:rStyle w:val="28"/>
          <w:rFonts w:hint="eastAsia" w:hAnsi="宋体" w:cs="宋体"/>
          <w:kern w:val="0"/>
        </w:rPr>
      </w:pPr>
      <w:r>
        <w:rPr>
          <w:rStyle w:val="28"/>
          <w:rFonts w:hint="eastAsia" w:hAnsi="宋体" w:cs="宋体"/>
          <w:b/>
          <w:bCs/>
          <w:kern w:val="0"/>
        </w:rPr>
        <w:t>10.1.3.1</w:t>
      </w:r>
      <w:r>
        <w:rPr>
          <w:rStyle w:val="28"/>
          <w:rFonts w:hint="eastAsia" w:hAnsi="宋体" w:cs="宋体"/>
          <w:kern w:val="0"/>
        </w:rPr>
        <w:t xml:space="preserve"> 投标文件及定标文件封面、组成内容中凡注明“签字”处由要求的人员签字或电子签章；凡注明“签字或盖章”处由要求的人员签字或盖其私章（电子印章）；凡注明“签字并盖执业印章”处由要求的人员签字并盖其执业印章。</w:t>
      </w:r>
    </w:p>
    <w:p w14:paraId="6A0641D9">
      <w:pPr>
        <w:pStyle w:val="38"/>
        <w:snapToGrid w:val="0"/>
        <w:ind w:firstLineChars="0"/>
        <w:rPr>
          <w:rStyle w:val="28"/>
          <w:rFonts w:hint="eastAsia" w:hAnsi="宋体" w:cs="宋体"/>
          <w:kern w:val="0"/>
        </w:rPr>
      </w:pPr>
      <w:r>
        <w:rPr>
          <w:rStyle w:val="28"/>
          <w:rFonts w:hint="eastAsia" w:hAnsi="宋体" w:cs="宋体"/>
          <w:b/>
          <w:bCs/>
          <w:kern w:val="0"/>
        </w:rPr>
        <w:t>10.1.3.2</w:t>
      </w:r>
      <w:r>
        <w:rPr>
          <w:rStyle w:val="28"/>
          <w:rFonts w:hint="eastAsia" w:hAnsi="宋体" w:cs="宋体"/>
          <w:kern w:val="0"/>
        </w:rPr>
        <w:t xml:space="preserve"> 投标文件及定标文件封面、组成内容中凡要求录入投标人名称且注明“盖单位章”处盖单位法人公章（电子印章）。</w:t>
      </w:r>
    </w:p>
    <w:p w14:paraId="0D191380">
      <w:pPr>
        <w:pStyle w:val="38"/>
        <w:snapToGrid w:val="0"/>
        <w:ind w:firstLineChars="0"/>
        <w:rPr>
          <w:rStyle w:val="28"/>
          <w:rFonts w:hint="eastAsia" w:hAnsi="宋体" w:cs="宋体"/>
          <w:kern w:val="0"/>
        </w:rPr>
      </w:pPr>
      <w:r>
        <w:rPr>
          <w:rStyle w:val="28"/>
          <w:rFonts w:hint="eastAsia" w:hAnsi="宋体" w:cs="宋体"/>
          <w:b/>
          <w:bCs/>
          <w:kern w:val="0"/>
        </w:rPr>
        <w:t>10.1.3.3</w:t>
      </w:r>
      <w:r>
        <w:rPr>
          <w:rStyle w:val="28"/>
          <w:rFonts w:hint="eastAsia" w:hAnsi="宋体" w:cs="宋体"/>
          <w:kern w:val="0"/>
        </w:rPr>
        <w:t xml:space="preserve"> 投标文件及定标文件的签字均为签字人本人亲笔署名或签章（电子印章），其余部分的复印件无须另行签字、盖章。</w:t>
      </w:r>
    </w:p>
    <w:p w14:paraId="160DDE09">
      <w:pPr>
        <w:pStyle w:val="32"/>
        <w:snapToGrid w:val="0"/>
        <w:ind w:firstLine="482" w:firstLineChars="200"/>
        <w:jc w:val="both"/>
        <w:rPr>
          <w:rStyle w:val="28"/>
          <w:rFonts w:hint="eastAsia" w:hAnsi="宋体"/>
          <w:b/>
          <w:bCs/>
        </w:rPr>
      </w:pPr>
      <w:bookmarkStart w:id="52" w:name="_Toc14523"/>
      <w:bookmarkStart w:id="53" w:name="_Toc28294"/>
      <w:bookmarkStart w:id="54" w:name="_Toc257031159"/>
      <w:bookmarkStart w:id="55" w:name="_Toc11533"/>
      <w:bookmarkStart w:id="56" w:name="_Toc28154"/>
      <w:bookmarkStart w:id="57" w:name="_Toc274313880"/>
      <w:bookmarkStart w:id="58" w:name="_Toc23762"/>
      <w:r>
        <w:rPr>
          <w:rStyle w:val="28"/>
          <w:rFonts w:hint="eastAsia" w:hAnsi="宋体"/>
          <w:b/>
          <w:bCs/>
        </w:rPr>
        <w:t>10.2 商务标书的编制要求</w:t>
      </w:r>
      <w:bookmarkEnd w:id="52"/>
      <w:bookmarkEnd w:id="53"/>
      <w:bookmarkEnd w:id="54"/>
      <w:bookmarkEnd w:id="55"/>
      <w:bookmarkEnd w:id="56"/>
      <w:bookmarkEnd w:id="57"/>
      <w:bookmarkEnd w:id="58"/>
    </w:p>
    <w:p w14:paraId="2D0BAC27">
      <w:pPr>
        <w:pStyle w:val="32"/>
        <w:snapToGrid w:val="0"/>
        <w:ind w:firstLine="482" w:firstLineChars="200"/>
        <w:jc w:val="both"/>
        <w:rPr>
          <w:rStyle w:val="28"/>
          <w:rFonts w:hint="eastAsia" w:hAnsi="宋体"/>
        </w:rPr>
      </w:pPr>
      <w:r>
        <w:rPr>
          <w:rStyle w:val="28"/>
          <w:rFonts w:hint="eastAsia" w:hAnsi="宋体"/>
          <w:b/>
          <w:bCs/>
        </w:rPr>
        <w:t xml:space="preserve">10.2.1 </w:t>
      </w:r>
      <w:r>
        <w:rPr>
          <w:rStyle w:val="28"/>
          <w:rFonts w:hint="eastAsia" w:hAnsi="宋体"/>
        </w:rPr>
        <w:t>商务标书包括但不限于以下内容：</w:t>
      </w:r>
    </w:p>
    <w:p w14:paraId="33D82671">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（1）封面（格式一）；</w:t>
      </w:r>
    </w:p>
    <w:p w14:paraId="06478177">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（2）目录；</w:t>
      </w:r>
    </w:p>
    <w:p w14:paraId="003E5F7E">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（3）《投标函》（格式二）；</w:t>
      </w:r>
    </w:p>
    <w:p w14:paraId="73E20D28">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（4）《各项承诺一览表》（格式三）；</w:t>
      </w:r>
    </w:p>
    <w:p w14:paraId="421FB410">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（5）《授权委托书》（格式四）；</w:t>
      </w:r>
    </w:p>
    <w:p w14:paraId="554BADB1">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（6）《法定代表人身份证明》（格式五）；</w:t>
      </w:r>
    </w:p>
    <w:p w14:paraId="53533E02">
      <w:pPr>
        <w:pStyle w:val="25"/>
        <w:widowControl/>
        <w:spacing w:line="360" w:lineRule="auto"/>
        <w:ind w:firstLine="480" w:firstLineChars="200"/>
        <w:jc w:val="both"/>
        <w:textAlignment w:val="baseline"/>
        <w:rPr>
          <w:rFonts w:hint="eastAsia" w:ascii="宋体" w:hAnsi="宋体" w:cs="宋体"/>
          <w:b w:val="0"/>
          <w:snapToGrid w:val="0"/>
          <w:kern w:val="0"/>
          <w:sz w:val="24"/>
        </w:rPr>
      </w:pPr>
      <w:r>
        <w:rPr>
          <w:rFonts w:hint="eastAsia" w:ascii="宋体" w:hAnsi="宋体" w:cs="宋体"/>
          <w:b w:val="0"/>
          <w:snapToGrid w:val="0"/>
          <w:kern w:val="0"/>
          <w:sz w:val="24"/>
        </w:rPr>
        <w:t>（7）《联合体协议书》（格式六）及所附资料；</w:t>
      </w:r>
    </w:p>
    <w:p w14:paraId="3B7EC358">
      <w:pPr>
        <w:pStyle w:val="25"/>
        <w:widowControl/>
        <w:spacing w:line="360" w:lineRule="auto"/>
        <w:ind w:firstLine="480" w:firstLineChars="200"/>
        <w:jc w:val="both"/>
        <w:textAlignment w:val="baseline"/>
        <w:rPr>
          <w:rFonts w:hint="eastAsia" w:ascii="宋体" w:hAnsi="宋体" w:cs="宋体"/>
          <w:b w:val="0"/>
          <w:snapToGrid w:val="0"/>
          <w:kern w:val="0"/>
          <w:sz w:val="24"/>
        </w:rPr>
      </w:pPr>
      <w:r>
        <w:rPr>
          <w:rFonts w:hint="eastAsia" w:ascii="宋体" w:hAnsi="宋体" w:cs="宋体"/>
          <w:b w:val="0"/>
          <w:snapToGrid w:val="0"/>
          <w:kern w:val="0"/>
          <w:sz w:val="24"/>
        </w:rPr>
        <w:t>（8）投标保证缴纳证明（投标人采用投标保证金的，附建设工程交易系统《缴纳投标保证金通知书》页面截图和银行转账单彩色扫描件；采用投标保证担保的，附银行保函彩色扫描件；采用投标保证保险的，附电子保单和《韶关市公共资源交易一体化平台保证金缴纳信息》页面截图）；</w:t>
      </w:r>
    </w:p>
    <w:p w14:paraId="0918E109">
      <w:pPr>
        <w:pStyle w:val="25"/>
        <w:widowControl/>
        <w:spacing w:line="360" w:lineRule="auto"/>
        <w:ind w:firstLine="480" w:firstLineChars="200"/>
        <w:jc w:val="both"/>
        <w:textAlignment w:val="baseline"/>
        <w:rPr>
          <w:rFonts w:hint="eastAsia" w:ascii="宋体" w:hAnsi="宋体" w:cs="宋体"/>
          <w:b w:val="0"/>
          <w:snapToGrid w:val="0"/>
          <w:kern w:val="0"/>
          <w:sz w:val="24"/>
        </w:rPr>
      </w:pPr>
      <w:r>
        <w:rPr>
          <w:rFonts w:hint="eastAsia" w:ascii="宋体" w:hAnsi="宋体" w:cs="宋体"/>
          <w:b w:val="0"/>
          <w:snapToGrid w:val="0"/>
          <w:kern w:val="0"/>
          <w:sz w:val="24"/>
        </w:rPr>
        <w:t>（9）《投标人基本情况表》（格式七）及所附资料；</w:t>
      </w:r>
    </w:p>
    <w:p w14:paraId="1A7DD67C">
      <w:pPr>
        <w:pStyle w:val="25"/>
        <w:widowControl/>
        <w:spacing w:line="360" w:lineRule="auto"/>
        <w:ind w:firstLine="480" w:firstLineChars="200"/>
        <w:jc w:val="both"/>
        <w:textAlignment w:val="baseline"/>
        <w:rPr>
          <w:rFonts w:hint="eastAsia" w:ascii="宋体" w:hAnsi="宋体" w:cs="宋体"/>
          <w:b w:val="0"/>
          <w:snapToGrid w:val="0"/>
          <w:kern w:val="0"/>
          <w:sz w:val="24"/>
        </w:rPr>
      </w:pPr>
      <w:r>
        <w:rPr>
          <w:rFonts w:hint="eastAsia" w:ascii="宋体" w:hAnsi="宋体" w:cs="宋体"/>
          <w:b w:val="0"/>
          <w:snapToGrid w:val="0"/>
          <w:kern w:val="0"/>
          <w:sz w:val="24"/>
        </w:rPr>
        <w:t>（10）《项目经理简历表》（格式八）及所附资料；</w:t>
      </w:r>
    </w:p>
    <w:p w14:paraId="689A2012">
      <w:pPr>
        <w:pStyle w:val="25"/>
        <w:widowControl/>
        <w:spacing w:line="360" w:lineRule="auto"/>
        <w:ind w:firstLine="480" w:firstLineChars="200"/>
        <w:jc w:val="both"/>
        <w:textAlignment w:val="baseline"/>
        <w:rPr>
          <w:rFonts w:hint="eastAsia" w:ascii="宋体" w:hAnsi="宋体" w:cs="宋体"/>
          <w:b w:val="0"/>
          <w:snapToGrid w:val="0"/>
          <w:kern w:val="0"/>
          <w:sz w:val="24"/>
        </w:rPr>
      </w:pPr>
      <w:r>
        <w:rPr>
          <w:rFonts w:hint="eastAsia" w:ascii="宋体" w:hAnsi="宋体" w:cs="宋体"/>
          <w:b w:val="0"/>
          <w:snapToGrid w:val="0"/>
          <w:kern w:val="0"/>
          <w:sz w:val="24"/>
        </w:rPr>
        <w:t>（11）《项目经理任职声明》（格式九）；</w:t>
      </w:r>
    </w:p>
    <w:p w14:paraId="7BCD4840">
      <w:pPr>
        <w:pStyle w:val="25"/>
        <w:widowControl/>
        <w:spacing w:line="360" w:lineRule="auto"/>
        <w:ind w:firstLine="480" w:firstLineChars="200"/>
        <w:jc w:val="both"/>
        <w:textAlignment w:val="baseline"/>
        <w:rPr>
          <w:rFonts w:hint="eastAsia" w:ascii="宋体" w:hAnsi="宋体" w:cs="宋体"/>
          <w:b w:val="0"/>
          <w:snapToGrid w:val="0"/>
          <w:kern w:val="0"/>
          <w:sz w:val="24"/>
        </w:rPr>
      </w:pPr>
      <w:r>
        <w:rPr>
          <w:rFonts w:hint="eastAsia" w:ascii="宋体" w:hAnsi="宋体" w:cs="宋体"/>
          <w:b w:val="0"/>
          <w:snapToGrid w:val="0"/>
          <w:kern w:val="0"/>
          <w:sz w:val="24"/>
        </w:rPr>
        <w:t>（12）《项目技术负责人简历表》（格式十）及所附资料；</w:t>
      </w:r>
    </w:p>
    <w:p w14:paraId="0D59A6CE">
      <w:pPr>
        <w:pStyle w:val="25"/>
        <w:widowControl/>
        <w:spacing w:line="360" w:lineRule="auto"/>
        <w:ind w:firstLine="480" w:firstLineChars="200"/>
        <w:jc w:val="both"/>
        <w:textAlignment w:val="baseline"/>
        <w:rPr>
          <w:rFonts w:hint="eastAsia" w:ascii="宋体" w:hAnsi="宋体" w:cs="宋体"/>
          <w:b w:val="0"/>
          <w:snapToGrid w:val="0"/>
          <w:kern w:val="0"/>
          <w:sz w:val="24"/>
        </w:rPr>
      </w:pPr>
      <w:r>
        <w:rPr>
          <w:rFonts w:hint="eastAsia" w:ascii="宋体" w:hAnsi="宋体" w:cs="宋体"/>
          <w:b w:val="0"/>
          <w:snapToGrid w:val="0"/>
          <w:kern w:val="0"/>
          <w:sz w:val="24"/>
        </w:rPr>
        <w:t>（13）《专职安全员简历表》（格式十</w:t>
      </w:r>
      <w:r>
        <w:rPr>
          <w:rFonts w:hint="eastAsia" w:ascii="宋体" w:hAnsi="宋体" w:cs="宋体"/>
          <w:snapToGrid w:val="0"/>
          <w:kern w:val="0"/>
        </w:rPr>
        <w:t>一</w:t>
      </w:r>
      <w:r>
        <w:rPr>
          <w:rFonts w:hint="eastAsia" w:ascii="宋体" w:hAnsi="宋体" w:cs="宋体"/>
          <w:b w:val="0"/>
          <w:snapToGrid w:val="0"/>
          <w:kern w:val="0"/>
          <w:sz w:val="24"/>
        </w:rPr>
        <w:t>）及所附资料；</w:t>
      </w:r>
    </w:p>
    <w:p w14:paraId="4360E183">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（14）《项目管理机构组成表》（格式十二）及所附资料；</w:t>
      </w:r>
    </w:p>
    <w:p w14:paraId="76B82CAA">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（15）本节第15.5.1目“评标方法”要求提供的评审资料；</w:t>
      </w:r>
    </w:p>
    <w:p w14:paraId="129659F1">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（16）投标人认为有必要补充的其他资料。（</w:t>
      </w:r>
      <w:r>
        <w:rPr>
          <w:rFonts w:hint="eastAsia" w:hAnsi="宋体"/>
          <w:snapToGrid w:val="0"/>
          <w:kern w:val="0"/>
          <w:szCs w:val="18"/>
        </w:rPr>
        <w:t>例如投标人已经商事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w:t>
      </w:r>
      <w:r>
        <w:rPr>
          <w:rFonts w:hint="eastAsia" w:hAnsi="宋体"/>
          <w:snapToGrid w:val="0"/>
          <w:kern w:val="0"/>
        </w:rPr>
        <w:t>）。</w:t>
      </w:r>
    </w:p>
    <w:p w14:paraId="2D05207C">
      <w:pPr>
        <w:wordWrap w:val="0"/>
        <w:adjustRightInd w:val="0"/>
        <w:snapToGrid w:val="0"/>
        <w:ind w:firstLine="482" w:firstLineChars="200"/>
        <w:rPr>
          <w:rFonts w:hint="eastAsia" w:hAnsi="宋体"/>
          <w:snapToGrid w:val="0"/>
          <w:kern w:val="0"/>
          <w:szCs w:val="18"/>
        </w:rPr>
      </w:pPr>
      <w:r>
        <w:rPr>
          <w:rFonts w:hint="eastAsia" w:hAnsi="宋体"/>
          <w:b/>
          <w:bCs/>
          <w:snapToGrid w:val="0"/>
          <w:kern w:val="0"/>
          <w:szCs w:val="18"/>
        </w:rPr>
        <w:t>10.2.2</w:t>
      </w:r>
      <w:r>
        <w:rPr>
          <w:rFonts w:hint="eastAsia" w:hAnsi="宋体"/>
          <w:snapToGrid w:val="0"/>
          <w:kern w:val="0"/>
          <w:szCs w:val="18"/>
        </w:rPr>
        <w:t xml:space="preserve"> 本节第</w:t>
      </w:r>
      <w:r>
        <w:rPr>
          <w:rFonts w:hint="eastAsia" w:hAnsi="宋体"/>
          <w:b/>
          <w:bCs/>
          <w:snapToGrid w:val="0"/>
          <w:kern w:val="0"/>
          <w:szCs w:val="18"/>
        </w:rPr>
        <w:t>10.2.1</w:t>
      </w:r>
      <w:r>
        <w:rPr>
          <w:rFonts w:hint="eastAsia" w:hAnsi="宋体"/>
          <w:snapToGrid w:val="0"/>
          <w:kern w:val="0"/>
          <w:szCs w:val="18"/>
        </w:rPr>
        <w:t>目中所列出的商务标书组成内容中，第（1）至第（14）项所有投标人均应提供，</w:t>
      </w:r>
      <w:r>
        <w:rPr>
          <w:rFonts w:hint="eastAsia" w:hAnsi="宋体"/>
          <w:b/>
          <w:bCs/>
          <w:snapToGrid w:val="0"/>
          <w:kern w:val="0"/>
          <w:szCs w:val="18"/>
        </w:rPr>
        <w:t>但非联合体投标的，无需提供第（7）项内容。</w:t>
      </w:r>
    </w:p>
    <w:p w14:paraId="38BBF5C9">
      <w:pPr>
        <w:wordWrap w:val="0"/>
        <w:adjustRightInd w:val="0"/>
        <w:snapToGrid w:val="0"/>
        <w:ind w:firstLine="482" w:firstLineChars="200"/>
        <w:rPr>
          <w:rFonts w:hint="eastAsia" w:hAnsi="宋体"/>
          <w:snapToGrid w:val="0"/>
          <w:kern w:val="0"/>
        </w:rPr>
      </w:pPr>
      <w:r>
        <w:rPr>
          <w:rFonts w:hint="eastAsia" w:hAnsi="宋体"/>
          <w:b/>
          <w:bCs/>
          <w:snapToGrid w:val="0"/>
          <w:kern w:val="0"/>
        </w:rPr>
        <w:t>10.2.3</w:t>
      </w:r>
      <w:r>
        <w:rPr>
          <w:rFonts w:hint="eastAsia" w:hAnsi="宋体"/>
          <w:snapToGrid w:val="0"/>
          <w:kern w:val="0"/>
        </w:rPr>
        <w:t xml:space="preserve"> 商务标书的组成内容按本节第</w:t>
      </w:r>
      <w:r>
        <w:rPr>
          <w:rFonts w:hint="eastAsia" w:hAnsi="宋体"/>
          <w:b/>
          <w:bCs/>
          <w:snapToGrid w:val="0"/>
          <w:kern w:val="0"/>
        </w:rPr>
        <w:t>10.2.1</w:t>
      </w:r>
      <w:r>
        <w:rPr>
          <w:rFonts w:hint="eastAsia" w:hAnsi="宋体"/>
          <w:snapToGrid w:val="0"/>
          <w:kern w:val="0"/>
        </w:rPr>
        <w:t>目规定的顺序整理、编排后，逐页</w:t>
      </w:r>
      <w:r>
        <w:rPr>
          <w:rFonts w:hint="eastAsia" w:hAnsi="宋体"/>
          <w:snapToGrid w:val="0"/>
          <w:kern w:val="0"/>
          <w:szCs w:val="18"/>
        </w:rPr>
        <w:t>（页码起始从封面开始）</w:t>
      </w:r>
      <w:r>
        <w:rPr>
          <w:rFonts w:hint="eastAsia" w:hAnsi="宋体"/>
          <w:snapToGrid w:val="0"/>
          <w:kern w:val="0"/>
        </w:rPr>
        <w:t>连续标记页码。</w:t>
      </w:r>
    </w:p>
    <w:p w14:paraId="1DD0F777">
      <w:pPr>
        <w:wordWrap w:val="0"/>
        <w:adjustRightInd w:val="0"/>
        <w:snapToGrid w:val="0"/>
        <w:ind w:firstLine="482" w:firstLineChars="200"/>
        <w:rPr>
          <w:rFonts w:hint="eastAsia" w:hAnsi="宋体"/>
          <w:snapToGrid w:val="0"/>
          <w:kern w:val="0"/>
        </w:rPr>
      </w:pPr>
      <w:r>
        <w:rPr>
          <w:rFonts w:hint="eastAsia" w:hAnsi="宋体"/>
          <w:b/>
          <w:bCs/>
          <w:snapToGrid w:val="0"/>
          <w:kern w:val="0"/>
        </w:rPr>
        <w:t>10.2.4</w:t>
      </w:r>
      <w:r>
        <w:rPr>
          <w:rFonts w:hint="eastAsia" w:hAnsi="宋体"/>
          <w:snapToGrid w:val="0"/>
          <w:kern w:val="0"/>
        </w:rPr>
        <w:t xml:space="preserve"> 商务标书电子文件制作要求</w:t>
      </w:r>
    </w:p>
    <w:p w14:paraId="74B242BB">
      <w:pPr>
        <w:wordWrap w:val="0"/>
        <w:adjustRightInd w:val="0"/>
        <w:snapToGrid w:val="0"/>
        <w:ind w:firstLine="480" w:firstLineChars="200"/>
        <w:rPr>
          <w:rFonts w:hint="eastAsia" w:hAnsi="宋体"/>
          <w:snapToGrid w:val="0"/>
          <w:kern w:val="0"/>
        </w:rPr>
      </w:pPr>
      <w:r>
        <w:rPr>
          <w:rFonts w:hint="eastAsia" w:hAnsi="宋体"/>
          <w:snapToGrid w:val="0"/>
          <w:kern w:val="0"/>
        </w:rPr>
        <w:t>投标人应将商务标书的所有内容按本节第</w:t>
      </w:r>
      <w:r>
        <w:rPr>
          <w:rFonts w:hint="eastAsia" w:hAnsi="宋体"/>
          <w:b/>
          <w:bCs/>
          <w:snapToGrid w:val="0"/>
          <w:kern w:val="0"/>
        </w:rPr>
        <w:t>10.2.1</w:t>
      </w:r>
      <w:r>
        <w:rPr>
          <w:rFonts w:hint="eastAsia" w:hAnsi="宋体"/>
          <w:snapToGrid w:val="0"/>
          <w:kern w:val="0"/>
        </w:rPr>
        <w:t>目规定的顺序整理、编排后，从封面开始标记页码，作成一个PDF格式电子文件。</w:t>
      </w:r>
    </w:p>
    <w:p w14:paraId="75B6EA1B">
      <w:pPr>
        <w:pStyle w:val="32"/>
        <w:snapToGrid w:val="0"/>
        <w:ind w:firstLine="482" w:firstLineChars="200"/>
        <w:jc w:val="both"/>
        <w:rPr>
          <w:rStyle w:val="28"/>
          <w:rFonts w:hint="eastAsia" w:hAnsi="宋体"/>
          <w:b/>
          <w:bCs/>
        </w:rPr>
      </w:pPr>
      <w:bookmarkStart w:id="59" w:name="_Toc4083"/>
      <w:bookmarkStart w:id="60" w:name="_Toc29164"/>
      <w:bookmarkStart w:id="61" w:name="_Toc10756"/>
      <w:bookmarkStart w:id="62" w:name="_Toc28389"/>
      <w:bookmarkStart w:id="63" w:name="_Toc18154"/>
      <w:bookmarkStart w:id="64" w:name="_Toc23486"/>
      <w:r>
        <w:rPr>
          <w:rStyle w:val="28"/>
          <w:rFonts w:hint="eastAsia" w:hAnsi="宋体"/>
          <w:b/>
          <w:bCs/>
        </w:rPr>
        <w:t>10.3 经济标书的编制要求</w:t>
      </w:r>
      <w:bookmarkEnd w:id="59"/>
      <w:bookmarkEnd w:id="60"/>
      <w:bookmarkEnd w:id="61"/>
      <w:bookmarkEnd w:id="62"/>
      <w:bookmarkEnd w:id="63"/>
      <w:bookmarkEnd w:id="64"/>
    </w:p>
    <w:p w14:paraId="053FF67D">
      <w:pPr>
        <w:tabs>
          <w:tab w:val="left" w:pos="7020"/>
        </w:tabs>
        <w:wordWrap w:val="0"/>
        <w:adjustRightInd w:val="0"/>
        <w:snapToGrid w:val="0"/>
        <w:ind w:firstLine="482" w:firstLineChars="200"/>
        <w:rPr>
          <w:rFonts w:hint="eastAsia" w:hAnsi="宋体"/>
          <w:snapToGrid w:val="0"/>
          <w:kern w:val="0"/>
        </w:rPr>
      </w:pPr>
      <w:r>
        <w:rPr>
          <w:rFonts w:hint="eastAsia" w:hAnsi="宋体"/>
          <w:b/>
          <w:bCs/>
          <w:snapToGrid w:val="0"/>
          <w:kern w:val="0"/>
        </w:rPr>
        <w:t>10.3.1</w:t>
      </w:r>
      <w:r>
        <w:rPr>
          <w:rFonts w:hint="eastAsia" w:hAnsi="宋体"/>
          <w:snapToGrid w:val="0"/>
          <w:kern w:val="0"/>
        </w:rPr>
        <w:t xml:space="preserve"> 经济标书包括以下内容：</w:t>
      </w:r>
    </w:p>
    <w:p w14:paraId="01DFC373">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（1）封面（格式一）；</w:t>
      </w:r>
    </w:p>
    <w:p w14:paraId="0059C270">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（2）目录；</w:t>
      </w:r>
    </w:p>
    <w:p w14:paraId="0E84E3E3">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（3）《投标总价》；</w:t>
      </w:r>
    </w:p>
    <w:p w14:paraId="1B27317C">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说明：投标人应在招标工程量清单中填报价格，形成已标价工程量清单，同时按照</w:t>
      </w:r>
      <w:r>
        <w:rPr>
          <w:rStyle w:val="28"/>
          <w:rFonts w:hint="eastAsia" w:hAnsi="宋体"/>
          <w:kern w:val="0"/>
        </w:rPr>
        <w:t>《建设工程工程量清单计价标准》（GB/T50500-2024）</w:t>
      </w:r>
      <w:r>
        <w:rPr>
          <w:rFonts w:hint="eastAsia" w:hAnsi="宋体"/>
          <w:snapToGrid w:val="0"/>
          <w:kern w:val="0"/>
        </w:rPr>
        <w:t>有关格式和以下要求制作封面、扉页、投标报价填报说明：</w:t>
      </w:r>
    </w:p>
    <w:p w14:paraId="49A22A34">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a.投标人委托造价咨询单位编制《投标总价》的，应在《投标总价》封面（即表B.3.1）加盖造价咨询人公章，并在该封面后附造价咨询人的营业执照彩色扫描件。</w:t>
      </w:r>
    </w:p>
    <w:p w14:paraId="6D39E3A8">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b.《投标总价》扉页（即表C.3.1）后附编制人的造价工程师注册证书彩色扫描件（非电子证书须扫描至变更注册栏）。</w:t>
      </w:r>
    </w:p>
    <w:p w14:paraId="60DF8AE8">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c.《投标总价》投标报价填报说明（即表D.2.1）中的注释内容填写，尚应专项说明造价软件的名称、版本、加密锁编号。</w:t>
      </w:r>
    </w:p>
    <w:p w14:paraId="7AE0CF41">
      <w:pPr>
        <w:tabs>
          <w:tab w:val="left" w:pos="7020"/>
        </w:tabs>
        <w:wordWrap w:val="0"/>
        <w:adjustRightInd w:val="0"/>
        <w:snapToGrid w:val="0"/>
        <w:ind w:firstLine="480" w:firstLineChars="200"/>
        <w:rPr>
          <w:rFonts w:hint="eastAsia" w:hAnsi="宋体"/>
          <w:snapToGrid w:val="0"/>
          <w:kern w:val="0"/>
        </w:rPr>
      </w:pPr>
      <w:r>
        <w:rPr>
          <w:rFonts w:hint="eastAsia" w:hAnsi="宋体"/>
          <w:snapToGrid w:val="0"/>
          <w:kern w:val="0"/>
        </w:rPr>
        <w:t>（4）投标人认为有必要补充的其他资料（例如关于投标总价下浮率超过15%的书面说明和佐证材料）。</w:t>
      </w:r>
    </w:p>
    <w:p w14:paraId="1D7BDCD0">
      <w:pPr>
        <w:tabs>
          <w:tab w:val="left" w:pos="7020"/>
        </w:tabs>
        <w:wordWrap w:val="0"/>
        <w:adjustRightInd w:val="0"/>
        <w:snapToGrid w:val="0"/>
        <w:ind w:firstLine="482" w:firstLineChars="200"/>
        <w:rPr>
          <w:rFonts w:hint="eastAsia" w:hAnsi="宋体"/>
          <w:snapToGrid w:val="0"/>
          <w:kern w:val="0"/>
        </w:rPr>
      </w:pPr>
      <w:r>
        <w:rPr>
          <w:rFonts w:hint="eastAsia" w:hAnsi="宋体"/>
          <w:b/>
          <w:bCs/>
          <w:snapToGrid w:val="0"/>
          <w:kern w:val="0"/>
        </w:rPr>
        <w:t>10.3.2</w:t>
      </w:r>
      <w:r>
        <w:rPr>
          <w:rFonts w:hint="eastAsia" w:hAnsi="宋体"/>
          <w:snapToGrid w:val="0"/>
          <w:kern w:val="0"/>
        </w:rPr>
        <w:t xml:space="preserve"> 本节</w:t>
      </w:r>
      <w:r>
        <w:rPr>
          <w:rFonts w:hint="eastAsia" w:hAnsi="宋体"/>
          <w:b/>
          <w:bCs/>
          <w:snapToGrid w:val="0"/>
          <w:kern w:val="0"/>
        </w:rPr>
        <w:t>第10.3.1</w:t>
      </w:r>
      <w:r>
        <w:rPr>
          <w:rFonts w:hint="eastAsia" w:hAnsi="宋体"/>
          <w:snapToGrid w:val="0"/>
          <w:kern w:val="0"/>
        </w:rPr>
        <w:t>目中所列出的经济标书组成内容中，第（1）至第（3）项所有投标人均应提供。</w:t>
      </w:r>
    </w:p>
    <w:p w14:paraId="33D2D621">
      <w:pPr>
        <w:tabs>
          <w:tab w:val="left" w:pos="7020"/>
        </w:tabs>
        <w:wordWrap w:val="0"/>
        <w:adjustRightInd w:val="0"/>
        <w:snapToGrid w:val="0"/>
        <w:ind w:firstLine="482" w:firstLineChars="200"/>
        <w:rPr>
          <w:rFonts w:hint="eastAsia" w:hAnsi="宋体"/>
          <w:snapToGrid w:val="0"/>
          <w:kern w:val="0"/>
        </w:rPr>
      </w:pPr>
      <w:r>
        <w:rPr>
          <w:rFonts w:hint="eastAsia" w:hAnsi="宋体"/>
          <w:b/>
          <w:bCs/>
          <w:snapToGrid w:val="0"/>
          <w:kern w:val="0"/>
        </w:rPr>
        <w:t>10.3.3</w:t>
      </w:r>
      <w:r>
        <w:rPr>
          <w:rFonts w:hint="eastAsia" w:hAnsi="宋体"/>
          <w:snapToGrid w:val="0"/>
          <w:kern w:val="0"/>
        </w:rPr>
        <w:t xml:space="preserve"> 经济标书的组成内容按本节第</w:t>
      </w:r>
      <w:r>
        <w:rPr>
          <w:rFonts w:hint="eastAsia" w:hAnsi="宋体"/>
          <w:b/>
          <w:bCs/>
          <w:snapToGrid w:val="0"/>
          <w:kern w:val="0"/>
        </w:rPr>
        <w:t>10.3.1</w:t>
      </w:r>
      <w:r>
        <w:rPr>
          <w:rFonts w:hint="eastAsia" w:hAnsi="宋体"/>
          <w:snapToGrid w:val="0"/>
          <w:kern w:val="0"/>
        </w:rPr>
        <w:t>目规定的顺序整理、编排后，逐页</w:t>
      </w:r>
      <w:r>
        <w:rPr>
          <w:rFonts w:hint="eastAsia" w:hAnsi="宋体"/>
        </w:rPr>
        <w:t>（页码起始从封面开始）</w:t>
      </w:r>
      <w:r>
        <w:rPr>
          <w:rFonts w:hint="eastAsia" w:hAnsi="宋体"/>
          <w:snapToGrid w:val="0"/>
          <w:kern w:val="0"/>
        </w:rPr>
        <w:t>连续标记页码。</w:t>
      </w:r>
    </w:p>
    <w:p w14:paraId="3A6D7D2A">
      <w:pPr>
        <w:wordWrap w:val="0"/>
        <w:adjustRightInd w:val="0"/>
        <w:snapToGrid w:val="0"/>
        <w:ind w:firstLine="482" w:firstLineChars="200"/>
        <w:rPr>
          <w:rFonts w:hint="eastAsia" w:hAnsi="宋体"/>
          <w:snapToGrid w:val="0"/>
          <w:kern w:val="0"/>
        </w:rPr>
      </w:pPr>
      <w:r>
        <w:rPr>
          <w:rFonts w:hint="eastAsia" w:hAnsi="宋体"/>
          <w:b/>
          <w:bCs/>
          <w:snapToGrid w:val="0"/>
          <w:kern w:val="0"/>
        </w:rPr>
        <w:t>10.3.4</w:t>
      </w:r>
      <w:r>
        <w:rPr>
          <w:rFonts w:hint="eastAsia" w:hAnsi="宋体"/>
          <w:snapToGrid w:val="0"/>
          <w:kern w:val="0"/>
        </w:rPr>
        <w:t xml:space="preserve"> 经济标书电子文件制作要求</w:t>
      </w:r>
    </w:p>
    <w:p w14:paraId="1567918C">
      <w:pPr>
        <w:wordWrap w:val="0"/>
        <w:adjustRightInd w:val="0"/>
        <w:snapToGrid w:val="0"/>
        <w:ind w:firstLine="480" w:firstLineChars="200"/>
        <w:rPr>
          <w:rFonts w:hint="eastAsia" w:hAnsi="宋体"/>
          <w:b/>
          <w:bCs/>
          <w:snapToGrid w:val="0"/>
          <w:kern w:val="0"/>
        </w:rPr>
      </w:pPr>
      <w:r>
        <w:rPr>
          <w:rFonts w:hint="eastAsia" w:hAnsi="宋体"/>
          <w:snapToGrid w:val="0"/>
          <w:kern w:val="0"/>
        </w:rPr>
        <w:t>投标人应将经济标书的所有内容按本节第</w:t>
      </w:r>
      <w:r>
        <w:rPr>
          <w:rFonts w:hint="eastAsia" w:hAnsi="宋体"/>
          <w:b/>
          <w:bCs/>
          <w:snapToGrid w:val="0"/>
          <w:kern w:val="0"/>
        </w:rPr>
        <w:t>10.3.1</w:t>
      </w:r>
      <w:r>
        <w:rPr>
          <w:rFonts w:hint="eastAsia" w:hAnsi="宋体"/>
          <w:snapToGrid w:val="0"/>
          <w:kern w:val="0"/>
        </w:rPr>
        <w:t>目规定的顺序整理、编排后，从封面开始标记页码，作成一个PDF格式电子文件。</w:t>
      </w:r>
    </w:p>
    <w:p w14:paraId="414760CE">
      <w:pPr>
        <w:wordWrap w:val="0"/>
        <w:adjustRightInd w:val="0"/>
        <w:snapToGrid w:val="0"/>
        <w:ind w:firstLine="480"/>
        <w:rPr>
          <w:rFonts w:hint="eastAsia" w:hAnsi="宋体"/>
          <w:b/>
          <w:bCs/>
          <w:snapToGrid w:val="0"/>
          <w:kern w:val="0"/>
        </w:rPr>
      </w:pPr>
      <w:r>
        <w:rPr>
          <w:rFonts w:hint="eastAsia" w:hAnsi="宋体"/>
          <w:b/>
          <w:bCs/>
          <w:snapToGrid w:val="0"/>
          <w:kern w:val="0"/>
        </w:rPr>
        <w:t>10.4</w:t>
      </w:r>
      <w:r>
        <w:rPr>
          <w:rStyle w:val="28"/>
          <w:rFonts w:hint="eastAsia" w:hAnsi="宋体"/>
          <w:b/>
          <w:bCs/>
          <w:kern w:val="0"/>
        </w:rPr>
        <w:t xml:space="preserve"> 施工组织设计的编制要求</w:t>
      </w:r>
    </w:p>
    <w:p w14:paraId="6A599A79">
      <w:pPr>
        <w:wordWrap w:val="0"/>
        <w:adjustRightInd w:val="0"/>
        <w:ind w:firstLine="480"/>
        <w:rPr>
          <w:rFonts w:hint="eastAsia" w:hAnsi="宋体"/>
          <w:bCs/>
          <w:snapToGrid w:val="0"/>
          <w:kern w:val="0"/>
        </w:rPr>
      </w:pPr>
      <w:r>
        <w:rPr>
          <w:rFonts w:hint="eastAsia" w:hAnsi="宋体"/>
          <w:b/>
          <w:bCs/>
          <w:snapToGrid w:val="0"/>
          <w:kern w:val="0"/>
        </w:rPr>
        <w:t>10.4.1</w:t>
      </w:r>
      <w:r>
        <w:rPr>
          <w:rFonts w:hint="eastAsia" w:hAnsi="宋体"/>
          <w:snapToGrid w:val="0"/>
          <w:kern w:val="0"/>
        </w:rPr>
        <w:t xml:space="preserve"> 施工组织设计编制依据包括且不限于</w:t>
      </w:r>
      <w:r>
        <w:rPr>
          <w:rFonts w:hint="eastAsia" w:hAnsi="宋体"/>
          <w:bCs/>
          <w:snapToGrid w:val="0"/>
          <w:kern w:val="0"/>
        </w:rPr>
        <w:t>：</w:t>
      </w:r>
    </w:p>
    <w:p w14:paraId="0A87F36B">
      <w:pPr>
        <w:wordWrap w:val="0"/>
        <w:adjustRightInd w:val="0"/>
        <w:ind w:firstLine="480"/>
        <w:rPr>
          <w:rFonts w:hint="eastAsia" w:hAnsi="宋体"/>
          <w:bCs/>
          <w:snapToGrid w:val="0"/>
          <w:kern w:val="0"/>
        </w:rPr>
      </w:pPr>
      <w:r>
        <w:rPr>
          <w:rFonts w:hint="eastAsia" w:hAnsi="宋体"/>
          <w:bCs/>
          <w:snapToGrid w:val="0"/>
          <w:kern w:val="0"/>
        </w:rPr>
        <w:t>（1）招标文件及</w:t>
      </w:r>
      <w:r>
        <w:rPr>
          <w:rFonts w:hint="eastAsia" w:hAnsi="宋体"/>
          <w:snapToGrid w:val="0"/>
          <w:kern w:val="0"/>
        </w:rPr>
        <w:t>其答疑（或修改）公告；</w:t>
      </w:r>
    </w:p>
    <w:p w14:paraId="1C921316">
      <w:pPr>
        <w:wordWrap w:val="0"/>
        <w:adjustRightInd w:val="0"/>
        <w:ind w:firstLine="480"/>
        <w:rPr>
          <w:rFonts w:hint="eastAsia" w:hAnsi="宋体"/>
          <w:bCs/>
          <w:snapToGrid w:val="0"/>
          <w:kern w:val="0"/>
        </w:rPr>
      </w:pPr>
      <w:r>
        <w:rPr>
          <w:rFonts w:hint="eastAsia" w:hAnsi="宋体"/>
          <w:bCs/>
          <w:snapToGrid w:val="0"/>
          <w:kern w:val="0"/>
        </w:rPr>
        <w:t>（2）施工图及相关资料；</w:t>
      </w:r>
    </w:p>
    <w:p w14:paraId="2AF2E3D9">
      <w:pPr>
        <w:wordWrap w:val="0"/>
        <w:adjustRightInd w:val="0"/>
        <w:ind w:firstLine="480"/>
        <w:rPr>
          <w:rFonts w:hint="eastAsia" w:hAnsi="宋体"/>
          <w:bCs/>
          <w:snapToGrid w:val="0"/>
          <w:kern w:val="0"/>
        </w:rPr>
      </w:pPr>
      <w:r>
        <w:rPr>
          <w:rFonts w:hint="eastAsia" w:hAnsi="宋体"/>
          <w:bCs/>
          <w:snapToGrid w:val="0"/>
          <w:kern w:val="0"/>
        </w:rPr>
        <w:t>（3）施工现场情况、工程特点；</w:t>
      </w:r>
    </w:p>
    <w:p w14:paraId="431BBFCB">
      <w:pPr>
        <w:wordWrap w:val="0"/>
        <w:adjustRightInd w:val="0"/>
        <w:ind w:firstLine="480"/>
        <w:rPr>
          <w:rFonts w:hint="eastAsia" w:hAnsi="宋体"/>
          <w:bCs/>
          <w:snapToGrid w:val="0"/>
          <w:kern w:val="0"/>
        </w:rPr>
      </w:pPr>
      <w:r>
        <w:rPr>
          <w:rFonts w:hint="eastAsia" w:hAnsi="宋体"/>
          <w:bCs/>
          <w:snapToGrid w:val="0"/>
          <w:kern w:val="0"/>
        </w:rPr>
        <w:t>（4）相关法律法规、规定；</w:t>
      </w:r>
    </w:p>
    <w:p w14:paraId="1A999EEC">
      <w:pPr>
        <w:wordWrap w:val="0"/>
        <w:adjustRightInd w:val="0"/>
        <w:ind w:firstLine="480"/>
        <w:rPr>
          <w:rFonts w:hint="eastAsia" w:hAnsi="宋体"/>
          <w:bCs/>
          <w:snapToGrid w:val="0"/>
          <w:kern w:val="0"/>
        </w:rPr>
      </w:pPr>
      <w:r>
        <w:rPr>
          <w:rFonts w:hint="eastAsia" w:hAnsi="宋体"/>
          <w:bCs/>
          <w:snapToGrid w:val="0"/>
          <w:kern w:val="0"/>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127284DA">
      <w:pPr>
        <w:wordWrap w:val="0"/>
        <w:adjustRightInd w:val="0"/>
        <w:ind w:firstLine="480"/>
        <w:rPr>
          <w:rFonts w:hint="eastAsia" w:hAnsi="宋体"/>
          <w:snapToGrid w:val="0"/>
          <w:kern w:val="0"/>
        </w:rPr>
      </w:pPr>
      <w:r>
        <w:rPr>
          <w:rFonts w:hint="eastAsia" w:hAnsi="宋体"/>
          <w:bCs/>
          <w:snapToGrid w:val="0"/>
          <w:kern w:val="0"/>
        </w:rPr>
        <w:t>（6）企业内部标准、工法。</w:t>
      </w:r>
    </w:p>
    <w:p w14:paraId="4E5F4CC0">
      <w:pPr>
        <w:wordWrap w:val="0"/>
        <w:adjustRightInd w:val="0"/>
        <w:ind w:firstLine="482" w:firstLineChars="200"/>
        <w:rPr>
          <w:rFonts w:hint="eastAsia" w:hAnsi="宋体"/>
          <w:snapToGrid w:val="0"/>
          <w:kern w:val="0"/>
        </w:rPr>
      </w:pPr>
      <w:r>
        <w:rPr>
          <w:rFonts w:hint="eastAsia" w:hAnsi="宋体"/>
          <w:b/>
          <w:snapToGrid w:val="0"/>
          <w:kern w:val="0"/>
        </w:rPr>
        <w:t>10.4.2</w:t>
      </w:r>
      <w:r>
        <w:rPr>
          <w:rFonts w:hint="eastAsia" w:hAnsi="宋体"/>
          <w:bCs/>
          <w:snapToGrid w:val="0"/>
          <w:kern w:val="0"/>
        </w:rPr>
        <w:t xml:space="preserve"> </w:t>
      </w:r>
      <w:r>
        <w:rPr>
          <w:rFonts w:hint="eastAsia" w:hAnsi="宋体"/>
          <w:snapToGrid w:val="0"/>
          <w:kern w:val="0"/>
        </w:rPr>
        <w:t>施工组织设计包括但不限于以下内容：</w:t>
      </w:r>
    </w:p>
    <w:p w14:paraId="39104C60">
      <w:pPr>
        <w:wordWrap w:val="0"/>
        <w:adjustRightInd w:val="0"/>
        <w:snapToGrid w:val="0"/>
        <w:ind w:firstLine="480" w:firstLineChars="200"/>
        <w:rPr>
          <w:rFonts w:hint="eastAsia" w:hAnsi="宋体"/>
          <w:snapToGrid w:val="0"/>
          <w:kern w:val="0"/>
        </w:rPr>
      </w:pPr>
      <w:r>
        <w:rPr>
          <w:rFonts w:hint="eastAsia" w:hAnsi="宋体"/>
          <w:snapToGrid w:val="0"/>
          <w:kern w:val="0"/>
        </w:rPr>
        <w:t>（1）封面（格式一）；</w:t>
      </w:r>
    </w:p>
    <w:p w14:paraId="414EC48F">
      <w:pPr>
        <w:wordWrap w:val="0"/>
        <w:adjustRightInd w:val="0"/>
        <w:snapToGrid w:val="0"/>
        <w:ind w:firstLine="480" w:firstLineChars="200"/>
        <w:rPr>
          <w:rFonts w:hint="eastAsia" w:hAnsi="宋体"/>
          <w:snapToGrid w:val="0"/>
          <w:kern w:val="0"/>
        </w:rPr>
      </w:pPr>
      <w:r>
        <w:rPr>
          <w:rFonts w:hint="eastAsia" w:hAnsi="宋体"/>
          <w:snapToGrid w:val="0"/>
          <w:kern w:val="0"/>
        </w:rPr>
        <w:t>（2）目录；</w:t>
      </w:r>
    </w:p>
    <w:p w14:paraId="05D778F2">
      <w:pPr>
        <w:wordWrap w:val="0"/>
        <w:adjustRightInd w:val="0"/>
        <w:snapToGrid w:val="0"/>
        <w:ind w:firstLine="480" w:firstLineChars="200"/>
        <w:rPr>
          <w:rFonts w:hint="eastAsia" w:hAnsi="宋体"/>
          <w:snapToGrid w:val="0"/>
          <w:kern w:val="0"/>
        </w:rPr>
      </w:pPr>
      <w:r>
        <w:rPr>
          <w:rFonts w:hint="eastAsia" w:hAnsi="宋体"/>
          <w:snapToGrid w:val="0"/>
          <w:kern w:val="0"/>
        </w:rPr>
        <w:t>（3）总体概述（包括施工程序总体设想及施工段划分等内容）；</w:t>
      </w:r>
    </w:p>
    <w:p w14:paraId="36478AF8">
      <w:pPr>
        <w:wordWrap w:val="0"/>
        <w:adjustRightInd w:val="0"/>
        <w:snapToGrid w:val="0"/>
        <w:ind w:firstLine="480" w:firstLineChars="200"/>
        <w:rPr>
          <w:rFonts w:hint="eastAsia" w:hAnsi="宋体"/>
          <w:snapToGrid w:val="0"/>
          <w:kern w:val="0"/>
        </w:rPr>
      </w:pPr>
      <w:r>
        <w:rPr>
          <w:rFonts w:hint="eastAsia" w:hAnsi="宋体"/>
          <w:snapToGrid w:val="0"/>
          <w:kern w:val="0"/>
        </w:rPr>
        <w:t>（4）施工总进度计划及保证措施（包括进度管理目标；以横道图或标明关键线路的网络进度计划；保障进度计划需要的人、材、机需求计划及保证措施；违约责任承诺等内容）；</w:t>
      </w:r>
    </w:p>
    <w:p w14:paraId="71AB28A1">
      <w:pPr>
        <w:wordWrap w:val="0"/>
        <w:adjustRightInd w:val="0"/>
        <w:snapToGrid w:val="0"/>
        <w:ind w:firstLine="480" w:firstLineChars="200"/>
        <w:rPr>
          <w:rFonts w:hint="eastAsia" w:hAnsi="宋体"/>
          <w:snapToGrid w:val="0"/>
          <w:kern w:val="0"/>
        </w:rPr>
      </w:pPr>
      <w:r>
        <w:rPr>
          <w:rFonts w:hint="eastAsia" w:hAnsi="宋体"/>
          <w:snapToGrid w:val="0"/>
          <w:kern w:val="0"/>
        </w:rPr>
        <w:t>（5）质量保证措施（包括质量管理目标；相应保证措施；违约责任承诺等内容）；</w:t>
      </w:r>
    </w:p>
    <w:p w14:paraId="4E428ED7">
      <w:pPr>
        <w:wordWrap w:val="0"/>
        <w:adjustRightInd w:val="0"/>
        <w:snapToGrid w:val="0"/>
        <w:ind w:firstLine="480" w:firstLineChars="200"/>
        <w:rPr>
          <w:rFonts w:hint="eastAsia" w:hAnsi="宋体"/>
          <w:snapToGrid w:val="0"/>
          <w:kern w:val="0"/>
        </w:rPr>
      </w:pPr>
      <w:r>
        <w:rPr>
          <w:rFonts w:hint="eastAsia" w:hAnsi="宋体"/>
          <w:snapToGrid w:val="0"/>
          <w:kern w:val="0"/>
        </w:rPr>
        <w:t>（6）施工技术措施（包括关键施工技术、工艺及工程项目实施的重点、难点分析和解决方案；新技术应用与承诺等内容）；</w:t>
      </w:r>
    </w:p>
    <w:p w14:paraId="6A6EACBD">
      <w:pPr>
        <w:wordWrap w:val="0"/>
        <w:adjustRightInd w:val="0"/>
        <w:snapToGrid w:val="0"/>
        <w:ind w:firstLine="480" w:firstLineChars="200"/>
        <w:rPr>
          <w:rFonts w:hint="eastAsia" w:hAnsi="宋体"/>
          <w:snapToGrid w:val="0"/>
          <w:kern w:val="0"/>
        </w:rPr>
      </w:pPr>
      <w:r>
        <w:rPr>
          <w:rFonts w:hint="eastAsia" w:hAnsi="宋体"/>
          <w:snapToGrid w:val="0"/>
          <w:kern w:val="0"/>
        </w:rPr>
        <w:t>（7）绿色施工、安全防护、文明施工措施计划</w:t>
      </w:r>
      <w:r>
        <w:rPr>
          <w:rFonts w:hint="eastAsia" w:hAnsi="宋体"/>
          <w:b/>
          <w:bCs/>
          <w:snapToGrid w:val="0"/>
          <w:kern w:val="0"/>
        </w:rPr>
        <w:t>【应对建设单位组织的勘察设计等单位在施工招标文件中列出的危大工程清单（详见格式十四）进行投标文件回应，如有】</w:t>
      </w:r>
      <w:r>
        <w:rPr>
          <w:rFonts w:hint="eastAsia" w:hAnsi="宋体"/>
          <w:snapToGrid w:val="0"/>
          <w:kern w:val="0"/>
        </w:rPr>
        <w:t>；</w:t>
      </w:r>
    </w:p>
    <w:p w14:paraId="32E5B84F">
      <w:pPr>
        <w:wordWrap w:val="0"/>
        <w:adjustRightInd w:val="0"/>
        <w:snapToGrid w:val="0"/>
        <w:ind w:firstLine="480" w:firstLineChars="200"/>
        <w:rPr>
          <w:rFonts w:hint="eastAsia" w:hAnsi="宋体"/>
          <w:snapToGrid w:val="0"/>
          <w:kern w:val="0"/>
        </w:rPr>
      </w:pPr>
      <w:r>
        <w:rPr>
          <w:rFonts w:hint="eastAsia" w:hAnsi="宋体"/>
          <w:snapToGrid w:val="0"/>
          <w:kern w:val="0"/>
        </w:rPr>
        <w:t>（8）施工现场总平面布置（投标人应递交一份施工现场总平面布置图，绘出现场临时设施布置图表并附文字说明，说明临时设施、加工车间、现场办公、设备及仓储、供电、供水、卫生、生活、道路、消防等设施的情况和布置）；</w:t>
      </w:r>
    </w:p>
    <w:p w14:paraId="31DC8CE3">
      <w:pPr>
        <w:wordWrap w:val="0"/>
        <w:adjustRightInd w:val="0"/>
        <w:snapToGrid w:val="0"/>
        <w:ind w:firstLine="480" w:firstLineChars="200"/>
        <w:rPr>
          <w:rFonts w:hint="eastAsia" w:hAnsi="宋体"/>
          <w:snapToGrid w:val="0"/>
          <w:kern w:val="0"/>
        </w:rPr>
      </w:pPr>
      <w:r>
        <w:rPr>
          <w:rFonts w:hint="eastAsia" w:hAnsi="宋体"/>
          <w:snapToGrid w:val="0"/>
          <w:kern w:val="0"/>
        </w:rPr>
        <w:t>（9）项目管理机构；</w:t>
      </w:r>
    </w:p>
    <w:p w14:paraId="7515A04D">
      <w:pPr>
        <w:wordWrap w:val="0"/>
        <w:adjustRightInd w:val="0"/>
        <w:snapToGrid w:val="0"/>
        <w:ind w:firstLine="480" w:firstLineChars="200"/>
        <w:rPr>
          <w:rFonts w:hint="eastAsia" w:hAnsi="宋体"/>
          <w:snapToGrid w:val="0"/>
          <w:kern w:val="0"/>
        </w:rPr>
      </w:pPr>
      <w:r>
        <w:rPr>
          <w:rFonts w:hint="eastAsia" w:hAnsi="宋体"/>
          <w:snapToGrid w:val="0"/>
          <w:kern w:val="0"/>
        </w:rPr>
        <w:t>（10）投标人认为有必要补充的其他内容（例如对总包管理的认识以及对专业分包工程的管理、协调、配合、服务方案）。</w:t>
      </w:r>
    </w:p>
    <w:p w14:paraId="59B3A0E2">
      <w:pPr>
        <w:wordWrap w:val="0"/>
        <w:adjustRightInd w:val="0"/>
        <w:ind w:firstLine="482" w:firstLineChars="200"/>
        <w:rPr>
          <w:rFonts w:hint="eastAsia" w:hAnsi="宋体"/>
          <w:snapToGrid w:val="0"/>
          <w:kern w:val="0"/>
        </w:rPr>
      </w:pPr>
      <w:r>
        <w:rPr>
          <w:rFonts w:hint="eastAsia" w:hAnsi="宋体"/>
          <w:b/>
          <w:bCs/>
          <w:snapToGrid w:val="0"/>
          <w:kern w:val="0"/>
        </w:rPr>
        <w:t>10.4.3</w:t>
      </w:r>
      <w:r>
        <w:rPr>
          <w:rFonts w:hint="eastAsia" w:hAnsi="宋体"/>
          <w:snapToGrid w:val="0"/>
          <w:kern w:val="0"/>
        </w:rPr>
        <w:t xml:space="preserve"> 本节第</w:t>
      </w:r>
      <w:r>
        <w:rPr>
          <w:rFonts w:hint="eastAsia" w:hAnsi="宋体"/>
          <w:b/>
          <w:bCs/>
          <w:snapToGrid w:val="0"/>
          <w:kern w:val="0"/>
        </w:rPr>
        <w:t>10.4.2</w:t>
      </w:r>
      <w:r>
        <w:rPr>
          <w:rFonts w:hint="eastAsia" w:hAnsi="宋体"/>
          <w:snapToGrid w:val="0"/>
          <w:kern w:val="0"/>
        </w:rPr>
        <w:t>目中所列出的施工组织设计组成内容中，第（1）至第（9）项</w:t>
      </w:r>
      <w:r>
        <w:rPr>
          <w:rFonts w:hint="eastAsia" w:hAnsi="宋体"/>
          <w:snapToGrid w:val="0"/>
          <w:kern w:val="0"/>
          <w:szCs w:val="18"/>
        </w:rPr>
        <w:t>所有投标人均应提供</w:t>
      </w:r>
      <w:r>
        <w:rPr>
          <w:rFonts w:hint="eastAsia" w:hAnsi="宋体"/>
          <w:snapToGrid w:val="0"/>
          <w:kern w:val="0"/>
        </w:rPr>
        <w:t>。</w:t>
      </w:r>
    </w:p>
    <w:p w14:paraId="5B2FE221">
      <w:pPr>
        <w:wordWrap w:val="0"/>
        <w:adjustRightInd w:val="0"/>
        <w:ind w:firstLine="482" w:firstLineChars="200"/>
        <w:rPr>
          <w:rFonts w:hint="eastAsia" w:hAnsi="宋体"/>
          <w:snapToGrid w:val="0"/>
          <w:kern w:val="0"/>
        </w:rPr>
      </w:pPr>
      <w:r>
        <w:rPr>
          <w:rFonts w:hint="eastAsia" w:hAnsi="宋体"/>
          <w:b/>
          <w:bCs/>
          <w:snapToGrid w:val="0"/>
          <w:kern w:val="0"/>
        </w:rPr>
        <w:t>10.4.4</w:t>
      </w:r>
      <w:r>
        <w:rPr>
          <w:rFonts w:hint="eastAsia" w:hAnsi="宋体"/>
          <w:snapToGrid w:val="0"/>
          <w:kern w:val="0"/>
        </w:rPr>
        <w:t xml:space="preserve"> 施工组织设计的组成内容按本节第</w:t>
      </w:r>
      <w:r>
        <w:rPr>
          <w:rFonts w:hint="eastAsia" w:hAnsi="宋体"/>
          <w:b/>
          <w:bCs/>
          <w:snapToGrid w:val="0"/>
          <w:kern w:val="0"/>
        </w:rPr>
        <w:t>10.4.2</w:t>
      </w:r>
      <w:r>
        <w:rPr>
          <w:rFonts w:hint="eastAsia" w:hAnsi="宋体"/>
          <w:snapToGrid w:val="0"/>
          <w:kern w:val="0"/>
        </w:rPr>
        <w:t>目规定的顺序整理、编排后，逐页</w:t>
      </w:r>
      <w:r>
        <w:rPr>
          <w:rFonts w:hint="eastAsia" w:hAnsi="宋体"/>
        </w:rPr>
        <w:t>（页码起始从封面开始）</w:t>
      </w:r>
      <w:r>
        <w:rPr>
          <w:rFonts w:hint="eastAsia" w:hAnsi="宋体"/>
          <w:snapToGrid w:val="0"/>
          <w:kern w:val="0"/>
        </w:rPr>
        <w:t>连续标记页码。</w:t>
      </w:r>
    </w:p>
    <w:p w14:paraId="5702F8A2">
      <w:pPr>
        <w:wordWrap w:val="0"/>
        <w:adjustRightInd w:val="0"/>
        <w:ind w:firstLine="482" w:firstLineChars="200"/>
        <w:rPr>
          <w:rFonts w:hint="eastAsia" w:hAnsi="宋体"/>
          <w:bCs/>
          <w:snapToGrid w:val="0"/>
        </w:rPr>
      </w:pPr>
      <w:r>
        <w:rPr>
          <w:rFonts w:hint="eastAsia" w:hAnsi="宋体"/>
          <w:b/>
          <w:bCs/>
          <w:snapToGrid w:val="0"/>
          <w:kern w:val="0"/>
        </w:rPr>
        <w:t>10.4.5</w:t>
      </w:r>
      <w:r>
        <w:rPr>
          <w:rFonts w:hint="eastAsia" w:hAnsi="宋体"/>
          <w:snapToGrid w:val="0"/>
          <w:kern w:val="0"/>
        </w:rPr>
        <w:t xml:space="preserve"> 施工组织设计的正文除施工现场平面布置图和进度计划图用白色标准A3纸</w:t>
      </w:r>
      <w:r>
        <w:rPr>
          <w:rFonts w:hint="eastAsia" w:hAnsi="宋体"/>
          <w:bCs/>
          <w:snapToGrid w:val="0"/>
        </w:rPr>
        <w:t>设置外，其他内容一律用白色标准A4纸设置。施工组织设计的正文建议不超过150页。</w:t>
      </w:r>
    </w:p>
    <w:p w14:paraId="2809473A">
      <w:pPr>
        <w:wordWrap w:val="0"/>
        <w:adjustRightInd w:val="0"/>
        <w:snapToGrid w:val="0"/>
        <w:ind w:firstLine="482" w:firstLineChars="200"/>
        <w:rPr>
          <w:rFonts w:hint="eastAsia" w:hAnsi="宋体"/>
          <w:snapToGrid w:val="0"/>
          <w:kern w:val="0"/>
        </w:rPr>
      </w:pPr>
      <w:bookmarkStart w:id="65" w:name="_Toc20579"/>
      <w:r>
        <w:rPr>
          <w:rFonts w:hint="eastAsia" w:hAnsi="宋体"/>
          <w:b/>
          <w:bCs/>
          <w:snapToGrid w:val="0"/>
          <w:kern w:val="0"/>
        </w:rPr>
        <w:t>10.4.6</w:t>
      </w:r>
      <w:r>
        <w:rPr>
          <w:rFonts w:hint="eastAsia" w:hAnsi="宋体"/>
          <w:snapToGrid w:val="0"/>
          <w:kern w:val="0"/>
        </w:rPr>
        <w:t xml:space="preserve"> 施工组织设计电子文件制作要求</w:t>
      </w:r>
    </w:p>
    <w:p w14:paraId="06FE56E3">
      <w:pPr>
        <w:wordWrap w:val="0"/>
        <w:adjustRightInd w:val="0"/>
        <w:snapToGrid w:val="0"/>
        <w:ind w:firstLine="480"/>
        <w:rPr>
          <w:rFonts w:hint="eastAsia" w:hAnsi="宋体"/>
          <w:snapToGrid w:val="0"/>
          <w:kern w:val="0"/>
        </w:rPr>
      </w:pPr>
      <w:r>
        <w:rPr>
          <w:rFonts w:hint="eastAsia" w:hAnsi="宋体"/>
          <w:snapToGrid w:val="0"/>
          <w:kern w:val="0"/>
        </w:rPr>
        <w:t>投标人应将施工组织设计的所有内容按本节第</w:t>
      </w:r>
      <w:r>
        <w:rPr>
          <w:rFonts w:hint="eastAsia" w:hAnsi="宋体"/>
          <w:b/>
          <w:bCs/>
          <w:snapToGrid w:val="0"/>
          <w:kern w:val="0"/>
        </w:rPr>
        <w:t>10.4.1</w:t>
      </w:r>
      <w:r>
        <w:rPr>
          <w:rFonts w:hint="eastAsia" w:hAnsi="宋体"/>
          <w:snapToGrid w:val="0"/>
          <w:kern w:val="0"/>
        </w:rPr>
        <w:t>目规定的顺序整理、编排后，从封面开始标记页码，作成一个PDF格式电子文件。</w:t>
      </w:r>
    </w:p>
    <w:p w14:paraId="6657FBA2">
      <w:pPr>
        <w:wordWrap w:val="0"/>
        <w:adjustRightInd w:val="0"/>
        <w:snapToGrid w:val="0"/>
        <w:ind w:firstLine="480"/>
        <w:rPr>
          <w:rStyle w:val="28"/>
          <w:rFonts w:hint="eastAsia" w:hAnsi="宋体"/>
          <w:b/>
          <w:bCs/>
        </w:rPr>
      </w:pPr>
      <w:r>
        <w:rPr>
          <w:rStyle w:val="28"/>
          <w:rFonts w:hint="eastAsia" w:hAnsi="宋体"/>
          <w:b/>
          <w:bCs/>
        </w:rPr>
        <w:t>10.5 定标文件的编制要求：</w:t>
      </w:r>
    </w:p>
    <w:p w14:paraId="585D6665">
      <w:pPr>
        <w:wordWrap w:val="0"/>
        <w:adjustRightInd w:val="0"/>
        <w:ind w:firstLine="482" w:firstLineChars="200"/>
        <w:rPr>
          <w:rFonts w:hint="eastAsia" w:hAnsi="宋体"/>
          <w:snapToGrid w:val="0"/>
          <w:kern w:val="0"/>
        </w:rPr>
      </w:pPr>
      <w:r>
        <w:rPr>
          <w:rFonts w:hint="eastAsia" w:hAnsi="宋体"/>
          <w:b/>
          <w:bCs/>
          <w:snapToGrid w:val="0"/>
          <w:kern w:val="0"/>
        </w:rPr>
        <w:t>10.5.1</w:t>
      </w:r>
      <w:r>
        <w:rPr>
          <w:rFonts w:hint="eastAsia" w:hAnsi="宋体"/>
          <w:snapToGrid w:val="0"/>
          <w:kern w:val="0"/>
        </w:rPr>
        <w:t xml:space="preserve"> 定标文件包括以下内容：</w:t>
      </w:r>
    </w:p>
    <w:p w14:paraId="122E03CA">
      <w:pPr>
        <w:wordWrap w:val="0"/>
        <w:adjustRightInd w:val="0"/>
        <w:ind w:firstLine="480" w:firstLineChars="200"/>
        <w:rPr>
          <w:rFonts w:hint="eastAsia" w:hAnsi="宋体"/>
          <w:snapToGrid w:val="0"/>
          <w:kern w:val="0"/>
        </w:rPr>
      </w:pPr>
      <w:r>
        <w:rPr>
          <w:rFonts w:hint="eastAsia" w:hAnsi="宋体"/>
          <w:snapToGrid w:val="0"/>
          <w:kern w:val="0"/>
        </w:rPr>
        <w:t>（1）封面（格式十六）；</w:t>
      </w:r>
    </w:p>
    <w:p w14:paraId="0A5420B9">
      <w:pPr>
        <w:wordWrap w:val="0"/>
        <w:adjustRightInd w:val="0"/>
        <w:ind w:firstLine="480" w:firstLineChars="200"/>
        <w:rPr>
          <w:rFonts w:hint="eastAsia" w:hAnsi="宋体"/>
          <w:snapToGrid w:val="0"/>
          <w:kern w:val="0"/>
        </w:rPr>
      </w:pPr>
      <w:r>
        <w:rPr>
          <w:rFonts w:hint="eastAsia" w:hAnsi="宋体"/>
          <w:snapToGrid w:val="0"/>
          <w:kern w:val="0"/>
        </w:rPr>
        <w:t>（2）助力项目承诺书（格式十七）；</w:t>
      </w:r>
    </w:p>
    <w:p w14:paraId="5877FF7F">
      <w:pPr>
        <w:wordWrap w:val="0"/>
        <w:adjustRightInd w:val="0"/>
        <w:ind w:firstLine="480" w:firstLineChars="200"/>
        <w:rPr>
          <w:rFonts w:hint="eastAsia" w:hAnsi="宋体"/>
          <w:snapToGrid w:val="0"/>
          <w:kern w:val="0"/>
        </w:rPr>
      </w:pPr>
      <w:r>
        <w:rPr>
          <w:rFonts w:hint="eastAsia" w:hAnsi="宋体"/>
          <w:snapToGrid w:val="0"/>
          <w:kern w:val="0"/>
        </w:rPr>
        <w:t>（3）定标因素评审资料（格式十八）。</w:t>
      </w:r>
    </w:p>
    <w:p w14:paraId="0E917E03">
      <w:pPr>
        <w:wordWrap w:val="0"/>
        <w:adjustRightInd w:val="0"/>
        <w:ind w:firstLine="482" w:firstLineChars="200"/>
        <w:rPr>
          <w:rFonts w:hint="eastAsia" w:hAnsi="宋体"/>
          <w:snapToGrid w:val="0"/>
          <w:kern w:val="0"/>
        </w:rPr>
      </w:pPr>
      <w:r>
        <w:rPr>
          <w:rFonts w:hint="eastAsia" w:hAnsi="宋体"/>
          <w:b/>
          <w:bCs/>
          <w:snapToGrid w:val="0"/>
          <w:kern w:val="0"/>
        </w:rPr>
        <w:t>10.5.2</w:t>
      </w:r>
      <w:r>
        <w:rPr>
          <w:rFonts w:hint="eastAsia" w:hAnsi="宋体"/>
          <w:snapToGrid w:val="0"/>
          <w:kern w:val="0"/>
        </w:rPr>
        <w:t xml:space="preserve"> 本节第</w:t>
      </w:r>
      <w:r>
        <w:rPr>
          <w:rFonts w:hint="eastAsia" w:hAnsi="宋体"/>
          <w:b/>
          <w:bCs/>
          <w:snapToGrid w:val="0"/>
          <w:kern w:val="0"/>
        </w:rPr>
        <w:t>10.5.1</w:t>
      </w:r>
      <w:r>
        <w:rPr>
          <w:rFonts w:hint="eastAsia" w:hAnsi="宋体"/>
          <w:snapToGrid w:val="0"/>
          <w:kern w:val="0"/>
        </w:rPr>
        <w:t>目中所列出的组成内容中，第（1）项所有投标人均应提供。</w:t>
      </w:r>
    </w:p>
    <w:p w14:paraId="7E9BE884">
      <w:pPr>
        <w:wordWrap w:val="0"/>
        <w:adjustRightInd w:val="0"/>
        <w:ind w:firstLine="482" w:firstLineChars="200"/>
        <w:rPr>
          <w:rFonts w:hint="eastAsia" w:hAnsi="宋体"/>
          <w:snapToGrid w:val="0"/>
          <w:kern w:val="0"/>
        </w:rPr>
      </w:pPr>
      <w:r>
        <w:rPr>
          <w:rFonts w:hint="eastAsia" w:hAnsi="宋体"/>
          <w:b/>
          <w:bCs/>
          <w:snapToGrid w:val="0"/>
          <w:kern w:val="0"/>
        </w:rPr>
        <w:t xml:space="preserve">10.5.3 </w:t>
      </w:r>
      <w:r>
        <w:rPr>
          <w:rFonts w:hint="eastAsia" w:hAnsi="宋体"/>
          <w:snapToGrid w:val="0"/>
          <w:kern w:val="0"/>
        </w:rPr>
        <w:t>定标文件的组成内容按本节第</w:t>
      </w:r>
      <w:r>
        <w:rPr>
          <w:rFonts w:hint="eastAsia" w:hAnsi="宋体"/>
          <w:b/>
          <w:bCs/>
          <w:snapToGrid w:val="0"/>
          <w:kern w:val="0"/>
        </w:rPr>
        <w:t>10.5.1</w:t>
      </w:r>
      <w:r>
        <w:rPr>
          <w:rFonts w:hint="eastAsia" w:hAnsi="宋体"/>
          <w:snapToGrid w:val="0"/>
          <w:kern w:val="0"/>
        </w:rPr>
        <w:t>目规定的顺序整理、编排后，逐页（页码起始从封面开始）连续标记页码。</w:t>
      </w:r>
    </w:p>
    <w:p w14:paraId="3E340F55">
      <w:pPr>
        <w:wordWrap w:val="0"/>
        <w:adjustRightInd w:val="0"/>
        <w:snapToGrid w:val="0"/>
        <w:ind w:firstLine="482" w:firstLineChars="200"/>
        <w:rPr>
          <w:rFonts w:hint="eastAsia" w:hAnsi="宋体"/>
          <w:snapToGrid w:val="0"/>
          <w:kern w:val="0"/>
        </w:rPr>
      </w:pPr>
      <w:r>
        <w:rPr>
          <w:rFonts w:hint="eastAsia" w:hAnsi="宋体"/>
          <w:b/>
          <w:bCs/>
          <w:snapToGrid w:val="0"/>
          <w:kern w:val="0"/>
        </w:rPr>
        <w:t>10.5.4</w:t>
      </w:r>
      <w:r>
        <w:rPr>
          <w:rFonts w:hint="eastAsia" w:hAnsi="宋体"/>
          <w:snapToGrid w:val="0"/>
          <w:kern w:val="0"/>
        </w:rPr>
        <w:t xml:space="preserve"> 定标文件电子文件制作要求</w:t>
      </w:r>
    </w:p>
    <w:p w14:paraId="6E3D01A0">
      <w:pPr>
        <w:wordWrap w:val="0"/>
        <w:adjustRightInd w:val="0"/>
        <w:snapToGrid w:val="0"/>
        <w:ind w:firstLine="480"/>
        <w:rPr>
          <w:rFonts w:hint="eastAsia" w:hAnsi="宋体"/>
          <w:bCs/>
          <w:snapToGrid w:val="0"/>
        </w:rPr>
      </w:pPr>
      <w:r>
        <w:rPr>
          <w:rFonts w:hint="eastAsia" w:hAnsi="宋体"/>
          <w:snapToGrid w:val="0"/>
          <w:kern w:val="0"/>
        </w:rPr>
        <w:t>投标人应将施工组织设计的所有内容按本节第</w:t>
      </w:r>
      <w:r>
        <w:rPr>
          <w:rFonts w:hint="eastAsia" w:hAnsi="宋体"/>
          <w:b/>
          <w:bCs/>
          <w:snapToGrid w:val="0"/>
          <w:kern w:val="0"/>
        </w:rPr>
        <w:t>10.5.1</w:t>
      </w:r>
      <w:r>
        <w:rPr>
          <w:rFonts w:hint="eastAsia" w:hAnsi="宋体"/>
          <w:snapToGrid w:val="0"/>
          <w:kern w:val="0"/>
        </w:rPr>
        <w:t>目规定的顺序整理、编排后，从封面开始标记页码，作成一个PDF格式电子文件。</w:t>
      </w:r>
    </w:p>
    <w:bookmarkEnd w:id="65"/>
    <w:p w14:paraId="3574377C">
      <w:pPr>
        <w:wordWrap w:val="0"/>
        <w:adjustRightInd w:val="0"/>
        <w:ind w:firstLine="482" w:firstLineChars="200"/>
        <w:rPr>
          <w:rFonts w:hint="eastAsia" w:hAnsi="宋体"/>
          <w:b/>
          <w:snapToGrid w:val="0"/>
        </w:rPr>
      </w:pPr>
      <w:r>
        <w:rPr>
          <w:rFonts w:hint="eastAsia" w:hAnsi="宋体"/>
          <w:b/>
          <w:snapToGrid w:val="0"/>
        </w:rPr>
        <w:t>11.电子投标</w:t>
      </w:r>
    </w:p>
    <w:p w14:paraId="46815A4D">
      <w:pPr>
        <w:wordWrap w:val="0"/>
        <w:adjustRightInd w:val="0"/>
        <w:ind w:firstLine="482" w:firstLineChars="200"/>
        <w:rPr>
          <w:rFonts w:hint="eastAsia" w:hAnsi="宋体"/>
          <w:b/>
          <w:snapToGrid w:val="0"/>
        </w:rPr>
      </w:pPr>
      <w:r>
        <w:rPr>
          <w:rFonts w:hint="eastAsia" w:hAnsi="宋体"/>
          <w:b/>
          <w:snapToGrid w:val="0"/>
        </w:rPr>
        <w:t xml:space="preserve">11.1 </w:t>
      </w:r>
      <w:r>
        <w:rPr>
          <w:rFonts w:hint="eastAsia" w:hAnsi="宋体"/>
          <w:bCs/>
          <w:snapToGrid w:val="0"/>
        </w:rPr>
        <w:t>在建设工程交易系统上传加盖了电子印章的投标文件、定标文件、录入相关信息及标书页码信息，（页码起始从封面开始）并提交投标标书。提交的电子文件为已加密投标文件、定标文件。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定标文件完成上传后，投标人应使用 CA 数字证书对投标文件、定标文件进行文件加密，形成加密的投标文件、定标文件并提交。</w:t>
      </w:r>
    </w:p>
    <w:p w14:paraId="6B721609">
      <w:pPr>
        <w:wordWrap w:val="0"/>
        <w:adjustRightInd w:val="0"/>
        <w:ind w:firstLine="482" w:firstLineChars="200"/>
        <w:rPr>
          <w:rFonts w:hint="eastAsia" w:hAnsi="宋体"/>
          <w:bCs/>
          <w:snapToGrid w:val="0"/>
        </w:rPr>
      </w:pPr>
      <w:r>
        <w:rPr>
          <w:rFonts w:hint="eastAsia" w:hAnsi="宋体"/>
          <w:b/>
          <w:snapToGrid w:val="0"/>
        </w:rPr>
        <w:t xml:space="preserve">11.2 </w:t>
      </w:r>
      <w:r>
        <w:rPr>
          <w:rFonts w:hint="eastAsia" w:hAnsi="宋体"/>
          <w:bCs/>
          <w:snapToGrid w:val="0"/>
        </w:rPr>
        <w:t>电子投标文件、电子定标文件的修改、撤回：在提交投标文件截止时间前，投标人可以修改或撤回未解密的电子投标文件、电子定标文件，并于提交投标文件截止时间前将重新上传修改后的电子投标文件、电子定标文件至系统，到达投标文件提交截止时间后投标人不得撤回、补充、修改和更换投标文件、电子定标文件。</w:t>
      </w:r>
    </w:p>
    <w:p w14:paraId="12C43DD9">
      <w:pPr>
        <w:wordWrap w:val="0"/>
        <w:adjustRightInd w:val="0"/>
        <w:snapToGrid w:val="0"/>
        <w:ind w:firstLine="480"/>
        <w:rPr>
          <w:rFonts w:hint="eastAsia" w:hAnsi="宋体"/>
          <w:b/>
          <w:bCs/>
          <w:snapToGrid w:val="0"/>
          <w:kern w:val="0"/>
        </w:rPr>
      </w:pPr>
      <w:bookmarkStart w:id="66" w:name="_Toc17508"/>
    </w:p>
    <w:p w14:paraId="0D857AF0">
      <w:pPr>
        <w:wordWrap w:val="0"/>
        <w:adjustRightInd w:val="0"/>
        <w:snapToGrid w:val="0"/>
        <w:ind w:firstLine="480"/>
        <w:rPr>
          <w:rFonts w:hint="eastAsia" w:hAnsi="宋体"/>
          <w:snapToGrid w:val="0"/>
          <w:kern w:val="0"/>
        </w:rPr>
      </w:pPr>
      <w:r>
        <w:rPr>
          <w:rFonts w:hint="eastAsia" w:hAnsi="宋体"/>
          <w:b/>
          <w:bCs/>
          <w:snapToGrid w:val="0"/>
          <w:kern w:val="0"/>
        </w:rPr>
        <w:t>12. 电子投标及投标解密失败及突发情况的补救方案</w:t>
      </w:r>
      <w:bookmarkEnd w:id="66"/>
    </w:p>
    <w:p w14:paraId="54C9F924">
      <w:pPr>
        <w:wordWrap w:val="0"/>
        <w:adjustRightInd w:val="0"/>
        <w:ind w:firstLine="482" w:firstLineChars="200"/>
        <w:rPr>
          <w:rFonts w:hint="eastAsia" w:hAnsi="宋体"/>
          <w:bCs/>
          <w:strike/>
          <w:snapToGrid w:val="0"/>
          <w:u w:val="single"/>
        </w:rPr>
      </w:pPr>
      <w:r>
        <w:rPr>
          <w:rFonts w:hint="eastAsia" w:hAnsi="宋体"/>
          <w:b/>
          <w:snapToGrid w:val="0"/>
        </w:rPr>
        <w:t xml:space="preserve">12.1 </w:t>
      </w:r>
      <w:r>
        <w:rPr>
          <w:rFonts w:hint="eastAsia" w:hAnsi="宋体"/>
          <w:bCs/>
          <w:snapToGrid w:val="0"/>
        </w:rPr>
        <w:t>按照交易平台关于全流程电子化项目的相关</w:t>
      </w:r>
      <w:r>
        <w:rPr>
          <w:rFonts w:hint="eastAsia" w:hAnsi="宋体"/>
          <w:snapToGrid w:val="0"/>
          <w:kern w:val="0"/>
        </w:rPr>
        <w:t>指引</w:t>
      </w:r>
      <w:r>
        <w:rPr>
          <w:rFonts w:hint="eastAsia" w:hAnsi="宋体"/>
          <w:bCs/>
          <w:snapToGrid w:val="0"/>
        </w:rPr>
        <w:t>进行操作。详见：全国公共资源交易平台（广东省·韶关市）（https://ygp.gdzwfw.gov.cn/ggzy-portal/#/440200/index）交易指引栏目发布的最新版操作指引。</w:t>
      </w:r>
    </w:p>
    <w:p w14:paraId="6367BD82">
      <w:pPr>
        <w:wordWrap w:val="0"/>
        <w:adjustRightInd w:val="0"/>
        <w:ind w:firstLine="482" w:firstLineChars="200"/>
        <w:rPr>
          <w:rFonts w:hint="eastAsia" w:hAnsi="宋体"/>
          <w:bCs/>
          <w:snapToGrid w:val="0"/>
        </w:rPr>
      </w:pPr>
      <w:r>
        <w:rPr>
          <w:rFonts w:hint="eastAsia" w:hAnsi="宋体"/>
          <w:b/>
          <w:snapToGrid w:val="0"/>
        </w:rPr>
        <w:t xml:space="preserve">12.2 </w:t>
      </w:r>
      <w:r>
        <w:rPr>
          <w:rFonts w:hint="eastAsia" w:hAnsi="宋体"/>
          <w:bCs/>
          <w:snapToGrid w:val="0"/>
        </w:rPr>
        <w:t>补救方案：</w:t>
      </w:r>
    </w:p>
    <w:p w14:paraId="1DDDFF7E">
      <w:pPr>
        <w:widowControl w:val="0"/>
        <w:numPr>
          <w:ilvl w:val="255"/>
          <w:numId w:val="0"/>
        </w:numPr>
        <w:ind w:firstLine="482" w:firstLineChars="200"/>
        <w:textAlignment w:val="auto"/>
        <w:rPr>
          <w:rFonts w:hint="eastAsia" w:hAnsi="宋体"/>
          <w:bCs/>
          <w:snapToGrid w:val="0"/>
        </w:rPr>
      </w:pPr>
      <w:r>
        <w:rPr>
          <w:rFonts w:hint="eastAsia" w:hAnsi="宋体"/>
          <w:b/>
          <w:snapToGrid w:val="0"/>
        </w:rPr>
        <w:t xml:space="preserve">12.2.1 </w:t>
      </w:r>
      <w:r>
        <w:rPr>
          <w:rFonts w:hint="eastAsia" w:hAnsi="宋体"/>
          <w:bCs/>
          <w:snapToGrid w:val="0"/>
        </w:rPr>
        <w:t>投标文件解密失败的补救方案：</w:t>
      </w:r>
    </w:p>
    <w:p w14:paraId="689F4163">
      <w:pPr>
        <w:wordWrap w:val="0"/>
        <w:adjustRightInd w:val="0"/>
        <w:ind w:firstLine="480" w:firstLineChars="200"/>
        <w:rPr>
          <w:rFonts w:hint="eastAsia" w:hAnsi="宋体"/>
          <w:bCs/>
          <w:snapToGrid w:val="0"/>
        </w:rPr>
      </w:pPr>
      <w:r>
        <w:rPr>
          <w:rFonts w:hint="eastAsia" w:hAnsi="宋体"/>
          <w:bCs/>
          <w:snapToGrid w:val="0"/>
        </w:rPr>
        <w:t>在规定时间内，因投标人之外原因（指网络瘫痪、服务器损坏、交易系统故障短期无法恢复）等导致的电子投标文件解密失败，在开标现场解密环节由代理授权后，解密失败投标人可在交易平台在规定时间（代理机构授权后30分钟内）内重新提交投标文件继续开标程序。</w:t>
      </w:r>
    </w:p>
    <w:p w14:paraId="409C7125">
      <w:pPr>
        <w:wordWrap w:val="0"/>
        <w:adjustRightInd w:val="0"/>
        <w:ind w:firstLine="482" w:firstLineChars="200"/>
        <w:rPr>
          <w:rFonts w:hint="eastAsia" w:hAnsi="宋体"/>
          <w:bCs/>
          <w:snapToGrid w:val="0"/>
        </w:rPr>
      </w:pPr>
      <w:r>
        <w:rPr>
          <w:rFonts w:hint="eastAsia" w:hAnsi="宋体"/>
          <w:b/>
          <w:snapToGrid w:val="0"/>
        </w:rPr>
        <w:t xml:space="preserve">12.2.2 </w:t>
      </w:r>
      <w:r>
        <w:rPr>
          <w:rFonts w:hint="eastAsia" w:hAnsi="宋体"/>
          <w:bCs/>
          <w:snapToGrid w:val="0"/>
        </w:rPr>
        <w:t>评标时突发情况的补救方案</w:t>
      </w:r>
    </w:p>
    <w:p w14:paraId="4CAD6DC9">
      <w:pPr>
        <w:wordWrap w:val="0"/>
        <w:adjustRightInd w:val="0"/>
        <w:ind w:firstLine="480" w:firstLineChars="200"/>
        <w:rPr>
          <w:rFonts w:hint="eastAsia" w:hAnsi="宋体"/>
          <w:bCs/>
          <w:snapToGrid w:val="0"/>
        </w:rPr>
      </w:pPr>
      <w:r>
        <w:rPr>
          <w:rFonts w:hint="eastAsia" w:hAnsi="宋体"/>
          <w:bCs/>
          <w:snapToGrid w:val="0"/>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34598D97">
      <w:pPr>
        <w:wordWrap w:val="0"/>
        <w:adjustRightInd w:val="0"/>
        <w:ind w:firstLine="482" w:firstLineChars="200"/>
        <w:rPr>
          <w:rFonts w:hint="eastAsia" w:hAnsi="宋体"/>
          <w:bCs/>
          <w:snapToGrid w:val="0"/>
        </w:rPr>
      </w:pPr>
      <w:r>
        <w:rPr>
          <w:rFonts w:hint="eastAsia" w:hAnsi="宋体"/>
          <w:b/>
          <w:snapToGrid w:val="0"/>
        </w:rPr>
        <w:t xml:space="preserve">12.2.3 </w:t>
      </w:r>
      <w:r>
        <w:rPr>
          <w:rFonts w:hint="eastAsia" w:hAnsi="宋体"/>
          <w:bCs/>
          <w:snapToGrid w:val="0"/>
        </w:rPr>
        <w:t>除发生上述情况外，开标评标均以投标人通过交易平台网上递交的电子投标文件为准。</w:t>
      </w:r>
    </w:p>
    <w:p w14:paraId="6A999DF7">
      <w:pPr>
        <w:adjustRightInd w:val="0"/>
        <w:ind w:firstLine="482" w:firstLineChars="200"/>
        <w:rPr>
          <w:rFonts w:hint="eastAsia" w:hAnsi="宋体"/>
          <w:b/>
          <w:bCs/>
          <w:snapToGrid w:val="0"/>
          <w:kern w:val="0"/>
        </w:rPr>
      </w:pPr>
      <w:bookmarkStart w:id="67" w:name="_Toc12525"/>
    </w:p>
    <w:p w14:paraId="224DEAD8">
      <w:pPr>
        <w:adjustRightInd w:val="0"/>
        <w:ind w:firstLine="482" w:firstLineChars="200"/>
        <w:rPr>
          <w:rFonts w:hint="eastAsia" w:hAnsi="宋体"/>
          <w:b/>
          <w:bCs/>
          <w:snapToGrid w:val="0"/>
          <w:kern w:val="0"/>
        </w:rPr>
      </w:pPr>
      <w:r>
        <w:rPr>
          <w:rFonts w:hint="eastAsia" w:hAnsi="宋体"/>
          <w:b/>
          <w:bCs/>
          <w:snapToGrid w:val="0"/>
          <w:kern w:val="0"/>
        </w:rPr>
        <w:t>13.</w:t>
      </w:r>
      <w:bookmarkEnd w:id="67"/>
      <w:r>
        <w:rPr>
          <w:rFonts w:hint="eastAsia" w:hAnsi="宋体"/>
          <w:b/>
          <w:bCs/>
          <w:snapToGrid w:val="0"/>
          <w:kern w:val="0"/>
        </w:rPr>
        <w:t>投标文件及定标文件的提交</w:t>
      </w:r>
    </w:p>
    <w:p w14:paraId="22371957">
      <w:pPr>
        <w:wordWrap w:val="0"/>
        <w:adjustRightInd w:val="0"/>
        <w:snapToGrid w:val="0"/>
        <w:ind w:firstLine="482" w:firstLineChars="200"/>
        <w:rPr>
          <w:rFonts w:hint="eastAsia" w:hAnsi="宋体"/>
          <w:snapToGrid w:val="0"/>
          <w:kern w:val="0"/>
        </w:rPr>
      </w:pPr>
      <w:r>
        <w:rPr>
          <w:rFonts w:hint="eastAsia" w:hAnsi="宋体"/>
          <w:b/>
          <w:bCs/>
          <w:snapToGrid w:val="0"/>
          <w:kern w:val="0"/>
        </w:rPr>
        <w:t xml:space="preserve">13.1 </w:t>
      </w:r>
      <w:r>
        <w:rPr>
          <w:rFonts w:hint="eastAsia" w:hAnsi="宋体"/>
          <w:snapToGrid w:val="0"/>
          <w:kern w:val="0"/>
        </w:rPr>
        <w:t>在投标文件提交截止时间前，投标人通过全国公共资源交易平台（广东省·韶关市）提交已加密投标文件及定标文件。逾期提交的电子投标文件及定标文件，全国公共资源交易平台（广东省·韶关市）将予以拒收。</w:t>
      </w:r>
    </w:p>
    <w:p w14:paraId="36D3F346">
      <w:pPr>
        <w:wordWrap w:val="0"/>
        <w:adjustRightInd w:val="0"/>
        <w:snapToGrid w:val="0"/>
        <w:ind w:firstLine="482" w:firstLineChars="200"/>
        <w:rPr>
          <w:rFonts w:hint="eastAsia" w:hAnsi="宋体"/>
          <w:snapToGrid w:val="0"/>
          <w:kern w:val="0"/>
        </w:rPr>
      </w:pPr>
      <w:r>
        <w:rPr>
          <w:rFonts w:hint="eastAsia" w:hAnsi="宋体"/>
          <w:b/>
          <w:bCs/>
          <w:snapToGrid w:val="0"/>
          <w:kern w:val="0"/>
        </w:rPr>
        <w:t xml:space="preserve">13.2 </w:t>
      </w:r>
      <w:r>
        <w:rPr>
          <w:rFonts w:hint="eastAsia" w:hAnsi="宋体"/>
          <w:snapToGrid w:val="0"/>
          <w:kern w:val="0"/>
        </w:rPr>
        <w:t>提交时间和地点：见本章第二节“重要事项时间地点一览表”。</w:t>
      </w:r>
    </w:p>
    <w:p w14:paraId="7C28A802">
      <w:pPr>
        <w:pStyle w:val="7"/>
        <w:spacing w:line="360" w:lineRule="auto"/>
        <w:ind w:firstLine="482" w:firstLineChars="200"/>
        <w:rPr>
          <w:rFonts w:hint="eastAsia" w:hAnsi="宋体" w:cs="宋体"/>
          <w:bCs/>
          <w:snapToGrid w:val="0"/>
        </w:rPr>
      </w:pPr>
      <w:r>
        <w:rPr>
          <w:rFonts w:hint="eastAsia" w:hAnsi="宋体" w:cs="宋体"/>
          <w:b/>
          <w:bCs/>
          <w:snapToGrid w:val="0"/>
        </w:rPr>
        <w:t>13.3</w:t>
      </w:r>
      <w:r>
        <w:rPr>
          <w:rFonts w:hint="eastAsia" w:hAnsi="宋体" w:cs="宋体"/>
          <w:snapToGrid w:val="0"/>
        </w:rPr>
        <w:t xml:space="preserve"> 递交时间和地点：</w:t>
      </w:r>
      <w:r>
        <w:rPr>
          <w:rFonts w:hint="eastAsia" w:hAnsi="宋体" w:cs="宋体"/>
          <w:bCs/>
          <w:snapToGrid w:val="0"/>
        </w:rPr>
        <w:t>投标人法定代表人或其委托代理人（以下简称“投标人代表”）应在指定的时间和地点递交投标相关资料（如有）。</w:t>
      </w:r>
    </w:p>
    <w:p w14:paraId="3EC23DED">
      <w:pPr>
        <w:wordWrap w:val="0"/>
        <w:adjustRightInd w:val="0"/>
        <w:snapToGrid w:val="0"/>
        <w:ind w:firstLine="482" w:firstLineChars="200"/>
        <w:rPr>
          <w:rFonts w:hint="eastAsia" w:hAnsi="宋体"/>
          <w:snapToGrid w:val="0"/>
          <w:kern w:val="0"/>
        </w:rPr>
      </w:pPr>
      <w:r>
        <w:rPr>
          <w:rFonts w:hint="eastAsia" w:hAnsi="宋体"/>
          <w:b/>
          <w:bCs/>
          <w:snapToGrid w:val="0"/>
          <w:kern w:val="0"/>
        </w:rPr>
        <w:t xml:space="preserve">13.4 </w:t>
      </w:r>
      <w:r>
        <w:rPr>
          <w:rFonts w:hint="eastAsia" w:hAnsi="宋体"/>
          <w:snapToGrid w:val="0"/>
          <w:kern w:val="0"/>
        </w:rPr>
        <w:t>代理机构对因不可抗力事件造成的投标文件的损坏、丢失的，不承担责任。</w:t>
      </w:r>
    </w:p>
    <w:p w14:paraId="3CCE87D6">
      <w:pPr>
        <w:wordWrap w:val="0"/>
        <w:adjustRightInd w:val="0"/>
        <w:snapToGrid w:val="0"/>
        <w:ind w:firstLine="482" w:firstLineChars="200"/>
        <w:rPr>
          <w:rFonts w:hint="eastAsia" w:hAnsi="宋体"/>
          <w:snapToGrid w:val="0"/>
          <w:kern w:val="0"/>
        </w:rPr>
      </w:pPr>
      <w:r>
        <w:rPr>
          <w:rFonts w:hint="eastAsia" w:hAnsi="宋体"/>
          <w:b/>
          <w:bCs/>
          <w:snapToGrid w:val="0"/>
          <w:kern w:val="0"/>
        </w:rPr>
        <w:t xml:space="preserve">13.5 </w:t>
      </w:r>
      <w:r>
        <w:rPr>
          <w:rFonts w:hint="eastAsia" w:hAnsi="宋体"/>
          <w:snapToGrid w:val="0"/>
          <w:kern w:val="0"/>
        </w:rPr>
        <w:t>出现下述情形之一，属于未成功提交投标文件，按无效投标处理：</w:t>
      </w:r>
    </w:p>
    <w:p w14:paraId="5A3DF54E">
      <w:pPr>
        <w:numPr>
          <w:ilvl w:val="255"/>
          <w:numId w:val="0"/>
        </w:numPr>
        <w:wordWrap w:val="0"/>
        <w:adjustRightInd w:val="0"/>
        <w:snapToGrid w:val="0"/>
        <w:ind w:firstLine="480" w:firstLineChars="200"/>
        <w:rPr>
          <w:rFonts w:hint="eastAsia" w:hAnsi="宋体"/>
          <w:snapToGrid w:val="0"/>
          <w:kern w:val="0"/>
        </w:rPr>
      </w:pPr>
      <w:r>
        <w:rPr>
          <w:rFonts w:hint="eastAsia" w:hAnsi="宋体"/>
          <w:snapToGrid w:val="0"/>
          <w:kern w:val="0"/>
        </w:rPr>
        <w:t>（1）至提交投标文件截止时，投标文件未完整上传及提交标书；</w:t>
      </w:r>
    </w:p>
    <w:p w14:paraId="15F8A601">
      <w:pPr>
        <w:numPr>
          <w:ilvl w:val="255"/>
          <w:numId w:val="0"/>
        </w:numPr>
        <w:wordWrap w:val="0"/>
        <w:adjustRightInd w:val="0"/>
        <w:snapToGrid w:val="0"/>
        <w:ind w:firstLine="480" w:firstLineChars="200"/>
        <w:rPr>
          <w:rFonts w:hint="eastAsia" w:hAnsi="宋体"/>
          <w:snapToGrid w:val="0"/>
          <w:kern w:val="0"/>
        </w:rPr>
      </w:pPr>
      <w:r>
        <w:rPr>
          <w:rFonts w:hint="eastAsia" w:hAnsi="宋体"/>
          <w:snapToGrid w:val="0"/>
          <w:kern w:val="0"/>
        </w:rPr>
        <w:t>（2）解密失败且在规定时间内未重新提交投标文件的；</w:t>
      </w:r>
    </w:p>
    <w:p w14:paraId="7F0520B8">
      <w:pPr>
        <w:numPr>
          <w:ilvl w:val="255"/>
          <w:numId w:val="0"/>
        </w:numPr>
        <w:wordWrap w:val="0"/>
        <w:adjustRightInd w:val="0"/>
        <w:snapToGrid w:val="0"/>
        <w:ind w:firstLine="480" w:firstLineChars="200"/>
        <w:rPr>
          <w:rFonts w:hint="eastAsia" w:hAnsi="宋体"/>
          <w:snapToGrid w:val="0"/>
          <w:kern w:val="0"/>
        </w:rPr>
      </w:pPr>
      <w:r>
        <w:rPr>
          <w:rFonts w:hint="eastAsia" w:hAnsi="宋体"/>
          <w:snapToGrid w:val="0"/>
          <w:kern w:val="0"/>
        </w:rPr>
        <w:t>（3）投标文件损坏或格式不正确的。</w:t>
      </w:r>
    </w:p>
    <w:p w14:paraId="02C52111">
      <w:pPr>
        <w:numPr>
          <w:ilvl w:val="255"/>
          <w:numId w:val="0"/>
        </w:numPr>
        <w:wordWrap w:val="0"/>
        <w:adjustRightInd w:val="0"/>
        <w:snapToGrid w:val="0"/>
        <w:ind w:firstLine="482" w:firstLineChars="200"/>
        <w:jc w:val="left"/>
        <w:rPr>
          <w:rFonts w:hint="eastAsia" w:hAnsi="宋体"/>
          <w:snapToGrid w:val="0"/>
          <w:kern w:val="0"/>
        </w:rPr>
      </w:pPr>
      <w:r>
        <w:rPr>
          <w:rFonts w:hint="eastAsia" w:hAnsi="宋体"/>
          <w:b/>
          <w:bCs/>
          <w:snapToGrid w:val="0"/>
          <w:kern w:val="0"/>
          <w:lang w:bidi="ar"/>
        </w:rPr>
        <w:t xml:space="preserve">13.6 </w:t>
      </w:r>
      <w:r>
        <w:rPr>
          <w:rFonts w:hint="eastAsia" w:hAnsi="宋体"/>
          <w:snapToGrid w:val="0"/>
          <w:kern w:val="0"/>
          <w:lang w:bidi="ar"/>
        </w:rPr>
        <w:t>联合体投标的，由联合体牵头人按以上要求递交相关资料。</w:t>
      </w:r>
    </w:p>
    <w:p w14:paraId="5F924425">
      <w:pPr>
        <w:ind w:firstLine="482" w:firstLineChars="200"/>
        <w:rPr>
          <w:rFonts w:hint="eastAsia" w:hAnsi="宋体"/>
          <w:strike/>
        </w:rPr>
      </w:pPr>
      <w:r>
        <w:rPr>
          <w:rFonts w:hint="eastAsia" w:hAnsi="宋体"/>
          <w:b/>
          <w:bCs/>
          <w:snapToGrid w:val="0"/>
          <w:kern w:val="0"/>
        </w:rPr>
        <w:t xml:space="preserve">13.7 </w:t>
      </w:r>
      <w:r>
        <w:rPr>
          <w:rFonts w:hint="eastAsia" w:hAnsi="宋体"/>
          <w:snapToGrid w:val="0"/>
          <w:kern w:val="0"/>
        </w:rPr>
        <w:t>本次招标投标有效期为90日历天，投标有效期从提交投标文件的截止之日起计算。在此期间，投标人不得撤销或修改其投标文件，否则其投标保证不予退还。</w:t>
      </w:r>
    </w:p>
    <w:p w14:paraId="094D176A">
      <w:pPr>
        <w:adjustRightInd w:val="0"/>
        <w:ind w:firstLine="482" w:firstLineChars="200"/>
        <w:rPr>
          <w:rFonts w:hint="eastAsia" w:hAnsi="宋体"/>
          <w:b/>
          <w:bCs/>
          <w:snapToGrid w:val="0"/>
          <w:kern w:val="0"/>
        </w:rPr>
      </w:pPr>
      <w:bookmarkStart w:id="68" w:name="_Toc29880"/>
    </w:p>
    <w:p w14:paraId="6D87EB10">
      <w:pPr>
        <w:adjustRightInd w:val="0"/>
        <w:ind w:firstLine="482" w:firstLineChars="200"/>
        <w:rPr>
          <w:rFonts w:hint="eastAsia" w:hAnsi="宋体"/>
          <w:b/>
          <w:bCs/>
          <w:snapToGrid w:val="0"/>
          <w:kern w:val="0"/>
        </w:rPr>
      </w:pPr>
      <w:r>
        <w:rPr>
          <w:rFonts w:hint="eastAsia" w:hAnsi="宋体"/>
          <w:b/>
          <w:bCs/>
          <w:snapToGrid w:val="0"/>
          <w:kern w:val="0"/>
        </w:rPr>
        <w:t>14.开标</w:t>
      </w:r>
      <w:bookmarkEnd w:id="68"/>
    </w:p>
    <w:p w14:paraId="1251AF70">
      <w:pPr>
        <w:ind w:firstLine="482" w:firstLineChars="200"/>
        <w:rPr>
          <w:rFonts w:hint="eastAsia" w:hAnsi="宋体"/>
          <w:snapToGrid w:val="0"/>
          <w:kern w:val="0"/>
        </w:rPr>
      </w:pPr>
      <w:r>
        <w:rPr>
          <w:rFonts w:hint="eastAsia" w:hAnsi="宋体"/>
          <w:b/>
          <w:bCs/>
          <w:snapToGrid w:val="0"/>
          <w:kern w:val="0"/>
        </w:rPr>
        <w:t>14.1</w:t>
      </w:r>
      <w:r>
        <w:rPr>
          <w:rFonts w:hint="eastAsia" w:hAnsi="宋体"/>
          <w:snapToGrid w:val="0"/>
          <w:kern w:val="0"/>
        </w:rPr>
        <w:t xml:space="preserve"> 招标人邀请所有正确获取招标文件、电子投标、缴纳投标保证的投标人参加开标，投标人可自主决定是否参加。投标人可登录交易平台观看开标实况、提出异议或进行澄清、确认等操作（具体按招标文件和系统操作手册为准）。投标人不参加开标的，视其默认开标结果，以及放弃在开标期间见证、监督、投诉、申辩的权利。</w:t>
      </w:r>
    </w:p>
    <w:p w14:paraId="62C42172">
      <w:pPr>
        <w:ind w:firstLine="482" w:firstLineChars="200"/>
        <w:rPr>
          <w:rFonts w:hint="eastAsia" w:hAnsi="宋体"/>
          <w:snapToGrid w:val="0"/>
          <w:kern w:val="0"/>
        </w:rPr>
      </w:pPr>
      <w:r>
        <w:rPr>
          <w:rFonts w:hint="eastAsia" w:hAnsi="宋体"/>
          <w:b/>
          <w:bCs/>
          <w:snapToGrid w:val="0"/>
          <w:kern w:val="0"/>
        </w:rPr>
        <w:t>14.1.1</w:t>
      </w:r>
      <w:r>
        <w:rPr>
          <w:rFonts w:hint="eastAsia" w:hAnsi="宋体"/>
          <w:snapToGrid w:val="0"/>
          <w:kern w:val="0"/>
        </w:rPr>
        <w:t xml:space="preserve"> 开标时间和地点：见本章第二节“重要事项时间地点一览表”。</w:t>
      </w:r>
    </w:p>
    <w:p w14:paraId="1943F060">
      <w:pPr>
        <w:wordWrap w:val="0"/>
        <w:ind w:firstLine="482" w:firstLineChars="200"/>
        <w:rPr>
          <w:rFonts w:hint="eastAsia" w:hAnsi="宋体"/>
          <w:snapToGrid w:val="0"/>
          <w:kern w:val="0"/>
        </w:rPr>
      </w:pPr>
      <w:r>
        <w:rPr>
          <w:rFonts w:hint="eastAsia" w:hAnsi="宋体"/>
          <w:b/>
          <w:bCs/>
          <w:snapToGrid w:val="0"/>
          <w:kern w:val="0"/>
        </w:rPr>
        <w:t>14.1.2</w:t>
      </w:r>
      <w:r>
        <w:rPr>
          <w:rFonts w:hint="eastAsia" w:hAnsi="宋体"/>
          <w:snapToGrid w:val="0"/>
          <w:kern w:val="0"/>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全国公共资源交易平台（广东省·韶关市）（https://ygp.gdzwfw.gov.cn/ggzy-portal/#/440200/index）查询是否发布了取消开标活动的相关信息。</w:t>
      </w:r>
    </w:p>
    <w:p w14:paraId="5E69642C">
      <w:pPr>
        <w:wordWrap w:val="0"/>
        <w:ind w:firstLine="482" w:firstLineChars="200"/>
        <w:rPr>
          <w:rFonts w:hint="eastAsia" w:hAnsi="宋体"/>
          <w:snapToGrid w:val="0"/>
          <w:kern w:val="0"/>
        </w:rPr>
      </w:pPr>
      <w:r>
        <w:rPr>
          <w:rFonts w:hint="eastAsia" w:hAnsi="宋体"/>
          <w:b/>
          <w:bCs/>
          <w:snapToGrid w:val="0"/>
          <w:kern w:val="0"/>
        </w:rPr>
        <w:t xml:space="preserve">14.1.3 </w:t>
      </w:r>
      <w:r>
        <w:rPr>
          <w:rFonts w:hint="eastAsia" w:hAnsi="宋体"/>
          <w:snapToGrid w:val="0"/>
          <w:kern w:val="0"/>
        </w:rPr>
        <w:t>本项目实行全流程电子化招标投标，投标人在交易平台按要求上传加盖电子印章并经加密的电子投标文件，并在交易平台录入准确的页码信息即可完成在线投标。由于投标人原因导致未按投标截止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0C34C8E6">
      <w:pPr>
        <w:wordWrap w:val="0"/>
        <w:adjustRightInd w:val="0"/>
        <w:snapToGrid w:val="0"/>
        <w:ind w:firstLine="480"/>
        <w:rPr>
          <w:rFonts w:hint="eastAsia" w:hAnsi="宋体"/>
          <w:snapToGrid w:val="0"/>
          <w:kern w:val="0"/>
        </w:rPr>
      </w:pPr>
      <w:r>
        <w:rPr>
          <w:rFonts w:hint="eastAsia" w:hAnsi="宋体"/>
          <w:b/>
          <w:bCs/>
          <w:snapToGrid w:val="0"/>
          <w:kern w:val="0"/>
        </w:rPr>
        <w:t xml:space="preserve">14.2 </w:t>
      </w:r>
      <w:r>
        <w:rPr>
          <w:rFonts w:hint="eastAsia" w:hAnsi="宋体"/>
          <w:snapToGrid w:val="0"/>
          <w:kern w:val="0"/>
        </w:rPr>
        <w:t>开标程序</w:t>
      </w:r>
    </w:p>
    <w:p w14:paraId="600BDC05">
      <w:pPr>
        <w:wordWrap w:val="0"/>
        <w:adjustRightInd w:val="0"/>
        <w:snapToGrid w:val="0"/>
        <w:ind w:firstLine="480" w:firstLineChars="200"/>
        <w:rPr>
          <w:rFonts w:hint="eastAsia" w:hAnsi="宋体"/>
          <w:snapToGrid w:val="0"/>
          <w:kern w:val="0"/>
        </w:rPr>
      </w:pPr>
      <w:r>
        <w:rPr>
          <w:rFonts w:hint="eastAsia" w:hAnsi="宋体"/>
          <w:snapToGrid w:val="0"/>
          <w:kern w:val="0"/>
        </w:rPr>
        <w:t>（1）主持人（招标人代表或招标人授权的招标代理机构人员）宣读开标纪律。</w:t>
      </w:r>
    </w:p>
    <w:p w14:paraId="42049C0F">
      <w:pPr>
        <w:wordWrap w:val="0"/>
        <w:adjustRightInd w:val="0"/>
        <w:snapToGrid w:val="0"/>
        <w:ind w:firstLine="480" w:firstLineChars="200"/>
        <w:rPr>
          <w:rFonts w:hint="eastAsia" w:hAnsi="宋体"/>
          <w:snapToGrid w:val="0"/>
          <w:kern w:val="0"/>
        </w:rPr>
      </w:pPr>
      <w:r>
        <w:rPr>
          <w:rFonts w:hint="eastAsia" w:hAnsi="宋体"/>
          <w:snapToGrid w:val="0"/>
          <w:kern w:val="0"/>
        </w:rPr>
        <w:t>（2）主持人宣布唱标人、记录人、见证人、监督人等有关人员姓名。</w:t>
      </w:r>
    </w:p>
    <w:p w14:paraId="45E3C909">
      <w:pPr>
        <w:wordWrap w:val="0"/>
        <w:adjustRightInd w:val="0"/>
        <w:snapToGrid w:val="0"/>
        <w:ind w:firstLine="480" w:firstLineChars="200"/>
        <w:rPr>
          <w:rFonts w:hint="eastAsia" w:hAnsi="宋体"/>
          <w:snapToGrid w:val="0"/>
          <w:kern w:val="0"/>
        </w:rPr>
      </w:pPr>
      <w:r>
        <w:rPr>
          <w:rFonts w:hint="eastAsia" w:hAnsi="宋体"/>
          <w:snapToGrid w:val="0"/>
          <w:kern w:val="0"/>
        </w:rPr>
        <w:t>（3）唱标人公布在投标截止时间前进行投标文件的投标人数量和名称。</w:t>
      </w:r>
    </w:p>
    <w:p w14:paraId="4EA43316">
      <w:pPr>
        <w:wordWrap w:val="0"/>
        <w:adjustRightInd w:val="0"/>
        <w:snapToGrid w:val="0"/>
        <w:ind w:firstLine="480" w:firstLineChars="200"/>
        <w:rPr>
          <w:rFonts w:hint="eastAsia" w:hAnsi="宋体"/>
        </w:rPr>
      </w:pPr>
      <w:r>
        <w:rPr>
          <w:rFonts w:hint="eastAsia" w:hAnsi="宋体"/>
          <w:snapToGrid w:val="0"/>
          <w:kern w:val="0"/>
        </w:rPr>
        <w:t>（4）</w:t>
      </w:r>
      <w:r>
        <w:rPr>
          <w:rFonts w:hint="eastAsia" w:hAnsi="宋体"/>
        </w:rPr>
        <w:t>招标代理机构在交易场所工作人员的见证下，对投标人的电子投标信息进行解密，</w:t>
      </w:r>
      <w:r>
        <w:rPr>
          <w:rFonts w:hint="eastAsia" w:hAnsi="宋体"/>
          <w:snapToGrid w:val="0"/>
          <w:kern w:val="0"/>
        </w:rPr>
        <w:t>建设工程交易系统</w:t>
      </w:r>
      <w:r>
        <w:rPr>
          <w:rFonts w:hint="eastAsia" w:hAnsi="宋体"/>
        </w:rPr>
        <w:t>自动生成《投标保证缴纳情况表》和《开标一览表》。</w:t>
      </w:r>
    </w:p>
    <w:p w14:paraId="0C48C483">
      <w:pPr>
        <w:wordWrap w:val="0"/>
        <w:adjustRightInd w:val="0"/>
        <w:snapToGrid w:val="0"/>
        <w:ind w:firstLine="482" w:firstLineChars="200"/>
        <w:rPr>
          <w:rFonts w:hint="eastAsia" w:hAnsi="宋体"/>
        </w:rPr>
      </w:pPr>
      <w:r>
        <w:rPr>
          <w:rFonts w:hint="eastAsia" w:hAnsi="宋体"/>
          <w:b/>
          <w:bCs/>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5EA7902F">
      <w:pPr>
        <w:wordWrap w:val="0"/>
        <w:adjustRightInd w:val="0"/>
        <w:snapToGrid w:val="0"/>
        <w:ind w:firstLine="482" w:firstLineChars="200"/>
        <w:rPr>
          <w:rFonts w:hint="eastAsia" w:hAnsi="宋体"/>
          <w:snapToGrid w:val="0"/>
          <w:kern w:val="0"/>
        </w:rPr>
      </w:pPr>
      <w:r>
        <w:rPr>
          <w:rFonts w:hint="eastAsia" w:hAnsi="宋体"/>
          <w:b/>
          <w:bCs/>
          <w:snapToGrid w:val="0"/>
          <w:kern w:val="0"/>
        </w:rPr>
        <w:t xml:space="preserve">14.3 </w:t>
      </w:r>
      <w:r>
        <w:rPr>
          <w:rFonts w:hint="eastAsia" w:hAnsi="宋体"/>
          <w:snapToGrid w:val="0"/>
          <w:kern w:val="0"/>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5D53368F">
      <w:pPr>
        <w:wordWrap w:val="0"/>
        <w:adjustRightInd w:val="0"/>
        <w:snapToGrid w:val="0"/>
        <w:ind w:firstLine="482" w:firstLineChars="200"/>
        <w:rPr>
          <w:rFonts w:hint="eastAsia" w:hAnsi="宋体"/>
        </w:rPr>
      </w:pPr>
      <w:r>
        <w:rPr>
          <w:rFonts w:hint="eastAsia" w:hAnsi="宋体"/>
          <w:b/>
          <w:bCs/>
          <w:snapToGrid w:val="0"/>
          <w:kern w:val="0"/>
        </w:rPr>
        <w:t xml:space="preserve">14.4 </w:t>
      </w:r>
      <w:bookmarkStart w:id="69" w:name="_Hlt127093805"/>
      <w:bookmarkEnd w:id="69"/>
      <w:r>
        <w:rPr>
          <w:rFonts w:hint="eastAsia" w:hAnsi="宋体"/>
          <w:snapToGrid w:val="0"/>
          <w:kern w:val="0"/>
        </w:rPr>
        <w:t>招标代理机构将资料原件（如有）、《开标一览表》以及其他有关资料移交评标委员会。</w:t>
      </w:r>
    </w:p>
    <w:p w14:paraId="5C6103D5">
      <w:pPr>
        <w:pStyle w:val="32"/>
        <w:snapToGrid w:val="0"/>
        <w:ind w:firstLine="480"/>
        <w:jc w:val="both"/>
        <w:rPr>
          <w:rStyle w:val="28"/>
          <w:rFonts w:hint="eastAsia" w:hAnsi="宋体"/>
          <w:b/>
          <w:bCs/>
        </w:rPr>
      </w:pPr>
    </w:p>
    <w:p w14:paraId="10DCF433">
      <w:pPr>
        <w:pStyle w:val="32"/>
        <w:snapToGrid w:val="0"/>
        <w:ind w:firstLine="480"/>
        <w:jc w:val="both"/>
        <w:rPr>
          <w:rStyle w:val="28"/>
          <w:rFonts w:hint="eastAsia" w:hAnsi="宋体"/>
          <w:b/>
          <w:bCs/>
        </w:rPr>
      </w:pPr>
      <w:r>
        <w:rPr>
          <w:rStyle w:val="28"/>
          <w:rFonts w:hint="eastAsia" w:hAnsi="宋体"/>
          <w:b/>
          <w:bCs/>
        </w:rPr>
        <w:t>15.评标</w:t>
      </w:r>
    </w:p>
    <w:p w14:paraId="0790F8A3">
      <w:pPr>
        <w:snapToGrid w:val="0"/>
        <w:ind w:firstLine="480" w:firstLineChars="200"/>
        <w:rPr>
          <w:rStyle w:val="28"/>
          <w:rFonts w:hint="eastAsia" w:hAnsi="宋体"/>
          <w:kern w:val="0"/>
        </w:rPr>
      </w:pPr>
      <w:r>
        <w:rPr>
          <w:rStyle w:val="28"/>
          <w:rFonts w:hint="eastAsia" w:hAnsi="宋体"/>
          <w:kern w:val="0"/>
        </w:rPr>
        <w:t>评标分为初步评审和详细评审两个阶段，由评标委员会在有关部门的监督下，严格按照本招标文件指定的评标方法，对投标人的投标文件进行审查、评审。</w:t>
      </w:r>
    </w:p>
    <w:p w14:paraId="5F9F29DA">
      <w:pPr>
        <w:snapToGrid w:val="0"/>
        <w:ind w:firstLine="482" w:firstLineChars="200"/>
        <w:rPr>
          <w:rStyle w:val="28"/>
          <w:rFonts w:hint="eastAsia" w:hAnsi="宋体"/>
          <w:kern w:val="0"/>
        </w:rPr>
      </w:pPr>
      <w:r>
        <w:rPr>
          <w:rStyle w:val="28"/>
          <w:rFonts w:hint="eastAsia" w:hAnsi="宋体"/>
          <w:b/>
          <w:bCs/>
          <w:kern w:val="0"/>
        </w:rPr>
        <w:t>15.1</w:t>
      </w:r>
      <w:r>
        <w:rPr>
          <w:rStyle w:val="28"/>
          <w:rFonts w:hint="eastAsia" w:hAnsi="宋体"/>
          <w:kern w:val="0"/>
        </w:rPr>
        <w:t xml:space="preserve"> 评标委员会</w:t>
      </w:r>
    </w:p>
    <w:p w14:paraId="78158993">
      <w:pPr>
        <w:snapToGrid w:val="0"/>
        <w:ind w:firstLine="482" w:firstLineChars="200"/>
        <w:rPr>
          <w:rStyle w:val="28"/>
          <w:rFonts w:hint="eastAsia" w:hAnsi="宋体"/>
          <w:kern w:val="0"/>
        </w:rPr>
      </w:pPr>
      <w:r>
        <w:rPr>
          <w:rStyle w:val="28"/>
          <w:rFonts w:hint="eastAsia" w:hAnsi="宋体"/>
          <w:b/>
          <w:bCs/>
          <w:kern w:val="0"/>
        </w:rPr>
        <w:t xml:space="preserve">15.1.1 </w:t>
      </w:r>
      <w:r>
        <w:rPr>
          <w:rStyle w:val="28"/>
          <w:rFonts w:hint="eastAsia" w:hAnsi="宋体"/>
          <w:kern w:val="0"/>
        </w:rPr>
        <w:t>本项目根据《广东省发展和改革委员会等部门关于印发广东省远程异地评标招标项目范围规定（试行）的通知》（粤发改规〔2026〕8号）文件要求，本项目采用省域内远程异地评标方式。评标委员会由</w:t>
      </w:r>
      <w:r>
        <w:rPr>
          <w:rStyle w:val="28"/>
          <w:rFonts w:hint="eastAsia" w:hAnsi="宋体"/>
          <w:kern w:val="0"/>
          <w:u w:val="single"/>
        </w:rPr>
        <w:t>5</w:t>
      </w:r>
      <w:r>
        <w:rPr>
          <w:rStyle w:val="28"/>
          <w:rFonts w:hint="eastAsia" w:hAnsi="宋体"/>
          <w:kern w:val="0"/>
        </w:rPr>
        <w:t>人组成，其中招标人代表</w:t>
      </w:r>
      <w:r>
        <w:rPr>
          <w:rStyle w:val="28"/>
          <w:rFonts w:hint="eastAsia" w:hAnsi="宋体"/>
          <w:kern w:val="0"/>
          <w:u w:val="single"/>
        </w:rPr>
        <w:t>1</w:t>
      </w:r>
      <w:r>
        <w:rPr>
          <w:rStyle w:val="28"/>
          <w:rFonts w:hint="eastAsia" w:hAnsi="宋体"/>
          <w:kern w:val="0"/>
        </w:rPr>
        <w:t>人，专家</w:t>
      </w:r>
      <w:r>
        <w:rPr>
          <w:rStyle w:val="28"/>
          <w:rFonts w:hint="eastAsia" w:hAnsi="宋体"/>
          <w:kern w:val="0"/>
          <w:u w:val="single"/>
        </w:rPr>
        <w:t>4</w:t>
      </w:r>
      <w:r>
        <w:rPr>
          <w:rStyle w:val="28"/>
          <w:rFonts w:hint="eastAsia" w:hAnsi="宋体"/>
          <w:kern w:val="0"/>
        </w:rPr>
        <w:t>人。专家从广东省综合评标评审专家库中随机抽取。评标委员会设负责人，由评标委员会成员推举产生。评标委员会负责人与评标委员会的其他成员有同等的表决权。</w:t>
      </w:r>
    </w:p>
    <w:p w14:paraId="6D4BD67E">
      <w:pPr>
        <w:snapToGrid w:val="0"/>
        <w:ind w:firstLine="482" w:firstLineChars="200"/>
        <w:rPr>
          <w:rStyle w:val="28"/>
          <w:rFonts w:hint="eastAsia" w:hAnsi="宋体"/>
          <w:kern w:val="0"/>
        </w:rPr>
      </w:pPr>
      <w:r>
        <w:rPr>
          <w:rStyle w:val="28"/>
          <w:rFonts w:hint="eastAsia" w:hAnsi="宋体"/>
          <w:b/>
          <w:bCs/>
          <w:kern w:val="0"/>
        </w:rPr>
        <w:t>15.1.2</w:t>
      </w:r>
      <w:r>
        <w:rPr>
          <w:rStyle w:val="28"/>
          <w:rFonts w:hint="eastAsia" w:hAnsi="宋体"/>
          <w:kern w:val="0"/>
        </w:rPr>
        <w:t xml:space="preserve"> 评标委员会应认真、公正、诚实、廉洁地履行职责。有下列情形之一的，不得担任评标委员会成员：</w:t>
      </w:r>
    </w:p>
    <w:p w14:paraId="117096FD">
      <w:pPr>
        <w:snapToGrid w:val="0"/>
        <w:ind w:firstLine="560"/>
        <w:rPr>
          <w:rStyle w:val="28"/>
          <w:rFonts w:hint="eastAsia" w:hAnsi="宋体"/>
          <w:kern w:val="0"/>
        </w:rPr>
      </w:pPr>
      <w:r>
        <w:rPr>
          <w:rStyle w:val="28"/>
          <w:rFonts w:hint="eastAsia" w:hAnsi="宋体"/>
          <w:kern w:val="0"/>
        </w:rPr>
        <w:t>（1）投标人或投标人主要负责人的近亲属；</w:t>
      </w:r>
    </w:p>
    <w:p w14:paraId="275D1B17">
      <w:pPr>
        <w:snapToGrid w:val="0"/>
        <w:ind w:firstLine="560"/>
        <w:rPr>
          <w:rStyle w:val="28"/>
          <w:rFonts w:hint="eastAsia" w:hAnsi="宋体"/>
          <w:kern w:val="0"/>
        </w:rPr>
      </w:pPr>
      <w:r>
        <w:rPr>
          <w:rStyle w:val="28"/>
          <w:rFonts w:hint="eastAsia" w:hAnsi="宋体"/>
          <w:kern w:val="0"/>
        </w:rPr>
        <w:t>（2）项目主管部门或者行政监督部门的人员；</w:t>
      </w:r>
    </w:p>
    <w:p w14:paraId="39E4F728">
      <w:pPr>
        <w:snapToGrid w:val="0"/>
        <w:ind w:firstLine="560"/>
        <w:rPr>
          <w:rStyle w:val="28"/>
          <w:rFonts w:hint="eastAsia" w:hAnsi="宋体"/>
          <w:kern w:val="0"/>
        </w:rPr>
      </w:pPr>
      <w:r>
        <w:rPr>
          <w:rStyle w:val="28"/>
          <w:rFonts w:hint="eastAsia" w:hAnsi="宋体"/>
          <w:kern w:val="0"/>
        </w:rPr>
        <w:t>（3）与投标人有经济利益关系，可能影响对投标公正评审的；</w:t>
      </w:r>
    </w:p>
    <w:p w14:paraId="1FEA7D0B">
      <w:pPr>
        <w:snapToGrid w:val="0"/>
        <w:ind w:firstLine="560"/>
        <w:rPr>
          <w:rStyle w:val="28"/>
          <w:rFonts w:hint="eastAsia" w:hAnsi="宋体"/>
          <w:kern w:val="0"/>
        </w:rPr>
      </w:pPr>
      <w:r>
        <w:rPr>
          <w:rStyle w:val="28"/>
          <w:rFonts w:hint="eastAsia" w:hAnsi="宋体"/>
          <w:kern w:val="0"/>
        </w:rPr>
        <w:t>（4）曾因在招标、评标以及其他与招标投标有关活动中从事违法行为而受过行政处罚或刑事处罚的。</w:t>
      </w:r>
    </w:p>
    <w:p w14:paraId="01CBDBBA">
      <w:pPr>
        <w:snapToGrid w:val="0"/>
        <w:ind w:firstLine="480" w:firstLineChars="200"/>
        <w:rPr>
          <w:rStyle w:val="28"/>
          <w:rFonts w:hint="eastAsia" w:hAnsi="宋体"/>
          <w:kern w:val="0"/>
        </w:rPr>
      </w:pPr>
      <w:r>
        <w:rPr>
          <w:rStyle w:val="28"/>
          <w:rFonts w:hint="eastAsia" w:hAnsi="宋体"/>
          <w:kern w:val="0"/>
        </w:rPr>
        <w:t>评标委员会成员有以上情形之一的，应主动提出回避。</w:t>
      </w:r>
    </w:p>
    <w:p w14:paraId="04B9220D">
      <w:pPr>
        <w:snapToGrid w:val="0"/>
        <w:ind w:firstLine="482" w:firstLineChars="200"/>
        <w:rPr>
          <w:rStyle w:val="28"/>
          <w:rFonts w:hint="eastAsia" w:hAnsi="宋体"/>
          <w:kern w:val="0"/>
        </w:rPr>
      </w:pPr>
      <w:r>
        <w:rPr>
          <w:rStyle w:val="28"/>
          <w:rFonts w:hint="eastAsia" w:hAnsi="宋体"/>
          <w:b/>
          <w:bCs/>
          <w:kern w:val="0"/>
        </w:rPr>
        <w:t>15.1.3</w:t>
      </w:r>
      <w:r>
        <w:rPr>
          <w:rStyle w:val="28"/>
          <w:rFonts w:hint="eastAsia" w:hAnsi="宋体"/>
          <w:kern w:val="0"/>
        </w:rPr>
        <w:t xml:space="preserve"> 评标全过程实行封闭式管理，在中标结果公布前，禁止评标委员会成员以任何方式私下接触投标人。</w:t>
      </w:r>
    </w:p>
    <w:p w14:paraId="4D5BF808">
      <w:pPr>
        <w:snapToGrid w:val="0"/>
        <w:ind w:firstLine="482" w:firstLineChars="200"/>
        <w:rPr>
          <w:rStyle w:val="28"/>
          <w:rFonts w:hint="eastAsia" w:hAnsi="宋体"/>
          <w:kern w:val="0"/>
        </w:rPr>
      </w:pPr>
      <w:r>
        <w:rPr>
          <w:rStyle w:val="28"/>
          <w:rFonts w:hint="eastAsia" w:hAnsi="宋体"/>
          <w:b/>
          <w:bCs/>
          <w:kern w:val="0"/>
        </w:rPr>
        <w:t>15.1.4</w:t>
      </w:r>
      <w:r>
        <w:rPr>
          <w:rStyle w:val="28"/>
          <w:rFonts w:hint="eastAsia" w:hAnsi="宋体"/>
          <w:kern w:val="0"/>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5C473B4A">
      <w:pPr>
        <w:snapToGrid w:val="0"/>
        <w:ind w:firstLine="562"/>
        <w:rPr>
          <w:rStyle w:val="28"/>
          <w:rFonts w:hint="eastAsia" w:hAnsi="宋体"/>
          <w:kern w:val="0"/>
        </w:rPr>
      </w:pPr>
      <w:r>
        <w:rPr>
          <w:rStyle w:val="28"/>
          <w:rFonts w:hint="eastAsia" w:hAnsi="宋体"/>
          <w:b/>
          <w:bCs/>
          <w:kern w:val="0"/>
        </w:rPr>
        <w:t>15.1.5</w:t>
      </w:r>
      <w:r>
        <w:rPr>
          <w:rStyle w:val="28"/>
          <w:rFonts w:hint="eastAsia" w:hAnsi="宋体"/>
          <w:kern w:val="0"/>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33BA621F">
      <w:pPr>
        <w:snapToGrid w:val="0"/>
        <w:ind w:firstLine="561"/>
        <w:rPr>
          <w:rStyle w:val="28"/>
          <w:rFonts w:hint="eastAsia" w:hAnsi="宋体"/>
          <w:kern w:val="0"/>
        </w:rPr>
      </w:pPr>
      <w:r>
        <w:rPr>
          <w:rStyle w:val="28"/>
          <w:rFonts w:hint="eastAsia" w:hAnsi="宋体"/>
          <w:b/>
          <w:bCs/>
          <w:kern w:val="0"/>
        </w:rPr>
        <w:t>15.2</w:t>
      </w:r>
      <w:r>
        <w:rPr>
          <w:rStyle w:val="28"/>
          <w:rFonts w:hint="eastAsia" w:hAnsi="宋体"/>
          <w:kern w:val="0"/>
        </w:rPr>
        <w:t xml:space="preserve"> 评标方法 </w:t>
      </w:r>
    </w:p>
    <w:p w14:paraId="105309BE">
      <w:pPr>
        <w:snapToGrid w:val="0"/>
        <w:ind w:firstLine="562"/>
        <w:rPr>
          <w:rStyle w:val="28"/>
          <w:rFonts w:hint="eastAsia" w:hAnsi="宋体"/>
          <w:i/>
          <w:iCs/>
          <w:kern w:val="0"/>
        </w:rPr>
      </w:pPr>
      <w:r>
        <w:rPr>
          <w:rStyle w:val="28"/>
          <w:rFonts w:hint="eastAsia" w:hAnsi="宋体"/>
          <w:kern w:val="0"/>
        </w:rPr>
        <w:t>根据有关法律法规的相关规定，结合本工程资金来源和规模特点，本次招标采用</w:t>
      </w:r>
      <w:r>
        <w:rPr>
          <w:rStyle w:val="28"/>
          <w:rFonts w:hint="eastAsia" w:hAnsi="宋体"/>
          <w:kern w:val="0"/>
          <w:u w:val="single"/>
        </w:rPr>
        <w:t>综合评估法</w:t>
      </w:r>
      <w:r>
        <w:rPr>
          <w:rStyle w:val="28"/>
          <w:rFonts w:hint="eastAsia" w:hAnsi="宋体"/>
          <w:kern w:val="0"/>
        </w:rPr>
        <w:t>进行评标。</w:t>
      </w:r>
    </w:p>
    <w:p w14:paraId="5CA986A1">
      <w:pPr>
        <w:snapToGrid w:val="0"/>
        <w:ind w:firstLine="482" w:firstLineChars="200"/>
        <w:rPr>
          <w:rStyle w:val="28"/>
          <w:rFonts w:hint="eastAsia" w:hAnsi="宋体"/>
          <w:kern w:val="0"/>
        </w:rPr>
      </w:pPr>
      <w:r>
        <w:rPr>
          <w:rStyle w:val="28"/>
          <w:rFonts w:hint="eastAsia" w:hAnsi="宋体"/>
          <w:b/>
          <w:bCs/>
          <w:kern w:val="0"/>
        </w:rPr>
        <w:t>15.3</w:t>
      </w:r>
      <w:r>
        <w:rPr>
          <w:rStyle w:val="28"/>
          <w:rFonts w:hint="eastAsia" w:hAnsi="宋体"/>
          <w:kern w:val="0"/>
        </w:rPr>
        <w:t xml:space="preserve"> 评审范围：评标委员会应对所有投标人的投标文件进行评审。</w:t>
      </w:r>
    </w:p>
    <w:p w14:paraId="6E9EA8B3">
      <w:pPr>
        <w:snapToGrid w:val="0"/>
        <w:ind w:firstLine="482" w:firstLineChars="200"/>
        <w:rPr>
          <w:rStyle w:val="28"/>
          <w:rFonts w:hint="eastAsia" w:hAnsi="宋体"/>
          <w:kern w:val="0"/>
        </w:rPr>
      </w:pPr>
      <w:r>
        <w:rPr>
          <w:rStyle w:val="28"/>
          <w:rFonts w:hint="eastAsia" w:hAnsi="宋体"/>
          <w:b/>
          <w:bCs/>
          <w:kern w:val="0"/>
        </w:rPr>
        <w:t>15.4</w:t>
      </w:r>
      <w:r>
        <w:rPr>
          <w:rStyle w:val="28"/>
          <w:rFonts w:hint="eastAsia" w:hAnsi="宋体"/>
          <w:kern w:val="0"/>
        </w:rPr>
        <w:t xml:space="preserve"> 初步评审阶段 </w:t>
      </w:r>
    </w:p>
    <w:p w14:paraId="57BACF8A">
      <w:pPr>
        <w:snapToGrid w:val="0"/>
        <w:ind w:firstLine="480" w:firstLineChars="200"/>
        <w:rPr>
          <w:rStyle w:val="28"/>
          <w:rFonts w:hint="eastAsia" w:hAnsi="宋体"/>
          <w:kern w:val="0"/>
        </w:rPr>
      </w:pPr>
      <w:r>
        <w:rPr>
          <w:rStyle w:val="28"/>
          <w:rFonts w:hint="eastAsia" w:hAnsi="宋体"/>
          <w:kern w:val="0"/>
        </w:rPr>
        <w:t>初步评审阶段分为资格评审、形式评审和响应性评审三个环节。</w:t>
      </w:r>
    </w:p>
    <w:p w14:paraId="34B8CC5B">
      <w:pPr>
        <w:snapToGrid w:val="0"/>
        <w:ind w:firstLine="482" w:firstLineChars="200"/>
        <w:rPr>
          <w:rStyle w:val="28"/>
          <w:rFonts w:hint="eastAsia" w:hAnsi="宋体"/>
          <w:kern w:val="0"/>
        </w:rPr>
      </w:pPr>
      <w:r>
        <w:rPr>
          <w:rStyle w:val="28"/>
          <w:rFonts w:hint="eastAsia" w:hAnsi="宋体"/>
          <w:b/>
          <w:bCs/>
          <w:kern w:val="0"/>
        </w:rPr>
        <w:t>15.4.1</w:t>
      </w:r>
      <w:r>
        <w:rPr>
          <w:rStyle w:val="28"/>
          <w:rFonts w:hint="eastAsia" w:hAnsi="宋体"/>
          <w:kern w:val="0"/>
        </w:rPr>
        <w:t xml:space="preserve"> 资格评审环节 </w:t>
      </w:r>
    </w:p>
    <w:p w14:paraId="30849620">
      <w:pPr>
        <w:snapToGrid w:val="0"/>
        <w:ind w:firstLine="480" w:firstLineChars="200"/>
        <w:rPr>
          <w:rStyle w:val="28"/>
          <w:rFonts w:hint="eastAsia" w:hAnsi="宋体"/>
          <w:kern w:val="0"/>
        </w:rPr>
      </w:pPr>
      <w:r>
        <w:rPr>
          <w:rStyle w:val="28"/>
          <w:rFonts w:hint="eastAsia" w:hAnsi="宋体"/>
          <w:kern w:val="0"/>
        </w:rPr>
        <w:t>资格评审事项包括：</w:t>
      </w:r>
    </w:p>
    <w:p w14:paraId="69802602">
      <w:pPr>
        <w:wordWrap w:val="0"/>
        <w:adjustRightInd w:val="0"/>
        <w:snapToGrid w:val="0"/>
        <w:ind w:firstLine="480" w:firstLineChars="200"/>
        <w:rPr>
          <w:rFonts w:hint="eastAsia" w:hAnsi="宋体"/>
          <w:snapToGrid w:val="0"/>
          <w:kern w:val="0"/>
        </w:rPr>
      </w:pPr>
      <w:r>
        <w:rPr>
          <w:rStyle w:val="28"/>
          <w:rFonts w:hint="eastAsia" w:hAnsi="宋体"/>
          <w:kern w:val="0"/>
        </w:rPr>
        <w:t>（1）投标人是否符合本章第三节第2.4条“禁止投标条款”规定。</w:t>
      </w:r>
    </w:p>
    <w:p w14:paraId="743F1981">
      <w:pPr>
        <w:wordWrap w:val="0"/>
        <w:adjustRightInd w:val="0"/>
        <w:snapToGrid w:val="0"/>
        <w:ind w:firstLine="480" w:firstLineChars="200"/>
        <w:rPr>
          <w:rFonts w:hint="eastAsia" w:hAnsi="宋体"/>
          <w:snapToGrid w:val="0"/>
          <w:kern w:val="0"/>
        </w:rPr>
      </w:pPr>
      <w:r>
        <w:rPr>
          <w:rStyle w:val="28"/>
          <w:rFonts w:hint="eastAsia" w:hAnsi="宋体"/>
          <w:kern w:val="0"/>
        </w:rPr>
        <w:t>（2）</w:t>
      </w:r>
      <w:r>
        <w:rPr>
          <w:rFonts w:hint="eastAsia" w:hAnsi="宋体"/>
          <w:snapToGrid w:val="0"/>
          <w:kern w:val="0"/>
        </w:rPr>
        <w:t>投标人名称是否与营业执照、资质证书、安全生产许可证一致。</w:t>
      </w:r>
    </w:p>
    <w:p w14:paraId="33C25097">
      <w:pPr>
        <w:wordWrap w:val="0"/>
        <w:adjustRightInd w:val="0"/>
        <w:snapToGrid w:val="0"/>
        <w:ind w:firstLine="480" w:firstLineChars="200"/>
        <w:rPr>
          <w:rFonts w:hint="eastAsia" w:hAnsi="宋体"/>
          <w:snapToGrid w:val="0"/>
          <w:kern w:val="0"/>
        </w:rPr>
      </w:pPr>
      <w:r>
        <w:rPr>
          <w:rStyle w:val="28"/>
          <w:rFonts w:hint="eastAsia" w:hAnsi="宋体"/>
          <w:kern w:val="0"/>
        </w:rPr>
        <w:t>（3）</w:t>
      </w:r>
      <w:r>
        <w:rPr>
          <w:rFonts w:hint="eastAsia" w:hAnsi="宋体"/>
          <w:snapToGrid w:val="0"/>
          <w:kern w:val="0"/>
        </w:rPr>
        <w:t>投标人的资质是否符合招标文件规定；其营业执照、资质证书、安全生产许可证是否合法、有效、准确。</w:t>
      </w:r>
    </w:p>
    <w:p w14:paraId="409A8BE5">
      <w:pPr>
        <w:wordWrap w:val="0"/>
        <w:adjustRightInd w:val="0"/>
        <w:snapToGrid w:val="0"/>
        <w:ind w:firstLine="480" w:firstLineChars="200"/>
        <w:rPr>
          <w:rFonts w:hint="eastAsia" w:hAnsi="宋体"/>
          <w:snapToGrid w:val="0"/>
          <w:kern w:val="0"/>
        </w:rPr>
      </w:pPr>
      <w:r>
        <w:rPr>
          <w:rStyle w:val="28"/>
          <w:rFonts w:hint="eastAsia" w:hAnsi="宋体"/>
          <w:kern w:val="0"/>
        </w:rPr>
        <w:t>（4）</w:t>
      </w:r>
      <w:r>
        <w:rPr>
          <w:rFonts w:hint="eastAsia" w:hAnsi="宋体"/>
          <w:snapToGrid w:val="0"/>
          <w:kern w:val="0"/>
        </w:rPr>
        <w:t>《项目经理简历表》中拟派项目经理是否与《开标一览表》一致。</w:t>
      </w:r>
    </w:p>
    <w:p w14:paraId="03F59E45">
      <w:pPr>
        <w:wordWrap w:val="0"/>
        <w:adjustRightInd w:val="0"/>
        <w:snapToGrid w:val="0"/>
        <w:ind w:firstLine="480" w:firstLineChars="200"/>
        <w:rPr>
          <w:rFonts w:hint="eastAsia" w:hAnsi="宋体"/>
          <w:snapToGrid w:val="0"/>
          <w:kern w:val="0"/>
        </w:rPr>
      </w:pPr>
      <w:r>
        <w:rPr>
          <w:rStyle w:val="28"/>
          <w:rFonts w:hint="eastAsia" w:hAnsi="宋体"/>
          <w:kern w:val="0"/>
        </w:rPr>
        <w:t>（5）</w:t>
      </w:r>
      <w:r>
        <w:rPr>
          <w:rFonts w:hint="eastAsia" w:hAnsi="宋体"/>
          <w:snapToGrid w:val="0"/>
          <w:kern w:val="0"/>
        </w:rPr>
        <w:t>拟派项目经理、项目技术负责人、专职安全员的条件是否符合招标文件规定；项目管理机构组成人员的各类证书、证件、证明是否合法、有效、准确；是否擅自修改、遗漏《项目经理任职声明》的实质性内容。</w:t>
      </w:r>
    </w:p>
    <w:p w14:paraId="00C57AE3">
      <w:pPr>
        <w:widowControl w:val="0"/>
        <w:wordWrap w:val="0"/>
        <w:adjustRightInd w:val="0"/>
        <w:snapToGrid w:val="0"/>
        <w:ind w:firstLine="480" w:firstLineChars="200"/>
        <w:textAlignment w:val="auto"/>
        <w:rPr>
          <w:rFonts w:hint="eastAsia" w:hAnsi="宋体"/>
          <w:snapToGrid w:val="0"/>
          <w:kern w:val="0"/>
        </w:rPr>
      </w:pPr>
      <w:r>
        <w:rPr>
          <w:rStyle w:val="28"/>
          <w:rFonts w:hint="eastAsia" w:hAnsi="宋体"/>
          <w:kern w:val="0"/>
        </w:rPr>
        <w:t>（6）</w:t>
      </w:r>
      <w:r>
        <w:rPr>
          <w:rFonts w:hint="eastAsia" w:hAnsi="宋体"/>
          <w:snapToGrid w:val="0"/>
          <w:kern w:val="0"/>
        </w:rPr>
        <w:t>投标人为外省建筑企业的，是否按规定在“进粤企业和人员诚信信息登记平台”录入企业及其拟派人员有关信息并通过数据规范检查。</w:t>
      </w:r>
    </w:p>
    <w:p w14:paraId="33080452">
      <w:pPr>
        <w:snapToGrid w:val="0"/>
        <w:ind w:firstLine="482" w:firstLineChars="200"/>
        <w:rPr>
          <w:rStyle w:val="28"/>
          <w:rFonts w:hint="eastAsia" w:hAnsi="宋体"/>
          <w:strike/>
          <w:kern w:val="0"/>
        </w:rPr>
      </w:pPr>
      <w:r>
        <w:rPr>
          <w:rStyle w:val="28"/>
          <w:rFonts w:hint="eastAsia" w:hAnsi="宋体"/>
          <w:b/>
          <w:bCs/>
          <w:kern w:val="0"/>
        </w:rPr>
        <w:t>15.4.2</w:t>
      </w:r>
      <w:r>
        <w:rPr>
          <w:rStyle w:val="28"/>
          <w:rFonts w:hint="eastAsia" w:hAnsi="宋体"/>
          <w:kern w:val="0"/>
        </w:rPr>
        <w:t xml:space="preserve"> 形式评审环节</w:t>
      </w:r>
    </w:p>
    <w:p w14:paraId="559A9DEC">
      <w:pPr>
        <w:snapToGrid w:val="0"/>
        <w:ind w:firstLine="480" w:firstLineChars="200"/>
        <w:rPr>
          <w:rStyle w:val="28"/>
          <w:rFonts w:hint="eastAsia" w:hAnsi="宋体"/>
          <w:kern w:val="0"/>
        </w:rPr>
      </w:pPr>
      <w:r>
        <w:rPr>
          <w:rStyle w:val="28"/>
          <w:rFonts w:hint="eastAsia" w:hAnsi="宋体"/>
          <w:kern w:val="0"/>
        </w:rPr>
        <w:t>形式评审事项包括：</w:t>
      </w:r>
    </w:p>
    <w:p w14:paraId="27A94DCD">
      <w:pPr>
        <w:widowControl w:val="0"/>
        <w:wordWrap w:val="0"/>
        <w:adjustRightInd w:val="0"/>
        <w:snapToGrid w:val="0"/>
        <w:ind w:firstLine="480" w:firstLineChars="200"/>
        <w:textAlignment w:val="auto"/>
        <w:rPr>
          <w:rFonts w:hint="eastAsia" w:hAnsi="宋体"/>
          <w:snapToGrid w:val="0"/>
          <w:kern w:val="0"/>
        </w:rPr>
      </w:pPr>
      <w:r>
        <w:rPr>
          <w:rStyle w:val="28"/>
          <w:rFonts w:hint="eastAsia" w:hAnsi="宋体"/>
          <w:kern w:val="0"/>
        </w:rPr>
        <w:t>（1）</w:t>
      </w:r>
      <w:r>
        <w:rPr>
          <w:rFonts w:hint="eastAsia" w:hAnsi="宋体"/>
          <w:snapToGrid w:val="0"/>
          <w:kern w:val="0"/>
        </w:rPr>
        <w:t>各分册是否按招标文件规定加盖电子印章。</w:t>
      </w:r>
    </w:p>
    <w:p w14:paraId="251A7236">
      <w:pPr>
        <w:widowControl w:val="0"/>
        <w:wordWrap w:val="0"/>
        <w:adjustRightInd w:val="0"/>
        <w:snapToGrid w:val="0"/>
        <w:ind w:firstLine="480" w:firstLineChars="200"/>
        <w:textAlignment w:val="auto"/>
        <w:rPr>
          <w:rFonts w:hint="eastAsia" w:hAnsi="宋体"/>
          <w:snapToGrid w:val="0"/>
          <w:kern w:val="0"/>
        </w:rPr>
      </w:pPr>
      <w:r>
        <w:rPr>
          <w:rStyle w:val="28"/>
          <w:rFonts w:hint="eastAsia" w:hAnsi="宋体"/>
          <w:kern w:val="0"/>
        </w:rPr>
        <w:t>（2）</w:t>
      </w:r>
      <w:r>
        <w:rPr>
          <w:rFonts w:hint="eastAsia" w:hAnsi="宋体"/>
          <w:snapToGrid w:val="0"/>
          <w:kern w:val="0"/>
        </w:rPr>
        <w:t>本节第10.2.2目、第10.3.2目、第10.4.3目中规定的“所有投标人均应提供”的组成内容（包括该组成内容的所附资料）是否完整、齐全。</w:t>
      </w:r>
    </w:p>
    <w:p w14:paraId="029C5910">
      <w:pPr>
        <w:snapToGrid w:val="0"/>
        <w:ind w:firstLine="562"/>
        <w:rPr>
          <w:rStyle w:val="28"/>
          <w:rFonts w:hint="eastAsia" w:hAnsi="宋体"/>
          <w:kern w:val="0"/>
        </w:rPr>
      </w:pPr>
      <w:r>
        <w:rPr>
          <w:rStyle w:val="28"/>
          <w:rFonts w:hint="eastAsia" w:hAnsi="宋体"/>
          <w:b/>
          <w:bCs/>
          <w:kern w:val="0"/>
        </w:rPr>
        <w:t>15.4.3</w:t>
      </w:r>
      <w:r>
        <w:rPr>
          <w:rStyle w:val="28"/>
          <w:rFonts w:hint="eastAsia" w:hAnsi="宋体"/>
          <w:kern w:val="0"/>
        </w:rPr>
        <w:t xml:space="preserve"> 响应性评审环节</w:t>
      </w:r>
    </w:p>
    <w:p w14:paraId="43116D50">
      <w:pPr>
        <w:snapToGrid w:val="0"/>
        <w:ind w:firstLine="480" w:firstLineChars="200"/>
        <w:rPr>
          <w:rStyle w:val="28"/>
          <w:rFonts w:hint="eastAsia" w:hAnsi="宋体"/>
          <w:kern w:val="0"/>
        </w:rPr>
      </w:pPr>
      <w:r>
        <w:rPr>
          <w:rStyle w:val="28"/>
          <w:rFonts w:hint="eastAsia" w:hAnsi="宋体"/>
          <w:kern w:val="0"/>
        </w:rPr>
        <w:t>响应性评审事项包括：</w:t>
      </w:r>
    </w:p>
    <w:p w14:paraId="0E9B803E">
      <w:pPr>
        <w:snapToGrid w:val="0"/>
        <w:ind w:firstLine="480" w:firstLineChars="200"/>
        <w:rPr>
          <w:rStyle w:val="28"/>
          <w:rFonts w:hint="eastAsia" w:hAnsi="宋体"/>
          <w:kern w:val="0"/>
        </w:rPr>
      </w:pPr>
      <w:r>
        <w:rPr>
          <w:rStyle w:val="28"/>
          <w:rFonts w:hint="eastAsia" w:hAnsi="宋体"/>
          <w:kern w:val="0"/>
        </w:rPr>
        <w:t>（1）投标有效期、质量标准、工期等是否响应招标文件实质性要求；是否擅自修改、遗漏《投标函》《各项承诺一览表》的实质性内容。</w:t>
      </w:r>
    </w:p>
    <w:p w14:paraId="7E937D65">
      <w:pPr>
        <w:snapToGrid w:val="0"/>
        <w:ind w:firstLine="480" w:firstLineChars="200"/>
        <w:rPr>
          <w:rStyle w:val="28"/>
          <w:rFonts w:hint="eastAsia" w:hAnsi="宋体"/>
          <w:kern w:val="0"/>
        </w:rPr>
      </w:pPr>
      <w:r>
        <w:rPr>
          <w:rStyle w:val="28"/>
          <w:rFonts w:hint="eastAsia" w:hAnsi="宋体"/>
          <w:kern w:val="0"/>
        </w:rPr>
        <w:t>（2）编制《投标总价》的造价工程师，其注册证书是否合法、有效。</w:t>
      </w:r>
    </w:p>
    <w:p w14:paraId="7B3E98B4">
      <w:pPr>
        <w:snapToGrid w:val="0"/>
        <w:ind w:firstLine="480" w:firstLineChars="200"/>
        <w:rPr>
          <w:rStyle w:val="28"/>
          <w:rFonts w:hint="eastAsia" w:hAnsi="宋体"/>
          <w:kern w:val="0"/>
        </w:rPr>
      </w:pPr>
      <w:r>
        <w:rPr>
          <w:rStyle w:val="28"/>
          <w:rFonts w:hint="eastAsia" w:hAnsi="宋体"/>
          <w:kern w:val="0"/>
        </w:rPr>
        <w:t>（3）投标人委托造价咨询单位编制《投标总价》的，是否在《投标总价》</w:t>
      </w:r>
      <w:r>
        <w:rPr>
          <w:rFonts w:hint="eastAsia" w:hAnsi="宋体"/>
          <w:snapToGrid w:val="0"/>
          <w:kern w:val="0"/>
        </w:rPr>
        <w:t>封面（即表B.3.1）</w:t>
      </w:r>
      <w:r>
        <w:rPr>
          <w:rStyle w:val="28"/>
          <w:rFonts w:hint="eastAsia" w:hAnsi="宋体"/>
          <w:kern w:val="0"/>
        </w:rPr>
        <w:t>加盖造价咨询人公章；是否提供造价咨询人的营业执照</w:t>
      </w:r>
      <w:r>
        <w:rPr>
          <w:rStyle w:val="28"/>
          <w:rFonts w:hint="eastAsia" w:hAnsi="宋体"/>
        </w:rPr>
        <w:t>彩色扫描件</w:t>
      </w:r>
      <w:r>
        <w:rPr>
          <w:rStyle w:val="28"/>
          <w:rFonts w:hint="eastAsia" w:hAnsi="宋体"/>
          <w:kern w:val="0"/>
        </w:rPr>
        <w:t>。</w:t>
      </w:r>
    </w:p>
    <w:p w14:paraId="2B752BE6">
      <w:pPr>
        <w:snapToGrid w:val="0"/>
        <w:rPr>
          <w:rStyle w:val="28"/>
          <w:rFonts w:hint="eastAsia" w:hAnsi="宋体"/>
          <w:kern w:val="0"/>
        </w:rPr>
      </w:pPr>
      <w:r>
        <w:rPr>
          <w:rStyle w:val="28"/>
          <w:rFonts w:hint="eastAsia" w:hAnsi="宋体"/>
          <w:kern w:val="0"/>
        </w:rPr>
        <w:t xml:space="preserve">    （4）投标总价是否唯一；投标总价是否超出</w:t>
      </w:r>
      <w:r>
        <w:rPr>
          <w:rStyle w:val="28"/>
          <w:rFonts w:hint="eastAsia" w:hAnsi="宋体"/>
          <w:kern w:val="0"/>
          <w:lang w:eastAsia="zh-CN"/>
        </w:rPr>
        <w:t>最高投标限价</w:t>
      </w:r>
      <w:r>
        <w:rPr>
          <w:rStyle w:val="28"/>
          <w:rFonts w:hint="eastAsia" w:hAnsi="宋体"/>
          <w:kern w:val="0"/>
        </w:rPr>
        <w:t>；安全生产措施费是否达到最低要求；暂列金额、专业工程暂估价是否按照招标工程量清单统一报价；投标人是否以低于成本的价格竞标。</w:t>
      </w:r>
    </w:p>
    <w:p w14:paraId="4921EFCB">
      <w:pPr>
        <w:snapToGrid w:val="0"/>
        <w:ind w:firstLine="562"/>
        <w:rPr>
          <w:rStyle w:val="28"/>
          <w:rFonts w:hint="eastAsia" w:hAnsi="宋体"/>
          <w:kern w:val="0"/>
        </w:rPr>
      </w:pPr>
      <w:r>
        <w:rPr>
          <w:rStyle w:val="28"/>
          <w:rFonts w:hint="eastAsia" w:hAnsi="宋体"/>
          <w:b/>
          <w:bCs/>
          <w:kern w:val="0"/>
        </w:rPr>
        <w:t>注：如果某投标人的投标总价下浮率（投标总价下浮率＝100%－投标总价÷</w:t>
      </w:r>
      <w:r>
        <w:rPr>
          <w:rStyle w:val="28"/>
          <w:rFonts w:hint="eastAsia" w:hAnsi="宋体"/>
          <w:b/>
          <w:bCs/>
          <w:kern w:val="0"/>
          <w:lang w:eastAsia="zh-CN"/>
        </w:rPr>
        <w:t>最高投标限价</w:t>
      </w:r>
      <w:r>
        <w:rPr>
          <w:rStyle w:val="28"/>
          <w:rFonts w:hint="eastAsia" w:hAnsi="宋体"/>
          <w:b/>
          <w:bCs/>
          <w:kern w:val="0"/>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35F92566">
      <w:pPr>
        <w:snapToGrid w:val="0"/>
        <w:ind w:firstLine="480" w:firstLineChars="200"/>
        <w:rPr>
          <w:rStyle w:val="28"/>
          <w:rFonts w:hint="eastAsia" w:hAnsi="宋体"/>
          <w:kern w:val="0"/>
        </w:rPr>
      </w:pPr>
      <w:r>
        <w:rPr>
          <w:rStyle w:val="28"/>
          <w:rFonts w:hint="eastAsia" w:hAnsi="宋体"/>
          <w:kern w:val="0"/>
        </w:rPr>
        <w:t>（5）施工组织设计的质量、进度保障措施是否符合国家和省市现行有关规范、规定、标准，是否能实现工程质量、进度管理目标。</w:t>
      </w:r>
    </w:p>
    <w:p w14:paraId="321C8E0D">
      <w:pPr>
        <w:snapToGrid w:val="0"/>
        <w:ind w:firstLine="482" w:firstLineChars="200"/>
        <w:rPr>
          <w:rStyle w:val="28"/>
          <w:rFonts w:hint="eastAsia" w:hAnsi="宋体"/>
          <w:kern w:val="0"/>
        </w:rPr>
      </w:pPr>
      <w:r>
        <w:rPr>
          <w:rStyle w:val="28"/>
          <w:rFonts w:hint="eastAsia" w:hAnsi="宋体"/>
          <w:b/>
          <w:bCs/>
          <w:kern w:val="0"/>
        </w:rPr>
        <w:t>15.4.4</w:t>
      </w:r>
      <w:r>
        <w:rPr>
          <w:rStyle w:val="28"/>
          <w:rFonts w:hint="eastAsia" w:hAnsi="宋体"/>
          <w:kern w:val="0"/>
        </w:rPr>
        <w:t xml:space="preserve"> 否决投标说明</w:t>
      </w:r>
    </w:p>
    <w:p w14:paraId="0C8253F4">
      <w:pPr>
        <w:snapToGrid w:val="0"/>
        <w:ind w:firstLine="480" w:firstLineChars="200"/>
        <w:rPr>
          <w:rStyle w:val="28"/>
          <w:rFonts w:hint="eastAsia" w:hAnsi="宋体"/>
          <w:kern w:val="0"/>
        </w:rPr>
      </w:pPr>
      <w:r>
        <w:rPr>
          <w:rStyle w:val="28"/>
          <w:rFonts w:hint="eastAsia" w:hAnsi="宋体"/>
          <w:kern w:val="0"/>
        </w:rPr>
        <w:t>初步评审阶段各个环节否决投标的全部条件，在本章第四节“否决投标条件”第</w:t>
      </w:r>
      <w:r>
        <w:rPr>
          <w:rStyle w:val="28"/>
          <w:rFonts w:hint="eastAsia" w:hAnsi="宋体"/>
          <w:b/>
          <w:bCs/>
          <w:kern w:val="0"/>
        </w:rPr>
        <w:t>1</w:t>
      </w:r>
      <w:r>
        <w:rPr>
          <w:rStyle w:val="28"/>
          <w:rFonts w:hint="eastAsia" w:hAnsi="宋体"/>
          <w:kern w:val="0"/>
        </w:rPr>
        <w:t>条至第</w:t>
      </w:r>
      <w:r>
        <w:rPr>
          <w:rStyle w:val="28"/>
          <w:rFonts w:hint="eastAsia" w:hAnsi="宋体"/>
          <w:b/>
          <w:bCs/>
          <w:kern w:val="0"/>
        </w:rPr>
        <w:t>4</w:t>
      </w:r>
      <w:r>
        <w:rPr>
          <w:rStyle w:val="28"/>
          <w:rFonts w:hint="eastAsia" w:hAnsi="宋体"/>
          <w:kern w:val="0"/>
        </w:rPr>
        <w:t>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14:paraId="7EDB7933">
      <w:pPr>
        <w:snapToGrid w:val="0"/>
        <w:ind w:firstLine="562"/>
        <w:rPr>
          <w:rStyle w:val="28"/>
          <w:rFonts w:hint="eastAsia" w:hAnsi="宋体"/>
          <w:kern w:val="0"/>
        </w:rPr>
      </w:pPr>
      <w:r>
        <w:rPr>
          <w:rStyle w:val="28"/>
          <w:rFonts w:hint="eastAsia" w:hAnsi="宋体"/>
          <w:b/>
          <w:bCs/>
          <w:kern w:val="0"/>
        </w:rPr>
        <w:t>15.5</w:t>
      </w:r>
      <w:r>
        <w:rPr>
          <w:rStyle w:val="28"/>
          <w:rFonts w:hint="eastAsia" w:hAnsi="宋体"/>
          <w:kern w:val="0"/>
        </w:rPr>
        <w:t xml:space="preserve"> 详细评审阶段</w:t>
      </w:r>
    </w:p>
    <w:p w14:paraId="44C59742">
      <w:pPr>
        <w:snapToGrid w:val="0"/>
        <w:ind w:firstLine="562"/>
        <w:rPr>
          <w:rStyle w:val="28"/>
          <w:rFonts w:hint="eastAsia" w:hAnsi="宋体"/>
          <w:kern w:val="0"/>
        </w:rPr>
      </w:pPr>
      <w:r>
        <w:rPr>
          <w:rStyle w:val="28"/>
          <w:rFonts w:hint="eastAsia" w:hAnsi="宋体"/>
          <w:b/>
          <w:bCs/>
          <w:kern w:val="0"/>
        </w:rPr>
        <w:t>15.5.1</w:t>
      </w:r>
      <w:r>
        <w:rPr>
          <w:rStyle w:val="28"/>
          <w:rFonts w:hint="eastAsia" w:hAnsi="宋体"/>
          <w:kern w:val="0"/>
        </w:rPr>
        <w:t xml:space="preserve"> “综合评估法”评审程序</w:t>
      </w:r>
    </w:p>
    <w:p w14:paraId="6B489105">
      <w:pPr>
        <w:wordWrap w:val="0"/>
        <w:adjustRightInd w:val="0"/>
        <w:snapToGrid w:val="0"/>
        <w:ind w:firstLine="480" w:firstLineChars="200"/>
        <w:rPr>
          <w:rFonts w:hint="eastAsia" w:hAnsi="宋体"/>
          <w:snapToGrid w:val="0"/>
          <w:kern w:val="0"/>
        </w:rPr>
      </w:pPr>
      <w:r>
        <w:rPr>
          <w:rFonts w:hint="eastAsia" w:hAnsi="宋体"/>
          <w:snapToGrid w:val="0"/>
          <w:kern w:val="0"/>
        </w:rPr>
        <w:t>评审内容分为商务技术和投标报价两大部分。其中，商务技术合计满分</w:t>
      </w:r>
      <w:r>
        <w:rPr>
          <w:rFonts w:hint="eastAsia" w:hAnsi="宋体"/>
          <w:snapToGrid w:val="0"/>
          <w:kern w:val="0"/>
          <w:u w:val="single"/>
        </w:rPr>
        <w:t>100</w:t>
      </w:r>
      <w:r>
        <w:rPr>
          <w:rFonts w:hint="eastAsia" w:hAnsi="宋体"/>
          <w:snapToGrid w:val="0"/>
          <w:kern w:val="0"/>
        </w:rPr>
        <w:t>分，权重为</w:t>
      </w:r>
      <w:r>
        <w:rPr>
          <w:rFonts w:hint="eastAsia" w:hAnsi="宋体"/>
          <w:snapToGrid w:val="0"/>
          <w:kern w:val="0"/>
          <w:u w:val="single"/>
        </w:rPr>
        <w:t>40%</w:t>
      </w:r>
      <w:r>
        <w:rPr>
          <w:rFonts w:hint="eastAsia" w:hAnsi="宋体"/>
          <w:snapToGrid w:val="0"/>
          <w:kern w:val="0"/>
        </w:rPr>
        <w:t>；投标报价满分100分，权重为</w:t>
      </w:r>
      <w:r>
        <w:rPr>
          <w:rFonts w:hint="eastAsia" w:hAnsi="宋体"/>
          <w:snapToGrid w:val="0"/>
          <w:kern w:val="0"/>
          <w:u w:val="single"/>
        </w:rPr>
        <w:t>60%</w:t>
      </w:r>
      <w:r>
        <w:rPr>
          <w:rFonts w:hint="eastAsia" w:hAnsi="宋体"/>
          <w:snapToGrid w:val="0"/>
          <w:kern w:val="0"/>
        </w:rPr>
        <w:t>。两大部分权重之和应为</w:t>
      </w:r>
      <w:r>
        <w:rPr>
          <w:rFonts w:hint="eastAsia" w:hAnsi="宋体"/>
          <w:snapToGrid w:val="0"/>
          <w:kern w:val="0"/>
          <w:u w:val="single"/>
        </w:rPr>
        <w:t>100%</w:t>
      </w:r>
      <w:r>
        <w:rPr>
          <w:rFonts w:hint="eastAsia" w:hAnsi="宋体"/>
          <w:snapToGrid w:val="0"/>
          <w:kern w:val="0"/>
        </w:rPr>
        <w:t>。</w:t>
      </w:r>
    </w:p>
    <w:p w14:paraId="59F0690C">
      <w:pPr>
        <w:wordWrap w:val="0"/>
        <w:adjustRightInd w:val="0"/>
        <w:snapToGrid w:val="0"/>
        <w:ind w:firstLine="480"/>
        <w:rPr>
          <w:rFonts w:hint="eastAsia" w:hAnsi="宋体"/>
          <w:snapToGrid w:val="0"/>
          <w:kern w:val="0"/>
        </w:rPr>
      </w:pPr>
      <w:r>
        <w:rPr>
          <w:rFonts w:hint="eastAsia" w:hAnsi="宋体"/>
          <w:snapToGrid w:val="0"/>
          <w:kern w:val="0"/>
        </w:rPr>
        <w:t>除特别注明外，综合得分以及商务技术得分、投标报价得分的中间过程计算值和最终值，均按“四舍五入”原则精确到两位小数。</w:t>
      </w:r>
    </w:p>
    <w:p w14:paraId="76FAD17D">
      <w:pPr>
        <w:wordWrap w:val="0"/>
        <w:adjustRightInd w:val="0"/>
        <w:snapToGrid w:val="0"/>
        <w:ind w:firstLine="480" w:firstLineChars="200"/>
        <w:rPr>
          <w:rFonts w:hint="eastAsia" w:hAnsi="宋体"/>
          <w:snapToGrid w:val="0"/>
          <w:kern w:val="0"/>
        </w:rPr>
      </w:pPr>
      <w:r>
        <w:rPr>
          <w:rFonts w:hint="eastAsia" w:hAnsi="宋体"/>
          <w:snapToGrid w:val="0"/>
          <w:kern w:val="0"/>
        </w:rPr>
        <w:t>（1）商务技术得分M</w:t>
      </w:r>
    </w:p>
    <w:p w14:paraId="0F43AA57">
      <w:pPr>
        <w:wordWrap w:val="0"/>
        <w:adjustRightInd w:val="0"/>
        <w:snapToGrid w:val="0"/>
        <w:ind w:firstLine="482" w:firstLineChars="200"/>
        <w:rPr>
          <w:rFonts w:hint="eastAsia" w:hAnsi="宋体"/>
          <w:snapToGrid w:val="0"/>
          <w:kern w:val="0"/>
        </w:rPr>
      </w:pPr>
      <w:r>
        <w:rPr>
          <w:rFonts w:hint="eastAsia" w:hAnsi="宋体"/>
          <w:b/>
          <w:bCs/>
          <w:snapToGrid w:val="0"/>
          <w:kern w:val="0"/>
        </w:rPr>
        <w:t>a.</w:t>
      </w:r>
      <w:r>
        <w:rPr>
          <w:rFonts w:hint="eastAsia" w:hAnsi="宋体"/>
          <w:snapToGrid w:val="0"/>
          <w:kern w:val="0"/>
        </w:rPr>
        <w:t>评标委员会按照《综合评分表》商务部分指定的评分标准对各评分因素进行打分。各评分因素得分之和即为某投标人的商务得分M</w:t>
      </w:r>
      <w:r>
        <w:rPr>
          <w:rFonts w:hint="eastAsia" w:hAnsi="宋体"/>
          <w:snapToGrid w:val="0"/>
          <w:kern w:val="0"/>
          <w:vertAlign w:val="subscript"/>
        </w:rPr>
        <w:t>1</w:t>
      </w:r>
      <w:r>
        <w:rPr>
          <w:rFonts w:hint="eastAsia" w:hAnsi="宋体"/>
          <w:snapToGrid w:val="0"/>
          <w:kern w:val="0"/>
        </w:rPr>
        <w:t>。</w:t>
      </w:r>
    </w:p>
    <w:p w14:paraId="31EA7DE2">
      <w:pPr>
        <w:wordWrap w:val="0"/>
        <w:adjustRightInd w:val="0"/>
        <w:snapToGrid w:val="0"/>
        <w:ind w:firstLine="482" w:firstLineChars="200"/>
        <w:rPr>
          <w:rFonts w:hint="eastAsia" w:hAnsi="宋体"/>
          <w:snapToGrid w:val="0"/>
          <w:kern w:val="0"/>
        </w:rPr>
      </w:pPr>
      <w:r>
        <w:rPr>
          <w:rFonts w:hint="eastAsia" w:hAnsi="宋体"/>
          <w:b/>
          <w:bCs/>
          <w:snapToGrid w:val="0"/>
          <w:kern w:val="0"/>
        </w:rPr>
        <w:t>b.</w:t>
      </w:r>
      <w:r>
        <w:rPr>
          <w:rFonts w:hint="eastAsia" w:hAnsi="宋体"/>
          <w:snapToGrid w:val="0"/>
          <w:kern w:val="0"/>
        </w:rPr>
        <w:t>评标委员会各成员独立按照《综合评分表》技术部分（施工组织设计）指定的评分标准对各评分因素进行打分，累加后得出技术评分。将评标委员会所有成员的技术评分去掉一个最高分和一个最低分后，取算术平均值，即为某投标人的技术得分M</w:t>
      </w:r>
      <w:r>
        <w:rPr>
          <w:rFonts w:hint="eastAsia" w:hAnsi="宋体"/>
          <w:snapToGrid w:val="0"/>
          <w:kern w:val="0"/>
          <w:vertAlign w:val="subscript"/>
        </w:rPr>
        <w:t>2</w:t>
      </w:r>
      <w:r>
        <w:rPr>
          <w:rFonts w:hint="eastAsia" w:hAnsi="宋体"/>
          <w:snapToGrid w:val="0"/>
          <w:kern w:val="0"/>
        </w:rPr>
        <w:t>。</w:t>
      </w:r>
    </w:p>
    <w:p w14:paraId="0BEC1C60">
      <w:pPr>
        <w:wordWrap w:val="0"/>
        <w:adjustRightInd w:val="0"/>
        <w:snapToGrid w:val="0"/>
        <w:ind w:firstLine="482" w:firstLineChars="200"/>
        <w:rPr>
          <w:rFonts w:hint="eastAsia" w:hAnsi="宋体"/>
          <w:snapToGrid w:val="0"/>
          <w:kern w:val="0"/>
        </w:rPr>
      </w:pPr>
      <w:r>
        <w:rPr>
          <w:rFonts w:hint="eastAsia" w:hAnsi="宋体"/>
          <w:b/>
          <w:bCs/>
          <w:snapToGrid w:val="0"/>
          <w:kern w:val="0"/>
        </w:rPr>
        <w:t>c</w:t>
      </w:r>
      <w:r>
        <w:rPr>
          <w:rFonts w:hint="eastAsia" w:hAnsi="宋体"/>
          <w:snapToGrid w:val="0"/>
          <w:kern w:val="0"/>
        </w:rPr>
        <w:t>．M＝M</w:t>
      </w:r>
      <w:r>
        <w:rPr>
          <w:rFonts w:hint="eastAsia" w:hAnsi="宋体"/>
          <w:snapToGrid w:val="0"/>
          <w:kern w:val="0"/>
          <w:vertAlign w:val="subscript"/>
        </w:rPr>
        <w:t>1</w:t>
      </w:r>
      <w:r>
        <w:rPr>
          <w:rFonts w:hint="eastAsia" w:hAnsi="宋体"/>
          <w:snapToGrid w:val="0"/>
          <w:kern w:val="0"/>
        </w:rPr>
        <w:t>＋M</w:t>
      </w:r>
      <w:r>
        <w:rPr>
          <w:rFonts w:hint="eastAsia" w:hAnsi="宋体"/>
          <w:snapToGrid w:val="0"/>
          <w:kern w:val="0"/>
          <w:vertAlign w:val="subscript"/>
        </w:rPr>
        <w:t>2</w:t>
      </w:r>
    </w:p>
    <w:p w14:paraId="7C09371C">
      <w:pPr>
        <w:wordWrap w:val="0"/>
        <w:adjustRightInd w:val="0"/>
        <w:snapToGrid w:val="0"/>
        <w:ind w:firstLine="480" w:firstLineChars="200"/>
        <w:rPr>
          <w:rFonts w:hint="eastAsia" w:hAnsi="宋体"/>
          <w:snapToGrid w:val="0"/>
          <w:kern w:val="0"/>
        </w:rPr>
      </w:pPr>
      <w:r>
        <w:rPr>
          <w:rFonts w:hint="eastAsia" w:hAnsi="宋体"/>
          <w:snapToGrid w:val="0"/>
          <w:kern w:val="0"/>
        </w:rPr>
        <w:t>式中：M</w:t>
      </w:r>
      <w:r>
        <w:rPr>
          <w:rFonts w:hint="eastAsia" w:hAnsi="宋体"/>
          <w:snapToGrid w:val="0"/>
          <w:kern w:val="0"/>
          <w:vertAlign w:val="subscript"/>
        </w:rPr>
        <w:t>1</w:t>
      </w:r>
      <w:r>
        <w:rPr>
          <w:rFonts w:hint="eastAsia" w:hAnsi="宋体"/>
          <w:snapToGrid w:val="0"/>
          <w:kern w:val="0"/>
        </w:rPr>
        <w:t>为某投标人的商务得分，M</w:t>
      </w:r>
      <w:r>
        <w:rPr>
          <w:rFonts w:hint="eastAsia" w:hAnsi="宋体"/>
          <w:snapToGrid w:val="0"/>
          <w:kern w:val="0"/>
          <w:vertAlign w:val="subscript"/>
        </w:rPr>
        <w:t>2</w:t>
      </w:r>
      <w:r>
        <w:rPr>
          <w:rFonts w:hint="eastAsia" w:hAnsi="宋体"/>
          <w:snapToGrid w:val="0"/>
          <w:kern w:val="0"/>
        </w:rPr>
        <w:t>为某投标人的技术得分。</w:t>
      </w:r>
    </w:p>
    <w:p w14:paraId="08941BC5">
      <w:pPr>
        <w:wordWrap w:val="0"/>
        <w:adjustRightInd w:val="0"/>
        <w:snapToGrid w:val="0"/>
        <w:ind w:firstLine="480" w:firstLineChars="200"/>
        <w:rPr>
          <w:rFonts w:hint="eastAsia" w:hAnsi="宋体"/>
          <w:snapToGrid w:val="0"/>
          <w:kern w:val="0"/>
        </w:rPr>
      </w:pPr>
      <w:r>
        <w:rPr>
          <w:rFonts w:hint="eastAsia" w:hAnsi="宋体"/>
          <w:snapToGrid w:val="0"/>
          <w:kern w:val="0"/>
        </w:rPr>
        <w:t>（2）投标报价得分N</w:t>
      </w:r>
    </w:p>
    <w:p w14:paraId="34FA0BF0">
      <w:pPr>
        <w:wordWrap w:val="0"/>
        <w:adjustRightInd w:val="0"/>
        <w:snapToGrid w:val="0"/>
        <w:ind w:firstLine="482" w:firstLineChars="200"/>
        <w:rPr>
          <w:rFonts w:hint="eastAsia" w:hAnsi="宋体"/>
          <w:snapToGrid w:val="0"/>
          <w:kern w:val="0"/>
        </w:rPr>
      </w:pPr>
      <w:r>
        <w:rPr>
          <w:rFonts w:hint="eastAsia" w:hAnsi="宋体"/>
          <w:b/>
          <w:bCs/>
          <w:snapToGrid w:val="0"/>
          <w:kern w:val="0"/>
        </w:rPr>
        <w:t>a.</w:t>
      </w:r>
      <w:r>
        <w:rPr>
          <w:rFonts w:hint="eastAsia" w:hAnsi="宋体"/>
          <w:snapToGrid w:val="0"/>
          <w:kern w:val="0"/>
        </w:rPr>
        <w:t>评标委员会按照《综合评分表》投标报价部分指定的方法计算评标基准价D。</w:t>
      </w:r>
    </w:p>
    <w:p w14:paraId="77A8D8F1">
      <w:pPr>
        <w:wordWrap w:val="0"/>
        <w:adjustRightInd w:val="0"/>
        <w:snapToGrid w:val="0"/>
        <w:ind w:firstLine="482" w:firstLineChars="200"/>
        <w:rPr>
          <w:rFonts w:hint="eastAsia" w:hAnsi="宋体"/>
          <w:snapToGrid w:val="0"/>
          <w:kern w:val="0"/>
        </w:rPr>
      </w:pPr>
      <w:r>
        <w:rPr>
          <w:rFonts w:hint="eastAsia" w:hAnsi="宋体"/>
          <w:b/>
          <w:bCs/>
          <w:snapToGrid w:val="0"/>
          <w:kern w:val="0"/>
        </w:rPr>
        <w:t>b.</w:t>
      </w:r>
      <w:r>
        <w:rPr>
          <w:rFonts w:hint="eastAsia" w:hAnsi="宋体"/>
          <w:snapToGrid w:val="0"/>
          <w:kern w:val="0"/>
        </w:rPr>
        <w:t>采用内插法计算某投标人的投标报价得分N，即当投标人的投标总价等于评标基准价时得100分，每高于评标基准价一个百分点扣1分，每低于评标基准价一个百分点扣0.5分，扣完为止。公式如下：</w:t>
      </w:r>
    </w:p>
    <w:p w14:paraId="23977ED4">
      <w:pPr>
        <w:wordWrap w:val="0"/>
        <w:adjustRightInd w:val="0"/>
        <w:snapToGrid w:val="0"/>
        <w:jc w:val="center"/>
        <w:rPr>
          <w:rFonts w:hint="eastAsia" w:hAnsi="宋体"/>
          <w:snapToGrid w:val="0"/>
          <w:kern w:val="0"/>
        </w:rPr>
      </w:pPr>
      <w:r>
        <w:rPr>
          <w:rFonts w:hint="eastAsia" w:hAnsi="宋体"/>
          <w:snapToGrid w:val="0"/>
          <w:kern w:val="0"/>
        </w:rPr>
        <w:t>N＝100-(|Di-D|÷D)×100×E</w:t>
      </w:r>
    </w:p>
    <w:p w14:paraId="05E94670">
      <w:pPr>
        <w:wordWrap w:val="0"/>
        <w:adjustRightInd w:val="0"/>
        <w:snapToGrid w:val="0"/>
        <w:ind w:firstLine="480" w:firstLineChars="200"/>
        <w:rPr>
          <w:rFonts w:hint="eastAsia" w:hAnsi="宋体"/>
          <w:snapToGrid w:val="0"/>
          <w:kern w:val="0"/>
        </w:rPr>
      </w:pPr>
      <w:r>
        <w:rPr>
          <w:rFonts w:hint="eastAsia" w:hAnsi="宋体"/>
          <w:snapToGrid w:val="0"/>
          <w:kern w:val="0"/>
        </w:rPr>
        <w:t>式中：D为评标基准价；Di为某投标人的投标总价；E为扣分因子，当Di＞D时，E＝1；当Di＜D时，E＝0.5。</w:t>
      </w:r>
    </w:p>
    <w:p w14:paraId="613FEBBC">
      <w:pPr>
        <w:wordWrap w:val="0"/>
        <w:adjustRightInd w:val="0"/>
        <w:snapToGrid w:val="0"/>
        <w:ind w:firstLine="480"/>
        <w:rPr>
          <w:rFonts w:hint="eastAsia" w:hAnsi="宋体"/>
          <w:snapToGrid w:val="0"/>
          <w:kern w:val="0"/>
        </w:rPr>
      </w:pPr>
      <w:r>
        <w:rPr>
          <w:rFonts w:hint="eastAsia" w:hAnsi="宋体"/>
          <w:snapToGrid w:val="0"/>
          <w:kern w:val="0"/>
        </w:rPr>
        <w:t>（3）综合得分</w:t>
      </w:r>
    </w:p>
    <w:p w14:paraId="6C437C36">
      <w:pPr>
        <w:wordWrap w:val="0"/>
        <w:adjustRightInd w:val="0"/>
        <w:snapToGrid w:val="0"/>
        <w:ind w:firstLine="480"/>
        <w:rPr>
          <w:rFonts w:hint="eastAsia" w:hAnsi="宋体"/>
          <w:snapToGrid w:val="0"/>
          <w:kern w:val="0"/>
        </w:rPr>
      </w:pPr>
      <w:r>
        <w:rPr>
          <w:rFonts w:hint="eastAsia" w:hAnsi="宋体"/>
          <w:snapToGrid w:val="0"/>
          <w:kern w:val="0"/>
        </w:rPr>
        <w:t>综合得分换算为百分制，满分100分，公式如下：</w:t>
      </w:r>
    </w:p>
    <w:p w14:paraId="7401198D">
      <w:pPr>
        <w:wordWrap w:val="0"/>
        <w:adjustRightInd w:val="0"/>
        <w:snapToGrid w:val="0"/>
        <w:jc w:val="center"/>
        <w:rPr>
          <w:rFonts w:hint="eastAsia" w:hAnsi="宋体"/>
          <w:snapToGrid w:val="0"/>
          <w:kern w:val="0"/>
        </w:rPr>
      </w:pPr>
      <w:r>
        <w:rPr>
          <w:rFonts w:hint="eastAsia" w:hAnsi="宋体"/>
          <w:snapToGrid w:val="0"/>
          <w:kern w:val="0"/>
        </w:rPr>
        <w:t>综合得分＝M÷商务技术合计满分×100×商务技术权重＋N×投标报价权重</w:t>
      </w:r>
    </w:p>
    <w:p w14:paraId="693E32D4">
      <w:pPr>
        <w:wordWrap w:val="0"/>
        <w:adjustRightInd w:val="0"/>
        <w:snapToGrid w:val="0"/>
        <w:ind w:firstLine="480" w:firstLineChars="200"/>
        <w:rPr>
          <w:rFonts w:hint="eastAsia" w:hAnsi="宋体"/>
          <w:snapToGrid w:val="0"/>
          <w:kern w:val="0"/>
        </w:rPr>
      </w:pPr>
      <w:r>
        <w:rPr>
          <w:rFonts w:hint="eastAsia" w:hAnsi="宋体"/>
          <w:snapToGrid w:val="0"/>
          <w:kern w:val="0"/>
        </w:rPr>
        <w:t>式中：M为商务技术得分，N为投标报价得分。</w:t>
      </w:r>
    </w:p>
    <w:p w14:paraId="1230CB8E">
      <w:pPr>
        <w:snapToGrid w:val="0"/>
        <w:ind w:firstLine="480" w:firstLineChars="200"/>
        <w:rPr>
          <w:rStyle w:val="28"/>
          <w:rFonts w:hint="eastAsia" w:hAnsi="宋体"/>
          <w:kern w:val="0"/>
        </w:rPr>
      </w:pPr>
      <w:r>
        <w:rPr>
          <w:rStyle w:val="28"/>
          <w:rFonts w:hint="eastAsia" w:hAnsi="宋体"/>
          <w:kern w:val="0"/>
        </w:rPr>
        <w:t>（4）评标委员会根据招标文件评审并出具评标推荐报告。当通过评审的有效投标人数量多于5名（含5名）时，评标委员会应将得分前5名的投标人不排序推荐给定标委员会，推荐名单按企业统一社会信用代码后4位大小排位；当有效投标人数量不足5名但满足法定要求时，所有通过评审的有效投标人均应作为定标候选人。</w:t>
      </w:r>
    </w:p>
    <w:p w14:paraId="74FDC692">
      <w:pPr>
        <w:snapToGrid w:val="0"/>
        <w:ind w:firstLine="480" w:firstLineChars="200"/>
        <w:rPr>
          <w:rStyle w:val="28"/>
          <w:rFonts w:hint="eastAsia" w:hAnsi="宋体"/>
          <w:kern w:val="0"/>
        </w:rPr>
        <w:sectPr>
          <w:endnotePr>
            <w:numFmt w:val="decimal"/>
          </w:endnotePr>
          <w:pgSz w:w="11906" w:h="16838"/>
          <w:pgMar w:top="1417" w:right="1310" w:bottom="1417" w:left="1304" w:header="850" w:footer="691" w:gutter="0"/>
          <w:cols w:space="720" w:num="1"/>
          <w:docGrid w:linePitch="327" w:charSpace="0"/>
        </w:sectPr>
      </w:pPr>
      <w:r>
        <w:rPr>
          <w:rStyle w:val="28"/>
          <w:rFonts w:hint="eastAsia" w:hAnsi="宋体"/>
          <w:kern w:val="0"/>
        </w:rPr>
        <w:t>（5）评标推荐报告需对每个定标候选人的优势、风险等评审情况进行说明。</w:t>
      </w:r>
    </w:p>
    <w:p w14:paraId="46B7D3E3">
      <w:pPr>
        <w:wordWrap w:val="0"/>
        <w:adjustRightInd w:val="0"/>
        <w:snapToGrid w:val="0"/>
        <w:spacing w:before="260" w:after="260"/>
        <w:ind w:firstLine="602" w:firstLineChars="200"/>
        <w:jc w:val="center"/>
        <w:rPr>
          <w:rFonts w:hint="eastAsia" w:hAnsi="宋体"/>
          <w:b/>
          <w:bCs/>
          <w:snapToGrid w:val="0"/>
          <w:kern w:val="0"/>
          <w:sz w:val="30"/>
          <w:szCs w:val="30"/>
        </w:rPr>
      </w:pPr>
      <w:r>
        <w:rPr>
          <w:rFonts w:hint="eastAsia" w:hAnsi="宋体"/>
          <w:b/>
          <w:bCs/>
          <w:snapToGrid w:val="0"/>
          <w:kern w:val="0"/>
          <w:sz w:val="30"/>
          <w:szCs w:val="30"/>
        </w:rPr>
        <w:t>综合评分表</w:t>
      </w:r>
    </w:p>
    <w:tbl>
      <w:tblPr>
        <w:tblStyle w:val="19"/>
        <w:tblW w:w="9484" w:type="dxa"/>
        <w:jc w:val="center"/>
        <w:tblLayout w:type="fixed"/>
        <w:tblCellMar>
          <w:top w:w="0" w:type="dxa"/>
          <w:left w:w="108" w:type="dxa"/>
          <w:bottom w:w="0" w:type="dxa"/>
          <w:right w:w="108" w:type="dxa"/>
        </w:tblCellMar>
      </w:tblPr>
      <w:tblGrid>
        <w:gridCol w:w="1180"/>
        <w:gridCol w:w="224"/>
        <w:gridCol w:w="3547"/>
        <w:gridCol w:w="4533"/>
      </w:tblGrid>
      <w:tr w14:paraId="1A798FA6">
        <w:tblPrEx>
          <w:tblCellMar>
            <w:top w:w="0" w:type="dxa"/>
            <w:left w:w="108" w:type="dxa"/>
            <w:bottom w:w="0" w:type="dxa"/>
            <w:right w:w="108" w:type="dxa"/>
          </w:tblCellMar>
        </w:tblPrEx>
        <w:trPr>
          <w:trHeight w:val="557" w:hRule="exact"/>
          <w:jc w:val="center"/>
        </w:trPr>
        <w:tc>
          <w:tcPr>
            <w:tcW w:w="9484" w:type="dxa"/>
            <w:gridSpan w:val="4"/>
            <w:tcBorders>
              <w:top w:val="single" w:color="auto" w:sz="4" w:space="0"/>
              <w:left w:val="single" w:color="auto" w:sz="4" w:space="0"/>
              <w:bottom w:val="single" w:color="auto" w:sz="4" w:space="0"/>
              <w:right w:val="single" w:color="auto" w:sz="4" w:space="0"/>
            </w:tcBorders>
            <w:shd w:val="clear" w:color="auto" w:fill="D7D7D7"/>
            <w:vAlign w:val="center"/>
          </w:tcPr>
          <w:p w14:paraId="15488741">
            <w:pPr>
              <w:pStyle w:val="8"/>
              <w:widowControl w:val="0"/>
              <w:tabs>
                <w:tab w:val="left" w:pos="1354"/>
                <w:tab w:val="left" w:pos="1459"/>
                <w:tab w:val="center" w:pos="3902"/>
                <w:tab w:val="right" w:pos="7805"/>
              </w:tabs>
              <w:wordWrap w:val="0"/>
              <w:adjustRightInd w:val="0"/>
              <w:snapToGrid w:val="0"/>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b/>
                <w:bCs/>
                <w:snapToGrid w:val="0"/>
              </w:rPr>
              <w:t>商务部分，满分：</w:t>
            </w:r>
            <w:r>
              <w:rPr>
                <w:rFonts w:hint="eastAsia" w:asciiTheme="majorEastAsia" w:hAnsiTheme="majorEastAsia" w:eastAsiaTheme="majorEastAsia" w:cstheme="majorEastAsia"/>
                <w:b/>
                <w:bCs/>
                <w:snapToGrid w:val="0"/>
                <w:u w:val="single"/>
              </w:rPr>
              <w:t>80</w:t>
            </w:r>
            <w:r>
              <w:rPr>
                <w:rFonts w:hint="eastAsia" w:asciiTheme="majorEastAsia" w:hAnsiTheme="majorEastAsia" w:eastAsiaTheme="majorEastAsia" w:cstheme="majorEastAsia"/>
                <w:b/>
                <w:bCs/>
                <w:snapToGrid w:val="0"/>
              </w:rPr>
              <w:t>分。</w:t>
            </w:r>
          </w:p>
        </w:tc>
      </w:tr>
      <w:tr w14:paraId="16CB71C9">
        <w:tblPrEx>
          <w:tblCellMar>
            <w:top w:w="0" w:type="dxa"/>
            <w:left w:w="108" w:type="dxa"/>
            <w:bottom w:w="0" w:type="dxa"/>
            <w:right w:w="108" w:type="dxa"/>
          </w:tblCellMar>
        </w:tblPrEx>
        <w:trPr>
          <w:trHeight w:val="456" w:hRule="exact"/>
          <w:jc w:val="center"/>
        </w:trPr>
        <w:tc>
          <w:tcPr>
            <w:tcW w:w="1180" w:type="dxa"/>
            <w:tcBorders>
              <w:top w:val="single" w:color="auto" w:sz="4" w:space="0"/>
              <w:left w:val="single" w:color="auto" w:sz="4" w:space="0"/>
              <w:bottom w:val="single" w:color="auto" w:sz="4" w:space="0"/>
              <w:right w:val="single" w:color="auto" w:sz="4" w:space="0"/>
            </w:tcBorders>
            <w:vAlign w:val="center"/>
          </w:tcPr>
          <w:p w14:paraId="44888E46">
            <w:pPr>
              <w:pStyle w:val="8"/>
              <w:widowControl w:val="0"/>
              <w:tabs>
                <w:tab w:val="left" w:pos="1354"/>
                <w:tab w:val="left" w:pos="1459"/>
                <w:tab w:val="center" w:pos="3902"/>
                <w:tab w:val="right" w:pos="7805"/>
              </w:tabs>
              <w:wordWrap w:val="0"/>
              <w:adjustRightInd w:val="0"/>
              <w:snapToGrid w:val="0"/>
              <w:jc w:val="center"/>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评分因素</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45C6EB65">
            <w:pPr>
              <w:pStyle w:val="8"/>
              <w:widowControl w:val="0"/>
              <w:tabs>
                <w:tab w:val="left" w:pos="1354"/>
                <w:tab w:val="left" w:pos="1459"/>
                <w:tab w:val="center" w:pos="3902"/>
                <w:tab w:val="right" w:pos="7805"/>
              </w:tabs>
              <w:wordWrap w:val="0"/>
              <w:adjustRightInd w:val="0"/>
              <w:snapToGrid w:val="0"/>
              <w:jc w:val="center"/>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评分标准</w:t>
            </w:r>
          </w:p>
        </w:tc>
        <w:tc>
          <w:tcPr>
            <w:tcW w:w="4533" w:type="dxa"/>
            <w:tcBorders>
              <w:top w:val="single" w:color="auto" w:sz="4" w:space="0"/>
              <w:left w:val="single" w:color="auto" w:sz="4" w:space="0"/>
              <w:bottom w:val="single" w:color="auto" w:sz="4" w:space="0"/>
              <w:right w:val="single" w:color="auto" w:sz="4" w:space="0"/>
            </w:tcBorders>
            <w:vAlign w:val="center"/>
          </w:tcPr>
          <w:p w14:paraId="7B4164F8">
            <w:pPr>
              <w:pStyle w:val="8"/>
              <w:widowControl w:val="0"/>
              <w:tabs>
                <w:tab w:val="left" w:pos="1354"/>
                <w:tab w:val="left" w:pos="1459"/>
                <w:tab w:val="center" w:pos="3902"/>
                <w:tab w:val="right" w:pos="7805"/>
              </w:tabs>
              <w:wordWrap w:val="0"/>
              <w:adjustRightInd w:val="0"/>
              <w:snapToGrid w:val="0"/>
              <w:jc w:val="center"/>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备注</w:t>
            </w:r>
          </w:p>
        </w:tc>
      </w:tr>
      <w:tr w14:paraId="07DEA122">
        <w:tblPrEx>
          <w:tblCellMar>
            <w:top w:w="0" w:type="dxa"/>
            <w:left w:w="108" w:type="dxa"/>
            <w:bottom w:w="0" w:type="dxa"/>
            <w:right w:w="108" w:type="dxa"/>
          </w:tblCellMar>
        </w:tblPrEx>
        <w:trPr>
          <w:trHeight w:val="90"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15D8F0E2">
            <w:pPr>
              <w:wordWrap w:val="0"/>
              <w:adjustRightInd w:val="0"/>
              <w:snapToGrid w:val="0"/>
              <w:jc w:val="center"/>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企业奖项</w:t>
            </w:r>
          </w:p>
          <w:p w14:paraId="3E9DBECE">
            <w:pPr>
              <w:wordWrap w:val="0"/>
              <w:adjustRightInd w:val="0"/>
              <w:snapToGrid w:val="0"/>
              <w:jc w:val="center"/>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（10分）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44ADC139">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企业近5年来（2021年6月1日至今）获得房屋建筑工程类奖项情况：</w:t>
            </w:r>
          </w:p>
          <w:p w14:paraId="58DA801F">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1.获得国家级奖项的，每个得8分。</w:t>
            </w:r>
          </w:p>
          <w:p w14:paraId="51720BFD">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2.获得省级奖项的，每个得4分。</w:t>
            </w:r>
          </w:p>
          <w:p w14:paraId="1F42C3E0">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3.获得地市级奖项的，每个得2分。</w:t>
            </w:r>
          </w:p>
          <w:p w14:paraId="5F612F7B">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4.以上奖项均未获得的，不予计分。</w:t>
            </w:r>
          </w:p>
          <w:p w14:paraId="2E6769FC">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5.本项最高得10分。</w:t>
            </w:r>
          </w:p>
        </w:tc>
        <w:tc>
          <w:tcPr>
            <w:tcW w:w="4533" w:type="dxa"/>
            <w:tcBorders>
              <w:top w:val="single" w:color="auto" w:sz="4" w:space="0"/>
              <w:left w:val="single" w:color="auto" w:sz="4" w:space="0"/>
              <w:bottom w:val="single" w:color="auto" w:sz="4" w:space="0"/>
              <w:right w:val="single" w:color="auto" w:sz="4" w:space="0"/>
            </w:tcBorders>
            <w:vAlign w:val="center"/>
          </w:tcPr>
          <w:p w14:paraId="5059BC64">
            <w:pPr>
              <w:wordWrap w:val="0"/>
              <w:adjustRightInd w:val="0"/>
              <w:snapToGrid w:val="0"/>
              <w:rPr>
                <w:rFonts w:hint="eastAsia" w:asciiTheme="majorEastAsia" w:hAnsiTheme="majorEastAsia" w:eastAsiaTheme="majorEastAsia" w:cstheme="majorEastAsia"/>
                <w:strike/>
                <w:snapToGrid w:val="0"/>
                <w:kern w:val="0"/>
              </w:rPr>
            </w:pPr>
            <w:r>
              <w:rPr>
                <w:rFonts w:hint="eastAsia" w:asciiTheme="majorEastAsia" w:hAnsiTheme="majorEastAsia" w:eastAsiaTheme="majorEastAsia" w:cstheme="majorEastAsia"/>
                <w:snapToGrid w:val="0"/>
                <w:kern w:val="0"/>
              </w:rPr>
              <w:t>1.允许投标人提交多个业绩，但同一业绩只按最高级别奖项计分一次。</w:t>
            </w:r>
          </w:p>
          <w:p w14:paraId="1D9D2BFC">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2.需附有关奖项证明复印件（或打印件）。</w:t>
            </w:r>
          </w:p>
          <w:p w14:paraId="31AD2C5A">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3.颁发机构限定以下范围：</w:t>
            </w:r>
          </w:p>
          <w:p w14:paraId="5B8B4F50">
            <w:pPr>
              <w:wordWrap w:val="0"/>
              <w:adjustRightInd w:val="0"/>
              <w:snapToGrid w:val="0"/>
              <w:rPr>
                <w:rFonts w:hint="eastAsia" w:asciiTheme="majorEastAsia" w:hAnsiTheme="majorEastAsia" w:eastAsiaTheme="majorEastAsia" w:cstheme="majorEastAsia"/>
                <w:b/>
                <w:bCs/>
                <w:snapToGrid w:val="0"/>
                <w:kern w:val="0"/>
              </w:rPr>
            </w:pPr>
            <w:r>
              <w:rPr>
                <w:rFonts w:hint="eastAsia" w:asciiTheme="majorEastAsia" w:hAnsiTheme="majorEastAsia" w:eastAsiaTheme="majorEastAsia" w:cstheme="majorEastAsia"/>
                <w:snapToGrid w:val="0"/>
                <w:kern w:val="0"/>
              </w:rPr>
              <w:t>①国家级奖项：</w:t>
            </w:r>
            <w:r>
              <w:rPr>
                <w:rFonts w:hint="eastAsia" w:asciiTheme="majorEastAsia" w:hAnsiTheme="majorEastAsia" w:eastAsiaTheme="majorEastAsia" w:cstheme="majorEastAsia"/>
                <w:snapToGrid w:val="0"/>
                <w:kern w:val="0"/>
                <w:u w:val="single"/>
              </w:rPr>
              <w:t>国务院、住建部、国家级行业协会</w:t>
            </w:r>
            <w:r>
              <w:rPr>
                <w:rFonts w:hint="eastAsia" w:asciiTheme="majorEastAsia" w:hAnsiTheme="majorEastAsia" w:eastAsiaTheme="majorEastAsia" w:cstheme="majorEastAsia"/>
                <w:snapToGrid w:val="0"/>
                <w:kern w:val="0"/>
              </w:rPr>
              <w:t>；</w:t>
            </w:r>
            <w:r>
              <w:rPr>
                <w:rFonts w:hint="eastAsia" w:asciiTheme="majorEastAsia" w:hAnsiTheme="majorEastAsia" w:eastAsiaTheme="majorEastAsia" w:cstheme="majorEastAsia"/>
                <w:b/>
                <w:bCs/>
                <w:snapToGrid w:val="0"/>
                <w:kern w:val="0"/>
              </w:rPr>
              <w:t>（相关协会需经民政部门备案）</w:t>
            </w:r>
          </w:p>
          <w:p w14:paraId="0A6E8902">
            <w:pPr>
              <w:wordWrap w:val="0"/>
              <w:adjustRightInd w:val="0"/>
              <w:snapToGrid w:val="0"/>
              <w:rPr>
                <w:rFonts w:hint="eastAsia" w:asciiTheme="majorEastAsia" w:hAnsiTheme="majorEastAsia" w:eastAsiaTheme="majorEastAsia" w:cstheme="majorEastAsia"/>
                <w:b/>
                <w:bCs/>
                <w:snapToGrid w:val="0"/>
                <w:kern w:val="0"/>
              </w:rPr>
            </w:pPr>
            <w:r>
              <w:rPr>
                <w:rFonts w:hint="eastAsia" w:asciiTheme="majorEastAsia" w:hAnsiTheme="majorEastAsia" w:eastAsiaTheme="majorEastAsia" w:cstheme="majorEastAsia"/>
                <w:snapToGrid w:val="0"/>
                <w:kern w:val="0"/>
              </w:rPr>
              <w:t>②省级奖项：</w:t>
            </w:r>
            <w:r>
              <w:rPr>
                <w:rFonts w:hint="eastAsia" w:asciiTheme="majorEastAsia" w:hAnsiTheme="majorEastAsia" w:eastAsiaTheme="majorEastAsia" w:cstheme="majorEastAsia"/>
                <w:snapToGrid w:val="0"/>
                <w:kern w:val="0"/>
                <w:u w:val="single"/>
              </w:rPr>
              <w:t>省级人民政府、省级住建部门、省级行业协会</w:t>
            </w:r>
            <w:r>
              <w:rPr>
                <w:rFonts w:hint="eastAsia" w:asciiTheme="majorEastAsia" w:hAnsiTheme="majorEastAsia" w:eastAsiaTheme="majorEastAsia" w:cstheme="majorEastAsia"/>
                <w:snapToGrid w:val="0"/>
                <w:kern w:val="0"/>
              </w:rPr>
              <w:t>；</w:t>
            </w:r>
            <w:r>
              <w:rPr>
                <w:rFonts w:hint="eastAsia" w:asciiTheme="majorEastAsia" w:hAnsiTheme="majorEastAsia" w:eastAsiaTheme="majorEastAsia" w:cstheme="majorEastAsia"/>
                <w:b/>
                <w:bCs/>
                <w:snapToGrid w:val="0"/>
                <w:kern w:val="0"/>
              </w:rPr>
              <w:t>（相关协会需经民政部门备案）</w:t>
            </w:r>
          </w:p>
          <w:p w14:paraId="4D8AB624">
            <w:pPr>
              <w:wordWrap w:val="0"/>
              <w:adjustRightInd w:val="0"/>
              <w:snapToGrid w:val="0"/>
              <w:rPr>
                <w:rFonts w:hint="eastAsia" w:asciiTheme="majorEastAsia" w:hAnsiTheme="majorEastAsia" w:eastAsiaTheme="majorEastAsia" w:cstheme="majorEastAsia"/>
                <w:b/>
                <w:bCs/>
                <w:snapToGrid w:val="0"/>
                <w:kern w:val="0"/>
              </w:rPr>
            </w:pPr>
            <w:r>
              <w:rPr>
                <w:rFonts w:hint="eastAsia" w:asciiTheme="majorEastAsia" w:hAnsiTheme="majorEastAsia" w:eastAsiaTheme="majorEastAsia" w:cstheme="majorEastAsia"/>
                <w:snapToGrid w:val="0"/>
                <w:kern w:val="0"/>
              </w:rPr>
              <w:t>③地市级奖项：</w:t>
            </w:r>
            <w:r>
              <w:rPr>
                <w:rFonts w:hint="eastAsia" w:asciiTheme="majorEastAsia" w:hAnsiTheme="majorEastAsia" w:eastAsiaTheme="majorEastAsia" w:cstheme="majorEastAsia"/>
                <w:snapToGrid w:val="0"/>
                <w:kern w:val="0"/>
                <w:u w:val="single"/>
              </w:rPr>
              <w:t>地市级人民政府、地市级住建部门、地市级行业协会</w:t>
            </w:r>
            <w:r>
              <w:rPr>
                <w:rFonts w:hint="eastAsia" w:asciiTheme="majorEastAsia" w:hAnsiTheme="majorEastAsia" w:eastAsiaTheme="majorEastAsia" w:cstheme="majorEastAsia"/>
                <w:snapToGrid w:val="0"/>
                <w:kern w:val="0"/>
              </w:rPr>
              <w:t>。</w:t>
            </w:r>
            <w:r>
              <w:rPr>
                <w:rFonts w:hint="eastAsia" w:asciiTheme="majorEastAsia" w:hAnsiTheme="majorEastAsia" w:eastAsiaTheme="majorEastAsia" w:cstheme="majorEastAsia"/>
                <w:b/>
                <w:bCs/>
                <w:snapToGrid w:val="0"/>
                <w:kern w:val="0"/>
              </w:rPr>
              <w:t>（相关协会需经民政部门备案）</w:t>
            </w:r>
          </w:p>
          <w:p w14:paraId="5D7A678E">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4.获奖时间以奖项证明的落款日期为准。</w:t>
            </w:r>
          </w:p>
          <w:p w14:paraId="3BE3A2AE">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5.任一奖项有以下情形之一的，该奖项视为无效，不予计分：</w:t>
            </w:r>
          </w:p>
          <w:p w14:paraId="26E4BCDD">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①奖项不属于指定类别的；</w:t>
            </w:r>
          </w:p>
          <w:p w14:paraId="302E20FC">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②颁发机构不符合要求的；</w:t>
            </w:r>
          </w:p>
          <w:p w14:paraId="74B42DF3">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③获奖时间不符合要求的。</w:t>
            </w:r>
          </w:p>
          <w:p w14:paraId="3F53AB47">
            <w:pPr>
              <w:wordWrap w:val="0"/>
              <w:adjustRightInd w:val="0"/>
              <w:snapToGrid w:val="0"/>
              <w:rPr>
                <w:rFonts w:hint="eastAsia" w:asciiTheme="majorEastAsia" w:hAnsiTheme="majorEastAsia" w:eastAsiaTheme="majorEastAsia" w:cstheme="majorEastAsia"/>
              </w:rPr>
            </w:pPr>
            <w:r>
              <w:rPr>
                <w:rFonts w:hint="eastAsia" w:asciiTheme="majorEastAsia" w:hAnsiTheme="majorEastAsia" w:eastAsiaTheme="majorEastAsia" w:cstheme="majorEastAsia"/>
                <w:b/>
                <w:bCs/>
                <w:snapToGrid w:val="0"/>
                <w:kern w:val="0"/>
              </w:rPr>
              <w:t>说明：以上所称“要求”均指本表评分标准及备注的要求，下同。</w:t>
            </w:r>
          </w:p>
        </w:tc>
      </w:tr>
      <w:tr w14:paraId="7DBAA6AE">
        <w:tblPrEx>
          <w:tblCellMar>
            <w:top w:w="0" w:type="dxa"/>
            <w:left w:w="108" w:type="dxa"/>
            <w:bottom w:w="0" w:type="dxa"/>
            <w:right w:w="108" w:type="dxa"/>
          </w:tblCellMar>
        </w:tblPrEx>
        <w:trPr>
          <w:trHeight w:val="3052"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02D83CC5">
            <w:pPr>
              <w:wordWrap w:val="0"/>
              <w:adjustRightInd w:val="0"/>
              <w:snapToGrid w:val="0"/>
              <w:jc w:val="center"/>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项目经理</w:t>
            </w:r>
          </w:p>
          <w:p w14:paraId="3C9FF382">
            <w:pPr>
              <w:wordWrap w:val="0"/>
              <w:adjustRightInd w:val="0"/>
              <w:snapToGrid w:val="0"/>
              <w:jc w:val="center"/>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综合素质</w:t>
            </w:r>
          </w:p>
          <w:p w14:paraId="5F4DA6EE">
            <w:pPr>
              <w:wordWrap w:val="0"/>
              <w:adjustRightInd w:val="0"/>
              <w:snapToGrid w:val="0"/>
              <w:jc w:val="center"/>
              <w:textAlignment w:val="auto"/>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（10分）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4109EE19">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 xml:space="preserve">项目经理工程类技术职称情况： </w:t>
            </w:r>
          </w:p>
          <w:p w14:paraId="350015AA">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 xml:space="preserve">1.具备高级工程师职称的，得10分。 </w:t>
            </w:r>
          </w:p>
          <w:p w14:paraId="5F4BF9C4">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 xml:space="preserve">2.具备工程师职称的，得8分。 </w:t>
            </w:r>
          </w:p>
          <w:p w14:paraId="00B9BA56">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3.具备助理工程师职称的，得5分。</w:t>
            </w:r>
          </w:p>
          <w:p w14:paraId="702E1875">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4.不具备以上职称的，不予计分。</w:t>
            </w:r>
          </w:p>
        </w:tc>
        <w:tc>
          <w:tcPr>
            <w:tcW w:w="4533" w:type="dxa"/>
            <w:tcBorders>
              <w:top w:val="single" w:color="auto" w:sz="4" w:space="0"/>
              <w:left w:val="single" w:color="auto" w:sz="4" w:space="0"/>
              <w:bottom w:val="single" w:color="auto" w:sz="4" w:space="0"/>
              <w:right w:val="single" w:color="auto" w:sz="4" w:space="0"/>
            </w:tcBorders>
            <w:vAlign w:val="center"/>
          </w:tcPr>
          <w:p w14:paraId="336D2895">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kern w:val="0"/>
              </w:rPr>
              <w:t>需附职称证复印件（或打印件）。</w:t>
            </w:r>
          </w:p>
        </w:tc>
      </w:tr>
      <w:tr w14:paraId="5AA590B5">
        <w:tblPrEx>
          <w:tblCellMar>
            <w:top w:w="0" w:type="dxa"/>
            <w:left w:w="108" w:type="dxa"/>
            <w:bottom w:w="0" w:type="dxa"/>
            <w:right w:w="108" w:type="dxa"/>
          </w:tblCellMar>
        </w:tblPrEx>
        <w:trPr>
          <w:trHeight w:val="90"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7C995725">
            <w:pPr>
              <w:wordWrap w:val="0"/>
              <w:adjustRightInd w:val="0"/>
              <w:snapToGrid w:val="0"/>
              <w:jc w:val="center"/>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企业业绩</w:t>
            </w:r>
          </w:p>
          <w:p w14:paraId="21B1230D">
            <w:pPr>
              <w:wordWrap w:val="0"/>
              <w:adjustRightInd w:val="0"/>
              <w:snapToGrid w:val="0"/>
              <w:jc w:val="center"/>
              <w:textAlignment w:val="auto"/>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（10分）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239A5FE6">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企业近5年来（2021年6月1日至今）业绩情况：</w:t>
            </w:r>
          </w:p>
          <w:p w14:paraId="745DBA8A">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1.完成过类似工程的，每个得5分。</w:t>
            </w:r>
          </w:p>
          <w:p w14:paraId="4ACA44FB">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2.未完成过类似工程的，不予计分。</w:t>
            </w:r>
          </w:p>
          <w:p w14:paraId="4CC52CF8">
            <w:pPr>
              <w:wordWrap w:val="0"/>
              <w:adjustRightInd w:val="0"/>
              <w:snapToGrid w:val="0"/>
              <w:textAlignment w:val="auto"/>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 xml:space="preserve">3.本项最高得10分。 </w:t>
            </w:r>
          </w:p>
        </w:tc>
        <w:tc>
          <w:tcPr>
            <w:tcW w:w="4533" w:type="dxa"/>
            <w:tcBorders>
              <w:top w:val="single" w:color="auto" w:sz="4" w:space="0"/>
              <w:left w:val="single" w:color="auto" w:sz="4" w:space="0"/>
              <w:bottom w:val="single" w:color="auto" w:sz="4" w:space="0"/>
              <w:right w:val="single" w:color="auto" w:sz="4" w:space="0"/>
            </w:tcBorders>
            <w:vAlign w:val="center"/>
          </w:tcPr>
          <w:p w14:paraId="435B137D">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1.类似工程指：施工部分单项合同额≥3000万元的下列项目之一：房屋建筑工程施工总承包项目、房屋建筑工程设计施工总承包项目、房屋建筑工程勘察设计施工总承包项目或房屋建筑工程EPC总承包项目。</w:t>
            </w:r>
          </w:p>
          <w:p w14:paraId="180783BF">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2.需附有关业绩（仅限于以施工</w:t>
            </w:r>
            <w:r>
              <w:rPr>
                <w:rFonts w:hint="eastAsia" w:asciiTheme="majorEastAsia" w:hAnsiTheme="majorEastAsia" w:eastAsiaTheme="majorEastAsia" w:cstheme="majorEastAsia"/>
                <w:snapToGrid w:val="0"/>
                <w:kern w:val="0"/>
                <w:u w:val="single"/>
              </w:rPr>
              <w:t>总承包单位</w:t>
            </w:r>
            <w:r>
              <w:rPr>
                <w:rFonts w:hint="eastAsia" w:asciiTheme="majorEastAsia" w:hAnsiTheme="majorEastAsia" w:eastAsiaTheme="majorEastAsia" w:cstheme="majorEastAsia"/>
                <w:snapToGrid w:val="0"/>
                <w:kern w:val="0"/>
              </w:rPr>
              <w:t>身份参建的项目）合同协议书和竣工验收报告的复印件（或打印件）。</w:t>
            </w:r>
          </w:p>
          <w:p w14:paraId="7355E7FD">
            <w:pPr>
              <w:wordWrap w:val="0"/>
              <w:adjustRightInd w:val="0"/>
              <w:snapToGrid w:val="0"/>
              <w:rPr>
                <w:rFonts w:hint="eastAsia" w:asciiTheme="majorEastAsia" w:hAnsiTheme="majorEastAsia" w:eastAsiaTheme="majorEastAsia" w:cstheme="majorEastAsia"/>
                <w:i/>
                <w:iCs/>
                <w:snapToGrid w:val="0"/>
                <w:kern w:val="0"/>
              </w:rPr>
            </w:pPr>
            <w:r>
              <w:rPr>
                <w:rFonts w:hint="eastAsia" w:asciiTheme="majorEastAsia" w:hAnsiTheme="majorEastAsia" w:eastAsiaTheme="majorEastAsia" w:cstheme="majorEastAsia"/>
                <w:snapToGrid w:val="0"/>
                <w:kern w:val="0"/>
              </w:rPr>
              <w:t>3.业绩时间以竣工验收报告日期为准。</w:t>
            </w:r>
          </w:p>
          <w:p w14:paraId="41B1B831">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4.任一业绩有以下情形之一的，该业绩视为无效，不予计分：</w:t>
            </w:r>
          </w:p>
          <w:p w14:paraId="59F3FD33">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①业绩不属于类似工程的；</w:t>
            </w:r>
          </w:p>
          <w:p w14:paraId="00457FB9">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②不是以指定身份参建的；</w:t>
            </w:r>
          </w:p>
          <w:p w14:paraId="054188CB">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③业绩时间不符合要求的；</w:t>
            </w:r>
          </w:p>
          <w:p w14:paraId="3E298A25">
            <w:pPr>
              <w:wordWrap w:val="0"/>
              <w:adjustRightInd w:val="0"/>
              <w:snapToGrid w:val="0"/>
              <w:textAlignment w:val="auto"/>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④业绩未竣工验收的。</w:t>
            </w:r>
          </w:p>
        </w:tc>
      </w:tr>
      <w:tr w14:paraId="0C5023CD">
        <w:tblPrEx>
          <w:tblCellMar>
            <w:top w:w="0" w:type="dxa"/>
            <w:left w:w="108" w:type="dxa"/>
            <w:bottom w:w="0" w:type="dxa"/>
            <w:right w:w="108" w:type="dxa"/>
          </w:tblCellMar>
        </w:tblPrEx>
        <w:trPr>
          <w:trHeight w:val="90"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1CAD4C98">
            <w:pPr>
              <w:wordWrap w:val="0"/>
              <w:adjustRightInd w:val="0"/>
              <w:snapToGrid w:val="0"/>
              <w:jc w:val="center"/>
              <w:rPr>
                <w:rFonts w:hint="eastAsia" w:asciiTheme="majorEastAsia" w:hAnsiTheme="majorEastAsia" w:eastAsiaTheme="majorEastAsia" w:cstheme="majorEastAsia"/>
                <w:snapToGrid w:val="0"/>
                <w:kern w:val="0"/>
                <w:lang w:bidi="ar"/>
              </w:rPr>
            </w:pPr>
            <w:r>
              <w:rPr>
                <w:rFonts w:hint="eastAsia" w:asciiTheme="majorEastAsia" w:hAnsiTheme="majorEastAsia" w:eastAsiaTheme="majorEastAsia" w:cstheme="majorEastAsia"/>
                <w:snapToGrid w:val="0"/>
                <w:kern w:val="0"/>
                <w:lang w:bidi="ar"/>
              </w:rPr>
              <w:t>企业管理</w:t>
            </w:r>
          </w:p>
          <w:p w14:paraId="3F6018B8">
            <w:pPr>
              <w:wordWrap w:val="0"/>
              <w:adjustRightInd w:val="0"/>
              <w:snapToGrid w:val="0"/>
              <w:jc w:val="center"/>
              <w:rPr>
                <w:rFonts w:hint="eastAsia" w:asciiTheme="majorEastAsia" w:hAnsiTheme="majorEastAsia" w:eastAsiaTheme="majorEastAsia" w:cstheme="majorEastAsia"/>
                <w:snapToGrid w:val="0"/>
                <w:kern w:val="0"/>
                <w:lang w:bidi="ar"/>
              </w:rPr>
            </w:pPr>
            <w:r>
              <w:rPr>
                <w:rFonts w:hint="eastAsia" w:asciiTheme="majorEastAsia" w:hAnsiTheme="majorEastAsia" w:eastAsiaTheme="majorEastAsia" w:cstheme="majorEastAsia"/>
                <w:snapToGrid w:val="0"/>
                <w:kern w:val="0"/>
                <w:lang w:bidi="ar"/>
              </w:rPr>
              <w:t>体系认证</w:t>
            </w:r>
          </w:p>
          <w:p w14:paraId="64A118D8">
            <w:pPr>
              <w:wordWrap w:val="0"/>
              <w:adjustRightInd w:val="0"/>
              <w:snapToGrid w:val="0"/>
              <w:jc w:val="center"/>
              <w:textAlignment w:val="auto"/>
              <w:rPr>
                <w:rFonts w:hint="eastAsia" w:asciiTheme="majorEastAsia" w:hAnsiTheme="majorEastAsia" w:eastAsiaTheme="majorEastAsia" w:cstheme="majorEastAsia"/>
                <w:snapToGrid w:val="0"/>
                <w:kern w:val="0"/>
                <w:lang w:bidi="ar"/>
              </w:rPr>
            </w:pPr>
            <w:r>
              <w:rPr>
                <w:rFonts w:hint="eastAsia" w:asciiTheme="majorEastAsia" w:hAnsiTheme="majorEastAsia" w:eastAsiaTheme="majorEastAsia" w:cstheme="majorEastAsia"/>
                <w:snapToGrid w:val="0"/>
                <w:kern w:val="0"/>
                <w:lang w:bidi="ar"/>
              </w:rPr>
              <w:t>（6分）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1342F3AF">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1.质量管理体系认证</w:t>
            </w:r>
            <w:r>
              <w:rPr>
                <w:rFonts w:hint="eastAsia" w:asciiTheme="majorEastAsia" w:hAnsiTheme="majorEastAsia" w:eastAsiaTheme="majorEastAsia" w:cstheme="majorEastAsia"/>
                <w:snapToGrid w:val="0"/>
                <w:kern w:val="0"/>
                <w:lang w:bidi="ar"/>
              </w:rPr>
              <w:t>、</w:t>
            </w:r>
            <w:r>
              <w:rPr>
                <w:rFonts w:hint="eastAsia" w:asciiTheme="majorEastAsia" w:hAnsiTheme="majorEastAsia" w:eastAsiaTheme="majorEastAsia" w:cstheme="majorEastAsia"/>
                <w:snapToGrid w:val="0"/>
                <w:kern w:val="0"/>
              </w:rPr>
              <w:t>职业健康安全管理体系认证</w:t>
            </w:r>
            <w:r>
              <w:rPr>
                <w:rFonts w:hint="eastAsia" w:asciiTheme="majorEastAsia" w:hAnsiTheme="majorEastAsia" w:eastAsiaTheme="majorEastAsia" w:cstheme="majorEastAsia"/>
                <w:snapToGrid w:val="0"/>
                <w:kern w:val="0"/>
                <w:lang w:bidi="ar"/>
              </w:rPr>
              <w:t>、</w:t>
            </w:r>
            <w:r>
              <w:rPr>
                <w:rFonts w:hint="eastAsia" w:asciiTheme="majorEastAsia" w:hAnsiTheme="majorEastAsia" w:eastAsiaTheme="majorEastAsia" w:cstheme="majorEastAsia"/>
                <w:snapToGrid w:val="0"/>
                <w:kern w:val="0"/>
              </w:rPr>
              <w:t>环境管理体系认证</w:t>
            </w:r>
            <w:r>
              <w:rPr>
                <w:rFonts w:hint="eastAsia" w:asciiTheme="majorEastAsia" w:hAnsiTheme="majorEastAsia" w:eastAsiaTheme="majorEastAsia" w:cstheme="majorEastAsia"/>
                <w:snapToGrid w:val="0"/>
                <w:kern w:val="0"/>
                <w:lang w:bidi="ar"/>
              </w:rPr>
              <w:t>中，每获得1项认证</w:t>
            </w:r>
            <w:r>
              <w:rPr>
                <w:rFonts w:hint="eastAsia" w:asciiTheme="majorEastAsia" w:hAnsiTheme="majorEastAsia" w:eastAsiaTheme="majorEastAsia" w:cstheme="majorEastAsia"/>
                <w:snapToGrid w:val="0"/>
                <w:kern w:val="0"/>
              </w:rPr>
              <w:t>得2分，最高得6分。</w:t>
            </w:r>
          </w:p>
          <w:p w14:paraId="0A8B328E">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2.未获得以上认证的，不予计分。</w:t>
            </w:r>
          </w:p>
        </w:tc>
        <w:tc>
          <w:tcPr>
            <w:tcW w:w="4533" w:type="dxa"/>
            <w:tcBorders>
              <w:top w:val="single" w:color="auto" w:sz="4" w:space="0"/>
              <w:left w:val="single" w:color="auto" w:sz="4" w:space="0"/>
              <w:bottom w:val="single" w:color="auto" w:sz="4" w:space="0"/>
              <w:right w:val="single" w:color="auto" w:sz="4" w:space="0"/>
            </w:tcBorders>
            <w:vAlign w:val="center"/>
          </w:tcPr>
          <w:p w14:paraId="191F2AFC">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1.需附在有效期内的认证证书复印件（或打印件）。</w:t>
            </w:r>
          </w:p>
          <w:p w14:paraId="5BC0BE44">
            <w:pPr>
              <w:numPr>
                <w:ilvl w:val="255"/>
                <w:numId w:val="0"/>
              </w:num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2.认证证书不在有效期内的，该认证证书视为无效，不予计分。</w:t>
            </w:r>
          </w:p>
        </w:tc>
      </w:tr>
      <w:tr w14:paraId="562057D1">
        <w:tblPrEx>
          <w:tblCellMar>
            <w:top w:w="0" w:type="dxa"/>
            <w:left w:w="108" w:type="dxa"/>
            <w:bottom w:w="0" w:type="dxa"/>
            <w:right w:w="108" w:type="dxa"/>
          </w:tblCellMar>
        </w:tblPrEx>
        <w:trPr>
          <w:trHeight w:val="90"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797A34EE">
            <w:pPr>
              <w:wordWrap w:val="0"/>
              <w:adjustRightInd w:val="0"/>
              <w:snapToGrid w:val="0"/>
              <w:jc w:val="center"/>
              <w:rPr>
                <w:rFonts w:hint="eastAsia" w:asciiTheme="majorEastAsia" w:hAnsiTheme="majorEastAsia" w:eastAsiaTheme="majorEastAsia" w:cstheme="majorEastAsia"/>
                <w:snapToGrid w:val="0"/>
                <w:kern w:val="0"/>
                <w:lang w:bidi="ar"/>
              </w:rPr>
            </w:pPr>
            <w:r>
              <w:rPr>
                <w:rFonts w:hint="eastAsia" w:asciiTheme="majorEastAsia" w:hAnsiTheme="majorEastAsia" w:eastAsiaTheme="majorEastAsia" w:cstheme="majorEastAsia"/>
                <w:snapToGrid w:val="0"/>
                <w:kern w:val="0"/>
                <w:lang w:bidi="ar"/>
              </w:rPr>
              <w:t>企业</w:t>
            </w:r>
          </w:p>
          <w:p w14:paraId="604D76E9">
            <w:pPr>
              <w:wordWrap w:val="0"/>
              <w:adjustRightInd w:val="0"/>
              <w:snapToGrid w:val="0"/>
              <w:jc w:val="center"/>
              <w:rPr>
                <w:rFonts w:hint="eastAsia" w:asciiTheme="majorEastAsia" w:hAnsiTheme="majorEastAsia" w:eastAsiaTheme="majorEastAsia" w:cstheme="majorEastAsia"/>
                <w:strike/>
                <w:snapToGrid w:val="0"/>
                <w:kern w:val="0"/>
              </w:rPr>
            </w:pPr>
            <w:r>
              <w:rPr>
                <w:rFonts w:hint="eastAsia" w:asciiTheme="majorEastAsia" w:hAnsiTheme="majorEastAsia" w:eastAsiaTheme="majorEastAsia" w:cstheme="majorEastAsia"/>
                <w:snapToGrid w:val="0"/>
                <w:kern w:val="0"/>
                <w:lang w:bidi="ar"/>
              </w:rPr>
              <w:t>财务状况</w:t>
            </w:r>
          </w:p>
          <w:p w14:paraId="16D7AA94">
            <w:pPr>
              <w:wordWrap w:val="0"/>
              <w:adjustRightInd w:val="0"/>
              <w:snapToGrid w:val="0"/>
              <w:jc w:val="center"/>
              <w:textAlignment w:val="auto"/>
              <w:rPr>
                <w:rFonts w:hint="eastAsia" w:asciiTheme="majorEastAsia" w:hAnsiTheme="majorEastAsia" w:eastAsiaTheme="majorEastAsia" w:cstheme="majorEastAsia"/>
                <w:snapToGrid w:val="0"/>
                <w:kern w:val="0"/>
                <w:lang w:bidi="ar"/>
              </w:rPr>
            </w:pPr>
            <w:r>
              <w:rPr>
                <w:rFonts w:hint="eastAsia" w:asciiTheme="majorEastAsia" w:hAnsiTheme="majorEastAsia" w:eastAsiaTheme="majorEastAsia" w:cstheme="majorEastAsia"/>
                <w:snapToGrid w:val="0"/>
                <w:kern w:val="0"/>
                <w:lang w:bidi="ar"/>
              </w:rPr>
              <w:t>（9分）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6AB7B2C0">
            <w:pPr>
              <w:numPr>
                <w:ilvl w:val="255"/>
                <w:numId w:val="0"/>
              </w:num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1.提供不少于400万元银行授信证明的，得4分。</w:t>
            </w:r>
          </w:p>
          <w:p w14:paraId="2451586D">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2.提供投标人基本账户在本项目招标公告发布之日起至投标截止时间期间出现过至少连续3日不少于400万元存款余额资金流水证明的，得5分。</w:t>
            </w:r>
          </w:p>
        </w:tc>
        <w:tc>
          <w:tcPr>
            <w:tcW w:w="4533" w:type="dxa"/>
            <w:tcBorders>
              <w:top w:val="single" w:color="auto" w:sz="4" w:space="0"/>
              <w:left w:val="single" w:color="auto" w:sz="4" w:space="0"/>
              <w:bottom w:val="single" w:color="auto" w:sz="4" w:space="0"/>
              <w:right w:val="single" w:color="auto" w:sz="4" w:space="0"/>
            </w:tcBorders>
            <w:vAlign w:val="center"/>
          </w:tcPr>
          <w:p w14:paraId="5FBA1DEB">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1.需附在有效期内的有关证明复印件（或打印件）。</w:t>
            </w:r>
          </w:p>
          <w:p w14:paraId="021AB5CA">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2.银行授信证明有以下情形之一的，视为无效，不予计分：</w:t>
            </w:r>
          </w:p>
          <w:p w14:paraId="55BCABB2">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①授信证明不在有效期内的；</w:t>
            </w:r>
          </w:p>
          <w:p w14:paraId="4213B70A">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②授信额度不符合要求的。</w:t>
            </w:r>
          </w:p>
          <w:p w14:paraId="0961D048">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3.存款余额资金流水证明有以下情形之一的，视为无效，不予计分：</w:t>
            </w:r>
          </w:p>
          <w:p w14:paraId="087FFEE0">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①存款账户不是基本账户的；</w:t>
            </w:r>
          </w:p>
          <w:p w14:paraId="31618B00">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②存款时间不符合要求的；</w:t>
            </w:r>
          </w:p>
          <w:p w14:paraId="061E5E9D">
            <w:pPr>
              <w:numPr>
                <w:ilvl w:val="255"/>
                <w:numId w:val="0"/>
              </w:num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③存款额度不符合要求的。</w:t>
            </w:r>
          </w:p>
        </w:tc>
      </w:tr>
      <w:tr w14:paraId="237F6656">
        <w:tblPrEx>
          <w:tblCellMar>
            <w:top w:w="0" w:type="dxa"/>
            <w:left w:w="108" w:type="dxa"/>
            <w:bottom w:w="0" w:type="dxa"/>
            <w:right w:w="108" w:type="dxa"/>
          </w:tblCellMar>
        </w:tblPrEx>
        <w:trPr>
          <w:trHeight w:val="2684" w:hRule="atLeast"/>
          <w:jc w:val="center"/>
        </w:trPr>
        <w:tc>
          <w:tcPr>
            <w:tcW w:w="1180" w:type="dxa"/>
            <w:vMerge w:val="restart"/>
            <w:tcBorders>
              <w:left w:val="single" w:color="auto" w:sz="4" w:space="0"/>
              <w:right w:val="single" w:color="auto" w:sz="4" w:space="0"/>
            </w:tcBorders>
            <w:vAlign w:val="center"/>
          </w:tcPr>
          <w:p w14:paraId="31D5E244">
            <w:pPr>
              <w:pStyle w:val="8"/>
              <w:wordWrap w:val="0"/>
              <w:adjustRightInd w:val="0"/>
              <w:snapToGrid w:val="0"/>
              <w:jc w:val="center"/>
              <w:textAlignment w:val="auto"/>
              <w:rPr>
                <w:rFonts w:hint="eastAsia" w:asciiTheme="majorEastAsia" w:hAnsiTheme="majorEastAsia" w:eastAsiaTheme="majorEastAsia" w:cstheme="majorEastAsia"/>
                <w:snapToGrid w:val="0"/>
                <w:lang w:bidi="ar"/>
              </w:rPr>
            </w:pPr>
            <w:r>
              <w:rPr>
                <w:rFonts w:hint="eastAsia" w:asciiTheme="majorEastAsia" w:hAnsiTheme="majorEastAsia" w:eastAsiaTheme="majorEastAsia" w:cstheme="majorEastAsia"/>
                <w:snapToGrid w:val="0"/>
                <w:lang w:bidi="ar"/>
              </w:rPr>
              <w:t>招标人自选项</w:t>
            </w:r>
          </w:p>
          <w:p w14:paraId="75560F69">
            <w:pPr>
              <w:pStyle w:val="8"/>
              <w:wordWrap w:val="0"/>
              <w:adjustRightInd w:val="0"/>
              <w:snapToGrid w:val="0"/>
              <w:jc w:val="center"/>
              <w:textAlignment w:val="auto"/>
              <w:rPr>
                <w:rFonts w:hint="eastAsia" w:asciiTheme="majorEastAsia" w:hAnsiTheme="majorEastAsia" w:eastAsiaTheme="majorEastAsia" w:cstheme="majorEastAsia"/>
                <w:snapToGrid w:val="0"/>
                <w:lang w:bidi="ar"/>
              </w:rPr>
            </w:pPr>
            <w:r>
              <w:rPr>
                <w:rFonts w:hint="eastAsia" w:asciiTheme="majorEastAsia" w:hAnsiTheme="majorEastAsia" w:eastAsiaTheme="majorEastAsia" w:cstheme="majorEastAsia"/>
                <w:snapToGrid w:val="0"/>
                <w:lang w:bidi="ar"/>
              </w:rPr>
              <w:t>（35分）</w:t>
            </w:r>
          </w:p>
        </w:tc>
        <w:tc>
          <w:tcPr>
            <w:tcW w:w="3771" w:type="dxa"/>
            <w:gridSpan w:val="2"/>
            <w:tcBorders>
              <w:top w:val="single" w:color="auto" w:sz="4" w:space="0"/>
              <w:left w:val="single" w:color="auto" w:sz="4" w:space="0"/>
              <w:right w:val="single" w:color="auto" w:sz="4" w:space="0"/>
            </w:tcBorders>
            <w:vAlign w:val="center"/>
          </w:tcPr>
          <w:p w14:paraId="019A1EA4">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1.企业近三年平均资产负债率低于70%，且最新一年度的资产负债率低于70%，得10分；</w:t>
            </w:r>
          </w:p>
          <w:p w14:paraId="109637D9">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2.其他情形的，不予计分。</w:t>
            </w:r>
          </w:p>
        </w:tc>
        <w:tc>
          <w:tcPr>
            <w:tcW w:w="4533" w:type="dxa"/>
            <w:tcBorders>
              <w:top w:val="single" w:color="auto" w:sz="4" w:space="0"/>
              <w:left w:val="single" w:color="auto" w:sz="4" w:space="0"/>
              <w:bottom w:val="single" w:color="auto" w:sz="4" w:space="0"/>
              <w:right w:val="single" w:color="auto" w:sz="4" w:space="0"/>
            </w:tcBorders>
            <w:vAlign w:val="center"/>
          </w:tcPr>
          <w:p w14:paraId="6DE93122">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1.企业需提供经有资质的第三方单位审核的近三年度（其中必须包含2025年度）的年度审计（财务）报告（须包含资产负债表、利润表）盈利情况进行评分。</w:t>
            </w:r>
          </w:p>
          <w:p w14:paraId="260EDEA0">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2.颁发机构不符合要求的，按第2项标准处理。</w:t>
            </w:r>
          </w:p>
        </w:tc>
      </w:tr>
      <w:tr w14:paraId="5C2AC92F">
        <w:tblPrEx>
          <w:tblCellMar>
            <w:top w:w="0" w:type="dxa"/>
            <w:left w:w="108" w:type="dxa"/>
            <w:bottom w:w="0" w:type="dxa"/>
            <w:right w:w="108" w:type="dxa"/>
          </w:tblCellMar>
        </w:tblPrEx>
        <w:trPr>
          <w:trHeight w:val="90" w:hRule="atLeast"/>
          <w:jc w:val="center"/>
        </w:trPr>
        <w:tc>
          <w:tcPr>
            <w:tcW w:w="1180" w:type="dxa"/>
            <w:vMerge w:val="continue"/>
            <w:tcBorders>
              <w:left w:val="single" w:color="auto" w:sz="4" w:space="0"/>
              <w:right w:val="single" w:color="auto" w:sz="4" w:space="0"/>
            </w:tcBorders>
            <w:vAlign w:val="center"/>
          </w:tcPr>
          <w:p w14:paraId="6985AC49">
            <w:pPr>
              <w:pStyle w:val="8"/>
              <w:wordWrap w:val="0"/>
              <w:adjustRightInd w:val="0"/>
              <w:snapToGrid w:val="0"/>
              <w:jc w:val="center"/>
              <w:textAlignment w:val="auto"/>
              <w:rPr>
                <w:rFonts w:hint="eastAsia" w:asciiTheme="majorEastAsia" w:hAnsiTheme="majorEastAsia" w:eastAsiaTheme="majorEastAsia" w:cstheme="majorEastAsia"/>
                <w:snapToGrid w:val="0"/>
              </w:rPr>
            </w:pP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482F4B74">
            <w:pPr>
              <w:textAlignment w:val="auto"/>
              <w:rPr>
                <w:rFonts w:hint="eastAsia" w:asciiTheme="majorEastAsia" w:hAnsiTheme="majorEastAsia" w:eastAsiaTheme="majorEastAsia" w:cstheme="majorEastAsia"/>
                <w:strike/>
                <w:snapToGrid w:val="0"/>
                <w:kern w:val="0"/>
              </w:rPr>
            </w:pPr>
            <w:r>
              <w:rPr>
                <w:rFonts w:hint="eastAsia" w:asciiTheme="majorEastAsia" w:hAnsiTheme="majorEastAsia" w:eastAsiaTheme="majorEastAsia" w:cstheme="majorEastAsia"/>
                <w:snapToGrid w:val="0"/>
                <w:kern w:val="0"/>
              </w:rPr>
              <w:t>企业近5年（2021年6月1日至今）企业均为高新技术企业的得5分。</w:t>
            </w:r>
          </w:p>
        </w:tc>
        <w:tc>
          <w:tcPr>
            <w:tcW w:w="4533" w:type="dxa"/>
            <w:tcBorders>
              <w:top w:val="single" w:color="auto" w:sz="4" w:space="0"/>
              <w:left w:val="single" w:color="auto" w:sz="4" w:space="0"/>
              <w:bottom w:val="single" w:color="auto" w:sz="4" w:space="0"/>
              <w:right w:val="single" w:color="auto" w:sz="4" w:space="0"/>
            </w:tcBorders>
            <w:vAlign w:val="center"/>
          </w:tcPr>
          <w:p w14:paraId="7F3CD7AB">
            <w:pPr>
              <w:pStyle w:val="8"/>
              <w:spacing w:line="400" w:lineRule="exact"/>
              <w:rPr>
                <w:rFonts w:hint="eastAsia" w:asciiTheme="majorEastAsia" w:hAnsiTheme="majorEastAsia" w:eastAsiaTheme="majorEastAsia" w:cstheme="majorEastAsia"/>
                <w:strike/>
                <w:snapToGrid w:val="0"/>
              </w:rPr>
            </w:pPr>
            <w:r>
              <w:rPr>
                <w:rFonts w:hint="eastAsia" w:asciiTheme="majorEastAsia" w:hAnsiTheme="majorEastAsia" w:eastAsiaTheme="majorEastAsia" w:cstheme="majorEastAsia"/>
              </w:rPr>
              <w:t>提供高新技术企业证书复印件（或打印件）；提供网上查询截图。</w:t>
            </w:r>
          </w:p>
        </w:tc>
      </w:tr>
      <w:tr w14:paraId="26598252">
        <w:tblPrEx>
          <w:tblCellMar>
            <w:top w:w="0" w:type="dxa"/>
            <w:left w:w="108" w:type="dxa"/>
            <w:bottom w:w="0" w:type="dxa"/>
            <w:right w:w="108" w:type="dxa"/>
          </w:tblCellMar>
        </w:tblPrEx>
        <w:trPr>
          <w:trHeight w:val="90" w:hRule="atLeast"/>
          <w:jc w:val="center"/>
        </w:trPr>
        <w:tc>
          <w:tcPr>
            <w:tcW w:w="1180" w:type="dxa"/>
            <w:vMerge w:val="continue"/>
            <w:tcBorders>
              <w:left w:val="single" w:color="auto" w:sz="4" w:space="0"/>
              <w:right w:val="single" w:color="auto" w:sz="4" w:space="0"/>
            </w:tcBorders>
            <w:vAlign w:val="center"/>
          </w:tcPr>
          <w:p w14:paraId="7074F8E5">
            <w:pPr>
              <w:pStyle w:val="8"/>
              <w:wordWrap w:val="0"/>
              <w:adjustRightInd w:val="0"/>
              <w:snapToGrid w:val="0"/>
              <w:jc w:val="center"/>
              <w:textAlignment w:val="auto"/>
              <w:rPr>
                <w:rFonts w:hint="eastAsia" w:asciiTheme="majorEastAsia" w:hAnsiTheme="majorEastAsia" w:eastAsiaTheme="majorEastAsia" w:cstheme="majorEastAsia"/>
                <w:snapToGrid w:val="0"/>
              </w:rPr>
            </w:pP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45FA6ADA">
            <w:pPr>
              <w:textAlignment w:val="auto"/>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企业连续5年或5年以上（含5年）</w:t>
            </w:r>
          </w:p>
          <w:p w14:paraId="527D6DD0">
            <w:pPr>
              <w:pStyle w:val="4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获得纳税信用A级纳税人的，得5分；（其中必须有2024年度或2025年度）</w:t>
            </w:r>
          </w:p>
        </w:tc>
        <w:tc>
          <w:tcPr>
            <w:tcW w:w="4533" w:type="dxa"/>
            <w:tcBorders>
              <w:top w:val="single" w:color="auto" w:sz="4" w:space="0"/>
              <w:left w:val="single" w:color="auto" w:sz="4" w:space="0"/>
              <w:bottom w:val="single" w:color="auto" w:sz="4" w:space="0"/>
              <w:right w:val="single" w:color="auto" w:sz="4" w:space="0"/>
            </w:tcBorders>
            <w:vAlign w:val="center"/>
          </w:tcPr>
          <w:p w14:paraId="26C41875">
            <w:pPr>
              <w:textAlignment w:val="auto"/>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 xml:space="preserve">1.必须提供企业纳税信用A级纳税人证明材料（或证书）或国家税务总局网上查询截图，否则不得分。 </w:t>
            </w:r>
          </w:p>
          <w:p w14:paraId="36B70577">
            <w:pPr>
              <w:textAlignment w:val="auto"/>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2.只计算投标人自身（不计算投标人的分公司、子公司及分支机构）。</w:t>
            </w:r>
          </w:p>
        </w:tc>
      </w:tr>
      <w:tr w14:paraId="1F886DD5">
        <w:tblPrEx>
          <w:tblCellMar>
            <w:top w:w="0" w:type="dxa"/>
            <w:left w:w="108" w:type="dxa"/>
            <w:bottom w:w="0" w:type="dxa"/>
            <w:right w:w="108" w:type="dxa"/>
          </w:tblCellMar>
        </w:tblPrEx>
        <w:trPr>
          <w:trHeight w:val="265" w:hRule="atLeast"/>
          <w:jc w:val="center"/>
        </w:trPr>
        <w:tc>
          <w:tcPr>
            <w:tcW w:w="1180" w:type="dxa"/>
            <w:vMerge w:val="continue"/>
            <w:tcBorders>
              <w:left w:val="single" w:color="auto" w:sz="4" w:space="0"/>
              <w:right w:val="single" w:color="auto" w:sz="4" w:space="0"/>
            </w:tcBorders>
            <w:vAlign w:val="center"/>
          </w:tcPr>
          <w:p w14:paraId="52E94055">
            <w:pPr>
              <w:pStyle w:val="8"/>
              <w:wordWrap w:val="0"/>
              <w:adjustRightInd w:val="0"/>
              <w:snapToGrid w:val="0"/>
              <w:jc w:val="center"/>
              <w:rPr>
                <w:rFonts w:hint="eastAsia" w:asciiTheme="majorEastAsia" w:hAnsiTheme="majorEastAsia" w:eastAsiaTheme="majorEastAsia" w:cstheme="majorEastAsia"/>
                <w:snapToGrid w:val="0"/>
                <w:lang w:bidi="ar"/>
              </w:rPr>
            </w:pP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5955CDBA">
            <w:pPr>
              <w:pStyle w:val="40"/>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 xml:space="preserve">1.近5年来拟派项目经理（2021年6月1日至今）获得建设行政主管部门/协会颁发的优秀项目经理得5分； </w:t>
            </w:r>
          </w:p>
          <w:p w14:paraId="4BC23209">
            <w:pPr>
              <w:pStyle w:val="40"/>
              <w:wordWrap w:val="0"/>
              <w:adjustRightInd w:val="0"/>
              <w:snapToGrid w:val="0"/>
              <w:spacing w:line="360" w:lineRule="auto"/>
              <w:rPr>
                <w:rFonts w:hint="eastAsia" w:asciiTheme="majorEastAsia" w:hAnsiTheme="majorEastAsia" w:eastAsiaTheme="majorEastAsia" w:cstheme="majorEastAsia"/>
                <w:strike/>
                <w:snapToGrid w:val="0"/>
                <w:kern w:val="0"/>
                <w:sz w:val="24"/>
                <w:szCs w:val="24"/>
              </w:rPr>
            </w:pPr>
            <w:r>
              <w:rPr>
                <w:rFonts w:hint="eastAsia" w:asciiTheme="majorEastAsia" w:hAnsiTheme="majorEastAsia" w:eastAsiaTheme="majorEastAsia" w:cstheme="majorEastAsia"/>
                <w:snapToGrid w:val="0"/>
                <w:kern w:val="0"/>
                <w:sz w:val="24"/>
                <w:szCs w:val="24"/>
              </w:rPr>
              <w:t>2.以上获奖未获得的，不予计分。</w:t>
            </w:r>
          </w:p>
        </w:tc>
        <w:tc>
          <w:tcPr>
            <w:tcW w:w="4533" w:type="dxa"/>
            <w:tcBorders>
              <w:top w:val="single" w:color="auto" w:sz="4" w:space="0"/>
              <w:left w:val="single" w:color="auto" w:sz="4" w:space="0"/>
              <w:bottom w:val="single" w:color="auto" w:sz="4" w:space="0"/>
              <w:right w:val="single" w:color="auto" w:sz="4" w:space="0"/>
            </w:tcBorders>
            <w:vAlign w:val="center"/>
          </w:tcPr>
          <w:p w14:paraId="74065876">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 xml:space="preserve">1.需附有关获奖证书证明复印件。 </w:t>
            </w:r>
          </w:p>
          <w:p w14:paraId="327C94DD">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2.获奖时间以奖项证明的落款日期为准。</w:t>
            </w:r>
          </w:p>
          <w:p w14:paraId="7067AEA2">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 xml:space="preserve">3.优秀项目经理获奖证书须由建设行政主管部门/协会颁发。 </w:t>
            </w:r>
          </w:p>
          <w:p w14:paraId="54A38093">
            <w:pPr>
              <w:wordWrap w:val="0"/>
              <w:adjustRightInd w:val="0"/>
              <w:snapToGrid w:val="0"/>
              <w:rPr>
                <w:rFonts w:hint="eastAsia" w:asciiTheme="majorEastAsia" w:hAnsiTheme="majorEastAsia" w:eastAsiaTheme="majorEastAsia" w:cstheme="majorEastAsia"/>
                <w:strike/>
                <w:snapToGrid w:val="0"/>
                <w:kern w:val="0"/>
              </w:rPr>
            </w:pPr>
            <w:r>
              <w:rPr>
                <w:rFonts w:hint="eastAsia" w:asciiTheme="majorEastAsia" w:hAnsiTheme="majorEastAsia" w:eastAsiaTheme="majorEastAsia" w:cstheme="majorEastAsia"/>
                <w:snapToGrid w:val="0"/>
                <w:kern w:val="0"/>
              </w:rPr>
              <w:t>4.颁发机构、获奖时间不符合评分标准和备注规定的，不予计分。</w:t>
            </w:r>
          </w:p>
        </w:tc>
      </w:tr>
      <w:tr w14:paraId="41FB0140">
        <w:tblPrEx>
          <w:tblCellMar>
            <w:top w:w="0" w:type="dxa"/>
            <w:left w:w="108" w:type="dxa"/>
            <w:bottom w:w="0" w:type="dxa"/>
            <w:right w:w="108" w:type="dxa"/>
          </w:tblCellMar>
        </w:tblPrEx>
        <w:trPr>
          <w:trHeight w:val="265" w:hRule="atLeast"/>
          <w:jc w:val="center"/>
        </w:trPr>
        <w:tc>
          <w:tcPr>
            <w:tcW w:w="1180" w:type="dxa"/>
            <w:vMerge w:val="continue"/>
            <w:tcBorders>
              <w:left w:val="single" w:color="auto" w:sz="4" w:space="0"/>
              <w:right w:val="single" w:color="auto" w:sz="4" w:space="0"/>
            </w:tcBorders>
            <w:vAlign w:val="center"/>
          </w:tcPr>
          <w:p w14:paraId="4FEA4378">
            <w:pPr>
              <w:pStyle w:val="8"/>
              <w:wordWrap w:val="0"/>
              <w:adjustRightInd w:val="0"/>
              <w:snapToGrid w:val="0"/>
              <w:jc w:val="center"/>
              <w:rPr>
                <w:rFonts w:hint="eastAsia" w:asciiTheme="majorEastAsia" w:hAnsiTheme="majorEastAsia" w:eastAsiaTheme="majorEastAsia" w:cstheme="majorEastAsia"/>
                <w:snapToGrid w:val="0"/>
                <w:lang w:bidi="ar"/>
              </w:rPr>
            </w:pP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692B2A2F">
            <w:pPr>
              <w:pStyle w:val="40"/>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企业参与助力韶关市“百县千镇万</w:t>
            </w:r>
          </w:p>
          <w:p w14:paraId="37FE33E0">
            <w:pPr>
              <w:pStyle w:val="40"/>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村高质量发展工程”项目的，得5分。</w:t>
            </w:r>
          </w:p>
        </w:tc>
        <w:tc>
          <w:tcPr>
            <w:tcW w:w="4533" w:type="dxa"/>
            <w:tcBorders>
              <w:top w:val="single" w:color="auto" w:sz="4" w:space="0"/>
              <w:left w:val="single" w:color="auto" w:sz="4" w:space="0"/>
              <w:bottom w:val="single" w:color="auto" w:sz="4" w:space="0"/>
              <w:right w:val="single" w:color="auto" w:sz="4" w:space="0"/>
            </w:tcBorders>
            <w:vAlign w:val="center"/>
          </w:tcPr>
          <w:p w14:paraId="2E18FA4F">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 xml:space="preserve">1.需提供相关资料扫描件（协议书/荣誉证书/感谢信/牌匾等）。 </w:t>
            </w:r>
          </w:p>
          <w:p w14:paraId="0F476BB0">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2.提供建设行政主管部门相关证明文件。</w:t>
            </w:r>
          </w:p>
        </w:tc>
      </w:tr>
      <w:tr w14:paraId="1D6C530E">
        <w:tblPrEx>
          <w:tblCellMar>
            <w:top w:w="0" w:type="dxa"/>
            <w:left w:w="108" w:type="dxa"/>
            <w:bottom w:w="0" w:type="dxa"/>
            <w:right w:w="108" w:type="dxa"/>
          </w:tblCellMar>
        </w:tblPrEx>
        <w:trPr>
          <w:trHeight w:val="265" w:hRule="atLeast"/>
          <w:jc w:val="center"/>
        </w:trPr>
        <w:tc>
          <w:tcPr>
            <w:tcW w:w="1180" w:type="dxa"/>
            <w:vMerge w:val="continue"/>
            <w:tcBorders>
              <w:left w:val="single" w:color="auto" w:sz="4" w:space="0"/>
              <w:right w:val="single" w:color="auto" w:sz="4" w:space="0"/>
            </w:tcBorders>
            <w:vAlign w:val="center"/>
          </w:tcPr>
          <w:p w14:paraId="556BC492">
            <w:pPr>
              <w:pStyle w:val="8"/>
              <w:wordWrap w:val="0"/>
              <w:adjustRightInd w:val="0"/>
              <w:snapToGrid w:val="0"/>
              <w:jc w:val="center"/>
              <w:rPr>
                <w:rFonts w:hint="eastAsia" w:asciiTheme="majorEastAsia" w:hAnsiTheme="majorEastAsia" w:eastAsiaTheme="majorEastAsia" w:cstheme="majorEastAsia"/>
                <w:snapToGrid w:val="0"/>
                <w:lang w:bidi="ar"/>
              </w:rPr>
            </w:pP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089CB2BC">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 xml:space="preserve">企业获得过中国建筑业协会颁发的“创建鲁班奖工程优秀企业”情况： </w:t>
            </w:r>
          </w:p>
          <w:p w14:paraId="7E818BB8">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1.承建单位获得过“创建鲁班奖工程优秀企业”的，得5分；</w:t>
            </w:r>
          </w:p>
          <w:p w14:paraId="4AD9FF3D">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2.参建单位获得过“创建鲁班奖工程优秀企业”的，得3分；</w:t>
            </w:r>
          </w:p>
          <w:p w14:paraId="7FDACFD1">
            <w:pPr>
              <w:pStyle w:val="40"/>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3.其他情形的，不予计分。</w:t>
            </w:r>
          </w:p>
        </w:tc>
        <w:tc>
          <w:tcPr>
            <w:tcW w:w="4533" w:type="dxa"/>
            <w:tcBorders>
              <w:top w:val="single" w:color="auto" w:sz="4" w:space="0"/>
              <w:left w:val="single" w:color="auto" w:sz="4" w:space="0"/>
              <w:bottom w:val="single" w:color="auto" w:sz="4" w:space="0"/>
              <w:right w:val="single" w:color="auto" w:sz="4" w:space="0"/>
            </w:tcBorders>
            <w:vAlign w:val="center"/>
          </w:tcPr>
          <w:p w14:paraId="2E49C1BE">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 xml:space="preserve">1.需提供证书复印件。 </w:t>
            </w:r>
          </w:p>
          <w:p w14:paraId="69D7F8AF">
            <w:pPr>
              <w:wordWrap w:val="0"/>
              <w:adjustRightInd w:val="0"/>
              <w:snapToGrid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2.奖项类别、颁发机构、不符合评分标准和备注规定的，按第3项标准处理。</w:t>
            </w:r>
          </w:p>
        </w:tc>
      </w:tr>
      <w:tr w14:paraId="2166B543">
        <w:tblPrEx>
          <w:tblCellMar>
            <w:top w:w="0" w:type="dxa"/>
            <w:left w:w="108" w:type="dxa"/>
            <w:bottom w:w="0" w:type="dxa"/>
            <w:right w:w="108" w:type="dxa"/>
          </w:tblCellMar>
        </w:tblPrEx>
        <w:trPr>
          <w:trHeight w:val="492" w:hRule="exact"/>
          <w:jc w:val="center"/>
        </w:trPr>
        <w:tc>
          <w:tcPr>
            <w:tcW w:w="9484" w:type="dxa"/>
            <w:gridSpan w:val="4"/>
            <w:tcBorders>
              <w:top w:val="single" w:color="auto" w:sz="4" w:space="0"/>
              <w:left w:val="single" w:color="auto" w:sz="4" w:space="0"/>
              <w:bottom w:val="single" w:color="auto" w:sz="4" w:space="0"/>
              <w:right w:val="single" w:color="auto" w:sz="4" w:space="0"/>
            </w:tcBorders>
            <w:shd w:val="clear" w:color="auto" w:fill="D9D9D9"/>
            <w:vAlign w:val="center"/>
          </w:tcPr>
          <w:p w14:paraId="5FBAEEC4">
            <w:pPr>
              <w:pStyle w:val="8"/>
              <w:widowControl w:val="0"/>
              <w:wordWrap w:val="0"/>
              <w:adjustRightInd w:val="0"/>
              <w:snapToGrid w:val="0"/>
              <w:jc w:val="left"/>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b/>
                <w:bCs/>
                <w:snapToGrid w:val="0"/>
              </w:rPr>
              <w:t>技术部分（施工组织设计），满分：</w:t>
            </w:r>
            <w:r>
              <w:rPr>
                <w:rFonts w:hint="eastAsia" w:asciiTheme="majorEastAsia" w:hAnsiTheme="majorEastAsia" w:eastAsiaTheme="majorEastAsia" w:cstheme="majorEastAsia"/>
                <w:b/>
                <w:bCs/>
                <w:snapToGrid w:val="0"/>
                <w:u w:val="single"/>
              </w:rPr>
              <w:t>20</w:t>
            </w:r>
            <w:r>
              <w:rPr>
                <w:rFonts w:hint="eastAsia" w:asciiTheme="majorEastAsia" w:hAnsiTheme="majorEastAsia" w:eastAsiaTheme="majorEastAsia" w:cstheme="majorEastAsia"/>
                <w:b/>
                <w:bCs/>
                <w:snapToGrid w:val="0"/>
              </w:rPr>
              <w:t>分。</w:t>
            </w:r>
          </w:p>
        </w:tc>
      </w:tr>
      <w:tr w14:paraId="4A9C7761">
        <w:tblPrEx>
          <w:tblCellMar>
            <w:top w:w="0" w:type="dxa"/>
            <w:left w:w="108" w:type="dxa"/>
            <w:bottom w:w="0" w:type="dxa"/>
            <w:right w:w="108" w:type="dxa"/>
          </w:tblCellMar>
        </w:tblPrEx>
        <w:trPr>
          <w:trHeight w:val="460" w:hRule="exact"/>
          <w:jc w:val="center"/>
        </w:trPr>
        <w:tc>
          <w:tcPr>
            <w:tcW w:w="1180" w:type="dxa"/>
            <w:tcBorders>
              <w:top w:val="single" w:color="auto" w:sz="4" w:space="0"/>
              <w:left w:val="single" w:color="auto" w:sz="4" w:space="0"/>
              <w:bottom w:val="single" w:color="auto" w:sz="4" w:space="0"/>
              <w:right w:val="single" w:color="auto" w:sz="4" w:space="0"/>
            </w:tcBorders>
            <w:vAlign w:val="center"/>
          </w:tcPr>
          <w:p w14:paraId="7C449FEE">
            <w:pPr>
              <w:pStyle w:val="8"/>
              <w:widowControl w:val="0"/>
              <w:wordWrap w:val="0"/>
              <w:adjustRightInd w:val="0"/>
              <w:snapToGrid w:val="0"/>
              <w:jc w:val="center"/>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评分因素</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6FB8706F">
            <w:pPr>
              <w:pStyle w:val="8"/>
              <w:widowControl w:val="0"/>
              <w:wordWrap w:val="0"/>
              <w:adjustRightInd w:val="0"/>
              <w:snapToGrid w:val="0"/>
              <w:jc w:val="center"/>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评分标准</w:t>
            </w:r>
          </w:p>
        </w:tc>
        <w:tc>
          <w:tcPr>
            <w:tcW w:w="4533" w:type="dxa"/>
            <w:tcBorders>
              <w:top w:val="single" w:color="auto" w:sz="4" w:space="0"/>
              <w:left w:val="single" w:color="auto" w:sz="4" w:space="0"/>
              <w:bottom w:val="single" w:color="auto" w:sz="4" w:space="0"/>
              <w:right w:val="single" w:color="auto" w:sz="4" w:space="0"/>
            </w:tcBorders>
            <w:vAlign w:val="center"/>
          </w:tcPr>
          <w:p w14:paraId="11BE3FA6">
            <w:pPr>
              <w:pStyle w:val="8"/>
              <w:widowControl w:val="0"/>
              <w:wordWrap w:val="0"/>
              <w:adjustRightInd w:val="0"/>
              <w:snapToGrid w:val="0"/>
              <w:jc w:val="center"/>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备注</w:t>
            </w:r>
          </w:p>
        </w:tc>
      </w:tr>
      <w:tr w14:paraId="63D8A676">
        <w:tblPrEx>
          <w:tblCellMar>
            <w:top w:w="0" w:type="dxa"/>
            <w:left w:w="108" w:type="dxa"/>
            <w:bottom w:w="0" w:type="dxa"/>
            <w:right w:w="108" w:type="dxa"/>
          </w:tblCellMar>
        </w:tblPrEx>
        <w:trPr>
          <w:trHeight w:val="457"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6F9CA74A">
            <w:pPr>
              <w:pStyle w:val="64"/>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总体概述</w:t>
            </w:r>
          </w:p>
          <w:p w14:paraId="67CAC707">
            <w:pPr>
              <w:pStyle w:val="8"/>
              <w:widowControl w:val="0"/>
              <w:wordWrap w:val="0"/>
              <w:adjustRightInd w:val="0"/>
              <w:snapToGrid w:val="0"/>
              <w:jc w:val="center"/>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（3分）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69424F34">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【优】得该项评分因素分值的90%～100%（含90%）。</w:t>
            </w:r>
          </w:p>
          <w:p w14:paraId="2FE55ACE">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【良】得该项评分因素分值的80%～90%（含80%）。</w:t>
            </w:r>
          </w:p>
          <w:p w14:paraId="0CD94D4E">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【中】得该项评分因素分值的70%～80%（含70%）。</w:t>
            </w:r>
          </w:p>
          <w:p w14:paraId="07777338">
            <w:pPr>
              <w:pStyle w:val="8"/>
              <w:widowControl w:val="0"/>
              <w:wordWrap w:val="0"/>
              <w:adjustRightInd w:val="0"/>
              <w:snapToGrid w:val="0"/>
              <w:jc w:val="left"/>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【差】得该项评分因素分值的60%～70%（含60%）。</w:t>
            </w:r>
          </w:p>
        </w:tc>
        <w:tc>
          <w:tcPr>
            <w:tcW w:w="4533" w:type="dxa"/>
            <w:tcBorders>
              <w:top w:val="single" w:color="auto" w:sz="4" w:space="0"/>
              <w:left w:val="single" w:color="auto" w:sz="4" w:space="0"/>
              <w:bottom w:val="single" w:color="auto" w:sz="4" w:space="0"/>
              <w:right w:val="single" w:color="auto" w:sz="4" w:space="0"/>
            </w:tcBorders>
            <w:vAlign w:val="center"/>
          </w:tcPr>
          <w:p w14:paraId="0C8BE292">
            <w:pPr>
              <w:pStyle w:val="8"/>
              <w:widowControl w:val="0"/>
              <w:wordWrap w:val="0"/>
              <w:adjustRightInd w:val="0"/>
              <w:snapToGrid w:val="0"/>
              <w:jc w:val="left"/>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【优】对项目总体有深刻认识，表述清晰、完整、严谨、合理，措施先进、具体、有效、成熟，采用了新技术、新工艺、新材料、新设备；施工段划分呼应总体表述，划分清晰、合理，符合规范要求。</w:t>
            </w:r>
          </w:p>
          <w:p w14:paraId="6D7FA97E">
            <w:pPr>
              <w:pStyle w:val="8"/>
              <w:widowControl w:val="0"/>
              <w:wordWrap w:val="0"/>
              <w:adjustRightInd w:val="0"/>
              <w:snapToGrid w:val="0"/>
              <w:jc w:val="left"/>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【良】对项目总体有一定认识，表述清晰、完整，措施具体有效；施工段划分呼应总体表述，划分清晰，符合规范要求。</w:t>
            </w:r>
          </w:p>
          <w:p w14:paraId="5596384A">
            <w:pPr>
              <w:pStyle w:val="8"/>
              <w:widowControl w:val="0"/>
              <w:wordWrap w:val="0"/>
              <w:adjustRightInd w:val="0"/>
              <w:snapToGrid w:val="0"/>
              <w:jc w:val="left"/>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【中】对项目总体有认识，有一定的措施但部分不具体；施工段划分较合理，符合规范要求。</w:t>
            </w:r>
          </w:p>
          <w:p w14:paraId="7EFA4FE9">
            <w:pPr>
              <w:pStyle w:val="8"/>
              <w:widowControl w:val="0"/>
              <w:wordWrap w:val="0"/>
              <w:adjustRightInd w:val="0"/>
              <w:snapToGrid w:val="0"/>
              <w:jc w:val="left"/>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snapToGrid w:val="0"/>
              </w:rPr>
              <w:t>【差】对项目认识不足，表述不清晰，措施不具体；施工段划分不合理。</w:t>
            </w:r>
          </w:p>
        </w:tc>
      </w:tr>
      <w:tr w14:paraId="57F31B63">
        <w:tblPrEx>
          <w:tblCellMar>
            <w:top w:w="0" w:type="dxa"/>
            <w:left w:w="108" w:type="dxa"/>
            <w:bottom w:w="0" w:type="dxa"/>
            <w:right w:w="108" w:type="dxa"/>
          </w:tblCellMar>
        </w:tblPrEx>
        <w:trPr>
          <w:trHeight w:val="457"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0976F0C9">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施工总进</w:t>
            </w:r>
          </w:p>
          <w:p w14:paraId="3300026C">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度计划及</w:t>
            </w:r>
          </w:p>
          <w:p w14:paraId="2269B3F1">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保证措施</w:t>
            </w:r>
          </w:p>
          <w:p w14:paraId="4C28DBB3">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（3分）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56812FE0">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【优】得该项评分因素分值的90%～100%（含90%）。</w:t>
            </w:r>
          </w:p>
          <w:p w14:paraId="35169A03">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【良】得该项评分因素分值的80%～90%（含80%）。</w:t>
            </w:r>
          </w:p>
          <w:p w14:paraId="3F1F45AC">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【中】得该项评分因素分值的70%～80%（含70%）。</w:t>
            </w:r>
          </w:p>
          <w:p w14:paraId="2DC0B67F">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【差】得该项评分因素分值的60%～70%（含60%）。</w:t>
            </w:r>
          </w:p>
        </w:tc>
        <w:tc>
          <w:tcPr>
            <w:tcW w:w="4533" w:type="dxa"/>
            <w:tcBorders>
              <w:top w:val="single" w:color="auto" w:sz="4" w:space="0"/>
              <w:left w:val="single" w:color="auto" w:sz="4" w:space="0"/>
              <w:bottom w:val="single" w:color="auto" w:sz="4" w:space="0"/>
              <w:right w:val="single" w:color="auto" w:sz="4" w:space="0"/>
            </w:tcBorders>
            <w:vAlign w:val="center"/>
          </w:tcPr>
          <w:p w14:paraId="5525E5E6">
            <w:pPr>
              <w:pStyle w:val="66"/>
              <w:wordWrap w:val="0"/>
              <w:adjustRightInd w:val="0"/>
              <w:snapToGrid w:val="0"/>
              <w:spacing w:line="360" w:lineRule="auto"/>
              <w:rPr>
                <w:rFonts w:hint="eastAsia" w:asciiTheme="majorEastAsia" w:hAnsiTheme="majorEastAsia" w:eastAsiaTheme="majorEastAsia" w:cstheme="majorEastAsia"/>
                <w:b/>
                <w:bCs/>
                <w:snapToGrid w:val="0"/>
                <w:kern w:val="0"/>
                <w:sz w:val="24"/>
                <w:szCs w:val="24"/>
              </w:rPr>
            </w:pPr>
            <w:r>
              <w:rPr>
                <w:rFonts w:hint="eastAsia" w:asciiTheme="majorEastAsia" w:hAnsiTheme="majorEastAsia" w:eastAsiaTheme="majorEastAsia" w:cstheme="majorEastAsia"/>
                <w:snapToGrid w:val="0"/>
                <w:kern w:val="0"/>
                <w:sz w:val="24"/>
                <w:szCs w:val="24"/>
              </w:rPr>
              <w:t>【优】关键线路清晰、准确、完整，计划编制合理、可行。关键节点的控制措施有力、合理、可行。人、材、机需求和进场计划与进度计划相呼应，较好地满足施工需要，调配投入计划合理、准确。进度违约责任承诺具体，</w:t>
            </w:r>
            <w:r>
              <w:rPr>
                <w:rFonts w:hint="eastAsia" w:asciiTheme="majorEastAsia" w:hAnsiTheme="majorEastAsia" w:eastAsiaTheme="majorEastAsia" w:cstheme="majorEastAsia"/>
                <w:b/>
                <w:bCs/>
                <w:snapToGrid w:val="0"/>
                <w:kern w:val="0"/>
                <w:sz w:val="24"/>
                <w:szCs w:val="24"/>
              </w:rPr>
              <w:t>经济赔偿合理。</w:t>
            </w:r>
          </w:p>
          <w:p w14:paraId="29F19880">
            <w:pPr>
              <w:pStyle w:val="66"/>
              <w:wordWrap w:val="0"/>
              <w:adjustRightInd w:val="0"/>
              <w:snapToGrid w:val="0"/>
              <w:spacing w:line="360" w:lineRule="auto"/>
              <w:rPr>
                <w:rFonts w:hint="eastAsia" w:asciiTheme="majorEastAsia" w:hAnsiTheme="majorEastAsia" w:eastAsiaTheme="majorEastAsia" w:cstheme="majorEastAsia"/>
                <w:b/>
                <w:bCs/>
                <w:snapToGrid w:val="0"/>
                <w:kern w:val="0"/>
                <w:sz w:val="24"/>
                <w:szCs w:val="24"/>
              </w:rPr>
            </w:pPr>
            <w:r>
              <w:rPr>
                <w:rFonts w:hint="eastAsia" w:asciiTheme="majorEastAsia" w:hAnsiTheme="majorEastAsia" w:eastAsiaTheme="majorEastAsia" w:cstheme="majorEastAsia"/>
                <w:snapToGrid w:val="0"/>
                <w:kern w:val="0"/>
                <w:sz w:val="24"/>
                <w:szCs w:val="24"/>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Theme="majorEastAsia" w:hAnsiTheme="majorEastAsia" w:eastAsiaTheme="majorEastAsia" w:cstheme="majorEastAsia"/>
                <w:b/>
                <w:bCs/>
                <w:snapToGrid w:val="0"/>
                <w:kern w:val="0"/>
                <w:sz w:val="24"/>
                <w:szCs w:val="24"/>
              </w:rPr>
              <w:t>经济赔偿较合理。</w:t>
            </w:r>
          </w:p>
          <w:p w14:paraId="34742837">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【中】关键线路基本准确，计划编制基本合理。关键节点的控制措施基本可行。人、材、机需求和进场计划与进度计划相呼应，基本满足施工需要，调配投入计划基本合理。进度违约责任承诺具体。</w:t>
            </w:r>
          </w:p>
          <w:p w14:paraId="673784EB">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【差】关键线路不准确，计划编制不合理。关键节点的控制不可行。人、材、机需求和进场计划与进度计划不相呼应，不能满足施工需要。没有违约责任承诺。</w:t>
            </w:r>
          </w:p>
        </w:tc>
      </w:tr>
      <w:tr w14:paraId="12663C12">
        <w:tblPrEx>
          <w:tblCellMar>
            <w:top w:w="0" w:type="dxa"/>
            <w:left w:w="108" w:type="dxa"/>
            <w:bottom w:w="0" w:type="dxa"/>
            <w:right w:w="108" w:type="dxa"/>
          </w:tblCellMar>
        </w:tblPrEx>
        <w:trPr>
          <w:trHeight w:val="457"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246E9403">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质量保证措施</w:t>
            </w:r>
          </w:p>
          <w:p w14:paraId="4130F1E9">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（4分）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0DBD41AD">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【优】得该项评分因素分值的90%～100%（含90%）。</w:t>
            </w:r>
          </w:p>
          <w:p w14:paraId="308D4F02">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【良】得该项评分因素分值的80%～90%（含80%）。</w:t>
            </w:r>
          </w:p>
          <w:p w14:paraId="381CCC4E">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【中】得该项评分因素分值的70%～80%（含70%）。</w:t>
            </w:r>
          </w:p>
          <w:p w14:paraId="43D6983D">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【差】得该项评分因素分值的60%～70%（含60%）。</w:t>
            </w:r>
          </w:p>
        </w:tc>
        <w:tc>
          <w:tcPr>
            <w:tcW w:w="4533" w:type="dxa"/>
            <w:tcBorders>
              <w:top w:val="single" w:color="auto" w:sz="4" w:space="0"/>
              <w:left w:val="single" w:color="auto" w:sz="4" w:space="0"/>
              <w:bottom w:val="single" w:color="auto" w:sz="4" w:space="0"/>
              <w:right w:val="single" w:color="auto" w:sz="4" w:space="0"/>
            </w:tcBorders>
            <w:vAlign w:val="center"/>
          </w:tcPr>
          <w:p w14:paraId="1A9B3614">
            <w:pPr>
              <w:pStyle w:val="66"/>
              <w:wordWrap w:val="0"/>
              <w:adjustRightInd w:val="0"/>
              <w:snapToGrid w:val="0"/>
              <w:spacing w:line="360" w:lineRule="auto"/>
              <w:rPr>
                <w:rFonts w:hint="eastAsia" w:asciiTheme="majorEastAsia" w:hAnsiTheme="majorEastAsia" w:eastAsiaTheme="majorEastAsia" w:cstheme="majorEastAsia"/>
                <w:b/>
                <w:bCs/>
                <w:strike/>
                <w:snapToGrid w:val="0"/>
                <w:kern w:val="0"/>
                <w:sz w:val="24"/>
                <w:szCs w:val="24"/>
              </w:rPr>
            </w:pPr>
            <w:r>
              <w:rPr>
                <w:rFonts w:hint="eastAsia" w:asciiTheme="majorEastAsia" w:hAnsiTheme="majorEastAsia" w:eastAsiaTheme="majorEastAsia" w:cstheme="majorEastAsia"/>
                <w:snapToGrid w:val="0"/>
                <w:kern w:val="0"/>
                <w:sz w:val="24"/>
                <w:szCs w:val="24"/>
              </w:rPr>
              <w:t>【优】应用新技术、新工艺、新材料、新设备，针对项目实际提出先进、可行、具体的保证措施。超过招标文件的质量要求。</w:t>
            </w:r>
          </w:p>
          <w:p w14:paraId="4F764F8B">
            <w:pPr>
              <w:pStyle w:val="66"/>
              <w:wordWrap w:val="0"/>
              <w:adjustRightInd w:val="0"/>
              <w:snapToGrid w:val="0"/>
              <w:spacing w:line="360" w:lineRule="auto"/>
              <w:rPr>
                <w:rFonts w:hint="eastAsia" w:asciiTheme="majorEastAsia" w:hAnsiTheme="majorEastAsia" w:eastAsiaTheme="majorEastAsia" w:cstheme="majorEastAsia"/>
                <w:b/>
                <w:bCs/>
                <w:strike/>
                <w:snapToGrid w:val="0"/>
                <w:kern w:val="0"/>
                <w:sz w:val="24"/>
                <w:szCs w:val="24"/>
              </w:rPr>
            </w:pPr>
            <w:r>
              <w:rPr>
                <w:rFonts w:hint="eastAsia" w:asciiTheme="majorEastAsia" w:hAnsiTheme="majorEastAsia" w:eastAsiaTheme="majorEastAsia" w:cstheme="majorEastAsia"/>
                <w:snapToGrid w:val="0"/>
                <w:kern w:val="0"/>
                <w:sz w:val="24"/>
                <w:szCs w:val="24"/>
              </w:rPr>
              <w:t>【良】针对项目实际提出先进、可行、具体的保证措施。满足招标文件的质量要求。</w:t>
            </w:r>
          </w:p>
          <w:p w14:paraId="08D65CC5">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【中】具体措施可行。满足招标文件的质量要求。</w:t>
            </w:r>
          </w:p>
          <w:p w14:paraId="22B199CE">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【差】措施不可行，没有质量违约责任承诺。</w:t>
            </w:r>
          </w:p>
        </w:tc>
      </w:tr>
      <w:tr w14:paraId="0532BD4D">
        <w:tblPrEx>
          <w:tblCellMar>
            <w:top w:w="0" w:type="dxa"/>
            <w:left w:w="108" w:type="dxa"/>
            <w:bottom w:w="0" w:type="dxa"/>
            <w:right w:w="108" w:type="dxa"/>
          </w:tblCellMar>
        </w:tblPrEx>
        <w:trPr>
          <w:trHeight w:val="457"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771B35E8">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施工技术措施</w:t>
            </w:r>
          </w:p>
          <w:p w14:paraId="69F00E66">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（2分）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3965487B">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【优】得该项评分因素分值的90%～100%（含90%）。</w:t>
            </w:r>
          </w:p>
          <w:p w14:paraId="7D9A5FF6">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【良】得该项评分因素分值的80%～90%（含80%）。</w:t>
            </w:r>
          </w:p>
          <w:p w14:paraId="266052EF">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【中】得该项评分因素分值的70%～80%（含70%）。</w:t>
            </w:r>
          </w:p>
          <w:p w14:paraId="585A6A52">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【差】得该项评分因素分值的60%～70%（含60%）。</w:t>
            </w:r>
          </w:p>
        </w:tc>
        <w:tc>
          <w:tcPr>
            <w:tcW w:w="4533" w:type="dxa"/>
            <w:tcBorders>
              <w:top w:val="single" w:color="auto" w:sz="4" w:space="0"/>
              <w:left w:val="single" w:color="auto" w:sz="4" w:space="0"/>
              <w:bottom w:val="single" w:color="auto" w:sz="4" w:space="0"/>
              <w:right w:val="single" w:color="auto" w:sz="4" w:space="0"/>
            </w:tcBorders>
            <w:vAlign w:val="center"/>
          </w:tcPr>
          <w:p w14:paraId="1FADC147">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Theme="majorEastAsia" w:hAnsiTheme="majorEastAsia" w:eastAsiaTheme="majorEastAsia" w:cstheme="majorEastAsia"/>
                <w:b/>
                <w:bCs/>
                <w:snapToGrid w:val="0"/>
                <w:kern w:val="0"/>
                <w:sz w:val="24"/>
                <w:szCs w:val="24"/>
              </w:rPr>
              <w:t>经济赔偿合理。</w:t>
            </w:r>
          </w:p>
          <w:p w14:paraId="67DC9370">
            <w:pPr>
              <w:pStyle w:val="66"/>
              <w:wordWrap w:val="0"/>
              <w:adjustRightInd w:val="0"/>
              <w:snapToGrid w:val="0"/>
              <w:spacing w:line="360" w:lineRule="auto"/>
              <w:rPr>
                <w:rFonts w:hint="eastAsia" w:asciiTheme="majorEastAsia" w:hAnsiTheme="majorEastAsia" w:eastAsiaTheme="majorEastAsia" w:cstheme="majorEastAsia"/>
                <w:b/>
                <w:bCs/>
                <w:snapToGrid w:val="0"/>
                <w:kern w:val="0"/>
                <w:sz w:val="24"/>
                <w:szCs w:val="24"/>
              </w:rPr>
            </w:pPr>
            <w:r>
              <w:rPr>
                <w:rFonts w:hint="eastAsia" w:asciiTheme="majorEastAsia" w:hAnsiTheme="majorEastAsia" w:eastAsiaTheme="majorEastAsia" w:cstheme="majorEastAsia"/>
                <w:snapToGrid w:val="0"/>
                <w:kern w:val="0"/>
                <w:sz w:val="24"/>
                <w:szCs w:val="24"/>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Theme="majorEastAsia" w:hAnsiTheme="majorEastAsia" w:eastAsiaTheme="majorEastAsia" w:cstheme="majorEastAsia"/>
                <w:b/>
                <w:bCs/>
                <w:snapToGrid w:val="0"/>
                <w:kern w:val="0"/>
                <w:sz w:val="24"/>
                <w:szCs w:val="24"/>
              </w:rPr>
              <w:t>经济赔偿较合理。</w:t>
            </w:r>
          </w:p>
          <w:p w14:paraId="141116F1">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6EA9DA90">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【差】对项目关键技术有表述，对重点、难点有建议，解决方案不可行。采用的新技术针对性不强或验证材料不可靠，对节约投资、工期没有具体收益。无违约责任承诺。</w:t>
            </w:r>
          </w:p>
        </w:tc>
      </w:tr>
      <w:tr w14:paraId="59783E8E">
        <w:tblPrEx>
          <w:tblCellMar>
            <w:top w:w="0" w:type="dxa"/>
            <w:left w:w="108" w:type="dxa"/>
            <w:bottom w:w="0" w:type="dxa"/>
            <w:right w:w="108" w:type="dxa"/>
          </w:tblCellMar>
        </w:tblPrEx>
        <w:trPr>
          <w:trHeight w:val="457"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0694F789">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绿色施工、安全防护、文明施工措施计划</w:t>
            </w:r>
          </w:p>
          <w:p w14:paraId="1BE8FDF7">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（3分）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5463B33D">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【优】得该项评分因素分值的90%～100%（含90%）。</w:t>
            </w:r>
          </w:p>
          <w:p w14:paraId="0FE00215">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【良】得该项评分因素分值的80%～90%（含80%）。</w:t>
            </w:r>
          </w:p>
          <w:p w14:paraId="1FBC87B8">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【中】得该项评分因素分值的70%～80%（含70%）。</w:t>
            </w:r>
          </w:p>
          <w:p w14:paraId="1EAF5824">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【差】得该项评分因素分值的60%～70%（含60%）。</w:t>
            </w:r>
          </w:p>
        </w:tc>
        <w:tc>
          <w:tcPr>
            <w:tcW w:w="4533" w:type="dxa"/>
            <w:tcBorders>
              <w:top w:val="single" w:color="auto" w:sz="4" w:space="0"/>
              <w:left w:val="single" w:color="auto" w:sz="4" w:space="0"/>
              <w:bottom w:val="single" w:color="auto" w:sz="4" w:space="0"/>
              <w:right w:val="single" w:color="auto" w:sz="4" w:space="0"/>
            </w:tcBorders>
            <w:vAlign w:val="center"/>
          </w:tcPr>
          <w:p w14:paraId="47D51CB1">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【优】针对项目实际情况，有先进、具体、完整、可行的措施，采用规范准确、清晰。</w:t>
            </w:r>
          </w:p>
          <w:p w14:paraId="55BA944E">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【良】针对项目实际情况，有合理的措施且具体、完整，采用规范准确。</w:t>
            </w:r>
          </w:p>
          <w:p w14:paraId="71D864A7">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【中】有基本合理的措施，采用规范准确。</w:t>
            </w:r>
          </w:p>
          <w:p w14:paraId="159A3F3A">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【差】措施不力，采用规范不正确。</w:t>
            </w:r>
          </w:p>
        </w:tc>
      </w:tr>
      <w:tr w14:paraId="226F42FF">
        <w:tblPrEx>
          <w:tblCellMar>
            <w:top w:w="0" w:type="dxa"/>
            <w:left w:w="108" w:type="dxa"/>
            <w:bottom w:w="0" w:type="dxa"/>
            <w:right w:w="108" w:type="dxa"/>
          </w:tblCellMar>
        </w:tblPrEx>
        <w:trPr>
          <w:trHeight w:val="457"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7504A70C">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施工平面</w:t>
            </w:r>
          </w:p>
          <w:p w14:paraId="4E8972EA">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布置和临时设施布置</w:t>
            </w:r>
          </w:p>
          <w:p w14:paraId="0A0A6915">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（2分）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4C6DF796">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【优】得该项评分因素分值的90%～100%（含90%）。</w:t>
            </w:r>
          </w:p>
          <w:p w14:paraId="31C00EBC">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【良】得该项评分因素分值的80%～90%（含80%）。</w:t>
            </w:r>
          </w:p>
          <w:p w14:paraId="30020296">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【中】得该项评分因素分值的70%～80%（含70%）。</w:t>
            </w:r>
          </w:p>
          <w:p w14:paraId="582A087C">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【差】得该项评分因素分值的60%～70%（含60%）。</w:t>
            </w:r>
          </w:p>
        </w:tc>
        <w:tc>
          <w:tcPr>
            <w:tcW w:w="4533" w:type="dxa"/>
            <w:tcBorders>
              <w:top w:val="single" w:color="auto" w:sz="4" w:space="0"/>
              <w:left w:val="single" w:color="auto" w:sz="4" w:space="0"/>
              <w:bottom w:val="single" w:color="auto" w:sz="4" w:space="0"/>
              <w:right w:val="single" w:color="auto" w:sz="4" w:space="0"/>
            </w:tcBorders>
            <w:vAlign w:val="center"/>
          </w:tcPr>
          <w:p w14:paraId="5F946EA3">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【优】总体布置有针对性、合理，较好满足施工需要，符合绿色施工、安全防护、文明施工要求。</w:t>
            </w:r>
          </w:p>
          <w:p w14:paraId="5C654B24">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【良】总体布置合理，能满足施工需要，基本符合绿色施工、安全防护、文明施工要求。</w:t>
            </w:r>
          </w:p>
          <w:p w14:paraId="35007B72">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【中】总体布置基本合理，基本满足施工需要。</w:t>
            </w:r>
          </w:p>
          <w:p w14:paraId="6E8C964F">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【差】总体布置不合理，不符合绿色施工、安全防护、文明施工要求。</w:t>
            </w:r>
          </w:p>
        </w:tc>
      </w:tr>
      <w:tr w14:paraId="7263CFD5">
        <w:tblPrEx>
          <w:tblCellMar>
            <w:top w:w="0" w:type="dxa"/>
            <w:left w:w="108" w:type="dxa"/>
            <w:bottom w:w="0" w:type="dxa"/>
            <w:right w:w="108" w:type="dxa"/>
          </w:tblCellMar>
        </w:tblPrEx>
        <w:trPr>
          <w:trHeight w:val="457"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2169F280">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项目管理机构</w:t>
            </w:r>
          </w:p>
          <w:p w14:paraId="7888E560">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（3分）</w:t>
            </w:r>
          </w:p>
        </w:tc>
        <w:tc>
          <w:tcPr>
            <w:tcW w:w="3771" w:type="dxa"/>
            <w:gridSpan w:val="2"/>
            <w:tcBorders>
              <w:top w:val="single" w:color="auto" w:sz="4" w:space="0"/>
              <w:left w:val="single" w:color="auto" w:sz="4" w:space="0"/>
              <w:bottom w:val="single" w:color="auto" w:sz="4" w:space="0"/>
              <w:right w:val="single" w:color="auto" w:sz="4" w:space="0"/>
            </w:tcBorders>
            <w:vAlign w:val="center"/>
          </w:tcPr>
          <w:p w14:paraId="36D47BA7">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【优】得该项评分因素分值的90%～100%（含90%）。</w:t>
            </w:r>
          </w:p>
          <w:p w14:paraId="10987F2D">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【良】得该项评分因素分值的80%～90%（含80%）。</w:t>
            </w:r>
          </w:p>
          <w:p w14:paraId="45539C17">
            <w:pPr>
              <w:pStyle w:val="65"/>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【中】得该项评分因素分值的70%～80%（含70%）。</w:t>
            </w:r>
          </w:p>
          <w:p w14:paraId="339807C8">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【差】得该项评分因素分值的60%～70%（含60%）。</w:t>
            </w:r>
          </w:p>
        </w:tc>
        <w:tc>
          <w:tcPr>
            <w:tcW w:w="4533" w:type="dxa"/>
            <w:tcBorders>
              <w:top w:val="single" w:color="auto" w:sz="4" w:space="0"/>
              <w:left w:val="single" w:color="auto" w:sz="4" w:space="0"/>
              <w:bottom w:val="single" w:color="auto" w:sz="4" w:space="0"/>
              <w:right w:val="single" w:color="auto" w:sz="4" w:space="0"/>
            </w:tcBorders>
            <w:vAlign w:val="center"/>
          </w:tcPr>
          <w:p w14:paraId="6A6F4CEF">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【优】组织机构形式合理，有完善的指挥系统，生产及质量、绿色施工、安全、文明施工、创优达标监控系统、联络协调系统，项目管理人员内高级职称人员20%（含20%）以上、中级职称人员</w:t>
            </w:r>
            <w:r>
              <w:rPr>
                <w:rFonts w:hint="eastAsia" w:asciiTheme="majorEastAsia" w:hAnsiTheme="majorEastAsia" w:eastAsiaTheme="majorEastAsia" w:cstheme="majorEastAsia"/>
                <w:b/>
                <w:bCs/>
                <w:snapToGrid w:val="0"/>
                <w:kern w:val="0"/>
                <w:sz w:val="24"/>
                <w:szCs w:val="24"/>
              </w:rPr>
              <w:t>及以上职称</w:t>
            </w:r>
            <w:r>
              <w:rPr>
                <w:rFonts w:hint="eastAsia" w:asciiTheme="majorEastAsia" w:hAnsiTheme="majorEastAsia" w:eastAsiaTheme="majorEastAsia" w:cstheme="majorEastAsia"/>
                <w:snapToGrid w:val="0"/>
                <w:kern w:val="0"/>
                <w:sz w:val="24"/>
                <w:szCs w:val="24"/>
              </w:rPr>
              <w:t>60%（含60%）以上。</w:t>
            </w:r>
          </w:p>
          <w:p w14:paraId="4AE75F64">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【良】组织机构形式合理，指挥系统，生产及质量、绿色施工、安全、文明施工、创优达标监控系统、联络协调系统齐全，项目管理人员内高级职称人员15%～20%（含15%）、中级职称</w:t>
            </w:r>
            <w:r>
              <w:rPr>
                <w:rFonts w:hint="eastAsia" w:asciiTheme="majorEastAsia" w:hAnsiTheme="majorEastAsia" w:eastAsiaTheme="majorEastAsia" w:cstheme="majorEastAsia"/>
                <w:b/>
                <w:bCs/>
                <w:snapToGrid w:val="0"/>
                <w:kern w:val="0"/>
                <w:sz w:val="24"/>
                <w:szCs w:val="24"/>
              </w:rPr>
              <w:t>及以上职称</w:t>
            </w:r>
            <w:r>
              <w:rPr>
                <w:rFonts w:hint="eastAsia" w:asciiTheme="majorEastAsia" w:hAnsiTheme="majorEastAsia" w:eastAsiaTheme="majorEastAsia" w:cstheme="majorEastAsia"/>
                <w:snapToGrid w:val="0"/>
                <w:kern w:val="0"/>
                <w:sz w:val="24"/>
                <w:szCs w:val="24"/>
              </w:rPr>
              <w:t>人员 50%～60%（含50%）。</w:t>
            </w:r>
          </w:p>
          <w:p w14:paraId="29434EC1">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【中】组织机构形式基本合理，有指挥系统，生产及质量、绿色施工、安全、文明施工、创优达标监控系统、联络协调系统，项目管理人员内高级职称人员10%～15%（含10%）、中级职称人员</w:t>
            </w:r>
            <w:r>
              <w:rPr>
                <w:rFonts w:hint="eastAsia" w:asciiTheme="majorEastAsia" w:hAnsiTheme="majorEastAsia" w:eastAsiaTheme="majorEastAsia" w:cstheme="majorEastAsia"/>
                <w:b/>
                <w:bCs/>
                <w:snapToGrid w:val="0"/>
                <w:kern w:val="0"/>
                <w:sz w:val="24"/>
                <w:szCs w:val="24"/>
              </w:rPr>
              <w:t>及以上职称</w:t>
            </w:r>
            <w:r>
              <w:rPr>
                <w:rFonts w:hint="eastAsia" w:asciiTheme="majorEastAsia" w:hAnsiTheme="majorEastAsia" w:eastAsiaTheme="majorEastAsia" w:cstheme="majorEastAsia"/>
                <w:snapToGrid w:val="0"/>
                <w:kern w:val="0"/>
                <w:sz w:val="24"/>
                <w:szCs w:val="24"/>
              </w:rPr>
              <w:t>40%～50%（含40%）。</w:t>
            </w:r>
          </w:p>
          <w:p w14:paraId="16310A46">
            <w:pPr>
              <w:pStyle w:val="66"/>
              <w:wordWrap w:val="0"/>
              <w:adjustRightInd w:val="0"/>
              <w:snapToGrid w:val="0"/>
              <w:spacing w:line="360" w:lineRule="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snapToGrid w:val="0"/>
                <w:kern w:val="0"/>
                <w:sz w:val="24"/>
                <w:szCs w:val="24"/>
              </w:rPr>
              <w:t>【差】组织机构形式合理，指挥系统，生产及质量、绿色施工、安全、文明施工、创优达标监控系统、联络协调系统不齐全，项目管理人员内高级职称人员10%以下、中级职称人员</w:t>
            </w:r>
            <w:r>
              <w:rPr>
                <w:rFonts w:hint="eastAsia" w:asciiTheme="majorEastAsia" w:hAnsiTheme="majorEastAsia" w:eastAsiaTheme="majorEastAsia" w:cstheme="majorEastAsia"/>
                <w:b/>
                <w:bCs/>
                <w:snapToGrid w:val="0"/>
                <w:kern w:val="0"/>
                <w:sz w:val="24"/>
                <w:szCs w:val="24"/>
              </w:rPr>
              <w:t>及以上职称</w:t>
            </w:r>
            <w:r>
              <w:rPr>
                <w:rFonts w:hint="eastAsia" w:asciiTheme="majorEastAsia" w:hAnsiTheme="majorEastAsia" w:eastAsiaTheme="majorEastAsia" w:cstheme="majorEastAsia"/>
                <w:snapToGrid w:val="0"/>
                <w:kern w:val="0"/>
                <w:sz w:val="24"/>
                <w:szCs w:val="24"/>
              </w:rPr>
              <w:t>40%以下。</w:t>
            </w:r>
          </w:p>
        </w:tc>
      </w:tr>
      <w:tr w14:paraId="12BB7797">
        <w:tblPrEx>
          <w:tblCellMar>
            <w:top w:w="0" w:type="dxa"/>
            <w:left w:w="108" w:type="dxa"/>
            <w:bottom w:w="0" w:type="dxa"/>
            <w:right w:w="108" w:type="dxa"/>
          </w:tblCellMar>
        </w:tblPrEx>
        <w:trPr>
          <w:trHeight w:val="615" w:hRule="exact"/>
          <w:jc w:val="center"/>
        </w:trPr>
        <w:tc>
          <w:tcPr>
            <w:tcW w:w="9484" w:type="dxa"/>
            <w:gridSpan w:val="4"/>
            <w:tcBorders>
              <w:top w:val="single" w:color="auto" w:sz="4" w:space="0"/>
              <w:left w:val="single" w:color="auto" w:sz="4" w:space="0"/>
              <w:bottom w:val="single" w:color="auto" w:sz="4" w:space="0"/>
              <w:right w:val="single" w:color="auto" w:sz="4" w:space="0"/>
            </w:tcBorders>
            <w:shd w:val="clear" w:color="auto" w:fill="D9D9D9"/>
            <w:vAlign w:val="center"/>
          </w:tcPr>
          <w:p w14:paraId="7A290541">
            <w:pPr>
              <w:pStyle w:val="8"/>
              <w:widowControl w:val="0"/>
              <w:wordWrap w:val="0"/>
              <w:adjustRightInd w:val="0"/>
              <w:snapToGrid w:val="0"/>
              <w:jc w:val="left"/>
              <w:textAlignment w:val="auto"/>
              <w:rPr>
                <w:rFonts w:hint="eastAsia" w:asciiTheme="majorEastAsia" w:hAnsiTheme="majorEastAsia" w:eastAsiaTheme="majorEastAsia" w:cstheme="majorEastAsia"/>
                <w:snapToGrid w:val="0"/>
              </w:rPr>
            </w:pPr>
            <w:r>
              <w:rPr>
                <w:rFonts w:hint="eastAsia" w:asciiTheme="majorEastAsia" w:hAnsiTheme="majorEastAsia" w:eastAsiaTheme="majorEastAsia" w:cstheme="majorEastAsia"/>
              </w:rPr>
              <w:t>投标报价部分，满分：100分。</w:t>
            </w:r>
          </w:p>
        </w:tc>
      </w:tr>
      <w:tr w14:paraId="080C7C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59" w:hRule="atLeast"/>
          <w:jc w:val="center"/>
        </w:trPr>
        <w:tc>
          <w:tcPr>
            <w:tcW w:w="1404" w:type="dxa"/>
            <w:gridSpan w:val="2"/>
            <w:tcBorders>
              <w:top w:val="single" w:color="auto" w:sz="4" w:space="0"/>
              <w:left w:val="single" w:color="auto" w:sz="4" w:space="0"/>
              <w:bottom w:val="single" w:color="auto" w:sz="4" w:space="0"/>
              <w:right w:val="single" w:color="auto" w:sz="4" w:space="0"/>
            </w:tcBorders>
            <w:vAlign w:val="center"/>
          </w:tcPr>
          <w:p w14:paraId="3CE7A1C4">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lang w:bidi="ar"/>
              </w:rPr>
            </w:pPr>
            <w:r>
              <w:rPr>
                <w:rFonts w:hint="eastAsia" w:asciiTheme="majorEastAsia" w:hAnsiTheme="majorEastAsia" w:eastAsiaTheme="majorEastAsia" w:cstheme="majorEastAsia"/>
                <w:kern w:val="0"/>
                <w:sz w:val="24"/>
                <w:szCs w:val="24"/>
              </w:rPr>
              <w:t>评标基准价D</w:t>
            </w:r>
          </w:p>
        </w:tc>
        <w:tc>
          <w:tcPr>
            <w:tcW w:w="8080" w:type="dxa"/>
            <w:gridSpan w:val="2"/>
            <w:tcBorders>
              <w:top w:val="single" w:color="auto" w:sz="4" w:space="0"/>
              <w:left w:val="nil"/>
              <w:bottom w:val="single" w:color="auto" w:sz="4" w:space="0"/>
              <w:right w:val="single" w:color="auto" w:sz="4" w:space="0"/>
            </w:tcBorders>
          </w:tcPr>
          <w:p w14:paraId="1D35A1BD">
            <w:pPr>
              <w:widowControl w:val="0"/>
              <w:wordWrap w:val="0"/>
              <w:adjustRightInd w:val="0"/>
              <w:snapToGrid w:val="0"/>
              <w:ind w:firstLine="480" w:firstLineChars="200"/>
              <w:jc w:val="left"/>
              <w:rPr>
                <w:rFonts w:hint="eastAsia" w:asciiTheme="majorEastAsia" w:hAnsiTheme="majorEastAsia" w:eastAsiaTheme="majorEastAsia" w:cstheme="majorEastAsia"/>
                <w:kern w:val="0"/>
              </w:rPr>
            </w:pPr>
            <w:r>
              <w:rPr>
                <w:rFonts w:hint="eastAsia" w:asciiTheme="majorEastAsia" w:hAnsiTheme="majorEastAsia" w:eastAsiaTheme="majorEastAsia" w:cstheme="majorEastAsia"/>
                <w:kern w:val="0"/>
              </w:rPr>
              <w:t>（1）确定</w:t>
            </w:r>
            <w:r>
              <w:rPr>
                <w:rFonts w:hint="eastAsia" w:asciiTheme="majorEastAsia" w:hAnsiTheme="majorEastAsia" w:eastAsiaTheme="majorEastAsia" w:cstheme="majorEastAsia"/>
                <w:kern w:val="0"/>
                <w:lang w:eastAsia="zh-CN"/>
              </w:rPr>
              <w:t>最高投标限价</w:t>
            </w:r>
            <w:r>
              <w:rPr>
                <w:rFonts w:hint="eastAsia" w:asciiTheme="majorEastAsia" w:hAnsiTheme="majorEastAsia" w:eastAsiaTheme="majorEastAsia" w:cstheme="majorEastAsia"/>
                <w:kern w:val="0"/>
              </w:rPr>
              <w:t>下浮系数n：用1～21号球分别代表一个下浮系数，由评委代表从这21个号码中随机抽取3次，每次抽取1个号码，抽出的号球不参与下次抽取。所抽取的3个号码对应下浮系数的算术平均值作为</w:t>
            </w:r>
            <w:r>
              <w:rPr>
                <w:rFonts w:hint="eastAsia" w:asciiTheme="majorEastAsia" w:hAnsiTheme="majorEastAsia" w:eastAsiaTheme="majorEastAsia" w:cstheme="majorEastAsia"/>
                <w:kern w:val="0"/>
                <w:lang w:eastAsia="zh-CN"/>
              </w:rPr>
              <w:t>最高投标限价</w:t>
            </w:r>
            <w:r>
              <w:rPr>
                <w:rFonts w:hint="eastAsia" w:asciiTheme="majorEastAsia" w:hAnsiTheme="majorEastAsia" w:eastAsiaTheme="majorEastAsia" w:cstheme="majorEastAsia"/>
                <w:kern w:val="0"/>
              </w:rPr>
              <w:t>下浮系数n。具体号码对应的下浮系数见下表：</w:t>
            </w:r>
          </w:p>
          <w:tbl>
            <w:tblPr>
              <w:tblStyle w:val="19"/>
              <w:tblW w:w="0" w:type="auto"/>
              <w:tblInd w:w="113" w:type="dxa"/>
              <w:tblLayout w:type="fixed"/>
              <w:tblCellMar>
                <w:top w:w="0" w:type="dxa"/>
                <w:left w:w="108" w:type="dxa"/>
                <w:bottom w:w="0" w:type="dxa"/>
                <w:right w:w="108" w:type="dxa"/>
              </w:tblCellMar>
            </w:tblPr>
            <w:tblGrid>
              <w:gridCol w:w="1730"/>
              <w:gridCol w:w="846"/>
              <w:gridCol w:w="846"/>
              <w:gridCol w:w="846"/>
              <w:gridCol w:w="846"/>
              <w:gridCol w:w="846"/>
              <w:gridCol w:w="846"/>
              <w:gridCol w:w="850"/>
            </w:tblGrid>
            <w:tr w14:paraId="2D7A4B36">
              <w:tblPrEx>
                <w:tblCellMar>
                  <w:top w:w="0" w:type="dxa"/>
                  <w:left w:w="108" w:type="dxa"/>
                  <w:bottom w:w="0" w:type="dxa"/>
                  <w:right w:w="108" w:type="dxa"/>
                </w:tblCellMar>
              </w:tblPrEx>
              <w:trPr>
                <w:trHeight w:val="500" w:hRule="atLeast"/>
              </w:trPr>
              <w:tc>
                <w:tcPr>
                  <w:tcW w:w="1730" w:type="dxa"/>
                  <w:tcBorders>
                    <w:top w:val="single" w:color="000000" w:sz="4" w:space="0"/>
                    <w:left w:val="single" w:color="000000" w:sz="4" w:space="0"/>
                    <w:bottom w:val="single" w:color="000000" w:sz="4" w:space="0"/>
                    <w:right w:val="single" w:color="000000" w:sz="4" w:space="0"/>
                  </w:tcBorders>
                  <w:vAlign w:val="center"/>
                </w:tcPr>
                <w:p w14:paraId="2D8A98B7">
                  <w:pPr>
                    <w:wordWrap w:val="0"/>
                    <w:adjustRightInd w:val="0"/>
                    <w:snapToGrid w:val="0"/>
                    <w:jc w:val="center"/>
                    <w:rPr>
                      <w:rFonts w:hint="eastAsia" w:asciiTheme="majorEastAsia" w:hAnsiTheme="majorEastAsia" w:eastAsiaTheme="majorEastAsia" w:cstheme="majorEastAsia"/>
                      <w:b/>
                      <w:snapToGrid w:val="0"/>
                      <w:kern w:val="0"/>
                      <w:sz w:val="21"/>
                      <w:szCs w:val="21"/>
                    </w:rPr>
                  </w:pPr>
                  <w:r>
                    <w:rPr>
                      <w:rFonts w:hint="eastAsia" w:asciiTheme="majorEastAsia" w:hAnsiTheme="majorEastAsia" w:eastAsiaTheme="majorEastAsia" w:cstheme="majorEastAsia"/>
                      <w:bCs/>
                      <w:snapToGrid w:val="0"/>
                      <w:kern w:val="0"/>
                      <w:sz w:val="21"/>
                      <w:szCs w:val="21"/>
                    </w:rPr>
                    <w:t>号球</w:t>
                  </w:r>
                </w:p>
              </w:tc>
              <w:tc>
                <w:tcPr>
                  <w:tcW w:w="846" w:type="dxa"/>
                  <w:tcBorders>
                    <w:top w:val="single" w:color="000000" w:sz="4" w:space="0"/>
                    <w:left w:val="single" w:color="000000" w:sz="4" w:space="0"/>
                    <w:bottom w:val="single" w:color="000000" w:sz="4" w:space="0"/>
                    <w:right w:val="single" w:color="000000" w:sz="4" w:space="0"/>
                  </w:tcBorders>
                  <w:vAlign w:val="center"/>
                </w:tcPr>
                <w:p w14:paraId="39118224">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1</w:t>
                  </w:r>
                </w:p>
              </w:tc>
              <w:tc>
                <w:tcPr>
                  <w:tcW w:w="846" w:type="dxa"/>
                  <w:tcBorders>
                    <w:top w:val="single" w:color="000000" w:sz="4" w:space="0"/>
                    <w:left w:val="single" w:color="000000" w:sz="4" w:space="0"/>
                    <w:bottom w:val="single" w:color="000000" w:sz="4" w:space="0"/>
                    <w:right w:val="single" w:color="000000" w:sz="4" w:space="0"/>
                  </w:tcBorders>
                  <w:vAlign w:val="center"/>
                </w:tcPr>
                <w:p w14:paraId="6FBA7ADD">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2</w:t>
                  </w:r>
                </w:p>
              </w:tc>
              <w:tc>
                <w:tcPr>
                  <w:tcW w:w="846" w:type="dxa"/>
                  <w:tcBorders>
                    <w:top w:val="single" w:color="000000" w:sz="4" w:space="0"/>
                    <w:left w:val="single" w:color="000000" w:sz="4" w:space="0"/>
                    <w:bottom w:val="single" w:color="000000" w:sz="4" w:space="0"/>
                    <w:right w:val="single" w:color="000000" w:sz="4" w:space="0"/>
                  </w:tcBorders>
                  <w:vAlign w:val="center"/>
                </w:tcPr>
                <w:p w14:paraId="60085DAE">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3</w:t>
                  </w:r>
                </w:p>
              </w:tc>
              <w:tc>
                <w:tcPr>
                  <w:tcW w:w="846" w:type="dxa"/>
                  <w:tcBorders>
                    <w:top w:val="single" w:color="000000" w:sz="4" w:space="0"/>
                    <w:left w:val="single" w:color="000000" w:sz="4" w:space="0"/>
                    <w:bottom w:val="single" w:color="000000" w:sz="4" w:space="0"/>
                    <w:right w:val="single" w:color="000000" w:sz="4" w:space="0"/>
                  </w:tcBorders>
                  <w:vAlign w:val="center"/>
                </w:tcPr>
                <w:p w14:paraId="3BFEBD8B">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4</w:t>
                  </w:r>
                </w:p>
              </w:tc>
              <w:tc>
                <w:tcPr>
                  <w:tcW w:w="846" w:type="dxa"/>
                  <w:tcBorders>
                    <w:top w:val="single" w:color="000000" w:sz="4" w:space="0"/>
                    <w:left w:val="single" w:color="000000" w:sz="4" w:space="0"/>
                    <w:bottom w:val="single" w:color="000000" w:sz="4" w:space="0"/>
                    <w:right w:val="single" w:color="000000" w:sz="4" w:space="0"/>
                  </w:tcBorders>
                  <w:vAlign w:val="center"/>
                </w:tcPr>
                <w:p w14:paraId="36BA5576">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5</w:t>
                  </w:r>
                </w:p>
              </w:tc>
              <w:tc>
                <w:tcPr>
                  <w:tcW w:w="846" w:type="dxa"/>
                  <w:tcBorders>
                    <w:top w:val="single" w:color="000000" w:sz="4" w:space="0"/>
                    <w:left w:val="single" w:color="000000" w:sz="4" w:space="0"/>
                    <w:bottom w:val="single" w:color="000000" w:sz="4" w:space="0"/>
                    <w:right w:val="single" w:color="000000" w:sz="4" w:space="0"/>
                  </w:tcBorders>
                  <w:vAlign w:val="center"/>
                </w:tcPr>
                <w:p w14:paraId="256D7326">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6</w:t>
                  </w:r>
                </w:p>
              </w:tc>
              <w:tc>
                <w:tcPr>
                  <w:tcW w:w="850" w:type="dxa"/>
                  <w:tcBorders>
                    <w:top w:val="single" w:color="000000" w:sz="4" w:space="0"/>
                    <w:left w:val="single" w:color="000000" w:sz="4" w:space="0"/>
                    <w:bottom w:val="single" w:color="000000" w:sz="4" w:space="0"/>
                    <w:right w:val="single" w:color="000000" w:sz="4" w:space="0"/>
                  </w:tcBorders>
                  <w:vAlign w:val="center"/>
                </w:tcPr>
                <w:p w14:paraId="72E74621">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7</w:t>
                  </w:r>
                </w:p>
              </w:tc>
            </w:tr>
            <w:tr w14:paraId="0033C6A3">
              <w:tblPrEx>
                <w:tblCellMar>
                  <w:top w:w="0" w:type="dxa"/>
                  <w:left w:w="108" w:type="dxa"/>
                  <w:bottom w:w="0" w:type="dxa"/>
                  <w:right w:w="108" w:type="dxa"/>
                </w:tblCellMar>
              </w:tblPrEx>
              <w:trPr>
                <w:trHeight w:val="500" w:hRule="atLeast"/>
              </w:trPr>
              <w:tc>
                <w:tcPr>
                  <w:tcW w:w="1730" w:type="dxa"/>
                  <w:tcBorders>
                    <w:top w:val="single" w:color="000000" w:sz="4" w:space="0"/>
                    <w:left w:val="single" w:color="000000" w:sz="4" w:space="0"/>
                    <w:bottom w:val="single" w:color="000000" w:sz="4" w:space="0"/>
                    <w:right w:val="single" w:color="000000" w:sz="4" w:space="0"/>
                  </w:tcBorders>
                  <w:vAlign w:val="center"/>
                </w:tcPr>
                <w:p w14:paraId="47A42DC2">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下浮系数（%）</w:t>
                  </w:r>
                </w:p>
              </w:tc>
              <w:tc>
                <w:tcPr>
                  <w:tcW w:w="846" w:type="dxa"/>
                  <w:tcBorders>
                    <w:top w:val="single" w:color="000000" w:sz="4" w:space="0"/>
                    <w:left w:val="single" w:color="000000" w:sz="4" w:space="0"/>
                    <w:bottom w:val="single" w:color="000000" w:sz="4" w:space="0"/>
                    <w:right w:val="single" w:color="000000" w:sz="4" w:space="0"/>
                  </w:tcBorders>
                  <w:vAlign w:val="center"/>
                </w:tcPr>
                <w:p w14:paraId="007C4ED6">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1.0</w:t>
                  </w:r>
                </w:p>
              </w:tc>
              <w:tc>
                <w:tcPr>
                  <w:tcW w:w="846" w:type="dxa"/>
                  <w:tcBorders>
                    <w:top w:val="single" w:color="000000" w:sz="4" w:space="0"/>
                    <w:left w:val="single" w:color="000000" w:sz="4" w:space="0"/>
                    <w:bottom w:val="single" w:color="000000" w:sz="4" w:space="0"/>
                    <w:right w:val="single" w:color="000000" w:sz="4" w:space="0"/>
                  </w:tcBorders>
                  <w:vAlign w:val="center"/>
                </w:tcPr>
                <w:p w14:paraId="3BE915AC">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1.1</w:t>
                  </w:r>
                </w:p>
              </w:tc>
              <w:tc>
                <w:tcPr>
                  <w:tcW w:w="846" w:type="dxa"/>
                  <w:tcBorders>
                    <w:top w:val="single" w:color="000000" w:sz="4" w:space="0"/>
                    <w:left w:val="single" w:color="000000" w:sz="4" w:space="0"/>
                    <w:bottom w:val="single" w:color="000000" w:sz="4" w:space="0"/>
                    <w:right w:val="single" w:color="000000" w:sz="4" w:space="0"/>
                  </w:tcBorders>
                  <w:vAlign w:val="center"/>
                </w:tcPr>
                <w:p w14:paraId="77F14E95">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1.2</w:t>
                  </w:r>
                </w:p>
              </w:tc>
              <w:tc>
                <w:tcPr>
                  <w:tcW w:w="846" w:type="dxa"/>
                  <w:tcBorders>
                    <w:top w:val="single" w:color="000000" w:sz="4" w:space="0"/>
                    <w:left w:val="single" w:color="000000" w:sz="4" w:space="0"/>
                    <w:bottom w:val="single" w:color="000000" w:sz="4" w:space="0"/>
                    <w:right w:val="single" w:color="000000" w:sz="4" w:space="0"/>
                  </w:tcBorders>
                  <w:vAlign w:val="center"/>
                </w:tcPr>
                <w:p w14:paraId="7F60B365">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1.3</w:t>
                  </w:r>
                </w:p>
              </w:tc>
              <w:tc>
                <w:tcPr>
                  <w:tcW w:w="846" w:type="dxa"/>
                  <w:tcBorders>
                    <w:top w:val="single" w:color="000000" w:sz="4" w:space="0"/>
                    <w:left w:val="single" w:color="000000" w:sz="4" w:space="0"/>
                    <w:bottom w:val="single" w:color="000000" w:sz="4" w:space="0"/>
                    <w:right w:val="single" w:color="000000" w:sz="4" w:space="0"/>
                  </w:tcBorders>
                  <w:vAlign w:val="center"/>
                </w:tcPr>
                <w:p w14:paraId="3BCF20E7">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1.4</w:t>
                  </w:r>
                </w:p>
              </w:tc>
              <w:tc>
                <w:tcPr>
                  <w:tcW w:w="846" w:type="dxa"/>
                  <w:tcBorders>
                    <w:top w:val="single" w:color="000000" w:sz="4" w:space="0"/>
                    <w:left w:val="single" w:color="000000" w:sz="4" w:space="0"/>
                    <w:bottom w:val="single" w:color="000000" w:sz="4" w:space="0"/>
                    <w:right w:val="single" w:color="000000" w:sz="4" w:space="0"/>
                  </w:tcBorders>
                  <w:vAlign w:val="center"/>
                </w:tcPr>
                <w:p w14:paraId="142E1776">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1.5</w:t>
                  </w:r>
                </w:p>
              </w:tc>
              <w:tc>
                <w:tcPr>
                  <w:tcW w:w="850" w:type="dxa"/>
                  <w:tcBorders>
                    <w:top w:val="single" w:color="000000" w:sz="4" w:space="0"/>
                    <w:left w:val="single" w:color="000000" w:sz="4" w:space="0"/>
                    <w:bottom w:val="single" w:color="000000" w:sz="4" w:space="0"/>
                    <w:right w:val="single" w:color="000000" w:sz="4" w:space="0"/>
                  </w:tcBorders>
                  <w:vAlign w:val="center"/>
                </w:tcPr>
                <w:p w14:paraId="4746BFAA">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1.6</w:t>
                  </w:r>
                </w:p>
              </w:tc>
            </w:tr>
            <w:tr w14:paraId="216960C7">
              <w:tblPrEx>
                <w:tblCellMar>
                  <w:top w:w="0" w:type="dxa"/>
                  <w:left w:w="108" w:type="dxa"/>
                  <w:bottom w:w="0" w:type="dxa"/>
                  <w:right w:w="108" w:type="dxa"/>
                </w:tblCellMar>
              </w:tblPrEx>
              <w:trPr>
                <w:trHeight w:val="500" w:hRule="atLeast"/>
              </w:trPr>
              <w:tc>
                <w:tcPr>
                  <w:tcW w:w="1730" w:type="dxa"/>
                  <w:tcBorders>
                    <w:top w:val="single" w:color="000000" w:sz="4" w:space="0"/>
                    <w:left w:val="single" w:color="000000" w:sz="4" w:space="0"/>
                    <w:bottom w:val="single" w:color="000000" w:sz="4" w:space="0"/>
                    <w:right w:val="single" w:color="000000" w:sz="4" w:space="0"/>
                  </w:tcBorders>
                  <w:vAlign w:val="center"/>
                </w:tcPr>
                <w:p w14:paraId="5D580194">
                  <w:pPr>
                    <w:wordWrap w:val="0"/>
                    <w:adjustRightInd w:val="0"/>
                    <w:snapToGrid w:val="0"/>
                    <w:jc w:val="center"/>
                    <w:rPr>
                      <w:rFonts w:hint="eastAsia" w:asciiTheme="majorEastAsia" w:hAnsiTheme="majorEastAsia" w:eastAsiaTheme="majorEastAsia" w:cstheme="majorEastAsia"/>
                      <w:b/>
                      <w:snapToGrid w:val="0"/>
                      <w:kern w:val="0"/>
                      <w:sz w:val="21"/>
                      <w:szCs w:val="21"/>
                    </w:rPr>
                  </w:pPr>
                  <w:r>
                    <w:rPr>
                      <w:rFonts w:hint="eastAsia" w:asciiTheme="majorEastAsia" w:hAnsiTheme="majorEastAsia" w:eastAsiaTheme="majorEastAsia" w:cstheme="majorEastAsia"/>
                      <w:bCs/>
                      <w:snapToGrid w:val="0"/>
                      <w:kern w:val="0"/>
                      <w:sz w:val="21"/>
                      <w:szCs w:val="21"/>
                    </w:rPr>
                    <w:t>号球</w:t>
                  </w:r>
                </w:p>
              </w:tc>
              <w:tc>
                <w:tcPr>
                  <w:tcW w:w="846" w:type="dxa"/>
                  <w:tcBorders>
                    <w:top w:val="single" w:color="000000" w:sz="4" w:space="0"/>
                    <w:left w:val="single" w:color="000000" w:sz="4" w:space="0"/>
                    <w:bottom w:val="single" w:color="000000" w:sz="4" w:space="0"/>
                    <w:right w:val="single" w:color="000000" w:sz="4" w:space="0"/>
                  </w:tcBorders>
                  <w:vAlign w:val="center"/>
                </w:tcPr>
                <w:p w14:paraId="1441649C">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8</w:t>
                  </w:r>
                </w:p>
              </w:tc>
              <w:tc>
                <w:tcPr>
                  <w:tcW w:w="846" w:type="dxa"/>
                  <w:tcBorders>
                    <w:top w:val="single" w:color="000000" w:sz="4" w:space="0"/>
                    <w:left w:val="single" w:color="000000" w:sz="4" w:space="0"/>
                    <w:bottom w:val="single" w:color="000000" w:sz="4" w:space="0"/>
                    <w:right w:val="single" w:color="000000" w:sz="4" w:space="0"/>
                  </w:tcBorders>
                  <w:vAlign w:val="center"/>
                </w:tcPr>
                <w:p w14:paraId="2BBD6E5E">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9</w:t>
                  </w:r>
                </w:p>
              </w:tc>
              <w:tc>
                <w:tcPr>
                  <w:tcW w:w="846" w:type="dxa"/>
                  <w:tcBorders>
                    <w:top w:val="single" w:color="000000" w:sz="4" w:space="0"/>
                    <w:left w:val="single" w:color="000000" w:sz="4" w:space="0"/>
                    <w:bottom w:val="single" w:color="000000" w:sz="4" w:space="0"/>
                    <w:right w:val="single" w:color="000000" w:sz="4" w:space="0"/>
                  </w:tcBorders>
                  <w:vAlign w:val="center"/>
                </w:tcPr>
                <w:p w14:paraId="1D3FE0BF">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10</w:t>
                  </w:r>
                </w:p>
              </w:tc>
              <w:tc>
                <w:tcPr>
                  <w:tcW w:w="846" w:type="dxa"/>
                  <w:tcBorders>
                    <w:top w:val="single" w:color="000000" w:sz="4" w:space="0"/>
                    <w:left w:val="single" w:color="000000" w:sz="4" w:space="0"/>
                    <w:bottom w:val="single" w:color="000000" w:sz="4" w:space="0"/>
                    <w:right w:val="single" w:color="000000" w:sz="4" w:space="0"/>
                  </w:tcBorders>
                  <w:vAlign w:val="center"/>
                </w:tcPr>
                <w:p w14:paraId="369DB5A3">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11</w:t>
                  </w:r>
                </w:p>
              </w:tc>
              <w:tc>
                <w:tcPr>
                  <w:tcW w:w="846" w:type="dxa"/>
                  <w:tcBorders>
                    <w:top w:val="single" w:color="000000" w:sz="4" w:space="0"/>
                    <w:left w:val="single" w:color="000000" w:sz="4" w:space="0"/>
                    <w:bottom w:val="single" w:color="000000" w:sz="4" w:space="0"/>
                    <w:right w:val="single" w:color="000000" w:sz="4" w:space="0"/>
                  </w:tcBorders>
                  <w:vAlign w:val="center"/>
                </w:tcPr>
                <w:p w14:paraId="5B4DF52C">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12</w:t>
                  </w:r>
                </w:p>
              </w:tc>
              <w:tc>
                <w:tcPr>
                  <w:tcW w:w="846" w:type="dxa"/>
                  <w:tcBorders>
                    <w:top w:val="single" w:color="000000" w:sz="4" w:space="0"/>
                    <w:left w:val="single" w:color="000000" w:sz="4" w:space="0"/>
                    <w:bottom w:val="single" w:color="000000" w:sz="4" w:space="0"/>
                    <w:right w:val="single" w:color="000000" w:sz="4" w:space="0"/>
                  </w:tcBorders>
                  <w:vAlign w:val="center"/>
                </w:tcPr>
                <w:p w14:paraId="58C37359">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13</w:t>
                  </w:r>
                </w:p>
              </w:tc>
              <w:tc>
                <w:tcPr>
                  <w:tcW w:w="850" w:type="dxa"/>
                  <w:tcBorders>
                    <w:top w:val="single" w:color="000000" w:sz="4" w:space="0"/>
                    <w:left w:val="single" w:color="000000" w:sz="4" w:space="0"/>
                    <w:bottom w:val="single" w:color="000000" w:sz="4" w:space="0"/>
                    <w:right w:val="single" w:color="000000" w:sz="4" w:space="0"/>
                  </w:tcBorders>
                  <w:vAlign w:val="center"/>
                </w:tcPr>
                <w:p w14:paraId="5D2CF96B">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14</w:t>
                  </w:r>
                </w:p>
              </w:tc>
            </w:tr>
            <w:tr w14:paraId="593E20F9">
              <w:tblPrEx>
                <w:tblCellMar>
                  <w:top w:w="0" w:type="dxa"/>
                  <w:left w:w="108" w:type="dxa"/>
                  <w:bottom w:w="0" w:type="dxa"/>
                  <w:right w:w="108" w:type="dxa"/>
                </w:tblCellMar>
              </w:tblPrEx>
              <w:trPr>
                <w:trHeight w:val="500" w:hRule="atLeast"/>
              </w:trPr>
              <w:tc>
                <w:tcPr>
                  <w:tcW w:w="1730" w:type="dxa"/>
                  <w:tcBorders>
                    <w:top w:val="single" w:color="000000" w:sz="4" w:space="0"/>
                    <w:left w:val="single" w:color="000000" w:sz="4" w:space="0"/>
                    <w:bottom w:val="single" w:color="000000" w:sz="4" w:space="0"/>
                    <w:right w:val="single" w:color="000000" w:sz="4" w:space="0"/>
                  </w:tcBorders>
                  <w:vAlign w:val="center"/>
                </w:tcPr>
                <w:p w14:paraId="62B28324">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下浮系数（%）</w:t>
                  </w:r>
                </w:p>
              </w:tc>
              <w:tc>
                <w:tcPr>
                  <w:tcW w:w="846" w:type="dxa"/>
                  <w:tcBorders>
                    <w:top w:val="single" w:color="000000" w:sz="4" w:space="0"/>
                    <w:left w:val="single" w:color="000000" w:sz="4" w:space="0"/>
                    <w:bottom w:val="single" w:color="000000" w:sz="4" w:space="0"/>
                    <w:right w:val="single" w:color="000000" w:sz="4" w:space="0"/>
                  </w:tcBorders>
                  <w:vAlign w:val="center"/>
                </w:tcPr>
                <w:p w14:paraId="755DD58A">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1.7</w:t>
                  </w:r>
                </w:p>
              </w:tc>
              <w:tc>
                <w:tcPr>
                  <w:tcW w:w="846" w:type="dxa"/>
                  <w:tcBorders>
                    <w:top w:val="single" w:color="000000" w:sz="4" w:space="0"/>
                    <w:left w:val="single" w:color="000000" w:sz="4" w:space="0"/>
                    <w:bottom w:val="single" w:color="000000" w:sz="4" w:space="0"/>
                    <w:right w:val="single" w:color="000000" w:sz="4" w:space="0"/>
                  </w:tcBorders>
                  <w:vAlign w:val="center"/>
                </w:tcPr>
                <w:p w14:paraId="2BD60AB1">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1.8</w:t>
                  </w:r>
                </w:p>
              </w:tc>
              <w:tc>
                <w:tcPr>
                  <w:tcW w:w="846" w:type="dxa"/>
                  <w:tcBorders>
                    <w:top w:val="single" w:color="000000" w:sz="4" w:space="0"/>
                    <w:left w:val="single" w:color="000000" w:sz="4" w:space="0"/>
                    <w:bottom w:val="single" w:color="000000" w:sz="4" w:space="0"/>
                    <w:right w:val="single" w:color="000000" w:sz="4" w:space="0"/>
                  </w:tcBorders>
                  <w:vAlign w:val="center"/>
                </w:tcPr>
                <w:p w14:paraId="4D64F002">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1.9</w:t>
                  </w:r>
                </w:p>
              </w:tc>
              <w:tc>
                <w:tcPr>
                  <w:tcW w:w="846" w:type="dxa"/>
                  <w:tcBorders>
                    <w:top w:val="single" w:color="000000" w:sz="4" w:space="0"/>
                    <w:left w:val="single" w:color="000000" w:sz="4" w:space="0"/>
                    <w:bottom w:val="single" w:color="000000" w:sz="4" w:space="0"/>
                    <w:right w:val="single" w:color="000000" w:sz="4" w:space="0"/>
                  </w:tcBorders>
                  <w:vAlign w:val="center"/>
                </w:tcPr>
                <w:p w14:paraId="3458500C">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2.0</w:t>
                  </w:r>
                </w:p>
              </w:tc>
              <w:tc>
                <w:tcPr>
                  <w:tcW w:w="846" w:type="dxa"/>
                  <w:tcBorders>
                    <w:top w:val="single" w:color="000000" w:sz="4" w:space="0"/>
                    <w:left w:val="single" w:color="000000" w:sz="4" w:space="0"/>
                    <w:bottom w:val="single" w:color="000000" w:sz="4" w:space="0"/>
                    <w:right w:val="single" w:color="000000" w:sz="4" w:space="0"/>
                  </w:tcBorders>
                  <w:vAlign w:val="center"/>
                </w:tcPr>
                <w:p w14:paraId="3B03B599">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2.1</w:t>
                  </w:r>
                </w:p>
              </w:tc>
              <w:tc>
                <w:tcPr>
                  <w:tcW w:w="846" w:type="dxa"/>
                  <w:tcBorders>
                    <w:top w:val="single" w:color="000000" w:sz="4" w:space="0"/>
                    <w:left w:val="single" w:color="000000" w:sz="4" w:space="0"/>
                    <w:bottom w:val="single" w:color="000000" w:sz="4" w:space="0"/>
                    <w:right w:val="single" w:color="000000" w:sz="4" w:space="0"/>
                  </w:tcBorders>
                  <w:vAlign w:val="center"/>
                </w:tcPr>
                <w:p w14:paraId="185A953D">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2.2</w:t>
                  </w:r>
                </w:p>
              </w:tc>
              <w:tc>
                <w:tcPr>
                  <w:tcW w:w="850" w:type="dxa"/>
                  <w:tcBorders>
                    <w:top w:val="single" w:color="000000" w:sz="4" w:space="0"/>
                    <w:left w:val="single" w:color="000000" w:sz="4" w:space="0"/>
                    <w:bottom w:val="single" w:color="000000" w:sz="4" w:space="0"/>
                    <w:right w:val="single" w:color="000000" w:sz="4" w:space="0"/>
                  </w:tcBorders>
                  <w:vAlign w:val="center"/>
                </w:tcPr>
                <w:p w14:paraId="661BF2CA">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2.3</w:t>
                  </w:r>
                </w:p>
              </w:tc>
            </w:tr>
            <w:tr w14:paraId="5BCEB3FE">
              <w:tblPrEx>
                <w:tblCellMar>
                  <w:top w:w="0" w:type="dxa"/>
                  <w:left w:w="108" w:type="dxa"/>
                  <w:bottom w:w="0" w:type="dxa"/>
                  <w:right w:w="108" w:type="dxa"/>
                </w:tblCellMar>
              </w:tblPrEx>
              <w:trPr>
                <w:trHeight w:val="500" w:hRule="atLeast"/>
              </w:trPr>
              <w:tc>
                <w:tcPr>
                  <w:tcW w:w="1730" w:type="dxa"/>
                  <w:tcBorders>
                    <w:top w:val="single" w:color="000000" w:sz="4" w:space="0"/>
                    <w:left w:val="single" w:color="000000" w:sz="4" w:space="0"/>
                    <w:bottom w:val="single" w:color="000000" w:sz="4" w:space="0"/>
                    <w:right w:val="single" w:color="000000" w:sz="4" w:space="0"/>
                  </w:tcBorders>
                  <w:vAlign w:val="center"/>
                </w:tcPr>
                <w:p w14:paraId="3F83D862">
                  <w:pPr>
                    <w:wordWrap w:val="0"/>
                    <w:adjustRightInd w:val="0"/>
                    <w:snapToGrid w:val="0"/>
                    <w:jc w:val="center"/>
                    <w:rPr>
                      <w:rFonts w:hint="eastAsia" w:asciiTheme="majorEastAsia" w:hAnsiTheme="majorEastAsia" w:eastAsiaTheme="majorEastAsia" w:cstheme="majorEastAsia"/>
                      <w:b/>
                      <w:snapToGrid w:val="0"/>
                      <w:kern w:val="0"/>
                      <w:sz w:val="21"/>
                      <w:szCs w:val="21"/>
                    </w:rPr>
                  </w:pPr>
                  <w:r>
                    <w:rPr>
                      <w:rFonts w:hint="eastAsia" w:asciiTheme="majorEastAsia" w:hAnsiTheme="majorEastAsia" w:eastAsiaTheme="majorEastAsia" w:cstheme="majorEastAsia"/>
                      <w:bCs/>
                      <w:snapToGrid w:val="0"/>
                      <w:kern w:val="0"/>
                      <w:sz w:val="21"/>
                      <w:szCs w:val="21"/>
                    </w:rPr>
                    <w:t>号球</w:t>
                  </w:r>
                </w:p>
              </w:tc>
              <w:tc>
                <w:tcPr>
                  <w:tcW w:w="846" w:type="dxa"/>
                  <w:tcBorders>
                    <w:top w:val="single" w:color="000000" w:sz="4" w:space="0"/>
                    <w:left w:val="single" w:color="000000" w:sz="4" w:space="0"/>
                    <w:bottom w:val="single" w:color="000000" w:sz="4" w:space="0"/>
                    <w:right w:val="single" w:color="000000" w:sz="4" w:space="0"/>
                  </w:tcBorders>
                  <w:vAlign w:val="center"/>
                </w:tcPr>
                <w:p w14:paraId="4010FEF8">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15</w:t>
                  </w:r>
                </w:p>
              </w:tc>
              <w:tc>
                <w:tcPr>
                  <w:tcW w:w="846" w:type="dxa"/>
                  <w:tcBorders>
                    <w:top w:val="single" w:color="000000" w:sz="4" w:space="0"/>
                    <w:left w:val="single" w:color="000000" w:sz="4" w:space="0"/>
                    <w:bottom w:val="single" w:color="000000" w:sz="4" w:space="0"/>
                    <w:right w:val="single" w:color="000000" w:sz="4" w:space="0"/>
                  </w:tcBorders>
                  <w:vAlign w:val="center"/>
                </w:tcPr>
                <w:p w14:paraId="671241FD">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16</w:t>
                  </w:r>
                </w:p>
              </w:tc>
              <w:tc>
                <w:tcPr>
                  <w:tcW w:w="846" w:type="dxa"/>
                  <w:tcBorders>
                    <w:top w:val="single" w:color="000000" w:sz="4" w:space="0"/>
                    <w:left w:val="single" w:color="000000" w:sz="4" w:space="0"/>
                    <w:bottom w:val="single" w:color="000000" w:sz="4" w:space="0"/>
                    <w:right w:val="single" w:color="000000" w:sz="4" w:space="0"/>
                  </w:tcBorders>
                  <w:vAlign w:val="center"/>
                </w:tcPr>
                <w:p w14:paraId="427A7534">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17</w:t>
                  </w:r>
                </w:p>
              </w:tc>
              <w:tc>
                <w:tcPr>
                  <w:tcW w:w="846" w:type="dxa"/>
                  <w:tcBorders>
                    <w:top w:val="single" w:color="000000" w:sz="4" w:space="0"/>
                    <w:left w:val="single" w:color="000000" w:sz="4" w:space="0"/>
                    <w:bottom w:val="single" w:color="000000" w:sz="4" w:space="0"/>
                    <w:right w:val="single" w:color="000000" w:sz="4" w:space="0"/>
                  </w:tcBorders>
                  <w:vAlign w:val="center"/>
                </w:tcPr>
                <w:p w14:paraId="6EEF341D">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18</w:t>
                  </w:r>
                </w:p>
              </w:tc>
              <w:tc>
                <w:tcPr>
                  <w:tcW w:w="846" w:type="dxa"/>
                  <w:tcBorders>
                    <w:top w:val="single" w:color="000000" w:sz="4" w:space="0"/>
                    <w:left w:val="single" w:color="000000" w:sz="4" w:space="0"/>
                    <w:bottom w:val="single" w:color="000000" w:sz="4" w:space="0"/>
                    <w:right w:val="single" w:color="000000" w:sz="4" w:space="0"/>
                  </w:tcBorders>
                  <w:vAlign w:val="center"/>
                </w:tcPr>
                <w:p w14:paraId="69AF2FC6">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19</w:t>
                  </w:r>
                </w:p>
              </w:tc>
              <w:tc>
                <w:tcPr>
                  <w:tcW w:w="846" w:type="dxa"/>
                  <w:tcBorders>
                    <w:top w:val="single" w:color="000000" w:sz="4" w:space="0"/>
                    <w:left w:val="single" w:color="000000" w:sz="4" w:space="0"/>
                    <w:bottom w:val="single" w:color="000000" w:sz="4" w:space="0"/>
                    <w:right w:val="single" w:color="000000" w:sz="4" w:space="0"/>
                  </w:tcBorders>
                  <w:vAlign w:val="center"/>
                </w:tcPr>
                <w:p w14:paraId="00C8A6DC">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20</w:t>
                  </w:r>
                </w:p>
              </w:tc>
              <w:tc>
                <w:tcPr>
                  <w:tcW w:w="850" w:type="dxa"/>
                  <w:tcBorders>
                    <w:top w:val="single" w:color="000000" w:sz="4" w:space="0"/>
                    <w:left w:val="single" w:color="000000" w:sz="4" w:space="0"/>
                    <w:bottom w:val="single" w:color="000000" w:sz="4" w:space="0"/>
                    <w:right w:val="single" w:color="000000" w:sz="4" w:space="0"/>
                  </w:tcBorders>
                  <w:vAlign w:val="center"/>
                </w:tcPr>
                <w:p w14:paraId="2CB5F6ED">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21</w:t>
                  </w:r>
                </w:p>
              </w:tc>
            </w:tr>
            <w:tr w14:paraId="1971F1EC">
              <w:tblPrEx>
                <w:tblCellMar>
                  <w:top w:w="0" w:type="dxa"/>
                  <w:left w:w="108" w:type="dxa"/>
                  <w:bottom w:w="0" w:type="dxa"/>
                  <w:right w:w="108" w:type="dxa"/>
                </w:tblCellMar>
              </w:tblPrEx>
              <w:trPr>
                <w:trHeight w:val="500" w:hRule="atLeast"/>
              </w:trPr>
              <w:tc>
                <w:tcPr>
                  <w:tcW w:w="1730" w:type="dxa"/>
                  <w:tcBorders>
                    <w:top w:val="single" w:color="000000" w:sz="4" w:space="0"/>
                    <w:left w:val="single" w:color="000000" w:sz="4" w:space="0"/>
                    <w:bottom w:val="single" w:color="000000" w:sz="4" w:space="0"/>
                    <w:right w:val="single" w:color="000000" w:sz="4" w:space="0"/>
                  </w:tcBorders>
                  <w:vAlign w:val="center"/>
                </w:tcPr>
                <w:p w14:paraId="23DC1112">
                  <w:pPr>
                    <w:wordWrap w:val="0"/>
                    <w:adjustRightInd w:val="0"/>
                    <w:snapToGrid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napToGrid w:val="0"/>
                      <w:kern w:val="0"/>
                      <w:sz w:val="21"/>
                      <w:szCs w:val="21"/>
                    </w:rPr>
                    <w:t>下浮系数（%）</w:t>
                  </w:r>
                </w:p>
              </w:tc>
              <w:tc>
                <w:tcPr>
                  <w:tcW w:w="846" w:type="dxa"/>
                  <w:tcBorders>
                    <w:top w:val="single" w:color="000000" w:sz="4" w:space="0"/>
                    <w:left w:val="single" w:color="000000" w:sz="4" w:space="0"/>
                    <w:bottom w:val="single" w:color="000000" w:sz="4" w:space="0"/>
                    <w:right w:val="single" w:color="000000" w:sz="4" w:space="0"/>
                  </w:tcBorders>
                  <w:vAlign w:val="center"/>
                </w:tcPr>
                <w:p w14:paraId="4C87B003">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2.4</w:t>
                  </w:r>
                </w:p>
              </w:tc>
              <w:tc>
                <w:tcPr>
                  <w:tcW w:w="846" w:type="dxa"/>
                  <w:tcBorders>
                    <w:top w:val="single" w:color="000000" w:sz="4" w:space="0"/>
                    <w:left w:val="single" w:color="000000" w:sz="4" w:space="0"/>
                    <w:bottom w:val="single" w:color="000000" w:sz="4" w:space="0"/>
                    <w:right w:val="single" w:color="000000" w:sz="4" w:space="0"/>
                  </w:tcBorders>
                  <w:vAlign w:val="center"/>
                </w:tcPr>
                <w:p w14:paraId="0C784014">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2.5</w:t>
                  </w:r>
                </w:p>
              </w:tc>
              <w:tc>
                <w:tcPr>
                  <w:tcW w:w="846" w:type="dxa"/>
                  <w:tcBorders>
                    <w:top w:val="single" w:color="000000" w:sz="4" w:space="0"/>
                    <w:left w:val="single" w:color="000000" w:sz="4" w:space="0"/>
                    <w:bottom w:val="single" w:color="000000" w:sz="4" w:space="0"/>
                    <w:right w:val="single" w:color="000000" w:sz="4" w:space="0"/>
                  </w:tcBorders>
                  <w:vAlign w:val="center"/>
                </w:tcPr>
                <w:p w14:paraId="7C3F02B3">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2.6</w:t>
                  </w:r>
                </w:p>
              </w:tc>
              <w:tc>
                <w:tcPr>
                  <w:tcW w:w="846" w:type="dxa"/>
                  <w:tcBorders>
                    <w:top w:val="single" w:color="000000" w:sz="4" w:space="0"/>
                    <w:left w:val="single" w:color="000000" w:sz="4" w:space="0"/>
                    <w:bottom w:val="single" w:color="000000" w:sz="4" w:space="0"/>
                    <w:right w:val="single" w:color="000000" w:sz="4" w:space="0"/>
                  </w:tcBorders>
                  <w:vAlign w:val="center"/>
                </w:tcPr>
                <w:p w14:paraId="18577927">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2.7</w:t>
                  </w:r>
                </w:p>
              </w:tc>
              <w:tc>
                <w:tcPr>
                  <w:tcW w:w="846" w:type="dxa"/>
                  <w:tcBorders>
                    <w:top w:val="single" w:color="000000" w:sz="4" w:space="0"/>
                    <w:left w:val="single" w:color="000000" w:sz="4" w:space="0"/>
                    <w:bottom w:val="single" w:color="000000" w:sz="4" w:space="0"/>
                    <w:right w:val="single" w:color="000000" w:sz="4" w:space="0"/>
                  </w:tcBorders>
                  <w:vAlign w:val="center"/>
                </w:tcPr>
                <w:p w14:paraId="6ECF84D6">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2.8</w:t>
                  </w:r>
                </w:p>
              </w:tc>
              <w:tc>
                <w:tcPr>
                  <w:tcW w:w="846" w:type="dxa"/>
                  <w:tcBorders>
                    <w:top w:val="single" w:color="000000" w:sz="4" w:space="0"/>
                    <w:left w:val="single" w:color="000000" w:sz="4" w:space="0"/>
                    <w:bottom w:val="single" w:color="000000" w:sz="4" w:space="0"/>
                    <w:right w:val="single" w:color="000000" w:sz="4" w:space="0"/>
                  </w:tcBorders>
                  <w:vAlign w:val="center"/>
                </w:tcPr>
                <w:p w14:paraId="2A28045F">
                  <w:pPr>
                    <w:widowControl w:val="0"/>
                    <w:jc w:val="center"/>
                    <w:rPr>
                      <w:rFonts w:hint="eastAsia" w:asciiTheme="majorEastAsia" w:hAnsiTheme="majorEastAsia" w:eastAsiaTheme="majorEastAsia" w:cstheme="majorEastAsia"/>
                      <w:snapToGrid w:val="0"/>
                      <w:kern w:val="0"/>
                      <w:sz w:val="21"/>
                      <w:szCs w:val="21"/>
                    </w:rPr>
                  </w:pPr>
                  <w:r>
                    <w:rPr>
                      <w:rFonts w:hint="eastAsia" w:asciiTheme="majorEastAsia" w:hAnsiTheme="majorEastAsia" w:eastAsiaTheme="majorEastAsia" w:cstheme="majorEastAsia"/>
                      <w:sz w:val="21"/>
                      <w:szCs w:val="21"/>
                      <w:lang w:bidi="ar"/>
                    </w:rPr>
                    <w:t>2.9</w:t>
                  </w:r>
                </w:p>
              </w:tc>
              <w:tc>
                <w:tcPr>
                  <w:tcW w:w="850" w:type="dxa"/>
                  <w:tcBorders>
                    <w:top w:val="single" w:color="000000" w:sz="4" w:space="0"/>
                    <w:left w:val="single" w:color="000000" w:sz="4" w:space="0"/>
                    <w:bottom w:val="single" w:color="000000" w:sz="4" w:space="0"/>
                    <w:right w:val="single" w:color="000000" w:sz="4" w:space="0"/>
                  </w:tcBorders>
                  <w:vAlign w:val="center"/>
                </w:tcPr>
                <w:p w14:paraId="5C3C8973">
                  <w:pPr>
                    <w:widowControl w:val="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bidi="ar"/>
                    </w:rPr>
                    <w:t>3.0</w:t>
                  </w:r>
                </w:p>
              </w:tc>
            </w:tr>
          </w:tbl>
          <w:p w14:paraId="435AA8DA">
            <w:pPr>
              <w:wordWrap w:val="0"/>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snapToGrid w:val="0"/>
                <w:kern w:val="0"/>
              </w:rPr>
              <w:t>（2）评标基准价D＝</w:t>
            </w:r>
            <w:r>
              <w:rPr>
                <w:rFonts w:hint="eastAsia" w:asciiTheme="majorEastAsia" w:hAnsiTheme="majorEastAsia" w:eastAsiaTheme="majorEastAsia" w:cstheme="majorEastAsia"/>
                <w:snapToGrid w:val="0"/>
                <w:kern w:val="0"/>
                <w:lang w:eastAsia="zh-CN"/>
              </w:rPr>
              <w:t>最高投标限价</w:t>
            </w:r>
            <w:r>
              <w:rPr>
                <w:rFonts w:hint="eastAsia" w:asciiTheme="majorEastAsia" w:hAnsiTheme="majorEastAsia" w:eastAsiaTheme="majorEastAsia" w:cstheme="majorEastAsia"/>
                <w:snapToGrid w:val="0"/>
                <w:kern w:val="0"/>
              </w:rPr>
              <w:t>×（1－n）</w:t>
            </w:r>
          </w:p>
        </w:tc>
      </w:tr>
      <w:tr w14:paraId="3AE3BC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59" w:hRule="atLeast"/>
          <w:jc w:val="center"/>
        </w:trPr>
        <w:tc>
          <w:tcPr>
            <w:tcW w:w="1404" w:type="dxa"/>
            <w:gridSpan w:val="2"/>
            <w:tcBorders>
              <w:top w:val="single" w:color="auto" w:sz="4" w:space="0"/>
              <w:left w:val="single" w:color="auto" w:sz="4" w:space="0"/>
              <w:bottom w:val="single" w:color="auto" w:sz="4" w:space="0"/>
              <w:right w:val="single" w:color="auto" w:sz="4" w:space="0"/>
            </w:tcBorders>
            <w:vAlign w:val="center"/>
          </w:tcPr>
          <w:p w14:paraId="62215FBF">
            <w:pPr>
              <w:pStyle w:val="43"/>
              <w:wordWrap w:val="0"/>
              <w:adjustRightInd w:val="0"/>
              <w:snapToGrid w:val="0"/>
              <w:spacing w:line="360" w:lineRule="auto"/>
              <w:jc w:val="center"/>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投标报价</w:t>
            </w:r>
          </w:p>
          <w:p w14:paraId="3562FF73">
            <w:pPr>
              <w:pStyle w:val="43"/>
              <w:wordWrap w:val="0"/>
              <w:adjustRightInd w:val="0"/>
              <w:snapToGrid w:val="0"/>
              <w:spacing w:line="360" w:lineRule="auto"/>
              <w:jc w:val="center"/>
              <w:rPr>
                <w:rFonts w:hint="eastAsia" w:asciiTheme="majorEastAsia" w:hAnsiTheme="majorEastAsia" w:eastAsiaTheme="majorEastAsia" w:cstheme="majorEastAsia"/>
                <w:snapToGrid w:val="0"/>
                <w:kern w:val="0"/>
                <w:sz w:val="24"/>
                <w:szCs w:val="24"/>
                <w:lang w:bidi="ar"/>
              </w:rPr>
            </w:pPr>
            <w:r>
              <w:rPr>
                <w:rFonts w:hint="eastAsia" w:asciiTheme="majorEastAsia" w:hAnsiTheme="majorEastAsia" w:eastAsiaTheme="majorEastAsia" w:cstheme="majorEastAsia"/>
                <w:kern w:val="0"/>
                <w:sz w:val="24"/>
                <w:szCs w:val="24"/>
              </w:rPr>
              <w:t>得分N</w:t>
            </w:r>
          </w:p>
        </w:tc>
        <w:tc>
          <w:tcPr>
            <w:tcW w:w="8080" w:type="dxa"/>
            <w:gridSpan w:val="2"/>
            <w:tcBorders>
              <w:top w:val="single" w:color="auto" w:sz="4" w:space="0"/>
              <w:left w:val="nil"/>
              <w:bottom w:val="single" w:color="auto" w:sz="4" w:space="0"/>
              <w:right w:val="single" w:color="auto" w:sz="4" w:space="0"/>
            </w:tcBorders>
            <w:vAlign w:val="center"/>
          </w:tcPr>
          <w:p w14:paraId="31EEA92F">
            <w:pPr>
              <w:widowControl w:val="0"/>
              <w:wordWrap w:val="0"/>
              <w:adjustRightInd w:val="0"/>
              <w:snapToGrid w:val="0"/>
              <w:ind w:firstLine="480" w:firstLineChars="200"/>
              <w:jc w:val="left"/>
              <w:rPr>
                <w:rFonts w:hint="eastAsia" w:asciiTheme="majorEastAsia" w:hAnsiTheme="majorEastAsia" w:eastAsiaTheme="majorEastAsia" w:cstheme="majorEastAsia"/>
                <w:kern w:val="0"/>
              </w:rPr>
            </w:pPr>
            <w:r>
              <w:rPr>
                <w:rFonts w:hint="eastAsia" w:asciiTheme="majorEastAsia" w:hAnsiTheme="majorEastAsia" w:eastAsiaTheme="majorEastAsia" w:cstheme="majorEastAsia"/>
                <w:kern w:val="0"/>
              </w:rPr>
              <w:t>采用内插法计算某投标人的投标报价得分N，即当投标人的投标总价等于评标基准价时得100分，每高于评标基准价一个百分点扣1分，每低于评标基准价一个百分点扣0.5分，扣完为止。公式如下：</w:t>
            </w:r>
          </w:p>
          <w:p w14:paraId="2BDD31B7">
            <w:pPr>
              <w:widowControl w:val="0"/>
              <w:wordWrap w:val="0"/>
              <w:adjustRightInd w:val="0"/>
              <w:snapToGrid w:val="0"/>
              <w:ind w:firstLine="480" w:firstLineChars="200"/>
              <w:jc w:val="left"/>
              <w:rPr>
                <w:rFonts w:hint="eastAsia" w:asciiTheme="majorEastAsia" w:hAnsiTheme="majorEastAsia" w:eastAsiaTheme="majorEastAsia" w:cstheme="majorEastAsia"/>
                <w:kern w:val="0"/>
              </w:rPr>
            </w:pPr>
            <w:r>
              <w:rPr>
                <w:rFonts w:hint="eastAsia" w:asciiTheme="majorEastAsia" w:hAnsiTheme="majorEastAsia" w:eastAsiaTheme="majorEastAsia" w:cstheme="majorEastAsia"/>
                <w:kern w:val="0"/>
              </w:rPr>
              <w:t>N＝100-(| Di-D| ÷D)×100×E</w:t>
            </w:r>
          </w:p>
          <w:p w14:paraId="5FC8F173">
            <w:pPr>
              <w:wordWrap w:val="0"/>
              <w:adjustRightInd w:val="0"/>
              <w:snapToGrid w:val="0"/>
              <w:jc w:val="left"/>
              <w:rPr>
                <w:rFonts w:hint="eastAsia" w:asciiTheme="majorEastAsia" w:hAnsiTheme="majorEastAsia" w:eastAsiaTheme="majorEastAsia" w:cstheme="majorEastAsia"/>
                <w:snapToGrid w:val="0"/>
                <w:kern w:val="0"/>
              </w:rPr>
            </w:pPr>
            <w:r>
              <w:rPr>
                <w:rFonts w:hint="eastAsia" w:asciiTheme="majorEastAsia" w:hAnsiTheme="majorEastAsia" w:eastAsiaTheme="majorEastAsia" w:cstheme="majorEastAsia"/>
                <w:kern w:val="0"/>
              </w:rPr>
              <w:t>式中：D为评标基准价；Di为某投标人的投标总价；E为扣分因子，当Di＞D时，E＝1 ；当Di＜D时，E＝0.5。</w:t>
            </w:r>
          </w:p>
        </w:tc>
      </w:tr>
    </w:tbl>
    <w:p w14:paraId="03B147D8">
      <w:pPr>
        <w:snapToGrid w:val="0"/>
        <w:rPr>
          <w:rStyle w:val="28"/>
          <w:rFonts w:hint="eastAsia" w:hAnsi="宋体"/>
          <w:b/>
          <w:bCs/>
          <w:kern w:val="0"/>
        </w:rPr>
      </w:pPr>
    </w:p>
    <w:p w14:paraId="4986CFDB">
      <w:pPr>
        <w:snapToGrid w:val="0"/>
        <w:rPr>
          <w:rStyle w:val="28"/>
          <w:rFonts w:hint="eastAsia" w:hAnsi="宋体"/>
          <w:kern w:val="0"/>
        </w:rPr>
      </w:pPr>
      <w:r>
        <w:rPr>
          <w:rStyle w:val="28"/>
          <w:rFonts w:hint="eastAsia" w:hAnsi="宋体"/>
          <w:b/>
          <w:bCs/>
          <w:kern w:val="0"/>
        </w:rPr>
        <w:t xml:space="preserve">15.5.2 </w:t>
      </w:r>
      <w:r>
        <w:rPr>
          <w:rStyle w:val="28"/>
          <w:rFonts w:hint="eastAsia" w:hAnsi="宋体"/>
          <w:kern w:val="0"/>
        </w:rPr>
        <w:t>否决投标说明</w:t>
      </w:r>
    </w:p>
    <w:p w14:paraId="53E0EE35">
      <w:pPr>
        <w:snapToGrid w:val="0"/>
        <w:ind w:firstLine="480" w:firstLineChars="200"/>
        <w:rPr>
          <w:rStyle w:val="28"/>
          <w:rFonts w:hint="eastAsia" w:hAnsi="宋体"/>
          <w:kern w:val="0"/>
        </w:rPr>
      </w:pPr>
      <w:r>
        <w:rPr>
          <w:rStyle w:val="28"/>
          <w:rFonts w:hint="eastAsia" w:hAnsi="宋体"/>
          <w:kern w:val="0"/>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14:paraId="771F4570">
      <w:pPr>
        <w:snapToGrid w:val="0"/>
        <w:ind w:firstLine="482" w:firstLineChars="200"/>
        <w:rPr>
          <w:rStyle w:val="28"/>
          <w:rFonts w:hint="eastAsia" w:hAnsi="宋体"/>
          <w:b/>
          <w:bCs/>
          <w:kern w:val="0"/>
        </w:rPr>
      </w:pPr>
      <w:r>
        <w:rPr>
          <w:rStyle w:val="28"/>
          <w:rFonts w:hint="eastAsia" w:hAnsi="宋体"/>
          <w:b/>
          <w:bCs/>
          <w:kern w:val="0"/>
        </w:rPr>
        <w:t>注：投标人在详细评审阶段根据评分方法提供的佐证材料，其合法性、有效性和准确性不符合要求的，有关量化因素（或评分因素）的折算、调整（或评分）按相应量化标准（或评分标准）处理，但不否决投标。</w:t>
      </w:r>
    </w:p>
    <w:p w14:paraId="05B7BFE5">
      <w:pPr>
        <w:pStyle w:val="36"/>
        <w:jc w:val="both"/>
        <w:rPr>
          <w:rStyle w:val="28"/>
          <w:rFonts w:hint="eastAsia" w:ascii="宋体" w:hAnsi="宋体" w:cs="宋体"/>
        </w:rPr>
      </w:pPr>
    </w:p>
    <w:p w14:paraId="75495E60">
      <w:pPr>
        <w:snapToGrid w:val="0"/>
        <w:ind w:firstLine="482" w:firstLineChars="200"/>
        <w:rPr>
          <w:rStyle w:val="28"/>
          <w:rFonts w:hint="eastAsia" w:hAnsi="宋体"/>
          <w:b/>
          <w:bCs/>
        </w:rPr>
      </w:pPr>
      <w:r>
        <w:rPr>
          <w:rStyle w:val="28"/>
          <w:rFonts w:hint="eastAsia" w:hAnsi="宋体"/>
          <w:b/>
          <w:bCs/>
        </w:rPr>
        <w:t>16.定标候选人公示</w:t>
      </w:r>
    </w:p>
    <w:p w14:paraId="1AB66CD5">
      <w:pPr>
        <w:snapToGrid w:val="0"/>
        <w:ind w:firstLine="482" w:firstLineChars="200"/>
        <w:rPr>
          <w:rStyle w:val="28"/>
          <w:rFonts w:hint="eastAsia" w:hAnsi="宋体"/>
        </w:rPr>
      </w:pPr>
      <w:r>
        <w:rPr>
          <w:rStyle w:val="28"/>
          <w:rFonts w:hint="eastAsia" w:hAnsi="宋体"/>
          <w:b/>
          <w:bCs/>
        </w:rPr>
        <w:t xml:space="preserve">16.1 </w:t>
      </w:r>
      <w:r>
        <w:rPr>
          <w:rStyle w:val="28"/>
          <w:rFonts w:hint="eastAsia" w:hAnsi="宋体"/>
        </w:rPr>
        <w:t>评标委员会按照投标人评审综合总得分由高到低的原则，向招标人推荐已明确的定标候选人数量（不标明排序）。评标委员会推荐定标候选人后，招标人应于评标会结束后3日内将定标候选人和评标情况在广东省招标投标监管网和全国公共资源交易平台（广东省·韶关市）上公示，公示时间不少于3日。公示主要内容包括：（1）定标候选人名称、投标报价、业绩奖项、质量、工期、拟委派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6379E6D7">
      <w:pPr>
        <w:snapToGrid w:val="0"/>
        <w:rPr>
          <w:rStyle w:val="28"/>
          <w:rFonts w:hint="eastAsia" w:hAnsi="宋体"/>
        </w:rPr>
        <w:sectPr>
          <w:endnotePr>
            <w:numFmt w:val="decimal"/>
          </w:endnotePr>
          <w:pgSz w:w="11906" w:h="16838"/>
          <w:pgMar w:top="1168" w:right="1417" w:bottom="1398" w:left="1417" w:header="850" w:footer="992" w:gutter="0"/>
          <w:cols w:space="720" w:num="1"/>
          <w:docGrid w:linePitch="327" w:charSpace="0"/>
        </w:sectPr>
      </w:pPr>
    </w:p>
    <w:p w14:paraId="5699C08A">
      <w:pPr>
        <w:tabs>
          <w:tab w:val="left" w:pos="885"/>
        </w:tabs>
        <w:snapToGrid w:val="0"/>
        <w:jc w:val="left"/>
        <w:outlineLvl w:val="1"/>
        <w:rPr>
          <w:rStyle w:val="28"/>
          <w:rFonts w:hint="eastAsia" w:hAnsi="宋体"/>
          <w:b/>
          <w:bCs/>
        </w:rPr>
      </w:pPr>
      <w:bookmarkStart w:id="70" w:name="_Toc21572"/>
      <w:bookmarkStart w:id="71" w:name="_Toc26670"/>
      <w:bookmarkStart w:id="72" w:name="_Toc19086"/>
      <w:bookmarkStart w:id="73" w:name="_Toc14995"/>
      <w:bookmarkStart w:id="74" w:name="_Toc32101"/>
      <w:bookmarkStart w:id="75" w:name="_Toc19502"/>
      <w:bookmarkStart w:id="76" w:name="_Toc14558"/>
      <w:bookmarkStart w:id="77" w:name="_Toc611"/>
      <w:bookmarkStart w:id="78" w:name="_Toc9616"/>
      <w:bookmarkStart w:id="79" w:name="_Toc19071"/>
      <w:bookmarkStart w:id="80" w:name="_Toc1623"/>
      <w:bookmarkStart w:id="81" w:name="_Toc825"/>
      <w:bookmarkStart w:id="82" w:name="_Toc11724"/>
      <w:r>
        <w:rPr>
          <w:rStyle w:val="28"/>
          <w:rFonts w:hint="eastAsia" w:hAnsi="宋体"/>
          <w:b/>
          <w:bCs/>
        </w:rPr>
        <w:t>第四节 否决投标条件</w:t>
      </w:r>
      <w:bookmarkEnd w:id="70"/>
      <w:bookmarkEnd w:id="71"/>
      <w:bookmarkEnd w:id="72"/>
      <w:bookmarkEnd w:id="73"/>
      <w:bookmarkEnd w:id="74"/>
      <w:bookmarkEnd w:id="75"/>
      <w:bookmarkEnd w:id="76"/>
      <w:bookmarkEnd w:id="77"/>
      <w:bookmarkEnd w:id="78"/>
      <w:bookmarkEnd w:id="79"/>
      <w:bookmarkEnd w:id="80"/>
      <w:bookmarkEnd w:id="81"/>
      <w:bookmarkEnd w:id="82"/>
    </w:p>
    <w:p w14:paraId="637C4054">
      <w:pPr>
        <w:snapToGrid w:val="0"/>
        <w:rPr>
          <w:rStyle w:val="28"/>
          <w:rFonts w:hint="eastAsia" w:hAnsi="宋体"/>
          <w:kern w:val="0"/>
        </w:rPr>
      </w:pPr>
      <w:r>
        <w:rPr>
          <w:rStyle w:val="28"/>
          <w:rFonts w:hint="eastAsia" w:hAnsi="宋体"/>
          <w:kern w:val="0"/>
        </w:rPr>
        <w:t>　　本节所集中列示的否决投标条件，是本章第三节“投标人须知正文”的组成部分，是对本章第三节所规定的否决投标条件的总结和补充。</w:t>
      </w:r>
      <w:r>
        <w:rPr>
          <w:rStyle w:val="28"/>
          <w:rFonts w:hint="eastAsia" w:hAnsi="宋体"/>
          <w:b/>
          <w:bCs/>
          <w:kern w:val="0"/>
        </w:rPr>
        <w:t>投标人未有列入本节情形的，评标时一律不得否决其投标。</w:t>
      </w:r>
      <w:r>
        <w:rPr>
          <w:rStyle w:val="28"/>
          <w:rFonts w:hint="eastAsia" w:hAnsi="宋体"/>
          <w:kern w:val="0"/>
        </w:rPr>
        <w:t>本节所称“规定”均指招标文件的规定。</w:t>
      </w:r>
    </w:p>
    <w:p w14:paraId="30BCBA52">
      <w:pPr>
        <w:snapToGrid w:val="0"/>
        <w:ind w:firstLine="480"/>
        <w:rPr>
          <w:rStyle w:val="28"/>
          <w:rFonts w:hint="eastAsia" w:hAnsi="宋体"/>
          <w:kern w:val="0"/>
        </w:rPr>
      </w:pPr>
      <w:r>
        <w:rPr>
          <w:rStyle w:val="28"/>
          <w:rFonts w:hint="eastAsia" w:hAnsi="宋体"/>
          <w:b/>
          <w:bCs/>
          <w:kern w:val="0"/>
        </w:rPr>
        <w:t>1.资格评审环节</w:t>
      </w:r>
    </w:p>
    <w:p w14:paraId="5344B387">
      <w:pPr>
        <w:snapToGrid w:val="0"/>
        <w:ind w:firstLine="480"/>
        <w:rPr>
          <w:rStyle w:val="28"/>
          <w:rFonts w:hint="eastAsia" w:hAnsi="宋体"/>
          <w:kern w:val="0"/>
        </w:rPr>
      </w:pPr>
      <w:r>
        <w:rPr>
          <w:rStyle w:val="28"/>
          <w:rFonts w:hint="eastAsia" w:hAnsi="宋体"/>
          <w:kern w:val="0"/>
        </w:rPr>
        <w:t>投标人有下列情形之一的，评标委员会应否决其投标。被否决的投标人，不进入形式评审环节。</w:t>
      </w:r>
    </w:p>
    <w:p w14:paraId="0DA836C9">
      <w:pPr>
        <w:snapToGrid w:val="0"/>
        <w:ind w:firstLine="480"/>
        <w:rPr>
          <w:rStyle w:val="28"/>
          <w:rFonts w:hint="eastAsia" w:hAnsi="宋体"/>
          <w:kern w:val="0"/>
        </w:rPr>
      </w:pPr>
      <w:r>
        <w:rPr>
          <w:rStyle w:val="28"/>
          <w:rFonts w:hint="eastAsia" w:hAnsi="宋体"/>
          <w:kern w:val="0"/>
        </w:rPr>
        <w:t>（1）有本章第三节第</w:t>
      </w:r>
      <w:r>
        <w:rPr>
          <w:rStyle w:val="28"/>
          <w:rFonts w:hint="eastAsia" w:hAnsi="宋体"/>
          <w:b/>
          <w:bCs/>
          <w:kern w:val="0"/>
        </w:rPr>
        <w:t>2.4</w:t>
      </w:r>
      <w:r>
        <w:rPr>
          <w:rStyle w:val="28"/>
          <w:rFonts w:hint="eastAsia" w:hAnsi="宋体"/>
          <w:kern w:val="0"/>
        </w:rPr>
        <w:t>条“禁止投标条款”规定的任何一种情形；</w:t>
      </w:r>
    </w:p>
    <w:p w14:paraId="094A7059">
      <w:pPr>
        <w:snapToGrid w:val="0"/>
        <w:ind w:firstLine="480"/>
        <w:rPr>
          <w:rStyle w:val="28"/>
          <w:rFonts w:hint="eastAsia" w:hAnsi="宋体"/>
          <w:kern w:val="0"/>
        </w:rPr>
      </w:pPr>
      <w:r>
        <w:rPr>
          <w:rStyle w:val="28"/>
          <w:rFonts w:hint="eastAsia" w:hAnsi="宋体"/>
          <w:kern w:val="0"/>
        </w:rPr>
        <w:t>（2）投标人资质不符合规定的；</w:t>
      </w:r>
    </w:p>
    <w:p w14:paraId="07C4CA12">
      <w:pPr>
        <w:snapToGrid w:val="0"/>
        <w:ind w:firstLine="480"/>
        <w:rPr>
          <w:rStyle w:val="28"/>
          <w:rFonts w:hint="eastAsia" w:hAnsi="宋体"/>
          <w:kern w:val="0"/>
        </w:rPr>
      </w:pPr>
      <w:r>
        <w:rPr>
          <w:rStyle w:val="28"/>
          <w:rFonts w:hint="eastAsia" w:hAnsi="宋体"/>
          <w:kern w:val="0"/>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2388CFCF">
      <w:pPr>
        <w:snapToGrid w:val="0"/>
        <w:ind w:firstLine="480"/>
        <w:rPr>
          <w:rStyle w:val="28"/>
          <w:rFonts w:hint="eastAsia" w:hAnsi="宋体"/>
          <w:b/>
          <w:bCs/>
          <w:kern w:val="0"/>
        </w:rPr>
      </w:pPr>
      <w:r>
        <w:rPr>
          <w:rStyle w:val="28"/>
          <w:rFonts w:hint="eastAsia" w:hAnsi="宋体"/>
          <w:b/>
          <w:bCs/>
          <w:kern w:val="0"/>
        </w:rPr>
        <w:t>注：投标人已经商事变更，但其企业资质证书、安全生产许可证的企业名称未完成变更的，不得否决其投标；投标人营业执照、资质证书、安全生产许可证之间登记的信息不一致，应当允许投标人澄清，不得直接否决其投标。</w:t>
      </w:r>
    </w:p>
    <w:p w14:paraId="529905AD">
      <w:pPr>
        <w:snapToGrid w:val="0"/>
        <w:ind w:firstLine="480" w:firstLineChars="200"/>
        <w:rPr>
          <w:rStyle w:val="28"/>
          <w:rFonts w:hint="eastAsia" w:hAnsi="宋体"/>
          <w:kern w:val="0"/>
        </w:rPr>
      </w:pPr>
      <w:r>
        <w:rPr>
          <w:rStyle w:val="28"/>
          <w:rFonts w:hint="eastAsia" w:hAnsi="宋体"/>
          <w:kern w:val="0"/>
        </w:rPr>
        <w:t>（4）拟派项目经理、项目技术负责人、专职安全员的条件不符合规定的；拟派专职安全员数量不符合规定的；</w:t>
      </w:r>
    </w:p>
    <w:p w14:paraId="537B90A4">
      <w:pPr>
        <w:snapToGrid w:val="0"/>
        <w:ind w:firstLine="480"/>
        <w:rPr>
          <w:rStyle w:val="28"/>
          <w:rFonts w:hint="eastAsia" w:hAnsi="宋体"/>
          <w:kern w:val="0"/>
        </w:rPr>
      </w:pPr>
      <w:r>
        <w:rPr>
          <w:rStyle w:val="28"/>
          <w:rFonts w:hint="eastAsia" w:hAnsi="宋体"/>
          <w:kern w:val="0"/>
        </w:rPr>
        <w:t>（5）一级建造师的电子注册证书不是国家住建部颁发的；二级建造师的电子注册证书不是住建厅颁发的；建造师的注册单位与投标人不一致的；项目管理班子组成人员的各类证书、证件、证明不在有效期内的（建造师注册证书不在使用有效期内的）；擅自修改、遗漏《项目经理任职声明》实质性内容的；</w:t>
      </w:r>
    </w:p>
    <w:p w14:paraId="4668D8C4">
      <w:pPr>
        <w:snapToGrid w:val="0"/>
        <w:ind w:firstLine="480"/>
        <w:rPr>
          <w:rStyle w:val="28"/>
          <w:rFonts w:hint="eastAsia" w:hAnsi="宋体"/>
          <w:b/>
          <w:bCs/>
          <w:kern w:val="0"/>
        </w:rPr>
      </w:pPr>
      <w:r>
        <w:rPr>
          <w:rStyle w:val="28"/>
          <w:rFonts w:hint="eastAsia" w:hAnsi="宋体"/>
          <w:b/>
          <w:bCs/>
          <w:kern w:val="0"/>
        </w:rPr>
        <w:t>注：投标人已经商事变更，但其员工执业资格注册证书的注册单位名称未完成变更的，不得否决其投标。</w:t>
      </w:r>
    </w:p>
    <w:p w14:paraId="3F50B457">
      <w:pPr>
        <w:snapToGrid w:val="0"/>
        <w:ind w:firstLine="480"/>
        <w:rPr>
          <w:rStyle w:val="28"/>
          <w:rFonts w:hint="eastAsia" w:hAnsi="宋体"/>
          <w:kern w:val="0"/>
        </w:rPr>
      </w:pPr>
      <w:r>
        <w:rPr>
          <w:rStyle w:val="28"/>
          <w:rFonts w:hint="eastAsia" w:hAnsi="宋体"/>
          <w:kern w:val="0"/>
        </w:rPr>
        <w:t>（6）招标文件规定不接受联合体投标，但以联合体投标的；</w:t>
      </w:r>
    </w:p>
    <w:p w14:paraId="16233EFB">
      <w:pPr>
        <w:snapToGrid w:val="0"/>
        <w:ind w:firstLine="480"/>
        <w:rPr>
          <w:rStyle w:val="28"/>
          <w:rFonts w:hint="eastAsia" w:hAnsi="宋体"/>
          <w:kern w:val="0"/>
        </w:rPr>
      </w:pPr>
      <w:r>
        <w:rPr>
          <w:rStyle w:val="28"/>
          <w:rFonts w:hint="eastAsia" w:hAnsi="宋体"/>
          <w:kern w:val="0"/>
        </w:rPr>
        <w:t>（7）联合体投标，未提交《联合体协议书》的；擅自修改、遗漏《联合体协议书》实质性内容的；联合体成员的数量、资质不符合规定的；联合体成员同时以自己名义单独投标或者参加其他联合体投标的；（本次招标不适用）</w:t>
      </w:r>
    </w:p>
    <w:p w14:paraId="6133E0B3">
      <w:pPr>
        <w:snapToGrid w:val="0"/>
        <w:ind w:firstLine="480"/>
        <w:rPr>
          <w:rStyle w:val="28"/>
          <w:rFonts w:hint="eastAsia" w:hAnsi="宋体"/>
          <w:kern w:val="0"/>
        </w:rPr>
      </w:pPr>
      <w:r>
        <w:rPr>
          <w:rStyle w:val="28"/>
          <w:rFonts w:hint="eastAsia" w:hAnsi="宋体"/>
          <w:kern w:val="0"/>
        </w:rPr>
        <w:t>（8）投标人为外省建筑企业，但未提供“进粤企业和人员诚信信息登记平台”企业</w:t>
      </w:r>
      <w:r>
        <w:rPr>
          <w:rFonts w:hint="eastAsia" w:hAnsi="宋体"/>
          <w:snapToGrid w:val="0"/>
          <w:kern w:val="0"/>
        </w:rPr>
        <w:t>和拟派人员</w:t>
      </w:r>
      <w:r>
        <w:rPr>
          <w:rStyle w:val="28"/>
          <w:rFonts w:hint="eastAsia" w:hAnsi="宋体"/>
          <w:kern w:val="0"/>
        </w:rPr>
        <w:t>信息情况打印页</w:t>
      </w:r>
      <w:r>
        <w:rPr>
          <w:rFonts w:hint="eastAsia" w:hAnsi="宋体"/>
          <w:snapToGrid w:val="0"/>
          <w:kern w:val="0"/>
        </w:rPr>
        <w:t>或网页截图</w:t>
      </w:r>
      <w:r>
        <w:rPr>
          <w:rStyle w:val="28"/>
          <w:rFonts w:hint="eastAsia" w:hAnsi="宋体"/>
          <w:kern w:val="0"/>
        </w:rPr>
        <w:t>的。</w:t>
      </w:r>
    </w:p>
    <w:p w14:paraId="1E4011BD">
      <w:pPr>
        <w:snapToGrid w:val="0"/>
        <w:ind w:firstLine="480"/>
        <w:rPr>
          <w:rStyle w:val="28"/>
          <w:rFonts w:hint="eastAsia" w:hAnsi="宋体"/>
          <w:kern w:val="0"/>
        </w:rPr>
      </w:pPr>
      <w:r>
        <w:rPr>
          <w:rStyle w:val="28"/>
          <w:rFonts w:hint="eastAsia" w:hAnsi="宋体"/>
          <w:b/>
          <w:bCs/>
          <w:kern w:val="0"/>
        </w:rPr>
        <w:t>2.形式评审环节</w:t>
      </w:r>
    </w:p>
    <w:p w14:paraId="1AF549EB">
      <w:pPr>
        <w:snapToGrid w:val="0"/>
        <w:ind w:firstLine="480"/>
        <w:rPr>
          <w:rStyle w:val="28"/>
          <w:rFonts w:hint="eastAsia" w:hAnsi="宋体"/>
          <w:kern w:val="0"/>
        </w:rPr>
      </w:pPr>
      <w:r>
        <w:rPr>
          <w:rStyle w:val="28"/>
          <w:rFonts w:hint="eastAsia" w:hAnsi="宋体"/>
          <w:kern w:val="0"/>
        </w:rPr>
        <w:t>投标人有下列情形之一的，评标委员会应否决其投标。被否决的投标人，不进入响应性评审环节。</w:t>
      </w:r>
    </w:p>
    <w:p w14:paraId="4F217012">
      <w:pPr>
        <w:wordWrap w:val="0"/>
        <w:adjustRightInd w:val="0"/>
        <w:snapToGrid w:val="0"/>
        <w:ind w:firstLine="480" w:firstLineChars="200"/>
        <w:rPr>
          <w:rFonts w:hint="eastAsia" w:hAnsi="宋体"/>
        </w:rPr>
      </w:pPr>
      <w:r>
        <w:rPr>
          <w:rFonts w:hint="eastAsia" w:hAnsi="宋体"/>
        </w:rPr>
        <w:t>（1）各分册未按招标文件规定加盖电子印章；</w:t>
      </w:r>
    </w:p>
    <w:p w14:paraId="50D5491D">
      <w:pPr>
        <w:wordWrap w:val="0"/>
        <w:adjustRightInd w:val="0"/>
        <w:snapToGrid w:val="0"/>
        <w:ind w:firstLine="480" w:firstLineChars="200"/>
        <w:rPr>
          <w:rFonts w:hint="eastAsia" w:hAnsi="宋体"/>
        </w:rPr>
      </w:pPr>
      <w:r>
        <w:rPr>
          <w:rFonts w:hint="eastAsia" w:hAnsi="宋体"/>
        </w:rPr>
        <w:t>（2）本章第三节第</w:t>
      </w:r>
      <w:r>
        <w:rPr>
          <w:rFonts w:hint="eastAsia" w:hAnsi="宋体"/>
          <w:b/>
          <w:bCs/>
        </w:rPr>
        <w:t>10.2.2</w:t>
      </w:r>
      <w:r>
        <w:rPr>
          <w:rFonts w:hint="eastAsia" w:hAnsi="宋体"/>
        </w:rPr>
        <w:t>目、第</w:t>
      </w:r>
      <w:r>
        <w:rPr>
          <w:rFonts w:hint="eastAsia" w:hAnsi="宋体"/>
          <w:b/>
          <w:bCs/>
        </w:rPr>
        <w:t>10.3.2</w:t>
      </w:r>
      <w:r>
        <w:rPr>
          <w:rFonts w:hint="eastAsia" w:hAnsi="宋体"/>
        </w:rPr>
        <w:t>目、第</w:t>
      </w:r>
      <w:r>
        <w:rPr>
          <w:rFonts w:hint="eastAsia" w:hAnsi="宋体"/>
          <w:b/>
          <w:bCs/>
        </w:rPr>
        <w:t>10.4.3</w:t>
      </w:r>
      <w:r>
        <w:rPr>
          <w:rFonts w:hint="eastAsia" w:hAnsi="宋体"/>
        </w:rPr>
        <w:t>目中规定的“所有投标人均应提供”的组成内容（包括该组成内容的所附资料）中，任何一项有缺漏的；</w:t>
      </w:r>
    </w:p>
    <w:p w14:paraId="2162D0ED">
      <w:pPr>
        <w:ind w:firstLine="422" w:firstLineChars="176"/>
        <w:rPr>
          <w:rFonts w:hint="eastAsia" w:hAnsi="宋体"/>
        </w:rPr>
      </w:pPr>
      <w:r>
        <w:rPr>
          <w:rFonts w:hint="eastAsia" w:hAnsi="宋体"/>
          <w:snapToGrid w:val="0"/>
          <w:kern w:val="0"/>
        </w:rPr>
        <w:t>（3）</w:t>
      </w:r>
      <w:r>
        <w:rPr>
          <w:rFonts w:hint="eastAsia" w:hAnsi="宋体"/>
        </w:rPr>
        <w:t>关键字迹模糊、无法辨认，且该种过错将导致评标委员会无法判断投标文件是否响应招标文件实质性要求的；有涂改、行间插字或删除，但未加盖单位公章或由投标人的法定代表人或其委托代理人签字确认的；</w:t>
      </w:r>
    </w:p>
    <w:p w14:paraId="66F5E372">
      <w:pPr>
        <w:ind w:firstLine="422" w:firstLineChars="176"/>
        <w:rPr>
          <w:rFonts w:hint="eastAsia" w:hAnsi="宋体"/>
        </w:rPr>
      </w:pPr>
      <w:r>
        <w:rPr>
          <w:rFonts w:hint="eastAsia" w:hAnsi="宋体"/>
        </w:rPr>
        <w:t>（4）投标文件未按规定签字、盖章的。</w:t>
      </w:r>
    </w:p>
    <w:p w14:paraId="022373F8">
      <w:pPr>
        <w:snapToGrid w:val="0"/>
        <w:ind w:firstLine="480"/>
        <w:rPr>
          <w:rStyle w:val="28"/>
          <w:rFonts w:hint="eastAsia" w:hAnsi="宋体"/>
          <w:b/>
          <w:bCs/>
          <w:kern w:val="0"/>
        </w:rPr>
      </w:pPr>
      <w:r>
        <w:rPr>
          <w:rStyle w:val="28"/>
          <w:rFonts w:hint="eastAsia" w:hAnsi="宋体"/>
          <w:b/>
          <w:bCs/>
          <w:kern w:val="0"/>
        </w:rPr>
        <w:t>3.响应性评审环节</w:t>
      </w:r>
    </w:p>
    <w:p w14:paraId="2524A59F">
      <w:pPr>
        <w:snapToGrid w:val="0"/>
        <w:ind w:firstLine="480"/>
        <w:rPr>
          <w:rStyle w:val="28"/>
          <w:rFonts w:hint="eastAsia" w:hAnsi="宋体"/>
          <w:kern w:val="0"/>
        </w:rPr>
      </w:pPr>
      <w:r>
        <w:rPr>
          <w:rStyle w:val="28"/>
          <w:rFonts w:hint="eastAsia" w:hAnsi="宋体"/>
          <w:kern w:val="0"/>
        </w:rPr>
        <w:t>投标人有下列情形之一的，评标委员会应否决其投标。被否决的投标人，不进入详细评审阶段。</w:t>
      </w:r>
    </w:p>
    <w:p w14:paraId="09F284E8">
      <w:pPr>
        <w:snapToGrid w:val="0"/>
        <w:ind w:firstLine="480"/>
        <w:rPr>
          <w:rStyle w:val="28"/>
          <w:rFonts w:hint="eastAsia" w:hAnsi="宋体"/>
          <w:kern w:val="0"/>
        </w:rPr>
      </w:pPr>
      <w:r>
        <w:rPr>
          <w:rStyle w:val="28"/>
          <w:rFonts w:hint="eastAsia" w:hAnsi="宋体"/>
          <w:kern w:val="0"/>
        </w:rPr>
        <w:t>（1）承诺的投标有效期短于规定的；质量标准低于规定的；工期超出规定的；擅自修改、遗漏《投标函》《各项承诺一览表》等实质性内容的；</w:t>
      </w:r>
    </w:p>
    <w:p w14:paraId="37E16EFB">
      <w:pPr>
        <w:snapToGrid w:val="0"/>
        <w:ind w:firstLine="480"/>
        <w:rPr>
          <w:rStyle w:val="28"/>
          <w:rFonts w:hint="eastAsia" w:hAnsi="宋体"/>
          <w:kern w:val="0"/>
        </w:rPr>
      </w:pPr>
      <w:r>
        <w:rPr>
          <w:rStyle w:val="28"/>
          <w:rFonts w:hint="eastAsia" w:hAnsi="宋体"/>
          <w:kern w:val="0"/>
        </w:rPr>
        <w:t>（2）编制《投标总价》的造价工程师，其注册证书不是</w:t>
      </w:r>
      <w:r>
        <w:rPr>
          <w:rFonts w:hint="eastAsia" w:hAnsi="宋体"/>
          <w:b/>
          <w:bCs/>
          <w:snapToGrid w:val="0"/>
          <w:kern w:val="0"/>
          <w:szCs w:val="18"/>
        </w:rPr>
        <w:t>住建部门</w:t>
      </w:r>
      <w:r>
        <w:rPr>
          <w:rStyle w:val="28"/>
          <w:rFonts w:hint="eastAsia" w:hAnsi="宋体"/>
          <w:kern w:val="0"/>
        </w:rPr>
        <w:t>颁发的；其注册单位与投标人（或造价咨询人）不一致的；其注册证书不在有效期内的；</w:t>
      </w:r>
    </w:p>
    <w:p w14:paraId="5E6B5D96">
      <w:pPr>
        <w:snapToGrid w:val="0"/>
        <w:ind w:firstLine="480"/>
        <w:rPr>
          <w:rStyle w:val="28"/>
          <w:rFonts w:hint="eastAsia" w:hAnsi="宋体"/>
          <w:b/>
          <w:bCs/>
          <w:kern w:val="0"/>
        </w:rPr>
      </w:pPr>
      <w:r>
        <w:rPr>
          <w:rStyle w:val="28"/>
          <w:rFonts w:hint="eastAsia" w:hAnsi="宋体"/>
          <w:b/>
          <w:bCs/>
          <w:kern w:val="0"/>
        </w:rPr>
        <w:t>注：投标人（或造价咨询人）已经商事变更，但其员工的执业资格注册证书的注册单位名称未完成变更的，不得否决其投标。</w:t>
      </w:r>
    </w:p>
    <w:p w14:paraId="57F22B7E">
      <w:pPr>
        <w:snapToGrid w:val="0"/>
        <w:ind w:firstLine="480"/>
        <w:rPr>
          <w:rStyle w:val="28"/>
          <w:rFonts w:hint="eastAsia" w:hAnsi="宋体"/>
          <w:kern w:val="0"/>
        </w:rPr>
      </w:pPr>
      <w:r>
        <w:rPr>
          <w:rStyle w:val="28"/>
          <w:rFonts w:hint="eastAsia" w:hAnsi="宋体"/>
          <w:b/>
          <w:bCs/>
          <w:kern w:val="0"/>
        </w:rPr>
        <w:t>鉴于目前继续教育开展的实际情况，建筑和市政工程施工现场专业人员（例如：施工员、质量员、材料员、资料员）的岗位证书或培训证书不审查其证书的有效期。</w:t>
      </w:r>
    </w:p>
    <w:p w14:paraId="007B5F1D">
      <w:pPr>
        <w:snapToGrid w:val="0"/>
        <w:ind w:firstLine="480"/>
        <w:rPr>
          <w:rStyle w:val="28"/>
          <w:rFonts w:hint="eastAsia" w:hAnsi="宋体"/>
          <w:kern w:val="0"/>
        </w:rPr>
      </w:pPr>
      <w:r>
        <w:rPr>
          <w:rStyle w:val="28"/>
          <w:rFonts w:hint="eastAsia" w:hAnsi="宋体"/>
          <w:kern w:val="0"/>
        </w:rPr>
        <w:t>（3）投标人委托造价咨询单位编制《投标总价》，但未在《投标总价》</w:t>
      </w:r>
      <w:r>
        <w:rPr>
          <w:rStyle w:val="28"/>
          <w:rFonts w:hint="eastAsia" w:hAnsi="宋体"/>
        </w:rPr>
        <w:t>封面（即表B.3.1）</w:t>
      </w:r>
      <w:r>
        <w:rPr>
          <w:rStyle w:val="28"/>
          <w:rFonts w:hint="eastAsia" w:hAnsi="宋体"/>
          <w:kern w:val="0"/>
        </w:rPr>
        <w:t>加盖造价咨询人公章的；</w:t>
      </w:r>
      <w:r>
        <w:rPr>
          <w:rStyle w:val="28"/>
          <w:rFonts w:hint="eastAsia" w:hAnsi="宋体"/>
        </w:rPr>
        <w:t>未提供造价咨询人的营业执照彩色扫描件的</w:t>
      </w:r>
      <w:r>
        <w:rPr>
          <w:rStyle w:val="28"/>
          <w:rFonts w:hint="eastAsia" w:hAnsi="宋体"/>
          <w:kern w:val="0"/>
        </w:rPr>
        <w:t>；</w:t>
      </w:r>
    </w:p>
    <w:p w14:paraId="17FC82F3">
      <w:pPr>
        <w:snapToGrid w:val="0"/>
        <w:ind w:firstLine="480"/>
        <w:rPr>
          <w:rStyle w:val="28"/>
          <w:rFonts w:hint="eastAsia" w:hAnsi="宋体"/>
          <w:kern w:val="0"/>
        </w:rPr>
      </w:pPr>
      <w:r>
        <w:rPr>
          <w:rStyle w:val="28"/>
          <w:rFonts w:hint="eastAsia" w:hAnsi="宋体"/>
          <w:kern w:val="0"/>
        </w:rPr>
        <w:t>（4）出现两个或两个以上投标总价的（同一个投标总价大、小写不一致的除外）；投标总价超出</w:t>
      </w:r>
      <w:r>
        <w:rPr>
          <w:rStyle w:val="28"/>
          <w:rFonts w:hint="eastAsia" w:hAnsi="宋体"/>
          <w:kern w:val="0"/>
          <w:lang w:eastAsia="zh-CN"/>
        </w:rPr>
        <w:t>最高投标限价</w:t>
      </w:r>
      <w:r>
        <w:rPr>
          <w:rStyle w:val="28"/>
          <w:rFonts w:hint="eastAsia" w:hAnsi="宋体"/>
          <w:kern w:val="0"/>
        </w:rPr>
        <w:t>的；安全生产措施费少于规定的；暂列金额、专业工程暂估价未按照招标工程量清单统一报价的；投标总价下浮率超过15%，又未提供相应书面说明和佐证材料或提供的书面说明和佐证材料不能令人信服，被评标委员会认定以低于成本报价竞标的；擅自修改、增减招标工程量清单项目（包括措施项目）的；</w:t>
      </w:r>
    </w:p>
    <w:p w14:paraId="4D386C95">
      <w:pPr>
        <w:snapToGrid w:val="0"/>
        <w:ind w:firstLine="480"/>
        <w:rPr>
          <w:rStyle w:val="28"/>
          <w:rFonts w:hint="eastAsia" w:hAnsi="宋体"/>
          <w:kern w:val="0"/>
        </w:rPr>
      </w:pPr>
      <w:r>
        <w:rPr>
          <w:rStyle w:val="28"/>
          <w:rFonts w:hint="eastAsia" w:hAnsi="宋体"/>
          <w:kern w:val="0"/>
        </w:rPr>
        <w:t>（5）在施工组织设计评审中，评标委员会认定质量、进度保障措施与国家和省市现行有关规范、规定、标准有重大偏差，</w:t>
      </w:r>
      <w:r>
        <w:rPr>
          <w:rStyle w:val="28"/>
          <w:rFonts w:hint="eastAsia" w:hAnsi="宋体"/>
          <w:b/>
          <w:bCs/>
          <w:kern w:val="0"/>
        </w:rPr>
        <w:t>且该种过错将导致工程质量、进度管理目标无法实现的</w:t>
      </w:r>
      <w:r>
        <w:rPr>
          <w:rStyle w:val="28"/>
          <w:rFonts w:hint="eastAsia" w:hAnsi="宋体"/>
          <w:kern w:val="0"/>
        </w:rPr>
        <w:t>。</w:t>
      </w:r>
    </w:p>
    <w:p w14:paraId="08AA8056">
      <w:pPr>
        <w:snapToGrid w:val="0"/>
        <w:ind w:firstLine="480"/>
        <w:rPr>
          <w:rStyle w:val="28"/>
          <w:rFonts w:hint="eastAsia" w:hAnsi="宋体"/>
          <w:b/>
          <w:bCs/>
          <w:kern w:val="0"/>
        </w:rPr>
      </w:pPr>
      <w:r>
        <w:rPr>
          <w:rStyle w:val="28"/>
          <w:rFonts w:hint="eastAsia" w:hAnsi="宋体"/>
          <w:b/>
          <w:bCs/>
          <w:kern w:val="0"/>
        </w:rPr>
        <w:t>4.其他</w:t>
      </w:r>
    </w:p>
    <w:p w14:paraId="100A2A21">
      <w:pPr>
        <w:snapToGrid w:val="0"/>
        <w:ind w:firstLine="480"/>
        <w:rPr>
          <w:rStyle w:val="28"/>
          <w:rFonts w:hint="eastAsia" w:hAnsi="宋体"/>
          <w:kern w:val="0"/>
        </w:rPr>
      </w:pPr>
      <w:r>
        <w:rPr>
          <w:rStyle w:val="28"/>
          <w:rFonts w:hint="eastAsia" w:hAnsi="宋体"/>
          <w:kern w:val="0"/>
        </w:rPr>
        <w:t>在任何评标环节（或阶段），投标人有下列情形之一的，评标委员会应否决其投标。被否决的投标人，不进入下一环节（或阶段）。</w:t>
      </w:r>
    </w:p>
    <w:p w14:paraId="70FEE104">
      <w:pPr>
        <w:snapToGrid w:val="0"/>
        <w:ind w:firstLine="480"/>
        <w:rPr>
          <w:rStyle w:val="28"/>
          <w:rFonts w:hint="eastAsia" w:hAnsi="宋体"/>
          <w:kern w:val="0"/>
        </w:rPr>
      </w:pPr>
      <w:r>
        <w:rPr>
          <w:rStyle w:val="28"/>
          <w:rFonts w:hint="eastAsia" w:hAnsi="宋体"/>
          <w:kern w:val="0"/>
        </w:rPr>
        <w:t>（1）不按评标委员会要求澄清、说明或补正的；</w:t>
      </w:r>
    </w:p>
    <w:p w14:paraId="7D0B5D05">
      <w:pPr>
        <w:snapToGrid w:val="0"/>
        <w:ind w:firstLine="480"/>
        <w:rPr>
          <w:rStyle w:val="28"/>
          <w:rFonts w:hint="eastAsia" w:hAnsi="宋体"/>
          <w:kern w:val="0"/>
        </w:rPr>
      </w:pPr>
      <w:r>
        <w:rPr>
          <w:rStyle w:val="28"/>
          <w:rFonts w:hint="eastAsia" w:hAnsi="宋体"/>
          <w:kern w:val="0"/>
        </w:rPr>
        <w:t>（2）有下列情形之一，被评标委员会认定属于串通投标的：</w:t>
      </w:r>
    </w:p>
    <w:p w14:paraId="37FC91B6">
      <w:pPr>
        <w:snapToGrid w:val="0"/>
        <w:rPr>
          <w:rStyle w:val="28"/>
          <w:rFonts w:hint="eastAsia" w:hAnsi="宋体"/>
          <w:kern w:val="0"/>
        </w:rPr>
      </w:pPr>
      <w:r>
        <w:rPr>
          <w:rStyle w:val="28"/>
          <w:rFonts w:hint="eastAsia" w:hAnsi="宋体"/>
          <w:kern w:val="0"/>
        </w:rPr>
        <w:t xml:space="preserve">    ①不同投标人的投标文件两处以上（含两处）错、漏一致；</w:t>
      </w:r>
    </w:p>
    <w:p w14:paraId="6F6EC78F">
      <w:pPr>
        <w:snapToGrid w:val="0"/>
        <w:rPr>
          <w:rStyle w:val="28"/>
          <w:rFonts w:hint="eastAsia" w:hAnsi="宋体"/>
          <w:kern w:val="0"/>
        </w:rPr>
      </w:pPr>
      <w:r>
        <w:rPr>
          <w:rStyle w:val="28"/>
          <w:rFonts w:hint="eastAsia" w:hAnsi="宋体"/>
          <w:kern w:val="0"/>
        </w:rPr>
        <w:t xml:space="preserve">    ②不同投标人的投标总价相近且各分项报价、综合单价分析表内容混乱不能相互对应、乱调乱压或乱抬的，而在询标时没有合理的解释或者不能提供计算依据和报价依据；</w:t>
      </w:r>
    </w:p>
    <w:p w14:paraId="07EAADFE">
      <w:pPr>
        <w:snapToGrid w:val="0"/>
        <w:ind w:firstLine="480"/>
        <w:rPr>
          <w:rStyle w:val="28"/>
          <w:rFonts w:hint="eastAsia" w:hAnsi="宋体"/>
          <w:kern w:val="0"/>
        </w:rPr>
      </w:pPr>
      <w:r>
        <w:rPr>
          <w:rStyle w:val="28"/>
          <w:rFonts w:hint="eastAsia" w:hAnsi="宋体"/>
          <w:kern w:val="0"/>
        </w:rPr>
        <w:t>③不同投标人的投标各项报价存在异常一致或者呈规律性变化；</w:t>
      </w:r>
    </w:p>
    <w:p w14:paraId="51219242">
      <w:pPr>
        <w:snapToGrid w:val="0"/>
        <w:ind w:firstLine="480"/>
        <w:rPr>
          <w:rStyle w:val="28"/>
          <w:rFonts w:hint="eastAsia" w:hAnsi="宋体"/>
          <w:kern w:val="0"/>
        </w:rPr>
      </w:pPr>
      <w:r>
        <w:rPr>
          <w:rStyle w:val="28"/>
          <w:rFonts w:hint="eastAsia" w:hAnsi="宋体"/>
          <w:kern w:val="0"/>
        </w:rPr>
        <w:t>④不同投标人的投标文件由同一单位或者同一个人编制；</w:t>
      </w:r>
    </w:p>
    <w:p w14:paraId="0FF4D588">
      <w:pPr>
        <w:snapToGrid w:val="0"/>
        <w:ind w:firstLine="480"/>
        <w:rPr>
          <w:rStyle w:val="28"/>
          <w:rFonts w:hint="eastAsia" w:hAnsi="宋体"/>
          <w:kern w:val="0"/>
        </w:rPr>
      </w:pPr>
      <w:r>
        <w:rPr>
          <w:rStyle w:val="28"/>
          <w:rFonts w:hint="eastAsia" w:hAnsi="宋体"/>
          <w:kern w:val="0"/>
        </w:rPr>
        <w:t>⑤不同投标人的投标文件中投标资料（包括电子资料）相互混装或项目班子成员出现同一人；</w:t>
      </w:r>
    </w:p>
    <w:p w14:paraId="3EB076EE">
      <w:pPr>
        <w:snapToGrid w:val="0"/>
        <w:ind w:firstLine="480"/>
        <w:rPr>
          <w:rStyle w:val="28"/>
          <w:rFonts w:hint="eastAsia" w:hAnsi="宋体"/>
          <w:kern w:val="0"/>
        </w:rPr>
      </w:pPr>
      <w:r>
        <w:rPr>
          <w:rStyle w:val="28"/>
          <w:rFonts w:hint="eastAsia" w:hAnsi="宋体"/>
          <w:kern w:val="0"/>
        </w:rPr>
        <w:t>⑥不同投标人的投标文件由同一电脑编制</w:t>
      </w:r>
      <w:r>
        <w:rPr>
          <w:rFonts w:hint="eastAsia" w:hAnsi="宋体"/>
          <w:snapToGrid w:val="0"/>
          <w:kern w:val="0"/>
        </w:rPr>
        <w:t>或同一台附属设备打印</w:t>
      </w:r>
      <w:r>
        <w:rPr>
          <w:rStyle w:val="28"/>
          <w:rFonts w:hint="eastAsia" w:hAnsi="宋体"/>
          <w:kern w:val="0"/>
        </w:rPr>
        <w:t>，或投标报价用同一个预算编制软件密码锁制作或出自同一电子文档；</w:t>
      </w:r>
    </w:p>
    <w:p w14:paraId="12CF6EF7">
      <w:pPr>
        <w:snapToGrid w:val="0"/>
        <w:ind w:firstLine="480"/>
        <w:rPr>
          <w:rStyle w:val="28"/>
          <w:rFonts w:hint="eastAsia" w:hAnsi="宋体"/>
          <w:kern w:val="0"/>
        </w:rPr>
      </w:pPr>
      <w:r>
        <w:rPr>
          <w:rStyle w:val="28"/>
          <w:rFonts w:hint="eastAsia" w:hAnsi="宋体"/>
          <w:kern w:val="0"/>
        </w:rPr>
        <w:t>⑦不同投标人的投标保证由同一企业或同一账户资金缴纳；</w:t>
      </w:r>
    </w:p>
    <w:p w14:paraId="3AE0BFCA">
      <w:pPr>
        <w:snapToGrid w:val="0"/>
        <w:ind w:firstLine="480"/>
        <w:rPr>
          <w:rStyle w:val="28"/>
          <w:rFonts w:hint="eastAsia" w:hAnsi="宋体"/>
          <w:kern w:val="0"/>
        </w:rPr>
      </w:pPr>
      <w:r>
        <w:rPr>
          <w:rStyle w:val="28"/>
          <w:rFonts w:hint="eastAsia" w:hAnsi="宋体"/>
          <w:kern w:val="0"/>
        </w:rPr>
        <w:t>⑧不同投标人委托同一个人或注册在同一家企业的注册人员或同一家企业为其投标提供投标咨询、商务报价、技术咨询（招标工程本身要求采用专有技术的除外）等服务。</w:t>
      </w:r>
      <w:bookmarkStart w:id="83" w:name="_Toc31483"/>
    </w:p>
    <w:p w14:paraId="5B2A7BDA">
      <w:pPr>
        <w:pStyle w:val="2"/>
        <w:spacing w:line="360" w:lineRule="auto"/>
        <w:rPr>
          <w:rStyle w:val="28"/>
          <w:rFonts w:hint="eastAsia" w:ascii="宋体" w:hAnsi="宋体"/>
          <w:kern w:val="0"/>
        </w:rPr>
      </w:pPr>
    </w:p>
    <w:p w14:paraId="07DE4160">
      <w:pPr>
        <w:rPr>
          <w:rFonts w:hint="eastAsia" w:hAnsi="宋体"/>
        </w:rPr>
      </w:pPr>
    </w:p>
    <w:p w14:paraId="747EB7EB">
      <w:pPr>
        <w:rPr>
          <w:rStyle w:val="28"/>
          <w:rFonts w:hint="eastAsia" w:hAnsi="宋体"/>
          <w:b/>
          <w:bCs/>
        </w:rPr>
      </w:pPr>
      <w:r>
        <w:rPr>
          <w:rStyle w:val="28"/>
          <w:rFonts w:hint="eastAsia" w:hAnsi="宋体"/>
          <w:b/>
          <w:bCs/>
        </w:rPr>
        <w:br w:type="page"/>
      </w:r>
    </w:p>
    <w:p w14:paraId="3C62AD7B">
      <w:pPr>
        <w:tabs>
          <w:tab w:val="left" w:pos="885"/>
        </w:tabs>
        <w:snapToGrid w:val="0"/>
        <w:jc w:val="center"/>
        <w:outlineLvl w:val="1"/>
        <w:rPr>
          <w:rStyle w:val="28"/>
          <w:rFonts w:hint="eastAsia" w:hAnsi="宋体"/>
          <w:b/>
          <w:bCs/>
          <w:kern w:val="0"/>
        </w:rPr>
      </w:pPr>
      <w:bookmarkStart w:id="84" w:name="_Toc3979"/>
      <w:bookmarkStart w:id="85" w:name="_Toc17303"/>
      <w:bookmarkStart w:id="86" w:name="_Toc31748"/>
      <w:bookmarkStart w:id="87" w:name="_Toc30867"/>
      <w:r>
        <w:rPr>
          <w:rStyle w:val="28"/>
          <w:rFonts w:hint="eastAsia" w:hAnsi="宋体"/>
          <w:b/>
          <w:bCs/>
        </w:rPr>
        <w:t>第五节 定标规定及细则</w:t>
      </w:r>
      <w:bookmarkEnd w:id="83"/>
      <w:bookmarkEnd w:id="84"/>
      <w:bookmarkEnd w:id="85"/>
      <w:bookmarkEnd w:id="86"/>
      <w:bookmarkEnd w:id="87"/>
    </w:p>
    <w:p w14:paraId="30A60BF2">
      <w:pPr>
        <w:numPr>
          <w:ilvl w:val="0"/>
          <w:numId w:val="1"/>
        </w:numPr>
        <w:ind w:firstLine="482" w:firstLineChars="200"/>
        <w:rPr>
          <w:rStyle w:val="28"/>
          <w:rFonts w:hint="eastAsia" w:hAnsi="宋体"/>
          <w:b/>
          <w:bCs/>
          <w:kern w:val="0"/>
        </w:rPr>
      </w:pPr>
      <w:r>
        <w:rPr>
          <w:rStyle w:val="28"/>
          <w:rFonts w:hint="eastAsia" w:hAnsi="宋体"/>
          <w:b/>
          <w:bCs/>
          <w:kern w:val="0"/>
        </w:rPr>
        <w:t>召开定标会议</w:t>
      </w:r>
    </w:p>
    <w:p w14:paraId="6D250898">
      <w:pPr>
        <w:ind w:firstLine="480" w:firstLineChars="200"/>
        <w:rPr>
          <w:rStyle w:val="28"/>
          <w:rFonts w:hint="eastAsia" w:hAnsi="宋体"/>
          <w:kern w:val="0"/>
        </w:rPr>
      </w:pPr>
      <w:r>
        <w:rPr>
          <w:rStyle w:val="28"/>
          <w:rFonts w:hint="eastAsia" w:hAnsi="宋体"/>
          <w:kern w:val="0"/>
        </w:rPr>
        <w:t>定标会议应当在定标候选人公示结束后5个工作日内召开，无法按时开展定标的，应当通过广东省招标投标监管网和全国公共资源交易平台（广东省·韶关市）公告延期原因及最终定标时间。若招标人需要对定标候选人或其拟派项目负责人进行考察，定标时间可适当延迟，延迟时间一般不超过3个工作日，定标会议场所应当与评标会议地点保持一致。定标委员会应当依据定标方案开展定标工作：有效定标候选人不少于3家的，确定带排序的前3名中标候选人；有效定标候选人仅为2家且满足法定要求的，确定带排序的前2名中标候选人。定标委员会应当向招标人提交书面定标报告，招标人应当对定标过程进行记录，存档备查。</w:t>
      </w:r>
    </w:p>
    <w:p w14:paraId="40C7AC93">
      <w:pPr>
        <w:numPr>
          <w:ilvl w:val="0"/>
          <w:numId w:val="1"/>
        </w:numPr>
        <w:ind w:firstLine="510" w:firstLineChars="200"/>
        <w:rPr>
          <w:rStyle w:val="28"/>
          <w:rFonts w:hint="eastAsia" w:hAnsi="宋体"/>
          <w:b/>
          <w:bCs/>
          <w:kern w:val="0"/>
        </w:rPr>
      </w:pPr>
      <w:r>
        <w:rPr>
          <w:rStyle w:val="28"/>
          <w:rFonts w:hint="eastAsia" w:hAnsi="宋体"/>
          <w:b/>
          <w:bCs/>
          <w:spacing w:val="7"/>
          <w:kern w:val="0"/>
        </w:rPr>
        <w:t>组建定标委员会</w:t>
      </w:r>
    </w:p>
    <w:p w14:paraId="473458E5">
      <w:pPr>
        <w:ind w:firstLine="482" w:firstLineChars="200"/>
        <w:rPr>
          <w:rStyle w:val="28"/>
          <w:rFonts w:hint="eastAsia" w:hAnsi="宋体"/>
          <w:kern w:val="0"/>
        </w:rPr>
      </w:pPr>
      <w:r>
        <w:rPr>
          <w:rStyle w:val="28"/>
          <w:rFonts w:hint="eastAsia" w:hAnsi="宋体"/>
          <w:b/>
          <w:bCs/>
          <w:kern w:val="0"/>
        </w:rPr>
        <w:t xml:space="preserve">2.1 </w:t>
      </w:r>
      <w:r>
        <w:rPr>
          <w:rStyle w:val="28"/>
          <w:rFonts w:hint="eastAsia" w:hAnsi="宋体"/>
          <w:kern w:val="0"/>
        </w:rPr>
        <w:t>在定标候选人名单确定前，要完成定标委员会的组建工作，并完成定标方案的编制。定标委员会由项目业主单位或招标人负责组建和管理，由招标人的法定代表人或者主要负责人担任定标委员会组长。定标委员会的组成方式和人员由招标人按相关规定自行确定。</w:t>
      </w:r>
      <w:r>
        <w:rPr>
          <w:rStyle w:val="28"/>
          <w:rFonts w:hint="eastAsia" w:hAnsi="宋体"/>
          <w:spacing w:val="9"/>
          <w:kern w:val="0"/>
        </w:rPr>
        <w:t>招标项目对技术、商务等有特别要求的可从广东省综合评标评审专家库（韶关区域）抽取专家(外部人员）参与</w:t>
      </w:r>
      <w:r>
        <w:rPr>
          <w:rStyle w:val="28"/>
          <w:rFonts w:hint="eastAsia" w:hAnsi="宋体"/>
          <w:kern w:val="0"/>
        </w:rPr>
        <w:t>，成员数量为7人及以上单数，成员数量应在招标文件中明确。专家人数原则上不超过2人。定标委员会成员数量在本投标人须知前附表中约定。</w:t>
      </w:r>
    </w:p>
    <w:p w14:paraId="3E432CB2">
      <w:pPr>
        <w:ind w:firstLine="482" w:firstLineChars="200"/>
        <w:rPr>
          <w:rFonts w:hint="eastAsia" w:hAnsi="宋体"/>
        </w:rPr>
      </w:pPr>
      <w:r>
        <w:rPr>
          <w:rFonts w:hint="eastAsia" w:hAnsi="宋体"/>
          <w:b/>
          <w:bCs/>
        </w:rPr>
        <w:t xml:space="preserve">2.2 </w:t>
      </w:r>
      <w:r>
        <w:rPr>
          <w:rFonts w:hint="eastAsia" w:hAnsi="宋体"/>
        </w:rPr>
        <w:t>定标委员会应当根据招标文件规定的定标方法和细则，对定标候选人进行系统的评审和比较。招标文件中没有规定的定标方法和细则不得作为定标的依据。定标委员会成员应依照招标文件规定的定标方法和细则，完成对定标候选人的评审，并对定标结果签字确认。定标委员会应依照招标文件规定的定标方法和细则，对各定标委员会成员的定标结果进行汇总。</w:t>
      </w:r>
    </w:p>
    <w:p w14:paraId="32168AE5">
      <w:pPr>
        <w:ind w:firstLine="482" w:firstLineChars="200"/>
        <w:rPr>
          <w:rFonts w:hint="eastAsia" w:hAnsi="宋体"/>
        </w:rPr>
      </w:pPr>
      <w:r>
        <w:rPr>
          <w:rStyle w:val="28"/>
          <w:rFonts w:hint="eastAsia" w:hAnsi="宋体"/>
          <w:b/>
          <w:bCs/>
          <w:kern w:val="0"/>
        </w:rPr>
        <w:t xml:space="preserve">2.3 </w:t>
      </w:r>
      <w:r>
        <w:rPr>
          <w:rStyle w:val="28"/>
          <w:rFonts w:hint="eastAsia" w:hAnsi="宋体"/>
          <w:kern w:val="0"/>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25DB520D">
      <w:pPr>
        <w:ind w:firstLine="482" w:firstLineChars="200"/>
        <w:rPr>
          <w:rStyle w:val="28"/>
          <w:rFonts w:hint="eastAsia" w:hAnsi="宋体"/>
          <w:b/>
          <w:bCs/>
          <w:kern w:val="0"/>
        </w:rPr>
      </w:pPr>
      <w:r>
        <w:rPr>
          <w:rStyle w:val="28"/>
          <w:rFonts w:hint="eastAsia" w:hAnsi="宋体"/>
          <w:b/>
          <w:bCs/>
          <w:kern w:val="0"/>
        </w:rPr>
        <w:t>3. 组建招标监督小组</w:t>
      </w:r>
    </w:p>
    <w:p w14:paraId="69E794E9">
      <w:pPr>
        <w:ind w:firstLine="480" w:firstLineChars="200"/>
        <w:rPr>
          <w:rStyle w:val="28"/>
          <w:rFonts w:hint="eastAsia" w:hAnsi="宋体"/>
          <w:kern w:val="0"/>
        </w:rPr>
      </w:pPr>
      <w:r>
        <w:rPr>
          <w:rStyle w:val="28"/>
          <w:rFonts w:hint="eastAsia" w:hAnsi="宋体"/>
          <w:kern w:val="0"/>
        </w:rPr>
        <w:t>招标人应组建招标监督小组，招标监督小组原则上由不少于3人组成，人员可由招标人直接委派，也可以从招标人的上级主管单位、项目业主单位、使用单位等补充委派，并确定一名组长负责统筹监督工作。同一人不得同时担任定标委员会成员和招标监督小组成员中的两个角色。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单位主要负责人、行政监督部门。</w:t>
      </w:r>
    </w:p>
    <w:p w14:paraId="7448A6D4">
      <w:pPr>
        <w:ind w:firstLine="482" w:firstLineChars="200"/>
        <w:jc w:val="left"/>
        <w:rPr>
          <w:rStyle w:val="28"/>
          <w:rFonts w:hint="eastAsia" w:hAnsi="宋体"/>
          <w:b/>
          <w:bCs/>
          <w:kern w:val="0"/>
        </w:rPr>
      </w:pPr>
      <w:r>
        <w:rPr>
          <w:rStyle w:val="28"/>
          <w:rFonts w:hint="eastAsia" w:hAnsi="宋体"/>
          <w:b/>
          <w:bCs/>
          <w:kern w:val="0"/>
        </w:rPr>
        <w:t>4. 定标方法</w:t>
      </w:r>
    </w:p>
    <w:p w14:paraId="2234FA58">
      <w:pPr>
        <w:ind w:firstLine="480" w:firstLineChars="200"/>
        <w:rPr>
          <w:rStyle w:val="28"/>
          <w:rFonts w:hint="eastAsia" w:hAnsi="宋体"/>
          <w:kern w:val="0"/>
        </w:rPr>
      </w:pPr>
      <w:r>
        <w:rPr>
          <w:rStyle w:val="28"/>
          <w:rFonts w:hint="eastAsia" w:hAnsi="宋体"/>
          <w:kern w:val="0"/>
        </w:rPr>
        <w:t>定标办法由招标人按本章第一节投标人须知前附表的规定确定。</w:t>
      </w:r>
    </w:p>
    <w:p w14:paraId="6574C806">
      <w:pPr>
        <w:widowControl w:val="0"/>
        <w:ind w:firstLine="482" w:firstLineChars="200"/>
        <w:textAlignment w:val="auto"/>
        <w:rPr>
          <w:rFonts w:hint="eastAsia" w:hAnsi="宋体"/>
        </w:rPr>
      </w:pPr>
      <w:bookmarkStart w:id="88" w:name="OLE_LINK3"/>
      <w:r>
        <w:rPr>
          <w:rFonts w:hint="eastAsia" w:hAnsi="宋体"/>
          <w:b/>
          <w:bCs/>
        </w:rPr>
        <w:t>本项目</w:t>
      </w:r>
      <w:bookmarkEnd w:id="88"/>
      <w:r>
        <w:rPr>
          <w:rStyle w:val="28"/>
          <w:rFonts w:hint="eastAsia" w:hAnsi="宋体"/>
          <w:b/>
          <w:bCs/>
          <w:kern w:val="0"/>
        </w:rPr>
        <w:t>定标办法</w:t>
      </w:r>
      <w:r>
        <w:rPr>
          <w:rFonts w:hint="eastAsia" w:hAnsi="宋体"/>
          <w:b/>
          <w:bCs/>
        </w:rPr>
        <w:t>采用票决数量法定标。</w:t>
      </w:r>
    </w:p>
    <w:p w14:paraId="4C2A8803">
      <w:pPr>
        <w:numPr>
          <w:ilvl w:val="0"/>
          <w:numId w:val="2"/>
        </w:numPr>
        <w:ind w:firstLine="482" w:firstLineChars="200"/>
        <w:rPr>
          <w:rStyle w:val="28"/>
          <w:rFonts w:hint="eastAsia" w:hAnsi="宋体"/>
          <w:b/>
          <w:bCs/>
          <w:kern w:val="0"/>
        </w:rPr>
      </w:pPr>
      <w:r>
        <w:rPr>
          <w:rStyle w:val="28"/>
          <w:rFonts w:hint="eastAsia" w:hAnsi="宋体"/>
          <w:b/>
          <w:bCs/>
          <w:kern w:val="0"/>
        </w:rPr>
        <w:t>定标细则</w:t>
      </w:r>
    </w:p>
    <w:p w14:paraId="16B0C245">
      <w:pPr>
        <w:widowControl w:val="0"/>
        <w:ind w:firstLine="482" w:firstLineChars="200"/>
        <w:textAlignment w:val="auto"/>
        <w:rPr>
          <w:rFonts w:hint="eastAsia" w:hAnsi="宋体"/>
          <w:b/>
          <w:bCs/>
        </w:rPr>
      </w:pPr>
      <w:r>
        <w:rPr>
          <w:rFonts w:hint="eastAsia" w:hAnsi="宋体"/>
          <w:b/>
          <w:bCs/>
        </w:rPr>
        <w:t>5.1 票决数量法程序</w:t>
      </w:r>
    </w:p>
    <w:p w14:paraId="1619891E">
      <w:pPr>
        <w:widowControl w:val="0"/>
        <w:ind w:firstLine="480" w:firstLineChars="200"/>
        <w:textAlignment w:val="auto"/>
        <w:rPr>
          <w:rFonts w:hint="eastAsia" w:hAnsi="宋体"/>
        </w:rPr>
      </w:pPr>
      <w:r>
        <w:rPr>
          <w:rFonts w:hint="eastAsia" w:hAnsi="宋体"/>
          <w:shd w:val="clear" w:color="auto" w:fill="FFFFFF"/>
        </w:rPr>
        <w:t>定标委员会根据定标因素对定标候选人进行评审比较后，每名定标委员会成员</w:t>
      </w:r>
      <w:r>
        <w:rPr>
          <w:rFonts w:hint="eastAsia" w:hAnsi="宋体"/>
        </w:rPr>
        <w:t>有且仅有投出1票的权利，1票只能投1名定标候选人，</w:t>
      </w:r>
      <w:r>
        <w:rPr>
          <w:rFonts w:hint="eastAsia" w:hAnsi="宋体"/>
          <w:shd w:val="clear" w:color="auto" w:fill="FFFFFF"/>
        </w:rPr>
        <w:t>进行票决排名确定排序的中标候选人。即各定标委员会成员对定标候选人进行投票，按得票高低推荐排序的前三名中标候选人。</w:t>
      </w:r>
      <w:r>
        <w:rPr>
          <w:rFonts w:hint="eastAsia" w:hAnsi="宋体"/>
        </w:rPr>
        <w:t>若第一轮投票中前三名中标候选人有</w:t>
      </w:r>
      <w:r>
        <w:rPr>
          <w:rFonts w:hint="eastAsia" w:hAnsi="宋体"/>
          <w:shd w:val="clear" w:color="auto" w:fill="FFFFFF"/>
        </w:rPr>
        <w:t>得票相同且影响中标候选人排序确定的，由定标委员会对总票数相同的单位进行再次票决确定排序，</w:t>
      </w:r>
      <w:r>
        <w:rPr>
          <w:rFonts w:hint="eastAsia" w:hAnsi="宋体"/>
        </w:rPr>
        <w:t>直至决出排序的前三名中标候选人。</w:t>
      </w:r>
      <w:r>
        <w:rPr>
          <w:rFonts w:hint="eastAsia" w:hAnsi="宋体"/>
          <w:shd w:val="clear" w:color="auto" w:fill="FFFFFF"/>
        </w:rPr>
        <w:t>票决采用记名方式并注明投票理由。</w:t>
      </w:r>
    </w:p>
    <w:p w14:paraId="6CADF247">
      <w:pPr>
        <w:widowControl w:val="0"/>
        <w:ind w:firstLine="482" w:firstLineChars="200"/>
        <w:textAlignment w:val="auto"/>
        <w:rPr>
          <w:rFonts w:hint="eastAsia" w:hAnsi="宋体"/>
          <w:b/>
          <w:bCs/>
          <w:shd w:val="clear" w:color="auto" w:fill="FFFFFF"/>
        </w:rPr>
      </w:pPr>
      <w:r>
        <w:rPr>
          <w:rFonts w:hint="eastAsia" w:hAnsi="宋体"/>
          <w:b/>
          <w:bCs/>
        </w:rPr>
        <w:t xml:space="preserve">5.1.1 </w:t>
      </w:r>
      <w:r>
        <w:rPr>
          <w:rFonts w:hint="eastAsia" w:hAnsi="宋体"/>
          <w:b/>
          <w:bCs/>
          <w:shd w:val="clear" w:color="auto" w:fill="FFFFFF"/>
        </w:rPr>
        <w:t>项目情况介绍</w:t>
      </w:r>
    </w:p>
    <w:p w14:paraId="68347857">
      <w:pPr>
        <w:widowControl w:val="0"/>
        <w:ind w:firstLine="480" w:firstLineChars="200"/>
        <w:textAlignment w:val="auto"/>
        <w:rPr>
          <w:rFonts w:hint="eastAsia" w:hAnsi="宋体"/>
        </w:rPr>
      </w:pPr>
      <w:r>
        <w:rPr>
          <w:rFonts w:hint="eastAsia" w:hAnsi="宋体"/>
        </w:rPr>
        <w:t>招标人代表介绍项目的概况及招标要求，以及定标方法与定标工作规则，不得发表具有倾向性的言论。</w:t>
      </w:r>
    </w:p>
    <w:p w14:paraId="3FF986D5">
      <w:pPr>
        <w:widowControl w:val="0"/>
        <w:ind w:firstLine="482" w:firstLineChars="200"/>
        <w:textAlignment w:val="auto"/>
        <w:rPr>
          <w:rFonts w:hint="eastAsia" w:hAnsi="宋体"/>
          <w:b/>
          <w:bCs/>
        </w:rPr>
      </w:pPr>
      <w:r>
        <w:rPr>
          <w:rFonts w:hint="eastAsia" w:hAnsi="宋体"/>
          <w:b/>
          <w:bCs/>
        </w:rPr>
        <w:t xml:space="preserve">5.1.2 </w:t>
      </w:r>
      <w:r>
        <w:rPr>
          <w:rFonts w:hint="eastAsia" w:hAnsi="宋体"/>
          <w:b/>
          <w:bCs/>
          <w:shd w:val="clear" w:color="auto" w:fill="FFFFFF"/>
        </w:rPr>
        <w:t>审阅定标资料</w:t>
      </w:r>
    </w:p>
    <w:p w14:paraId="62B6826D">
      <w:pPr>
        <w:widowControl w:val="0"/>
        <w:ind w:firstLine="480" w:firstLineChars="200"/>
        <w:textAlignment w:val="auto"/>
        <w:rPr>
          <w:rFonts w:hint="eastAsia" w:hAnsi="宋体"/>
        </w:rPr>
      </w:pPr>
      <w:r>
        <w:rPr>
          <w:rFonts w:hint="eastAsia" w:hAnsi="宋体"/>
        </w:rPr>
        <w:t>定标委员会成员对评标报告及各定标候选人的投标文件进行审阅，审阅内容主要是定标工作规则所规定的定标因素，聚焦于项目需求与候选人能力的匹配度</w:t>
      </w:r>
      <w:r>
        <w:rPr>
          <w:rFonts w:hint="eastAsia" w:hAnsi="宋体"/>
          <w:shd w:val="clear" w:color="auto" w:fill="FFFFFF"/>
        </w:rPr>
        <w:t>。</w:t>
      </w:r>
    </w:p>
    <w:p w14:paraId="0EB682C4">
      <w:pPr>
        <w:pStyle w:val="17"/>
        <w:spacing w:before="0" w:beforeAutospacing="0" w:after="0" w:afterAutospacing="0" w:line="360" w:lineRule="auto"/>
        <w:ind w:firstLine="482" w:firstLineChars="200"/>
        <w:jc w:val="both"/>
        <w:textAlignment w:val="auto"/>
        <w:rPr>
          <w:rFonts w:hint="eastAsia"/>
          <w:b/>
          <w:bCs/>
          <w:shd w:val="clear" w:color="auto" w:fill="FFFFFF"/>
        </w:rPr>
      </w:pPr>
      <w:r>
        <w:rPr>
          <w:rFonts w:hint="eastAsia"/>
          <w:b/>
          <w:bCs/>
        </w:rPr>
        <w:t xml:space="preserve">5.1.3 </w:t>
      </w:r>
      <w:r>
        <w:rPr>
          <w:rFonts w:hint="eastAsia"/>
          <w:b/>
          <w:bCs/>
          <w:shd w:val="clear" w:color="auto" w:fill="FFFFFF"/>
        </w:rPr>
        <w:t>疑问澄清</w:t>
      </w:r>
    </w:p>
    <w:p w14:paraId="0AC353A7">
      <w:pPr>
        <w:widowControl w:val="0"/>
        <w:ind w:firstLine="480" w:firstLineChars="200"/>
        <w:textAlignment w:val="auto"/>
        <w:rPr>
          <w:rFonts w:hint="eastAsia" w:hAnsi="宋体"/>
        </w:rPr>
      </w:pPr>
      <w:r>
        <w:rPr>
          <w:rFonts w:hint="eastAsia" w:hAnsi="宋体"/>
          <w:shd w:val="clear" w:color="auto" w:fill="FFFFFF"/>
        </w:rPr>
        <w:t>定标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026CD4DC">
      <w:pPr>
        <w:widowControl w:val="0"/>
        <w:ind w:firstLine="482" w:firstLineChars="200"/>
        <w:textAlignment w:val="auto"/>
        <w:rPr>
          <w:rFonts w:hint="eastAsia" w:hAnsi="宋体"/>
          <w:b/>
          <w:bCs/>
          <w:kern w:val="0"/>
          <w:shd w:val="clear" w:color="auto" w:fill="FFFFFF"/>
        </w:rPr>
      </w:pPr>
      <w:r>
        <w:rPr>
          <w:rFonts w:hint="eastAsia" w:hAnsi="宋体"/>
          <w:b/>
          <w:bCs/>
          <w:kern w:val="0"/>
          <w:shd w:val="clear" w:color="auto" w:fill="FFFFFF"/>
        </w:rPr>
        <w:t>5.1.4 投票，收票，点票和汇总</w:t>
      </w:r>
    </w:p>
    <w:p w14:paraId="242EAF53">
      <w:pPr>
        <w:widowControl w:val="0"/>
        <w:ind w:firstLine="480" w:firstLineChars="200"/>
        <w:textAlignment w:val="auto"/>
        <w:rPr>
          <w:rFonts w:hint="eastAsia" w:hAnsi="宋体"/>
        </w:rPr>
      </w:pPr>
      <w:r>
        <w:rPr>
          <w:rFonts w:hint="eastAsia" w:hAnsi="宋体"/>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2E08CDDC">
      <w:pPr>
        <w:widowControl w:val="0"/>
        <w:ind w:firstLine="482" w:firstLineChars="200"/>
        <w:textAlignment w:val="auto"/>
        <w:rPr>
          <w:rFonts w:hint="eastAsia" w:hAnsi="宋体"/>
          <w:bCs/>
        </w:rPr>
      </w:pPr>
      <w:r>
        <w:rPr>
          <w:rFonts w:hint="eastAsia" w:hAnsi="宋体"/>
          <w:b/>
          <w:bCs/>
          <w:kern w:val="0"/>
          <w:shd w:val="clear" w:color="auto" w:fill="FFFFFF"/>
        </w:rPr>
        <w:t>5.1.5 公布结果和出具定标报告</w:t>
      </w:r>
    </w:p>
    <w:p w14:paraId="22CE3F13">
      <w:pPr>
        <w:widowControl w:val="0"/>
        <w:spacing w:line="336" w:lineRule="auto"/>
        <w:ind w:firstLine="480" w:firstLineChars="200"/>
        <w:textAlignment w:val="auto"/>
        <w:rPr>
          <w:rFonts w:hint="eastAsia" w:hAnsi="宋体"/>
        </w:rPr>
      </w:pPr>
      <w:r>
        <w:rPr>
          <w:rFonts w:hint="eastAsia" w:hAnsi="宋体"/>
          <w:bCs/>
        </w:rPr>
        <w:t>点票工作完成后，定标委员会组长汇总定标结果，编制定标报告，确定中标候选人，全体成员签名。</w:t>
      </w:r>
    </w:p>
    <w:p w14:paraId="5D5680AF">
      <w:pPr>
        <w:pStyle w:val="17"/>
        <w:spacing w:before="0" w:beforeAutospacing="0" w:after="0" w:afterAutospacing="0" w:line="336" w:lineRule="auto"/>
        <w:ind w:left="480" w:leftChars="200"/>
        <w:jc w:val="both"/>
        <w:textAlignment w:val="auto"/>
        <w:rPr>
          <w:rFonts w:hint="eastAsia"/>
          <w:b/>
          <w:bCs/>
          <w:shd w:val="clear" w:color="auto" w:fill="FFFFFF"/>
        </w:rPr>
      </w:pPr>
      <w:r>
        <w:rPr>
          <w:rFonts w:hint="eastAsia"/>
          <w:b/>
          <w:bCs/>
        </w:rPr>
        <w:t xml:space="preserve">5.1.6 </w:t>
      </w:r>
      <w:r>
        <w:rPr>
          <w:rFonts w:hint="eastAsia"/>
          <w:b/>
          <w:bCs/>
          <w:shd w:val="clear" w:color="auto" w:fill="FFFFFF"/>
        </w:rPr>
        <w:t>全程监督</w:t>
      </w:r>
    </w:p>
    <w:p w14:paraId="5A93B009">
      <w:pPr>
        <w:widowControl w:val="0"/>
        <w:spacing w:line="336" w:lineRule="auto"/>
        <w:ind w:firstLine="480" w:firstLineChars="200"/>
        <w:textAlignment w:val="auto"/>
        <w:rPr>
          <w:rFonts w:hint="eastAsia" w:hAnsi="宋体"/>
          <w:bCs/>
        </w:rPr>
      </w:pPr>
      <w:r>
        <w:rPr>
          <w:rFonts w:hint="eastAsia" w:hAnsi="宋体"/>
          <w:bCs/>
        </w:rPr>
        <w:t>招标监督小组对集体议定的全过程进行监督，确保程序合规、讨论充分、记录完整，结论形成过程公正、透明。</w:t>
      </w:r>
    </w:p>
    <w:p w14:paraId="6ED529C6">
      <w:pPr>
        <w:widowControl w:val="0"/>
        <w:spacing w:line="336" w:lineRule="auto"/>
        <w:ind w:firstLine="482" w:firstLineChars="200"/>
        <w:textAlignment w:val="auto"/>
        <w:rPr>
          <w:rFonts w:hint="eastAsia" w:hAnsi="宋体"/>
          <w:b/>
          <w:bCs/>
        </w:rPr>
      </w:pPr>
      <w:r>
        <w:rPr>
          <w:rFonts w:hint="eastAsia" w:hAnsi="宋体"/>
          <w:b/>
          <w:bCs/>
        </w:rPr>
        <w:t>5.2 定标因素</w:t>
      </w:r>
    </w:p>
    <w:p w14:paraId="02B08F56">
      <w:pPr>
        <w:widowControl w:val="0"/>
        <w:spacing w:line="336" w:lineRule="auto"/>
        <w:ind w:firstLine="480" w:firstLineChars="200"/>
        <w:textAlignment w:val="auto"/>
        <w:rPr>
          <w:rFonts w:hint="eastAsia" w:hAnsi="宋体"/>
          <w:i/>
          <w:iCs/>
        </w:rPr>
      </w:pPr>
      <w:r>
        <w:rPr>
          <w:rFonts w:hint="eastAsia" w:hAnsi="宋体"/>
        </w:rPr>
        <w:t>在同等条件下，择优的定标因素和相对标准有以下几个方面：</w:t>
      </w:r>
    </w:p>
    <w:p w14:paraId="4A779A34">
      <w:pPr>
        <w:widowControl w:val="0"/>
        <w:spacing w:line="336" w:lineRule="auto"/>
        <w:ind w:firstLine="480" w:firstLineChars="200"/>
        <w:textAlignment w:val="auto"/>
        <w:rPr>
          <w:rFonts w:hint="eastAsia" w:hAnsi="宋体"/>
        </w:rPr>
      </w:pPr>
      <w:r>
        <w:rPr>
          <w:rFonts w:hint="eastAsia" w:hAnsi="宋体"/>
        </w:rPr>
        <w:t>（1）企业社会贡献（助力“百千万工程”、社会公益项目）</w:t>
      </w:r>
    </w:p>
    <w:p w14:paraId="69638D10">
      <w:pPr>
        <w:widowControl w:val="0"/>
        <w:spacing w:line="336" w:lineRule="auto"/>
        <w:ind w:firstLine="480" w:firstLineChars="200"/>
        <w:textAlignment w:val="auto"/>
        <w:rPr>
          <w:rFonts w:hint="eastAsia" w:hAnsi="宋体"/>
        </w:rPr>
      </w:pPr>
      <w:r>
        <w:rPr>
          <w:rFonts w:hint="eastAsia" w:hAnsi="宋体"/>
        </w:rPr>
        <w:t>相对标准：承诺助力“百千万工程”的定标候选人优于未承诺的定标候选人（以《助力项目承诺书》为准）；参与过社会公益项目的定标候选人优于未参与过的定标候选人（提供相关佐证）。</w:t>
      </w:r>
    </w:p>
    <w:p w14:paraId="2B279D4B">
      <w:pPr>
        <w:widowControl w:val="0"/>
        <w:spacing w:line="336" w:lineRule="auto"/>
        <w:ind w:firstLine="480" w:firstLineChars="200"/>
        <w:textAlignment w:val="auto"/>
        <w:rPr>
          <w:rFonts w:hint="eastAsia" w:hAnsi="宋体"/>
        </w:rPr>
      </w:pPr>
      <w:r>
        <w:rPr>
          <w:rFonts w:hint="eastAsia" w:hAnsi="宋体"/>
        </w:rPr>
        <w:t>（2）拟派团队管理能力与水平（履约能力）</w:t>
      </w:r>
    </w:p>
    <w:p w14:paraId="29CA111A">
      <w:pPr>
        <w:widowControl w:val="0"/>
        <w:spacing w:line="336" w:lineRule="auto"/>
        <w:ind w:firstLine="480" w:firstLineChars="200"/>
        <w:textAlignment w:val="auto"/>
        <w:rPr>
          <w:rFonts w:hint="eastAsia" w:hAnsi="宋体"/>
        </w:rPr>
      </w:pPr>
      <w:r>
        <w:rPr>
          <w:rFonts w:hint="eastAsia" w:hAnsi="宋体"/>
        </w:rPr>
        <w:t>相对标准：拟派团队管理能力与水平（履约能力）强的定标候选人优于拟派团队管理能力与水平（履约能力）一般的定标候选人。</w:t>
      </w:r>
    </w:p>
    <w:p w14:paraId="47FED787">
      <w:pPr>
        <w:widowControl w:val="0"/>
        <w:spacing w:line="336" w:lineRule="auto"/>
        <w:ind w:firstLine="480" w:firstLineChars="200"/>
        <w:textAlignment w:val="auto"/>
        <w:rPr>
          <w:rFonts w:hint="eastAsia" w:hAnsi="宋体"/>
        </w:rPr>
      </w:pPr>
      <w:r>
        <w:rPr>
          <w:rFonts w:hint="eastAsia" w:hAnsi="宋体"/>
        </w:rPr>
        <w:t>（3）企业信誉</w:t>
      </w:r>
    </w:p>
    <w:p w14:paraId="169F4204">
      <w:pPr>
        <w:widowControl w:val="0"/>
        <w:spacing w:line="336" w:lineRule="auto"/>
        <w:ind w:firstLine="480" w:firstLineChars="200"/>
        <w:textAlignment w:val="auto"/>
        <w:rPr>
          <w:rFonts w:hint="eastAsia" w:hAnsi="宋体"/>
        </w:rPr>
      </w:pPr>
      <w:r>
        <w:rPr>
          <w:rFonts w:hint="eastAsia" w:hAnsi="宋体"/>
        </w:rPr>
        <w:t>相对标准：企业信誉评价好的定标候选人优于企业信誉评价一般的定标候选人。</w:t>
      </w:r>
    </w:p>
    <w:p w14:paraId="76B46379">
      <w:pPr>
        <w:widowControl w:val="0"/>
        <w:spacing w:line="336" w:lineRule="auto"/>
        <w:ind w:firstLine="480" w:firstLineChars="200"/>
        <w:textAlignment w:val="auto"/>
        <w:rPr>
          <w:rFonts w:hint="eastAsia" w:hAnsi="宋体"/>
        </w:rPr>
      </w:pPr>
      <w:r>
        <w:rPr>
          <w:rFonts w:hint="eastAsia" w:hAnsi="宋体"/>
        </w:rPr>
        <w:t>（4）农民工工资保障情况</w:t>
      </w:r>
    </w:p>
    <w:p w14:paraId="015918DD">
      <w:pPr>
        <w:widowControl w:val="0"/>
        <w:spacing w:line="336" w:lineRule="auto"/>
        <w:ind w:firstLine="480" w:firstLineChars="200"/>
        <w:textAlignment w:val="auto"/>
        <w:rPr>
          <w:rFonts w:hint="eastAsia" w:hAnsi="宋体"/>
          <w:kern w:val="0"/>
          <w:shd w:val="clear" w:color="auto" w:fill="FFFFFF"/>
        </w:rPr>
      </w:pPr>
      <w:r>
        <w:rPr>
          <w:rFonts w:hint="eastAsia" w:hAnsi="宋体"/>
        </w:rPr>
        <w:t>相对标准：农民工工资保障情况好的定标候选人优于农民工工资保障情况差的定标候选人（结合</w:t>
      </w:r>
      <w:r>
        <w:rPr>
          <w:rFonts w:hint="eastAsia" w:hAnsi="宋体"/>
          <w:kern w:val="0"/>
          <w:shd w:val="clear" w:color="auto" w:fill="FFFFFF"/>
        </w:rPr>
        <w:t>定标候选人提交的证明材料和招标人查询的材料进行评审）。</w:t>
      </w:r>
    </w:p>
    <w:p w14:paraId="521B8C28">
      <w:pPr>
        <w:widowControl w:val="0"/>
        <w:spacing w:line="336" w:lineRule="auto"/>
        <w:ind w:firstLine="480" w:firstLineChars="200"/>
        <w:textAlignment w:val="auto"/>
        <w:rPr>
          <w:rFonts w:hint="eastAsia" w:hAnsi="宋体"/>
        </w:rPr>
      </w:pPr>
      <w:r>
        <w:rPr>
          <w:rFonts w:hint="eastAsia" w:hAnsi="宋体"/>
        </w:rPr>
        <w:t>（5）评标报告</w:t>
      </w:r>
    </w:p>
    <w:p w14:paraId="05DCCB61">
      <w:pPr>
        <w:widowControl w:val="0"/>
        <w:spacing w:line="336" w:lineRule="auto"/>
        <w:ind w:firstLine="480" w:firstLineChars="200"/>
        <w:textAlignment w:val="auto"/>
        <w:rPr>
          <w:rFonts w:hint="eastAsia" w:hAnsi="宋体"/>
        </w:rPr>
      </w:pPr>
      <w:r>
        <w:rPr>
          <w:rFonts w:hint="eastAsia" w:hAnsi="宋体"/>
        </w:rPr>
        <w:t>相对标准：定标委员会评审意见为具有优势风险低的定标候选人优于评标委员会评审意见为没有优势风险高的定标候选人（综合考虑评标委员会的评审意见，对各定标候选人的优势、风险等评审情况进行评审比较）。</w:t>
      </w:r>
    </w:p>
    <w:p w14:paraId="0272F5F3">
      <w:pPr>
        <w:widowControl w:val="0"/>
        <w:numPr>
          <w:ilvl w:val="0"/>
          <w:numId w:val="2"/>
        </w:numPr>
        <w:spacing w:line="336" w:lineRule="auto"/>
        <w:ind w:firstLine="482" w:firstLineChars="200"/>
        <w:textAlignment w:val="auto"/>
        <w:rPr>
          <w:rFonts w:hint="eastAsia" w:hAnsi="宋体"/>
          <w:b/>
          <w:bCs/>
          <w:kern w:val="0"/>
          <w:shd w:val="clear" w:color="auto" w:fill="FFFFFF"/>
        </w:rPr>
      </w:pPr>
      <w:r>
        <w:rPr>
          <w:rFonts w:hint="eastAsia" w:hAnsi="宋体"/>
          <w:b/>
          <w:bCs/>
          <w:kern w:val="0"/>
          <w:shd w:val="clear" w:color="auto" w:fill="FFFFFF"/>
        </w:rPr>
        <w:t>定标结果和中标候选人公示</w:t>
      </w:r>
    </w:p>
    <w:p w14:paraId="0F52171D">
      <w:pPr>
        <w:widowControl w:val="0"/>
        <w:spacing w:line="336" w:lineRule="auto"/>
        <w:ind w:firstLine="480" w:firstLineChars="200"/>
        <w:textAlignment w:val="auto"/>
        <w:rPr>
          <w:rStyle w:val="28"/>
          <w:rFonts w:hint="eastAsia" w:hAnsi="宋体"/>
          <w:kern w:val="0"/>
        </w:rPr>
      </w:pPr>
      <w:r>
        <w:rPr>
          <w:rFonts w:hint="eastAsia" w:hAnsi="宋体"/>
          <w:bCs/>
        </w:rPr>
        <w:t>招标人应当自收到定标报告之日起3日内，在广东省招标投标监管网和全国公共资源交易平台（广东省·韶关市）公示定标结果，公示时间不少于3日，招标人及行政监督部门按照有关法律法规处理有关异议投诉。公示内容包括：定标报告（定标成员信息除外）、中标候选人、中标价和拟投入本项目的项目负责人、技术负责人及各专业负责人（如有）等内容。中标候选人公示期满，招标人应确定排名第一的中标候选人为中标人。第一中标候选人放弃中标、因不可抗力不能履行合同、不按照招标文件要求提交履约保证金，或者被查实存在影响中标结果的违法行为等情形，不符合中标条件的，招标人可以按照中标候选人名单排序依次确定其他中标候选人为中标人，也可重新组织招标。</w:t>
      </w:r>
    </w:p>
    <w:p w14:paraId="5B4D70FA">
      <w:pPr>
        <w:rPr>
          <w:rFonts w:hint="eastAsia" w:hAnsi="宋体"/>
        </w:rPr>
      </w:pPr>
    </w:p>
    <w:p w14:paraId="44F41590">
      <w:pPr>
        <w:tabs>
          <w:tab w:val="left" w:pos="885"/>
        </w:tabs>
        <w:snapToGrid w:val="0"/>
        <w:jc w:val="center"/>
        <w:outlineLvl w:val="1"/>
        <w:rPr>
          <w:rStyle w:val="28"/>
          <w:rFonts w:hint="eastAsia" w:hAnsi="宋体"/>
          <w:b/>
          <w:bCs/>
        </w:rPr>
      </w:pPr>
      <w:bookmarkStart w:id="89" w:name="_Toc9775"/>
      <w:bookmarkStart w:id="90" w:name="_Toc10952"/>
      <w:bookmarkStart w:id="91" w:name="_Toc209"/>
      <w:bookmarkStart w:id="92" w:name="_Toc8976"/>
      <w:bookmarkStart w:id="93" w:name="_Toc13938"/>
      <w:r>
        <w:rPr>
          <w:rStyle w:val="28"/>
          <w:rFonts w:hint="eastAsia" w:hAnsi="宋体"/>
          <w:b/>
          <w:bCs/>
        </w:rPr>
        <w:t>第六节 中标确</w:t>
      </w:r>
      <w:r>
        <w:rPr>
          <w:rFonts w:hint="eastAsia" w:hAnsi="宋体"/>
          <w:b/>
          <w:bCs/>
          <w:kern w:val="0"/>
          <w:shd w:val="clear" w:color="auto" w:fill="FFFFFF"/>
        </w:rPr>
        <w:t>定</w:t>
      </w:r>
      <w:bookmarkEnd w:id="89"/>
      <w:bookmarkEnd w:id="90"/>
      <w:bookmarkEnd w:id="91"/>
      <w:bookmarkEnd w:id="92"/>
      <w:bookmarkEnd w:id="93"/>
    </w:p>
    <w:p w14:paraId="62EC20FC">
      <w:pPr>
        <w:widowControl w:val="0"/>
        <w:ind w:firstLine="482" w:firstLineChars="200"/>
        <w:textAlignment w:val="auto"/>
        <w:rPr>
          <w:rFonts w:hint="eastAsia" w:hAnsi="宋体"/>
          <w:b/>
          <w:bCs/>
          <w:kern w:val="0"/>
          <w:shd w:val="clear" w:color="auto" w:fill="FFFFFF"/>
        </w:rPr>
      </w:pPr>
    </w:p>
    <w:p w14:paraId="17BA3E10">
      <w:pPr>
        <w:widowControl w:val="0"/>
        <w:numPr>
          <w:ilvl w:val="0"/>
          <w:numId w:val="3"/>
        </w:numPr>
        <w:ind w:firstLine="482" w:firstLineChars="200"/>
        <w:textAlignment w:val="auto"/>
        <w:rPr>
          <w:rFonts w:hint="eastAsia" w:hAnsi="宋体"/>
          <w:b/>
          <w:bCs/>
          <w:kern w:val="0"/>
          <w:shd w:val="clear" w:color="auto" w:fill="FFFFFF"/>
        </w:rPr>
      </w:pPr>
      <w:r>
        <w:rPr>
          <w:rFonts w:hint="eastAsia" w:hAnsi="宋体"/>
          <w:b/>
          <w:bCs/>
          <w:kern w:val="0"/>
          <w:shd w:val="clear" w:color="auto" w:fill="FFFFFF"/>
        </w:rPr>
        <w:t>中标确定</w:t>
      </w:r>
    </w:p>
    <w:p w14:paraId="5EEBAF79">
      <w:pPr>
        <w:widowControl w:val="0"/>
        <w:ind w:firstLine="482" w:firstLineChars="200"/>
        <w:textAlignment w:val="auto"/>
        <w:rPr>
          <w:rFonts w:hint="eastAsia" w:hAnsi="宋体"/>
          <w:kern w:val="0"/>
          <w:shd w:val="clear" w:color="auto" w:fill="FFFFFF"/>
        </w:rPr>
      </w:pPr>
      <w:r>
        <w:rPr>
          <w:rFonts w:hint="eastAsia" w:hAnsi="宋体"/>
          <w:b/>
          <w:bCs/>
          <w:kern w:val="0"/>
          <w:shd w:val="clear" w:color="auto" w:fill="FFFFFF"/>
        </w:rPr>
        <w:t>1.1</w:t>
      </w:r>
      <w:r>
        <w:rPr>
          <w:rFonts w:hint="eastAsia" w:hAnsi="宋体"/>
          <w:kern w:val="0"/>
          <w:shd w:val="clear" w:color="auto" w:fill="FFFFFF"/>
        </w:rPr>
        <w:t xml:space="preserve"> 中标结果公示期满无异议的，招标人确认排名第一的中标候选人为中标人，中标人的投标报价即为中标价。</w:t>
      </w:r>
    </w:p>
    <w:p w14:paraId="12B78FA0">
      <w:pPr>
        <w:widowControl w:val="0"/>
        <w:ind w:firstLine="482" w:firstLineChars="200"/>
        <w:textAlignment w:val="auto"/>
        <w:rPr>
          <w:rFonts w:hint="eastAsia" w:hAnsi="宋体"/>
          <w:kern w:val="0"/>
          <w:shd w:val="clear" w:color="auto" w:fill="FFFFFF"/>
        </w:rPr>
      </w:pPr>
      <w:r>
        <w:rPr>
          <w:rFonts w:hint="eastAsia" w:hAnsi="宋体"/>
          <w:b/>
          <w:bCs/>
          <w:kern w:val="0"/>
          <w:shd w:val="clear" w:color="auto" w:fill="FFFFFF"/>
        </w:rPr>
        <w:t xml:space="preserve">1.2 </w:t>
      </w:r>
      <w:r>
        <w:rPr>
          <w:rFonts w:hint="eastAsia" w:hAnsi="宋体"/>
          <w:kern w:val="0"/>
          <w:shd w:val="clear" w:color="auto" w:fill="FFFFFF"/>
        </w:rPr>
        <w:t>中标确定后，招标人应当于7日内在线完成加盖招标人单位电子签章的中标通知书并发放至中标人及各相关单位。招标人最迟应当在投标有效期届满30日前发出中标通知书，否则，应当按照本投标人须知投标有效期的规定延长投标有效期。</w:t>
      </w:r>
      <w:r>
        <w:rPr>
          <w:rFonts w:hint="eastAsia" w:hAnsi="宋体"/>
          <w:snapToGrid w:val="0"/>
          <w:kern w:val="0"/>
        </w:rPr>
        <w:t>在中标通知书发出后5个工作日内，韶关市公共资源交易中心将投标保证金（或银行保函）退还给中标候选人以外的投标人。</w:t>
      </w:r>
    </w:p>
    <w:p w14:paraId="270D985C">
      <w:pPr>
        <w:widowControl w:val="0"/>
        <w:ind w:firstLine="482" w:firstLineChars="200"/>
        <w:textAlignment w:val="auto"/>
        <w:rPr>
          <w:rFonts w:hint="eastAsia" w:hAnsi="宋体"/>
          <w:kern w:val="0"/>
          <w:shd w:val="clear" w:color="auto" w:fill="FFFFFF"/>
        </w:rPr>
      </w:pPr>
      <w:r>
        <w:rPr>
          <w:rFonts w:hint="eastAsia" w:hAnsi="宋体"/>
          <w:b/>
          <w:bCs/>
          <w:kern w:val="0"/>
          <w:shd w:val="clear" w:color="auto" w:fill="FFFFFF"/>
        </w:rPr>
        <w:t xml:space="preserve">1.3 </w:t>
      </w:r>
      <w:r>
        <w:rPr>
          <w:rFonts w:hint="eastAsia" w:hAnsi="宋体"/>
          <w:kern w:val="0"/>
          <w:shd w:val="clear" w:color="auto" w:fill="FFFFFF"/>
        </w:rPr>
        <w:t>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4F9AD3D8">
      <w:pPr>
        <w:widowControl w:val="0"/>
        <w:ind w:firstLine="482" w:firstLineChars="200"/>
        <w:textAlignment w:val="auto"/>
        <w:rPr>
          <w:rFonts w:hint="eastAsia" w:hAnsi="宋体"/>
          <w:b/>
        </w:rPr>
      </w:pPr>
      <w:r>
        <w:rPr>
          <w:rFonts w:hint="eastAsia" w:hAnsi="宋体"/>
          <w:b/>
          <w:bCs/>
        </w:rPr>
        <w:t>2. 公示与异议</w:t>
      </w:r>
    </w:p>
    <w:p w14:paraId="01BDD7D2">
      <w:pPr>
        <w:widowControl w:val="0"/>
        <w:ind w:firstLine="482" w:firstLineChars="200"/>
        <w:textAlignment w:val="auto"/>
        <w:rPr>
          <w:rFonts w:hint="eastAsia" w:hAnsi="宋体"/>
          <w:kern w:val="0"/>
          <w:shd w:val="clear" w:color="auto" w:fill="FFFFFF"/>
        </w:rPr>
      </w:pPr>
      <w:r>
        <w:rPr>
          <w:rFonts w:hint="eastAsia" w:hAnsi="宋体"/>
          <w:b/>
          <w:bCs/>
          <w:kern w:val="0"/>
          <w:shd w:val="clear" w:color="auto" w:fill="FFFFFF"/>
        </w:rPr>
        <w:t xml:space="preserve">2.1 </w:t>
      </w:r>
      <w:r>
        <w:rPr>
          <w:rFonts w:hint="eastAsia" w:hAnsi="宋体"/>
          <w:kern w:val="0"/>
          <w:shd w:val="clear" w:color="auto" w:fill="FFFFFF"/>
        </w:rPr>
        <w:t>招标人应在收到评标报告后3日内公示定标候选人，公示期不少于3日。投标人或其他利害关系人对定标候选人有异议的，应当在公示期内提出。异议处理按照《韶关市工程建设项目招标投标活动异议和投诉处理办法》（韶发改〔2021〕44号）执行。</w:t>
      </w:r>
    </w:p>
    <w:p w14:paraId="6B0D384D">
      <w:pPr>
        <w:widowControl w:val="0"/>
        <w:ind w:firstLine="482" w:firstLineChars="200"/>
        <w:textAlignment w:val="auto"/>
        <w:rPr>
          <w:rFonts w:hint="eastAsia" w:hAnsi="宋体"/>
          <w:kern w:val="0"/>
          <w:shd w:val="clear" w:color="auto" w:fill="FFFFFF"/>
        </w:rPr>
      </w:pPr>
      <w:r>
        <w:rPr>
          <w:rFonts w:hint="eastAsia" w:hAnsi="宋体"/>
          <w:b/>
          <w:bCs/>
          <w:kern w:val="0"/>
          <w:shd w:val="clear" w:color="auto" w:fill="FFFFFF"/>
        </w:rPr>
        <w:t>2.2</w:t>
      </w:r>
      <w:r>
        <w:rPr>
          <w:rFonts w:hint="eastAsia" w:hAnsi="宋体"/>
          <w:kern w:val="0"/>
          <w:shd w:val="clear" w:color="auto" w:fill="FFFFFF"/>
        </w:rPr>
        <w:t xml:space="preserve"> 在定标候选人和中标候选人公示期间有关评标结果的异议成立的，招标人原则上应当组织原评标委员会和原定标委员会对有关的问题予以纠正，问题纠正后再公示定标候选人和中标候选人。</w:t>
      </w:r>
    </w:p>
    <w:p w14:paraId="7535D7D6">
      <w:pPr>
        <w:widowControl w:val="0"/>
        <w:ind w:firstLine="482" w:firstLineChars="200"/>
        <w:textAlignment w:val="auto"/>
        <w:rPr>
          <w:rFonts w:hint="eastAsia" w:hAnsi="宋体"/>
          <w:kern w:val="0"/>
          <w:shd w:val="clear" w:color="auto" w:fill="FFFFFF"/>
        </w:rPr>
      </w:pPr>
      <w:r>
        <w:rPr>
          <w:rFonts w:hint="eastAsia" w:hAnsi="宋体"/>
          <w:b/>
          <w:bCs/>
          <w:kern w:val="0"/>
          <w:shd w:val="clear" w:color="auto" w:fill="FFFFFF"/>
        </w:rPr>
        <w:t xml:space="preserve">2.3 </w:t>
      </w:r>
      <w:r>
        <w:rPr>
          <w:rFonts w:hint="eastAsia" w:hAnsi="宋体"/>
          <w:kern w:val="0"/>
          <w:shd w:val="clear" w:color="auto" w:fill="FFFFFF"/>
        </w:rPr>
        <w:t>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2DA612DF">
      <w:pPr>
        <w:widowControl w:val="0"/>
        <w:ind w:firstLine="482" w:firstLineChars="200"/>
        <w:textAlignment w:val="auto"/>
        <w:rPr>
          <w:rFonts w:hint="eastAsia" w:hAnsi="宋体"/>
          <w:b/>
          <w:bCs/>
        </w:rPr>
      </w:pPr>
      <w:bookmarkStart w:id="94" w:name="_Toc236550039"/>
      <w:r>
        <w:rPr>
          <w:rFonts w:hint="eastAsia" w:hAnsi="宋体"/>
          <w:b/>
          <w:bCs/>
        </w:rPr>
        <w:t>3.废除授标</w:t>
      </w:r>
      <w:bookmarkEnd w:id="94"/>
      <w:r>
        <w:rPr>
          <w:rFonts w:hint="eastAsia" w:hAnsi="宋体"/>
          <w:b/>
          <w:bCs/>
        </w:rPr>
        <w:t>及授标</w:t>
      </w:r>
    </w:p>
    <w:p w14:paraId="572EBEAA">
      <w:pPr>
        <w:widowControl w:val="0"/>
        <w:ind w:firstLine="482" w:firstLineChars="200"/>
        <w:textAlignment w:val="auto"/>
        <w:rPr>
          <w:rFonts w:hint="eastAsia" w:hAnsi="宋体"/>
          <w:kern w:val="0"/>
          <w:shd w:val="clear" w:color="auto" w:fill="FFFFFF"/>
        </w:rPr>
      </w:pPr>
      <w:r>
        <w:rPr>
          <w:rFonts w:hint="eastAsia" w:hAnsi="宋体"/>
          <w:b/>
          <w:bCs/>
          <w:kern w:val="0"/>
          <w:shd w:val="clear" w:color="auto" w:fill="FFFFFF"/>
        </w:rPr>
        <w:t>3.1</w:t>
      </w:r>
      <w:r>
        <w:rPr>
          <w:rFonts w:hint="eastAsia" w:hAnsi="宋体"/>
          <w:kern w:val="0"/>
          <w:shd w:val="clear" w:color="auto" w:fill="FFFFFF"/>
        </w:rPr>
        <w:t>评定标完成后，中标候选人有下列情形之一的，招标人应按规定取消中标候选人资格或废除授标：</w:t>
      </w:r>
    </w:p>
    <w:p w14:paraId="37556ECD">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（1）以他人名义投标或者以其他方式弄虚作假骗取中标的；</w:t>
      </w:r>
    </w:p>
    <w:p w14:paraId="63888FA7">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（2）与其他投标人串通投标或以行贿的手段谋取中标的；</w:t>
      </w:r>
    </w:p>
    <w:p w14:paraId="08FBEA10">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（3）不是从本投标企业基本账户提交投标担保或以虚假方式提交投标保证金保函（保单）的；</w:t>
      </w:r>
    </w:p>
    <w:p w14:paraId="434F2CF9">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（4）中标人于投标有效期终止之前撤回投标文件，或者排名第一的中标候选人放弃中标资格的；</w:t>
      </w:r>
    </w:p>
    <w:p w14:paraId="4F7D1908">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（5）因中标人过错而未能按照规定与招标人签订施工总承包合同或中标人因不可抗力提出不能履行合同的；</w:t>
      </w:r>
    </w:p>
    <w:p w14:paraId="0D363A2D">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（6）因中标人过错而未能按照招标文件要求向招标人提交履约担保的；</w:t>
      </w:r>
    </w:p>
    <w:p w14:paraId="746283E5">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（7）中标单位拟派的项目负责人从投标截止时间起在其他建设工程担任项目负责人；</w:t>
      </w:r>
    </w:p>
    <w:p w14:paraId="026AE733">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（8）中标人被有关部门查实存在影响中标结果的违法行为，不符合中标条件的；</w:t>
      </w:r>
    </w:p>
    <w:p w14:paraId="5A343E82">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（9）中标人在参加本项目投标时有本企业投标承诺书所列被依法限制或暂停承揽业务或停业的处罚的；</w:t>
      </w:r>
    </w:p>
    <w:p w14:paraId="214ED6CD">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（10）招标文件明确规定可以废除授标的其他情形。</w:t>
      </w:r>
    </w:p>
    <w:p w14:paraId="68932B38">
      <w:pPr>
        <w:widowControl w:val="0"/>
        <w:ind w:firstLine="482" w:firstLineChars="200"/>
        <w:textAlignment w:val="auto"/>
        <w:rPr>
          <w:rFonts w:hint="eastAsia" w:hAnsi="宋体"/>
          <w:kern w:val="0"/>
          <w:shd w:val="clear" w:color="auto" w:fill="FFFFFF"/>
        </w:rPr>
      </w:pPr>
      <w:r>
        <w:rPr>
          <w:rFonts w:hint="eastAsia" w:hAnsi="宋体"/>
          <w:b/>
          <w:bCs/>
          <w:kern w:val="0"/>
          <w:shd w:val="clear" w:color="auto" w:fill="FFFFFF"/>
        </w:rPr>
        <w:t xml:space="preserve">3.2 </w:t>
      </w:r>
      <w:r>
        <w:rPr>
          <w:rFonts w:hint="eastAsia" w:hAnsi="宋体"/>
          <w:kern w:val="0"/>
          <w:shd w:val="clear" w:color="auto" w:fill="FFFFFF"/>
        </w:rPr>
        <w:t>排名第一的中标候选人被取消中标候选人资格或废除授标，招标人可以按照定标委员会提出的中标候选人名单排序按规定依次确定其他中标候选人为中标人，并按规定实行中标结果公示；也可以按规定重新组织招标。</w:t>
      </w:r>
    </w:p>
    <w:p w14:paraId="70EDFEBF">
      <w:pPr>
        <w:widowControl w:val="0"/>
        <w:ind w:firstLine="482" w:firstLineChars="200"/>
        <w:textAlignment w:val="auto"/>
        <w:rPr>
          <w:rFonts w:hint="eastAsia" w:hAnsi="宋体"/>
          <w:kern w:val="0"/>
          <w:shd w:val="clear" w:color="auto" w:fill="FFFFFF"/>
        </w:rPr>
      </w:pPr>
      <w:r>
        <w:rPr>
          <w:rFonts w:hint="eastAsia" w:hAnsi="宋体"/>
          <w:b/>
          <w:bCs/>
          <w:kern w:val="0"/>
          <w:shd w:val="clear" w:color="auto" w:fill="FFFFFF"/>
        </w:rPr>
        <w:t>3.3</w:t>
      </w:r>
      <w:r>
        <w:rPr>
          <w:rFonts w:hint="eastAsia" w:hAnsi="宋体"/>
          <w:kern w:val="0"/>
          <w:shd w:val="clear" w:color="auto" w:fill="FFFFFF"/>
        </w:rPr>
        <w:t xml:space="preserve"> 招标人有下列情形之一的，应依法承担相应的责任：</w:t>
      </w:r>
    </w:p>
    <w:p w14:paraId="7552EBCE">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（1）无正当理由不发出中标通知书的；</w:t>
      </w:r>
    </w:p>
    <w:p w14:paraId="092D38F2">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（2）招标人不按照规定确定中标人的；</w:t>
      </w:r>
    </w:p>
    <w:p w14:paraId="26EE602D">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（3）中标通知书发出后无正当理由改变中标结果的；</w:t>
      </w:r>
    </w:p>
    <w:p w14:paraId="21EC6408">
      <w:pPr>
        <w:widowControl w:val="0"/>
        <w:ind w:firstLine="480" w:firstLineChars="200"/>
        <w:textAlignment w:val="auto"/>
        <w:rPr>
          <w:rFonts w:hint="eastAsia" w:hAnsi="宋体"/>
          <w:kern w:val="0"/>
          <w:shd w:val="clear" w:color="auto" w:fill="FFFFFF"/>
        </w:rPr>
      </w:pPr>
      <w:r>
        <w:rPr>
          <w:rFonts w:hint="eastAsia" w:hAnsi="宋体"/>
          <w:kern w:val="0"/>
          <w:shd w:val="clear" w:color="auto" w:fill="FFFFFF"/>
        </w:rPr>
        <w:t>（4）无正当理由不与中标人签订施工总承包合同的；</w:t>
      </w:r>
    </w:p>
    <w:p w14:paraId="04C65DE7">
      <w:pPr>
        <w:widowControl w:val="0"/>
        <w:ind w:firstLine="480" w:firstLineChars="200"/>
        <w:textAlignment w:val="auto"/>
        <w:rPr>
          <w:rStyle w:val="28"/>
          <w:rFonts w:hint="eastAsia" w:hAnsi="宋体"/>
          <w:kern w:val="0"/>
        </w:rPr>
      </w:pPr>
      <w:r>
        <w:rPr>
          <w:rFonts w:hint="eastAsia" w:hAnsi="宋体"/>
          <w:kern w:val="0"/>
          <w:shd w:val="clear" w:color="auto" w:fill="FFFFFF"/>
        </w:rPr>
        <w:t>（5）在签订施工总承包合同时向中标人提出附加条件或者更改合同实质性内容的。</w:t>
      </w:r>
    </w:p>
    <w:p w14:paraId="490D15F9">
      <w:pPr>
        <w:rPr>
          <w:rFonts w:hint="eastAsia" w:hAnsi="宋体"/>
        </w:rPr>
        <w:sectPr>
          <w:endnotePr>
            <w:numFmt w:val="decimal"/>
          </w:endnotePr>
          <w:pgSz w:w="11906" w:h="16838"/>
          <w:pgMar w:top="1247" w:right="1304" w:bottom="1247" w:left="1304" w:header="850" w:footer="544" w:gutter="0"/>
          <w:cols w:space="720" w:num="1"/>
          <w:docGrid w:linePitch="327" w:charSpace="0"/>
        </w:sectPr>
      </w:pPr>
    </w:p>
    <w:p w14:paraId="1610CDFF">
      <w:pPr>
        <w:snapToGrid w:val="0"/>
        <w:ind w:firstLine="480"/>
        <w:jc w:val="center"/>
        <w:outlineLvl w:val="0"/>
        <w:rPr>
          <w:rStyle w:val="28"/>
          <w:rFonts w:hint="eastAsia" w:hAnsi="宋体"/>
          <w:b/>
          <w:bCs/>
          <w:kern w:val="0"/>
        </w:rPr>
      </w:pPr>
      <w:bookmarkStart w:id="95" w:name="_Toc6867"/>
      <w:bookmarkStart w:id="96" w:name="_Toc30480"/>
      <w:bookmarkStart w:id="97" w:name="_Toc2386"/>
      <w:bookmarkStart w:id="98" w:name="_Toc28953"/>
      <w:bookmarkStart w:id="99" w:name="_Toc3347"/>
      <w:bookmarkStart w:id="100" w:name="_Toc4077"/>
      <w:bookmarkStart w:id="101" w:name="_Toc21527"/>
      <w:bookmarkStart w:id="102" w:name="_Toc27143"/>
      <w:bookmarkStart w:id="103" w:name="_Toc15297"/>
      <w:bookmarkStart w:id="104" w:name="_Toc28787"/>
      <w:bookmarkStart w:id="105" w:name="_Toc29404"/>
      <w:bookmarkStart w:id="106" w:name="_Toc28709"/>
      <w:bookmarkStart w:id="107" w:name="_Toc24324"/>
      <w:r>
        <w:rPr>
          <w:rStyle w:val="28"/>
          <w:rFonts w:hint="eastAsia" w:hAnsi="宋体"/>
          <w:b/>
          <w:bCs/>
          <w:kern w:val="0"/>
        </w:rPr>
        <w:t>第二章 中标人须知</w:t>
      </w:r>
      <w:bookmarkEnd w:id="95"/>
      <w:bookmarkEnd w:id="96"/>
      <w:bookmarkEnd w:id="97"/>
      <w:bookmarkEnd w:id="98"/>
      <w:bookmarkEnd w:id="99"/>
      <w:bookmarkEnd w:id="100"/>
      <w:bookmarkEnd w:id="101"/>
      <w:bookmarkEnd w:id="102"/>
      <w:bookmarkEnd w:id="103"/>
      <w:bookmarkEnd w:id="104"/>
      <w:bookmarkEnd w:id="105"/>
      <w:bookmarkEnd w:id="106"/>
      <w:bookmarkEnd w:id="107"/>
    </w:p>
    <w:p w14:paraId="1DBB6FA1">
      <w:pPr>
        <w:snapToGrid w:val="0"/>
        <w:ind w:firstLine="562"/>
        <w:outlineLvl w:val="1"/>
        <w:rPr>
          <w:rStyle w:val="28"/>
          <w:rFonts w:hint="eastAsia" w:hAnsi="宋体"/>
          <w:kern w:val="0"/>
        </w:rPr>
      </w:pPr>
      <w:bookmarkStart w:id="108" w:name="_Toc19147"/>
      <w:bookmarkStart w:id="109" w:name="_Toc4987"/>
      <w:bookmarkStart w:id="110" w:name="_Toc22972"/>
      <w:bookmarkStart w:id="111" w:name="_Toc61"/>
      <w:bookmarkStart w:id="112" w:name="_Toc17046"/>
      <w:bookmarkStart w:id="113" w:name="_Toc14325"/>
      <w:bookmarkStart w:id="114" w:name="_Toc19623"/>
      <w:bookmarkStart w:id="115" w:name="_Toc16222"/>
      <w:bookmarkStart w:id="116" w:name="_Toc29237"/>
      <w:bookmarkStart w:id="117" w:name="_Toc6149"/>
      <w:bookmarkStart w:id="118" w:name="_Toc2308"/>
      <w:bookmarkStart w:id="119" w:name="_Toc31919"/>
      <w:bookmarkStart w:id="120" w:name="_Toc3593"/>
      <w:r>
        <w:rPr>
          <w:rStyle w:val="28"/>
          <w:rFonts w:hint="eastAsia" w:hAnsi="宋体"/>
          <w:b/>
          <w:bCs/>
          <w:kern w:val="0"/>
        </w:rPr>
        <w:t>1.中标通知书</w:t>
      </w:r>
      <w:bookmarkEnd w:id="108"/>
      <w:bookmarkEnd w:id="109"/>
      <w:bookmarkEnd w:id="110"/>
      <w:bookmarkEnd w:id="111"/>
      <w:bookmarkEnd w:id="112"/>
      <w:bookmarkEnd w:id="113"/>
      <w:bookmarkEnd w:id="114"/>
      <w:bookmarkEnd w:id="115"/>
      <w:bookmarkEnd w:id="116"/>
      <w:bookmarkEnd w:id="117"/>
      <w:bookmarkEnd w:id="118"/>
      <w:bookmarkEnd w:id="119"/>
      <w:bookmarkEnd w:id="120"/>
    </w:p>
    <w:p w14:paraId="3AB62B9C">
      <w:pPr>
        <w:snapToGrid w:val="0"/>
        <w:ind w:firstLine="562"/>
        <w:rPr>
          <w:rStyle w:val="28"/>
          <w:rFonts w:hint="eastAsia" w:hAnsi="宋体"/>
          <w:kern w:val="0"/>
        </w:rPr>
      </w:pPr>
      <w:r>
        <w:rPr>
          <w:rStyle w:val="28"/>
          <w:rFonts w:hint="eastAsia" w:hAnsi="宋体"/>
          <w:kern w:val="0"/>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79B3DB62">
      <w:pPr>
        <w:snapToGrid w:val="0"/>
        <w:ind w:firstLine="562"/>
        <w:rPr>
          <w:rStyle w:val="28"/>
          <w:rFonts w:hint="eastAsia" w:hAnsi="宋体"/>
          <w:kern w:val="0"/>
        </w:rPr>
      </w:pPr>
    </w:p>
    <w:p w14:paraId="03F42508">
      <w:pPr>
        <w:snapToGrid w:val="0"/>
        <w:ind w:firstLine="562"/>
        <w:outlineLvl w:val="1"/>
        <w:rPr>
          <w:rStyle w:val="28"/>
          <w:rFonts w:hint="eastAsia" w:hAnsi="宋体"/>
          <w:kern w:val="0"/>
        </w:rPr>
      </w:pPr>
      <w:bookmarkStart w:id="121" w:name="_Toc11550"/>
      <w:bookmarkStart w:id="122" w:name="_Toc10346"/>
      <w:bookmarkStart w:id="123" w:name="_Toc9352"/>
      <w:bookmarkStart w:id="124" w:name="_Toc7495"/>
      <w:bookmarkStart w:id="125" w:name="_Toc26333"/>
      <w:bookmarkStart w:id="126" w:name="_Toc250"/>
      <w:bookmarkStart w:id="127" w:name="_Toc18834"/>
      <w:bookmarkStart w:id="128" w:name="_Toc1365"/>
      <w:bookmarkStart w:id="129" w:name="_Toc21413"/>
      <w:bookmarkStart w:id="130" w:name="_Toc32016"/>
      <w:bookmarkStart w:id="131" w:name="_Toc13183"/>
      <w:bookmarkStart w:id="132" w:name="_Toc16576"/>
      <w:bookmarkStart w:id="133" w:name="_Toc9149"/>
      <w:r>
        <w:rPr>
          <w:rStyle w:val="28"/>
          <w:rFonts w:hint="eastAsia" w:hAnsi="宋体"/>
          <w:b/>
          <w:bCs/>
          <w:kern w:val="0"/>
        </w:rPr>
        <w:t>2.中标结果公示</w:t>
      </w:r>
      <w:bookmarkEnd w:id="121"/>
      <w:bookmarkEnd w:id="122"/>
      <w:bookmarkEnd w:id="123"/>
      <w:bookmarkEnd w:id="124"/>
      <w:bookmarkEnd w:id="125"/>
      <w:bookmarkEnd w:id="126"/>
      <w:bookmarkEnd w:id="127"/>
      <w:bookmarkEnd w:id="128"/>
      <w:bookmarkEnd w:id="129"/>
      <w:bookmarkEnd w:id="130"/>
      <w:bookmarkEnd w:id="131"/>
      <w:bookmarkEnd w:id="132"/>
      <w:bookmarkEnd w:id="133"/>
    </w:p>
    <w:p w14:paraId="483D6312">
      <w:pPr>
        <w:snapToGrid w:val="0"/>
        <w:ind w:firstLine="562"/>
        <w:rPr>
          <w:rStyle w:val="28"/>
          <w:rFonts w:hint="eastAsia" w:hAnsi="宋体"/>
          <w:kern w:val="0"/>
        </w:rPr>
      </w:pPr>
      <w:r>
        <w:rPr>
          <w:rStyle w:val="28"/>
          <w:rFonts w:hint="eastAsia" w:hAnsi="宋体"/>
          <w:kern w:val="0"/>
        </w:rPr>
        <w:t>中标通知书发出后15日内，招标人应将中标结果</w:t>
      </w:r>
      <w:r>
        <w:rPr>
          <w:rFonts w:hint="eastAsia" w:hAnsi="宋体"/>
          <w:snapToGrid w:val="0"/>
          <w:kern w:val="0"/>
        </w:rPr>
        <w:t>在广东省招标投标监管网（http://zbtb.gd.gov.cn）、全国公共资源交易平台（广东省·韶关市）（https://ygp.gdzwfw.gov.cn/ggzy-portal/#/440200/index）进行公示。</w:t>
      </w:r>
    </w:p>
    <w:p w14:paraId="760E8818">
      <w:pPr>
        <w:snapToGrid w:val="0"/>
        <w:ind w:firstLine="562"/>
        <w:rPr>
          <w:rStyle w:val="28"/>
          <w:rFonts w:hint="eastAsia" w:hAnsi="宋体"/>
          <w:kern w:val="0"/>
        </w:rPr>
      </w:pPr>
    </w:p>
    <w:p w14:paraId="268809C4">
      <w:pPr>
        <w:snapToGrid w:val="0"/>
        <w:ind w:firstLine="562"/>
        <w:outlineLvl w:val="1"/>
        <w:rPr>
          <w:rStyle w:val="28"/>
          <w:rFonts w:hint="eastAsia" w:hAnsi="宋体"/>
          <w:kern w:val="0"/>
        </w:rPr>
      </w:pPr>
      <w:bookmarkStart w:id="134" w:name="_Toc13251"/>
      <w:bookmarkStart w:id="135" w:name="_Toc9656"/>
      <w:bookmarkStart w:id="136" w:name="_Toc4720"/>
      <w:bookmarkStart w:id="137" w:name="_Toc2148"/>
      <w:bookmarkStart w:id="138" w:name="_Toc25322"/>
      <w:bookmarkStart w:id="139" w:name="_Toc11324"/>
      <w:bookmarkStart w:id="140" w:name="_Toc11559"/>
      <w:bookmarkStart w:id="141" w:name="_Toc18175"/>
      <w:bookmarkStart w:id="142" w:name="_Toc23213"/>
      <w:bookmarkStart w:id="143" w:name="_Toc3103"/>
      <w:bookmarkStart w:id="144" w:name="_Toc8887"/>
      <w:bookmarkStart w:id="145" w:name="_Toc5175"/>
      <w:bookmarkStart w:id="146" w:name="_Toc7791"/>
      <w:r>
        <w:rPr>
          <w:rStyle w:val="28"/>
          <w:rFonts w:hint="eastAsia" w:hAnsi="宋体"/>
          <w:b/>
          <w:bCs/>
          <w:kern w:val="0"/>
        </w:rPr>
        <w:t>3.履约保证</w:t>
      </w:r>
      <w:bookmarkEnd w:id="134"/>
      <w:bookmarkEnd w:id="135"/>
      <w:bookmarkEnd w:id="136"/>
      <w:bookmarkEnd w:id="137"/>
      <w:bookmarkEnd w:id="138"/>
      <w:bookmarkEnd w:id="139"/>
      <w:bookmarkEnd w:id="140"/>
      <w:bookmarkEnd w:id="141"/>
      <w:bookmarkEnd w:id="142"/>
      <w:bookmarkEnd w:id="143"/>
      <w:bookmarkEnd w:id="144"/>
      <w:bookmarkEnd w:id="145"/>
      <w:bookmarkEnd w:id="146"/>
    </w:p>
    <w:p w14:paraId="4BEB6038">
      <w:pPr>
        <w:snapToGrid w:val="0"/>
        <w:ind w:firstLine="562"/>
        <w:rPr>
          <w:rStyle w:val="28"/>
          <w:rFonts w:hint="eastAsia" w:hAnsi="宋体"/>
          <w:kern w:val="0"/>
        </w:rPr>
      </w:pPr>
      <w:r>
        <w:rPr>
          <w:rStyle w:val="28"/>
          <w:rFonts w:hint="eastAsia" w:hAnsi="宋体"/>
          <w:b/>
          <w:bCs/>
          <w:kern w:val="0"/>
        </w:rPr>
        <w:t>3.1</w:t>
      </w:r>
      <w:r>
        <w:rPr>
          <w:rStyle w:val="28"/>
          <w:rFonts w:hint="eastAsia" w:hAnsi="宋体"/>
          <w:kern w:val="0"/>
        </w:rPr>
        <w:t xml:space="preserve"> 中标人须在领取中标通知书之日起</w:t>
      </w:r>
      <w:r>
        <w:rPr>
          <w:rStyle w:val="28"/>
          <w:rFonts w:hint="eastAsia" w:hAnsi="宋体"/>
          <w:kern w:val="0"/>
          <w:u w:val="single"/>
        </w:rPr>
        <w:t>10</w:t>
      </w:r>
      <w:r>
        <w:rPr>
          <w:rStyle w:val="28"/>
          <w:rFonts w:hint="eastAsia" w:hAnsi="宋体"/>
          <w:kern w:val="0"/>
        </w:rPr>
        <w:t>个工作日内、</w:t>
      </w:r>
      <w:r>
        <w:rPr>
          <w:rFonts w:hint="eastAsia" w:hAnsi="宋体"/>
          <w:snapToGrid w:val="0"/>
          <w:kern w:val="0"/>
        </w:rPr>
        <w:t>签订合同前</w:t>
      </w:r>
      <w:r>
        <w:rPr>
          <w:rStyle w:val="28"/>
          <w:rFonts w:hint="eastAsia" w:hAnsi="宋体"/>
          <w:kern w:val="0"/>
        </w:rPr>
        <w:t>向招标人提交金额为中标价</w:t>
      </w:r>
      <w:r>
        <w:rPr>
          <w:rStyle w:val="28"/>
          <w:rFonts w:hint="eastAsia" w:hAnsi="宋体"/>
          <w:kern w:val="0"/>
          <w:u w:val="single"/>
        </w:rPr>
        <w:t>5%</w:t>
      </w:r>
      <w:r>
        <w:rPr>
          <w:rStyle w:val="28"/>
          <w:rFonts w:hint="eastAsia" w:hAnsi="宋体"/>
          <w:kern w:val="0"/>
        </w:rPr>
        <w:t>的履约保证。</w:t>
      </w:r>
    </w:p>
    <w:p w14:paraId="1FD73124">
      <w:pPr>
        <w:snapToGrid w:val="0"/>
        <w:ind w:firstLine="562"/>
        <w:rPr>
          <w:rStyle w:val="28"/>
          <w:rFonts w:hint="eastAsia" w:hAnsi="宋体"/>
          <w:kern w:val="0"/>
        </w:rPr>
      </w:pPr>
      <w:r>
        <w:rPr>
          <w:rStyle w:val="28"/>
          <w:rFonts w:hint="eastAsia" w:hAnsi="宋体"/>
          <w:b/>
          <w:bCs/>
          <w:kern w:val="0"/>
        </w:rPr>
        <w:t>3.2</w:t>
      </w:r>
      <w:r>
        <w:rPr>
          <w:rStyle w:val="28"/>
          <w:rFonts w:hint="eastAsia" w:hAnsi="宋体"/>
          <w:kern w:val="0"/>
        </w:rPr>
        <w:t xml:space="preserve"> 履约保证的形式包括履约保证金、履约保证担保、履约保证保险三种，由中标人自主选择。</w:t>
      </w:r>
    </w:p>
    <w:p w14:paraId="1D850207">
      <w:pPr>
        <w:snapToGrid w:val="0"/>
        <w:ind w:firstLine="562"/>
        <w:rPr>
          <w:rStyle w:val="28"/>
          <w:rFonts w:hint="eastAsia" w:hAnsi="宋体"/>
          <w:kern w:val="0"/>
        </w:rPr>
      </w:pPr>
      <w:r>
        <w:rPr>
          <w:rStyle w:val="28"/>
          <w:rFonts w:hint="eastAsia" w:hAnsi="宋体"/>
          <w:b/>
          <w:bCs/>
          <w:kern w:val="0"/>
        </w:rPr>
        <w:t xml:space="preserve">3.3 </w:t>
      </w:r>
      <w:r>
        <w:rPr>
          <w:rStyle w:val="28"/>
          <w:rFonts w:hint="eastAsia" w:hAnsi="宋体"/>
          <w:kern w:val="0"/>
        </w:rPr>
        <w:t>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 28 天止。</w:t>
      </w:r>
    </w:p>
    <w:p w14:paraId="12AB991E">
      <w:pPr>
        <w:wordWrap w:val="0"/>
        <w:adjustRightInd w:val="0"/>
        <w:snapToGrid w:val="0"/>
        <w:ind w:firstLine="482" w:firstLineChars="200"/>
        <w:rPr>
          <w:rFonts w:hint="eastAsia" w:hAnsi="宋体"/>
          <w:snapToGrid w:val="0"/>
          <w:kern w:val="0"/>
        </w:rPr>
      </w:pPr>
      <w:r>
        <w:rPr>
          <w:rFonts w:hint="eastAsia" w:hAnsi="宋体"/>
          <w:b/>
          <w:bCs/>
          <w:snapToGrid w:val="0"/>
          <w:kern w:val="0"/>
        </w:rPr>
        <w:t xml:space="preserve">3.4 </w:t>
      </w:r>
      <w:r>
        <w:rPr>
          <w:rFonts w:hint="eastAsia" w:hAnsi="宋体"/>
          <w:snapToGrid w:val="0"/>
          <w:kern w:val="0"/>
        </w:rPr>
        <w:t>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通报建设行政管理部门。如采用商业保函、银行保函或保险合同方式缴纳履约保证金，在保函或保险合同到期前一个月，中标人须主动办理续期手续或提交新的商业保函、银行保函或保险合同。</w:t>
      </w:r>
    </w:p>
    <w:p w14:paraId="5C1DCDD1">
      <w:pPr>
        <w:wordWrap w:val="0"/>
        <w:adjustRightInd w:val="0"/>
        <w:snapToGrid w:val="0"/>
        <w:ind w:firstLine="482" w:firstLineChars="200"/>
        <w:rPr>
          <w:rFonts w:hint="eastAsia" w:hAnsi="宋体"/>
          <w:snapToGrid w:val="0"/>
          <w:kern w:val="0"/>
        </w:rPr>
      </w:pPr>
      <w:r>
        <w:rPr>
          <w:rFonts w:hint="eastAsia" w:hAnsi="宋体"/>
          <w:b/>
          <w:bCs/>
          <w:snapToGrid w:val="0"/>
          <w:kern w:val="0"/>
        </w:rPr>
        <w:t xml:space="preserve">3.5 </w:t>
      </w:r>
      <w:r>
        <w:rPr>
          <w:rFonts w:hint="eastAsia" w:hAnsi="宋体"/>
          <w:snapToGrid w:val="0"/>
          <w:kern w:val="0"/>
        </w:rPr>
        <w:t>在工程实施过程中，如果承包人（即招标阶段的中标人，下同）由于自身的资金、技术、质量、非不可抗力等原因给发包人（即招标阶段的招标人，下同）造成经济损失，发包人有权扣划相应金额的履约保证。</w:t>
      </w:r>
    </w:p>
    <w:p w14:paraId="7E6DB46C">
      <w:pPr>
        <w:snapToGrid w:val="0"/>
        <w:ind w:firstLine="482" w:firstLineChars="200"/>
        <w:rPr>
          <w:rStyle w:val="28"/>
          <w:rFonts w:hint="eastAsia" w:hAnsi="宋体"/>
          <w:b/>
          <w:bCs/>
          <w:kern w:val="0"/>
        </w:rPr>
      </w:pPr>
      <w:r>
        <w:rPr>
          <w:rFonts w:hint="eastAsia" w:hAnsi="宋体"/>
          <w:b/>
          <w:bCs/>
          <w:snapToGrid w:val="0"/>
          <w:kern w:val="0"/>
        </w:rPr>
        <w:t xml:space="preserve">3.6 </w:t>
      </w:r>
      <w:r>
        <w:rPr>
          <w:rFonts w:hint="eastAsia" w:hAnsi="宋体"/>
          <w:snapToGrid w:val="0"/>
          <w:kern w:val="0"/>
        </w:rPr>
        <w:t>项目通过竣工验收之日后28天内，发包人将履约保证退还给承包人。</w:t>
      </w:r>
    </w:p>
    <w:p w14:paraId="51AF89D8">
      <w:pPr>
        <w:snapToGrid w:val="0"/>
        <w:ind w:firstLine="482" w:firstLineChars="200"/>
        <w:outlineLvl w:val="1"/>
        <w:rPr>
          <w:rStyle w:val="28"/>
          <w:rFonts w:hint="eastAsia" w:hAnsi="宋体"/>
          <w:b/>
          <w:bCs/>
          <w:kern w:val="0"/>
        </w:rPr>
      </w:pPr>
      <w:bookmarkStart w:id="147" w:name="_Toc31127"/>
      <w:bookmarkStart w:id="148" w:name="_Toc8187"/>
      <w:bookmarkStart w:id="149" w:name="_Toc967"/>
      <w:bookmarkStart w:id="150" w:name="_Toc31886"/>
      <w:bookmarkStart w:id="151" w:name="_Toc31219"/>
      <w:bookmarkStart w:id="152" w:name="_Toc26477"/>
      <w:bookmarkStart w:id="153" w:name="_Toc23036"/>
      <w:bookmarkStart w:id="154" w:name="_Toc15062"/>
      <w:bookmarkStart w:id="155" w:name="_Toc24211"/>
      <w:bookmarkStart w:id="156" w:name="_Toc17066"/>
      <w:bookmarkStart w:id="157" w:name="_Toc27814"/>
    </w:p>
    <w:p w14:paraId="564811FD">
      <w:pPr>
        <w:snapToGrid w:val="0"/>
        <w:ind w:firstLine="482" w:firstLineChars="200"/>
        <w:outlineLvl w:val="1"/>
        <w:rPr>
          <w:rStyle w:val="28"/>
          <w:rFonts w:hint="eastAsia" w:hAnsi="宋体"/>
          <w:b/>
          <w:bCs/>
          <w:kern w:val="0"/>
        </w:rPr>
      </w:pPr>
      <w:bookmarkStart w:id="158" w:name="_Toc20349"/>
      <w:bookmarkStart w:id="159" w:name="_Toc6597"/>
      <w:r>
        <w:rPr>
          <w:rStyle w:val="28"/>
          <w:rFonts w:hint="eastAsia" w:hAnsi="宋体"/>
          <w:b/>
          <w:bCs/>
          <w:kern w:val="0"/>
        </w:rPr>
        <w:t>4.合同订立</w:t>
      </w:r>
      <w:bookmarkEnd w:id="147"/>
      <w:bookmarkEnd w:id="148"/>
      <w:bookmarkEnd w:id="149"/>
      <w:bookmarkEnd w:id="150"/>
      <w:bookmarkEnd w:id="151"/>
      <w:bookmarkEnd w:id="152"/>
      <w:bookmarkEnd w:id="153"/>
      <w:bookmarkEnd w:id="154"/>
      <w:bookmarkEnd w:id="155"/>
      <w:bookmarkEnd w:id="156"/>
      <w:bookmarkEnd w:id="157"/>
      <w:bookmarkEnd w:id="158"/>
      <w:bookmarkEnd w:id="159"/>
    </w:p>
    <w:p w14:paraId="25E6EDAE">
      <w:pPr>
        <w:snapToGrid w:val="0"/>
        <w:ind w:firstLine="482" w:firstLineChars="200"/>
        <w:rPr>
          <w:rStyle w:val="28"/>
          <w:rFonts w:hint="eastAsia" w:hAnsi="宋体"/>
          <w:kern w:val="0"/>
        </w:rPr>
      </w:pPr>
      <w:r>
        <w:rPr>
          <w:rStyle w:val="28"/>
          <w:rFonts w:hint="eastAsia" w:hAnsi="宋体"/>
          <w:b/>
          <w:bCs/>
          <w:kern w:val="0"/>
        </w:rPr>
        <w:t>4.1</w:t>
      </w:r>
      <w:r>
        <w:rPr>
          <w:rStyle w:val="28"/>
          <w:rFonts w:hint="eastAsia" w:hAnsi="宋体"/>
          <w:kern w:val="0"/>
        </w:rPr>
        <w:t xml:space="preserve"> 招标人应当自中标通知书发出之日起</w:t>
      </w:r>
      <w:r>
        <w:rPr>
          <w:rStyle w:val="28"/>
          <w:rFonts w:hint="eastAsia" w:hAnsi="宋体"/>
          <w:kern w:val="0"/>
          <w:u w:val="single"/>
        </w:rPr>
        <w:t>30</w:t>
      </w:r>
      <w:r>
        <w:rPr>
          <w:rStyle w:val="28"/>
          <w:rFonts w:hint="eastAsia" w:hAnsi="宋体"/>
          <w:kern w:val="0"/>
        </w:rPr>
        <w:t>日内，按照招标文件、中标人的投标文件与中标人订立书面合同。</w:t>
      </w:r>
    </w:p>
    <w:p w14:paraId="2738ECBA">
      <w:pPr>
        <w:snapToGrid w:val="0"/>
        <w:ind w:firstLine="482" w:firstLineChars="200"/>
        <w:rPr>
          <w:rStyle w:val="28"/>
          <w:rFonts w:hint="eastAsia" w:hAnsi="宋体"/>
          <w:kern w:val="0"/>
        </w:rPr>
      </w:pPr>
      <w:r>
        <w:rPr>
          <w:rStyle w:val="28"/>
          <w:rFonts w:hint="eastAsia" w:hAnsi="宋体"/>
          <w:b/>
          <w:bCs/>
          <w:kern w:val="0"/>
        </w:rPr>
        <w:t>4.2</w:t>
      </w:r>
      <w:r>
        <w:rPr>
          <w:rStyle w:val="28"/>
          <w:rFonts w:hint="eastAsia" w:hAnsi="宋体"/>
          <w:kern w:val="0"/>
        </w:rPr>
        <w:t xml:space="preserve"> 不正常报价的梳理和确认</w:t>
      </w:r>
    </w:p>
    <w:p w14:paraId="4DDE5E1B">
      <w:pPr>
        <w:snapToGrid w:val="0"/>
        <w:ind w:firstLine="482" w:firstLineChars="200"/>
        <w:rPr>
          <w:rStyle w:val="28"/>
          <w:rFonts w:hint="eastAsia" w:hAnsi="宋体"/>
          <w:kern w:val="0"/>
        </w:rPr>
      </w:pPr>
      <w:r>
        <w:rPr>
          <w:rStyle w:val="28"/>
          <w:rFonts w:hint="eastAsia" w:hAnsi="宋体"/>
          <w:b/>
          <w:bCs/>
          <w:kern w:val="0"/>
        </w:rPr>
        <w:t>4.2.1</w:t>
      </w:r>
      <w:r>
        <w:rPr>
          <w:rStyle w:val="28"/>
          <w:rFonts w:hint="eastAsia" w:hAnsi="宋体"/>
          <w:kern w:val="0"/>
        </w:rPr>
        <w:t xml:space="preserve"> </w:t>
      </w:r>
      <w:r>
        <w:rPr>
          <w:rStyle w:val="28"/>
          <w:rFonts w:hint="eastAsia" w:hAnsi="宋体"/>
          <w:b/>
          <w:bCs/>
          <w:kern w:val="0"/>
        </w:rPr>
        <w:t>合同订立期间</w:t>
      </w:r>
      <w:r>
        <w:rPr>
          <w:rFonts w:hint="eastAsia" w:hAnsi="宋体"/>
          <w:b/>
          <w:bCs/>
          <w:snapToGrid w:val="0"/>
          <w:kern w:val="0"/>
        </w:rPr>
        <w:t>或在合同履行过程中</w:t>
      </w:r>
      <w:r>
        <w:rPr>
          <w:rStyle w:val="28"/>
          <w:rFonts w:hint="eastAsia" w:hAnsi="宋体"/>
          <w:b/>
          <w:bCs/>
          <w:kern w:val="0"/>
        </w:rPr>
        <w:t>，</w:t>
      </w:r>
      <w:r>
        <w:rPr>
          <w:rFonts w:hint="eastAsia" w:hAnsi="宋体"/>
          <w:b/>
          <w:bCs/>
          <w:snapToGrid w:val="0"/>
          <w:kern w:val="0"/>
        </w:rPr>
        <w:t>在不改变中标人的投标总价的前提下，</w:t>
      </w:r>
      <w:r>
        <w:rPr>
          <w:rStyle w:val="28"/>
          <w:rFonts w:hint="eastAsia" w:hAnsi="宋体"/>
          <w:b/>
          <w:bCs/>
          <w:kern w:val="0"/>
        </w:rPr>
        <w:t>招标人应对中标人的投标报价进行全面分析和整理，从而发现并提取其中可能存在的算术性错误、错漏项、不平衡报价等不正常报价，并修正其中的算术性错误。</w:t>
      </w:r>
      <w:r>
        <w:rPr>
          <w:rStyle w:val="28"/>
          <w:rFonts w:hint="eastAsia" w:hAnsi="宋体"/>
          <w:kern w:val="0"/>
        </w:rPr>
        <w:t>招标人不具备以上能力的，可授权编制本工程</w:t>
      </w:r>
      <w:r>
        <w:rPr>
          <w:rStyle w:val="28"/>
          <w:rFonts w:hint="eastAsia" w:hAnsi="宋体"/>
          <w:kern w:val="0"/>
          <w:lang w:eastAsia="zh-CN"/>
        </w:rPr>
        <w:t>最高投标限价</w:t>
      </w:r>
      <w:r>
        <w:rPr>
          <w:rStyle w:val="28"/>
          <w:rFonts w:hint="eastAsia" w:hAnsi="宋体"/>
          <w:kern w:val="0"/>
        </w:rPr>
        <w:t>的造价咨询单位实施</w:t>
      </w:r>
      <w:r>
        <w:rPr>
          <w:rFonts w:hint="eastAsia" w:hAnsi="宋体"/>
          <w:snapToGrid w:val="0"/>
          <w:kern w:val="0"/>
        </w:rPr>
        <w:t>或招标人委托的本工程造价咨询服务单位实施</w:t>
      </w:r>
      <w:r>
        <w:rPr>
          <w:rStyle w:val="28"/>
          <w:rFonts w:hint="eastAsia" w:hAnsi="宋体"/>
          <w:kern w:val="0"/>
        </w:rPr>
        <w:t>。</w:t>
      </w:r>
    </w:p>
    <w:p w14:paraId="66CD1709">
      <w:pPr>
        <w:snapToGrid w:val="0"/>
        <w:ind w:firstLine="480"/>
        <w:rPr>
          <w:rStyle w:val="28"/>
          <w:rFonts w:hint="eastAsia" w:hAnsi="宋体"/>
          <w:kern w:val="0"/>
        </w:rPr>
      </w:pPr>
      <w:r>
        <w:rPr>
          <w:rStyle w:val="28"/>
          <w:rFonts w:hint="eastAsia" w:hAnsi="宋体"/>
          <w:b/>
          <w:bCs/>
          <w:kern w:val="0"/>
        </w:rPr>
        <w:t>4.2.2</w:t>
      </w:r>
      <w:r>
        <w:rPr>
          <w:rStyle w:val="28"/>
          <w:rFonts w:hint="eastAsia" w:hAnsi="宋体"/>
          <w:kern w:val="0"/>
        </w:rPr>
        <w:t xml:space="preserve">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64F99D51">
      <w:pPr>
        <w:snapToGrid w:val="0"/>
        <w:ind w:firstLine="482" w:firstLineChars="200"/>
        <w:rPr>
          <w:rStyle w:val="28"/>
          <w:rFonts w:hint="eastAsia" w:hAnsi="宋体"/>
          <w:kern w:val="0"/>
        </w:rPr>
      </w:pPr>
      <w:r>
        <w:rPr>
          <w:rStyle w:val="28"/>
          <w:rFonts w:hint="eastAsia" w:hAnsi="宋体"/>
          <w:b/>
          <w:bCs/>
          <w:kern w:val="0"/>
        </w:rPr>
        <w:t>4.2.3</w:t>
      </w:r>
      <w:r>
        <w:rPr>
          <w:rStyle w:val="28"/>
          <w:rFonts w:hint="eastAsia" w:hAnsi="宋体"/>
          <w:kern w:val="0"/>
        </w:rPr>
        <w:t xml:space="preserve"> 错漏项的认定。中标人已标价工程量清单中，任一清单项目未填报价格或价格为零的，视为错漏项。</w:t>
      </w:r>
    </w:p>
    <w:p w14:paraId="57151F97">
      <w:pPr>
        <w:snapToGrid w:val="0"/>
        <w:ind w:firstLine="482" w:firstLineChars="200"/>
        <w:rPr>
          <w:rStyle w:val="28"/>
          <w:rFonts w:hint="eastAsia" w:hAnsi="宋体"/>
          <w:kern w:val="0"/>
          <w:u w:val="single"/>
        </w:rPr>
      </w:pPr>
      <w:r>
        <w:rPr>
          <w:rStyle w:val="28"/>
          <w:rFonts w:hint="eastAsia" w:hAnsi="宋体"/>
          <w:b/>
          <w:bCs/>
          <w:kern w:val="0"/>
        </w:rPr>
        <w:t>4.2.4</w:t>
      </w:r>
      <w:r>
        <w:rPr>
          <w:rStyle w:val="28"/>
          <w:rFonts w:hint="eastAsia" w:hAnsi="宋体"/>
          <w:kern w:val="0"/>
        </w:rPr>
        <w:t xml:space="preserve"> 不平衡报价的认定。经修正算术性错误后的中标人已标价工程量清单中，</w:t>
      </w:r>
      <w:r>
        <w:rPr>
          <w:rStyle w:val="28"/>
          <w:rFonts w:hint="eastAsia" w:hAnsi="宋体"/>
          <w:kern w:val="0"/>
          <w:u w:val="single"/>
        </w:rPr>
        <w:t>分部分项工程量清单项目的投标综合单价与</w:t>
      </w:r>
      <w:r>
        <w:rPr>
          <w:rStyle w:val="28"/>
          <w:rFonts w:hint="eastAsia" w:hAnsi="宋体"/>
          <w:kern w:val="0"/>
          <w:u w:val="single"/>
          <w:lang w:eastAsia="zh-CN"/>
        </w:rPr>
        <w:t>最高投标限价</w:t>
      </w:r>
      <w:r>
        <w:rPr>
          <w:rStyle w:val="28"/>
          <w:rFonts w:hint="eastAsia" w:hAnsi="宋体"/>
          <w:kern w:val="0"/>
          <w:u w:val="single"/>
        </w:rPr>
        <w:t>分部分项工程项目清单计价表的综合单价相差15％（不含15％）以上的</w:t>
      </w:r>
      <w:r>
        <w:rPr>
          <w:rStyle w:val="28"/>
          <w:rFonts w:hint="eastAsia" w:hAnsi="宋体"/>
          <w:kern w:val="0"/>
        </w:rPr>
        <w:t>清单项目，视为不平衡报价项目。</w:t>
      </w:r>
    </w:p>
    <w:p w14:paraId="346CA3E0">
      <w:pPr>
        <w:wordWrap w:val="0"/>
        <w:adjustRightInd w:val="0"/>
        <w:snapToGrid w:val="0"/>
        <w:ind w:firstLine="480" w:firstLineChars="0"/>
        <w:rPr>
          <w:rFonts w:hint="eastAsia" w:hAnsi="宋体"/>
          <w:b/>
          <w:bCs/>
          <w:snapToGrid w:val="0"/>
          <w:kern w:val="0"/>
        </w:rPr>
      </w:pPr>
      <w:r>
        <w:rPr>
          <w:rStyle w:val="28"/>
          <w:rFonts w:hint="eastAsia" w:hAnsi="宋体"/>
          <w:b/>
          <w:bCs/>
          <w:kern w:val="0"/>
        </w:rPr>
        <w:t>4.2.5</w:t>
      </w:r>
      <w:r>
        <w:rPr>
          <w:rStyle w:val="28"/>
          <w:rFonts w:hint="eastAsia" w:hAnsi="宋体"/>
          <w:kern w:val="0"/>
        </w:rPr>
        <w:t xml:space="preserve"> 招标人或其授权的造价咨询单位应就发现的以上所有不正常报价分类整理、汇总，形成《不正常报价清单》，并交中标人复核和确认。经招标人和中标人共同签字、盖章确认的《不正常报价清单》，构成施工合同的组成部分。</w:t>
      </w:r>
      <w:r>
        <w:rPr>
          <w:rFonts w:hint="eastAsia" w:hAnsi="宋体"/>
          <w:b/>
          <w:bCs/>
          <w:snapToGrid w:val="0"/>
          <w:kern w:val="0"/>
        </w:rPr>
        <w:t>被认定为不平衡报价的清单项目，其综合单价按照以下方法调整：</w:t>
      </w:r>
    </w:p>
    <w:p w14:paraId="0325DBAD">
      <w:pPr>
        <w:wordWrap w:val="0"/>
        <w:adjustRightInd w:val="0"/>
        <w:snapToGrid w:val="0"/>
        <w:ind w:firstLine="482" w:firstLineChars="200"/>
        <w:rPr>
          <w:rFonts w:hint="eastAsia" w:hAnsi="宋体"/>
          <w:b/>
          <w:bCs/>
          <w:snapToGrid w:val="0"/>
          <w:kern w:val="0"/>
        </w:rPr>
      </w:pPr>
      <w:r>
        <w:rPr>
          <w:rFonts w:hint="eastAsia" w:hAnsi="宋体"/>
          <w:b/>
          <w:bCs/>
          <w:snapToGrid w:val="0"/>
          <w:kern w:val="0"/>
        </w:rPr>
        <w:t>以</w:t>
      </w:r>
      <w:r>
        <w:rPr>
          <w:rFonts w:hint="eastAsia" w:hAnsi="宋体"/>
          <w:b/>
          <w:bCs/>
          <w:snapToGrid w:val="0"/>
          <w:kern w:val="0"/>
          <w:lang w:eastAsia="zh-CN"/>
        </w:rPr>
        <w:t>最高投标限价</w:t>
      </w:r>
      <w:r>
        <w:rPr>
          <w:rFonts w:hint="eastAsia" w:hAnsi="宋体"/>
          <w:b/>
          <w:bCs/>
          <w:snapToGrid w:val="0"/>
          <w:kern w:val="0"/>
        </w:rPr>
        <w:t>中的《分部分项工程项目清单计价表》子目相对应综合单价×（1－中标下浮率）。</w:t>
      </w:r>
    </w:p>
    <w:p w14:paraId="06169174">
      <w:pPr>
        <w:wordWrap w:val="0"/>
        <w:adjustRightInd w:val="0"/>
        <w:snapToGrid w:val="0"/>
        <w:ind w:firstLine="482" w:firstLineChars="200"/>
        <w:rPr>
          <w:rFonts w:hint="eastAsia" w:hAnsi="宋体"/>
          <w:b/>
          <w:bCs/>
          <w:snapToGrid w:val="0"/>
          <w:kern w:val="0"/>
        </w:rPr>
      </w:pPr>
      <w:r>
        <w:rPr>
          <w:rFonts w:hint="eastAsia" w:hAnsi="宋体"/>
          <w:b/>
          <w:bCs/>
          <w:snapToGrid w:val="0"/>
          <w:kern w:val="0"/>
        </w:rPr>
        <w:t>中标下浮率=[1-（中标价-中标安全生产措施费-暂列金额-专业工程暂估价）/ （</w:t>
      </w:r>
      <w:r>
        <w:rPr>
          <w:rFonts w:hint="eastAsia" w:hAnsi="宋体"/>
          <w:b/>
          <w:bCs/>
          <w:snapToGrid w:val="0"/>
          <w:kern w:val="0"/>
          <w:lang w:eastAsia="zh-CN"/>
        </w:rPr>
        <w:t>最高投标限价</w:t>
      </w:r>
      <w:r>
        <w:rPr>
          <w:rFonts w:hint="eastAsia" w:hAnsi="宋体"/>
          <w:b/>
          <w:bCs/>
          <w:snapToGrid w:val="0"/>
          <w:kern w:val="0"/>
        </w:rPr>
        <w:t>-</w:t>
      </w:r>
      <w:r>
        <w:rPr>
          <w:rFonts w:hint="eastAsia" w:hAnsi="宋体"/>
          <w:b/>
          <w:bCs/>
          <w:snapToGrid w:val="0"/>
          <w:kern w:val="0"/>
          <w:lang w:eastAsia="zh-CN"/>
        </w:rPr>
        <w:t>最高投标限价</w:t>
      </w:r>
      <w:r>
        <w:rPr>
          <w:rFonts w:hint="eastAsia" w:hAnsi="宋体"/>
          <w:b/>
          <w:bCs/>
          <w:snapToGrid w:val="0"/>
          <w:kern w:val="0"/>
        </w:rPr>
        <w:t>安全生产措施费-暂列金额-专业工程暂估价）]×100%</w:t>
      </w:r>
    </w:p>
    <w:p w14:paraId="2E247FE1">
      <w:pPr>
        <w:wordWrap w:val="0"/>
        <w:adjustRightInd w:val="0"/>
        <w:snapToGrid w:val="0"/>
        <w:ind w:firstLine="480" w:firstLineChars="0"/>
        <w:rPr>
          <w:rStyle w:val="28"/>
          <w:rFonts w:hint="eastAsia" w:hAnsi="宋体"/>
          <w:kern w:val="0"/>
        </w:rPr>
      </w:pPr>
      <w:r>
        <w:rPr>
          <w:rFonts w:hint="eastAsia" w:hAnsi="宋体"/>
          <w:snapToGrid w:val="0"/>
          <w:kern w:val="0"/>
        </w:rPr>
        <w:t>若修正后的该部分《分部分项工程项目清单计价表》总金额大于原投标报价中的该部分总金额，则从投标报价需调高的综合单价中选择偏离最大的清单开始调整，调整幅度逐步减少，直至修正后的该部分《分部分项工程项目清单计价表》总金额与原投标报价中的该部分总金额一致；若修正后的该部分《分部分项工程项目清单计价表》总金额小于原投标报价中的该部分总金额，则从投标报价需调低的综合单价中选择偏离最大的清单开始调整，调整幅度逐步减少，直至修正后的该部分《分部分项工程项目清单计价表》总金额与原投标报价中的该部分总金额一致。修正后的总造价应与总中标价保持一致，形成《不平衡报价修正报告》，并由招标人和中标人共同签章确认。</w:t>
      </w:r>
    </w:p>
    <w:p w14:paraId="54AA7B4F">
      <w:pPr>
        <w:snapToGrid w:val="0"/>
        <w:ind w:firstLine="482" w:firstLineChars="200"/>
        <w:rPr>
          <w:rStyle w:val="28"/>
          <w:rFonts w:hint="eastAsia" w:hAnsi="宋体"/>
          <w:kern w:val="0"/>
        </w:rPr>
      </w:pPr>
      <w:r>
        <w:rPr>
          <w:rStyle w:val="28"/>
          <w:rFonts w:hint="eastAsia" w:hAnsi="宋体"/>
          <w:b/>
          <w:bCs/>
          <w:kern w:val="0"/>
        </w:rPr>
        <w:t>4.2.6</w:t>
      </w:r>
      <w:r>
        <w:rPr>
          <w:rStyle w:val="28"/>
          <w:rFonts w:hint="eastAsia" w:hAnsi="宋体"/>
          <w:kern w:val="0"/>
        </w:rPr>
        <w:t xml:space="preserve"> </w:t>
      </w:r>
      <w:r>
        <w:rPr>
          <w:rStyle w:val="28"/>
          <w:rFonts w:hint="eastAsia" w:hAnsi="宋体"/>
          <w:b/>
          <w:bCs/>
          <w:kern w:val="0"/>
        </w:rPr>
        <w:t>合同履行过程中，被认定为错漏项的清单项目，结算时按照第三章“拟签订合同的主要条款”第2.6条规定处理。</w:t>
      </w:r>
    </w:p>
    <w:p w14:paraId="2B495F77">
      <w:pPr>
        <w:snapToGrid w:val="0"/>
        <w:ind w:firstLine="482" w:firstLineChars="200"/>
        <w:rPr>
          <w:rStyle w:val="28"/>
          <w:rFonts w:hint="eastAsia" w:hAnsi="宋体"/>
          <w:b/>
          <w:bCs/>
          <w:kern w:val="0"/>
        </w:rPr>
      </w:pPr>
      <w:r>
        <w:rPr>
          <w:rStyle w:val="28"/>
          <w:rFonts w:hint="eastAsia" w:hAnsi="宋体"/>
          <w:b/>
          <w:bCs/>
          <w:kern w:val="0"/>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38E022EF">
      <w:pPr>
        <w:snapToGrid w:val="0"/>
        <w:ind w:firstLine="482" w:firstLineChars="200"/>
        <w:rPr>
          <w:rStyle w:val="28"/>
          <w:rFonts w:hint="eastAsia" w:hAnsi="宋体"/>
          <w:kern w:val="0"/>
        </w:rPr>
      </w:pPr>
      <w:r>
        <w:rPr>
          <w:rStyle w:val="28"/>
          <w:rFonts w:hint="eastAsia" w:hAnsi="宋体"/>
          <w:b/>
          <w:bCs/>
          <w:kern w:val="0"/>
        </w:rPr>
        <w:t xml:space="preserve">4.3 </w:t>
      </w:r>
      <w:r>
        <w:rPr>
          <w:rStyle w:val="28"/>
          <w:rFonts w:hint="eastAsia" w:hAnsi="宋体"/>
          <w:kern w:val="0"/>
        </w:rPr>
        <w:t>本工程合同计价方式为：</w:t>
      </w:r>
      <w:r>
        <w:rPr>
          <w:rStyle w:val="28"/>
          <w:rFonts w:hint="eastAsia" w:hAnsi="宋体"/>
          <w:kern w:val="0"/>
          <w:u w:val="single"/>
        </w:rPr>
        <w:t xml:space="preserve"> 单价 </w:t>
      </w:r>
      <w:r>
        <w:rPr>
          <w:rStyle w:val="28"/>
          <w:rFonts w:hint="eastAsia" w:hAnsi="宋体"/>
          <w:kern w:val="0"/>
        </w:rPr>
        <w:t>合同。</w:t>
      </w:r>
    </w:p>
    <w:p w14:paraId="09A90857">
      <w:pPr>
        <w:snapToGrid w:val="0"/>
        <w:ind w:firstLine="482" w:firstLineChars="200"/>
        <w:rPr>
          <w:rStyle w:val="28"/>
          <w:rFonts w:hint="eastAsia" w:hAnsi="宋体"/>
          <w:kern w:val="0"/>
        </w:rPr>
      </w:pPr>
      <w:r>
        <w:rPr>
          <w:rStyle w:val="28"/>
          <w:rFonts w:hint="eastAsia" w:hAnsi="宋体"/>
          <w:b/>
          <w:bCs/>
          <w:kern w:val="0"/>
        </w:rPr>
        <w:t>4.4</w:t>
      </w:r>
      <w:r>
        <w:rPr>
          <w:rStyle w:val="28"/>
          <w:rFonts w:hint="eastAsia" w:hAnsi="宋体"/>
          <w:kern w:val="0"/>
        </w:rPr>
        <w:t xml:space="preserve"> 合同的标的、质量、履行期限条款和合同的价款、单价、比例条款等主要条款，应当与招标文件、中标人的投标文件的内容一致。中标人在签订合同时不得向招标人提出附加条件。</w:t>
      </w:r>
    </w:p>
    <w:p w14:paraId="34B19918">
      <w:pPr>
        <w:snapToGrid w:val="0"/>
        <w:ind w:firstLine="482" w:firstLineChars="200"/>
        <w:rPr>
          <w:rStyle w:val="28"/>
          <w:rFonts w:hint="eastAsia" w:hAnsi="宋体"/>
          <w:kern w:val="0"/>
        </w:rPr>
      </w:pPr>
      <w:r>
        <w:rPr>
          <w:rStyle w:val="28"/>
          <w:rFonts w:hint="eastAsia" w:hAnsi="宋体"/>
          <w:b/>
          <w:bCs/>
          <w:kern w:val="0"/>
        </w:rPr>
        <w:t>4.5</w:t>
      </w:r>
      <w:r>
        <w:rPr>
          <w:rStyle w:val="28"/>
          <w:rFonts w:hint="eastAsia" w:hAnsi="宋体"/>
          <w:kern w:val="0"/>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1C4AFCFF">
      <w:pPr>
        <w:snapToGrid w:val="0"/>
        <w:ind w:firstLine="482" w:firstLineChars="200"/>
        <w:rPr>
          <w:rStyle w:val="28"/>
          <w:rFonts w:hint="eastAsia" w:hAnsi="宋体"/>
          <w:kern w:val="0"/>
        </w:rPr>
      </w:pPr>
      <w:r>
        <w:rPr>
          <w:rStyle w:val="28"/>
          <w:rFonts w:hint="eastAsia" w:hAnsi="宋体"/>
          <w:b/>
          <w:bCs/>
          <w:kern w:val="0"/>
        </w:rPr>
        <w:t>4.6</w:t>
      </w:r>
      <w:r>
        <w:rPr>
          <w:rStyle w:val="28"/>
          <w:rFonts w:hint="eastAsia" w:hAnsi="宋体"/>
          <w:kern w:val="0"/>
        </w:rPr>
        <w:t xml:space="preserve"> 在书面合同订立之日起2个工作日内，由中标人将合同上传至交易平台，并发起退还投标保证的申请。韶关市公共资源交易中心在收到申请之日起3工作日内，将投标保证金退还给中标人和其他中标候选人。</w:t>
      </w:r>
    </w:p>
    <w:p w14:paraId="03D87CDC">
      <w:pPr>
        <w:snapToGrid w:val="0"/>
        <w:ind w:firstLine="482" w:firstLineChars="200"/>
        <w:rPr>
          <w:rStyle w:val="28"/>
          <w:rFonts w:hint="eastAsia" w:hAnsi="宋体"/>
          <w:b/>
          <w:bCs/>
          <w:kern w:val="0"/>
        </w:rPr>
      </w:pPr>
    </w:p>
    <w:p w14:paraId="233ABC92">
      <w:pPr>
        <w:snapToGrid w:val="0"/>
        <w:ind w:firstLine="482" w:firstLineChars="200"/>
        <w:outlineLvl w:val="1"/>
        <w:rPr>
          <w:rStyle w:val="28"/>
          <w:rFonts w:hint="eastAsia" w:hAnsi="宋体"/>
          <w:kern w:val="0"/>
        </w:rPr>
      </w:pPr>
      <w:bookmarkStart w:id="160" w:name="_Toc25158"/>
      <w:bookmarkStart w:id="161" w:name="_Toc20690"/>
      <w:bookmarkStart w:id="162" w:name="_Toc4243"/>
      <w:bookmarkStart w:id="163" w:name="_Toc12295"/>
      <w:bookmarkStart w:id="164" w:name="_Toc19819"/>
      <w:bookmarkStart w:id="165" w:name="_Toc31754"/>
      <w:bookmarkStart w:id="166" w:name="_Toc26892"/>
      <w:bookmarkStart w:id="167" w:name="_Toc5910"/>
      <w:bookmarkStart w:id="168" w:name="_Toc2054"/>
      <w:bookmarkStart w:id="169" w:name="_Toc22104"/>
      <w:bookmarkStart w:id="170" w:name="_Toc29840"/>
      <w:bookmarkStart w:id="171" w:name="_Toc4278"/>
      <w:bookmarkStart w:id="172" w:name="_Toc24531"/>
      <w:r>
        <w:rPr>
          <w:rStyle w:val="28"/>
          <w:rFonts w:hint="eastAsia" w:hAnsi="宋体"/>
          <w:b/>
          <w:bCs/>
          <w:kern w:val="0"/>
        </w:rPr>
        <w:t>5.放弃中标的处理</w:t>
      </w:r>
      <w:bookmarkEnd w:id="160"/>
      <w:bookmarkEnd w:id="161"/>
      <w:bookmarkEnd w:id="162"/>
      <w:bookmarkEnd w:id="163"/>
      <w:bookmarkEnd w:id="164"/>
      <w:bookmarkEnd w:id="165"/>
      <w:bookmarkEnd w:id="166"/>
      <w:bookmarkEnd w:id="167"/>
      <w:bookmarkEnd w:id="168"/>
      <w:bookmarkEnd w:id="169"/>
      <w:bookmarkEnd w:id="170"/>
      <w:bookmarkEnd w:id="171"/>
      <w:bookmarkEnd w:id="172"/>
    </w:p>
    <w:p w14:paraId="1F60ECCE">
      <w:pPr>
        <w:snapToGrid w:val="0"/>
        <w:ind w:firstLine="482" w:firstLineChars="200"/>
        <w:rPr>
          <w:rStyle w:val="28"/>
          <w:rFonts w:hint="eastAsia" w:hAnsi="宋体"/>
          <w:kern w:val="0"/>
        </w:rPr>
      </w:pPr>
      <w:r>
        <w:rPr>
          <w:rStyle w:val="28"/>
          <w:rFonts w:hint="eastAsia" w:hAnsi="宋体"/>
          <w:b/>
          <w:bCs/>
          <w:kern w:val="0"/>
        </w:rPr>
        <w:t>5.1</w:t>
      </w:r>
      <w:r>
        <w:rPr>
          <w:rStyle w:val="28"/>
          <w:rFonts w:hint="eastAsia" w:hAnsi="宋体"/>
          <w:kern w:val="0"/>
        </w:rPr>
        <w:t xml:space="preserve"> 中标人</w:t>
      </w:r>
      <w:r>
        <w:rPr>
          <w:rStyle w:val="28"/>
          <w:rFonts w:hint="eastAsia" w:hAnsi="宋体"/>
        </w:rPr>
        <w:t>无正当理由放弃中标的，</w:t>
      </w:r>
      <w:r>
        <w:rPr>
          <w:rStyle w:val="28"/>
          <w:rFonts w:hint="eastAsia" w:hAnsi="宋体"/>
          <w:kern w:val="0"/>
        </w:rPr>
        <w:t>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6469646A">
      <w:pPr>
        <w:snapToGrid w:val="0"/>
        <w:ind w:firstLine="482" w:firstLineChars="200"/>
        <w:rPr>
          <w:rStyle w:val="28"/>
          <w:rFonts w:hint="eastAsia" w:hAnsi="宋体"/>
          <w:kern w:val="0"/>
        </w:rPr>
      </w:pPr>
      <w:r>
        <w:rPr>
          <w:rStyle w:val="28"/>
          <w:rFonts w:hint="eastAsia" w:hAnsi="宋体"/>
          <w:b/>
          <w:bCs/>
          <w:kern w:val="0"/>
        </w:rPr>
        <w:t>5.2</w:t>
      </w:r>
      <w:r>
        <w:rPr>
          <w:rStyle w:val="28"/>
          <w:rFonts w:hint="eastAsia" w:hAnsi="宋体"/>
          <w:kern w:val="0"/>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3A3E1E95">
      <w:pPr>
        <w:snapToGrid w:val="0"/>
        <w:ind w:firstLine="480" w:firstLineChars="200"/>
        <w:rPr>
          <w:rStyle w:val="28"/>
          <w:rFonts w:hint="eastAsia" w:hAnsi="宋体"/>
          <w:kern w:val="0"/>
        </w:rPr>
      </w:pPr>
    </w:p>
    <w:p w14:paraId="7C281F6E">
      <w:pPr>
        <w:snapToGrid w:val="0"/>
        <w:ind w:firstLine="482" w:firstLineChars="200"/>
        <w:outlineLvl w:val="1"/>
        <w:rPr>
          <w:rStyle w:val="28"/>
          <w:rFonts w:hint="eastAsia" w:hAnsi="宋体"/>
          <w:kern w:val="0"/>
        </w:rPr>
      </w:pPr>
      <w:bookmarkStart w:id="173" w:name="_Toc15811"/>
      <w:bookmarkStart w:id="174" w:name="_Toc12999"/>
      <w:bookmarkStart w:id="175" w:name="_Toc18619"/>
      <w:bookmarkStart w:id="176" w:name="_Toc14969"/>
      <w:bookmarkStart w:id="177" w:name="_Toc3602"/>
      <w:bookmarkStart w:id="178" w:name="_Toc12428"/>
      <w:bookmarkStart w:id="179" w:name="_Toc13455"/>
      <w:bookmarkStart w:id="180" w:name="_Toc15171"/>
      <w:bookmarkStart w:id="181" w:name="_Toc21715"/>
      <w:bookmarkStart w:id="182" w:name="_Toc15709"/>
      <w:bookmarkStart w:id="183" w:name="_Toc11030"/>
      <w:bookmarkStart w:id="184" w:name="_Toc28692"/>
      <w:bookmarkStart w:id="185" w:name="_Toc8167"/>
      <w:r>
        <w:rPr>
          <w:rStyle w:val="28"/>
          <w:rFonts w:hint="eastAsia" w:hAnsi="宋体"/>
          <w:b/>
          <w:bCs/>
          <w:kern w:val="0"/>
        </w:rPr>
        <w:t>6.专业工程分包</w:t>
      </w:r>
      <w:bookmarkEnd w:id="173"/>
      <w:bookmarkEnd w:id="174"/>
      <w:bookmarkEnd w:id="175"/>
      <w:bookmarkEnd w:id="176"/>
      <w:bookmarkEnd w:id="177"/>
      <w:bookmarkEnd w:id="178"/>
      <w:bookmarkEnd w:id="179"/>
      <w:bookmarkEnd w:id="180"/>
      <w:bookmarkEnd w:id="181"/>
      <w:bookmarkEnd w:id="182"/>
      <w:bookmarkEnd w:id="183"/>
      <w:bookmarkEnd w:id="184"/>
      <w:bookmarkEnd w:id="185"/>
    </w:p>
    <w:p w14:paraId="2A4AAEFB">
      <w:pPr>
        <w:snapToGrid w:val="0"/>
        <w:ind w:firstLine="480" w:firstLineChars="200"/>
        <w:rPr>
          <w:rStyle w:val="28"/>
          <w:rFonts w:hint="eastAsia" w:hAnsi="宋体"/>
          <w:kern w:val="0"/>
        </w:rPr>
      </w:pPr>
      <w:r>
        <w:rPr>
          <w:rStyle w:val="28"/>
          <w:rFonts w:hint="eastAsia" w:hAnsi="宋体"/>
          <w:kern w:val="0"/>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0E279BF1">
      <w:pPr>
        <w:pStyle w:val="30"/>
        <w:spacing w:line="360" w:lineRule="auto"/>
        <w:rPr>
          <w:rStyle w:val="28"/>
          <w:rFonts w:hint="eastAsia" w:hAnsi="宋体"/>
        </w:rPr>
      </w:pPr>
    </w:p>
    <w:p w14:paraId="20962E57">
      <w:pPr>
        <w:snapToGrid w:val="0"/>
        <w:ind w:firstLine="482" w:firstLineChars="200"/>
        <w:outlineLvl w:val="1"/>
        <w:rPr>
          <w:rStyle w:val="28"/>
          <w:rFonts w:hint="eastAsia" w:hAnsi="宋体"/>
          <w:b/>
          <w:bCs/>
          <w:kern w:val="0"/>
        </w:rPr>
      </w:pPr>
      <w:bookmarkStart w:id="186" w:name="_Toc1068"/>
      <w:bookmarkStart w:id="187" w:name="_Toc27535"/>
      <w:bookmarkStart w:id="188" w:name="_Toc22763"/>
      <w:bookmarkStart w:id="189" w:name="_Toc1245"/>
      <w:bookmarkStart w:id="190" w:name="_Toc29817"/>
      <w:bookmarkStart w:id="191" w:name="_Toc1156"/>
      <w:bookmarkStart w:id="192" w:name="_Toc1606"/>
      <w:bookmarkStart w:id="193" w:name="_Toc14827"/>
      <w:bookmarkStart w:id="194" w:name="_Toc14380"/>
      <w:bookmarkStart w:id="195" w:name="_Toc23953"/>
      <w:bookmarkStart w:id="196" w:name="_Toc10173"/>
      <w:bookmarkStart w:id="197" w:name="_Toc2852"/>
      <w:bookmarkStart w:id="198" w:name="_Toc8150"/>
      <w:r>
        <w:rPr>
          <w:rStyle w:val="28"/>
          <w:rFonts w:hint="eastAsia" w:hAnsi="宋体"/>
          <w:b/>
          <w:bCs/>
          <w:kern w:val="0"/>
        </w:rPr>
        <w:t>7.工人工资支付专用账户</w:t>
      </w:r>
      <w:bookmarkEnd w:id="186"/>
      <w:bookmarkEnd w:id="187"/>
      <w:bookmarkEnd w:id="188"/>
      <w:bookmarkEnd w:id="189"/>
      <w:bookmarkEnd w:id="190"/>
      <w:bookmarkEnd w:id="191"/>
      <w:bookmarkEnd w:id="192"/>
      <w:bookmarkEnd w:id="193"/>
      <w:bookmarkEnd w:id="194"/>
      <w:bookmarkEnd w:id="195"/>
      <w:bookmarkEnd w:id="196"/>
      <w:bookmarkEnd w:id="197"/>
      <w:bookmarkEnd w:id="198"/>
    </w:p>
    <w:p w14:paraId="3C7C8584">
      <w:pPr>
        <w:snapToGrid w:val="0"/>
        <w:ind w:firstLine="482" w:firstLineChars="200"/>
        <w:rPr>
          <w:rStyle w:val="28"/>
          <w:rFonts w:hint="eastAsia" w:hAnsi="宋体"/>
          <w:kern w:val="0"/>
        </w:rPr>
      </w:pPr>
      <w:r>
        <w:rPr>
          <w:rStyle w:val="28"/>
          <w:rFonts w:hint="eastAsia" w:hAnsi="宋体"/>
          <w:b/>
          <w:bCs/>
          <w:kern w:val="0"/>
        </w:rPr>
        <w:t>7.1</w:t>
      </w:r>
      <w:r>
        <w:rPr>
          <w:rStyle w:val="28"/>
          <w:rFonts w:hint="eastAsia" w:hAnsi="宋体"/>
          <w:kern w:val="0"/>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101ADE7D">
      <w:pPr>
        <w:snapToGrid w:val="0"/>
        <w:ind w:firstLine="482" w:firstLineChars="200"/>
        <w:rPr>
          <w:rStyle w:val="28"/>
          <w:rFonts w:hint="eastAsia" w:hAnsi="宋体"/>
          <w:kern w:val="0"/>
        </w:rPr>
      </w:pPr>
      <w:r>
        <w:rPr>
          <w:rStyle w:val="28"/>
          <w:rFonts w:hint="eastAsia" w:hAnsi="宋体"/>
          <w:b/>
          <w:bCs/>
          <w:kern w:val="0"/>
        </w:rPr>
        <w:t>7.2</w:t>
      </w:r>
      <w:r>
        <w:rPr>
          <w:rStyle w:val="28"/>
          <w:rFonts w:hint="eastAsia" w:hAnsi="宋体"/>
          <w:kern w:val="0"/>
        </w:rPr>
        <w:t xml:space="preserve"> 承包人必须在项目开工前，在项目所在地银行设立工资专户，并在作业工人进场前按照相关规定完成实名管理登记及作业工人工资卡开办。承包人应在工资专户开立后2个工作日内，将开户银行及其账号、开户协议等资料提交给发包人。</w:t>
      </w:r>
    </w:p>
    <w:p w14:paraId="71D62A76">
      <w:pPr>
        <w:snapToGrid w:val="0"/>
        <w:ind w:firstLine="482" w:firstLineChars="200"/>
        <w:rPr>
          <w:rStyle w:val="28"/>
          <w:rFonts w:hint="eastAsia" w:hAnsi="宋体"/>
          <w:kern w:val="0"/>
        </w:rPr>
      </w:pPr>
      <w:r>
        <w:rPr>
          <w:rStyle w:val="28"/>
          <w:rFonts w:hint="eastAsia" w:hAnsi="宋体"/>
          <w:b/>
          <w:bCs/>
          <w:kern w:val="0"/>
        </w:rPr>
        <w:t>7.3</w:t>
      </w:r>
      <w:r>
        <w:rPr>
          <w:rStyle w:val="28"/>
          <w:rFonts w:hint="eastAsia" w:hAnsi="宋体"/>
          <w:kern w:val="0"/>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4027F4E4">
      <w:pPr>
        <w:snapToGrid w:val="0"/>
        <w:ind w:firstLine="482" w:firstLineChars="200"/>
        <w:rPr>
          <w:rStyle w:val="28"/>
          <w:rFonts w:hint="eastAsia" w:hAnsi="宋体"/>
          <w:b/>
          <w:bCs/>
          <w:kern w:val="0"/>
        </w:rPr>
      </w:pPr>
    </w:p>
    <w:p w14:paraId="57EAAAC4">
      <w:pPr>
        <w:snapToGrid w:val="0"/>
        <w:ind w:firstLine="482" w:firstLineChars="200"/>
        <w:outlineLvl w:val="1"/>
        <w:rPr>
          <w:rStyle w:val="28"/>
          <w:rFonts w:hint="eastAsia" w:hAnsi="宋体"/>
          <w:b/>
          <w:bCs/>
          <w:kern w:val="0"/>
        </w:rPr>
      </w:pPr>
      <w:bookmarkStart w:id="199" w:name="_Toc22751"/>
      <w:bookmarkStart w:id="200" w:name="_Toc28934"/>
      <w:bookmarkStart w:id="201" w:name="_Toc23850"/>
      <w:bookmarkStart w:id="202" w:name="_Toc23983"/>
      <w:bookmarkStart w:id="203" w:name="_Toc31182"/>
      <w:bookmarkStart w:id="204" w:name="_Toc15708"/>
      <w:bookmarkStart w:id="205" w:name="_Toc22061"/>
      <w:bookmarkStart w:id="206" w:name="_Toc6194"/>
      <w:bookmarkStart w:id="207" w:name="_Toc26359"/>
      <w:bookmarkStart w:id="208" w:name="_Toc3512"/>
      <w:bookmarkStart w:id="209" w:name="_Toc27857"/>
      <w:bookmarkStart w:id="210" w:name="_Toc6230"/>
      <w:bookmarkStart w:id="211" w:name="_Toc5026"/>
      <w:r>
        <w:rPr>
          <w:rStyle w:val="28"/>
          <w:rFonts w:hint="eastAsia" w:hAnsi="宋体"/>
          <w:b/>
          <w:bCs/>
          <w:kern w:val="0"/>
        </w:rPr>
        <w:t>8.工期进度</w:t>
      </w:r>
      <w:bookmarkEnd w:id="199"/>
      <w:bookmarkEnd w:id="200"/>
      <w:bookmarkEnd w:id="201"/>
      <w:bookmarkEnd w:id="202"/>
      <w:bookmarkEnd w:id="203"/>
      <w:bookmarkEnd w:id="204"/>
      <w:bookmarkEnd w:id="205"/>
      <w:bookmarkEnd w:id="206"/>
      <w:bookmarkEnd w:id="207"/>
      <w:bookmarkEnd w:id="208"/>
      <w:bookmarkEnd w:id="209"/>
      <w:bookmarkEnd w:id="210"/>
      <w:bookmarkEnd w:id="211"/>
    </w:p>
    <w:p w14:paraId="60A5F62C">
      <w:pPr>
        <w:snapToGrid w:val="0"/>
        <w:ind w:firstLine="482" w:firstLineChars="200"/>
        <w:rPr>
          <w:rStyle w:val="28"/>
          <w:rFonts w:hint="eastAsia" w:hAnsi="宋体"/>
          <w:kern w:val="0"/>
        </w:rPr>
      </w:pPr>
      <w:r>
        <w:rPr>
          <w:rStyle w:val="28"/>
          <w:rFonts w:hint="eastAsia" w:hAnsi="宋体"/>
          <w:b/>
          <w:bCs/>
          <w:kern w:val="0"/>
        </w:rPr>
        <w:t xml:space="preserve">8.1 </w:t>
      </w:r>
      <w:r>
        <w:rPr>
          <w:rStyle w:val="28"/>
          <w:rFonts w:hint="eastAsia" w:hAnsi="宋体"/>
          <w:kern w:val="0"/>
        </w:rPr>
        <w:t>本招标项目施工招标工期为232日历天，承包人必须在招标工期内完成本工程招标范围内的全部内容。</w:t>
      </w:r>
    </w:p>
    <w:p w14:paraId="59E1CF13">
      <w:pPr>
        <w:snapToGrid w:val="0"/>
        <w:ind w:firstLine="482" w:firstLineChars="200"/>
        <w:rPr>
          <w:rStyle w:val="28"/>
          <w:rFonts w:hint="eastAsia" w:hAnsi="宋体"/>
          <w:kern w:val="0"/>
        </w:rPr>
      </w:pPr>
      <w:r>
        <w:rPr>
          <w:rStyle w:val="28"/>
          <w:rFonts w:hint="eastAsia" w:hAnsi="宋体"/>
          <w:b/>
          <w:bCs/>
          <w:kern w:val="0"/>
        </w:rPr>
        <w:t>8.2</w:t>
      </w:r>
      <w:r>
        <w:rPr>
          <w:rStyle w:val="28"/>
          <w:rFonts w:hint="eastAsia" w:hAnsi="宋体"/>
          <w:kern w:val="0"/>
        </w:rPr>
        <w:t xml:space="preserve"> 施工工期从承包人收到监理单位签发的开工令之日起计，至竣工验收合格之日止。</w:t>
      </w:r>
    </w:p>
    <w:p w14:paraId="46D1E49E">
      <w:pPr>
        <w:snapToGrid w:val="0"/>
        <w:ind w:firstLine="482" w:firstLineChars="200"/>
        <w:rPr>
          <w:rStyle w:val="28"/>
          <w:rFonts w:hint="eastAsia" w:hAnsi="宋体"/>
          <w:kern w:val="0"/>
        </w:rPr>
      </w:pPr>
      <w:r>
        <w:rPr>
          <w:rStyle w:val="28"/>
          <w:rFonts w:hint="eastAsia" w:hAnsi="宋体"/>
          <w:b/>
          <w:bCs/>
          <w:kern w:val="0"/>
        </w:rPr>
        <w:t>8.3</w:t>
      </w:r>
      <w:r>
        <w:rPr>
          <w:rStyle w:val="28"/>
          <w:rFonts w:hint="eastAsia" w:hAnsi="宋体"/>
          <w:kern w:val="0"/>
        </w:rPr>
        <w:t xml:space="preserve"> 由于承包人原因造成工期延误的，承包人须在逾期第壹天起每天按合同价的</w:t>
      </w:r>
      <w:r>
        <w:rPr>
          <w:rStyle w:val="28"/>
          <w:rFonts w:hint="eastAsia" w:hAnsi="宋体"/>
          <w:kern w:val="0"/>
          <w:u w:val="single"/>
        </w:rPr>
        <w:t>1.5‰</w:t>
      </w:r>
      <w:r>
        <w:rPr>
          <w:rStyle w:val="28"/>
          <w:rFonts w:hint="eastAsia" w:hAnsi="宋体"/>
          <w:kern w:val="0"/>
        </w:rPr>
        <w:t>向招标人支付逾期竣工违约金。逾期竣工违约金的最高限额为合同价款的</w:t>
      </w:r>
      <w:r>
        <w:rPr>
          <w:rStyle w:val="28"/>
          <w:rFonts w:hint="eastAsia" w:hAnsi="宋体"/>
          <w:kern w:val="0"/>
          <w:u w:val="single"/>
        </w:rPr>
        <w:t>5%</w:t>
      </w:r>
      <w:r>
        <w:rPr>
          <w:rStyle w:val="28"/>
          <w:rFonts w:hint="eastAsia" w:hAnsi="宋体"/>
          <w:kern w:val="0"/>
        </w:rPr>
        <w:t>。</w:t>
      </w:r>
    </w:p>
    <w:p w14:paraId="7D3C5DA2">
      <w:pPr>
        <w:snapToGrid w:val="0"/>
        <w:ind w:firstLine="482" w:firstLineChars="200"/>
        <w:outlineLvl w:val="1"/>
        <w:rPr>
          <w:rStyle w:val="28"/>
          <w:rFonts w:hint="eastAsia" w:hAnsi="宋体"/>
          <w:b/>
          <w:bCs/>
          <w:kern w:val="0"/>
        </w:rPr>
      </w:pPr>
      <w:bookmarkStart w:id="212" w:name="_Toc27918"/>
      <w:bookmarkStart w:id="213" w:name="_Toc7123"/>
      <w:bookmarkStart w:id="214" w:name="_Toc22031"/>
      <w:bookmarkStart w:id="215" w:name="_Toc15947"/>
    </w:p>
    <w:p w14:paraId="0FE100B2">
      <w:pPr>
        <w:snapToGrid w:val="0"/>
        <w:ind w:firstLine="482" w:firstLineChars="200"/>
        <w:outlineLvl w:val="1"/>
        <w:rPr>
          <w:rStyle w:val="28"/>
          <w:rFonts w:hint="eastAsia" w:hAnsi="宋体"/>
          <w:kern w:val="0"/>
        </w:rPr>
      </w:pPr>
      <w:bookmarkStart w:id="216" w:name="_Toc12031"/>
      <w:bookmarkStart w:id="217" w:name="_Toc14751"/>
      <w:bookmarkStart w:id="218" w:name="_Toc28101"/>
      <w:bookmarkStart w:id="219" w:name="_Toc29054"/>
      <w:bookmarkStart w:id="220" w:name="_Toc21092"/>
      <w:bookmarkStart w:id="221" w:name="_Toc32402"/>
      <w:bookmarkStart w:id="222" w:name="_Toc20265"/>
      <w:bookmarkStart w:id="223" w:name="_Toc19723"/>
      <w:bookmarkStart w:id="224" w:name="_Toc12045"/>
      <w:r>
        <w:rPr>
          <w:rStyle w:val="28"/>
          <w:rFonts w:hint="eastAsia" w:hAnsi="宋体"/>
          <w:b/>
          <w:bCs/>
          <w:kern w:val="0"/>
        </w:rPr>
        <w:t>9.项目管理机构</w:t>
      </w:r>
      <w:bookmarkEnd w:id="212"/>
      <w:bookmarkEnd w:id="213"/>
      <w:bookmarkEnd w:id="214"/>
      <w:bookmarkEnd w:id="215"/>
      <w:bookmarkEnd w:id="216"/>
      <w:bookmarkEnd w:id="217"/>
      <w:bookmarkEnd w:id="218"/>
      <w:bookmarkEnd w:id="219"/>
      <w:bookmarkEnd w:id="220"/>
      <w:bookmarkEnd w:id="221"/>
      <w:bookmarkEnd w:id="222"/>
      <w:bookmarkEnd w:id="223"/>
      <w:bookmarkEnd w:id="224"/>
    </w:p>
    <w:p w14:paraId="45E4756B">
      <w:pPr>
        <w:snapToGrid w:val="0"/>
        <w:ind w:firstLine="482" w:firstLineChars="200"/>
        <w:rPr>
          <w:rStyle w:val="28"/>
          <w:rFonts w:hint="eastAsia" w:hAnsi="宋体"/>
          <w:kern w:val="0"/>
        </w:rPr>
      </w:pPr>
      <w:r>
        <w:rPr>
          <w:rStyle w:val="28"/>
          <w:rFonts w:hint="eastAsia" w:hAnsi="宋体"/>
          <w:b/>
          <w:bCs/>
          <w:kern w:val="0"/>
        </w:rPr>
        <w:t>9.1</w:t>
      </w:r>
      <w:r>
        <w:rPr>
          <w:rStyle w:val="28"/>
          <w:rFonts w:hint="eastAsia" w:hAnsi="宋体"/>
          <w:kern w:val="0"/>
        </w:rPr>
        <w:t xml:space="preserve"> 承包人委派的项目管理班子成员必须为其投标文件确定的人员，否则发包人有权终止合同。</w:t>
      </w:r>
    </w:p>
    <w:p w14:paraId="68797205">
      <w:pPr>
        <w:snapToGrid w:val="0"/>
        <w:ind w:firstLine="560"/>
        <w:rPr>
          <w:rStyle w:val="28"/>
          <w:rFonts w:hint="eastAsia" w:hAnsi="宋体"/>
          <w:kern w:val="0"/>
        </w:rPr>
      </w:pPr>
      <w:r>
        <w:rPr>
          <w:rStyle w:val="28"/>
          <w:rFonts w:hint="eastAsia" w:hAnsi="宋体"/>
          <w:b/>
          <w:bCs/>
          <w:kern w:val="0"/>
        </w:rPr>
        <w:t>9.2</w:t>
      </w:r>
      <w:r>
        <w:rPr>
          <w:rStyle w:val="28"/>
          <w:rFonts w:hint="eastAsia" w:hAnsi="宋体"/>
          <w:kern w:val="0"/>
        </w:rPr>
        <w:t xml:space="preserve">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16181617">
      <w:pPr>
        <w:wordWrap w:val="0"/>
        <w:adjustRightInd w:val="0"/>
        <w:snapToGrid w:val="0"/>
        <w:ind w:firstLine="480"/>
        <w:rPr>
          <w:rFonts w:hint="eastAsia" w:hAnsi="宋体"/>
          <w:b/>
          <w:bCs/>
          <w:snapToGrid w:val="0"/>
          <w:kern w:val="0"/>
        </w:rPr>
      </w:pPr>
      <w:bookmarkStart w:id="225" w:name="_Toc31494"/>
      <w:bookmarkStart w:id="226" w:name="_Toc1774"/>
      <w:bookmarkStart w:id="227" w:name="_Toc24202"/>
      <w:bookmarkStart w:id="228" w:name="_Toc31322"/>
      <w:r>
        <w:rPr>
          <w:rFonts w:hint="eastAsia" w:hAnsi="宋体"/>
          <w:b/>
        </w:rPr>
        <w:t>9.3</w:t>
      </w:r>
      <w:r>
        <w:rPr>
          <w:rFonts w:hint="eastAsia" w:hAnsi="宋体"/>
          <w:b/>
          <w:bCs/>
          <w:snapToGrid w:val="0"/>
          <w:kern w:val="0"/>
        </w:rPr>
        <w:t>根据项目实施进度情况，招标人有权要求承包人增派项目管理人员，以满足项目的现场管理工作要求。</w:t>
      </w:r>
    </w:p>
    <w:p w14:paraId="351435E4">
      <w:pPr>
        <w:snapToGrid w:val="0"/>
        <w:ind w:firstLine="482" w:firstLineChars="200"/>
        <w:outlineLvl w:val="1"/>
        <w:rPr>
          <w:rStyle w:val="28"/>
          <w:rFonts w:hint="eastAsia" w:hAnsi="宋体"/>
          <w:b/>
          <w:bCs/>
          <w:kern w:val="0"/>
        </w:rPr>
      </w:pPr>
    </w:p>
    <w:p w14:paraId="636434E2">
      <w:pPr>
        <w:snapToGrid w:val="0"/>
        <w:ind w:firstLine="482" w:firstLineChars="200"/>
        <w:outlineLvl w:val="1"/>
        <w:rPr>
          <w:rStyle w:val="28"/>
          <w:rFonts w:hint="eastAsia" w:hAnsi="宋体"/>
          <w:strike/>
          <w:kern w:val="0"/>
        </w:rPr>
      </w:pPr>
      <w:bookmarkStart w:id="229" w:name="_Toc18255"/>
      <w:bookmarkStart w:id="230" w:name="_Toc30131"/>
      <w:bookmarkStart w:id="231" w:name="_Toc31233"/>
      <w:bookmarkStart w:id="232" w:name="_Toc21185"/>
      <w:bookmarkStart w:id="233" w:name="_Toc27544"/>
      <w:bookmarkStart w:id="234" w:name="_Toc17659"/>
      <w:bookmarkStart w:id="235" w:name="_Toc26575"/>
      <w:bookmarkStart w:id="236" w:name="_Toc30025"/>
      <w:bookmarkStart w:id="237" w:name="_Toc22174"/>
      <w:r>
        <w:rPr>
          <w:rStyle w:val="28"/>
          <w:rFonts w:hint="eastAsia" w:hAnsi="宋体"/>
          <w:b/>
          <w:bCs/>
          <w:kern w:val="0"/>
        </w:rPr>
        <w:t>10.现场管理</w:t>
      </w:r>
      <w:bookmarkEnd w:id="225"/>
      <w:bookmarkEnd w:id="226"/>
      <w:bookmarkEnd w:id="227"/>
      <w:bookmarkEnd w:id="228"/>
      <w:bookmarkEnd w:id="229"/>
      <w:bookmarkEnd w:id="230"/>
      <w:bookmarkEnd w:id="231"/>
      <w:bookmarkEnd w:id="232"/>
      <w:bookmarkEnd w:id="233"/>
      <w:bookmarkEnd w:id="234"/>
      <w:bookmarkEnd w:id="235"/>
      <w:bookmarkEnd w:id="236"/>
      <w:bookmarkEnd w:id="237"/>
    </w:p>
    <w:p w14:paraId="164D9FC4">
      <w:pPr>
        <w:snapToGrid w:val="0"/>
        <w:ind w:firstLine="482" w:firstLineChars="200"/>
        <w:rPr>
          <w:rStyle w:val="28"/>
          <w:rFonts w:hint="eastAsia" w:hAnsi="宋体"/>
          <w:kern w:val="0"/>
        </w:rPr>
      </w:pPr>
      <w:r>
        <w:rPr>
          <w:rStyle w:val="28"/>
          <w:rFonts w:hint="eastAsia" w:hAnsi="宋体"/>
          <w:b/>
          <w:bCs/>
          <w:kern w:val="0"/>
        </w:rPr>
        <w:t>10.1</w:t>
      </w:r>
      <w:r>
        <w:rPr>
          <w:rStyle w:val="28"/>
          <w:rFonts w:hint="eastAsia" w:hAnsi="宋体"/>
          <w:kern w:val="0"/>
        </w:rPr>
        <w:t xml:space="preserve"> 承包人在施工期间应严格遵守国家、广东省、韶关市有关绿色施工、文明施工、噪声扬尘、消防爆破、环境卫生、渣土清运、防火和治安保卫等方面的规定，并建立相应规章制度和保障措施。否则由此造成的经济损失和法律责任，均由承包人承担。</w:t>
      </w:r>
    </w:p>
    <w:p w14:paraId="3AF6D7A1">
      <w:pPr>
        <w:snapToGrid w:val="0"/>
        <w:ind w:firstLine="482" w:firstLineChars="200"/>
        <w:rPr>
          <w:rStyle w:val="28"/>
          <w:rFonts w:hint="eastAsia" w:hAnsi="宋体"/>
          <w:kern w:val="0"/>
        </w:rPr>
      </w:pPr>
      <w:r>
        <w:rPr>
          <w:rStyle w:val="28"/>
          <w:rFonts w:hint="eastAsia" w:hAnsi="宋体"/>
          <w:b/>
          <w:bCs/>
          <w:kern w:val="0"/>
        </w:rPr>
        <w:t>10.2</w:t>
      </w:r>
      <w:r>
        <w:rPr>
          <w:rStyle w:val="28"/>
          <w:rFonts w:hint="eastAsia" w:hAnsi="宋体"/>
          <w:kern w:val="0"/>
        </w:rPr>
        <w:t xml:space="preserve"> 承包人应按安全施工有关规定，采取严格、科学的安全防护措施，确保施工和人员（包括第三者）的安全，承担由自身安全防护措施不力所造成的安全事故责任和发生的费用。</w:t>
      </w:r>
    </w:p>
    <w:p w14:paraId="2ABB0286">
      <w:pPr>
        <w:snapToGrid w:val="0"/>
        <w:ind w:firstLine="482" w:firstLineChars="200"/>
        <w:rPr>
          <w:rStyle w:val="28"/>
          <w:rFonts w:hint="eastAsia" w:hAnsi="宋体"/>
          <w:kern w:val="0"/>
        </w:rPr>
      </w:pPr>
      <w:r>
        <w:rPr>
          <w:rStyle w:val="28"/>
          <w:rFonts w:hint="eastAsia" w:hAnsi="宋体"/>
          <w:b/>
          <w:bCs/>
          <w:kern w:val="0"/>
        </w:rPr>
        <w:t>10.3</w:t>
      </w:r>
      <w:r>
        <w:rPr>
          <w:rStyle w:val="28"/>
          <w:rFonts w:hint="eastAsia" w:hAnsi="宋体"/>
          <w:kern w:val="0"/>
        </w:rPr>
        <w:t xml:space="preserve"> 为保证施工现场的环境卫生，承包人在本工程施工过程中，所有的车辆必须按发包人规定的行车路线行驶。</w:t>
      </w:r>
    </w:p>
    <w:p w14:paraId="635C89A5">
      <w:pPr>
        <w:snapToGrid w:val="0"/>
        <w:ind w:firstLine="482" w:firstLineChars="200"/>
        <w:rPr>
          <w:rStyle w:val="28"/>
          <w:rFonts w:hint="eastAsia" w:hAnsi="宋体"/>
          <w:kern w:val="0"/>
        </w:rPr>
      </w:pPr>
      <w:r>
        <w:rPr>
          <w:rFonts w:hint="eastAsia" w:hAnsi="宋体"/>
          <w:b/>
          <w:bCs/>
          <w:snapToGrid w:val="0"/>
        </w:rPr>
        <w:t xml:space="preserve">10.4 </w:t>
      </w:r>
      <w:r>
        <w:rPr>
          <w:rStyle w:val="28"/>
          <w:rFonts w:hint="eastAsia" w:hAnsi="宋体"/>
          <w:kern w:val="0"/>
        </w:rPr>
        <w:t>承包人必须做好施工场地地下地上管线和邻近建筑物、构筑物（包括文物保护建筑）、名树名木（如有）的保护工作。</w:t>
      </w:r>
    </w:p>
    <w:p w14:paraId="70197D45">
      <w:pPr>
        <w:snapToGrid w:val="0"/>
        <w:ind w:firstLine="482" w:firstLineChars="200"/>
        <w:rPr>
          <w:rStyle w:val="28"/>
          <w:rFonts w:hint="eastAsia" w:hAnsi="宋体"/>
          <w:b/>
          <w:bCs/>
          <w:kern w:val="0"/>
        </w:rPr>
      </w:pPr>
      <w:r>
        <w:rPr>
          <w:rFonts w:hint="eastAsia" w:hAnsi="宋体"/>
          <w:b/>
          <w:bCs/>
          <w:snapToGrid w:val="0"/>
        </w:rPr>
        <w:t>10.5</w:t>
      </w:r>
      <w:r>
        <w:rPr>
          <w:rFonts w:hint="eastAsia" w:hAnsi="宋体"/>
          <w:snapToGrid w:val="0"/>
        </w:rPr>
        <w:t>承包人应根据施工任务做好工期分析工作，按工期节点要求进行人料机的安排，及时根据计划的实施情况调整人料机的投入。承包人作为总承包单位，应合理安排施工工作，统筹各专业单位（如有）的工作界面，不得影响施工进度。承包人应根据工作面的变化情况及工程进度要求，合理增配人员及施工机械设备。</w:t>
      </w:r>
    </w:p>
    <w:p w14:paraId="1CE7A359">
      <w:pPr>
        <w:snapToGrid w:val="0"/>
        <w:ind w:firstLine="482" w:firstLineChars="200"/>
        <w:outlineLvl w:val="1"/>
        <w:rPr>
          <w:rStyle w:val="28"/>
          <w:rFonts w:hint="eastAsia" w:hAnsi="宋体"/>
          <w:b/>
          <w:bCs/>
          <w:kern w:val="0"/>
        </w:rPr>
      </w:pPr>
      <w:bookmarkStart w:id="238" w:name="_Toc13977"/>
      <w:bookmarkStart w:id="239" w:name="_Toc28373"/>
      <w:bookmarkStart w:id="240" w:name="_Toc5587"/>
      <w:bookmarkStart w:id="241" w:name="_Toc10137"/>
    </w:p>
    <w:p w14:paraId="7D725ABB">
      <w:pPr>
        <w:snapToGrid w:val="0"/>
        <w:ind w:firstLine="482" w:firstLineChars="200"/>
        <w:outlineLvl w:val="1"/>
        <w:rPr>
          <w:rStyle w:val="28"/>
          <w:rFonts w:hint="eastAsia" w:hAnsi="宋体"/>
          <w:strike/>
          <w:kern w:val="0"/>
        </w:rPr>
      </w:pPr>
      <w:bookmarkStart w:id="242" w:name="_Toc30626"/>
      <w:bookmarkStart w:id="243" w:name="_Toc8204"/>
      <w:bookmarkStart w:id="244" w:name="_Toc19699"/>
      <w:bookmarkStart w:id="245" w:name="_Toc19388"/>
      <w:bookmarkStart w:id="246" w:name="_Toc9669"/>
      <w:bookmarkStart w:id="247" w:name="_Toc6175"/>
      <w:bookmarkStart w:id="248" w:name="_Toc13615"/>
      <w:bookmarkStart w:id="249" w:name="_Toc1127"/>
      <w:bookmarkStart w:id="250" w:name="_Toc21045"/>
      <w:r>
        <w:rPr>
          <w:rStyle w:val="28"/>
          <w:rFonts w:hint="eastAsia" w:hAnsi="宋体"/>
          <w:b/>
          <w:bCs/>
          <w:kern w:val="0"/>
        </w:rPr>
        <w:t>11.监督实施</w:t>
      </w:r>
      <w:bookmarkEnd w:id="238"/>
      <w:bookmarkEnd w:id="239"/>
      <w:bookmarkEnd w:id="240"/>
      <w:bookmarkEnd w:id="241"/>
      <w:bookmarkEnd w:id="242"/>
      <w:bookmarkEnd w:id="243"/>
      <w:bookmarkEnd w:id="244"/>
      <w:bookmarkEnd w:id="245"/>
      <w:bookmarkEnd w:id="246"/>
      <w:bookmarkEnd w:id="247"/>
      <w:bookmarkEnd w:id="248"/>
      <w:bookmarkEnd w:id="249"/>
      <w:bookmarkEnd w:id="250"/>
    </w:p>
    <w:p w14:paraId="270FAA20">
      <w:pPr>
        <w:snapToGrid w:val="0"/>
        <w:ind w:firstLine="560"/>
        <w:rPr>
          <w:rStyle w:val="28"/>
          <w:rFonts w:hint="eastAsia" w:hAnsi="宋体"/>
          <w:kern w:val="0"/>
        </w:rPr>
      </w:pPr>
      <w:r>
        <w:rPr>
          <w:rStyle w:val="28"/>
          <w:rFonts w:hint="eastAsia" w:hAnsi="宋体"/>
          <w:kern w:val="0"/>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1EFE6093">
      <w:pPr>
        <w:snapToGrid w:val="0"/>
        <w:ind w:firstLine="560"/>
        <w:rPr>
          <w:rStyle w:val="28"/>
          <w:rFonts w:hint="eastAsia" w:hAnsi="宋体"/>
          <w:b/>
          <w:bCs/>
          <w:kern w:val="0"/>
        </w:rPr>
      </w:pPr>
    </w:p>
    <w:p w14:paraId="1FCB9DCD">
      <w:pPr>
        <w:snapToGrid w:val="0"/>
        <w:ind w:firstLine="560"/>
        <w:outlineLvl w:val="1"/>
        <w:rPr>
          <w:rStyle w:val="28"/>
          <w:rFonts w:hint="eastAsia" w:hAnsi="宋体"/>
          <w:b/>
          <w:bCs/>
          <w:kern w:val="0"/>
        </w:rPr>
      </w:pPr>
      <w:bookmarkStart w:id="251" w:name="_Toc6033"/>
      <w:bookmarkStart w:id="252" w:name="_Toc22383"/>
      <w:bookmarkStart w:id="253" w:name="_Toc17856"/>
      <w:bookmarkStart w:id="254" w:name="_Toc22360"/>
      <w:bookmarkStart w:id="255" w:name="_Toc31231"/>
      <w:bookmarkStart w:id="256" w:name="_Toc4112"/>
      <w:bookmarkStart w:id="257" w:name="_Toc8125"/>
      <w:bookmarkStart w:id="258" w:name="_Toc16603"/>
      <w:bookmarkStart w:id="259" w:name="_Toc18946"/>
      <w:bookmarkStart w:id="260" w:name="_Toc2517"/>
      <w:bookmarkStart w:id="261" w:name="_Toc27169"/>
      <w:bookmarkStart w:id="262" w:name="_Toc22328"/>
      <w:bookmarkStart w:id="263" w:name="_Toc3520"/>
      <w:r>
        <w:rPr>
          <w:rStyle w:val="28"/>
          <w:rFonts w:hint="eastAsia" w:hAnsi="宋体"/>
          <w:b/>
          <w:bCs/>
          <w:kern w:val="0"/>
        </w:rPr>
        <w:t>12.主材的采购和使用</w:t>
      </w:r>
      <w:bookmarkEnd w:id="251"/>
      <w:bookmarkEnd w:id="252"/>
      <w:bookmarkEnd w:id="253"/>
      <w:bookmarkEnd w:id="254"/>
      <w:bookmarkEnd w:id="255"/>
      <w:bookmarkEnd w:id="256"/>
      <w:bookmarkEnd w:id="257"/>
      <w:bookmarkEnd w:id="258"/>
      <w:bookmarkEnd w:id="259"/>
      <w:bookmarkEnd w:id="260"/>
      <w:bookmarkEnd w:id="261"/>
      <w:bookmarkEnd w:id="262"/>
      <w:bookmarkEnd w:id="263"/>
    </w:p>
    <w:p w14:paraId="6171965D">
      <w:pPr>
        <w:snapToGrid w:val="0"/>
        <w:ind w:firstLine="560"/>
        <w:rPr>
          <w:rStyle w:val="28"/>
          <w:rFonts w:hint="eastAsia" w:hAnsi="宋体"/>
          <w:kern w:val="0"/>
        </w:rPr>
      </w:pPr>
      <w:r>
        <w:rPr>
          <w:rStyle w:val="28"/>
          <w:rFonts w:hint="eastAsia" w:hAnsi="宋体"/>
          <w:kern w:val="0"/>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5DA26645">
      <w:pPr>
        <w:snapToGrid w:val="0"/>
        <w:ind w:firstLine="560"/>
        <w:outlineLvl w:val="1"/>
        <w:rPr>
          <w:rStyle w:val="28"/>
          <w:rFonts w:hint="eastAsia" w:hAnsi="宋体"/>
          <w:b/>
          <w:bCs/>
          <w:kern w:val="0"/>
        </w:rPr>
      </w:pPr>
    </w:p>
    <w:p w14:paraId="3A3A41E7">
      <w:pPr>
        <w:snapToGrid w:val="0"/>
        <w:ind w:firstLine="560"/>
        <w:outlineLvl w:val="1"/>
        <w:rPr>
          <w:rStyle w:val="28"/>
          <w:rFonts w:hint="eastAsia" w:hAnsi="宋体"/>
          <w:kern w:val="0"/>
        </w:rPr>
      </w:pPr>
      <w:bookmarkStart w:id="264" w:name="_Toc18024"/>
      <w:bookmarkStart w:id="265" w:name="_Toc25303"/>
      <w:bookmarkStart w:id="266" w:name="_Toc10735"/>
      <w:bookmarkStart w:id="267" w:name="_Toc4734"/>
      <w:bookmarkStart w:id="268" w:name="_Toc3671"/>
      <w:bookmarkStart w:id="269" w:name="_Toc20767"/>
      <w:bookmarkStart w:id="270" w:name="_Toc31975"/>
      <w:bookmarkStart w:id="271" w:name="_Toc28264"/>
      <w:bookmarkStart w:id="272" w:name="_Toc27298"/>
      <w:bookmarkStart w:id="273" w:name="_Toc12092"/>
      <w:bookmarkStart w:id="274" w:name="_Toc23190"/>
      <w:bookmarkStart w:id="275" w:name="_Toc5668"/>
      <w:bookmarkStart w:id="276" w:name="_Toc21291"/>
      <w:r>
        <w:rPr>
          <w:rStyle w:val="28"/>
          <w:rFonts w:hint="eastAsia" w:hAnsi="宋体"/>
          <w:b/>
          <w:bCs/>
          <w:kern w:val="0"/>
        </w:rPr>
        <w:t>13.竣工资料移交</w:t>
      </w:r>
      <w:bookmarkEnd w:id="264"/>
      <w:bookmarkEnd w:id="265"/>
      <w:bookmarkEnd w:id="266"/>
      <w:bookmarkEnd w:id="267"/>
      <w:bookmarkEnd w:id="268"/>
      <w:bookmarkEnd w:id="269"/>
      <w:bookmarkEnd w:id="270"/>
      <w:bookmarkEnd w:id="271"/>
      <w:bookmarkEnd w:id="272"/>
      <w:bookmarkEnd w:id="273"/>
      <w:bookmarkEnd w:id="274"/>
      <w:bookmarkEnd w:id="275"/>
      <w:bookmarkEnd w:id="276"/>
    </w:p>
    <w:p w14:paraId="67FF16C7">
      <w:pPr>
        <w:snapToGrid w:val="0"/>
        <w:ind w:firstLine="560"/>
        <w:rPr>
          <w:rStyle w:val="28"/>
          <w:rFonts w:hint="eastAsia" w:hAnsi="宋体"/>
          <w:kern w:val="0"/>
        </w:rPr>
      </w:pPr>
      <w:r>
        <w:rPr>
          <w:rStyle w:val="28"/>
          <w:rFonts w:hint="eastAsia" w:hAnsi="宋体"/>
          <w:kern w:val="0"/>
        </w:rPr>
        <w:t>工程竣工验收时，承包人应向监理单位和发包人提供符合国家档案部门备案要求的，编制成册的竣工图及有关的技术档案资料（含纸质、声像及电子等形式的档案）一式</w:t>
      </w:r>
      <w:r>
        <w:rPr>
          <w:rStyle w:val="28"/>
          <w:rFonts w:hint="eastAsia" w:hAnsi="宋体"/>
          <w:kern w:val="0"/>
          <w:u w:val="single"/>
        </w:rPr>
        <w:t>捌</w:t>
      </w:r>
      <w:r>
        <w:rPr>
          <w:rStyle w:val="28"/>
          <w:rFonts w:hint="eastAsia" w:hAnsi="宋体"/>
          <w:kern w:val="0"/>
        </w:rPr>
        <w:t>份，制作费用由承包人承担。</w:t>
      </w:r>
    </w:p>
    <w:p w14:paraId="4019C4A8">
      <w:pPr>
        <w:snapToGrid w:val="0"/>
        <w:ind w:firstLine="560"/>
        <w:rPr>
          <w:rStyle w:val="28"/>
          <w:rFonts w:hint="eastAsia" w:hAnsi="宋体"/>
          <w:b/>
          <w:bCs/>
          <w:kern w:val="0"/>
        </w:rPr>
      </w:pPr>
    </w:p>
    <w:p w14:paraId="379A3E3E">
      <w:pPr>
        <w:snapToGrid w:val="0"/>
        <w:ind w:firstLine="560"/>
        <w:outlineLvl w:val="1"/>
        <w:rPr>
          <w:rStyle w:val="28"/>
          <w:rFonts w:hint="eastAsia" w:hAnsi="宋体"/>
          <w:kern w:val="0"/>
        </w:rPr>
      </w:pPr>
      <w:bookmarkStart w:id="277" w:name="_Toc6814"/>
      <w:bookmarkStart w:id="278" w:name="_Toc28419"/>
      <w:bookmarkStart w:id="279" w:name="_Toc23420"/>
      <w:bookmarkStart w:id="280" w:name="_Toc21040"/>
      <w:bookmarkStart w:id="281" w:name="_Toc17031"/>
      <w:bookmarkStart w:id="282" w:name="_Toc14315"/>
      <w:bookmarkStart w:id="283" w:name="_Toc30391"/>
      <w:bookmarkStart w:id="284" w:name="_Toc11059"/>
      <w:bookmarkStart w:id="285" w:name="_Toc8610"/>
      <w:bookmarkStart w:id="286" w:name="_Toc26305"/>
      <w:bookmarkStart w:id="287" w:name="_Toc2569"/>
      <w:bookmarkStart w:id="288" w:name="_Toc880"/>
      <w:bookmarkStart w:id="289" w:name="_Toc5007"/>
      <w:r>
        <w:rPr>
          <w:rStyle w:val="28"/>
          <w:rFonts w:hint="eastAsia" w:hAnsi="宋体"/>
          <w:b/>
          <w:bCs/>
          <w:kern w:val="0"/>
        </w:rPr>
        <w:t>14.质量保证</w:t>
      </w:r>
      <w:bookmarkEnd w:id="277"/>
      <w:bookmarkEnd w:id="278"/>
      <w:bookmarkEnd w:id="279"/>
      <w:bookmarkEnd w:id="280"/>
      <w:bookmarkEnd w:id="281"/>
      <w:bookmarkEnd w:id="282"/>
      <w:bookmarkEnd w:id="283"/>
      <w:bookmarkEnd w:id="284"/>
      <w:bookmarkEnd w:id="285"/>
      <w:bookmarkEnd w:id="286"/>
      <w:bookmarkEnd w:id="287"/>
      <w:bookmarkEnd w:id="288"/>
      <w:bookmarkEnd w:id="289"/>
    </w:p>
    <w:p w14:paraId="3352A8DD">
      <w:pPr>
        <w:snapToGrid w:val="0"/>
        <w:ind w:firstLine="560"/>
        <w:rPr>
          <w:rStyle w:val="28"/>
          <w:rFonts w:hint="eastAsia" w:hAnsi="宋体"/>
          <w:kern w:val="0"/>
        </w:rPr>
      </w:pPr>
      <w:r>
        <w:rPr>
          <w:rStyle w:val="28"/>
          <w:rFonts w:hint="eastAsia" w:hAnsi="宋体"/>
          <w:b/>
          <w:bCs/>
          <w:kern w:val="0"/>
        </w:rPr>
        <w:t>14.1</w:t>
      </w:r>
      <w:r>
        <w:rPr>
          <w:rStyle w:val="28"/>
          <w:rFonts w:hint="eastAsia" w:hAnsi="宋体"/>
          <w:kern w:val="0"/>
        </w:rPr>
        <w:t xml:space="preserve"> 本工程缺陷责任期为</w:t>
      </w:r>
      <w:r>
        <w:rPr>
          <w:rStyle w:val="28"/>
          <w:rFonts w:hint="eastAsia" w:hAnsi="宋体"/>
          <w:kern w:val="0"/>
          <w:u w:val="single"/>
        </w:rPr>
        <w:t>2</w:t>
      </w:r>
      <w:r>
        <w:rPr>
          <w:rStyle w:val="28"/>
          <w:rFonts w:hint="eastAsia" w:hAnsi="宋体"/>
          <w:kern w:val="0"/>
        </w:rPr>
        <w:t>年（自通过竣工验收之日起计），在此期间预留金额为结算价</w:t>
      </w:r>
      <w:r>
        <w:rPr>
          <w:rStyle w:val="28"/>
          <w:rFonts w:hint="eastAsia" w:hAnsi="宋体"/>
          <w:kern w:val="0"/>
          <w:u w:val="single"/>
        </w:rPr>
        <w:t xml:space="preserve">3% </w:t>
      </w:r>
      <w:r>
        <w:rPr>
          <w:rStyle w:val="28"/>
          <w:rFonts w:hint="eastAsia" w:hAnsi="宋体"/>
          <w:kern w:val="0"/>
        </w:rPr>
        <w:t>的质量保证。</w:t>
      </w:r>
    </w:p>
    <w:p w14:paraId="0525060C">
      <w:pPr>
        <w:snapToGrid w:val="0"/>
        <w:ind w:firstLine="560"/>
        <w:rPr>
          <w:rStyle w:val="28"/>
          <w:rFonts w:hint="eastAsia" w:hAnsi="宋体"/>
          <w:kern w:val="0"/>
        </w:rPr>
      </w:pPr>
      <w:r>
        <w:rPr>
          <w:rStyle w:val="28"/>
          <w:rFonts w:hint="eastAsia" w:hAnsi="宋体"/>
          <w:b/>
          <w:bCs/>
          <w:kern w:val="0"/>
        </w:rPr>
        <w:t>14.2</w:t>
      </w:r>
      <w:r>
        <w:rPr>
          <w:rStyle w:val="28"/>
          <w:rFonts w:hint="eastAsia" w:hAnsi="宋体"/>
          <w:kern w:val="0"/>
        </w:rPr>
        <w:t xml:space="preserve"> 质量保证的形式包括质量保证金、质量保证担保、质量保证保险三种，由承包人自主选择。</w:t>
      </w:r>
    </w:p>
    <w:p w14:paraId="7865B314">
      <w:pPr>
        <w:snapToGrid w:val="0"/>
        <w:ind w:firstLine="560"/>
        <w:rPr>
          <w:rStyle w:val="28"/>
          <w:rFonts w:hint="eastAsia" w:hAnsi="宋体"/>
          <w:kern w:val="0"/>
        </w:rPr>
      </w:pPr>
      <w:r>
        <w:rPr>
          <w:rStyle w:val="28"/>
          <w:rFonts w:hint="eastAsia" w:hAnsi="宋体"/>
          <w:kern w:val="0"/>
        </w:rPr>
        <w:t>（1）采用质量保证金形式的，在结清审定总造价时一次性扣留相应金额作为质量保证金。</w:t>
      </w:r>
    </w:p>
    <w:p w14:paraId="7093F35C">
      <w:pPr>
        <w:snapToGrid w:val="0"/>
        <w:ind w:firstLine="560"/>
        <w:rPr>
          <w:rStyle w:val="28"/>
          <w:rFonts w:hint="eastAsia" w:hAnsi="宋体"/>
          <w:kern w:val="0"/>
        </w:rPr>
      </w:pPr>
      <w:r>
        <w:rPr>
          <w:rStyle w:val="28"/>
          <w:rFonts w:hint="eastAsia" w:hAnsi="宋体"/>
          <w:kern w:val="0"/>
        </w:rPr>
        <w:t>（2）</w:t>
      </w:r>
      <w:r>
        <w:rPr>
          <w:rFonts w:hint="eastAsia" w:hAnsi="宋体"/>
          <w:bCs/>
          <w:snapToGrid w:val="0"/>
          <w:kern w:val="0"/>
        </w:rPr>
        <w:t>采用质量保证担保或质量保证保险的，承包人应在竣工验收时向发包人提交有效的银行保函或保险合同（或保险单）原件，银行保函或保险合同（或保险单）的有效期不得短于缺陷责任期。</w:t>
      </w:r>
    </w:p>
    <w:p w14:paraId="76EBFC3E">
      <w:pPr>
        <w:snapToGrid w:val="0"/>
        <w:ind w:firstLine="560"/>
        <w:rPr>
          <w:rStyle w:val="28"/>
          <w:rFonts w:hint="eastAsia" w:hAnsi="宋体"/>
          <w:kern w:val="0"/>
        </w:rPr>
      </w:pPr>
      <w:r>
        <w:rPr>
          <w:rStyle w:val="28"/>
          <w:rFonts w:hint="eastAsia" w:hAnsi="宋体"/>
          <w:b/>
          <w:bCs/>
          <w:kern w:val="0"/>
        </w:rPr>
        <w:t>14.3</w:t>
      </w:r>
      <w:r>
        <w:rPr>
          <w:rStyle w:val="28"/>
          <w:rFonts w:hint="eastAsia" w:hAnsi="宋体"/>
          <w:kern w:val="0"/>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5638BF0C">
      <w:pPr>
        <w:snapToGrid w:val="0"/>
        <w:ind w:firstLine="560"/>
        <w:rPr>
          <w:rStyle w:val="28"/>
          <w:rFonts w:hint="eastAsia" w:hAnsi="宋体"/>
          <w:kern w:val="0"/>
        </w:rPr>
      </w:pPr>
      <w:r>
        <w:rPr>
          <w:rStyle w:val="28"/>
          <w:rFonts w:hint="eastAsia" w:hAnsi="宋体"/>
          <w:kern w:val="0"/>
        </w:rPr>
        <w:t>由他人原因造成的缺陷，发包人负责组织维修，承包人不承担费用，且发包人不得从质量保证中扣除费用。</w:t>
      </w:r>
    </w:p>
    <w:p w14:paraId="5A06182F">
      <w:pPr>
        <w:snapToGrid w:val="0"/>
        <w:ind w:firstLine="560"/>
        <w:rPr>
          <w:rStyle w:val="28"/>
          <w:rFonts w:hint="eastAsia" w:hAnsi="宋体"/>
          <w:kern w:val="0"/>
        </w:rPr>
      </w:pPr>
      <w:r>
        <w:rPr>
          <w:rStyle w:val="28"/>
          <w:rFonts w:hint="eastAsia" w:hAnsi="宋体"/>
          <w:b/>
          <w:bCs/>
          <w:kern w:val="0"/>
        </w:rPr>
        <w:t>14.4</w:t>
      </w:r>
      <w:r>
        <w:rPr>
          <w:rStyle w:val="28"/>
          <w:rFonts w:hint="eastAsia" w:hAnsi="宋体"/>
          <w:kern w:val="0"/>
        </w:rPr>
        <w:t xml:space="preserve"> 缺陷责任期内，承包人应认真履行合同约定的责任。缺陷责任期到期后，承包人向发包人申请退还质量保证，发包人应按照《建设工程质量保证金管理办法》有关规定将质量保证退还给承包人。</w:t>
      </w:r>
    </w:p>
    <w:p w14:paraId="36DAA156">
      <w:pPr>
        <w:snapToGrid w:val="0"/>
        <w:ind w:firstLine="560"/>
        <w:outlineLvl w:val="1"/>
        <w:rPr>
          <w:rStyle w:val="28"/>
          <w:rFonts w:hint="eastAsia" w:hAnsi="宋体"/>
          <w:strike/>
          <w:kern w:val="0"/>
        </w:rPr>
      </w:pPr>
      <w:bookmarkStart w:id="290" w:name="_Toc4991"/>
      <w:bookmarkStart w:id="291" w:name="_Toc16614"/>
      <w:bookmarkStart w:id="292" w:name="_Toc29337"/>
      <w:bookmarkStart w:id="293" w:name="_Toc11269"/>
      <w:bookmarkStart w:id="294" w:name="_Toc4183"/>
      <w:bookmarkStart w:id="295" w:name="_Toc32287"/>
      <w:bookmarkStart w:id="296" w:name="_Toc21606"/>
      <w:bookmarkStart w:id="297" w:name="_Toc29331"/>
      <w:bookmarkStart w:id="298" w:name="_Toc24271"/>
      <w:bookmarkStart w:id="299" w:name="_Toc16210"/>
      <w:bookmarkStart w:id="300" w:name="_Toc21855"/>
      <w:bookmarkStart w:id="301" w:name="_Toc20836"/>
      <w:bookmarkStart w:id="302" w:name="_Toc5467"/>
      <w:r>
        <w:rPr>
          <w:rStyle w:val="28"/>
          <w:rFonts w:hint="eastAsia" w:hAnsi="宋体"/>
          <w:b/>
          <w:bCs/>
          <w:kern w:val="0"/>
        </w:rPr>
        <w:t>15.不良行为处理</w:t>
      </w:r>
      <w:bookmarkEnd w:id="290"/>
      <w:bookmarkEnd w:id="291"/>
      <w:bookmarkEnd w:id="292"/>
      <w:bookmarkEnd w:id="293"/>
      <w:bookmarkEnd w:id="294"/>
      <w:bookmarkEnd w:id="295"/>
      <w:bookmarkEnd w:id="296"/>
      <w:bookmarkEnd w:id="297"/>
      <w:bookmarkEnd w:id="298"/>
      <w:bookmarkEnd w:id="299"/>
      <w:bookmarkEnd w:id="300"/>
      <w:bookmarkEnd w:id="301"/>
      <w:bookmarkEnd w:id="302"/>
    </w:p>
    <w:p w14:paraId="7C6C270C">
      <w:pPr>
        <w:pStyle w:val="44"/>
        <w:snapToGrid w:val="0"/>
        <w:spacing w:line="360" w:lineRule="auto"/>
        <w:ind w:firstLine="480" w:firstLineChars="200"/>
        <w:jc w:val="left"/>
        <w:rPr>
          <w:rStyle w:val="28"/>
          <w:rFonts w:hint="eastAsia" w:ascii="宋体" w:hAnsi="宋体" w:cs="宋体"/>
          <w:kern w:val="0"/>
        </w:rPr>
      </w:pPr>
      <w:r>
        <w:rPr>
          <w:rStyle w:val="28"/>
          <w:rFonts w:hint="eastAsia" w:ascii="宋体" w:hAnsi="宋体" w:cs="宋体"/>
          <w:kern w:val="0"/>
        </w:rPr>
        <w:t>承包人及其有关人员有下列行为之一的，发包人应及时向建设行政主管部门报告。按照有关法律法规进行处罚。</w:t>
      </w:r>
    </w:p>
    <w:p w14:paraId="5C22EA26">
      <w:pPr>
        <w:pStyle w:val="44"/>
        <w:snapToGrid w:val="0"/>
        <w:spacing w:line="360" w:lineRule="auto"/>
        <w:ind w:firstLine="480" w:firstLineChars="200"/>
        <w:jc w:val="left"/>
        <w:rPr>
          <w:rStyle w:val="28"/>
          <w:rFonts w:hint="eastAsia" w:ascii="宋体" w:hAnsi="宋体" w:cs="宋体"/>
          <w:kern w:val="0"/>
        </w:rPr>
      </w:pPr>
      <w:r>
        <w:rPr>
          <w:rStyle w:val="28"/>
          <w:rFonts w:hint="eastAsia" w:ascii="宋体" w:hAnsi="宋体" w:cs="宋体"/>
          <w:kern w:val="0"/>
        </w:rPr>
        <w:t>（1）转包、违法分包或违反投标承诺分包工程的；</w:t>
      </w:r>
    </w:p>
    <w:p w14:paraId="427D9822">
      <w:pPr>
        <w:pStyle w:val="44"/>
        <w:snapToGrid w:val="0"/>
        <w:spacing w:line="360" w:lineRule="auto"/>
        <w:ind w:firstLine="480" w:firstLineChars="200"/>
        <w:jc w:val="left"/>
        <w:rPr>
          <w:rStyle w:val="28"/>
          <w:rFonts w:hint="eastAsia" w:ascii="宋体" w:hAnsi="宋体" w:cs="宋体"/>
          <w:kern w:val="0"/>
        </w:rPr>
      </w:pPr>
      <w:r>
        <w:rPr>
          <w:rStyle w:val="28"/>
          <w:rFonts w:hint="eastAsia" w:ascii="宋体" w:hAnsi="宋体" w:cs="宋体"/>
          <w:kern w:val="0"/>
        </w:rPr>
        <w:t>（2）非原参加投标中标的项目经理负责组织施工或在实施过程中擅自更换项目经理的、项目的其他主要管理人员与中标文件确定的人员不相符的；</w:t>
      </w:r>
    </w:p>
    <w:p w14:paraId="67423281">
      <w:pPr>
        <w:pStyle w:val="44"/>
        <w:snapToGrid w:val="0"/>
        <w:spacing w:line="360" w:lineRule="auto"/>
        <w:ind w:firstLine="480" w:firstLineChars="200"/>
        <w:jc w:val="left"/>
        <w:rPr>
          <w:rStyle w:val="28"/>
          <w:rFonts w:hint="eastAsia" w:ascii="宋体" w:hAnsi="宋体" w:cs="宋体"/>
          <w:kern w:val="0"/>
        </w:rPr>
      </w:pPr>
      <w:r>
        <w:rPr>
          <w:rStyle w:val="28"/>
          <w:rFonts w:hint="eastAsia" w:ascii="宋体" w:hAnsi="宋体" w:cs="宋体"/>
          <w:kern w:val="0"/>
        </w:rPr>
        <w:t>（3）投标文件确定的大型机械设备没有进入施工现场的；</w:t>
      </w:r>
    </w:p>
    <w:p w14:paraId="71987D1D">
      <w:pPr>
        <w:pStyle w:val="44"/>
        <w:snapToGrid w:val="0"/>
        <w:spacing w:line="360" w:lineRule="auto"/>
        <w:ind w:firstLine="480" w:firstLineChars="200"/>
        <w:jc w:val="left"/>
        <w:rPr>
          <w:rStyle w:val="28"/>
          <w:rFonts w:hint="eastAsia" w:ascii="宋体" w:hAnsi="宋体" w:cs="宋体"/>
          <w:kern w:val="0"/>
        </w:rPr>
      </w:pPr>
      <w:r>
        <w:rPr>
          <w:rStyle w:val="28"/>
          <w:rFonts w:hint="eastAsia" w:ascii="宋体" w:hAnsi="宋体" w:cs="宋体"/>
          <w:kern w:val="0"/>
        </w:rPr>
        <w:t>（4）与建设单位、监理单位串通，签认虚假工程量或工程造价的；</w:t>
      </w:r>
    </w:p>
    <w:p w14:paraId="0204C437">
      <w:pPr>
        <w:pStyle w:val="44"/>
        <w:snapToGrid w:val="0"/>
        <w:spacing w:line="360" w:lineRule="auto"/>
        <w:ind w:firstLine="480" w:firstLineChars="200"/>
        <w:jc w:val="left"/>
        <w:rPr>
          <w:rStyle w:val="28"/>
          <w:rFonts w:hint="eastAsia" w:ascii="宋体" w:hAnsi="宋体" w:cs="宋体"/>
          <w:kern w:val="0"/>
        </w:rPr>
      </w:pPr>
      <w:r>
        <w:rPr>
          <w:rStyle w:val="28"/>
          <w:rFonts w:hint="eastAsia" w:ascii="宋体" w:hAnsi="宋体" w:cs="宋体"/>
          <w:kern w:val="0"/>
        </w:rPr>
        <w:t>（5）项目经理施工现场管理不到位的；</w:t>
      </w:r>
    </w:p>
    <w:p w14:paraId="0BE81D11">
      <w:pPr>
        <w:pStyle w:val="44"/>
        <w:snapToGrid w:val="0"/>
        <w:spacing w:line="360" w:lineRule="auto"/>
        <w:ind w:firstLine="480" w:firstLineChars="200"/>
        <w:jc w:val="left"/>
        <w:rPr>
          <w:rStyle w:val="28"/>
          <w:rFonts w:hint="eastAsia" w:ascii="宋体" w:hAnsi="宋体" w:cs="宋体"/>
          <w:kern w:val="0"/>
        </w:rPr>
      </w:pPr>
      <w:r>
        <w:rPr>
          <w:rStyle w:val="28"/>
          <w:rFonts w:hint="eastAsia" w:ascii="宋体" w:hAnsi="宋体" w:cs="宋体"/>
          <w:kern w:val="0"/>
        </w:rPr>
        <w:t>（6）项目经理在非本人资格证书注册单位从事工程项目施工管理的；</w:t>
      </w:r>
    </w:p>
    <w:p w14:paraId="62AFD9A9">
      <w:pPr>
        <w:pStyle w:val="44"/>
        <w:snapToGrid w:val="0"/>
        <w:spacing w:line="360" w:lineRule="auto"/>
        <w:ind w:firstLine="480" w:firstLineChars="200"/>
        <w:jc w:val="left"/>
        <w:rPr>
          <w:rStyle w:val="28"/>
          <w:rFonts w:hint="eastAsia" w:ascii="宋体" w:hAnsi="宋体" w:cs="宋体"/>
          <w:kern w:val="0"/>
        </w:rPr>
      </w:pPr>
      <w:r>
        <w:rPr>
          <w:rStyle w:val="28"/>
          <w:rFonts w:hint="eastAsia" w:ascii="宋体" w:hAnsi="宋体" w:cs="宋体"/>
          <w:kern w:val="0"/>
        </w:rPr>
        <w:t>（7）项目经理同时承担超过一项工程项目的；</w:t>
      </w:r>
    </w:p>
    <w:p w14:paraId="0F3E19FB">
      <w:pPr>
        <w:pStyle w:val="44"/>
        <w:snapToGrid w:val="0"/>
        <w:spacing w:line="360" w:lineRule="auto"/>
        <w:ind w:firstLine="480" w:firstLineChars="200"/>
        <w:jc w:val="left"/>
        <w:rPr>
          <w:rStyle w:val="28"/>
          <w:rFonts w:hint="eastAsia" w:ascii="宋体" w:hAnsi="宋体" w:cs="宋体"/>
          <w:kern w:val="0"/>
        </w:rPr>
      </w:pPr>
      <w:r>
        <w:rPr>
          <w:rStyle w:val="28"/>
          <w:rFonts w:hint="eastAsia" w:ascii="宋体" w:hAnsi="宋体" w:cs="宋体"/>
          <w:kern w:val="0"/>
        </w:rPr>
        <w:t>（8）违反有关法律法规、规章规定的其它行为。</w:t>
      </w:r>
    </w:p>
    <w:p w14:paraId="5C776476">
      <w:pPr>
        <w:pStyle w:val="44"/>
        <w:snapToGrid w:val="0"/>
        <w:spacing w:line="360" w:lineRule="auto"/>
        <w:ind w:firstLine="482" w:firstLineChars="200"/>
        <w:jc w:val="left"/>
        <w:rPr>
          <w:rStyle w:val="28"/>
          <w:rFonts w:hint="eastAsia" w:ascii="宋体" w:hAnsi="宋体" w:cs="宋体"/>
          <w:b/>
          <w:bCs/>
          <w:kern w:val="0"/>
        </w:rPr>
      </w:pPr>
    </w:p>
    <w:p w14:paraId="6B55D822">
      <w:pPr>
        <w:pStyle w:val="44"/>
        <w:snapToGrid w:val="0"/>
        <w:spacing w:line="360" w:lineRule="auto"/>
        <w:ind w:firstLine="482" w:firstLineChars="200"/>
        <w:jc w:val="left"/>
        <w:outlineLvl w:val="1"/>
        <w:rPr>
          <w:rStyle w:val="28"/>
          <w:rFonts w:hint="eastAsia" w:ascii="宋体" w:hAnsi="宋体" w:cs="宋体"/>
          <w:b/>
          <w:bCs/>
          <w:kern w:val="0"/>
        </w:rPr>
      </w:pPr>
      <w:bookmarkStart w:id="303" w:name="_Toc21570"/>
      <w:bookmarkStart w:id="304" w:name="_Toc20232"/>
      <w:bookmarkStart w:id="305" w:name="_Toc978"/>
      <w:bookmarkStart w:id="306" w:name="_Toc5167"/>
      <w:bookmarkStart w:id="307" w:name="_Toc10467"/>
      <w:bookmarkStart w:id="308" w:name="_Toc2048"/>
      <w:bookmarkStart w:id="309" w:name="_Toc15747"/>
      <w:bookmarkStart w:id="310" w:name="_Toc8814"/>
      <w:bookmarkStart w:id="311" w:name="_Toc25396"/>
      <w:bookmarkStart w:id="312" w:name="_Toc10238"/>
      <w:bookmarkStart w:id="313" w:name="_Toc8801"/>
      <w:bookmarkStart w:id="314" w:name="_Toc25724"/>
      <w:bookmarkStart w:id="315" w:name="_Toc4093"/>
      <w:r>
        <w:rPr>
          <w:rStyle w:val="28"/>
          <w:rFonts w:hint="eastAsia" w:ascii="宋体" w:hAnsi="宋体" w:cs="宋体"/>
          <w:b/>
          <w:bCs/>
          <w:kern w:val="0"/>
        </w:rPr>
        <w:t>16.信用评价条款内容</w:t>
      </w:r>
      <w:bookmarkEnd w:id="303"/>
      <w:bookmarkEnd w:id="304"/>
      <w:bookmarkEnd w:id="305"/>
      <w:bookmarkEnd w:id="306"/>
      <w:bookmarkEnd w:id="307"/>
      <w:bookmarkEnd w:id="308"/>
      <w:bookmarkEnd w:id="309"/>
      <w:bookmarkEnd w:id="310"/>
      <w:bookmarkEnd w:id="311"/>
      <w:bookmarkEnd w:id="312"/>
      <w:bookmarkEnd w:id="313"/>
      <w:bookmarkEnd w:id="314"/>
      <w:bookmarkEnd w:id="315"/>
    </w:p>
    <w:p w14:paraId="57518550">
      <w:pPr>
        <w:pStyle w:val="46"/>
        <w:snapToGrid w:val="0"/>
        <w:ind w:firstLine="560"/>
        <w:rPr>
          <w:rStyle w:val="28"/>
          <w:rFonts w:hint="eastAsia" w:hAnsi="宋体"/>
          <w:kern w:val="0"/>
        </w:rPr>
      </w:pPr>
      <w:r>
        <w:rPr>
          <w:rStyle w:val="28"/>
          <w:rFonts w:hint="eastAsia" w:hAnsi="宋体"/>
          <w:kern w:val="0"/>
        </w:rPr>
        <w:t>由招标人决定是否对施工单位的履约情况进行信用评价。若进行信用评价，评价条款由招标人自拟，条款内容可参考人员到位情况、服务配合程度、服务成果质量、项目后期服务及信用评价结果的运用等。</w:t>
      </w:r>
    </w:p>
    <w:p w14:paraId="6D743CBB">
      <w:pPr>
        <w:pStyle w:val="46"/>
        <w:snapToGrid w:val="0"/>
        <w:ind w:firstLine="560"/>
        <w:rPr>
          <w:rStyle w:val="28"/>
          <w:rFonts w:hint="eastAsia" w:hAnsi="宋体"/>
          <w:kern w:val="0"/>
        </w:rPr>
      </w:pPr>
    </w:p>
    <w:p w14:paraId="1F4AB6A4">
      <w:pPr>
        <w:pStyle w:val="46"/>
        <w:snapToGrid w:val="0"/>
        <w:ind w:firstLine="482" w:firstLineChars="200"/>
        <w:outlineLvl w:val="1"/>
        <w:rPr>
          <w:rStyle w:val="28"/>
          <w:rFonts w:hint="eastAsia" w:hAnsi="宋体"/>
          <w:b/>
          <w:bCs/>
        </w:rPr>
      </w:pPr>
      <w:bookmarkStart w:id="316" w:name="_Toc16813"/>
      <w:bookmarkStart w:id="317" w:name="_Toc3840"/>
      <w:bookmarkStart w:id="318" w:name="_Toc5020"/>
      <w:bookmarkStart w:id="319" w:name="_Toc20918"/>
      <w:bookmarkStart w:id="320" w:name="_Toc4965"/>
      <w:bookmarkStart w:id="321" w:name="_Toc26751"/>
      <w:bookmarkStart w:id="322" w:name="_Toc1776"/>
      <w:bookmarkStart w:id="323" w:name="_Toc13500"/>
      <w:bookmarkStart w:id="324" w:name="_Toc17033"/>
      <w:bookmarkStart w:id="325" w:name="_Toc2774"/>
      <w:bookmarkStart w:id="326" w:name="_Toc21593"/>
      <w:bookmarkStart w:id="327" w:name="_Toc9486"/>
      <w:bookmarkStart w:id="328" w:name="_Toc24956"/>
      <w:r>
        <w:rPr>
          <w:rStyle w:val="28"/>
          <w:rFonts w:hint="eastAsia" w:hAnsi="宋体"/>
          <w:b/>
          <w:bCs/>
        </w:rPr>
        <w:t>17.其他事项</w:t>
      </w:r>
      <w:bookmarkEnd w:id="316"/>
      <w:bookmarkEnd w:id="317"/>
      <w:bookmarkEnd w:id="318"/>
      <w:bookmarkEnd w:id="319"/>
      <w:bookmarkEnd w:id="320"/>
      <w:bookmarkEnd w:id="321"/>
      <w:bookmarkEnd w:id="322"/>
      <w:bookmarkEnd w:id="323"/>
      <w:bookmarkEnd w:id="324"/>
      <w:bookmarkEnd w:id="325"/>
      <w:bookmarkEnd w:id="326"/>
      <w:bookmarkEnd w:id="327"/>
      <w:bookmarkEnd w:id="328"/>
    </w:p>
    <w:p w14:paraId="104D69DA">
      <w:pPr>
        <w:pStyle w:val="46"/>
        <w:snapToGrid w:val="0"/>
        <w:ind w:firstLine="482" w:firstLineChars="200"/>
        <w:outlineLvl w:val="1"/>
        <w:rPr>
          <w:rStyle w:val="28"/>
          <w:rFonts w:hint="eastAsia" w:hAnsi="宋体"/>
          <w:b/>
          <w:bCs/>
        </w:rPr>
      </w:pPr>
      <w:r>
        <w:rPr>
          <w:rStyle w:val="28"/>
          <w:rFonts w:hint="eastAsia" w:hAnsi="宋体"/>
          <w:b/>
          <w:bCs/>
        </w:rPr>
        <w:t xml:space="preserve">17.1 </w:t>
      </w:r>
      <w:r>
        <w:rPr>
          <w:rStyle w:val="28"/>
          <w:rFonts w:hint="eastAsia" w:hAnsi="宋体"/>
        </w:rPr>
        <w:t>承包人须为本项目投保建筑工程一切险（含第三者责任险），为本项目作业人员办理工伤保险，并购买人身意外伤害商业保险。相关保险费用包含在合同总价内，发包人不另行支付。承包人须在开工前提交保险凭证给发包人备案，保险保障覆盖全部施工周期。未按要求投保产生的一切损失与赔偿责任，均由承包人承担。</w:t>
      </w:r>
    </w:p>
    <w:p w14:paraId="04E2937C">
      <w:pPr>
        <w:pStyle w:val="46"/>
        <w:snapToGrid w:val="0"/>
        <w:ind w:firstLine="482" w:firstLineChars="200"/>
        <w:outlineLvl w:val="1"/>
        <w:rPr>
          <w:rFonts w:hint="eastAsia" w:hAnsi="宋体"/>
          <w:b/>
          <w:bCs/>
          <w:snapToGrid w:val="0"/>
          <w:kern w:val="0"/>
        </w:rPr>
      </w:pPr>
      <w:r>
        <w:rPr>
          <w:rFonts w:hint="eastAsia" w:hAnsi="宋体"/>
          <w:b/>
          <w:bCs/>
          <w:snapToGrid w:val="0"/>
          <w:kern w:val="0"/>
        </w:rPr>
        <w:t xml:space="preserve">17.2 </w:t>
      </w:r>
      <w:r>
        <w:rPr>
          <w:rFonts w:hint="eastAsia" w:hAnsi="宋体"/>
          <w:snapToGrid w:val="0"/>
          <w:kern w:val="0"/>
        </w:rPr>
        <w:t>施工过程中，施工组织设计、专项施工方案等按规定需组织专家论证或专家评审的，专家论证费或专家评审费、交通费、餐饮费等评审相关全部费用由中标人承担，该费用已含在合同总价中，招标人不另行支付。</w:t>
      </w:r>
    </w:p>
    <w:p w14:paraId="0340B3DF">
      <w:pPr>
        <w:pStyle w:val="46"/>
        <w:snapToGrid w:val="0"/>
        <w:ind w:firstLine="482" w:firstLineChars="200"/>
        <w:outlineLvl w:val="1"/>
        <w:rPr>
          <w:rFonts w:hint="eastAsia" w:hAnsi="宋体"/>
        </w:rPr>
      </w:pPr>
      <w:r>
        <w:rPr>
          <w:rFonts w:hint="eastAsia" w:hAnsi="宋体"/>
          <w:b/>
          <w:bCs/>
          <w:snapToGrid w:val="0"/>
          <w:kern w:val="0"/>
        </w:rPr>
        <w:t xml:space="preserve">17.3 </w:t>
      </w:r>
      <w:r>
        <w:rPr>
          <w:rFonts w:hint="eastAsia" w:hAnsi="宋体"/>
        </w:rPr>
        <w:t>承包人按照市住管局有关规定安装视频监控系统，并支付相关费用，相关费用已包含在合同价中。</w:t>
      </w:r>
    </w:p>
    <w:p w14:paraId="644131D9">
      <w:pPr>
        <w:ind w:firstLine="422" w:firstLineChars="175"/>
        <w:rPr>
          <w:rFonts w:hint="eastAsia" w:hAnsi="宋体"/>
          <w:b/>
          <w:bCs/>
          <w:snapToGrid w:val="0"/>
          <w:kern w:val="0"/>
        </w:rPr>
      </w:pPr>
      <w:r>
        <w:rPr>
          <w:rFonts w:hint="eastAsia" w:hAnsi="宋体"/>
          <w:b/>
          <w:bCs/>
          <w:snapToGrid w:val="0"/>
          <w:kern w:val="0"/>
        </w:rPr>
        <w:t>开工一个月内必须按相关规定和要求安装视频监控系统，并接入相关部门监控系统，如未按时安装视频监控系统，发包人有权在措施费中扣除相关费用。</w:t>
      </w:r>
    </w:p>
    <w:p w14:paraId="342248BF">
      <w:pPr>
        <w:ind w:firstLine="422" w:firstLineChars="175"/>
        <w:rPr>
          <w:rFonts w:hint="eastAsia" w:hAnsi="宋体"/>
        </w:rPr>
      </w:pPr>
      <w:r>
        <w:rPr>
          <w:rFonts w:hint="eastAsia" w:hAnsi="宋体"/>
          <w:b/>
          <w:bCs/>
          <w:snapToGrid w:val="0"/>
          <w:kern w:val="0"/>
        </w:rPr>
        <w:t xml:space="preserve">17.4 </w:t>
      </w:r>
      <w:r>
        <w:rPr>
          <w:rFonts w:hint="eastAsia" w:hAnsi="宋体"/>
          <w:snapToGrid w:val="0"/>
          <w:kern w:val="0"/>
        </w:rPr>
        <w:t>由于发包人原因导致工期延迟的，承包人仅可以获得顺延工期的补偿，不予任何费用补偿。</w:t>
      </w:r>
    </w:p>
    <w:p w14:paraId="224D9BFC">
      <w:pPr>
        <w:ind w:firstLine="422" w:firstLineChars="175"/>
        <w:rPr>
          <w:rFonts w:hint="eastAsia" w:hAnsi="宋体"/>
        </w:rPr>
      </w:pPr>
      <w:r>
        <w:rPr>
          <w:rFonts w:hint="eastAsia" w:hAnsi="宋体"/>
          <w:b/>
          <w:bCs/>
          <w:snapToGrid w:val="0"/>
          <w:kern w:val="0"/>
        </w:rPr>
        <w:t xml:space="preserve">17.5 </w:t>
      </w:r>
      <w:r>
        <w:rPr>
          <w:rFonts w:hint="eastAsia" w:hAnsi="宋体"/>
        </w:rPr>
        <w:t>白蚁防治方案应报发包人、监理工程师审核，按有关规定和标准做好白蚁防治工作。</w:t>
      </w:r>
    </w:p>
    <w:p w14:paraId="1665C8CC">
      <w:pPr>
        <w:ind w:firstLine="422" w:firstLineChars="175"/>
        <w:rPr>
          <w:rFonts w:hint="eastAsia" w:hAnsi="宋体"/>
          <w:snapToGrid w:val="0"/>
          <w:kern w:val="0"/>
        </w:rPr>
      </w:pPr>
      <w:r>
        <w:rPr>
          <w:rFonts w:hint="eastAsia" w:hAnsi="宋体"/>
          <w:b/>
          <w:bCs/>
          <w:snapToGrid w:val="0"/>
          <w:kern w:val="0"/>
        </w:rPr>
        <w:t xml:space="preserve">17.6 </w:t>
      </w:r>
      <w:r>
        <w:rPr>
          <w:rFonts w:hint="eastAsia" w:hAnsi="宋体"/>
          <w:snapToGrid w:val="0"/>
          <w:kern w:val="0"/>
        </w:rPr>
        <w:t>招标文件中涉及的合同实质性内容以及拟签合同的主要条款内容、中标须知、相关附件、格式内容等为中标后拟签合同实质性内容，在订立合同时不得擅自进行更改。</w:t>
      </w:r>
    </w:p>
    <w:p w14:paraId="59D50111">
      <w:pPr>
        <w:pStyle w:val="47"/>
        <w:wordWrap w:val="0"/>
        <w:adjustRightInd w:val="0"/>
        <w:snapToGrid w:val="0"/>
        <w:ind w:firstLine="482" w:firstLineChars="200"/>
        <w:rPr>
          <w:rFonts w:hint="eastAsia" w:hAnsi="宋体" w:cs="宋体"/>
        </w:rPr>
      </w:pPr>
      <w:r>
        <w:rPr>
          <w:rFonts w:hint="eastAsia" w:hAnsi="宋体" w:cs="宋体"/>
          <w:b/>
          <w:bCs/>
          <w:snapToGrid w:val="0"/>
          <w:kern w:val="0"/>
        </w:rPr>
        <w:t xml:space="preserve">17.7 </w:t>
      </w:r>
      <w:r>
        <w:rPr>
          <w:rFonts w:hint="eastAsia" w:hAnsi="宋体" w:cs="宋体"/>
        </w:rPr>
        <w:t>工程完工后，为了本项目整体竣工验收的需要，承包人必须在发包人的统筹安排下，与为本项目其他工程服务的单位进行协同配合，做好竣工验收的各项工作，交付的工程必须符合各专业工程管养单位的相关要求。</w:t>
      </w:r>
    </w:p>
    <w:p w14:paraId="5B96C38A">
      <w:pPr>
        <w:pStyle w:val="47"/>
        <w:wordWrap w:val="0"/>
        <w:adjustRightInd w:val="0"/>
        <w:snapToGrid w:val="0"/>
        <w:ind w:firstLine="482" w:firstLineChars="200"/>
        <w:rPr>
          <w:rFonts w:hint="eastAsia" w:hAnsi="宋体" w:cs="宋体"/>
        </w:rPr>
      </w:pPr>
      <w:r>
        <w:rPr>
          <w:rFonts w:hint="eastAsia" w:hAnsi="宋体" w:cs="宋体"/>
          <w:b/>
          <w:bCs/>
          <w:snapToGrid w:val="0"/>
          <w:kern w:val="0"/>
        </w:rPr>
        <w:t xml:space="preserve">17.8 </w:t>
      </w:r>
      <w:r>
        <w:rPr>
          <w:rFonts w:hint="eastAsia" w:hAnsi="宋体" w:cs="宋体"/>
        </w:rPr>
        <w:t>中标人应做好周边设施（含燃气、供电、供水、排水、排污、人行道、路灯等）的成品保护，如因中标人原因导致上述设施发生损坏，中标人无条件按招标人规定的期限内修复，否则按招标文件和合同相关约定扣除违约金。</w:t>
      </w:r>
    </w:p>
    <w:p w14:paraId="41D86138">
      <w:pPr>
        <w:ind w:firstLine="482" w:firstLineChars="200"/>
        <w:rPr>
          <w:rFonts w:hint="eastAsia" w:hAnsi="宋体"/>
        </w:rPr>
      </w:pPr>
      <w:r>
        <w:rPr>
          <w:rFonts w:hint="eastAsia" w:hAnsi="宋体"/>
          <w:b/>
          <w:bCs/>
          <w:snapToGrid w:val="0"/>
          <w:kern w:val="0"/>
        </w:rPr>
        <w:t>17.9</w:t>
      </w:r>
      <w:r>
        <w:rPr>
          <w:rFonts w:hint="eastAsia" w:hAnsi="宋体"/>
        </w:rPr>
        <w:t xml:space="preserve"> 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14:paraId="25168440">
      <w:pPr>
        <w:ind w:firstLine="482" w:firstLineChars="200"/>
        <w:rPr>
          <w:rFonts w:hint="eastAsia" w:hAnsi="宋体"/>
        </w:rPr>
      </w:pPr>
      <w:r>
        <w:rPr>
          <w:rFonts w:hint="eastAsia" w:hAnsi="宋体"/>
          <w:b/>
          <w:bCs/>
          <w:snapToGrid w:val="0"/>
          <w:kern w:val="0"/>
        </w:rPr>
        <w:t xml:space="preserve">17.10 </w:t>
      </w:r>
      <w:r>
        <w:rPr>
          <w:rFonts w:hint="eastAsia" w:hAnsi="宋体"/>
        </w:rPr>
        <w:t>在工程质量缺陷保修期内，承包人的违约责任</w:t>
      </w:r>
    </w:p>
    <w:p w14:paraId="6BDC5C18">
      <w:pPr>
        <w:ind w:firstLine="482" w:firstLineChars="200"/>
        <w:rPr>
          <w:rFonts w:hint="eastAsia" w:hAnsi="宋体"/>
        </w:rPr>
      </w:pPr>
      <w:r>
        <w:rPr>
          <w:rFonts w:hint="eastAsia" w:hAnsi="宋体"/>
          <w:b/>
          <w:bCs/>
          <w:snapToGrid w:val="0"/>
          <w:kern w:val="0"/>
        </w:rPr>
        <w:t xml:space="preserve">17.10.1 </w:t>
      </w:r>
      <w:r>
        <w:rPr>
          <w:rFonts w:hint="eastAsia" w:hAnsi="宋体"/>
        </w:rPr>
        <w:t>在保修期内发生质量缺陷或紧急抢修事故的，如发包人无法联系到承包人，或联系到承包人但承包人不能及时履行保修义务时，无论缺陷责任是否属于承包人，承包人必须承担由此产生的一切保修费用、相关损失及违约责任。</w:t>
      </w:r>
    </w:p>
    <w:p w14:paraId="7FC6048B">
      <w:pPr>
        <w:ind w:firstLine="482" w:firstLineChars="200"/>
        <w:rPr>
          <w:rFonts w:hint="eastAsia" w:hAnsi="宋体"/>
        </w:rPr>
      </w:pPr>
      <w:r>
        <w:rPr>
          <w:rFonts w:hint="eastAsia" w:hAnsi="宋体"/>
          <w:b/>
          <w:bCs/>
          <w:snapToGrid w:val="0"/>
          <w:kern w:val="0"/>
        </w:rPr>
        <w:t xml:space="preserve">17.10.2 </w:t>
      </w:r>
      <w:r>
        <w:rPr>
          <w:rFonts w:hint="eastAsia" w:hAnsi="宋体"/>
        </w:rPr>
        <w:t>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6AA94433">
      <w:pPr>
        <w:ind w:firstLine="482" w:firstLineChars="200"/>
        <w:rPr>
          <w:rFonts w:hint="eastAsia" w:hAnsi="宋体"/>
        </w:rPr>
      </w:pPr>
      <w:r>
        <w:rPr>
          <w:rFonts w:hint="eastAsia" w:hAnsi="宋体"/>
          <w:b/>
          <w:bCs/>
          <w:snapToGrid w:val="0"/>
          <w:kern w:val="0"/>
        </w:rPr>
        <w:t xml:space="preserve">17.10.3 </w:t>
      </w:r>
      <w:r>
        <w:rPr>
          <w:rFonts w:hint="eastAsia" w:hAnsi="宋体"/>
        </w:rPr>
        <w:t>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7AAA5488">
      <w:pPr>
        <w:ind w:firstLine="482" w:firstLineChars="200"/>
        <w:rPr>
          <w:rFonts w:hint="eastAsia" w:hAnsi="宋体"/>
        </w:rPr>
      </w:pPr>
      <w:r>
        <w:rPr>
          <w:rFonts w:hint="eastAsia" w:hAnsi="宋体"/>
          <w:b/>
          <w:bCs/>
          <w:snapToGrid w:val="0"/>
          <w:kern w:val="0"/>
        </w:rPr>
        <w:t xml:space="preserve">17.10.4 </w:t>
      </w:r>
      <w:r>
        <w:rPr>
          <w:rFonts w:hint="eastAsia" w:hAnsi="宋体"/>
        </w:rPr>
        <w:t>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14:paraId="7379D6D8">
      <w:pPr>
        <w:ind w:firstLine="482" w:firstLineChars="200"/>
        <w:rPr>
          <w:rFonts w:hint="eastAsia" w:hAnsi="宋体"/>
        </w:rPr>
      </w:pPr>
      <w:r>
        <w:rPr>
          <w:rFonts w:hint="eastAsia" w:hAnsi="宋体"/>
          <w:b/>
          <w:bCs/>
          <w:snapToGrid w:val="0"/>
          <w:kern w:val="0"/>
        </w:rPr>
        <w:t xml:space="preserve">17.10.5 </w:t>
      </w:r>
      <w:r>
        <w:rPr>
          <w:rFonts w:hint="eastAsia" w:hAnsi="宋体"/>
        </w:rPr>
        <w:t>若承包人按照发包人的要求及时履行了保修义务，并能提供证据说明质量缺陷非乙方的责任，保修费用及相关损失由缺陷责任方承担。</w:t>
      </w:r>
    </w:p>
    <w:p w14:paraId="24341CF9">
      <w:pPr>
        <w:ind w:firstLine="482" w:firstLineChars="200"/>
        <w:rPr>
          <w:rFonts w:hint="eastAsia" w:hAnsi="宋体"/>
        </w:rPr>
      </w:pPr>
      <w:r>
        <w:rPr>
          <w:rFonts w:hint="eastAsia" w:hAnsi="宋体"/>
          <w:b/>
          <w:bCs/>
          <w:snapToGrid w:val="0"/>
          <w:kern w:val="0"/>
        </w:rPr>
        <w:t xml:space="preserve">17.10.6 </w:t>
      </w:r>
      <w:r>
        <w:rPr>
          <w:rFonts w:hint="eastAsia" w:hAnsi="宋体"/>
        </w:rPr>
        <w:t>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14:paraId="7E4843B6">
      <w:pPr>
        <w:pStyle w:val="47"/>
        <w:snapToGrid w:val="0"/>
        <w:ind w:firstLine="482" w:firstLineChars="200"/>
        <w:rPr>
          <w:rFonts w:hint="eastAsia" w:hAnsi="宋体" w:cs="宋体"/>
          <w:b/>
          <w:shd w:val="clear" w:color="auto" w:fill="FFFFFF"/>
        </w:rPr>
      </w:pPr>
      <w:r>
        <w:rPr>
          <w:rFonts w:hint="eastAsia" w:hAnsi="宋体" w:cs="宋体"/>
          <w:b/>
          <w:shd w:val="clear" w:color="auto" w:fill="FFFFFF"/>
        </w:rPr>
        <w:t>17.11 危险性较大的分部分项工程安全管理约定</w:t>
      </w:r>
    </w:p>
    <w:p w14:paraId="355A935B">
      <w:pPr>
        <w:pStyle w:val="47"/>
        <w:wordWrap w:val="0"/>
        <w:adjustRightInd w:val="0"/>
        <w:snapToGrid w:val="0"/>
        <w:ind w:firstLine="482" w:firstLineChars="200"/>
        <w:rPr>
          <w:rFonts w:hint="eastAsia" w:hAnsi="宋体" w:cs="宋体"/>
          <w:b/>
          <w:shd w:val="clear" w:color="auto" w:fill="FFFFFF"/>
        </w:rPr>
      </w:pPr>
      <w:r>
        <w:rPr>
          <w:rFonts w:hint="eastAsia" w:hAnsi="宋体" w:cs="宋体"/>
          <w:b/>
          <w:shd w:val="clear" w:color="auto" w:fill="FFFFFF"/>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定的本项目安全生产管理方面的规章制度、安全检查程序及施工安全管理要求，以及监理人有关安全工作的指令。</w:t>
      </w:r>
    </w:p>
    <w:p w14:paraId="6ED3D5CF">
      <w:pPr>
        <w:pStyle w:val="47"/>
        <w:wordWrap w:val="0"/>
        <w:adjustRightInd w:val="0"/>
        <w:snapToGrid w:val="0"/>
        <w:ind w:firstLine="482" w:firstLineChars="200"/>
        <w:rPr>
          <w:rFonts w:hint="eastAsia" w:hAnsi="宋体" w:cs="宋体"/>
          <w:b/>
          <w:shd w:val="clear" w:color="auto" w:fill="FFFFFF"/>
        </w:rPr>
      </w:pPr>
      <w:r>
        <w:rPr>
          <w:rFonts w:hint="eastAsia" w:hAnsi="宋体" w:cs="宋体"/>
          <w:b/>
          <w:shd w:val="clear" w:color="auto" w:fill="FFFFFF"/>
        </w:rPr>
        <w:t>中标人应根据《危险性较大的分部分项工程安全管理规定》（住房和城乡建设部令第37号）、《住房城乡建设部办公厅关于实施〈危险性较大的分部分项工程安全管理规定〉有关问题的通知》（建办质〔2018〕31号）、《广东省住房和城乡建设厅关于房屋市政工程危险性较大的分部分项工程安全管理的实施细则的通知》（粤建规范〔2019〕2号） 和《广东省安全生产委员会办公室 广东省住房和城乡建设厅关于〈严格落实危险性较大的分部分项工程“六不施工”要求的通知》（粤安办〔2020〕151 号）等有关危险性较大的分部分项工程的法规规定通知，履行建设工程安全生产管理职责。</w:t>
      </w:r>
    </w:p>
    <w:p w14:paraId="4FBE588A">
      <w:pPr>
        <w:pStyle w:val="47"/>
        <w:wordWrap w:val="0"/>
        <w:adjustRightInd w:val="0"/>
        <w:snapToGrid w:val="0"/>
        <w:ind w:firstLine="482" w:firstLineChars="200"/>
        <w:rPr>
          <w:rFonts w:hint="eastAsia" w:hAnsi="宋体" w:cs="宋体"/>
          <w:shd w:val="clear" w:color="auto" w:fill="FFFFFF"/>
        </w:rPr>
      </w:pPr>
      <w:r>
        <w:rPr>
          <w:rFonts w:hint="eastAsia" w:hAnsi="宋体" w:cs="宋体"/>
          <w:b/>
          <w:bCs/>
          <w:snapToGrid w:val="0"/>
          <w:kern w:val="0"/>
        </w:rPr>
        <w:t xml:space="preserve">17.12 </w:t>
      </w:r>
      <w:r>
        <w:rPr>
          <w:rFonts w:hint="eastAsia" w:hAnsi="宋体" w:cs="宋体"/>
          <w:shd w:val="clear" w:color="auto" w:fill="FFFFFF"/>
        </w:rPr>
        <w:t>中标人须按韶关市关于建筑渣土管理和扬尘治理等有关规定执行，中标人应在施工现场建立洗车和临时排水系统等确保外运车辆（土方运输车辆应符合韶关市的相关规定）不带泥上路，投标人在投标报价时综合考虑在报价内，招标人不另行支付该部分费用。</w:t>
      </w:r>
    </w:p>
    <w:p w14:paraId="5457872A">
      <w:pPr>
        <w:pStyle w:val="47"/>
        <w:snapToGrid w:val="0"/>
        <w:ind w:firstLine="482" w:firstLineChars="200"/>
        <w:rPr>
          <w:rFonts w:hint="eastAsia" w:hAnsi="宋体" w:cs="宋体"/>
          <w:shd w:val="clear" w:color="auto" w:fill="FFFFFF"/>
        </w:rPr>
      </w:pPr>
      <w:r>
        <w:rPr>
          <w:rFonts w:hint="eastAsia" w:hAnsi="宋体" w:cs="宋体"/>
          <w:b/>
          <w:bCs/>
          <w:snapToGrid w:val="0"/>
          <w:kern w:val="0"/>
        </w:rPr>
        <w:t xml:space="preserve">17.13 </w:t>
      </w:r>
      <w:r>
        <w:rPr>
          <w:rFonts w:hint="eastAsia" w:hAnsi="宋体" w:cs="宋体"/>
          <w:shd w:val="clear" w:color="auto" w:fill="FFFFFF"/>
        </w:rPr>
        <w:t>中标人应已详细了解本项目的前期工作（包括征地拆迁），同时也应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14:paraId="3CE938B7">
      <w:pPr>
        <w:pStyle w:val="47"/>
        <w:snapToGrid w:val="0"/>
        <w:ind w:firstLine="480" w:firstLineChars="200"/>
        <w:rPr>
          <w:rFonts w:hint="eastAsia" w:hAnsi="宋体" w:cs="宋体"/>
          <w:strike/>
          <w:shd w:val="clear" w:color="auto" w:fill="FFFFFF"/>
        </w:rPr>
      </w:pPr>
      <w:r>
        <w:rPr>
          <w:rFonts w:hint="eastAsia" w:hAnsi="宋体" w:cs="宋体"/>
          <w:shd w:val="clear" w:color="auto" w:fill="FFFFFF"/>
        </w:rPr>
        <w:t>如因招标人原因（自然灾害等不可抗力因素除外），工程不能按期开工，或开工后全部停滞，工期按相关规定予以顺延。停工发生后，若可复工时，中标人应在收到招标人发出的复工通知书后3日内开始复工。</w:t>
      </w:r>
    </w:p>
    <w:p w14:paraId="5A3191E1">
      <w:pPr>
        <w:pStyle w:val="47"/>
        <w:wordWrap w:val="0"/>
        <w:adjustRightInd w:val="0"/>
        <w:snapToGrid w:val="0"/>
        <w:ind w:firstLine="482" w:firstLineChars="200"/>
        <w:rPr>
          <w:rFonts w:hint="eastAsia" w:hAnsi="宋体" w:cs="宋体"/>
          <w:shd w:val="clear" w:color="auto" w:fill="FFFFFF"/>
        </w:rPr>
      </w:pPr>
      <w:r>
        <w:rPr>
          <w:rFonts w:hint="eastAsia" w:hAnsi="宋体" w:cs="宋体"/>
          <w:b/>
          <w:bCs/>
          <w:snapToGrid w:val="0"/>
          <w:kern w:val="0"/>
        </w:rPr>
        <w:t xml:space="preserve">17.14 </w:t>
      </w:r>
      <w:r>
        <w:rPr>
          <w:rFonts w:hint="eastAsia" w:hAnsi="宋体" w:cs="宋体"/>
          <w:shd w:val="clear" w:color="auto" w:fill="FFFFFF"/>
        </w:rPr>
        <w:t>承包人应充分考虑施工对接情况，为本项目的其他参建单位提供工作便利、配合及服务，并有针对性地组织施工；承包人与本项目的其他参建单位就协调、配合、服务等不能达成一致的，由监理工程师协调，并遵照监理工程师指令执行；承包人应负责统筹安排本项目范围内的各项工程的协调与配合，确保工程建设有序进行。承包人由此增加的费用应认为已包括在承包人的投标报价之中，发包人不另行支付。</w:t>
      </w:r>
    </w:p>
    <w:p w14:paraId="3AB656EE">
      <w:pPr>
        <w:pStyle w:val="47"/>
        <w:snapToGrid w:val="0"/>
        <w:ind w:firstLine="482" w:firstLineChars="200"/>
        <w:rPr>
          <w:rFonts w:hint="eastAsia" w:hAnsi="宋体" w:cs="宋体"/>
          <w:b/>
          <w:bCs/>
          <w:shd w:val="clear" w:color="auto" w:fill="FFFFFF"/>
        </w:rPr>
      </w:pPr>
      <w:r>
        <w:rPr>
          <w:rFonts w:hint="eastAsia" w:hAnsi="宋体" w:cs="宋体"/>
          <w:b/>
          <w:bCs/>
          <w:shd w:val="clear" w:color="auto" w:fill="FFFFFF"/>
        </w:rPr>
        <w:t>17.15 工人工资</w:t>
      </w:r>
    </w:p>
    <w:p w14:paraId="0031BB69">
      <w:pPr>
        <w:widowControl w:val="0"/>
        <w:wordWrap w:val="0"/>
        <w:ind w:firstLine="482" w:firstLineChars="200"/>
        <w:jc w:val="left"/>
        <w:rPr>
          <w:rStyle w:val="28"/>
          <w:rFonts w:hint="eastAsia" w:hAnsi="宋体"/>
          <w:kern w:val="0"/>
        </w:rPr>
      </w:pPr>
      <w:r>
        <w:rPr>
          <w:rFonts w:hint="eastAsia" w:hAnsi="宋体"/>
          <w:b/>
          <w:bCs/>
          <w:shd w:val="clear" w:color="auto" w:fill="FFFFFF"/>
        </w:rPr>
        <w:t>17.15</w:t>
      </w:r>
      <w:r>
        <w:rPr>
          <w:rStyle w:val="28"/>
          <w:rFonts w:hint="eastAsia" w:hAnsi="宋体"/>
          <w:b/>
          <w:bCs/>
        </w:rPr>
        <w:t xml:space="preserve">.1 </w:t>
      </w:r>
      <w:r>
        <w:rPr>
          <w:rStyle w:val="28"/>
          <w:rFonts w:hint="eastAsia" w:hAnsi="宋体"/>
          <w:kern w:val="0"/>
        </w:rPr>
        <w:t>依据人力资源社会保障部等十部门印发的《工程建设领域农民工工资专用账户管理暂行办法》（韶人社规〔2023〕2号）文件规定，中标人中标后，须到银行设立工人工资支付专用账户，用于支付工人工资。发包人支付工程款时，将按工程款（不含工人工资）和工人工资两部分分开支付，工人工资支付至专用账户。中标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p>
    <w:p w14:paraId="0EEF618C">
      <w:pPr>
        <w:pStyle w:val="48"/>
        <w:spacing w:line="360" w:lineRule="auto"/>
        <w:ind w:firstLine="470" w:firstLineChars="0"/>
        <w:rPr>
          <w:rFonts w:hint="eastAsia" w:ascii="宋体" w:hAnsi="宋体"/>
          <w:bCs/>
          <w:sz w:val="24"/>
          <w:szCs w:val="24"/>
          <w:lang w:bidi="ar"/>
        </w:rPr>
      </w:pPr>
      <w:r>
        <w:rPr>
          <w:rStyle w:val="28"/>
          <w:rFonts w:hint="eastAsia" w:ascii="宋体" w:hAnsi="宋体"/>
          <w:kern w:val="0"/>
          <w:sz w:val="24"/>
          <w:szCs w:val="24"/>
        </w:rPr>
        <w:t>根据转发《广东省人力资源和社会保障厅 广东省住房和城乡建设厅 广东省交通运输厅 广东省水利厅 关于建设工程领域农民工工资支付保证金管理办法》的通知（韶人社〔2020〕3号）文件规定，中标人中标后，应在30日历天内按承包合同工程造价5%的比例（不超过300万元）一次性将工人工资保证金存入银行专用存款账户。逾期未存储的，招标人将扣留与本项目工人工资保证金等额的工程款（工人工资除外），直至中标人按《韶关市建设领域施工企业工人工资支付保证金管理办法》等相关文件要求缴纳工人工资保证金。在中标人未按要求缴纳工人工资保证金期间，招标人扣留的工程款将作为工人工资保证金的预备资金，招标人有权将该部分资金用于处理该项目工人工资拖欠等情况的问题</w:t>
      </w:r>
      <w:r>
        <w:rPr>
          <w:rFonts w:hint="eastAsia" w:ascii="宋体" w:hAnsi="宋体"/>
          <w:bCs/>
          <w:sz w:val="24"/>
          <w:szCs w:val="24"/>
          <w:lang w:bidi="ar"/>
        </w:rPr>
        <w:t>。</w:t>
      </w:r>
    </w:p>
    <w:p w14:paraId="107DE665">
      <w:pPr>
        <w:pStyle w:val="47"/>
        <w:snapToGrid w:val="0"/>
        <w:ind w:firstLine="482" w:firstLineChars="200"/>
        <w:rPr>
          <w:rFonts w:hint="eastAsia" w:hAnsi="宋体" w:cs="宋体"/>
          <w:shd w:val="clear" w:color="auto" w:fill="FFFFFF"/>
        </w:rPr>
      </w:pPr>
      <w:r>
        <w:rPr>
          <w:rFonts w:hint="eastAsia" w:hAnsi="宋体" w:cs="宋体"/>
          <w:b/>
          <w:bCs/>
          <w:shd w:val="clear" w:color="auto" w:fill="FFFFFF"/>
        </w:rPr>
        <w:t>17.15</w:t>
      </w:r>
      <w:r>
        <w:rPr>
          <w:rStyle w:val="28"/>
          <w:rFonts w:hint="eastAsia" w:hAnsi="宋体" w:cs="宋体"/>
          <w:b/>
          <w:bCs/>
        </w:rPr>
        <w:t xml:space="preserve">.2 </w:t>
      </w:r>
      <w:r>
        <w:rPr>
          <w:rFonts w:hint="eastAsia" w:hAnsi="宋体" w:cs="宋体"/>
          <w:shd w:val="clear" w:color="auto" w:fill="FFFFFF"/>
        </w:rPr>
        <w:t>用人单位应当在用工之日起15日内为每一位工人办理个人银行账户。</w:t>
      </w:r>
    </w:p>
    <w:p w14:paraId="48FC6AD1">
      <w:pPr>
        <w:pStyle w:val="47"/>
        <w:snapToGrid w:val="0"/>
        <w:ind w:firstLine="482" w:firstLineChars="200"/>
        <w:rPr>
          <w:rFonts w:hint="eastAsia" w:hAnsi="宋体" w:cs="宋体"/>
          <w:shd w:val="clear" w:color="auto" w:fill="FFFFFF"/>
        </w:rPr>
      </w:pPr>
      <w:r>
        <w:rPr>
          <w:rFonts w:hint="eastAsia" w:hAnsi="宋体" w:cs="宋体"/>
          <w:b/>
          <w:bCs/>
          <w:shd w:val="clear" w:color="auto" w:fill="FFFFFF"/>
        </w:rPr>
        <w:t>17.15</w:t>
      </w:r>
      <w:r>
        <w:rPr>
          <w:rStyle w:val="28"/>
          <w:rFonts w:hint="eastAsia" w:hAnsi="宋体" w:cs="宋体"/>
          <w:b/>
          <w:bCs/>
        </w:rPr>
        <w:t xml:space="preserve">.3 </w:t>
      </w:r>
      <w:r>
        <w:rPr>
          <w:rFonts w:hint="eastAsia" w:hAnsi="宋体" w:cs="宋体"/>
          <w:shd w:val="clear" w:color="auto" w:fill="FFFFFF"/>
        </w:rPr>
        <w:t>用人单位应当指定专人负责建设项目施工现场台账管理，真实、准确记录工人名册、劳务合同、劳动合同、工程进度、工时台账、劳务承包款和工人工资支付等信息，并保存两年以上备查。</w:t>
      </w:r>
    </w:p>
    <w:p w14:paraId="169AB3D1">
      <w:pPr>
        <w:pStyle w:val="47"/>
        <w:snapToGrid w:val="0"/>
        <w:ind w:firstLine="482" w:firstLineChars="200"/>
        <w:rPr>
          <w:rFonts w:hint="eastAsia" w:hAnsi="宋体" w:cs="宋体"/>
          <w:shd w:val="clear" w:color="auto" w:fill="FFFFFF"/>
        </w:rPr>
      </w:pPr>
      <w:r>
        <w:rPr>
          <w:rFonts w:hint="eastAsia" w:hAnsi="宋体" w:cs="宋体"/>
          <w:b/>
          <w:bCs/>
          <w:shd w:val="clear" w:color="auto" w:fill="FFFFFF"/>
        </w:rPr>
        <w:t>17.15</w:t>
      </w:r>
      <w:r>
        <w:rPr>
          <w:rStyle w:val="28"/>
          <w:rFonts w:hint="eastAsia" w:hAnsi="宋体" w:cs="宋体"/>
          <w:b/>
          <w:bCs/>
        </w:rPr>
        <w:t xml:space="preserve">.4 </w:t>
      </w:r>
      <w:r>
        <w:rPr>
          <w:rFonts w:hint="eastAsia" w:hAnsi="宋体" w:cs="宋体"/>
          <w:shd w:val="clear" w:color="auto" w:fill="FFFFFF"/>
        </w:rPr>
        <w:t>用人单位应当按照“及时支付，按实结算”的原则，在规定日期前通过银行工人工资支付专用账户将工人工资直接支付到工人的个人银行账户，并按月将工人工资支付明细表报施工总承包单位和建设单位备案。</w:t>
      </w:r>
    </w:p>
    <w:p w14:paraId="47F12773">
      <w:pPr>
        <w:pStyle w:val="47"/>
        <w:snapToGrid w:val="0"/>
        <w:ind w:firstLine="482" w:firstLineChars="200"/>
        <w:rPr>
          <w:rFonts w:hint="eastAsia" w:hAnsi="宋体" w:cs="宋体"/>
          <w:shd w:val="clear" w:color="auto" w:fill="FFFFFF"/>
        </w:rPr>
      </w:pPr>
      <w:r>
        <w:rPr>
          <w:rFonts w:hint="eastAsia" w:hAnsi="宋体" w:cs="宋体"/>
          <w:b/>
          <w:bCs/>
          <w:shd w:val="clear" w:color="auto" w:fill="FFFFFF"/>
        </w:rPr>
        <w:t>17.15</w:t>
      </w:r>
      <w:r>
        <w:rPr>
          <w:rStyle w:val="28"/>
          <w:rFonts w:hint="eastAsia" w:hAnsi="宋体" w:cs="宋体"/>
          <w:b/>
          <w:bCs/>
        </w:rPr>
        <w:t xml:space="preserve">.5 </w:t>
      </w:r>
      <w:r>
        <w:rPr>
          <w:rFonts w:hint="eastAsia" w:hAnsi="宋体" w:cs="宋体"/>
          <w:shd w:val="clear" w:color="auto" w:fill="FFFFFF"/>
        </w:rPr>
        <w:t>用人单位未建立、保存用工管理台账，或者伪造相关台账的，按照《广东省劳动保障监察条例》第五十条的规定，由人力资源社会保障部门责令改正，并可处以人民币二千元以上二万以下的罚款。</w:t>
      </w:r>
    </w:p>
    <w:p w14:paraId="09834E68">
      <w:pPr>
        <w:pStyle w:val="47"/>
        <w:snapToGrid w:val="0"/>
        <w:ind w:firstLine="482" w:firstLineChars="200"/>
        <w:rPr>
          <w:rFonts w:hint="eastAsia" w:hAnsi="宋体" w:cs="宋体"/>
          <w:shd w:val="clear" w:color="auto" w:fill="FFFFFF"/>
        </w:rPr>
      </w:pPr>
      <w:r>
        <w:rPr>
          <w:rFonts w:hint="eastAsia" w:hAnsi="宋体" w:cs="宋体"/>
          <w:b/>
          <w:bCs/>
          <w:shd w:val="clear" w:color="auto" w:fill="FFFFFF"/>
        </w:rPr>
        <w:t>17.15</w:t>
      </w:r>
      <w:r>
        <w:rPr>
          <w:rStyle w:val="28"/>
          <w:rFonts w:hint="eastAsia" w:hAnsi="宋体" w:cs="宋体"/>
          <w:b/>
          <w:bCs/>
        </w:rPr>
        <w:t xml:space="preserve">.6 </w:t>
      </w:r>
      <w:r>
        <w:rPr>
          <w:rFonts w:hint="eastAsia" w:hAnsi="宋体" w:cs="宋体"/>
          <w:shd w:val="clear" w:color="auto" w:fill="FFFFFF"/>
        </w:rPr>
        <w:t>承包人必须按相关规定做好用工实名制管理，建立考勤机制，并实施实名信息化管理。</w:t>
      </w:r>
    </w:p>
    <w:p w14:paraId="0D63A747">
      <w:pPr>
        <w:wordWrap w:val="0"/>
        <w:adjustRightInd w:val="0"/>
        <w:snapToGrid w:val="0"/>
        <w:ind w:firstLine="482" w:firstLineChars="200"/>
        <w:jc w:val="left"/>
        <w:rPr>
          <w:rFonts w:hint="eastAsia" w:hAnsi="宋体"/>
          <w:shd w:val="clear" w:color="auto" w:fill="FFFFFF"/>
        </w:rPr>
      </w:pPr>
      <w:r>
        <w:rPr>
          <w:rFonts w:hint="eastAsia" w:hAnsi="宋体"/>
          <w:b/>
          <w:bCs/>
          <w:shd w:val="clear" w:color="auto" w:fill="FFFFFF"/>
        </w:rPr>
        <w:t xml:space="preserve">17.16 </w:t>
      </w:r>
      <w:r>
        <w:rPr>
          <w:rFonts w:hint="eastAsia" w:hAnsi="宋体"/>
          <w:shd w:val="clear" w:color="auto" w:fill="FFFFFF"/>
        </w:rPr>
        <w:t>中标单位必须在中标通知书发出之日起一个月内完成现场临时设施（施工用水用电、围蔽、板房、洗车和临时排水系统、相关公示牌等）施工，因中标人原因导致逾期的，逾期第壹天起每天按1000元作违约处理。</w:t>
      </w:r>
    </w:p>
    <w:p w14:paraId="43150AD0">
      <w:pPr>
        <w:pStyle w:val="25"/>
        <w:spacing w:line="360" w:lineRule="auto"/>
        <w:ind w:firstLine="482" w:firstLineChars="200"/>
        <w:jc w:val="both"/>
        <w:rPr>
          <w:rFonts w:hint="eastAsia" w:ascii="宋体" w:hAnsi="宋体" w:cs="宋体"/>
          <w:snapToGrid w:val="0"/>
          <w:kern w:val="0"/>
          <w:sz w:val="24"/>
        </w:rPr>
      </w:pPr>
      <w:r>
        <w:rPr>
          <w:rFonts w:hint="eastAsia" w:ascii="宋体" w:hAnsi="宋体" w:cs="宋体"/>
          <w:snapToGrid w:val="0"/>
          <w:kern w:val="0"/>
          <w:sz w:val="24"/>
        </w:rPr>
        <w:t xml:space="preserve">17.17 工程施工的内容和相关要求 </w:t>
      </w:r>
    </w:p>
    <w:p w14:paraId="194C93FF">
      <w:pPr>
        <w:widowControl w:val="0"/>
        <w:ind w:firstLine="482" w:firstLineChars="200"/>
        <w:rPr>
          <w:rFonts w:hint="eastAsia" w:hAnsi="宋体"/>
          <w:snapToGrid w:val="0"/>
          <w:kern w:val="0"/>
        </w:rPr>
      </w:pPr>
      <w:r>
        <w:rPr>
          <w:rFonts w:hint="eastAsia" w:hAnsi="宋体"/>
          <w:b/>
          <w:snapToGrid w:val="0"/>
          <w:kern w:val="0"/>
          <w:szCs w:val="20"/>
        </w:rPr>
        <w:t xml:space="preserve">17.17.1 </w:t>
      </w:r>
      <w:r>
        <w:rPr>
          <w:rFonts w:hint="eastAsia" w:hAnsi="宋体"/>
          <w:snapToGrid w:val="0"/>
          <w:kern w:val="0"/>
        </w:rPr>
        <w:t xml:space="preserve">工程施工的工作内容 </w:t>
      </w:r>
    </w:p>
    <w:p w14:paraId="29D66D96">
      <w:pPr>
        <w:widowControl w:val="0"/>
        <w:adjustRightInd w:val="0"/>
        <w:snapToGrid w:val="0"/>
        <w:ind w:firstLine="480" w:firstLineChars="200"/>
        <w:rPr>
          <w:rFonts w:hint="eastAsia" w:hAnsi="宋体"/>
          <w:snapToGrid w:val="0"/>
          <w:kern w:val="0"/>
        </w:rPr>
      </w:pPr>
      <w:r>
        <w:rPr>
          <w:rFonts w:hint="eastAsia" w:hAnsi="宋体"/>
          <w:snapToGrid w:val="0"/>
          <w:kern w:val="0"/>
        </w:rPr>
        <w:t xml:space="preserve">承包人负责项目实施阶段全过程建设管理（包括接受发包人对施工总承包项目全过程管理），工程施工至竣工验收合格（含竣工验收资料编制整理）配合相关部门完成结算，负责工程保修以及发包人要求由工程招标人完成的其他工作，包括但不限于： </w:t>
      </w:r>
    </w:p>
    <w:p w14:paraId="2236E611">
      <w:pPr>
        <w:widowControl w:val="0"/>
        <w:adjustRightInd w:val="0"/>
        <w:snapToGrid w:val="0"/>
        <w:ind w:firstLine="480" w:firstLineChars="200"/>
        <w:rPr>
          <w:rFonts w:hint="eastAsia" w:hAnsi="宋体"/>
          <w:snapToGrid w:val="0"/>
          <w:kern w:val="0"/>
        </w:rPr>
      </w:pPr>
      <w:r>
        <w:rPr>
          <w:rFonts w:hint="eastAsia" w:hAnsi="宋体"/>
          <w:snapToGrid w:val="0"/>
          <w:kern w:val="0"/>
        </w:rPr>
        <w:t xml:space="preserve">（1）施工准备 </w:t>
      </w:r>
    </w:p>
    <w:p w14:paraId="2F24D419">
      <w:pPr>
        <w:widowControl w:val="0"/>
        <w:adjustRightInd w:val="0"/>
        <w:snapToGrid w:val="0"/>
        <w:ind w:firstLine="480" w:firstLineChars="200"/>
        <w:rPr>
          <w:rFonts w:hint="eastAsia" w:hAnsi="宋体"/>
          <w:snapToGrid w:val="0"/>
          <w:kern w:val="0"/>
        </w:rPr>
      </w:pPr>
      <w:r>
        <w:rPr>
          <w:rFonts w:hint="eastAsia" w:hAnsi="宋体"/>
          <w:snapToGrid w:val="0"/>
          <w:kern w:val="0"/>
        </w:rPr>
        <w:t xml:space="preserve">（2）招标范围内所有工程内容的施工（包工、包料、包质量、包工期、包安全），必须按经招标人确认并审定和备案的图纸施工。 </w:t>
      </w:r>
    </w:p>
    <w:p w14:paraId="32E98638">
      <w:pPr>
        <w:widowControl w:val="0"/>
        <w:adjustRightInd w:val="0"/>
        <w:snapToGrid w:val="0"/>
        <w:ind w:firstLine="480" w:firstLineChars="200"/>
        <w:rPr>
          <w:rFonts w:hint="eastAsia" w:hAnsi="宋体"/>
          <w:snapToGrid w:val="0"/>
          <w:kern w:val="0"/>
        </w:rPr>
      </w:pPr>
      <w:r>
        <w:rPr>
          <w:rFonts w:hint="eastAsia" w:hAnsi="宋体"/>
          <w:snapToGrid w:val="0"/>
          <w:kern w:val="0"/>
        </w:rPr>
        <w:t xml:space="preserve">（3）招标范围内的材料、设备采购。 </w:t>
      </w:r>
    </w:p>
    <w:p w14:paraId="43CEE298">
      <w:pPr>
        <w:widowControl w:val="0"/>
        <w:adjustRightInd w:val="0"/>
        <w:snapToGrid w:val="0"/>
        <w:ind w:firstLine="480" w:firstLineChars="200"/>
        <w:rPr>
          <w:rFonts w:hint="eastAsia" w:hAnsi="宋体"/>
          <w:snapToGrid w:val="0"/>
          <w:kern w:val="0"/>
        </w:rPr>
      </w:pPr>
      <w:r>
        <w:rPr>
          <w:rFonts w:hint="eastAsia" w:hAnsi="宋体"/>
          <w:snapToGrid w:val="0"/>
          <w:kern w:val="0"/>
        </w:rPr>
        <w:t xml:space="preserve">（4）办理竣工验收和结算。 </w:t>
      </w:r>
    </w:p>
    <w:p w14:paraId="72D7A94C">
      <w:pPr>
        <w:widowControl w:val="0"/>
        <w:adjustRightInd w:val="0"/>
        <w:snapToGrid w:val="0"/>
        <w:ind w:firstLine="480" w:firstLineChars="200"/>
        <w:rPr>
          <w:rFonts w:hint="eastAsia" w:hAnsi="宋体"/>
          <w:snapToGrid w:val="0"/>
          <w:kern w:val="0"/>
        </w:rPr>
      </w:pPr>
      <w:r>
        <w:rPr>
          <w:rFonts w:hint="eastAsia" w:hAnsi="宋体"/>
          <w:snapToGrid w:val="0"/>
          <w:kern w:val="0"/>
        </w:rPr>
        <w:t xml:space="preserve">（5）承担缺陷责任期的缺陷责任和保修责任。 </w:t>
      </w:r>
    </w:p>
    <w:p w14:paraId="5686BEC5">
      <w:pPr>
        <w:widowControl w:val="0"/>
        <w:adjustRightInd w:val="0"/>
        <w:snapToGrid w:val="0"/>
        <w:ind w:firstLine="480" w:firstLineChars="200"/>
        <w:rPr>
          <w:rFonts w:hint="eastAsia" w:hAnsi="宋体"/>
          <w:snapToGrid w:val="0"/>
          <w:kern w:val="0"/>
        </w:rPr>
      </w:pPr>
      <w:r>
        <w:rPr>
          <w:rFonts w:hint="eastAsia" w:hAnsi="宋体"/>
          <w:snapToGrid w:val="0"/>
          <w:kern w:val="0"/>
        </w:rPr>
        <w:t xml:space="preserve">（6）招标文件及合同条款规定的其他施工内容和要求。 </w:t>
      </w:r>
    </w:p>
    <w:p w14:paraId="0A5176A4">
      <w:pPr>
        <w:widowControl w:val="0"/>
        <w:adjustRightInd w:val="0"/>
        <w:snapToGrid w:val="0"/>
        <w:ind w:firstLine="482" w:firstLineChars="200"/>
        <w:rPr>
          <w:rFonts w:hint="eastAsia" w:hAnsi="宋体"/>
          <w:b/>
          <w:bCs/>
        </w:rPr>
      </w:pPr>
      <w:r>
        <w:rPr>
          <w:rFonts w:hint="eastAsia" w:hAnsi="宋体"/>
          <w:b/>
          <w:snapToGrid w:val="0"/>
          <w:kern w:val="0"/>
          <w:szCs w:val="20"/>
        </w:rPr>
        <w:t xml:space="preserve">17.17.2 </w:t>
      </w:r>
      <w:r>
        <w:rPr>
          <w:rFonts w:hint="eastAsia" w:hAnsi="宋体"/>
        </w:rPr>
        <w:t>安全文明施工的约定</w:t>
      </w:r>
    </w:p>
    <w:p w14:paraId="72413AB5">
      <w:pPr>
        <w:widowControl w:val="0"/>
        <w:adjustRightInd w:val="0"/>
        <w:snapToGrid w:val="0"/>
        <w:ind w:firstLine="480" w:firstLineChars="200"/>
        <w:rPr>
          <w:rFonts w:hint="eastAsia" w:hAnsi="宋体"/>
        </w:rPr>
      </w:pPr>
      <w:r>
        <w:rPr>
          <w:rFonts w:hint="eastAsia" w:hAnsi="宋体"/>
        </w:rPr>
        <w:t>（一）相关要求</w:t>
      </w:r>
    </w:p>
    <w:p w14:paraId="4B761662">
      <w:pPr>
        <w:widowControl w:val="0"/>
        <w:adjustRightInd w:val="0"/>
        <w:snapToGrid w:val="0"/>
        <w:ind w:firstLine="480" w:firstLineChars="200"/>
        <w:rPr>
          <w:rFonts w:hint="eastAsia" w:hAnsi="宋体"/>
        </w:rPr>
      </w:pPr>
      <w:r>
        <w:rPr>
          <w:rFonts w:hint="eastAsia" w:hAnsi="宋体"/>
        </w:rPr>
        <w:t xml:space="preserve">（1）承包人建立安全责任制，明确各部门安全工作的岗位责任人，建立健全正常运转的各种安全工作保证体系和规章制度，将安全生产目标分解落到实处。 </w:t>
      </w:r>
    </w:p>
    <w:p w14:paraId="0C458559">
      <w:pPr>
        <w:widowControl w:val="0"/>
        <w:adjustRightInd w:val="0"/>
        <w:snapToGrid w:val="0"/>
        <w:ind w:firstLine="480" w:firstLineChars="200"/>
        <w:rPr>
          <w:rFonts w:hint="eastAsia" w:hAnsi="宋体"/>
        </w:rPr>
      </w:pPr>
      <w:r>
        <w:rPr>
          <w:rFonts w:hint="eastAsia" w:hAnsi="宋体"/>
        </w:rPr>
        <w:t xml:space="preserve">（2）承包人按规定数量配置安全员。 </w:t>
      </w:r>
    </w:p>
    <w:p w14:paraId="62194F58">
      <w:pPr>
        <w:widowControl w:val="0"/>
        <w:adjustRightInd w:val="0"/>
        <w:snapToGrid w:val="0"/>
        <w:ind w:firstLine="480" w:firstLineChars="200"/>
        <w:rPr>
          <w:rFonts w:hint="eastAsia" w:hAnsi="宋体"/>
        </w:rPr>
      </w:pPr>
      <w:r>
        <w:rPr>
          <w:rFonts w:hint="eastAsia" w:hAnsi="宋体"/>
        </w:rPr>
        <w:t xml:space="preserve">（3）承包人在开工前须向质量安全监督机构提交备案的书面资料。 </w:t>
      </w:r>
    </w:p>
    <w:p w14:paraId="0005BCAA">
      <w:pPr>
        <w:widowControl w:val="0"/>
        <w:adjustRightInd w:val="0"/>
        <w:snapToGrid w:val="0"/>
        <w:ind w:firstLine="480" w:firstLineChars="200"/>
        <w:rPr>
          <w:rFonts w:hint="eastAsia" w:hAnsi="宋体"/>
        </w:rPr>
      </w:pPr>
      <w:r>
        <w:rPr>
          <w:rFonts w:hint="eastAsia" w:hAnsi="宋体"/>
        </w:rPr>
        <w:t>（4）承包人在编制技术标书（含施工组织设计）时，应当根据工程的特点编制相应的安全技术措施。</w:t>
      </w:r>
    </w:p>
    <w:p w14:paraId="77236320">
      <w:pPr>
        <w:widowControl w:val="0"/>
        <w:adjustRightInd w:val="0"/>
        <w:snapToGrid w:val="0"/>
        <w:ind w:firstLine="480" w:firstLineChars="200"/>
        <w:rPr>
          <w:rFonts w:hint="eastAsia" w:hAnsi="宋体"/>
        </w:rPr>
      </w:pPr>
      <w:r>
        <w:rPr>
          <w:rFonts w:hint="eastAsia" w:hAnsi="宋体"/>
        </w:rPr>
        <w:t>（5）承包人按有关技术安全和防护的规定组织施工生产，不得使用不符合标准的防护器材、机具和材料。</w:t>
      </w:r>
    </w:p>
    <w:p w14:paraId="239ECAA0">
      <w:pPr>
        <w:widowControl w:val="0"/>
        <w:adjustRightInd w:val="0"/>
        <w:snapToGrid w:val="0"/>
        <w:ind w:firstLine="480" w:firstLineChars="200"/>
        <w:rPr>
          <w:rFonts w:hint="eastAsia" w:hAnsi="宋体"/>
        </w:rPr>
      </w:pPr>
      <w:r>
        <w:rPr>
          <w:rFonts w:hint="eastAsia" w:hAnsi="宋体"/>
        </w:rPr>
        <w:t xml:space="preserve">（6）现场安全文明施工必须严格按照《建筑施工安全检查标准》（JGJ 59-2011）及韶关市有关建设工程现场文明施工的规定等法律法规及本合同专用条款和有关安全文明施工条款的规定执行，如有违反或承包人在任何检查中被发现存在安全事故隐患、违章行为或管理不到位现象的，根据专用条款有关规定进行整改、扣罚，直至承包人按发包人的要求整改完毕为止。 </w:t>
      </w:r>
    </w:p>
    <w:p w14:paraId="1DD0111A">
      <w:pPr>
        <w:widowControl w:val="0"/>
        <w:adjustRightInd w:val="0"/>
        <w:snapToGrid w:val="0"/>
        <w:ind w:firstLine="480" w:firstLineChars="200"/>
        <w:rPr>
          <w:rFonts w:hint="eastAsia" w:hAnsi="宋体"/>
        </w:rPr>
      </w:pPr>
      <w:r>
        <w:rPr>
          <w:rFonts w:hint="eastAsia" w:hAnsi="宋体"/>
        </w:rPr>
        <w:t xml:space="preserve">（7）承包人应在施工现场采取维护安全、防范危险、预防火灾等措施，在特殊作业环境对作业人员采取劳动保护措施。 </w:t>
      </w:r>
    </w:p>
    <w:p w14:paraId="522CD608">
      <w:pPr>
        <w:widowControl w:val="0"/>
        <w:adjustRightInd w:val="0"/>
        <w:snapToGrid w:val="0"/>
        <w:ind w:firstLine="480" w:firstLineChars="200"/>
        <w:rPr>
          <w:rFonts w:hint="eastAsia" w:hAnsi="宋体"/>
        </w:rPr>
      </w:pPr>
      <w:r>
        <w:rPr>
          <w:rFonts w:hint="eastAsia" w:hAnsi="宋体"/>
        </w:rPr>
        <w:t xml:space="preserve">（8）承包人应采取安全防护措施，避免施工活动对原有建筑物和构筑物、设施、设备及防护标识造成损害。 </w:t>
      </w:r>
    </w:p>
    <w:p w14:paraId="1D1BC49B">
      <w:pPr>
        <w:widowControl w:val="0"/>
        <w:adjustRightInd w:val="0"/>
        <w:snapToGrid w:val="0"/>
        <w:ind w:firstLine="480" w:firstLineChars="200"/>
        <w:rPr>
          <w:rFonts w:hint="eastAsia" w:hAnsi="宋体"/>
        </w:rPr>
      </w:pPr>
      <w:r>
        <w:rPr>
          <w:rFonts w:hint="eastAsia" w:hAnsi="宋体"/>
        </w:rPr>
        <w:t xml:space="preserve">（9）承包人应按规定对工程施工人员进行安全教育和管理。 </w:t>
      </w:r>
    </w:p>
    <w:p w14:paraId="4D521DAA">
      <w:pPr>
        <w:widowControl w:val="0"/>
        <w:adjustRightInd w:val="0"/>
        <w:snapToGrid w:val="0"/>
        <w:ind w:firstLine="480" w:firstLineChars="200"/>
        <w:rPr>
          <w:rFonts w:hint="eastAsia" w:hAnsi="宋体"/>
        </w:rPr>
      </w:pPr>
      <w:r>
        <w:rPr>
          <w:rFonts w:hint="eastAsia" w:hAnsi="宋体"/>
        </w:rPr>
        <w:t>（10）承包人应书面记录专项安全技术标书（含施工组织设计）方案审查、安全检查、安全技术交底、安全隐患整改、安全教育等重要安全管理活动。</w:t>
      </w:r>
    </w:p>
    <w:p w14:paraId="6248D4CD">
      <w:pPr>
        <w:widowControl w:val="0"/>
        <w:adjustRightInd w:val="0"/>
        <w:snapToGrid w:val="0"/>
        <w:ind w:firstLine="480" w:firstLineChars="200"/>
        <w:rPr>
          <w:rFonts w:hint="eastAsia" w:hAnsi="宋体"/>
        </w:rPr>
      </w:pPr>
      <w:r>
        <w:rPr>
          <w:rFonts w:hint="eastAsia" w:hAnsi="宋体"/>
        </w:rPr>
        <w:t>（二）事故的处理</w:t>
      </w:r>
    </w:p>
    <w:p w14:paraId="1F18B8B5">
      <w:pPr>
        <w:widowControl w:val="0"/>
        <w:adjustRightInd w:val="0"/>
        <w:snapToGrid w:val="0"/>
        <w:ind w:firstLine="480" w:firstLineChars="200"/>
        <w:rPr>
          <w:rFonts w:hint="eastAsia" w:hAnsi="宋体"/>
        </w:rPr>
      </w:pPr>
      <w:r>
        <w:rPr>
          <w:rFonts w:hint="eastAsia" w:hAnsi="宋体"/>
        </w:rPr>
        <w:t xml:space="preserve">（1）如发生安全事故，除按法定程序办理有关事宜外，还必须按以下程序进行处理： </w:t>
      </w:r>
    </w:p>
    <w:p w14:paraId="1272B160">
      <w:pPr>
        <w:widowControl w:val="0"/>
        <w:adjustRightInd w:val="0"/>
        <w:snapToGrid w:val="0"/>
        <w:ind w:firstLine="480" w:firstLineChars="200"/>
        <w:rPr>
          <w:rFonts w:hint="eastAsia" w:hAnsi="宋体"/>
        </w:rPr>
      </w:pPr>
      <w:r>
        <w:rPr>
          <w:rFonts w:hint="eastAsia" w:hAnsi="宋体"/>
        </w:rPr>
        <w:t>（2）报告安全事故：安全事故发生后，承包人应在1小时内用最快的信息传递手段，将发生事故的时间、地点、伤亡人数、事故原因等情况，报总监理工程师和发包人。</w:t>
      </w:r>
    </w:p>
    <w:p w14:paraId="550B7D80">
      <w:pPr>
        <w:widowControl w:val="0"/>
        <w:adjustRightInd w:val="0"/>
        <w:snapToGrid w:val="0"/>
        <w:ind w:firstLine="480" w:firstLineChars="200"/>
        <w:rPr>
          <w:rFonts w:hint="eastAsia" w:hAnsi="宋体"/>
        </w:rPr>
      </w:pPr>
      <w:r>
        <w:rPr>
          <w:rFonts w:hint="eastAsia" w:hAnsi="宋体"/>
        </w:rPr>
        <w:t xml:space="preserve">（3）事故处理：承包人负责抢救伤员、排除险情，防止事故蔓延扩大，保护好现场，并做好标识；并启动保险理赔程序。 </w:t>
      </w:r>
    </w:p>
    <w:p w14:paraId="34DA783C">
      <w:pPr>
        <w:widowControl w:val="0"/>
        <w:adjustRightInd w:val="0"/>
        <w:snapToGrid w:val="0"/>
        <w:ind w:firstLine="480" w:firstLineChars="200"/>
        <w:rPr>
          <w:rFonts w:hint="eastAsia" w:hAnsi="宋体"/>
        </w:rPr>
      </w:pPr>
      <w:r>
        <w:rPr>
          <w:rFonts w:hint="eastAsia" w:hAnsi="宋体"/>
        </w:rPr>
        <w:t xml:space="preserve">（4）事故调查：承包人应组织内部技术安全、质量部门的人员组成调查组，开展调查，并配合做好发包人或政府有关部门组织的调查工作。 </w:t>
      </w:r>
    </w:p>
    <w:p w14:paraId="3C435C61">
      <w:pPr>
        <w:widowControl w:val="0"/>
        <w:adjustRightInd w:val="0"/>
        <w:snapToGrid w:val="0"/>
        <w:ind w:firstLine="480" w:firstLineChars="200"/>
        <w:rPr>
          <w:rFonts w:hint="eastAsia" w:hAnsi="宋体"/>
        </w:rPr>
      </w:pPr>
      <w:r>
        <w:rPr>
          <w:rFonts w:hint="eastAsia" w:hAnsi="宋体"/>
        </w:rPr>
        <w:t xml:space="preserve">（5）调查报告：承包人应把事故发生经过、原因、性质、损失、责任、处理意见、纠正和预防措施撰写成调查报告，送总监理工程师会审后报发包人。 </w:t>
      </w:r>
    </w:p>
    <w:p w14:paraId="7F3BD31F">
      <w:pPr>
        <w:widowControl w:val="0"/>
        <w:adjustRightInd w:val="0"/>
        <w:snapToGrid w:val="0"/>
        <w:ind w:firstLine="480" w:firstLineChars="200"/>
        <w:rPr>
          <w:rFonts w:hint="eastAsia" w:hAnsi="宋体"/>
        </w:rPr>
      </w:pPr>
      <w:r>
        <w:rPr>
          <w:rFonts w:hint="eastAsia" w:hAnsi="宋体"/>
        </w:rPr>
        <w:t xml:space="preserve">（6）因承包人原因发生安全事故，由承包人承担一切经济损失及法律责任。 </w:t>
      </w:r>
    </w:p>
    <w:p w14:paraId="351F3CF4">
      <w:pPr>
        <w:widowControl w:val="0"/>
        <w:adjustRightInd w:val="0"/>
        <w:snapToGrid w:val="0"/>
        <w:ind w:firstLine="480" w:firstLineChars="200"/>
        <w:rPr>
          <w:rFonts w:hint="eastAsia" w:hAnsi="宋体"/>
          <w:b/>
          <w:sz w:val="21"/>
        </w:rPr>
      </w:pPr>
      <w:r>
        <w:rPr>
          <w:rFonts w:hint="eastAsia" w:hAnsi="宋体"/>
        </w:rPr>
        <w:t>（7）若发包人针对工程项目发出任何指令或有任何设计变更时，承包人都必须依此指令或变更采取足够的施工安全措施。如因此而发生安全事故，由承包人承担一切经济损失及法律责任。</w:t>
      </w:r>
    </w:p>
    <w:p w14:paraId="0A723DAD">
      <w:pPr>
        <w:widowControl w:val="0"/>
        <w:adjustRightInd w:val="0"/>
        <w:snapToGrid w:val="0"/>
        <w:ind w:firstLine="482" w:firstLineChars="200"/>
        <w:rPr>
          <w:rFonts w:hint="eastAsia" w:hAnsi="宋体"/>
          <w:shd w:val="clear" w:color="auto" w:fill="FFFFFF"/>
        </w:rPr>
      </w:pPr>
      <w:r>
        <w:rPr>
          <w:rFonts w:hint="eastAsia" w:hAnsi="宋体"/>
          <w:b/>
          <w:snapToGrid w:val="0"/>
          <w:kern w:val="0"/>
          <w:szCs w:val="20"/>
        </w:rPr>
        <w:t xml:space="preserve">17.18 </w:t>
      </w:r>
      <w:r>
        <w:rPr>
          <w:rFonts w:hint="eastAsia" w:hAnsi="宋体"/>
          <w:shd w:val="clear" w:color="auto" w:fill="FFFFFF"/>
        </w:rPr>
        <w:t>承包人在施工期间应严格遵守国家、省、市有关防火、爆破和施工安全以及文明施工、夜间施工、环卫城管等规定，建立规章制度和防护措施。否则，由此造成的经济损失和法律责任，均由中标人负责。中标人应按安全施工的要求，采取严格科学的安全措施，确保施工安全和第三者的安全，承担由自身安全措施不力所造成的事故责任和发生的费用。</w:t>
      </w:r>
    </w:p>
    <w:p w14:paraId="5BB4D1F0">
      <w:pPr>
        <w:widowControl w:val="0"/>
        <w:adjustRightInd w:val="0"/>
        <w:snapToGrid w:val="0"/>
        <w:ind w:firstLine="482" w:firstLineChars="200"/>
        <w:rPr>
          <w:rFonts w:hint="eastAsia" w:hAnsi="宋体"/>
          <w:snapToGrid w:val="0"/>
          <w:kern w:val="0"/>
        </w:rPr>
      </w:pPr>
      <w:r>
        <w:rPr>
          <w:rFonts w:hint="eastAsia" w:hAnsi="宋体"/>
          <w:b/>
          <w:snapToGrid w:val="0"/>
          <w:kern w:val="0"/>
          <w:szCs w:val="20"/>
        </w:rPr>
        <w:t xml:space="preserve">17.19 </w:t>
      </w:r>
      <w:r>
        <w:rPr>
          <w:rFonts w:hint="eastAsia" w:hAnsi="宋体"/>
          <w:snapToGrid w:val="0"/>
          <w:kern w:val="0"/>
        </w:rPr>
        <w:t>承包人应当清楚地预计到施工期间对外界可能产生的不可避免的干扰，并为此保证主动努力减少这些干扰对外界的影响，且应当积极主动与外界进行协调。由此产生的费用及影响发包人不对此负责，且承包人原则上不得以此为要求提出工期延误费用索赔。</w:t>
      </w:r>
    </w:p>
    <w:p w14:paraId="42E6D7F4">
      <w:pPr>
        <w:adjustRightInd w:val="0"/>
        <w:snapToGrid w:val="0"/>
        <w:ind w:firstLine="482" w:firstLineChars="200"/>
        <w:jc w:val="left"/>
        <w:textAlignment w:val="auto"/>
        <w:rPr>
          <w:rFonts w:hint="eastAsia" w:hAnsi="宋体"/>
          <w:szCs w:val="20"/>
          <w:shd w:val="clear" w:color="auto" w:fill="FFFFFF"/>
        </w:rPr>
      </w:pPr>
      <w:r>
        <w:rPr>
          <w:rFonts w:hint="eastAsia" w:hAnsi="宋体"/>
          <w:b/>
          <w:snapToGrid w:val="0"/>
          <w:kern w:val="0"/>
          <w:szCs w:val="20"/>
        </w:rPr>
        <w:t xml:space="preserve">17.20 </w:t>
      </w:r>
      <w:r>
        <w:rPr>
          <w:rFonts w:hint="eastAsia" w:hAnsi="宋体"/>
          <w:szCs w:val="20"/>
          <w:shd w:val="clear" w:color="auto" w:fill="FFFFFF"/>
        </w:rPr>
        <w:t>由承包人的任一当事人引起的责任问题，发包人可根据发生的情况有权追究承包人引起的责任的当事人一方或可追究其他当事人的连带责任。</w:t>
      </w:r>
    </w:p>
    <w:p w14:paraId="2CF77778">
      <w:pPr>
        <w:adjustRightInd w:val="0"/>
        <w:snapToGrid w:val="0"/>
        <w:ind w:firstLine="482" w:firstLineChars="200"/>
        <w:jc w:val="left"/>
        <w:textAlignment w:val="auto"/>
        <w:rPr>
          <w:rFonts w:hint="eastAsia" w:hAnsi="宋体"/>
          <w:szCs w:val="20"/>
          <w:shd w:val="clear" w:color="auto" w:fill="FFFFFF"/>
        </w:rPr>
      </w:pPr>
      <w:r>
        <w:rPr>
          <w:rFonts w:hint="eastAsia" w:hAnsi="宋体"/>
          <w:b/>
          <w:snapToGrid w:val="0"/>
          <w:kern w:val="0"/>
          <w:szCs w:val="20"/>
        </w:rPr>
        <w:t xml:space="preserve">17.21 </w:t>
      </w:r>
      <w:r>
        <w:rPr>
          <w:rFonts w:hint="eastAsia" w:hAnsi="宋体"/>
          <w:szCs w:val="20"/>
          <w:shd w:val="clear" w:color="auto" w:fill="FFFFFF"/>
        </w:rPr>
        <w:t>施工现场采取覆盖、洒水和专人清扫等措施，确保不扬尘、不泥泞；施工现场配备洒水设备，进行喷水抑尘。必须做到韶关市住房和城乡建设管理局所要求的绿色文明施工要求。</w:t>
      </w:r>
    </w:p>
    <w:p w14:paraId="2CAF098A">
      <w:pPr>
        <w:adjustRightInd w:val="0"/>
        <w:snapToGrid w:val="0"/>
        <w:ind w:firstLine="482" w:firstLineChars="200"/>
        <w:jc w:val="left"/>
        <w:textAlignment w:val="auto"/>
        <w:rPr>
          <w:rFonts w:hint="eastAsia" w:hAnsi="宋体"/>
          <w:bCs/>
          <w:szCs w:val="20"/>
          <w:shd w:val="clear" w:color="auto" w:fill="FFFFFF"/>
        </w:rPr>
      </w:pPr>
      <w:r>
        <w:rPr>
          <w:rFonts w:hint="eastAsia" w:hAnsi="宋体"/>
          <w:b/>
          <w:snapToGrid w:val="0"/>
          <w:kern w:val="0"/>
          <w:szCs w:val="20"/>
        </w:rPr>
        <w:t xml:space="preserve">17.22 </w:t>
      </w:r>
      <w:r>
        <w:rPr>
          <w:rFonts w:hint="eastAsia" w:hAnsi="宋体"/>
          <w:bCs/>
          <w:szCs w:val="20"/>
          <w:shd w:val="clear" w:color="auto" w:fill="FFFFFF"/>
        </w:rPr>
        <w:t>中标后项目实施范围内如果出现塌方、洪涝等情况，</w:t>
      </w:r>
      <w:r>
        <w:rPr>
          <w:rFonts w:hint="eastAsia" w:hAnsi="宋体"/>
          <w:szCs w:val="20"/>
          <w:shd w:val="clear" w:color="auto" w:fill="FFFFFF"/>
        </w:rPr>
        <w:t>承包</w:t>
      </w:r>
      <w:r>
        <w:rPr>
          <w:rFonts w:hint="eastAsia" w:hAnsi="宋体"/>
          <w:bCs/>
          <w:szCs w:val="20"/>
          <w:shd w:val="clear" w:color="auto" w:fill="FFFFFF"/>
        </w:rPr>
        <w:t>人必须无条件应急抢险，发包人不再另行支付相关费用。</w:t>
      </w:r>
    </w:p>
    <w:p w14:paraId="520DCFE5">
      <w:pPr>
        <w:widowControl w:val="0"/>
        <w:wordWrap w:val="0"/>
        <w:adjustRightInd w:val="0"/>
        <w:snapToGrid w:val="0"/>
        <w:ind w:firstLine="560"/>
        <w:rPr>
          <w:rFonts w:hint="eastAsia" w:hAnsi="宋体"/>
          <w:szCs w:val="20"/>
          <w:shd w:val="clear" w:color="auto" w:fill="FFFFFF"/>
        </w:rPr>
      </w:pPr>
      <w:r>
        <w:rPr>
          <w:rFonts w:hint="eastAsia" w:hAnsi="宋体"/>
          <w:b/>
          <w:snapToGrid w:val="0"/>
          <w:kern w:val="0"/>
          <w:szCs w:val="20"/>
        </w:rPr>
        <w:t xml:space="preserve">17.23 </w:t>
      </w:r>
      <w:r>
        <w:rPr>
          <w:rFonts w:hint="eastAsia" w:hAnsi="宋体"/>
          <w:szCs w:val="20"/>
          <w:shd w:val="clear" w:color="auto" w:fill="FFFFFF"/>
        </w:rPr>
        <w:t>工程施工过程中，由于施工场地障碍条件或现场各种不利条件发生造成大型机械多次进退场的费用、怠工费、仓保费，均由中标人承担。</w:t>
      </w:r>
    </w:p>
    <w:p w14:paraId="76ED5915">
      <w:pPr>
        <w:widowControl w:val="0"/>
        <w:adjustRightInd w:val="0"/>
        <w:snapToGrid w:val="0"/>
        <w:ind w:firstLine="482" w:firstLineChars="200"/>
        <w:rPr>
          <w:rFonts w:hint="eastAsia" w:hAnsi="宋体"/>
          <w:szCs w:val="20"/>
          <w:shd w:val="clear" w:color="auto" w:fill="FFFFFF"/>
        </w:rPr>
      </w:pPr>
      <w:r>
        <w:rPr>
          <w:rFonts w:hint="eastAsia" w:hAnsi="宋体"/>
          <w:b/>
          <w:snapToGrid w:val="0"/>
          <w:kern w:val="0"/>
          <w:szCs w:val="20"/>
        </w:rPr>
        <w:t xml:space="preserve">17.24 </w:t>
      </w:r>
      <w:r>
        <w:rPr>
          <w:rFonts w:hint="eastAsia" w:hAnsi="宋体"/>
          <w:szCs w:val="20"/>
          <w:shd w:val="clear" w:color="auto" w:fill="FFFFFF"/>
        </w:rPr>
        <w:t>承包人必须在中标后7日历天内提供经审核的可行的技术标书（含施工组织设计）。</w:t>
      </w:r>
    </w:p>
    <w:p w14:paraId="0A7F731E">
      <w:pPr>
        <w:adjustRightInd w:val="0"/>
        <w:snapToGrid w:val="0"/>
        <w:ind w:firstLine="482" w:firstLineChars="200"/>
        <w:jc w:val="left"/>
        <w:textAlignment w:val="auto"/>
        <w:rPr>
          <w:rFonts w:hint="eastAsia" w:hAnsi="宋体"/>
          <w:szCs w:val="20"/>
          <w:shd w:val="clear" w:color="auto" w:fill="FFFFFF"/>
        </w:rPr>
      </w:pPr>
      <w:r>
        <w:rPr>
          <w:rFonts w:hint="eastAsia" w:hAnsi="宋体"/>
          <w:b/>
          <w:snapToGrid w:val="0"/>
          <w:kern w:val="0"/>
          <w:szCs w:val="20"/>
        </w:rPr>
        <w:t xml:space="preserve">17.25 </w:t>
      </w:r>
      <w:r>
        <w:rPr>
          <w:rFonts w:hint="eastAsia" w:hAnsi="宋体"/>
          <w:szCs w:val="20"/>
          <w:shd w:val="clear" w:color="auto" w:fill="FFFFFF"/>
        </w:rPr>
        <w:t>承包人应当知悉并接受可能因为施工方案调整等原因，导致实际实施的工程量等发生变化，承包人须无条件同意根据结算原则据实结算，不得因此提出索赔或赔偿。</w:t>
      </w:r>
    </w:p>
    <w:p w14:paraId="566FFC5F">
      <w:pPr>
        <w:widowControl w:val="0"/>
        <w:adjustRightInd w:val="0"/>
        <w:snapToGrid w:val="0"/>
        <w:ind w:firstLine="482" w:firstLineChars="200"/>
        <w:rPr>
          <w:rFonts w:hint="eastAsia" w:hAnsi="宋体"/>
          <w:szCs w:val="20"/>
          <w:shd w:val="clear" w:color="auto" w:fill="FFFFFF"/>
        </w:rPr>
      </w:pPr>
      <w:r>
        <w:rPr>
          <w:rFonts w:hint="eastAsia" w:hAnsi="宋体"/>
          <w:b/>
          <w:snapToGrid w:val="0"/>
          <w:kern w:val="0"/>
          <w:szCs w:val="20"/>
        </w:rPr>
        <w:t xml:space="preserve">17.26 </w:t>
      </w:r>
      <w:r>
        <w:rPr>
          <w:rFonts w:hint="eastAsia" w:hAnsi="宋体"/>
          <w:shd w:val="clear" w:color="auto" w:fill="FFFFFF"/>
        </w:rPr>
        <w:t>承包人</w:t>
      </w:r>
      <w:r>
        <w:rPr>
          <w:rFonts w:hint="eastAsia" w:hAnsi="宋体"/>
          <w:szCs w:val="20"/>
          <w:shd w:val="clear" w:color="auto" w:fill="FFFFFF"/>
        </w:rPr>
        <w:t>应按发包人的看样定板要求执行，部分标准间须按</w:t>
      </w:r>
      <w:r>
        <w:rPr>
          <w:rFonts w:hint="eastAsia" w:hAnsi="宋体"/>
          <w:shd w:val="clear" w:color="auto" w:fill="FFFFFF"/>
        </w:rPr>
        <w:t>发包人</w:t>
      </w:r>
      <w:r>
        <w:rPr>
          <w:rFonts w:hint="eastAsia" w:hAnsi="宋体"/>
          <w:szCs w:val="20"/>
          <w:shd w:val="clear" w:color="auto" w:fill="FFFFFF"/>
        </w:rPr>
        <w:t>要求另行单独做示范样板间，该项费用由</w:t>
      </w:r>
      <w:r>
        <w:rPr>
          <w:rFonts w:hint="eastAsia" w:hAnsi="宋体"/>
          <w:shd w:val="clear" w:color="auto" w:fill="FFFFFF"/>
        </w:rPr>
        <w:t>承包人</w:t>
      </w:r>
      <w:r>
        <w:rPr>
          <w:rFonts w:hint="eastAsia" w:hAnsi="宋体"/>
          <w:szCs w:val="20"/>
          <w:shd w:val="clear" w:color="auto" w:fill="FFFFFF"/>
        </w:rPr>
        <w:t>综合考虑在投标报价中，发包人不另行支付。</w:t>
      </w:r>
    </w:p>
    <w:p w14:paraId="2131A460">
      <w:pPr>
        <w:widowControl w:val="0"/>
        <w:adjustRightInd w:val="0"/>
        <w:snapToGrid w:val="0"/>
        <w:ind w:firstLine="482" w:firstLineChars="200"/>
        <w:rPr>
          <w:rFonts w:hint="eastAsia" w:hAnsi="宋体"/>
          <w:szCs w:val="20"/>
          <w:shd w:val="clear" w:color="auto" w:fill="FFFFFF"/>
        </w:rPr>
      </w:pPr>
      <w:r>
        <w:rPr>
          <w:rFonts w:hint="eastAsia" w:hAnsi="宋体"/>
          <w:b/>
          <w:snapToGrid w:val="0"/>
          <w:kern w:val="0"/>
          <w:szCs w:val="20"/>
        </w:rPr>
        <w:t xml:space="preserve">17.27 </w:t>
      </w:r>
      <w:r>
        <w:rPr>
          <w:rFonts w:hint="eastAsia" w:hAnsi="宋体"/>
          <w:shd w:val="clear" w:color="auto" w:fill="FFFFFF"/>
        </w:rPr>
        <w:t>承包人</w:t>
      </w:r>
      <w:r>
        <w:rPr>
          <w:rFonts w:hint="eastAsia" w:hAnsi="宋体"/>
          <w:szCs w:val="20"/>
          <w:shd w:val="clear" w:color="auto" w:fill="FFFFFF"/>
        </w:rPr>
        <w:t>必须做好施工场地地下、地上管线、构筑物和邻近建筑物、构筑物（包括文物保护建筑（如有））、古树名木（如有）的保护工作。</w:t>
      </w:r>
    </w:p>
    <w:p w14:paraId="087BC4E1">
      <w:pPr>
        <w:widowControl w:val="0"/>
        <w:wordWrap w:val="0"/>
        <w:adjustRightInd w:val="0"/>
        <w:snapToGrid w:val="0"/>
        <w:ind w:firstLine="482" w:firstLineChars="200"/>
        <w:rPr>
          <w:rFonts w:hint="eastAsia" w:hAnsi="宋体"/>
          <w:b/>
          <w:bCs/>
          <w:snapToGrid w:val="0"/>
          <w:kern w:val="0"/>
        </w:rPr>
      </w:pPr>
      <w:r>
        <w:rPr>
          <w:rFonts w:hint="eastAsia" w:hAnsi="宋体"/>
          <w:b/>
          <w:snapToGrid w:val="0"/>
          <w:kern w:val="0"/>
          <w:szCs w:val="20"/>
        </w:rPr>
        <w:t xml:space="preserve">17.28 </w:t>
      </w:r>
      <w:r>
        <w:rPr>
          <w:rFonts w:hint="eastAsia" w:hAnsi="宋体"/>
          <w:shd w:val="clear" w:color="auto" w:fill="FFFFFF"/>
        </w:rPr>
        <w:t>承包人负责办理占道开挖证、淤泥排放许可证和质量安全监督登记等有关手续。对施工图、技术资料作认真地复核和检查，有预见性地发现和指正设计缺陷和错误，应提出能实质性地节约资金和缩短工期的建议和措施，并书面通知发包人。</w:t>
      </w:r>
    </w:p>
    <w:p w14:paraId="0F3CA297">
      <w:pPr>
        <w:widowControl w:val="0"/>
        <w:wordWrap w:val="0"/>
        <w:adjustRightInd w:val="0"/>
        <w:snapToGrid w:val="0"/>
        <w:ind w:firstLine="482" w:firstLineChars="200"/>
        <w:rPr>
          <w:rFonts w:hint="eastAsia" w:hAnsi="宋体"/>
          <w:shd w:val="clear" w:color="auto" w:fill="FFFFFF"/>
        </w:rPr>
      </w:pPr>
      <w:r>
        <w:rPr>
          <w:rFonts w:hint="eastAsia" w:hAnsi="宋体"/>
          <w:b/>
          <w:snapToGrid w:val="0"/>
          <w:kern w:val="0"/>
          <w:szCs w:val="20"/>
        </w:rPr>
        <w:t xml:space="preserve">17.29 </w:t>
      </w:r>
      <w:r>
        <w:rPr>
          <w:rFonts w:hint="eastAsia" w:hAnsi="宋体"/>
          <w:shd w:val="clear" w:color="auto" w:fill="FFFFFF"/>
        </w:rPr>
        <w:t>承包人需按相关规定要求，设置本工程符合相关要求的永久性标牌及规划公示牌，承包人在投标报价时综合考虑在报价内，发包人不另行支付该部分费用。</w:t>
      </w:r>
    </w:p>
    <w:p w14:paraId="24362CD6">
      <w:pPr>
        <w:widowControl w:val="0"/>
        <w:wordWrap w:val="0"/>
        <w:adjustRightInd w:val="0"/>
        <w:snapToGrid w:val="0"/>
        <w:ind w:firstLine="482" w:firstLineChars="200"/>
        <w:rPr>
          <w:rFonts w:hint="eastAsia" w:hAnsi="宋体"/>
          <w:shd w:val="clear" w:color="auto" w:fill="FFFFFF"/>
        </w:rPr>
      </w:pPr>
      <w:r>
        <w:rPr>
          <w:rFonts w:hint="eastAsia" w:hAnsi="宋体"/>
          <w:b/>
          <w:snapToGrid w:val="0"/>
          <w:kern w:val="0"/>
          <w:szCs w:val="20"/>
        </w:rPr>
        <w:t xml:space="preserve">17.30 </w:t>
      </w:r>
      <w:r>
        <w:rPr>
          <w:rFonts w:hint="eastAsia" w:hAnsi="宋体"/>
          <w:shd w:val="clear" w:color="auto" w:fill="FFFFFF"/>
        </w:rPr>
        <w:t>承包人应按韶关市住建局、市人社局等职能部门对用工实名制的相关规定，落实工人及相关软硬件设施要求。</w:t>
      </w:r>
    </w:p>
    <w:p w14:paraId="4D62C723">
      <w:pPr>
        <w:widowControl w:val="0"/>
        <w:adjustRightInd w:val="0"/>
        <w:snapToGrid w:val="0"/>
        <w:ind w:firstLine="482" w:firstLineChars="200"/>
        <w:rPr>
          <w:rFonts w:hint="eastAsia" w:hAnsi="宋体"/>
          <w:shd w:val="clear" w:color="auto" w:fill="FFFFFF"/>
        </w:rPr>
      </w:pPr>
      <w:r>
        <w:rPr>
          <w:rFonts w:hint="eastAsia" w:hAnsi="宋体"/>
          <w:b/>
          <w:snapToGrid w:val="0"/>
          <w:kern w:val="0"/>
          <w:szCs w:val="20"/>
        </w:rPr>
        <w:t xml:space="preserve">17.31 </w:t>
      </w:r>
      <w:r>
        <w:rPr>
          <w:rFonts w:hint="eastAsia" w:hAnsi="宋体"/>
          <w:shd w:val="clear" w:color="auto" w:fill="FFFFFF"/>
        </w:rPr>
        <w:t>承包人负责受施工影响道路的环境卫生、交通组织维护及受损修复，相关费用由承包人负责，发包人不另行支付。</w:t>
      </w:r>
    </w:p>
    <w:p w14:paraId="617E68CC">
      <w:pPr>
        <w:widowControl w:val="0"/>
        <w:adjustRightInd w:val="0"/>
        <w:snapToGrid w:val="0"/>
        <w:ind w:firstLine="482" w:firstLineChars="200"/>
        <w:rPr>
          <w:rFonts w:hint="eastAsia" w:hAnsi="宋体"/>
          <w:shd w:val="clear" w:color="auto" w:fill="FFFFFF"/>
        </w:rPr>
      </w:pPr>
      <w:r>
        <w:rPr>
          <w:rFonts w:hint="eastAsia" w:hAnsi="宋体"/>
          <w:b/>
          <w:snapToGrid w:val="0"/>
          <w:kern w:val="0"/>
          <w:szCs w:val="20"/>
        </w:rPr>
        <w:t xml:space="preserve">17.32 </w:t>
      </w:r>
      <w:r>
        <w:rPr>
          <w:rFonts w:hint="eastAsia" w:hAnsi="宋体"/>
          <w:shd w:val="clear" w:color="auto" w:fill="FFFFFF"/>
        </w:rPr>
        <w:t>承包人应已详细了解本项目的前期工作（包括征地拆迁），同时也应勘查施工现场、周围环境、地形、地貌、水文、交通等情况。承包人投标报价应已充分考虑在施工中由于发包人原因造成停工或工期延误等因素所产生的相关费用，发包人不予另计费用；承包人不得以不完全了解项目的前期工作（包括征地拆迁）及现场情况为理由，提出因外界因素造成停工或工期延误的额外付款要求；对此类要求，发包人不作任何考虑及答复。</w:t>
      </w:r>
    </w:p>
    <w:p w14:paraId="49874734">
      <w:pPr>
        <w:widowControl w:val="0"/>
        <w:adjustRightInd w:val="0"/>
        <w:snapToGrid w:val="0"/>
        <w:ind w:firstLine="482" w:firstLineChars="200"/>
        <w:rPr>
          <w:rFonts w:hint="eastAsia" w:hAnsi="宋体"/>
          <w:b/>
          <w:bCs/>
          <w:snapToGrid w:val="0"/>
          <w:kern w:val="0"/>
        </w:rPr>
      </w:pPr>
      <w:r>
        <w:rPr>
          <w:rFonts w:hint="eastAsia" w:hAnsi="宋体"/>
          <w:b/>
          <w:snapToGrid w:val="0"/>
          <w:kern w:val="0"/>
          <w:szCs w:val="20"/>
        </w:rPr>
        <w:t xml:space="preserve">17.33 </w:t>
      </w:r>
      <w:r>
        <w:rPr>
          <w:rFonts w:hint="eastAsia" w:hAnsi="宋体"/>
          <w:snapToGrid w:val="0"/>
          <w:kern w:val="0"/>
          <w:lang w:val="en"/>
        </w:rPr>
        <w:t>如因发包人原因（自然灾害等不可抗力因素除外），工程不能按期开工，或开工后全部停止，工期按相关规定予以顺延。停工发生后，若可复工时，承包人应在收到发包人发出的复工通知书后3日内开始复工。</w:t>
      </w:r>
    </w:p>
    <w:p w14:paraId="65C381B6">
      <w:pPr>
        <w:widowControl w:val="0"/>
        <w:adjustRightInd w:val="0"/>
        <w:snapToGrid w:val="0"/>
        <w:ind w:firstLine="482" w:firstLineChars="200"/>
        <w:rPr>
          <w:rFonts w:hint="eastAsia" w:hAnsi="宋体"/>
          <w:b/>
          <w:bCs/>
          <w:shd w:val="clear" w:color="auto" w:fill="FFFFFF"/>
        </w:rPr>
      </w:pPr>
      <w:r>
        <w:rPr>
          <w:rFonts w:hint="eastAsia" w:hAnsi="宋体"/>
          <w:b/>
          <w:snapToGrid w:val="0"/>
          <w:kern w:val="0"/>
          <w:szCs w:val="20"/>
        </w:rPr>
        <w:t xml:space="preserve">17.34 </w:t>
      </w:r>
      <w:r>
        <w:rPr>
          <w:rFonts w:hint="eastAsia" w:hAnsi="宋体"/>
          <w:shd w:val="clear" w:color="auto" w:fill="FFFFFF"/>
        </w:rPr>
        <w:t>承包人应充分考虑施工对接情况，为本项目的其他参建单位提供工作便利、配合及服务（如水源、电源接口等），并有针对性地组织施工；承包人与本项目的其他参建单位就协调、配合、服务等不能达成一致的，由监理工程师协调，并遵照监理工程师指令执行；承包人应负责统筹安排本项目范围内的各项工程的协调与配合，确保工程建设有序进行。承包人由此增加的费用应认为已包括在承包人的投标报价之中，发包人不另行支付。</w:t>
      </w:r>
    </w:p>
    <w:p w14:paraId="18540B92">
      <w:pPr>
        <w:adjustRightInd w:val="0"/>
        <w:snapToGrid w:val="0"/>
        <w:ind w:firstLine="482" w:firstLineChars="200"/>
        <w:jc w:val="left"/>
        <w:textAlignment w:val="auto"/>
        <w:rPr>
          <w:rFonts w:hint="eastAsia" w:hAnsi="宋体"/>
          <w:szCs w:val="20"/>
          <w:shd w:val="clear" w:color="auto" w:fill="FFFFFF"/>
        </w:rPr>
      </w:pPr>
      <w:r>
        <w:rPr>
          <w:rFonts w:hint="eastAsia" w:hAnsi="宋体"/>
          <w:b/>
          <w:snapToGrid w:val="0"/>
          <w:kern w:val="0"/>
          <w:szCs w:val="20"/>
        </w:rPr>
        <w:t xml:space="preserve">17.35 </w:t>
      </w:r>
      <w:r>
        <w:rPr>
          <w:rFonts w:hint="eastAsia" w:hAnsi="宋体"/>
          <w:szCs w:val="20"/>
          <w:shd w:val="clear" w:color="auto" w:fill="FFFFFF"/>
        </w:rPr>
        <w:t>工程完工后，为了本项目整体竣工验收的需要，承包人必须在发包人的统筹安排下，与本项目其他工程服务的单位进行协同配合，做好竣工验收的各项工作，交付的工程必须符合各专业工程管养单位或后续其他项目的施工单位的相关要求。</w:t>
      </w:r>
    </w:p>
    <w:p w14:paraId="6B4C9B74">
      <w:pPr>
        <w:adjustRightInd w:val="0"/>
        <w:snapToGrid w:val="0"/>
        <w:ind w:firstLine="482" w:firstLineChars="200"/>
        <w:jc w:val="left"/>
        <w:textAlignment w:val="auto"/>
        <w:rPr>
          <w:rFonts w:hint="eastAsia" w:hAnsi="宋体"/>
          <w:szCs w:val="20"/>
        </w:rPr>
      </w:pPr>
      <w:r>
        <w:rPr>
          <w:rFonts w:hint="eastAsia" w:hAnsi="宋体"/>
          <w:b/>
          <w:snapToGrid w:val="0"/>
          <w:kern w:val="0"/>
          <w:szCs w:val="20"/>
        </w:rPr>
        <w:t xml:space="preserve">17.36 </w:t>
      </w:r>
      <w:r>
        <w:rPr>
          <w:rFonts w:hint="eastAsia" w:hAnsi="宋体"/>
          <w:szCs w:val="20"/>
        </w:rPr>
        <w:t>为防止</w:t>
      </w:r>
      <w:r>
        <w:rPr>
          <w:rFonts w:hint="eastAsia" w:hAnsi="宋体"/>
          <w:szCs w:val="20"/>
          <w:shd w:val="clear" w:color="auto" w:fill="FFFFFF"/>
        </w:rPr>
        <w:t>承包人</w:t>
      </w:r>
      <w:r>
        <w:rPr>
          <w:rFonts w:hint="eastAsia" w:hAnsi="宋体"/>
          <w:szCs w:val="20"/>
        </w:rPr>
        <w:t>高估冒算，如属于</w:t>
      </w:r>
      <w:r>
        <w:rPr>
          <w:rFonts w:hint="eastAsia" w:hAnsi="宋体"/>
          <w:szCs w:val="20"/>
          <w:shd w:val="clear" w:color="auto" w:fill="FFFFFF"/>
        </w:rPr>
        <w:t>承包人</w:t>
      </w:r>
      <w:r>
        <w:rPr>
          <w:rFonts w:hint="eastAsia" w:hAnsi="宋体"/>
          <w:szCs w:val="20"/>
        </w:rPr>
        <w:t>或者其委托造价咨询企业原因造成所申报结算款超出发包人核对或者发包人委托的第三方造价咨询单位最终审定结算款的</w:t>
      </w:r>
      <w:r>
        <w:rPr>
          <w:rFonts w:hint="eastAsia" w:hAnsi="宋体"/>
          <w:b/>
          <w:bCs/>
          <w:szCs w:val="20"/>
        </w:rPr>
        <w:t>5%</w:t>
      </w:r>
      <w:r>
        <w:rPr>
          <w:rFonts w:hint="eastAsia" w:hAnsi="宋体"/>
          <w:szCs w:val="20"/>
        </w:rPr>
        <w:t>时，</w:t>
      </w:r>
      <w:r>
        <w:rPr>
          <w:rFonts w:hint="eastAsia" w:hAnsi="宋体"/>
          <w:szCs w:val="20"/>
          <w:shd w:val="clear" w:color="auto" w:fill="FFFFFF"/>
        </w:rPr>
        <w:t>承包人</w:t>
      </w:r>
      <w:r>
        <w:rPr>
          <w:rFonts w:hint="eastAsia" w:hAnsi="宋体"/>
          <w:szCs w:val="20"/>
        </w:rPr>
        <w:t>必须承担超出</w:t>
      </w:r>
      <w:r>
        <w:rPr>
          <w:rFonts w:hint="eastAsia" w:hAnsi="宋体"/>
          <w:b/>
          <w:bCs/>
          <w:szCs w:val="20"/>
        </w:rPr>
        <w:t>5%</w:t>
      </w:r>
      <w:r>
        <w:rPr>
          <w:rFonts w:hint="eastAsia" w:hAnsi="宋体"/>
          <w:szCs w:val="20"/>
        </w:rPr>
        <w:t>部分的核对费用（须向发包人委托的第三方造价咨询单位支付因此产生的效益收费，收费标准按核减额的4%予以计取），发包人有权就结算文件质量偏差率超过规定的</w:t>
      </w:r>
      <w:r>
        <w:rPr>
          <w:rFonts w:hint="eastAsia" w:hAnsi="宋体"/>
          <w:b/>
          <w:bCs/>
          <w:szCs w:val="20"/>
        </w:rPr>
        <w:t>5%</w:t>
      </w:r>
      <w:r>
        <w:rPr>
          <w:rFonts w:hint="eastAsia" w:hAnsi="宋体"/>
          <w:szCs w:val="20"/>
        </w:rPr>
        <w:t>的情况向主管部门进行举报。</w:t>
      </w:r>
    </w:p>
    <w:p w14:paraId="74F4B2EA">
      <w:pPr>
        <w:adjustRightInd w:val="0"/>
        <w:snapToGrid w:val="0"/>
        <w:ind w:firstLine="482" w:firstLineChars="200"/>
        <w:jc w:val="left"/>
        <w:textAlignment w:val="auto"/>
        <w:rPr>
          <w:rFonts w:hint="eastAsia" w:hAnsi="宋体"/>
          <w:szCs w:val="20"/>
          <w:shd w:val="clear" w:color="auto" w:fill="FFFFFF"/>
        </w:rPr>
      </w:pPr>
      <w:r>
        <w:rPr>
          <w:rFonts w:hint="eastAsia" w:hAnsi="宋体"/>
          <w:b/>
          <w:snapToGrid w:val="0"/>
          <w:kern w:val="0"/>
          <w:szCs w:val="20"/>
        </w:rPr>
        <w:t xml:space="preserve">17.37 </w:t>
      </w:r>
      <w:r>
        <w:rPr>
          <w:rFonts w:hint="eastAsia" w:hAnsi="宋体"/>
          <w:szCs w:val="20"/>
          <w:shd w:val="clear" w:color="auto" w:fill="FFFFFF"/>
        </w:rPr>
        <w:t>由承包人全面负责所有留在现场的人员的安全，保护其管辖范围的现场（包括某些尚未完工的和招标人尚未接管的工程）处于有条不紊和良好的状态。</w:t>
      </w:r>
    </w:p>
    <w:p w14:paraId="6A80ABEC">
      <w:pPr>
        <w:adjustRightInd w:val="0"/>
        <w:snapToGrid w:val="0"/>
        <w:ind w:firstLine="482" w:firstLineChars="200"/>
        <w:jc w:val="left"/>
        <w:textAlignment w:val="auto"/>
        <w:rPr>
          <w:rFonts w:hint="eastAsia" w:hAnsi="宋体"/>
          <w:szCs w:val="20"/>
        </w:rPr>
      </w:pPr>
      <w:r>
        <w:rPr>
          <w:rFonts w:hint="eastAsia" w:hAnsi="宋体"/>
          <w:b/>
          <w:snapToGrid w:val="0"/>
          <w:kern w:val="0"/>
          <w:szCs w:val="20"/>
        </w:rPr>
        <w:t xml:space="preserve">17.38 </w:t>
      </w:r>
      <w:r>
        <w:rPr>
          <w:rFonts w:hint="eastAsia" w:hAnsi="宋体"/>
          <w:szCs w:val="20"/>
        </w:rPr>
        <w:t>施工围蔽按韶关市最新要求执行。遵守和执行防火、安全文明施工和夜间施工规定。承包人应保证施工期间行人、车辆等的通行，除非得到有关部门批准，否则不能进行全封闭施工。施工临时占用人行道、车道等设施，由</w:t>
      </w:r>
      <w:r>
        <w:rPr>
          <w:rFonts w:hint="eastAsia" w:hAnsi="宋体"/>
          <w:szCs w:val="20"/>
          <w:shd w:val="clear" w:color="auto" w:fill="FFFFFF"/>
        </w:rPr>
        <w:t>承包人</w:t>
      </w:r>
      <w:r>
        <w:rPr>
          <w:rFonts w:hint="eastAsia" w:hAnsi="宋体"/>
          <w:szCs w:val="20"/>
        </w:rPr>
        <w:t>办理有关手续，由发包人协助，所需费用由承包人负责。</w:t>
      </w:r>
    </w:p>
    <w:p w14:paraId="655072BF">
      <w:pPr>
        <w:adjustRightInd w:val="0"/>
        <w:snapToGrid w:val="0"/>
        <w:ind w:firstLine="482" w:firstLineChars="200"/>
        <w:jc w:val="left"/>
        <w:textAlignment w:val="auto"/>
        <w:rPr>
          <w:rFonts w:hint="eastAsia" w:hAnsi="宋体"/>
          <w:szCs w:val="20"/>
        </w:rPr>
      </w:pPr>
      <w:r>
        <w:rPr>
          <w:rFonts w:hint="eastAsia" w:hAnsi="宋体"/>
          <w:b/>
          <w:snapToGrid w:val="0"/>
          <w:kern w:val="0"/>
          <w:szCs w:val="20"/>
        </w:rPr>
        <w:t xml:space="preserve">17.39 </w:t>
      </w:r>
      <w:r>
        <w:rPr>
          <w:rFonts w:hint="eastAsia" w:hAnsi="宋体"/>
          <w:szCs w:val="20"/>
        </w:rPr>
        <w:t>承包人有责任协助公安、交通等部门维护所在现场地段的交通与人流，既保证施工安全，也保护车辆和行人的畅通和安全。</w:t>
      </w:r>
    </w:p>
    <w:p w14:paraId="5A4EE672">
      <w:pPr>
        <w:widowControl w:val="0"/>
        <w:adjustRightInd w:val="0"/>
        <w:snapToGrid w:val="0"/>
        <w:ind w:firstLine="472" w:firstLineChars="196"/>
        <w:textAlignment w:val="auto"/>
        <w:rPr>
          <w:rFonts w:hint="eastAsia" w:hAnsi="宋体"/>
          <w:szCs w:val="20"/>
        </w:rPr>
      </w:pPr>
      <w:r>
        <w:rPr>
          <w:rFonts w:hint="eastAsia" w:hAnsi="宋体"/>
          <w:b/>
          <w:snapToGrid w:val="0"/>
          <w:kern w:val="0"/>
          <w:szCs w:val="20"/>
        </w:rPr>
        <w:t xml:space="preserve">17.40 </w:t>
      </w:r>
      <w:r>
        <w:rPr>
          <w:rFonts w:hint="eastAsia" w:hAnsi="宋体"/>
          <w:szCs w:val="20"/>
        </w:rPr>
        <w:t>因承包人的原因造成的在施工过程中与周边社区、居民、建筑物等所产生的投诉、纠纷等由承包人负责协调并解决，其产生的费用由承包人负责。</w:t>
      </w:r>
    </w:p>
    <w:p w14:paraId="1FEB942F">
      <w:pPr>
        <w:widowControl w:val="0"/>
        <w:adjustRightInd w:val="0"/>
        <w:snapToGrid w:val="0"/>
        <w:ind w:firstLine="472" w:firstLineChars="196"/>
        <w:textAlignment w:val="auto"/>
        <w:rPr>
          <w:rFonts w:hint="eastAsia" w:hAnsi="宋体"/>
          <w:b/>
          <w:bCs/>
          <w:szCs w:val="20"/>
        </w:rPr>
      </w:pPr>
      <w:r>
        <w:rPr>
          <w:rFonts w:hint="eastAsia" w:hAnsi="宋体"/>
          <w:b/>
          <w:snapToGrid w:val="0"/>
          <w:kern w:val="0"/>
          <w:szCs w:val="20"/>
        </w:rPr>
        <w:t xml:space="preserve">17.41 </w:t>
      </w:r>
      <w:r>
        <w:rPr>
          <w:rFonts w:hint="eastAsia" w:hAnsi="宋体"/>
          <w:szCs w:val="20"/>
        </w:rPr>
        <w:t>承包人应有完备的保护措施确保不限于红线内外的周边社区、建筑物等不受损害，若因承包人原因，导致周边社区、建筑物等发生损害的，由承包人承担责任并负责维修、赔偿以及由此发生的其他一切费用。</w:t>
      </w:r>
    </w:p>
    <w:p w14:paraId="2BA090B7">
      <w:pPr>
        <w:widowControl w:val="0"/>
        <w:adjustRightInd w:val="0"/>
        <w:snapToGrid w:val="0"/>
        <w:ind w:firstLine="482" w:firstLineChars="200"/>
        <w:textAlignment w:val="auto"/>
        <w:rPr>
          <w:rFonts w:hint="eastAsia" w:hAnsi="宋体"/>
          <w:szCs w:val="20"/>
          <w:shd w:val="clear" w:color="auto" w:fill="FFFFFF"/>
        </w:rPr>
      </w:pPr>
      <w:r>
        <w:rPr>
          <w:rFonts w:hint="eastAsia" w:hAnsi="宋体"/>
          <w:b/>
          <w:snapToGrid w:val="0"/>
          <w:kern w:val="0"/>
          <w:szCs w:val="20"/>
        </w:rPr>
        <w:t xml:space="preserve">17.42 </w:t>
      </w:r>
      <w:r>
        <w:rPr>
          <w:rFonts w:hint="eastAsia" w:hAnsi="宋体"/>
          <w:szCs w:val="20"/>
        </w:rPr>
        <w:t>承包人接收场地后，承包人无条件配合土方回填后绿化施工前一切裸土覆盖，上述所有费用已含在承包人投标报价中，不再另外计取。</w:t>
      </w:r>
    </w:p>
    <w:p w14:paraId="49DC7474">
      <w:pPr>
        <w:widowControl w:val="0"/>
        <w:adjustRightInd w:val="0"/>
        <w:snapToGrid w:val="0"/>
        <w:ind w:firstLine="482" w:firstLineChars="200"/>
        <w:rPr>
          <w:rFonts w:hint="eastAsia" w:hAnsi="宋体"/>
          <w:shd w:val="clear" w:color="auto" w:fill="FFFFFF"/>
        </w:rPr>
      </w:pPr>
      <w:r>
        <w:rPr>
          <w:rFonts w:hint="eastAsia" w:hAnsi="宋体"/>
          <w:b/>
          <w:snapToGrid w:val="0"/>
          <w:kern w:val="0"/>
          <w:szCs w:val="20"/>
        </w:rPr>
        <w:t xml:space="preserve">17.43 </w:t>
      </w:r>
      <w:r>
        <w:rPr>
          <w:rFonts w:hint="eastAsia" w:hAnsi="宋体"/>
          <w:shd w:val="clear" w:color="auto" w:fill="FFFFFF"/>
        </w:rPr>
        <w:t>承包人应做好周边设施（含光缆、燃气、供电、供水、排水、排污、人行道、路灯、治安监控、交通电警等）的成品保护并及时与周边设施的权属单位协调解决，如因承包人原因导致上述设施发生损坏，承包人无条件按招标人规定的期限内修复，涉及成品保护费、索赔等一切费用全部由承包人自行解决。</w:t>
      </w:r>
    </w:p>
    <w:p w14:paraId="296C53EB">
      <w:pPr>
        <w:widowControl w:val="0"/>
        <w:wordWrap w:val="0"/>
        <w:adjustRightInd w:val="0"/>
        <w:snapToGrid w:val="0"/>
        <w:spacing w:line="348" w:lineRule="auto"/>
        <w:ind w:firstLine="560"/>
        <w:rPr>
          <w:rFonts w:hint="eastAsia" w:hAnsi="宋体"/>
          <w:shd w:val="clear" w:color="auto" w:fill="FFFFFF"/>
        </w:rPr>
      </w:pPr>
      <w:r>
        <w:rPr>
          <w:rFonts w:hint="eastAsia" w:hAnsi="宋体"/>
          <w:b/>
          <w:snapToGrid w:val="0"/>
          <w:kern w:val="0"/>
          <w:szCs w:val="20"/>
        </w:rPr>
        <w:t xml:space="preserve">17.44 </w:t>
      </w:r>
      <w:r>
        <w:rPr>
          <w:rFonts w:hint="eastAsia" w:hAnsi="宋体"/>
          <w:shd w:val="clear" w:color="auto" w:fill="FFFFFF"/>
        </w:rPr>
        <w:t>承包人工程变更的程序和管理按《关于加强市本级政府投资项目财政投资评审监督管理的实施意见》（韶府办发函〔2021〕32 号）意见精神执行，凡不符合本实施意见要求的变更均为无效变更。如项目实施过程中发生了工程变更及工程签证，中标人需根据招标人的规定完善工程变更签证相关程序。工程变更及工程签证须在发包人确认、会议确定或出具变更图纸后28日内，将相关预算报及相关报批表报发包人审批，若超时未申报，视为默认由发包人或委托第三方造价咨询单位出具的预算执行。</w:t>
      </w:r>
    </w:p>
    <w:p w14:paraId="3BDC26AD">
      <w:pPr>
        <w:widowControl w:val="0"/>
        <w:wordWrap w:val="0"/>
        <w:adjustRightInd w:val="0"/>
        <w:snapToGrid w:val="0"/>
        <w:spacing w:line="348" w:lineRule="auto"/>
        <w:ind w:firstLine="482" w:firstLineChars="200"/>
        <w:rPr>
          <w:rFonts w:hint="eastAsia" w:hAnsi="宋体"/>
          <w:shd w:val="clear" w:color="auto" w:fill="FFFFFF"/>
        </w:rPr>
      </w:pPr>
      <w:r>
        <w:rPr>
          <w:rFonts w:hint="eastAsia" w:hAnsi="宋体"/>
          <w:b/>
          <w:snapToGrid w:val="0"/>
          <w:kern w:val="0"/>
          <w:szCs w:val="20"/>
        </w:rPr>
        <w:t xml:space="preserve">17.45 </w:t>
      </w:r>
      <w:r>
        <w:rPr>
          <w:rFonts w:hAnsi="宋体"/>
          <w:shd w:val="clear" w:color="auto" w:fill="FFFFFF"/>
        </w:rPr>
        <w:t>垂直运输设备</w:t>
      </w:r>
      <w:r>
        <w:rPr>
          <w:rFonts w:hint="eastAsia" w:hAnsi="宋体"/>
          <w:shd w:val="clear" w:color="auto" w:fill="FFFFFF"/>
        </w:rPr>
        <w:t>基础及围护等配套设施、现场围挡等不形成工程实体的临时设施费用，承包人应在投标报价中综合考虑，中标后不得因此向发包人提出额外的费用补偿或索赔。</w:t>
      </w:r>
    </w:p>
    <w:p w14:paraId="07C49F8E">
      <w:pPr>
        <w:widowControl w:val="0"/>
        <w:adjustRightInd w:val="0"/>
        <w:snapToGrid w:val="0"/>
        <w:spacing w:line="348" w:lineRule="auto"/>
        <w:ind w:firstLine="482" w:firstLineChars="200"/>
        <w:rPr>
          <w:rFonts w:hint="eastAsia" w:hAnsi="宋体"/>
          <w:shd w:val="clear" w:color="auto" w:fill="FFFFFF"/>
        </w:rPr>
      </w:pPr>
      <w:r>
        <w:rPr>
          <w:rFonts w:hint="eastAsia" w:hAnsi="宋体"/>
          <w:b/>
          <w:snapToGrid w:val="0"/>
          <w:kern w:val="0"/>
          <w:szCs w:val="20"/>
        </w:rPr>
        <w:t xml:space="preserve">17.46 </w:t>
      </w:r>
      <w:r>
        <w:rPr>
          <w:rFonts w:hint="eastAsia" w:hAnsi="宋体"/>
          <w:shd w:val="clear" w:color="auto" w:fill="FFFFFF"/>
        </w:rPr>
        <w:t>工程质量保修期按照《中华人民共和国建筑法》和《建设工程质量管理条例》等相关规定实施。</w:t>
      </w:r>
    </w:p>
    <w:p w14:paraId="1D29C2DC">
      <w:pPr>
        <w:widowControl w:val="0"/>
        <w:adjustRightInd w:val="0"/>
        <w:snapToGrid w:val="0"/>
        <w:spacing w:line="348" w:lineRule="auto"/>
        <w:ind w:firstLine="472" w:firstLineChars="196"/>
        <w:textAlignment w:val="auto"/>
        <w:rPr>
          <w:rFonts w:hint="eastAsia" w:hAnsi="宋体"/>
          <w:b/>
          <w:bCs/>
          <w:szCs w:val="20"/>
          <w:shd w:val="clear" w:color="auto" w:fill="FFFFFF"/>
        </w:rPr>
      </w:pPr>
      <w:r>
        <w:rPr>
          <w:rFonts w:hint="eastAsia" w:hAnsi="宋体"/>
          <w:b/>
          <w:snapToGrid w:val="0"/>
          <w:kern w:val="0"/>
          <w:szCs w:val="20"/>
        </w:rPr>
        <w:t xml:space="preserve">17.47 </w:t>
      </w:r>
      <w:r>
        <w:rPr>
          <w:rFonts w:hint="eastAsia" w:hAnsi="宋体"/>
          <w:szCs w:val="20"/>
        </w:rPr>
        <w:t>承包人须全力协助发包人办理相关报批报建手续；承包人须积极响应政府相关部门及发包人提出的要求，负责到工程所在地政府有关部门办理相关业务。发包人、承包人双方各自承担应付费用。若因承包人原因造成发包人损失的，由承包人按损失金额的双倍向发包人支付违约金，发包人有权在任何支付给承包人的款项中扣除。</w:t>
      </w:r>
    </w:p>
    <w:p w14:paraId="66253535">
      <w:pPr>
        <w:widowControl w:val="0"/>
        <w:adjustRightInd w:val="0"/>
        <w:snapToGrid w:val="0"/>
        <w:spacing w:line="348" w:lineRule="auto"/>
        <w:ind w:firstLine="482" w:firstLineChars="200"/>
        <w:rPr>
          <w:rFonts w:hint="eastAsia" w:hAnsi="宋体"/>
          <w:shd w:val="clear" w:color="auto" w:fill="FFFFFF"/>
        </w:rPr>
      </w:pPr>
      <w:r>
        <w:rPr>
          <w:rFonts w:hint="eastAsia" w:hAnsi="宋体"/>
          <w:b/>
          <w:snapToGrid w:val="0"/>
          <w:kern w:val="0"/>
          <w:szCs w:val="20"/>
        </w:rPr>
        <w:t xml:space="preserve">17.48 </w:t>
      </w:r>
      <w:r>
        <w:rPr>
          <w:rFonts w:hint="eastAsia" w:hAnsi="宋体"/>
          <w:shd w:val="clear" w:color="auto" w:fill="FFFFFF"/>
        </w:rPr>
        <w:t>如采用银行保函方式缴纳履约保证金，在保函到期前一个月，承包人须主动办理续期手续或提交新的银行保函；如承包人未及时主动办理续期手续或提交新的银行保函，发包人有权按履约保证金金额扣留进度款（工人工资除外）作为履约保证金，直至承包人提交新的银行保函或达到履约保证金退还条件。</w:t>
      </w:r>
    </w:p>
    <w:p w14:paraId="3C771070">
      <w:pPr>
        <w:wordWrap w:val="0"/>
        <w:adjustRightInd w:val="0"/>
        <w:snapToGrid w:val="0"/>
        <w:spacing w:line="348" w:lineRule="auto"/>
        <w:ind w:firstLine="482" w:firstLineChars="200"/>
        <w:jc w:val="left"/>
        <w:rPr>
          <w:rFonts w:hint="eastAsia" w:hAnsi="宋体"/>
          <w:shd w:val="clear" w:color="auto" w:fill="FFFFFF"/>
        </w:rPr>
      </w:pPr>
      <w:r>
        <w:rPr>
          <w:rFonts w:hint="eastAsia" w:hAnsi="宋体"/>
          <w:b/>
          <w:snapToGrid w:val="0"/>
          <w:kern w:val="0"/>
          <w:szCs w:val="20"/>
        </w:rPr>
        <w:t xml:space="preserve">17.40 </w:t>
      </w:r>
      <w:r>
        <w:rPr>
          <w:rFonts w:hint="eastAsia" w:hAnsi="宋体"/>
          <w:shd w:val="clear" w:color="auto" w:fill="FFFFFF"/>
        </w:rPr>
        <w:t>工程竣工验收后15日内，承包人应按市城建档案馆的要求（质量、数量），将编制成册的施工档案资料（含声像档案和电子档案）提供给发包人或监理单位，并承担档案涉及的所有费用（制作标准和相关要求按市城建档案馆的有关规定执行）</w:t>
      </w:r>
    </w:p>
    <w:p w14:paraId="3EBE7EE4">
      <w:pPr>
        <w:wordWrap w:val="0"/>
        <w:adjustRightInd w:val="0"/>
        <w:snapToGrid w:val="0"/>
        <w:spacing w:line="348" w:lineRule="auto"/>
        <w:ind w:firstLine="482" w:firstLineChars="200"/>
        <w:jc w:val="left"/>
        <w:rPr>
          <w:rFonts w:hint="eastAsia" w:hAnsi="宋体"/>
          <w:shd w:val="clear" w:color="auto" w:fill="FFFFFF"/>
        </w:rPr>
      </w:pPr>
      <w:r>
        <w:rPr>
          <w:rFonts w:hint="eastAsia" w:hAnsi="宋体"/>
          <w:b/>
          <w:bCs/>
          <w:shd w:val="clear" w:color="auto" w:fill="FFFFFF"/>
        </w:rPr>
        <w:t xml:space="preserve">17.50 </w:t>
      </w:r>
      <w:r>
        <w:rPr>
          <w:rFonts w:hint="eastAsia" w:hAnsi="宋体"/>
          <w:shd w:val="clear" w:color="auto" w:fill="FFFFFF"/>
        </w:rPr>
        <w:t>中标人若使用招标人已安装永久电梯，则必须妥善保护永久电梯，承担使用期间永久电梯的日常防护、成品保护责任，因中标人使用、保护不当造成永久电梯损坏、故障、部件损毁的，由中标人承担全部维修、赔偿费用。中标人使用招标人提供的永久电梯时按计价规则进行计算的垂直运输费，按月从中标人工程进度款中扣除；若中标人选择自行报装水电设施或使用其他垂直运输设备，则全部相关费用由中标人自行承担。</w:t>
      </w:r>
    </w:p>
    <w:p w14:paraId="2D16C161">
      <w:pPr>
        <w:wordWrap w:val="0"/>
        <w:adjustRightInd w:val="0"/>
        <w:snapToGrid w:val="0"/>
        <w:spacing w:line="348" w:lineRule="auto"/>
        <w:ind w:firstLine="482" w:firstLineChars="200"/>
        <w:jc w:val="left"/>
        <w:rPr>
          <w:rStyle w:val="28"/>
          <w:rFonts w:hint="eastAsia" w:hAnsi="宋体"/>
        </w:rPr>
      </w:pPr>
      <w:r>
        <w:rPr>
          <w:rFonts w:hint="eastAsia" w:hAnsi="宋体"/>
          <w:b/>
          <w:bCs/>
          <w:shd w:val="clear" w:color="auto" w:fill="FFFFFF"/>
        </w:rPr>
        <w:t xml:space="preserve">17.51 </w:t>
      </w:r>
      <w:r>
        <w:rPr>
          <w:rStyle w:val="28"/>
          <w:rFonts w:hint="eastAsia" w:hAnsi="宋体"/>
        </w:rPr>
        <w:t>根据《韶关城投公司建设项目专业服务价格及计算方法》（韶城投发〔2016〕112号）测算得出，以9.04万元作为招标代理费，代理费费率为0.17%（最终以建安费中标价为基数乘以代理费费率进行结算），招标代理费用由施工中标单位支付。该费用不再另行报价，由投标人在投标报价时综合考虑在内。</w:t>
      </w:r>
    </w:p>
    <w:p w14:paraId="5D0563D4">
      <w:pPr>
        <w:pStyle w:val="47"/>
        <w:adjustRightInd w:val="0"/>
        <w:snapToGrid w:val="0"/>
        <w:spacing w:line="348" w:lineRule="auto"/>
        <w:ind w:firstLine="482" w:firstLineChars="200"/>
        <w:rPr>
          <w:rFonts w:hint="eastAsia" w:hAnsi="宋体" w:cs="宋体"/>
          <w:shd w:val="clear" w:color="auto" w:fill="FFFFFF"/>
        </w:rPr>
      </w:pPr>
      <w:r>
        <w:rPr>
          <w:rFonts w:hint="eastAsia" w:hAnsi="宋体" w:cs="宋体"/>
          <w:b/>
        </w:rPr>
        <w:t>注：参与投标视为认可该条款。</w:t>
      </w:r>
    </w:p>
    <w:p w14:paraId="32D3A1B2">
      <w:pPr>
        <w:pStyle w:val="47"/>
        <w:adjustRightInd w:val="0"/>
        <w:snapToGrid w:val="0"/>
        <w:spacing w:line="348" w:lineRule="auto"/>
        <w:ind w:firstLine="482" w:firstLineChars="200"/>
        <w:rPr>
          <w:rStyle w:val="28"/>
          <w:rFonts w:hint="eastAsia" w:hAnsi="宋体" w:cs="宋体"/>
          <w:b/>
          <w:bCs/>
        </w:rPr>
      </w:pPr>
      <w:r>
        <w:rPr>
          <w:rFonts w:hint="eastAsia" w:hAnsi="宋体" w:cs="宋体"/>
          <w:b/>
          <w:bCs/>
          <w:shd w:val="clear" w:color="auto" w:fill="FFFFFF"/>
        </w:rPr>
        <w:t xml:space="preserve">17.52 </w:t>
      </w:r>
      <w:r>
        <w:rPr>
          <w:rFonts w:hint="eastAsia" w:hAnsi="宋体" w:cs="宋体"/>
          <w:b/>
          <w:u w:val="double"/>
        </w:rPr>
        <w:t>招标人可根据政府有关项目工作计划或本项目资金安排情况或相关政策变化或项目实际实施情况，对本项目建设内容和规模进行调整，投标人中标后不得因此调整向招标人提出额外的费用补偿或索赔，必须按调整后的规模及内容完成工程的施工及结算。</w:t>
      </w:r>
      <w:bookmarkStart w:id="329" w:name="_Toc31277"/>
      <w:bookmarkStart w:id="330" w:name="_Toc17840"/>
      <w:bookmarkStart w:id="331" w:name="_Toc21448"/>
      <w:bookmarkStart w:id="332" w:name="_Toc3494"/>
      <w:bookmarkStart w:id="333" w:name="_Toc25452"/>
      <w:bookmarkStart w:id="334" w:name="_Toc32600"/>
      <w:bookmarkStart w:id="335" w:name="_Toc15516"/>
      <w:bookmarkStart w:id="336" w:name="_Toc4926"/>
      <w:bookmarkStart w:id="337" w:name="_Toc18225"/>
      <w:bookmarkStart w:id="338" w:name="_Toc190"/>
      <w:r>
        <w:rPr>
          <w:rFonts w:hint="eastAsia" w:hAnsi="宋体" w:cs="宋体"/>
          <w:b/>
          <w:u w:val="double"/>
        </w:rPr>
        <w:t xml:space="preserve"> </w:t>
      </w:r>
      <w:r>
        <w:rPr>
          <w:rStyle w:val="28"/>
          <w:rFonts w:hint="eastAsia" w:hAnsi="宋体" w:cs="宋体"/>
          <w:b/>
          <w:bCs/>
        </w:rPr>
        <w:br w:type="page"/>
      </w:r>
    </w:p>
    <w:p w14:paraId="7BEEEFCB">
      <w:pPr>
        <w:pStyle w:val="31"/>
        <w:tabs>
          <w:tab w:val="left" w:pos="885"/>
        </w:tabs>
        <w:snapToGrid w:val="0"/>
        <w:ind w:left="885" w:hanging="885"/>
        <w:jc w:val="center"/>
        <w:outlineLvl w:val="0"/>
        <w:rPr>
          <w:rStyle w:val="28"/>
          <w:rFonts w:hint="eastAsia" w:hAnsi="宋体"/>
          <w:b/>
          <w:bCs/>
        </w:rPr>
      </w:pPr>
      <w:bookmarkStart w:id="339" w:name="_Toc28558"/>
      <w:bookmarkStart w:id="340" w:name="_Toc8671"/>
      <w:bookmarkStart w:id="341" w:name="_Toc13516"/>
      <w:r>
        <w:rPr>
          <w:rStyle w:val="28"/>
          <w:rFonts w:hint="eastAsia" w:hAnsi="宋体"/>
          <w:b/>
          <w:bCs/>
          <w:sz w:val="24"/>
          <w:szCs w:val="24"/>
        </w:rPr>
        <w:t>第三章 拟签订合同的主要条款</w:t>
      </w:r>
      <w:bookmarkEnd w:id="329"/>
      <w:bookmarkEnd w:id="330"/>
      <w:bookmarkEnd w:id="331"/>
      <w:bookmarkEnd w:id="332"/>
      <w:bookmarkEnd w:id="333"/>
      <w:bookmarkEnd w:id="334"/>
      <w:bookmarkEnd w:id="335"/>
      <w:bookmarkEnd w:id="336"/>
      <w:bookmarkEnd w:id="337"/>
      <w:bookmarkEnd w:id="338"/>
      <w:bookmarkEnd w:id="339"/>
      <w:bookmarkEnd w:id="340"/>
      <w:bookmarkEnd w:id="341"/>
    </w:p>
    <w:p w14:paraId="18723F8D">
      <w:pPr>
        <w:rPr>
          <w:rFonts w:hint="eastAsia" w:hAnsi="宋体"/>
          <w:b/>
          <w:snapToGrid w:val="0"/>
        </w:rPr>
      </w:pPr>
      <w:bookmarkStart w:id="342" w:name="OLE_LINK9"/>
      <w:bookmarkStart w:id="343" w:name="_Toc16839"/>
      <w:bookmarkStart w:id="344" w:name="_Toc8254"/>
      <w:bookmarkStart w:id="345" w:name="_Toc18877"/>
      <w:r>
        <w:rPr>
          <w:rFonts w:hint="eastAsia" w:hAnsi="宋体"/>
          <w:b/>
          <w:snapToGrid w:val="0"/>
        </w:rPr>
        <w:t>1.工程承包方式</w:t>
      </w:r>
    </w:p>
    <w:p w14:paraId="71FCC0FD">
      <w:pPr>
        <w:ind w:firstLine="482" w:firstLineChars="200"/>
        <w:rPr>
          <w:rFonts w:hint="eastAsia" w:hAnsi="宋体"/>
          <w:snapToGrid w:val="0"/>
          <w:kern w:val="0"/>
        </w:rPr>
      </w:pPr>
      <w:r>
        <w:rPr>
          <w:rFonts w:hint="eastAsia" w:hAnsi="宋体"/>
          <w:b/>
          <w:bCs/>
          <w:snapToGrid w:val="0"/>
          <w:kern w:val="0"/>
        </w:rPr>
        <w:t xml:space="preserve">1.1 </w:t>
      </w:r>
      <w:r>
        <w:rPr>
          <w:rFonts w:hint="eastAsia" w:hAnsi="宋体"/>
          <w:snapToGrid w:val="0"/>
          <w:kern w:val="0"/>
        </w:rPr>
        <w:t>承包人以中标价按包工包料、包质量、包安全包文明施工、包工期方式总承包施工，不允许转包和违法分包，如果确需分包须与发包人协商，在得到发包人和监理单位同意后报建设行政主管部门备案。</w:t>
      </w:r>
    </w:p>
    <w:p w14:paraId="08848FAB">
      <w:pPr>
        <w:ind w:firstLine="482" w:firstLineChars="200"/>
        <w:rPr>
          <w:rFonts w:hint="eastAsia" w:hAnsi="宋体"/>
          <w:snapToGrid w:val="0"/>
          <w:kern w:val="0"/>
        </w:rPr>
      </w:pPr>
      <w:r>
        <w:rPr>
          <w:rFonts w:hint="eastAsia" w:hAnsi="宋体"/>
          <w:b/>
          <w:bCs/>
          <w:snapToGrid w:val="0"/>
          <w:kern w:val="0"/>
        </w:rPr>
        <w:t>1.1.1</w:t>
      </w:r>
      <w:r>
        <w:rPr>
          <w:rFonts w:hint="eastAsia" w:hAnsi="宋体"/>
          <w:snapToGrid w:val="0"/>
          <w:kern w:val="0"/>
        </w:rPr>
        <w:t xml:space="preserve"> 包工包料：材料符合招标文件要求并报验使用；办理用工保险。</w:t>
      </w:r>
    </w:p>
    <w:p w14:paraId="60883A02">
      <w:pPr>
        <w:ind w:firstLine="482" w:firstLineChars="200"/>
        <w:rPr>
          <w:rFonts w:hint="eastAsia" w:hAnsi="宋体"/>
          <w:snapToGrid w:val="0"/>
          <w:kern w:val="0"/>
        </w:rPr>
      </w:pPr>
      <w:r>
        <w:rPr>
          <w:rFonts w:hint="eastAsia" w:hAnsi="宋体"/>
          <w:b/>
          <w:bCs/>
          <w:snapToGrid w:val="0"/>
          <w:kern w:val="0"/>
        </w:rPr>
        <w:t>1.1.2</w:t>
      </w:r>
      <w:r>
        <w:rPr>
          <w:rFonts w:hint="eastAsia" w:hAnsi="宋体"/>
          <w:snapToGrid w:val="0"/>
          <w:kern w:val="0"/>
        </w:rPr>
        <w:t xml:space="preserve"> 包质量：符合招标文件要求。</w:t>
      </w:r>
    </w:p>
    <w:p w14:paraId="652642FB">
      <w:pPr>
        <w:ind w:firstLine="482" w:firstLineChars="200"/>
        <w:rPr>
          <w:rFonts w:hint="eastAsia" w:hAnsi="宋体"/>
          <w:snapToGrid w:val="0"/>
          <w:kern w:val="0"/>
        </w:rPr>
      </w:pPr>
      <w:r>
        <w:rPr>
          <w:rFonts w:hint="eastAsia" w:hAnsi="宋体"/>
          <w:b/>
          <w:bCs/>
          <w:snapToGrid w:val="0"/>
          <w:kern w:val="0"/>
        </w:rPr>
        <w:t>1.1.3</w:t>
      </w:r>
      <w:r>
        <w:rPr>
          <w:rFonts w:hint="eastAsia" w:hAnsi="宋体"/>
          <w:snapToGrid w:val="0"/>
          <w:kern w:val="0"/>
        </w:rPr>
        <w:t xml:space="preserve"> 包安全包文明施工：符合招标文件要求。</w:t>
      </w:r>
    </w:p>
    <w:p w14:paraId="07E47260">
      <w:pPr>
        <w:ind w:firstLine="482" w:firstLineChars="200"/>
        <w:rPr>
          <w:rFonts w:hint="eastAsia" w:hAnsi="宋体"/>
          <w:snapToGrid w:val="0"/>
          <w:kern w:val="0"/>
        </w:rPr>
      </w:pPr>
      <w:r>
        <w:rPr>
          <w:rFonts w:hint="eastAsia" w:hAnsi="宋体"/>
          <w:b/>
          <w:bCs/>
          <w:snapToGrid w:val="0"/>
          <w:kern w:val="0"/>
        </w:rPr>
        <w:t xml:space="preserve">1.1.4 </w:t>
      </w:r>
      <w:r>
        <w:rPr>
          <w:rFonts w:hint="eastAsia" w:hAnsi="宋体"/>
          <w:snapToGrid w:val="0"/>
          <w:kern w:val="0"/>
        </w:rPr>
        <w:t>包工期：本招标项目施工必须在招标工期内完成。</w:t>
      </w:r>
    </w:p>
    <w:p w14:paraId="62048286">
      <w:pPr>
        <w:wordWrap w:val="0"/>
        <w:adjustRightInd w:val="0"/>
        <w:snapToGrid w:val="0"/>
        <w:rPr>
          <w:rFonts w:hint="eastAsia" w:hAnsi="宋体"/>
          <w:b/>
          <w:bCs/>
          <w:snapToGrid w:val="0"/>
          <w:kern w:val="0"/>
        </w:rPr>
      </w:pPr>
      <w:r>
        <w:rPr>
          <w:rFonts w:hint="eastAsia" w:hAnsi="宋体"/>
          <w:b/>
          <w:bCs/>
          <w:snapToGrid w:val="0"/>
          <w:kern w:val="0"/>
        </w:rPr>
        <w:t>2.工程结算原则</w:t>
      </w:r>
    </w:p>
    <w:p w14:paraId="62102A9D">
      <w:pPr>
        <w:wordWrap w:val="0"/>
        <w:adjustRightInd w:val="0"/>
        <w:snapToGrid w:val="0"/>
        <w:ind w:firstLine="482" w:firstLineChars="200"/>
        <w:rPr>
          <w:rFonts w:hint="eastAsia" w:hAnsi="宋体"/>
          <w:snapToGrid w:val="0"/>
          <w:kern w:val="0"/>
        </w:rPr>
      </w:pPr>
      <w:bookmarkStart w:id="346" w:name="_Hlt88974053"/>
      <w:bookmarkEnd w:id="346"/>
      <w:bookmarkStart w:id="347" w:name="_Hlt87951777"/>
      <w:bookmarkStart w:id="348" w:name="_Toc322793290"/>
      <w:bookmarkStart w:id="349" w:name="_Toc326916631"/>
      <w:r>
        <w:rPr>
          <w:rFonts w:hint="eastAsia" w:hAnsi="宋体"/>
          <w:b/>
          <w:bCs/>
          <w:snapToGrid w:val="0"/>
          <w:kern w:val="0"/>
        </w:rPr>
        <w:t>2.1</w:t>
      </w:r>
      <w:r>
        <w:rPr>
          <w:rFonts w:hint="eastAsia" w:hAnsi="宋体"/>
          <w:snapToGrid w:val="0"/>
          <w:kern w:val="0"/>
        </w:rPr>
        <w:t xml:space="preserve"> 承包人的投标总价为中标价，即为签约合同价。</w:t>
      </w:r>
    </w:p>
    <w:p w14:paraId="213FC45F">
      <w:pPr>
        <w:wordWrap w:val="0"/>
        <w:adjustRightInd w:val="0"/>
        <w:snapToGrid w:val="0"/>
        <w:ind w:firstLine="480"/>
        <w:rPr>
          <w:rFonts w:hint="eastAsia" w:hAnsi="宋体"/>
          <w:snapToGrid w:val="0"/>
          <w:kern w:val="0"/>
        </w:rPr>
      </w:pPr>
      <w:r>
        <w:rPr>
          <w:rFonts w:hint="eastAsia" w:hAnsi="宋体"/>
          <w:b/>
          <w:bCs/>
          <w:snapToGrid w:val="0"/>
          <w:kern w:val="0"/>
        </w:rPr>
        <w:t>2.2</w:t>
      </w:r>
      <w:r>
        <w:rPr>
          <w:rFonts w:hint="eastAsia" w:hAnsi="宋体"/>
          <w:snapToGrid w:val="0"/>
          <w:kern w:val="0"/>
        </w:rPr>
        <w:t xml:space="preserve"> 招标工程量清单标明的工程量是投标人投标报价的共同基础，竣工结算的工程量按《建设工程工程量清单计价标准》（GB/T 50500-2024）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265D233D">
      <w:pPr>
        <w:wordWrap w:val="0"/>
        <w:adjustRightInd w:val="0"/>
        <w:snapToGrid w:val="0"/>
        <w:ind w:firstLine="480"/>
        <w:rPr>
          <w:rFonts w:hint="eastAsia" w:hAnsi="宋体"/>
          <w:snapToGrid w:val="0"/>
          <w:kern w:val="0"/>
        </w:rPr>
      </w:pPr>
      <w:r>
        <w:rPr>
          <w:rFonts w:hint="eastAsia" w:hAnsi="宋体"/>
          <w:b/>
          <w:bCs/>
          <w:snapToGrid w:val="0"/>
          <w:kern w:val="0"/>
        </w:rPr>
        <w:t>2.3</w:t>
      </w:r>
      <w:r>
        <w:rPr>
          <w:rFonts w:hint="eastAsia" w:hAnsi="宋体"/>
          <w:snapToGrid w:val="0"/>
          <w:kern w:val="0"/>
        </w:rPr>
        <w:t xml:space="preserve"> 施工合同履行期间，若出现下列情形的，发、承包双方应当按照以下规定调整合同价款：</w:t>
      </w:r>
    </w:p>
    <w:p w14:paraId="5E1DB3E0">
      <w:pPr>
        <w:wordWrap w:val="0"/>
        <w:adjustRightInd w:val="0"/>
        <w:snapToGrid w:val="0"/>
        <w:ind w:firstLine="480"/>
        <w:rPr>
          <w:rFonts w:hint="eastAsia" w:hAnsi="宋体"/>
          <w:snapToGrid w:val="0"/>
          <w:kern w:val="0"/>
        </w:rPr>
      </w:pPr>
      <w:r>
        <w:rPr>
          <w:rFonts w:hint="eastAsia" w:hAnsi="宋体"/>
          <w:b/>
          <w:bCs/>
          <w:snapToGrid w:val="0"/>
          <w:kern w:val="0"/>
        </w:rPr>
        <w:t>2.3.1</w:t>
      </w:r>
      <w:r>
        <w:rPr>
          <w:rFonts w:hint="eastAsia" w:hAnsi="宋体"/>
          <w:snapToGrid w:val="0"/>
          <w:kern w:val="0"/>
        </w:rPr>
        <w:t xml:space="preserve"> 法律法规变化</w:t>
      </w:r>
    </w:p>
    <w:p w14:paraId="348A749D">
      <w:pPr>
        <w:wordWrap w:val="0"/>
        <w:adjustRightInd w:val="0"/>
        <w:snapToGrid w:val="0"/>
        <w:ind w:firstLine="480"/>
        <w:rPr>
          <w:rFonts w:hint="eastAsia" w:hAnsi="宋体"/>
          <w:snapToGrid w:val="0"/>
          <w:kern w:val="0"/>
        </w:rPr>
      </w:pPr>
      <w:r>
        <w:rPr>
          <w:rFonts w:hint="eastAsia" w:hAnsi="宋体"/>
          <w:b/>
          <w:bCs/>
          <w:snapToGrid w:val="0"/>
          <w:kern w:val="0"/>
        </w:rPr>
        <w:t>2.3.1.1</w:t>
      </w:r>
      <w:r>
        <w:rPr>
          <w:rFonts w:hint="eastAsia" w:hAnsi="宋体"/>
          <w:snapToGrid w:val="0"/>
          <w:kern w:val="0"/>
        </w:rPr>
        <w:t xml:space="preserve"> </w:t>
      </w:r>
      <w:r>
        <w:rPr>
          <w:rFonts w:hint="eastAsia" w:hAnsi="宋体"/>
          <w:snapToGrid w:val="0"/>
          <w:kern w:val="0"/>
          <w:lang w:eastAsia="zh-CN"/>
        </w:rPr>
        <w:t>基准期</w:t>
      </w:r>
      <w:r>
        <w:rPr>
          <w:rFonts w:hint="eastAsia" w:hAnsi="宋体"/>
          <w:snapToGrid w:val="0"/>
          <w:kern w:val="0"/>
        </w:rPr>
        <w:t>之后，因国家法律法规、规章和政策发生变化引起工程造价增减变化时，发、承包双方应按照省级建设主管部门（或省级行业主管部门）或其授权的工程造价管理机构据此发布的最新规定调整合同价款。</w:t>
      </w:r>
    </w:p>
    <w:p w14:paraId="3EA87584">
      <w:pPr>
        <w:wordWrap w:val="0"/>
        <w:adjustRightInd w:val="0"/>
        <w:snapToGrid w:val="0"/>
        <w:ind w:firstLine="480"/>
        <w:rPr>
          <w:rFonts w:hint="eastAsia" w:hAnsi="宋体"/>
          <w:b/>
          <w:bCs/>
          <w:snapToGrid w:val="0"/>
          <w:kern w:val="0"/>
        </w:rPr>
      </w:pPr>
      <w:r>
        <w:rPr>
          <w:rFonts w:hint="eastAsia" w:hAnsi="宋体"/>
          <w:b/>
          <w:bCs/>
          <w:snapToGrid w:val="0"/>
          <w:kern w:val="0"/>
        </w:rPr>
        <w:t>注：本招标文件所称“</w:t>
      </w:r>
      <w:r>
        <w:rPr>
          <w:rFonts w:hint="eastAsia" w:hAnsi="宋体"/>
          <w:b/>
          <w:bCs/>
          <w:snapToGrid w:val="0"/>
          <w:kern w:val="0"/>
          <w:lang w:eastAsia="zh-CN"/>
        </w:rPr>
        <w:t>基准期</w:t>
      </w:r>
      <w:r>
        <w:rPr>
          <w:rFonts w:hint="eastAsia" w:hAnsi="宋体"/>
          <w:b/>
          <w:bCs/>
          <w:snapToGrid w:val="0"/>
          <w:kern w:val="0"/>
        </w:rPr>
        <w:t>”，均指材料价格基期</w:t>
      </w:r>
      <w:r>
        <w:rPr>
          <w:rFonts w:hint="eastAsia" w:hAnsi="宋体"/>
          <w:b/>
          <w:bCs/>
          <w:snapToGrid w:val="0"/>
          <w:kern w:val="0"/>
          <w:lang w:eastAsia="zh-CN"/>
        </w:rPr>
        <w:t>。</w:t>
      </w:r>
      <w:r>
        <w:rPr>
          <w:rFonts w:hint="eastAsia" w:hAnsi="宋体"/>
          <w:b/>
          <w:bCs/>
          <w:snapToGrid w:val="0"/>
          <w:kern w:val="0"/>
          <w:lang w:val="en-US" w:eastAsia="zh-CN"/>
        </w:rPr>
        <w:t>材料价格基期</w:t>
      </w:r>
      <w:r>
        <w:rPr>
          <w:rFonts w:hint="eastAsia" w:hAnsi="宋体"/>
          <w:b/>
          <w:bCs/>
          <w:snapToGrid w:val="0"/>
          <w:kern w:val="0"/>
        </w:rPr>
        <w:t>按照2026年8月执行</w:t>
      </w:r>
      <w:r>
        <w:rPr>
          <w:rFonts w:hint="eastAsia" w:hAnsi="宋体"/>
          <w:b/>
          <w:bCs/>
          <w:snapToGrid w:val="0"/>
          <w:kern w:val="0"/>
          <w:lang w:eastAsia="zh-CN"/>
        </w:rPr>
        <w:t>。</w:t>
      </w:r>
    </w:p>
    <w:p w14:paraId="5FB1118F">
      <w:pPr>
        <w:wordWrap w:val="0"/>
        <w:adjustRightInd w:val="0"/>
        <w:snapToGrid w:val="0"/>
        <w:ind w:firstLine="480"/>
        <w:rPr>
          <w:rFonts w:hint="eastAsia" w:hAnsi="宋体"/>
          <w:snapToGrid w:val="0"/>
          <w:kern w:val="0"/>
        </w:rPr>
      </w:pPr>
      <w:r>
        <w:rPr>
          <w:rFonts w:hint="eastAsia" w:hAnsi="宋体"/>
          <w:b/>
          <w:bCs/>
          <w:snapToGrid w:val="0"/>
          <w:kern w:val="0"/>
        </w:rPr>
        <w:t>2.3.1.2</w:t>
      </w:r>
      <w:r>
        <w:rPr>
          <w:rFonts w:hint="eastAsia" w:hAnsi="宋体"/>
          <w:snapToGrid w:val="0"/>
          <w:kern w:val="0"/>
        </w:rPr>
        <w:t xml:space="preserve"> 因承包人原因导致工程延误，本章第</w:t>
      </w:r>
      <w:r>
        <w:rPr>
          <w:rFonts w:hint="eastAsia" w:hAnsi="宋体"/>
          <w:b/>
          <w:bCs/>
          <w:snapToGrid w:val="0"/>
          <w:kern w:val="0"/>
        </w:rPr>
        <w:t>2.3.1.1</w:t>
      </w:r>
      <w:r>
        <w:rPr>
          <w:rFonts w:hint="eastAsia" w:hAnsi="宋体"/>
          <w:snapToGrid w:val="0"/>
          <w:kern w:val="0"/>
        </w:rPr>
        <w:t>子目中的法定机构根据国家法律法规变化发布新规的时间在合同工程原定竣工时间之后的，合同价款调增的不予调整，合同价款调减的予以调整。</w:t>
      </w:r>
    </w:p>
    <w:p w14:paraId="26FB752A">
      <w:pPr>
        <w:wordWrap w:val="0"/>
        <w:adjustRightInd w:val="0"/>
        <w:snapToGrid w:val="0"/>
        <w:ind w:firstLine="480"/>
        <w:rPr>
          <w:rFonts w:hint="eastAsia" w:hAnsi="宋体"/>
          <w:snapToGrid w:val="0"/>
          <w:kern w:val="0"/>
        </w:rPr>
      </w:pPr>
      <w:r>
        <w:rPr>
          <w:rFonts w:hint="eastAsia" w:hAnsi="宋体"/>
          <w:b/>
          <w:bCs/>
          <w:snapToGrid w:val="0"/>
          <w:kern w:val="0"/>
        </w:rPr>
        <w:t>2.3.2</w:t>
      </w:r>
      <w:r>
        <w:rPr>
          <w:rFonts w:hint="eastAsia" w:hAnsi="宋体"/>
          <w:snapToGrid w:val="0"/>
          <w:kern w:val="0"/>
        </w:rPr>
        <w:t xml:space="preserve"> 工程量偏差或变化</w:t>
      </w:r>
    </w:p>
    <w:p w14:paraId="7DFCEDAF">
      <w:pPr>
        <w:wordWrap w:val="0"/>
        <w:adjustRightInd w:val="0"/>
        <w:snapToGrid w:val="0"/>
        <w:ind w:firstLine="480"/>
        <w:rPr>
          <w:rFonts w:hint="eastAsia" w:hAnsi="宋体"/>
          <w:snapToGrid w:val="0"/>
          <w:kern w:val="0"/>
        </w:rPr>
      </w:pPr>
      <w:r>
        <w:rPr>
          <w:rFonts w:hint="eastAsia" w:hAnsi="宋体"/>
          <w:b/>
          <w:bCs/>
          <w:snapToGrid w:val="0"/>
          <w:kern w:val="0"/>
        </w:rPr>
        <w:t>2.3.2.1</w:t>
      </w:r>
      <w:r>
        <w:rPr>
          <w:rFonts w:hint="eastAsia" w:hAnsi="宋体"/>
          <w:snapToGrid w:val="0"/>
          <w:kern w:val="0"/>
        </w:rPr>
        <w:t xml:space="preserve"> 合同履行期间，当应予计算的实际工程量与招标工程量清单出现偏差或因工程变更引起已标价工程量清单项目的工程数量发生变化时，工程量偏差或变化在15%以内（含15%）的，其综合单价不予调整；工程量偏差或变化超过15%的，按照以下规定调整：</w:t>
      </w:r>
    </w:p>
    <w:p w14:paraId="08109A52">
      <w:pPr>
        <w:wordWrap w:val="0"/>
        <w:adjustRightInd w:val="0"/>
        <w:snapToGrid w:val="0"/>
        <w:ind w:firstLine="480"/>
        <w:rPr>
          <w:rFonts w:hint="eastAsia" w:hAnsi="宋体"/>
          <w:snapToGrid w:val="0"/>
          <w:kern w:val="0"/>
        </w:rPr>
      </w:pPr>
      <w:r>
        <w:rPr>
          <w:rFonts w:hint="eastAsia" w:hAnsi="宋体"/>
          <w:snapToGrid w:val="0"/>
          <w:kern w:val="0"/>
        </w:rPr>
        <w:t>当工程量增加超过15%时，增加部分的工程量的综合单价以《分部分项工程和单价措施项目清单与计价表》中综合单价为基价调低3%；当工程量减少超过15%时，减少后剩余部分的工程量的综合单价以投标报价《分部分项工程和单价措施项目清单与计价表》中综合单价为基价调高3%。</w:t>
      </w:r>
    </w:p>
    <w:p w14:paraId="529272EE">
      <w:pPr>
        <w:wordWrap w:val="0"/>
        <w:adjustRightInd w:val="0"/>
        <w:snapToGrid w:val="0"/>
        <w:ind w:firstLine="480"/>
        <w:rPr>
          <w:rFonts w:hint="eastAsia" w:hAnsi="宋体"/>
          <w:snapToGrid w:val="0"/>
          <w:kern w:val="0"/>
        </w:rPr>
      </w:pPr>
      <w:r>
        <w:rPr>
          <w:rFonts w:hint="eastAsia" w:hAnsi="宋体"/>
          <w:snapToGrid w:val="0"/>
          <w:kern w:val="0"/>
        </w:rPr>
        <w:t>如存在不平衡报价，《分部分项工程和单价措施项目清单与计价表》按</w:t>
      </w:r>
      <w:r>
        <w:rPr>
          <w:rFonts w:hint="eastAsia" w:hAnsi="宋体"/>
          <w:snapToGrid w:val="0"/>
          <w:kern w:val="0"/>
          <w:lang w:eastAsia="zh-CN"/>
        </w:rPr>
        <w:t>“</w:t>
      </w:r>
      <w:r>
        <w:rPr>
          <w:rFonts w:hint="eastAsia" w:hAnsi="宋体"/>
          <w:snapToGrid w:val="0"/>
          <w:kern w:val="0"/>
        </w:rPr>
        <w:t>第</w:t>
      </w:r>
      <w:r>
        <w:rPr>
          <w:rFonts w:hint="eastAsia" w:hAnsi="宋体"/>
          <w:snapToGrid w:val="0"/>
          <w:kern w:val="0"/>
          <w:lang w:val="en-US" w:eastAsia="zh-CN"/>
        </w:rPr>
        <w:t>二</w:t>
      </w:r>
      <w:r>
        <w:rPr>
          <w:rFonts w:hint="eastAsia" w:hAnsi="宋体"/>
          <w:snapToGrid w:val="0"/>
          <w:kern w:val="0"/>
        </w:rPr>
        <w:t>章</w:t>
      </w:r>
      <w:r>
        <w:rPr>
          <w:rFonts w:hint="eastAsia" w:hAnsi="宋体"/>
          <w:snapToGrid w:val="0"/>
          <w:kern w:val="0"/>
          <w:lang w:val="en-US" w:eastAsia="zh-CN"/>
        </w:rPr>
        <w:t xml:space="preserve"> </w:t>
      </w:r>
      <w:r>
        <w:rPr>
          <w:rFonts w:hint="eastAsia" w:hAnsi="宋体"/>
          <w:snapToGrid w:val="0"/>
          <w:kern w:val="0"/>
        </w:rPr>
        <w:t>第4.2.5</w:t>
      </w:r>
      <w:r>
        <w:rPr>
          <w:rFonts w:hint="eastAsia" w:hAnsi="宋体"/>
          <w:snapToGrid w:val="0"/>
          <w:kern w:val="0"/>
          <w:lang w:val="en-US" w:eastAsia="zh-CN"/>
        </w:rPr>
        <w:t>项</w:t>
      </w:r>
      <w:r>
        <w:rPr>
          <w:rFonts w:hint="eastAsia" w:hAnsi="宋体"/>
          <w:snapToGrid w:val="0"/>
          <w:kern w:val="0"/>
        </w:rPr>
        <w:t>《不平衡报价修正报告》执行”。</w:t>
      </w:r>
    </w:p>
    <w:p w14:paraId="5BE97897">
      <w:pPr>
        <w:wordWrap w:val="0"/>
        <w:adjustRightInd w:val="0"/>
        <w:snapToGrid w:val="0"/>
        <w:ind w:firstLine="480"/>
        <w:rPr>
          <w:rFonts w:hint="eastAsia" w:hAnsi="宋体"/>
          <w:snapToGrid w:val="0"/>
          <w:kern w:val="0"/>
        </w:rPr>
      </w:pPr>
      <w:r>
        <w:rPr>
          <w:rFonts w:hint="eastAsia" w:hAnsi="宋体"/>
          <w:b/>
          <w:bCs/>
          <w:snapToGrid w:val="0"/>
          <w:kern w:val="0"/>
        </w:rPr>
        <w:t>2.3.2.2</w:t>
      </w:r>
      <w:r>
        <w:rPr>
          <w:rFonts w:hint="eastAsia" w:hAnsi="宋体"/>
          <w:snapToGrid w:val="0"/>
          <w:kern w:val="0"/>
        </w:rPr>
        <w:t xml:space="preserve"> 如果工程量出现本章第</w:t>
      </w:r>
      <w:r>
        <w:rPr>
          <w:rFonts w:hint="eastAsia" w:hAnsi="宋体"/>
          <w:b/>
          <w:bCs/>
          <w:snapToGrid w:val="0"/>
          <w:kern w:val="0"/>
        </w:rPr>
        <w:t>2.3.2.1</w:t>
      </w:r>
      <w:r>
        <w:rPr>
          <w:rFonts w:hint="eastAsia" w:hAnsi="宋体"/>
          <w:snapToGrid w:val="0"/>
          <w:kern w:val="0"/>
        </w:rPr>
        <w:t>子目的变化，且该变化引起相关措施项目发生变化时，按系数或单一总价方式计价的，工程量增加的相关措施项目调增，工程量减少的相关措施项目调减。</w:t>
      </w:r>
    </w:p>
    <w:p w14:paraId="26C42474">
      <w:pPr>
        <w:wordWrap w:val="0"/>
        <w:adjustRightInd w:val="0"/>
        <w:snapToGrid w:val="0"/>
        <w:ind w:firstLine="480"/>
        <w:rPr>
          <w:rFonts w:hint="eastAsia" w:hAnsi="宋体"/>
          <w:snapToGrid w:val="0"/>
          <w:kern w:val="0"/>
        </w:rPr>
      </w:pPr>
      <w:r>
        <w:rPr>
          <w:rFonts w:hint="eastAsia" w:hAnsi="宋体"/>
          <w:b/>
          <w:bCs/>
          <w:snapToGrid w:val="0"/>
          <w:kern w:val="0"/>
        </w:rPr>
        <w:t>2.3.3</w:t>
      </w:r>
      <w:r>
        <w:rPr>
          <w:rFonts w:hint="eastAsia" w:hAnsi="宋体"/>
          <w:snapToGrid w:val="0"/>
          <w:kern w:val="0"/>
        </w:rPr>
        <w:t xml:space="preserve"> 工程变更</w:t>
      </w:r>
    </w:p>
    <w:p w14:paraId="4DB749AF">
      <w:pPr>
        <w:wordWrap w:val="0"/>
        <w:adjustRightInd w:val="0"/>
        <w:snapToGrid w:val="0"/>
        <w:ind w:firstLine="480"/>
        <w:rPr>
          <w:rFonts w:hint="eastAsia" w:hAnsi="宋体"/>
          <w:snapToGrid w:val="0"/>
          <w:kern w:val="0"/>
        </w:rPr>
      </w:pPr>
      <w:r>
        <w:rPr>
          <w:rFonts w:hint="eastAsia" w:hAnsi="宋体"/>
          <w:b/>
          <w:bCs/>
          <w:snapToGrid w:val="0"/>
          <w:kern w:val="0"/>
        </w:rPr>
        <w:t>2.3.3.1</w:t>
      </w:r>
      <w:r>
        <w:rPr>
          <w:rFonts w:hint="eastAsia" w:hAnsi="宋体"/>
          <w:snapToGrid w:val="0"/>
          <w:kern w:val="0"/>
        </w:rPr>
        <w:t xml:space="preserve"> 合同履行期间，因工程变更引起已标价工程量清单项目发生变化时，按照以下规定调整：</w:t>
      </w:r>
    </w:p>
    <w:p w14:paraId="0B92ACB9">
      <w:pPr>
        <w:wordWrap w:val="0"/>
        <w:adjustRightInd w:val="0"/>
        <w:snapToGrid w:val="0"/>
        <w:ind w:firstLine="480" w:firstLineChars="200"/>
        <w:rPr>
          <w:rFonts w:hint="eastAsia" w:hAnsi="宋体"/>
          <w:snapToGrid w:val="0"/>
          <w:kern w:val="0"/>
          <w:highlight w:val="yellow"/>
        </w:rPr>
      </w:pPr>
      <w:r>
        <w:rPr>
          <w:rFonts w:hint="eastAsia" w:hAnsi="宋体"/>
          <w:snapToGrid w:val="0"/>
          <w:kern w:val="0"/>
          <w:highlight w:val="none"/>
        </w:rPr>
        <w:t>（1）已标价工程量清单中有适用于变更工程项目的，采用该项目的单价</w:t>
      </w:r>
      <w:r>
        <w:rPr>
          <w:rFonts w:hint="eastAsia" w:hAnsi="宋体"/>
          <w:snapToGrid w:val="0"/>
          <w:kern w:val="0"/>
          <w:highlight w:val="none"/>
          <w:lang w:eastAsia="zh-CN"/>
        </w:rPr>
        <w:t>，</w:t>
      </w:r>
      <w:r>
        <w:rPr>
          <w:rFonts w:hint="eastAsia" w:hAnsi="宋体"/>
          <w:b w:val="0"/>
          <w:bCs w:val="0"/>
          <w:snapToGrid w:val="0"/>
          <w:kern w:val="0"/>
          <w:highlight w:val="none"/>
          <w:lang w:val="en-US" w:eastAsia="zh-CN"/>
        </w:rPr>
        <w:t>并</w:t>
      </w:r>
      <w:r>
        <w:rPr>
          <w:rFonts w:hint="eastAsia" w:hAnsi="宋体"/>
          <w:b w:val="0"/>
          <w:bCs w:val="0"/>
          <w:snapToGrid w:val="0"/>
          <w:kern w:val="0"/>
          <w:highlight w:val="none"/>
        </w:rPr>
        <w:t>按照本章2.3.2.1</w:t>
      </w:r>
      <w:r>
        <w:rPr>
          <w:rFonts w:hint="eastAsia" w:hAnsi="宋体"/>
          <w:b w:val="0"/>
          <w:bCs w:val="0"/>
          <w:snapToGrid w:val="0"/>
          <w:kern w:val="0"/>
          <w:highlight w:val="none"/>
          <w:lang w:val="en-US" w:eastAsia="zh-CN"/>
        </w:rPr>
        <w:t>款工程量偏差</w:t>
      </w:r>
      <w:r>
        <w:rPr>
          <w:rFonts w:hint="eastAsia" w:hAnsi="宋体"/>
          <w:b w:val="0"/>
          <w:bCs w:val="0"/>
          <w:snapToGrid w:val="0"/>
          <w:kern w:val="0"/>
          <w:highlight w:val="none"/>
        </w:rPr>
        <w:t>调整。</w:t>
      </w:r>
    </w:p>
    <w:p w14:paraId="14F8E923">
      <w:pPr>
        <w:wordWrap w:val="0"/>
        <w:adjustRightInd w:val="0"/>
        <w:snapToGrid w:val="0"/>
        <w:ind w:firstLine="480" w:firstLineChars="200"/>
        <w:rPr>
          <w:rFonts w:hint="eastAsia" w:hAnsi="宋体"/>
          <w:b/>
          <w:bCs/>
          <w:snapToGrid w:val="0"/>
          <w:kern w:val="0"/>
          <w:highlight w:val="none"/>
        </w:rPr>
      </w:pPr>
      <w:r>
        <w:rPr>
          <w:rFonts w:hint="eastAsia" w:hAnsi="宋体"/>
          <w:snapToGrid w:val="0"/>
          <w:kern w:val="0"/>
        </w:rPr>
        <w:t>（2）已标价工程量清单中没有适用但有类似于变更工程项目的，可在合理范围内参照类似项目的单价</w:t>
      </w:r>
      <w:r>
        <w:rPr>
          <w:rFonts w:hint="eastAsia" w:hAnsi="宋体"/>
          <w:b w:val="0"/>
          <w:bCs w:val="0"/>
          <w:snapToGrid w:val="0"/>
          <w:kern w:val="0"/>
          <w:lang w:eastAsia="zh-CN"/>
        </w:rPr>
        <w:t>，</w:t>
      </w:r>
      <w:r>
        <w:rPr>
          <w:rFonts w:hint="eastAsia" w:hAnsi="宋体"/>
          <w:b w:val="0"/>
          <w:bCs w:val="0"/>
          <w:snapToGrid w:val="0"/>
          <w:kern w:val="0"/>
          <w:lang w:val="en-US" w:eastAsia="zh-CN"/>
        </w:rPr>
        <w:t>并</w:t>
      </w:r>
      <w:r>
        <w:rPr>
          <w:rFonts w:hint="eastAsia" w:hAnsi="宋体"/>
          <w:b w:val="0"/>
          <w:bCs w:val="0"/>
          <w:snapToGrid w:val="0"/>
          <w:kern w:val="0"/>
          <w:highlight w:val="none"/>
        </w:rPr>
        <w:t>按照本章2.3.2.1</w:t>
      </w:r>
      <w:r>
        <w:rPr>
          <w:rFonts w:hint="eastAsia" w:hAnsi="宋体"/>
          <w:b w:val="0"/>
          <w:bCs w:val="0"/>
          <w:snapToGrid w:val="0"/>
          <w:kern w:val="0"/>
          <w:highlight w:val="none"/>
          <w:lang w:val="en-US" w:eastAsia="zh-CN"/>
        </w:rPr>
        <w:t>款工程量偏差</w:t>
      </w:r>
      <w:r>
        <w:rPr>
          <w:rFonts w:hint="eastAsia" w:hAnsi="宋体"/>
          <w:b w:val="0"/>
          <w:bCs w:val="0"/>
          <w:snapToGrid w:val="0"/>
          <w:kern w:val="0"/>
          <w:highlight w:val="none"/>
        </w:rPr>
        <w:t>调整。</w:t>
      </w:r>
    </w:p>
    <w:p w14:paraId="2C149279">
      <w:pPr>
        <w:wordWrap w:val="0"/>
        <w:adjustRightInd w:val="0"/>
        <w:snapToGrid w:val="0"/>
        <w:ind w:firstLine="480" w:firstLineChars="200"/>
        <w:rPr>
          <w:rFonts w:hint="eastAsia" w:hAnsi="宋体"/>
          <w:snapToGrid w:val="0"/>
          <w:kern w:val="0"/>
        </w:rPr>
      </w:pPr>
      <w:r>
        <w:rPr>
          <w:rFonts w:hint="eastAsia" w:hAnsi="宋体"/>
          <w:snapToGrid w:val="0"/>
          <w:kern w:val="0"/>
        </w:rPr>
        <w:t>（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2C43EC9F">
      <w:pPr>
        <w:wordWrap w:val="0"/>
        <w:adjustRightInd w:val="0"/>
        <w:snapToGrid w:val="0"/>
        <w:jc w:val="left"/>
        <w:rPr>
          <w:rFonts w:hint="eastAsia" w:hAnsi="宋体"/>
          <w:snapToGrid w:val="0"/>
          <w:kern w:val="0"/>
          <w:u w:val="wave"/>
        </w:rPr>
      </w:pPr>
      <w:r>
        <w:rPr>
          <w:rFonts w:hint="eastAsia" w:hAnsi="宋体"/>
          <w:snapToGrid w:val="0"/>
          <w:kern w:val="0"/>
        </w:rPr>
        <w:t xml:space="preserve">    </w:t>
      </w:r>
      <w:r>
        <w:rPr>
          <w:rFonts w:hint="eastAsia" w:hAnsi="宋体"/>
          <w:b/>
          <w:bCs/>
          <w:snapToGrid w:val="0"/>
          <w:kern w:val="0"/>
        </w:rPr>
        <w:t xml:space="preserve"> 中标下浮率=[1-（中标价-中标安全生产措施费-暂列金额-专业工程暂估价）/（</w:t>
      </w:r>
      <w:r>
        <w:rPr>
          <w:rFonts w:hint="eastAsia" w:hAnsi="宋体"/>
          <w:b/>
          <w:bCs/>
          <w:snapToGrid w:val="0"/>
          <w:kern w:val="0"/>
          <w:lang w:val="en-US" w:eastAsia="zh-CN"/>
        </w:rPr>
        <w:t>最高投标限价</w:t>
      </w:r>
      <w:r>
        <w:rPr>
          <w:rFonts w:hint="eastAsia" w:hAnsi="宋体"/>
          <w:b/>
          <w:bCs/>
          <w:snapToGrid w:val="0"/>
          <w:kern w:val="0"/>
        </w:rPr>
        <w:t>-</w:t>
      </w:r>
      <w:r>
        <w:rPr>
          <w:rFonts w:hint="eastAsia" w:hAnsi="宋体"/>
          <w:b/>
          <w:bCs/>
          <w:snapToGrid w:val="0"/>
          <w:kern w:val="0"/>
          <w:lang w:eastAsia="zh-CN"/>
        </w:rPr>
        <w:t>最高投标限价</w:t>
      </w:r>
      <w:r>
        <w:rPr>
          <w:rFonts w:hint="eastAsia" w:hAnsi="宋体"/>
          <w:b/>
          <w:bCs/>
          <w:snapToGrid w:val="0"/>
          <w:kern w:val="0"/>
        </w:rPr>
        <w:t>安全生产措施费-暂列金额-专业工程暂估价）]×100%</w:t>
      </w:r>
    </w:p>
    <w:p w14:paraId="44D9603C">
      <w:pPr>
        <w:numPr>
          <w:ilvl w:val="0"/>
          <w:numId w:val="4"/>
        </w:numPr>
        <w:wordWrap w:val="0"/>
        <w:adjustRightInd w:val="0"/>
        <w:snapToGrid w:val="0"/>
        <w:ind w:firstLine="480" w:firstLineChars="200"/>
        <w:rPr>
          <w:rFonts w:hint="eastAsia" w:hAnsi="宋体"/>
          <w:snapToGrid w:val="0"/>
          <w:kern w:val="0"/>
        </w:rPr>
      </w:pPr>
      <w:r>
        <w:rPr>
          <w:rFonts w:hint="eastAsia" w:hAnsi="宋体"/>
          <w:snapToGrid w:val="0"/>
          <w:kern w:val="0"/>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624DBAC8">
      <w:pPr>
        <w:wordWrap w:val="0"/>
        <w:adjustRightInd w:val="0"/>
        <w:snapToGrid w:val="0"/>
        <w:ind w:firstLine="482" w:firstLineChars="200"/>
        <w:rPr>
          <w:rFonts w:hint="eastAsia" w:hAnsi="宋体"/>
          <w:snapToGrid w:val="0"/>
          <w:kern w:val="0"/>
        </w:rPr>
      </w:pPr>
      <w:r>
        <w:rPr>
          <w:rFonts w:hint="eastAsia" w:hAnsi="宋体"/>
          <w:b/>
          <w:bCs/>
          <w:snapToGrid w:val="0"/>
          <w:kern w:val="0"/>
        </w:rPr>
        <w:t>2.3.3.2</w:t>
      </w:r>
      <w:r>
        <w:rPr>
          <w:rFonts w:hint="eastAsia" w:hAnsi="宋体"/>
          <w:snapToGrid w:val="0"/>
          <w:kern w:val="0"/>
        </w:rPr>
        <w:t xml:space="preserve"> 工程变更引起施工方案改变并使相关措施项目发生变化时，承包人提出调整措施项目的，应事先将拟实施的方案提交发包人确认，并应详细说明与原方案措施项目相比的变化情况。拟实施的方案经发、承包双方确认后执行，并按照《建设工程工程量清单计价标准》（GB/T 50500-2024）执行。</w:t>
      </w:r>
    </w:p>
    <w:p w14:paraId="5B037474">
      <w:pPr>
        <w:wordWrap w:val="0"/>
        <w:adjustRightInd w:val="0"/>
        <w:snapToGrid w:val="0"/>
        <w:ind w:firstLine="480" w:firstLineChars="200"/>
        <w:rPr>
          <w:rFonts w:hint="eastAsia" w:hAnsi="宋体"/>
          <w:snapToGrid w:val="0"/>
          <w:kern w:val="0"/>
        </w:rPr>
      </w:pPr>
      <w:r>
        <w:rPr>
          <w:rFonts w:hint="eastAsia" w:hAnsi="宋体"/>
          <w:snapToGrid w:val="0"/>
          <w:kern w:val="0"/>
        </w:rPr>
        <w:t>如果承包人未事先将拟实施的方案提交发包人确认，视为工程变更不引起措施项目费的调整或承包人放弃调整措施项目费的权利。</w:t>
      </w:r>
    </w:p>
    <w:p w14:paraId="2E977243">
      <w:pPr>
        <w:wordWrap w:val="0"/>
        <w:adjustRightInd w:val="0"/>
        <w:snapToGrid w:val="0"/>
        <w:ind w:firstLine="482" w:firstLineChars="200"/>
        <w:rPr>
          <w:rFonts w:hint="eastAsia" w:hAnsi="宋体"/>
          <w:snapToGrid w:val="0"/>
          <w:kern w:val="0"/>
        </w:rPr>
      </w:pPr>
      <w:r>
        <w:rPr>
          <w:rFonts w:hint="eastAsia" w:hAnsi="宋体"/>
          <w:b/>
          <w:bCs/>
          <w:snapToGrid w:val="0"/>
          <w:kern w:val="0"/>
        </w:rPr>
        <w:t>2.3.3.3</w:t>
      </w:r>
      <w:r>
        <w:rPr>
          <w:rFonts w:hint="eastAsia" w:hAnsi="宋体"/>
          <w:snapToGrid w:val="0"/>
          <w:kern w:val="0"/>
        </w:rPr>
        <w:t xml:space="preserve"> 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0307524E">
      <w:pPr>
        <w:wordWrap w:val="0"/>
        <w:adjustRightInd w:val="0"/>
        <w:snapToGrid w:val="0"/>
        <w:ind w:firstLine="480"/>
        <w:rPr>
          <w:rFonts w:hint="eastAsia" w:hAnsi="宋体"/>
          <w:snapToGrid w:val="0"/>
          <w:kern w:val="0"/>
        </w:rPr>
      </w:pPr>
      <w:r>
        <w:rPr>
          <w:rFonts w:hint="eastAsia" w:hAnsi="宋体"/>
          <w:b/>
          <w:bCs/>
          <w:snapToGrid w:val="0"/>
          <w:kern w:val="0"/>
        </w:rPr>
        <w:t>2.3.4</w:t>
      </w:r>
      <w:r>
        <w:rPr>
          <w:rFonts w:hint="eastAsia" w:hAnsi="宋体"/>
          <w:snapToGrid w:val="0"/>
          <w:kern w:val="0"/>
        </w:rPr>
        <w:t xml:space="preserve"> 项目特征不符</w:t>
      </w:r>
    </w:p>
    <w:p w14:paraId="4AED2545">
      <w:pPr>
        <w:wordWrap w:val="0"/>
        <w:adjustRightInd w:val="0"/>
        <w:snapToGrid w:val="0"/>
        <w:ind w:firstLine="480"/>
        <w:rPr>
          <w:rFonts w:hint="eastAsia" w:hAnsi="宋体"/>
          <w:snapToGrid w:val="0"/>
          <w:kern w:val="0"/>
        </w:rPr>
      </w:pPr>
      <w:r>
        <w:rPr>
          <w:rFonts w:hint="eastAsia" w:hAnsi="宋体"/>
          <w:snapToGrid w:val="0"/>
          <w:kern w:val="0"/>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Fonts w:hint="eastAsia" w:hAnsi="宋体"/>
          <w:b/>
          <w:bCs/>
          <w:snapToGrid w:val="0"/>
          <w:kern w:val="0"/>
        </w:rPr>
        <w:t>2.3.3</w:t>
      </w:r>
      <w:r>
        <w:rPr>
          <w:rFonts w:hint="eastAsia" w:hAnsi="宋体"/>
          <w:snapToGrid w:val="0"/>
          <w:kern w:val="0"/>
        </w:rPr>
        <w:t>目相关条款的规定重新确定相应工程量清单项目的综合单价，并调整合同价款。</w:t>
      </w:r>
    </w:p>
    <w:p w14:paraId="06BBA4FC">
      <w:pPr>
        <w:wordWrap w:val="0"/>
        <w:adjustRightInd w:val="0"/>
        <w:snapToGrid w:val="0"/>
        <w:ind w:firstLine="480"/>
        <w:rPr>
          <w:rFonts w:hint="eastAsia" w:hAnsi="宋体"/>
          <w:snapToGrid w:val="0"/>
          <w:kern w:val="0"/>
        </w:rPr>
      </w:pPr>
      <w:r>
        <w:rPr>
          <w:rFonts w:hint="eastAsia" w:hAnsi="宋体"/>
          <w:b/>
          <w:bCs/>
          <w:snapToGrid w:val="0"/>
          <w:kern w:val="0"/>
        </w:rPr>
        <w:t>2.3.5</w:t>
      </w:r>
      <w:r>
        <w:rPr>
          <w:rFonts w:hint="eastAsia" w:hAnsi="宋体"/>
          <w:snapToGrid w:val="0"/>
          <w:kern w:val="0"/>
        </w:rPr>
        <w:t xml:space="preserve"> 招标工程量清单缺项</w:t>
      </w:r>
    </w:p>
    <w:p w14:paraId="67B504A7">
      <w:pPr>
        <w:wordWrap w:val="0"/>
        <w:adjustRightInd w:val="0"/>
        <w:snapToGrid w:val="0"/>
        <w:ind w:firstLine="480"/>
        <w:rPr>
          <w:rFonts w:hint="eastAsia" w:hAnsi="宋体"/>
          <w:snapToGrid w:val="0"/>
          <w:kern w:val="0"/>
        </w:rPr>
      </w:pPr>
      <w:r>
        <w:rPr>
          <w:rFonts w:hint="eastAsia" w:hAnsi="宋体"/>
          <w:b/>
          <w:bCs/>
          <w:snapToGrid w:val="0"/>
          <w:kern w:val="0"/>
        </w:rPr>
        <w:t>2.3.5.1</w:t>
      </w:r>
      <w:r>
        <w:rPr>
          <w:rFonts w:hint="eastAsia" w:hAnsi="宋体"/>
          <w:snapToGrid w:val="0"/>
          <w:kern w:val="0"/>
        </w:rPr>
        <w:t xml:space="preserve"> 合同履行期间，由于招标工程量清单中缺项，新增分部分项工程清单项目，应按照本章第</w:t>
      </w:r>
      <w:r>
        <w:rPr>
          <w:rFonts w:hint="eastAsia" w:hAnsi="宋体"/>
          <w:b/>
          <w:bCs/>
          <w:snapToGrid w:val="0"/>
          <w:kern w:val="0"/>
        </w:rPr>
        <w:t>2.3.3.1</w:t>
      </w:r>
      <w:r>
        <w:rPr>
          <w:rFonts w:hint="eastAsia" w:hAnsi="宋体"/>
          <w:snapToGrid w:val="0"/>
          <w:kern w:val="0"/>
        </w:rPr>
        <w:t>子目的规定确定单价，并调整合同价款。</w:t>
      </w:r>
    </w:p>
    <w:p w14:paraId="268061D9">
      <w:pPr>
        <w:wordWrap w:val="0"/>
        <w:adjustRightInd w:val="0"/>
        <w:snapToGrid w:val="0"/>
        <w:ind w:firstLine="480"/>
        <w:rPr>
          <w:rFonts w:hint="eastAsia" w:hAnsi="宋体"/>
          <w:snapToGrid w:val="0"/>
          <w:kern w:val="0"/>
        </w:rPr>
      </w:pPr>
      <w:r>
        <w:rPr>
          <w:rFonts w:hint="eastAsia" w:hAnsi="宋体"/>
          <w:b/>
          <w:bCs/>
          <w:snapToGrid w:val="0"/>
          <w:kern w:val="0"/>
        </w:rPr>
        <w:t>2.3.5.2</w:t>
      </w:r>
      <w:r>
        <w:rPr>
          <w:rFonts w:hint="eastAsia" w:hAnsi="宋体"/>
          <w:snapToGrid w:val="0"/>
          <w:kern w:val="0"/>
        </w:rPr>
        <w:t xml:space="preserve"> 新增分部分项工程清单项目后，引起措施项目发生变化的，应按照本章第</w:t>
      </w:r>
      <w:r>
        <w:rPr>
          <w:rFonts w:hint="eastAsia" w:hAnsi="宋体"/>
          <w:b/>
          <w:bCs/>
          <w:snapToGrid w:val="0"/>
          <w:kern w:val="0"/>
        </w:rPr>
        <w:t>2.3.3.2</w:t>
      </w:r>
      <w:r>
        <w:rPr>
          <w:rFonts w:hint="eastAsia" w:hAnsi="宋体"/>
          <w:snapToGrid w:val="0"/>
          <w:kern w:val="0"/>
        </w:rPr>
        <w:t>子目的规定，在承包人提交的实施方案被发包人批准后调整合同价款。</w:t>
      </w:r>
    </w:p>
    <w:p w14:paraId="263679E1">
      <w:pPr>
        <w:wordWrap w:val="0"/>
        <w:adjustRightInd w:val="0"/>
        <w:snapToGrid w:val="0"/>
        <w:ind w:firstLine="480"/>
        <w:rPr>
          <w:rFonts w:hint="eastAsia" w:hAnsi="宋体"/>
          <w:snapToGrid w:val="0"/>
          <w:kern w:val="0"/>
        </w:rPr>
      </w:pPr>
      <w:r>
        <w:rPr>
          <w:rFonts w:hint="eastAsia" w:hAnsi="宋体"/>
          <w:b/>
          <w:bCs/>
          <w:snapToGrid w:val="0"/>
          <w:kern w:val="0"/>
        </w:rPr>
        <w:t>2.3.5.3</w:t>
      </w:r>
      <w:r>
        <w:rPr>
          <w:rFonts w:hint="eastAsia" w:hAnsi="宋体"/>
          <w:snapToGrid w:val="0"/>
          <w:kern w:val="0"/>
        </w:rPr>
        <w:t xml:space="preserve"> 由于招标工程量清单中措施项目缺项，承包人应将新增措施项目实施方案提交发包人批准后，按照本章第</w:t>
      </w:r>
      <w:r>
        <w:rPr>
          <w:rFonts w:hint="eastAsia" w:hAnsi="宋体"/>
          <w:b/>
          <w:bCs/>
          <w:snapToGrid w:val="0"/>
          <w:kern w:val="0"/>
        </w:rPr>
        <w:t>2.3.3.1</w:t>
      </w:r>
      <w:r>
        <w:rPr>
          <w:rFonts w:hint="eastAsia" w:hAnsi="宋体"/>
          <w:snapToGrid w:val="0"/>
          <w:kern w:val="0"/>
        </w:rPr>
        <w:t>子目、第</w:t>
      </w:r>
      <w:r>
        <w:rPr>
          <w:rFonts w:hint="eastAsia" w:hAnsi="宋体"/>
          <w:b/>
          <w:bCs/>
          <w:snapToGrid w:val="0"/>
          <w:kern w:val="0"/>
        </w:rPr>
        <w:t>2.3.3.2</w:t>
      </w:r>
      <w:r>
        <w:rPr>
          <w:rFonts w:hint="eastAsia" w:hAnsi="宋体"/>
          <w:snapToGrid w:val="0"/>
          <w:kern w:val="0"/>
        </w:rPr>
        <w:t>子目的规定调整合同价款。</w:t>
      </w:r>
    </w:p>
    <w:p w14:paraId="12EE817C">
      <w:pPr>
        <w:wordWrap w:val="0"/>
        <w:adjustRightInd w:val="0"/>
        <w:snapToGrid w:val="0"/>
        <w:ind w:firstLine="482" w:firstLineChars="200"/>
        <w:rPr>
          <w:rFonts w:hint="eastAsia" w:hAnsi="宋体"/>
          <w:bCs/>
          <w:snapToGrid w:val="0"/>
          <w:kern w:val="0"/>
        </w:rPr>
      </w:pPr>
      <w:r>
        <w:rPr>
          <w:rFonts w:hint="eastAsia" w:hAnsi="宋体"/>
          <w:b/>
          <w:snapToGrid w:val="0"/>
          <w:kern w:val="0"/>
        </w:rPr>
        <w:t>2.3.6</w:t>
      </w:r>
      <w:r>
        <w:rPr>
          <w:rFonts w:hint="eastAsia" w:hAnsi="宋体"/>
          <w:bCs/>
          <w:snapToGrid w:val="0"/>
          <w:kern w:val="0"/>
        </w:rPr>
        <w:t xml:space="preserve"> 物价变化</w:t>
      </w:r>
    </w:p>
    <w:p w14:paraId="62EA363B">
      <w:pPr>
        <w:wordWrap w:val="0"/>
        <w:adjustRightInd w:val="0"/>
        <w:snapToGrid w:val="0"/>
        <w:ind w:firstLine="482" w:firstLineChars="200"/>
        <w:rPr>
          <w:rFonts w:hint="eastAsia" w:hAnsi="宋体"/>
          <w:bCs/>
          <w:snapToGrid w:val="0"/>
          <w:kern w:val="0"/>
        </w:rPr>
      </w:pPr>
      <w:r>
        <w:rPr>
          <w:rFonts w:hint="eastAsia" w:hAnsi="宋体"/>
          <w:b/>
          <w:snapToGrid w:val="0"/>
          <w:kern w:val="0"/>
        </w:rPr>
        <w:t>2.3.6.1</w:t>
      </w:r>
      <w:r>
        <w:rPr>
          <w:rFonts w:hint="eastAsia" w:hAnsi="宋体"/>
          <w:bCs/>
          <w:snapToGrid w:val="0"/>
          <w:kern w:val="0"/>
        </w:rPr>
        <w:t xml:space="preserve"> 合同履行期间，项目所在地工程造价管理机构发布的动态人工调整系数发生变化时，如果承包人投标报价中人工费（</w:t>
      </w:r>
      <w:r>
        <w:rPr>
          <w:rFonts w:hint="eastAsia" w:hAnsi="宋体"/>
          <w:snapToGrid w:val="0"/>
          <w:kern w:val="0"/>
        </w:rPr>
        <w:t>以下简称“中标人工费”</w:t>
      </w:r>
      <w:r>
        <w:rPr>
          <w:rFonts w:hint="eastAsia" w:hAnsi="宋体"/>
          <w:bCs/>
          <w:snapToGrid w:val="0"/>
          <w:kern w:val="0"/>
        </w:rPr>
        <w:t>）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4E2F5A83">
      <w:pPr>
        <w:wordWrap w:val="0"/>
        <w:adjustRightInd w:val="0"/>
        <w:snapToGrid w:val="0"/>
        <w:ind w:firstLine="480" w:firstLineChars="200"/>
        <w:rPr>
          <w:rFonts w:hint="eastAsia" w:hAnsi="宋体"/>
          <w:bCs/>
          <w:snapToGrid w:val="0"/>
          <w:kern w:val="0"/>
        </w:rPr>
      </w:pPr>
      <w:r>
        <w:rPr>
          <w:rFonts w:hint="eastAsia" w:hAnsi="宋体"/>
          <w:bCs/>
          <w:snapToGrid w:val="0"/>
          <w:kern w:val="0"/>
        </w:rPr>
        <w:t>结算人工费＝中标人工费×F</w:t>
      </w:r>
      <w:r>
        <w:rPr>
          <w:rFonts w:hint="eastAsia" w:hAnsi="宋体"/>
          <w:bCs/>
          <w:snapToGrid w:val="0"/>
          <w:kern w:val="0"/>
          <w:vertAlign w:val="subscript"/>
        </w:rPr>
        <w:t>1</w:t>
      </w:r>
    </w:p>
    <w:p w14:paraId="09B02EB5">
      <w:pPr>
        <w:wordWrap w:val="0"/>
        <w:adjustRightInd w:val="0"/>
        <w:snapToGrid w:val="0"/>
        <w:ind w:firstLine="480" w:firstLineChars="200"/>
        <w:rPr>
          <w:rFonts w:hint="eastAsia" w:hAnsi="宋体"/>
          <w:snapToGrid w:val="0"/>
          <w:kern w:val="0"/>
        </w:rPr>
      </w:pPr>
      <w:r>
        <w:rPr>
          <w:rFonts w:hint="eastAsia" w:hAnsi="宋体"/>
          <w:bCs/>
          <w:snapToGrid w:val="0"/>
          <w:kern w:val="0"/>
        </w:rPr>
        <w:t>式中，F</w:t>
      </w:r>
      <w:r>
        <w:rPr>
          <w:rFonts w:hint="eastAsia" w:hAnsi="宋体"/>
          <w:bCs/>
          <w:snapToGrid w:val="0"/>
          <w:kern w:val="0"/>
          <w:vertAlign w:val="subscript"/>
        </w:rPr>
        <w:t>1</w:t>
      </w:r>
      <w:r>
        <w:rPr>
          <w:rFonts w:hint="eastAsia" w:hAnsi="宋体"/>
          <w:bCs/>
          <w:snapToGrid w:val="0"/>
          <w:kern w:val="0"/>
        </w:rPr>
        <w:t>为施工当月项目所在地工程造价管理机构发布的动态人工调整系数。</w:t>
      </w:r>
    </w:p>
    <w:p w14:paraId="46FC846F">
      <w:pPr>
        <w:wordWrap w:val="0"/>
        <w:adjustRightInd w:val="0"/>
        <w:snapToGrid w:val="0"/>
        <w:ind w:firstLine="482" w:firstLineChars="200"/>
        <w:rPr>
          <w:rFonts w:hint="eastAsia" w:hAnsi="宋体"/>
          <w:snapToGrid w:val="0"/>
          <w:kern w:val="0"/>
        </w:rPr>
      </w:pPr>
      <w:r>
        <w:rPr>
          <w:rFonts w:hint="eastAsia" w:hAnsi="宋体"/>
          <w:b/>
          <w:bCs/>
          <w:snapToGrid w:val="0"/>
          <w:kern w:val="0"/>
        </w:rPr>
        <w:t>2.3.6.2</w:t>
      </w:r>
      <w:r>
        <w:rPr>
          <w:rFonts w:hint="eastAsia" w:hAnsi="宋体"/>
          <w:snapToGrid w:val="0"/>
          <w:kern w:val="0"/>
        </w:rPr>
        <w:t xml:space="preserve"> 本招标项目约定，材料、工程设备单价涨跌风险幅度值A为</w:t>
      </w:r>
      <w:r>
        <w:rPr>
          <w:rFonts w:hint="eastAsia" w:hAnsi="宋体"/>
          <w:snapToGrid w:val="0"/>
          <w:kern w:val="0"/>
          <w:u w:val="single"/>
        </w:rPr>
        <w:t xml:space="preserve"> 5% </w:t>
      </w:r>
      <w:r>
        <w:rPr>
          <w:rFonts w:hint="eastAsia" w:hAnsi="宋体"/>
          <w:snapToGrid w:val="0"/>
          <w:kern w:val="0"/>
        </w:rPr>
        <w:t>。合同履行期间，当</w:t>
      </w:r>
      <w:r>
        <w:rPr>
          <w:rFonts w:hint="eastAsia" w:hAnsi="宋体"/>
          <w:snapToGrid w:val="0"/>
          <w:kern w:val="0"/>
          <w:highlight w:val="none"/>
          <w:lang w:val="en-US" w:eastAsia="zh-CN"/>
        </w:rPr>
        <w:t>施工中主要</w:t>
      </w:r>
      <w:r>
        <w:rPr>
          <w:rFonts w:hint="eastAsia" w:hAnsi="宋体"/>
          <w:snapToGrid w:val="0"/>
          <w:kern w:val="0"/>
        </w:rPr>
        <w:t>材料、工程设备（指钢材、商品砼、水泥、砂、石、电线、电缆、桥架、高低压配电工程，或经双方认可的其他主要材料及工程设备）单价涨跌幅度等于或低于A值时，该材料、工程设备单价不予调整；超过A值时，其超过部分可以调整。相关费用按有关规定进行相应调整。</w:t>
      </w:r>
    </w:p>
    <w:p w14:paraId="60717661">
      <w:pPr>
        <w:wordWrap w:val="0"/>
        <w:adjustRightInd w:val="0"/>
        <w:snapToGrid w:val="0"/>
        <w:ind w:firstLine="482" w:firstLineChars="200"/>
        <w:rPr>
          <w:rFonts w:hint="eastAsia" w:hAnsi="宋体"/>
          <w:snapToGrid w:val="0"/>
          <w:kern w:val="0"/>
        </w:rPr>
      </w:pPr>
      <w:r>
        <w:rPr>
          <w:rFonts w:hint="eastAsia" w:hAnsi="宋体"/>
          <w:b/>
          <w:bCs/>
          <w:snapToGrid w:val="0"/>
          <w:kern w:val="0"/>
        </w:rPr>
        <w:t>a.</w:t>
      </w:r>
      <w:r>
        <w:rPr>
          <w:rFonts w:hint="eastAsia" w:hAnsi="宋体"/>
          <w:snapToGrid w:val="0"/>
          <w:kern w:val="0"/>
        </w:rPr>
        <w:t>如果承包人投标报价中材料、工程设备单价（以下简称“中标单价”）低于</w:t>
      </w:r>
      <w:r>
        <w:rPr>
          <w:rFonts w:hint="eastAsia" w:hAnsi="宋体"/>
          <w:snapToGrid w:val="0"/>
          <w:kern w:val="0"/>
          <w:lang w:eastAsia="zh-CN"/>
        </w:rPr>
        <w:t>基准期</w:t>
      </w:r>
      <w:r>
        <w:rPr>
          <w:rFonts w:hint="eastAsia" w:hAnsi="宋体"/>
          <w:snapToGrid w:val="0"/>
          <w:kern w:val="0"/>
        </w:rPr>
        <w:t>项目所在地工程造价管理机构发布的对应材料、工程设备单价（以下简称“基准单价”），该材料、工程设备的结算单价调整公式为：</w:t>
      </w:r>
    </w:p>
    <w:p w14:paraId="7BD76231">
      <w:pPr>
        <w:wordWrap w:val="0"/>
        <w:adjustRightInd w:val="0"/>
        <w:snapToGrid w:val="0"/>
        <w:spacing w:before="360" w:beforeLines="150" w:after="240" w:afterLines="100"/>
        <w:ind w:firstLine="480" w:firstLineChars="200"/>
        <w:rPr>
          <w:rFonts w:hint="eastAsia" w:hAnsi="宋体"/>
          <w:snapToGrid w:val="0"/>
          <w:kern w:val="0"/>
        </w:rPr>
      </w:pPr>
      <w:r>
        <w:rPr>
          <w:rFonts w:hint="eastAsia" w:hAnsi="宋体"/>
          <w:snapToGrid w:val="0"/>
          <w:kern w:val="0"/>
        </w:rPr>
        <w:t>涨价时，</w:t>
      </w:r>
      <w:r>
        <w:rPr>
          <w:rFonts w:hint="eastAsia" w:hAnsi="宋体"/>
          <w:snapToGrid w:val="0"/>
          <w:kern w:val="0"/>
          <w:position w:val="-30"/>
        </w:rPr>
        <w:object>
          <v:shape id="_x0000_i1025" o:spt="75" type="#_x0000_t75" style="height:33.95pt;width:200.95pt;" o:ole="t" filled="f" o:preferrelative="t" stroked="f" coordsize="21600,21600">
            <v:path/>
            <v:fill on="f" focussize="0,0"/>
            <v:stroke on="f" joinstyle="miter"/>
            <v:imagedata r:id="rId11" o:title=""/>
            <o:lock v:ext="edit" aspectratio="t"/>
            <w10:wrap type="none"/>
            <w10:anchorlock/>
          </v:shape>
          <o:OLEObject Type="Embed" ProgID="Equation.KSEE3" ShapeID="_x0000_i1025" DrawAspect="Content" ObjectID="_1468075725" r:id="rId10">
            <o:LockedField>false</o:LockedField>
          </o:OLEObject>
        </w:object>
      </w:r>
    </w:p>
    <w:p w14:paraId="10DEF4C7">
      <w:pPr>
        <w:wordWrap w:val="0"/>
        <w:adjustRightInd w:val="0"/>
        <w:spacing w:before="360" w:beforeLines="150" w:after="240" w:afterLines="100"/>
        <w:ind w:firstLine="480" w:firstLineChars="200"/>
        <w:rPr>
          <w:rFonts w:hint="eastAsia" w:hAnsi="宋体"/>
          <w:snapToGrid w:val="0"/>
          <w:kern w:val="0"/>
        </w:rPr>
      </w:pPr>
      <w:r>
        <w:rPr>
          <w:rFonts w:hint="eastAsia" w:hAnsi="宋体"/>
          <w:snapToGrid w:val="0"/>
          <w:kern w:val="0"/>
        </w:rPr>
        <w:t>跌价时，</w:t>
      </w:r>
      <w:r>
        <w:rPr>
          <w:rFonts w:hint="eastAsia" w:hAnsi="宋体"/>
          <w:snapToGrid w:val="0"/>
          <w:kern w:val="0"/>
          <w:position w:val="-30"/>
        </w:rPr>
        <w:object>
          <v:shape id="_x0000_i1026" o:spt="75" type="#_x0000_t75" style="height:33.95pt;width:198.95pt;" o:ole="t" filled="f" o:preferrelative="t" stroked="f" coordsize="21600,21600">
            <v:path/>
            <v:fill on="f" focussize="0,0"/>
            <v:stroke on="f" joinstyle="miter"/>
            <v:imagedata r:id="rId13" o:title=""/>
            <o:lock v:ext="edit" aspectratio="t"/>
            <w10:wrap type="none"/>
            <w10:anchorlock/>
          </v:shape>
          <o:OLEObject Type="Embed" ProgID="Equation.KSEE3" ShapeID="_x0000_i1026" DrawAspect="Content" ObjectID="_1468075726" r:id="rId12">
            <o:LockedField>false</o:LockedField>
          </o:OLEObject>
        </w:object>
      </w:r>
    </w:p>
    <w:p w14:paraId="54613D40">
      <w:pPr>
        <w:wordWrap w:val="0"/>
        <w:adjustRightInd w:val="0"/>
        <w:snapToGrid w:val="0"/>
        <w:ind w:firstLine="482" w:firstLineChars="200"/>
        <w:rPr>
          <w:rFonts w:hint="eastAsia" w:hAnsi="宋体"/>
          <w:snapToGrid w:val="0"/>
          <w:kern w:val="0"/>
        </w:rPr>
      </w:pPr>
      <w:r>
        <w:rPr>
          <w:rFonts w:hint="eastAsia" w:hAnsi="宋体"/>
          <w:b/>
          <w:bCs/>
          <w:snapToGrid w:val="0"/>
          <w:kern w:val="0"/>
        </w:rPr>
        <w:t>b.</w:t>
      </w:r>
      <w:r>
        <w:rPr>
          <w:rFonts w:hint="eastAsia" w:hAnsi="宋体"/>
          <w:snapToGrid w:val="0"/>
          <w:kern w:val="0"/>
        </w:rPr>
        <w:t>如果中标单价高于基准单价，该材料、工程设备的结算单价调整公式为：</w:t>
      </w:r>
    </w:p>
    <w:p w14:paraId="31779A9D">
      <w:pPr>
        <w:wordWrap w:val="0"/>
        <w:adjustRightInd w:val="0"/>
        <w:snapToGrid w:val="0"/>
        <w:spacing w:before="360" w:beforeLines="150" w:after="240" w:afterLines="100"/>
        <w:ind w:firstLine="480" w:firstLineChars="200"/>
        <w:rPr>
          <w:rFonts w:hint="eastAsia" w:hAnsi="宋体"/>
          <w:snapToGrid w:val="0"/>
          <w:kern w:val="0"/>
        </w:rPr>
      </w:pPr>
      <w:r>
        <w:rPr>
          <w:rFonts w:hint="eastAsia" w:hAnsi="宋体"/>
          <w:snapToGrid w:val="0"/>
          <w:kern w:val="0"/>
        </w:rPr>
        <w:t>涨价时，</w:t>
      </w:r>
      <w:r>
        <w:rPr>
          <w:rFonts w:hint="eastAsia" w:hAnsi="宋体"/>
          <w:snapToGrid w:val="0"/>
          <w:kern w:val="0"/>
          <w:position w:val="-30"/>
        </w:rPr>
        <w:object>
          <v:shape id="_x0000_i1027" o:spt="75" type="#_x0000_t75" style="height:33.95pt;width:198.95pt;" o:ole="t" filled="f" o:preferrelative="t" stroked="f" coordsize="21600,21600">
            <v:path/>
            <v:fill on="f" focussize="0,0"/>
            <v:stroke on="f" joinstyle="miter"/>
            <v:imagedata r:id="rId15" o:title=""/>
            <o:lock v:ext="edit" aspectratio="t"/>
            <w10:wrap type="none"/>
            <w10:anchorlock/>
          </v:shape>
          <o:OLEObject Type="Embed" ProgID="Equation.KSEE3" ShapeID="_x0000_i1027" DrawAspect="Content" ObjectID="_1468075727" r:id="rId14">
            <o:LockedField>false</o:LockedField>
          </o:OLEObject>
        </w:object>
      </w:r>
    </w:p>
    <w:p w14:paraId="5473551F">
      <w:pPr>
        <w:wordWrap w:val="0"/>
        <w:adjustRightInd w:val="0"/>
        <w:spacing w:before="360" w:beforeLines="150" w:after="240" w:afterLines="100"/>
        <w:ind w:firstLine="480" w:firstLineChars="200"/>
        <w:rPr>
          <w:rFonts w:hint="eastAsia" w:hAnsi="宋体"/>
          <w:snapToGrid w:val="0"/>
          <w:kern w:val="0"/>
        </w:rPr>
      </w:pPr>
      <w:r>
        <w:rPr>
          <w:rFonts w:hint="eastAsia" w:hAnsi="宋体"/>
          <w:snapToGrid w:val="0"/>
          <w:kern w:val="0"/>
        </w:rPr>
        <w:t>跌价时，</w:t>
      </w:r>
      <w:r>
        <w:rPr>
          <w:rFonts w:hint="eastAsia" w:hAnsi="宋体"/>
          <w:snapToGrid w:val="0"/>
          <w:kern w:val="0"/>
          <w:position w:val="-30"/>
        </w:rPr>
        <w:object>
          <v:shape id="_x0000_i1028" o:spt="75" type="#_x0000_t75" style="height:33.95pt;width:200.95pt;" o:ole="t" filled="f" o:preferrelative="t" stroked="f" coordsize="21600,21600">
            <v:path/>
            <v:fill on="f" focussize="0,0"/>
            <v:stroke on="f" joinstyle="miter"/>
            <v:imagedata r:id="rId17" o:title=""/>
            <o:lock v:ext="edit" aspectratio="t"/>
            <w10:wrap type="none"/>
            <w10:anchorlock/>
          </v:shape>
          <o:OLEObject Type="Embed" ProgID="Equation.KSEE3" ShapeID="_x0000_i1028" DrawAspect="Content" ObjectID="_1468075728" r:id="rId16">
            <o:LockedField>false</o:LockedField>
          </o:OLEObject>
        </w:object>
      </w:r>
    </w:p>
    <w:p w14:paraId="6795692A">
      <w:pPr>
        <w:wordWrap w:val="0"/>
        <w:adjustRightInd w:val="0"/>
        <w:snapToGrid w:val="0"/>
        <w:ind w:firstLine="482" w:firstLineChars="200"/>
        <w:rPr>
          <w:rFonts w:hint="eastAsia" w:hAnsi="宋体"/>
          <w:snapToGrid w:val="0"/>
          <w:kern w:val="0"/>
        </w:rPr>
      </w:pPr>
      <w:r>
        <w:rPr>
          <w:rFonts w:hint="eastAsia" w:hAnsi="宋体"/>
          <w:b/>
          <w:bCs/>
          <w:snapToGrid w:val="0"/>
          <w:kern w:val="0"/>
        </w:rPr>
        <w:t>c.</w:t>
      </w:r>
      <w:r>
        <w:rPr>
          <w:rFonts w:hint="eastAsia" w:hAnsi="宋体"/>
          <w:snapToGrid w:val="0"/>
          <w:kern w:val="0"/>
        </w:rPr>
        <w:t>如果中标单价等于基准单价，该材料、工程设备的结算单价调整公式为：</w:t>
      </w:r>
    </w:p>
    <w:p w14:paraId="69F06777">
      <w:pPr>
        <w:wordWrap w:val="0"/>
        <w:adjustRightInd w:val="0"/>
        <w:snapToGrid w:val="0"/>
        <w:spacing w:before="360" w:beforeLines="150" w:after="240" w:afterLines="100"/>
        <w:ind w:firstLine="480" w:firstLineChars="200"/>
        <w:rPr>
          <w:rFonts w:hint="eastAsia" w:hAnsi="宋体"/>
          <w:snapToGrid w:val="0"/>
          <w:kern w:val="0"/>
        </w:rPr>
      </w:pPr>
      <w:r>
        <w:rPr>
          <w:rFonts w:hint="eastAsia" w:hAnsi="宋体"/>
          <w:snapToGrid w:val="0"/>
          <w:kern w:val="0"/>
        </w:rPr>
        <w:t>涨价时，</w:t>
      </w:r>
      <w:r>
        <w:rPr>
          <w:rFonts w:hint="eastAsia" w:hAnsi="宋体"/>
          <w:snapToGrid w:val="0"/>
          <w:kern w:val="0"/>
          <w:position w:val="-30"/>
        </w:rPr>
        <w:object>
          <v:shape id="_x0000_i1029" o:spt="75" type="#_x0000_t75" style="height:33.95pt;width:200.95pt;" o:ole="t" filled="f" o:preferrelative="t" stroked="f" coordsize="21600,21600">
            <v:path/>
            <v:fill on="f" focussize="0,0"/>
            <v:stroke on="f" joinstyle="miter"/>
            <v:imagedata r:id="rId19" o:title=""/>
            <o:lock v:ext="edit" aspectratio="t"/>
            <w10:wrap type="none"/>
            <w10:anchorlock/>
          </v:shape>
          <o:OLEObject Type="Embed" ProgID="Equation.KSEE3" ShapeID="_x0000_i1029" DrawAspect="Content" ObjectID="_1468075729" r:id="rId18">
            <o:LockedField>false</o:LockedField>
          </o:OLEObject>
        </w:object>
      </w:r>
    </w:p>
    <w:p w14:paraId="46BE400F">
      <w:pPr>
        <w:wordWrap w:val="0"/>
        <w:adjustRightInd w:val="0"/>
        <w:spacing w:before="360" w:beforeLines="150" w:after="240" w:afterLines="100"/>
        <w:ind w:firstLine="480" w:firstLineChars="200"/>
        <w:rPr>
          <w:rFonts w:hint="eastAsia" w:hAnsi="宋体"/>
          <w:snapToGrid w:val="0"/>
          <w:kern w:val="0"/>
        </w:rPr>
      </w:pPr>
      <w:r>
        <w:rPr>
          <w:rFonts w:hint="eastAsia" w:hAnsi="宋体"/>
          <w:snapToGrid w:val="0"/>
          <w:kern w:val="0"/>
        </w:rPr>
        <w:t>跌价时，</w:t>
      </w:r>
      <w:r>
        <w:rPr>
          <w:rFonts w:hint="eastAsia" w:hAnsi="宋体"/>
          <w:snapToGrid w:val="0"/>
          <w:kern w:val="0"/>
          <w:position w:val="-30"/>
        </w:rPr>
        <w:object>
          <v:shape id="_x0000_i1030" o:spt="75" type="#_x0000_t75" style="height:33.95pt;width:200.95pt;" o:ole="t" filled="f" o:preferrelative="t" stroked="f" coordsize="21600,21600">
            <v:path/>
            <v:fill on="f" focussize="0,0"/>
            <v:stroke on="f" joinstyle="miter"/>
            <v:imagedata r:id="rId21" o:title=""/>
            <o:lock v:ext="edit" aspectratio="t"/>
            <w10:wrap type="none"/>
            <w10:anchorlock/>
          </v:shape>
          <o:OLEObject Type="Embed" ProgID="Equation.KSEE3" ShapeID="_x0000_i1030" DrawAspect="Content" ObjectID="_1468075730" r:id="rId20">
            <o:LockedField>false</o:LockedField>
          </o:OLEObject>
        </w:object>
      </w:r>
    </w:p>
    <w:p w14:paraId="0BAC54A5">
      <w:pPr>
        <w:wordWrap w:val="0"/>
        <w:adjustRightInd w:val="0"/>
        <w:snapToGrid w:val="0"/>
        <w:ind w:firstLine="480" w:firstLineChars="200"/>
        <w:rPr>
          <w:rFonts w:hint="eastAsia" w:hAnsi="宋体"/>
          <w:bCs/>
          <w:snapToGrid w:val="0"/>
          <w:kern w:val="0"/>
        </w:rPr>
      </w:pPr>
      <w:r>
        <w:rPr>
          <w:rFonts w:hint="eastAsia" w:hAnsi="宋体"/>
          <w:snapToGrid w:val="0"/>
          <w:kern w:val="0"/>
        </w:rPr>
        <w:t>以上公式中，</w:t>
      </w:r>
      <w:r>
        <w:rPr>
          <w:rFonts w:hint="eastAsia" w:hAnsi="宋体"/>
          <w:bCs/>
          <w:snapToGrid w:val="0"/>
          <w:kern w:val="0"/>
        </w:rPr>
        <w:t>F</w:t>
      </w:r>
      <w:r>
        <w:rPr>
          <w:rFonts w:hint="eastAsia" w:hAnsi="宋体"/>
          <w:bCs/>
          <w:snapToGrid w:val="0"/>
          <w:kern w:val="0"/>
          <w:vertAlign w:val="subscript"/>
        </w:rPr>
        <w:t>1</w:t>
      </w:r>
      <w:r>
        <w:rPr>
          <w:rFonts w:hint="eastAsia" w:hAnsi="宋体"/>
          <w:bCs/>
          <w:snapToGrid w:val="0"/>
          <w:kern w:val="0"/>
        </w:rPr>
        <w:t>为中标单价；F</w:t>
      </w:r>
      <w:r>
        <w:rPr>
          <w:rFonts w:hint="eastAsia" w:hAnsi="宋体"/>
          <w:bCs/>
          <w:snapToGrid w:val="0"/>
          <w:kern w:val="0"/>
          <w:vertAlign w:val="subscript"/>
        </w:rPr>
        <w:t>0</w:t>
      </w:r>
      <w:r>
        <w:rPr>
          <w:rFonts w:hint="eastAsia" w:hAnsi="宋体"/>
          <w:bCs/>
          <w:snapToGrid w:val="0"/>
          <w:kern w:val="0"/>
        </w:rPr>
        <w:t>为基准单价； F</w:t>
      </w:r>
      <w:r>
        <w:rPr>
          <w:rFonts w:hint="eastAsia" w:hAnsi="宋体"/>
          <w:bCs/>
          <w:snapToGrid w:val="0"/>
          <w:kern w:val="0"/>
          <w:vertAlign w:val="subscript"/>
        </w:rPr>
        <w:t>2</w:t>
      </w:r>
      <w:r>
        <w:rPr>
          <w:rFonts w:hint="eastAsia" w:hAnsi="宋体"/>
          <w:bCs/>
          <w:snapToGrid w:val="0"/>
          <w:kern w:val="0"/>
        </w:rPr>
        <w:t>为施工当月项目所在地工程造价管理机构发布的材料、工程设备单价；A为合同约定的材料、工程设备单价涨跌风险幅度值。</w:t>
      </w:r>
    </w:p>
    <w:p w14:paraId="6D380592">
      <w:pPr>
        <w:wordWrap w:val="0"/>
        <w:adjustRightInd w:val="0"/>
        <w:snapToGrid w:val="0"/>
        <w:ind w:firstLine="482" w:firstLineChars="200"/>
        <w:rPr>
          <w:rFonts w:hint="eastAsia" w:hAnsi="宋体"/>
          <w:bCs/>
          <w:snapToGrid w:val="0"/>
          <w:kern w:val="0"/>
        </w:rPr>
      </w:pPr>
      <w:r>
        <w:rPr>
          <w:rFonts w:hint="eastAsia" w:hAnsi="宋体"/>
          <w:b/>
          <w:bCs/>
          <w:snapToGrid w:val="0"/>
          <w:kern w:val="0"/>
        </w:rPr>
        <w:t>2.3.6.3</w:t>
      </w:r>
      <w:r>
        <w:rPr>
          <w:rFonts w:hint="eastAsia" w:hAnsi="宋体"/>
          <w:snapToGrid w:val="0"/>
          <w:kern w:val="0"/>
        </w:rPr>
        <w:t xml:space="preserve"> 合同履行期间，当</w:t>
      </w:r>
      <w:r>
        <w:rPr>
          <w:rFonts w:hint="eastAsia" w:hAnsi="宋体"/>
          <w:snapToGrid w:val="0"/>
          <w:kern w:val="0"/>
          <w:highlight w:val="none"/>
        </w:rPr>
        <w:t>《发包人提供材料和工程设备一览表》（详见招标工程量清单）</w:t>
      </w:r>
      <w:r>
        <w:rPr>
          <w:rFonts w:hint="eastAsia" w:hAnsi="宋体"/>
          <w:snapToGrid w:val="0"/>
          <w:kern w:val="0"/>
        </w:rPr>
        <w:t>中的材料、工程设备单价发生变化时，由发包人按照实际变化调整，并列入合同价款。</w:t>
      </w:r>
    </w:p>
    <w:p w14:paraId="193AA4C2">
      <w:pPr>
        <w:wordWrap w:val="0"/>
        <w:adjustRightInd w:val="0"/>
        <w:snapToGrid w:val="0"/>
        <w:ind w:firstLine="482" w:firstLineChars="200"/>
        <w:rPr>
          <w:rFonts w:hint="eastAsia" w:hAnsi="宋体"/>
          <w:snapToGrid w:val="0"/>
          <w:kern w:val="0"/>
        </w:rPr>
      </w:pPr>
      <w:r>
        <w:rPr>
          <w:rFonts w:hint="eastAsia" w:hAnsi="宋体"/>
          <w:b/>
          <w:bCs/>
          <w:snapToGrid w:val="0"/>
          <w:kern w:val="0"/>
        </w:rPr>
        <w:t>2.3.6.4</w:t>
      </w:r>
      <w:r>
        <w:rPr>
          <w:rFonts w:hint="eastAsia" w:hAnsi="宋体"/>
          <w:snapToGrid w:val="0"/>
          <w:kern w:val="0"/>
        </w:rPr>
        <w:t xml:space="preserve"> 本招标项目约定，施工机具台班单价涨跌风险幅度值B为</w:t>
      </w:r>
      <w:r>
        <w:rPr>
          <w:rFonts w:hint="eastAsia" w:hAnsi="宋体"/>
          <w:snapToGrid w:val="0"/>
          <w:kern w:val="0"/>
          <w:u w:val="single"/>
        </w:rPr>
        <w:t xml:space="preserve"> 10% </w:t>
      </w:r>
      <w:r>
        <w:rPr>
          <w:rFonts w:hint="eastAsia" w:hAnsi="宋体"/>
          <w:snapToGrid w:val="0"/>
          <w:kern w:val="0"/>
        </w:rPr>
        <w:t>。合同履行期间，当施工机具台班单价涨跌幅度等于或低于B值时，该施工机具台班单价不予调整；超过B值时，其超过部分可以调整。相关费用按有关规定进行相应调整。</w:t>
      </w:r>
    </w:p>
    <w:p w14:paraId="79CF5D8C">
      <w:pPr>
        <w:wordWrap w:val="0"/>
        <w:adjustRightInd w:val="0"/>
        <w:snapToGrid w:val="0"/>
        <w:ind w:firstLine="482" w:firstLineChars="200"/>
        <w:rPr>
          <w:rFonts w:hint="eastAsia" w:hAnsi="宋体"/>
          <w:snapToGrid w:val="0"/>
          <w:kern w:val="0"/>
        </w:rPr>
      </w:pPr>
      <w:r>
        <w:rPr>
          <w:rFonts w:hint="eastAsia" w:hAnsi="宋体"/>
          <w:b/>
          <w:bCs/>
          <w:snapToGrid w:val="0"/>
          <w:kern w:val="0"/>
        </w:rPr>
        <w:t>a.</w:t>
      </w:r>
      <w:r>
        <w:rPr>
          <w:rFonts w:hint="eastAsia" w:hAnsi="宋体"/>
          <w:snapToGrid w:val="0"/>
          <w:kern w:val="0"/>
        </w:rPr>
        <w:t>如果承包人投标报价中施工机具台班单价（以下简称“中标单价”）低于</w:t>
      </w:r>
      <w:r>
        <w:rPr>
          <w:rFonts w:hint="eastAsia" w:hAnsi="宋体"/>
          <w:snapToGrid w:val="0"/>
          <w:kern w:val="0"/>
          <w:lang w:eastAsia="zh-CN"/>
        </w:rPr>
        <w:t>基准期</w:t>
      </w:r>
      <w:r>
        <w:rPr>
          <w:rFonts w:hint="eastAsia" w:hAnsi="宋体"/>
          <w:snapToGrid w:val="0"/>
          <w:kern w:val="0"/>
        </w:rPr>
        <w:t>项目所在地工程造价管理机构发布的对应施工机具台班单价（以下简称“基准单价”），该施工机具台班的结算单价调整公式为：</w:t>
      </w:r>
    </w:p>
    <w:p w14:paraId="2344B11B">
      <w:pPr>
        <w:wordWrap w:val="0"/>
        <w:adjustRightInd w:val="0"/>
        <w:snapToGrid w:val="0"/>
        <w:spacing w:before="360" w:beforeLines="150" w:after="240" w:afterLines="100"/>
        <w:ind w:firstLine="480" w:firstLineChars="200"/>
        <w:rPr>
          <w:rFonts w:hint="eastAsia" w:hAnsi="宋体"/>
          <w:snapToGrid w:val="0"/>
          <w:kern w:val="0"/>
        </w:rPr>
      </w:pPr>
      <w:r>
        <w:rPr>
          <w:rFonts w:hint="eastAsia" w:hAnsi="宋体"/>
          <w:snapToGrid w:val="0"/>
          <w:kern w:val="0"/>
        </w:rPr>
        <w:t>涨价时，</w:t>
      </w:r>
      <w:r>
        <w:rPr>
          <w:rFonts w:hint="eastAsia" w:hAnsi="宋体"/>
          <w:snapToGrid w:val="0"/>
          <w:kern w:val="0"/>
          <w:position w:val="-30"/>
        </w:rPr>
        <w:object>
          <v:shape id="_x0000_i1031" o:spt="75" type="#_x0000_t75" style="height:33.95pt;width:200.95pt;" o:ole="t" filled="f" o:preferrelative="t" stroked="f" coordsize="21600,21600">
            <v:path/>
            <v:fill on="f" focussize="0,0"/>
            <v:stroke on="f" joinstyle="miter"/>
            <v:imagedata r:id="rId23" o:title=""/>
            <o:lock v:ext="edit" aspectratio="t"/>
            <w10:wrap type="none"/>
            <w10:anchorlock/>
          </v:shape>
          <o:OLEObject Type="Embed" ProgID="Equation.KSEE3" ShapeID="_x0000_i1031" DrawAspect="Content" ObjectID="_1468075731" r:id="rId22">
            <o:LockedField>false</o:LockedField>
          </o:OLEObject>
        </w:object>
      </w:r>
    </w:p>
    <w:p w14:paraId="1D4B2C5B">
      <w:pPr>
        <w:wordWrap w:val="0"/>
        <w:adjustRightInd w:val="0"/>
        <w:spacing w:before="360" w:beforeLines="150" w:after="240" w:afterLines="100"/>
        <w:ind w:firstLine="480" w:firstLineChars="200"/>
        <w:rPr>
          <w:rFonts w:hint="eastAsia" w:hAnsi="宋体"/>
          <w:snapToGrid w:val="0"/>
          <w:kern w:val="0"/>
        </w:rPr>
      </w:pPr>
      <w:r>
        <w:rPr>
          <w:rFonts w:hint="eastAsia" w:hAnsi="宋体"/>
          <w:snapToGrid w:val="0"/>
          <w:kern w:val="0"/>
        </w:rPr>
        <w:t>跌价时，</w:t>
      </w:r>
      <w:r>
        <w:rPr>
          <w:rFonts w:hint="eastAsia" w:hAnsi="宋体"/>
          <w:snapToGrid w:val="0"/>
          <w:kern w:val="0"/>
          <w:position w:val="-30"/>
        </w:rPr>
        <w:object>
          <v:shape id="_x0000_i1032" o:spt="75" type="#_x0000_t75" style="height:33.95pt;width:198pt;" o:ole="t" filled="f" o:preferrelative="t" stroked="f" coordsize="21600,21600">
            <v:path/>
            <v:fill on="f" focussize="0,0"/>
            <v:stroke on="f" joinstyle="miter"/>
            <v:imagedata r:id="rId25" o:title=""/>
            <o:lock v:ext="edit" aspectratio="t"/>
            <w10:wrap type="none"/>
            <w10:anchorlock/>
          </v:shape>
          <o:OLEObject Type="Embed" ProgID="Equation.KSEE3" ShapeID="_x0000_i1032" DrawAspect="Content" ObjectID="_1468075732" r:id="rId24">
            <o:LockedField>false</o:LockedField>
          </o:OLEObject>
        </w:object>
      </w:r>
    </w:p>
    <w:p w14:paraId="67F166D6">
      <w:pPr>
        <w:wordWrap w:val="0"/>
        <w:adjustRightInd w:val="0"/>
        <w:snapToGrid w:val="0"/>
        <w:ind w:firstLine="482" w:firstLineChars="200"/>
        <w:rPr>
          <w:rFonts w:hint="eastAsia" w:hAnsi="宋体"/>
          <w:snapToGrid w:val="0"/>
          <w:kern w:val="0"/>
        </w:rPr>
      </w:pPr>
      <w:r>
        <w:rPr>
          <w:rFonts w:hint="eastAsia" w:hAnsi="宋体"/>
          <w:b/>
          <w:bCs/>
          <w:snapToGrid w:val="0"/>
          <w:kern w:val="0"/>
        </w:rPr>
        <w:t>b.</w:t>
      </w:r>
      <w:r>
        <w:rPr>
          <w:rFonts w:hint="eastAsia" w:hAnsi="宋体"/>
          <w:snapToGrid w:val="0"/>
          <w:kern w:val="0"/>
        </w:rPr>
        <w:t>如果中标单价高于基准单价，该施工机具台班的结算单价调整公式为：</w:t>
      </w:r>
    </w:p>
    <w:p w14:paraId="33032065">
      <w:pPr>
        <w:wordWrap w:val="0"/>
        <w:adjustRightInd w:val="0"/>
        <w:snapToGrid w:val="0"/>
        <w:spacing w:before="360" w:beforeLines="150" w:after="240" w:afterLines="100"/>
        <w:ind w:firstLine="480" w:firstLineChars="200"/>
        <w:rPr>
          <w:rFonts w:hint="eastAsia" w:hAnsi="宋体"/>
          <w:snapToGrid w:val="0"/>
          <w:kern w:val="0"/>
        </w:rPr>
      </w:pPr>
      <w:r>
        <w:rPr>
          <w:rFonts w:hint="eastAsia" w:hAnsi="宋体"/>
          <w:snapToGrid w:val="0"/>
          <w:kern w:val="0"/>
        </w:rPr>
        <w:t>涨价时，</w:t>
      </w:r>
      <w:r>
        <w:rPr>
          <w:rFonts w:hint="eastAsia" w:hAnsi="宋体"/>
          <w:snapToGrid w:val="0"/>
          <w:kern w:val="0"/>
          <w:position w:val="-30"/>
        </w:rPr>
        <w:object>
          <v:shape id="_x0000_i1033" o:spt="75" type="#_x0000_t75" style="height:33.95pt;width:198pt;" o:ole="t" filled="f" o:preferrelative="t" stroked="f" coordsize="21600,21600">
            <v:path/>
            <v:fill on="f" focussize="0,0"/>
            <v:stroke on="f" joinstyle="miter"/>
            <v:imagedata r:id="rId27" o:title=""/>
            <o:lock v:ext="edit" aspectratio="t"/>
            <w10:wrap type="none"/>
            <w10:anchorlock/>
          </v:shape>
          <o:OLEObject Type="Embed" ProgID="Equation.KSEE3" ShapeID="_x0000_i1033" DrawAspect="Content" ObjectID="_1468075733" r:id="rId26">
            <o:LockedField>false</o:LockedField>
          </o:OLEObject>
        </w:object>
      </w:r>
    </w:p>
    <w:p w14:paraId="19FE97D0">
      <w:pPr>
        <w:wordWrap w:val="0"/>
        <w:adjustRightInd w:val="0"/>
        <w:spacing w:before="360" w:beforeLines="150" w:after="240" w:afterLines="100"/>
        <w:ind w:firstLine="480" w:firstLineChars="200"/>
        <w:rPr>
          <w:rFonts w:hint="eastAsia" w:hAnsi="宋体"/>
          <w:snapToGrid w:val="0"/>
          <w:kern w:val="0"/>
        </w:rPr>
      </w:pPr>
      <w:r>
        <w:rPr>
          <w:rFonts w:hint="eastAsia" w:hAnsi="宋体"/>
          <w:snapToGrid w:val="0"/>
          <w:kern w:val="0"/>
        </w:rPr>
        <w:t>跌价时，</w:t>
      </w:r>
      <w:r>
        <w:rPr>
          <w:rFonts w:hint="eastAsia" w:hAnsi="宋体"/>
          <w:snapToGrid w:val="0"/>
          <w:kern w:val="0"/>
          <w:position w:val="-30"/>
        </w:rPr>
        <w:object>
          <v:shape id="_x0000_i1034" o:spt="75" type="#_x0000_t75" style="height:33.95pt;width:200.95pt;" o:ole="t" filled="f" o:preferrelative="t" stroked="f" coordsize="21600,21600">
            <v:path/>
            <v:fill on="f" focussize="0,0"/>
            <v:stroke on="f" joinstyle="miter"/>
            <v:imagedata r:id="rId29" o:title=""/>
            <o:lock v:ext="edit" aspectratio="t"/>
            <w10:wrap type="none"/>
            <w10:anchorlock/>
          </v:shape>
          <o:OLEObject Type="Embed" ProgID="Equation.KSEE3" ShapeID="_x0000_i1034" DrawAspect="Content" ObjectID="_1468075734" r:id="rId28">
            <o:LockedField>false</o:LockedField>
          </o:OLEObject>
        </w:object>
      </w:r>
    </w:p>
    <w:p w14:paraId="5712C739">
      <w:pPr>
        <w:wordWrap w:val="0"/>
        <w:adjustRightInd w:val="0"/>
        <w:snapToGrid w:val="0"/>
        <w:ind w:firstLine="482" w:firstLineChars="200"/>
        <w:rPr>
          <w:rFonts w:hint="eastAsia" w:hAnsi="宋体"/>
          <w:snapToGrid w:val="0"/>
          <w:kern w:val="0"/>
        </w:rPr>
      </w:pPr>
      <w:r>
        <w:rPr>
          <w:rFonts w:hint="eastAsia" w:hAnsi="宋体"/>
          <w:b/>
          <w:bCs/>
          <w:snapToGrid w:val="0"/>
          <w:kern w:val="0"/>
        </w:rPr>
        <w:t>c.</w:t>
      </w:r>
      <w:r>
        <w:rPr>
          <w:rFonts w:hint="eastAsia" w:hAnsi="宋体"/>
          <w:snapToGrid w:val="0"/>
          <w:kern w:val="0"/>
        </w:rPr>
        <w:t>如果中标单价等于基准单价，该施工机具台班的结算单价调整公式为：</w:t>
      </w:r>
    </w:p>
    <w:p w14:paraId="0671CC8C">
      <w:pPr>
        <w:wordWrap w:val="0"/>
        <w:adjustRightInd w:val="0"/>
        <w:snapToGrid w:val="0"/>
        <w:spacing w:before="360" w:beforeLines="150" w:after="240" w:afterLines="100"/>
        <w:ind w:firstLine="480" w:firstLineChars="200"/>
        <w:rPr>
          <w:rFonts w:hint="eastAsia" w:hAnsi="宋体"/>
          <w:snapToGrid w:val="0"/>
          <w:kern w:val="0"/>
        </w:rPr>
      </w:pPr>
      <w:r>
        <w:rPr>
          <w:rFonts w:hint="eastAsia" w:hAnsi="宋体"/>
          <w:snapToGrid w:val="0"/>
          <w:kern w:val="0"/>
        </w:rPr>
        <w:t>涨价时，</w:t>
      </w:r>
      <w:r>
        <w:rPr>
          <w:rFonts w:hint="eastAsia" w:hAnsi="宋体"/>
          <w:snapToGrid w:val="0"/>
          <w:kern w:val="0"/>
          <w:position w:val="-30"/>
        </w:rPr>
        <w:object>
          <v:shape id="_x0000_i1035" o:spt="75" type="#_x0000_t75" style="height:33.95pt;width:200.95pt;" o:ole="t" filled="f" o:preferrelative="t" stroked="f" coordsize="21600,21600">
            <v:path/>
            <v:fill on="f" focussize="0,0"/>
            <v:stroke on="f" joinstyle="miter"/>
            <v:imagedata r:id="rId31" o:title=""/>
            <o:lock v:ext="edit" aspectratio="t"/>
            <w10:wrap type="none"/>
            <w10:anchorlock/>
          </v:shape>
          <o:OLEObject Type="Embed" ProgID="Equation.KSEE3" ShapeID="_x0000_i1035" DrawAspect="Content" ObjectID="_1468075735" r:id="rId30">
            <o:LockedField>false</o:LockedField>
          </o:OLEObject>
        </w:object>
      </w:r>
    </w:p>
    <w:p w14:paraId="56C0CD7B">
      <w:pPr>
        <w:wordWrap w:val="0"/>
        <w:adjustRightInd w:val="0"/>
        <w:spacing w:before="360" w:beforeLines="150" w:after="240" w:afterLines="100"/>
        <w:ind w:firstLine="480" w:firstLineChars="200"/>
        <w:rPr>
          <w:rFonts w:hint="eastAsia" w:hAnsi="宋体"/>
          <w:snapToGrid w:val="0"/>
          <w:kern w:val="0"/>
        </w:rPr>
      </w:pPr>
      <w:r>
        <w:rPr>
          <w:rFonts w:hint="eastAsia" w:hAnsi="宋体"/>
          <w:snapToGrid w:val="0"/>
          <w:kern w:val="0"/>
        </w:rPr>
        <w:t>跌价时，</w:t>
      </w:r>
      <w:r>
        <w:rPr>
          <w:rFonts w:hint="eastAsia" w:hAnsi="宋体"/>
          <w:snapToGrid w:val="0"/>
          <w:kern w:val="0"/>
          <w:position w:val="-30"/>
        </w:rPr>
        <w:object>
          <v:shape id="_x0000_i1036" o:spt="75" type="#_x0000_t75" style="height:33.95pt;width:200.95pt;" o:ole="t" filled="f" o:preferrelative="t" stroked="f" coordsize="21600,21600">
            <v:path/>
            <v:fill on="f" focussize="0,0"/>
            <v:stroke on="f" joinstyle="miter"/>
            <v:imagedata r:id="rId33" o:title=""/>
            <o:lock v:ext="edit" aspectratio="t"/>
            <w10:wrap type="none"/>
            <w10:anchorlock/>
          </v:shape>
          <o:OLEObject Type="Embed" ProgID="Equation.KSEE3" ShapeID="_x0000_i1036" DrawAspect="Content" ObjectID="_1468075736" r:id="rId32">
            <o:LockedField>false</o:LockedField>
          </o:OLEObject>
        </w:object>
      </w:r>
    </w:p>
    <w:p w14:paraId="3D97D17C">
      <w:pPr>
        <w:wordWrap w:val="0"/>
        <w:adjustRightInd w:val="0"/>
        <w:snapToGrid w:val="0"/>
        <w:ind w:firstLine="480" w:firstLineChars="200"/>
        <w:rPr>
          <w:rFonts w:hint="eastAsia" w:hAnsi="宋体"/>
          <w:bCs/>
          <w:snapToGrid w:val="0"/>
          <w:kern w:val="0"/>
        </w:rPr>
      </w:pPr>
      <w:r>
        <w:rPr>
          <w:rFonts w:hint="eastAsia" w:hAnsi="宋体"/>
          <w:snapToGrid w:val="0"/>
          <w:kern w:val="0"/>
        </w:rPr>
        <w:t>以上公式中，</w:t>
      </w:r>
      <w:r>
        <w:rPr>
          <w:rFonts w:hint="eastAsia" w:hAnsi="宋体"/>
          <w:bCs/>
          <w:snapToGrid w:val="0"/>
          <w:kern w:val="0"/>
        </w:rPr>
        <w:t>F</w:t>
      </w:r>
      <w:r>
        <w:rPr>
          <w:rFonts w:hint="eastAsia" w:hAnsi="宋体"/>
          <w:bCs/>
          <w:snapToGrid w:val="0"/>
          <w:kern w:val="0"/>
          <w:vertAlign w:val="subscript"/>
        </w:rPr>
        <w:t>1</w:t>
      </w:r>
      <w:r>
        <w:rPr>
          <w:rFonts w:hint="eastAsia" w:hAnsi="宋体"/>
          <w:bCs/>
          <w:snapToGrid w:val="0"/>
          <w:kern w:val="0"/>
        </w:rPr>
        <w:t>为中标单价；F</w:t>
      </w:r>
      <w:r>
        <w:rPr>
          <w:rFonts w:hint="eastAsia" w:hAnsi="宋体"/>
          <w:bCs/>
          <w:snapToGrid w:val="0"/>
          <w:kern w:val="0"/>
          <w:vertAlign w:val="subscript"/>
        </w:rPr>
        <w:t>0</w:t>
      </w:r>
      <w:r>
        <w:rPr>
          <w:rFonts w:hint="eastAsia" w:hAnsi="宋体"/>
          <w:bCs/>
          <w:snapToGrid w:val="0"/>
          <w:kern w:val="0"/>
        </w:rPr>
        <w:t>为基准单价；F</w:t>
      </w:r>
      <w:r>
        <w:rPr>
          <w:rFonts w:hint="eastAsia" w:hAnsi="宋体"/>
          <w:bCs/>
          <w:snapToGrid w:val="0"/>
          <w:kern w:val="0"/>
          <w:vertAlign w:val="subscript"/>
        </w:rPr>
        <w:t>2</w:t>
      </w:r>
      <w:r>
        <w:rPr>
          <w:rFonts w:hint="eastAsia" w:hAnsi="宋体"/>
          <w:bCs/>
          <w:snapToGrid w:val="0"/>
          <w:kern w:val="0"/>
        </w:rPr>
        <w:t>为施工当月项目所在地工程造价管理机构发布的施工机具台班单价；B为合同约定的施工机具台班单价涨跌风险幅度值。</w:t>
      </w:r>
    </w:p>
    <w:p w14:paraId="044C47CF">
      <w:pPr>
        <w:wordWrap w:val="0"/>
        <w:adjustRightInd w:val="0"/>
        <w:snapToGrid w:val="0"/>
        <w:ind w:firstLine="482" w:firstLineChars="200"/>
        <w:rPr>
          <w:rFonts w:hint="eastAsia" w:hAnsi="宋体"/>
          <w:bCs/>
          <w:snapToGrid w:val="0"/>
          <w:kern w:val="0"/>
        </w:rPr>
      </w:pPr>
      <w:r>
        <w:rPr>
          <w:rFonts w:hint="eastAsia" w:hAnsi="宋体"/>
          <w:b/>
          <w:snapToGrid w:val="0"/>
          <w:kern w:val="0"/>
        </w:rPr>
        <w:t>2.3.7</w:t>
      </w:r>
      <w:r>
        <w:rPr>
          <w:rFonts w:hint="eastAsia" w:hAnsi="宋体"/>
          <w:bCs/>
          <w:snapToGrid w:val="0"/>
          <w:kern w:val="0"/>
        </w:rPr>
        <w:t xml:space="preserve"> 专业工程暂估价和暂列金额</w:t>
      </w:r>
    </w:p>
    <w:p w14:paraId="7D6B87CB">
      <w:pPr>
        <w:adjustRightInd w:val="0"/>
        <w:snapToGrid w:val="0"/>
        <w:ind w:firstLine="482" w:firstLineChars="200"/>
        <w:rPr>
          <w:rFonts w:hint="eastAsia" w:hAnsi="宋体"/>
          <w:bCs/>
          <w:snapToGrid w:val="0"/>
          <w:kern w:val="0"/>
        </w:rPr>
      </w:pPr>
      <w:r>
        <w:rPr>
          <w:rFonts w:hint="eastAsia" w:hAnsi="宋体"/>
          <w:b/>
          <w:snapToGrid w:val="0"/>
          <w:kern w:val="0"/>
        </w:rPr>
        <w:t>2.3.7.1</w:t>
      </w:r>
      <w:r>
        <w:rPr>
          <w:rFonts w:hint="eastAsia" w:hAnsi="宋体"/>
          <w:bCs/>
          <w:snapToGrid w:val="0"/>
          <w:kern w:val="0"/>
        </w:rPr>
        <w:t xml:space="preserve"> 专业工程暂估价项目按第一章第三节“投标人须知正文”第</w:t>
      </w:r>
      <w:r>
        <w:rPr>
          <w:rFonts w:hint="eastAsia" w:hAnsi="宋体"/>
          <w:b/>
          <w:bCs/>
          <w:snapToGrid w:val="0"/>
          <w:kern w:val="0"/>
        </w:rPr>
        <w:t>8.5</w:t>
      </w:r>
      <w:r>
        <w:rPr>
          <w:rFonts w:hint="eastAsia" w:hAnsi="宋体"/>
          <w:bCs/>
          <w:snapToGrid w:val="0"/>
          <w:kern w:val="0"/>
        </w:rPr>
        <w:t>条的规定确定专业工程承包人后，将专业工程合同价款取代相应专业工程暂估价，并调整合同价款。</w:t>
      </w:r>
    </w:p>
    <w:p w14:paraId="21456E69">
      <w:pPr>
        <w:wordWrap w:val="0"/>
        <w:adjustRightInd w:val="0"/>
        <w:snapToGrid w:val="0"/>
        <w:ind w:firstLine="482" w:firstLineChars="200"/>
        <w:rPr>
          <w:rFonts w:hint="eastAsia" w:hAnsi="宋体"/>
          <w:bCs/>
          <w:snapToGrid w:val="0"/>
          <w:kern w:val="0"/>
        </w:rPr>
      </w:pPr>
      <w:r>
        <w:rPr>
          <w:rFonts w:hint="eastAsia" w:hAnsi="宋体"/>
          <w:b/>
          <w:snapToGrid w:val="0"/>
          <w:kern w:val="0"/>
        </w:rPr>
        <w:t>2.3.7.2</w:t>
      </w:r>
      <w:r>
        <w:rPr>
          <w:rFonts w:hint="eastAsia" w:hAnsi="宋体"/>
          <w:bCs/>
          <w:snapToGrid w:val="0"/>
          <w:kern w:val="0"/>
        </w:rPr>
        <w:t xml:space="preserve"> 暂列金额由发包人掌握和使用。暂列金额项目若有发生，按第一章第三节“投标人须知正文”第</w:t>
      </w:r>
      <w:r>
        <w:rPr>
          <w:rFonts w:hint="eastAsia" w:hAnsi="宋体"/>
          <w:b/>
          <w:snapToGrid w:val="0"/>
          <w:kern w:val="0"/>
        </w:rPr>
        <w:t>8.6</w:t>
      </w:r>
      <w:r>
        <w:rPr>
          <w:rFonts w:hint="eastAsia" w:hAnsi="宋体"/>
          <w:bCs/>
          <w:snapToGrid w:val="0"/>
          <w:kern w:val="0"/>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w:t>
      </w:r>
    </w:p>
    <w:p w14:paraId="7FA968C4">
      <w:pPr>
        <w:pStyle w:val="25"/>
        <w:spacing w:line="360" w:lineRule="auto"/>
        <w:ind w:firstLine="482"/>
        <w:jc w:val="both"/>
        <w:rPr>
          <w:rFonts w:hint="eastAsia" w:ascii="宋体" w:hAnsi="宋体" w:cs="宋体"/>
          <w:b w:val="0"/>
          <w:snapToGrid w:val="0"/>
          <w:kern w:val="0"/>
          <w:sz w:val="24"/>
        </w:rPr>
      </w:pPr>
      <w:r>
        <w:rPr>
          <w:rFonts w:hint="eastAsia" w:ascii="宋体" w:hAnsi="宋体" w:cs="宋体"/>
          <w:snapToGrid w:val="0"/>
          <w:kern w:val="0"/>
          <w:sz w:val="24"/>
        </w:rPr>
        <w:t xml:space="preserve">2.3.8 </w:t>
      </w:r>
      <w:r>
        <w:rPr>
          <w:rFonts w:hint="eastAsia" w:ascii="宋体" w:hAnsi="宋体" w:cs="宋体"/>
          <w:b w:val="0"/>
          <w:bCs w:val="0"/>
          <w:snapToGrid w:val="0"/>
          <w:kern w:val="0"/>
          <w:sz w:val="24"/>
        </w:rPr>
        <w:t>依据《关于调整〈广东省建设工程计价依据 2018〉计价规则的通知》（粤标定函〔2025〕22号）及《广东省住房和城乡建设厅关于贯彻实施〈建设工程工程量清单计价标准〉及九项专业工程工程量计算标准的通知》（粤建市〔2025〕196号）相关规定，预算包干费由承包人综合测算并全额包含在综合单价内，发包人不另行单独支付</w:t>
      </w:r>
      <w:r>
        <w:rPr>
          <w:rFonts w:hint="eastAsia" w:ascii="宋体" w:hAnsi="宋体" w:cs="宋体"/>
          <w:b w:val="0"/>
          <w:snapToGrid w:val="0"/>
          <w:kern w:val="0"/>
          <w:sz w:val="24"/>
        </w:rPr>
        <w:t>。</w:t>
      </w:r>
    </w:p>
    <w:p w14:paraId="21251101">
      <w:pPr>
        <w:ind w:firstLine="472" w:firstLineChars="196"/>
        <w:rPr>
          <w:rFonts w:hint="eastAsia" w:hAnsi="宋体"/>
          <w:bCs/>
          <w:snapToGrid w:val="0"/>
          <w:kern w:val="0"/>
        </w:rPr>
      </w:pPr>
      <w:r>
        <w:rPr>
          <w:rFonts w:hint="eastAsia" w:hAnsi="宋体"/>
          <w:b/>
          <w:snapToGrid w:val="0"/>
          <w:kern w:val="0"/>
        </w:rPr>
        <w:t xml:space="preserve">2.3.9 </w:t>
      </w:r>
      <w:r>
        <w:rPr>
          <w:rFonts w:hint="eastAsia" w:hAnsi="宋体"/>
          <w:bCs/>
          <w:snapToGrid w:val="0"/>
          <w:kern w:val="0"/>
        </w:rPr>
        <w:t>其余事项（如不可抗力、索赔、现场签证等）的调整原则按照“中标人须知”及《建设工程工程量清单计价标准》（GB/T 50500-2024）等有关规定执行。</w:t>
      </w:r>
    </w:p>
    <w:p w14:paraId="260A1920">
      <w:pPr>
        <w:wordWrap w:val="0"/>
        <w:adjustRightInd w:val="0"/>
        <w:snapToGrid w:val="0"/>
        <w:ind w:firstLine="482" w:firstLineChars="200"/>
        <w:rPr>
          <w:rFonts w:hint="eastAsia" w:hAnsi="宋体"/>
          <w:b/>
          <w:snapToGrid w:val="0"/>
          <w:kern w:val="0"/>
        </w:rPr>
      </w:pPr>
      <w:r>
        <w:rPr>
          <w:rFonts w:hint="eastAsia" w:hAnsi="宋体"/>
          <w:b/>
          <w:bCs/>
          <w:snapToGrid w:val="0"/>
          <w:kern w:val="0"/>
        </w:rPr>
        <w:t>2.4</w:t>
      </w:r>
      <w:r>
        <w:rPr>
          <w:rFonts w:hint="eastAsia" w:hAnsi="宋体"/>
          <w:snapToGrid w:val="0"/>
          <w:kern w:val="0"/>
        </w:rPr>
        <w:t xml:space="preserve"> </w:t>
      </w:r>
      <w:bookmarkStart w:id="350" w:name="_Hlt112206782"/>
      <w:bookmarkEnd w:id="350"/>
      <w:r>
        <w:rPr>
          <w:rFonts w:hint="eastAsia" w:hAnsi="宋体"/>
          <w:snapToGrid w:val="0"/>
          <w:kern w:val="0"/>
        </w:rPr>
        <w:t>凡将引起合同价款调增的事项，承包人必须于拟实施14天前，将详细的报价书（含拟实施项目名称、变更部位、理由、预计造价等）报监理单位审核和发包人批准后方可实施。</w:t>
      </w:r>
    </w:p>
    <w:p w14:paraId="6C729838">
      <w:pPr>
        <w:wordWrap w:val="0"/>
        <w:adjustRightInd w:val="0"/>
        <w:snapToGrid w:val="0"/>
        <w:ind w:firstLine="482" w:firstLineChars="200"/>
        <w:rPr>
          <w:rFonts w:hint="eastAsia" w:hAnsi="宋体"/>
          <w:snapToGrid w:val="0"/>
          <w:kern w:val="0"/>
        </w:rPr>
      </w:pPr>
      <w:r>
        <w:rPr>
          <w:rFonts w:hint="eastAsia" w:hAnsi="宋体"/>
          <w:b/>
          <w:bCs/>
          <w:snapToGrid w:val="0"/>
          <w:kern w:val="0"/>
        </w:rPr>
        <w:t>2.5</w:t>
      </w:r>
      <w:r>
        <w:rPr>
          <w:rFonts w:hint="eastAsia" w:hAnsi="宋体"/>
          <w:snapToGrid w:val="0"/>
          <w:kern w:val="0"/>
        </w:rPr>
        <w:t xml:space="preserve"> 承包人不得以不完全了解现场情况为理由，提出额外付款或延长工期等要求。对此类要求，发包人不作任何考虑及答复。</w:t>
      </w:r>
    </w:p>
    <w:p w14:paraId="03469402">
      <w:pPr>
        <w:wordWrap w:val="0"/>
        <w:adjustRightInd w:val="0"/>
        <w:snapToGrid w:val="0"/>
        <w:ind w:firstLine="482" w:firstLineChars="200"/>
        <w:rPr>
          <w:rFonts w:hint="eastAsia" w:hAnsi="宋体"/>
          <w:snapToGrid w:val="0"/>
          <w:kern w:val="0"/>
        </w:rPr>
      </w:pPr>
      <w:r>
        <w:rPr>
          <w:rFonts w:hint="eastAsia" w:hAnsi="宋体"/>
          <w:b/>
          <w:bCs/>
          <w:snapToGrid w:val="0"/>
          <w:kern w:val="0"/>
        </w:rPr>
        <w:t>2.6</w:t>
      </w:r>
      <w:r>
        <w:rPr>
          <w:rFonts w:hint="eastAsia" w:hAnsi="宋体"/>
          <w:snapToGrid w:val="0"/>
          <w:kern w:val="0"/>
        </w:rPr>
        <w:t xml:space="preserve"> 承包人已标价工程量清单中漏报、错报或少报的清单项目，其价格均视为已经包含在其它清单项目中，竣工结算时不得重新组价和调整。</w:t>
      </w:r>
    </w:p>
    <w:p w14:paraId="45A8C759">
      <w:pPr>
        <w:wordWrap w:val="0"/>
        <w:adjustRightInd w:val="0"/>
        <w:snapToGrid w:val="0"/>
        <w:ind w:firstLine="480"/>
        <w:rPr>
          <w:rFonts w:hint="eastAsia" w:hAnsi="宋体"/>
          <w:snapToGrid w:val="0"/>
          <w:kern w:val="0"/>
        </w:rPr>
      </w:pPr>
      <w:r>
        <w:rPr>
          <w:rFonts w:hint="eastAsia" w:hAnsi="宋体"/>
          <w:b/>
          <w:bCs/>
          <w:snapToGrid w:val="0"/>
          <w:kern w:val="0"/>
        </w:rPr>
        <w:t>2.7</w:t>
      </w:r>
      <w:r>
        <w:rPr>
          <w:rFonts w:hint="eastAsia" w:hAnsi="宋体"/>
          <w:snapToGrid w:val="0"/>
          <w:kern w:val="0"/>
        </w:rPr>
        <w:t xml:space="preserve"> 项目完工后，发、承包双方和受其委托具备相应资质的工程造价咨询单位必须按照《建设工程工程量清单计价标准》（GB/T 50500-2024）、《关于贯彻执行〈建设工程工程量清单计价标准〉及九项专业工程工程量计算标准的实施意见》（粤标定函〔2025〕24号）和国家、省、市的有关规定办理竣工结算。</w:t>
      </w:r>
    </w:p>
    <w:p w14:paraId="76F48B21">
      <w:pPr>
        <w:wordWrap w:val="0"/>
        <w:adjustRightInd w:val="0"/>
        <w:snapToGrid w:val="0"/>
        <w:ind w:firstLine="560"/>
        <w:rPr>
          <w:rFonts w:hint="eastAsia" w:hAnsi="宋体"/>
          <w:snapToGrid w:val="0"/>
          <w:kern w:val="0"/>
        </w:rPr>
      </w:pPr>
      <w:r>
        <w:rPr>
          <w:rFonts w:hint="eastAsia" w:hAnsi="宋体"/>
          <w:b/>
          <w:bCs/>
          <w:snapToGrid w:val="0"/>
          <w:kern w:val="0"/>
        </w:rPr>
        <w:t>2.8</w:t>
      </w:r>
      <w:r>
        <w:rPr>
          <w:rFonts w:hint="eastAsia" w:hAnsi="宋体"/>
          <w:snapToGrid w:val="0"/>
          <w:kern w:val="0"/>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1E8A741D">
      <w:pPr>
        <w:pStyle w:val="7"/>
        <w:spacing w:line="360" w:lineRule="auto"/>
        <w:ind w:firstLine="482" w:firstLineChars="200"/>
      </w:pPr>
      <w:r>
        <w:rPr>
          <w:rFonts w:hint="eastAsia" w:hAnsi="宋体" w:cs="宋体"/>
          <w:b/>
          <w:bCs/>
          <w:snapToGrid w:val="0"/>
        </w:rPr>
        <w:t xml:space="preserve">2.9 </w:t>
      </w:r>
      <w:r>
        <w:rPr>
          <w:rFonts w:hint="eastAsia"/>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的，则采用厂商报价或市场询价等方式取得有合法依据的市场价格，报发包人确认。</w:t>
      </w:r>
    </w:p>
    <w:bookmarkEnd w:id="347"/>
    <w:bookmarkEnd w:id="348"/>
    <w:bookmarkEnd w:id="349"/>
    <w:p w14:paraId="3B677AD3">
      <w:pPr>
        <w:pStyle w:val="32"/>
        <w:snapToGrid w:val="0"/>
        <w:jc w:val="both"/>
        <w:rPr>
          <w:rStyle w:val="28"/>
          <w:rFonts w:hint="eastAsia" w:hAnsi="宋体"/>
          <w:b/>
          <w:bCs/>
        </w:rPr>
      </w:pPr>
      <w:bookmarkStart w:id="351" w:name="_Toc7863"/>
      <w:bookmarkStart w:id="352" w:name="_Toc17848"/>
      <w:bookmarkStart w:id="353" w:name="_Toc14683"/>
      <w:bookmarkStart w:id="354" w:name="_Toc25704"/>
      <w:r>
        <w:rPr>
          <w:rStyle w:val="28"/>
          <w:rFonts w:hint="eastAsia" w:hAnsi="宋体"/>
          <w:b/>
          <w:bCs/>
        </w:rPr>
        <w:t>3. 工程付款办法</w:t>
      </w:r>
      <w:bookmarkEnd w:id="351"/>
      <w:bookmarkEnd w:id="352"/>
      <w:bookmarkEnd w:id="353"/>
      <w:bookmarkEnd w:id="354"/>
    </w:p>
    <w:p w14:paraId="0BDFC540">
      <w:pPr>
        <w:snapToGrid w:val="0"/>
        <w:ind w:firstLine="472" w:firstLineChars="196"/>
        <w:rPr>
          <w:rStyle w:val="28"/>
          <w:rFonts w:hint="eastAsia" w:hAnsi="宋体"/>
          <w:kern w:val="1"/>
        </w:rPr>
      </w:pPr>
      <w:r>
        <w:rPr>
          <w:rStyle w:val="28"/>
          <w:rFonts w:hint="eastAsia" w:hAnsi="宋体"/>
          <w:b/>
          <w:bCs/>
          <w:kern w:val="0"/>
        </w:rPr>
        <w:t>3.1</w:t>
      </w:r>
      <w:r>
        <w:rPr>
          <w:rStyle w:val="28"/>
          <w:rFonts w:hint="eastAsia" w:hAnsi="宋体"/>
          <w:kern w:val="0"/>
        </w:rPr>
        <w:t xml:space="preserve"> </w:t>
      </w:r>
      <w:r>
        <w:rPr>
          <w:rStyle w:val="28"/>
          <w:rFonts w:hint="eastAsia" w:hAnsi="宋体"/>
          <w:kern w:val="1"/>
        </w:rPr>
        <w:t>本项目</w:t>
      </w:r>
      <w:r>
        <w:rPr>
          <w:rStyle w:val="28"/>
          <w:rFonts w:hint="eastAsia" w:hAnsi="宋体"/>
          <w:kern w:val="1"/>
          <w:u w:val="single"/>
        </w:rPr>
        <w:t>支付</w:t>
      </w:r>
      <w:r>
        <w:rPr>
          <w:rStyle w:val="28"/>
          <w:rFonts w:hint="eastAsia" w:hAnsi="宋体"/>
          <w:kern w:val="1"/>
        </w:rPr>
        <w:t>施工预付款。</w:t>
      </w:r>
    </w:p>
    <w:p w14:paraId="229EDE80">
      <w:pPr>
        <w:pStyle w:val="7"/>
        <w:spacing w:line="360" w:lineRule="auto"/>
        <w:ind w:firstLine="482" w:firstLineChars="200"/>
        <w:rPr>
          <w:rFonts w:hint="eastAsia" w:hAnsi="宋体" w:cs="宋体"/>
          <w:b/>
          <w:bCs/>
          <w:snapToGrid w:val="0"/>
        </w:rPr>
      </w:pPr>
      <w:r>
        <w:rPr>
          <w:rFonts w:hint="eastAsia" w:hAnsi="宋体" w:cs="宋体"/>
          <w:b/>
          <w:bCs/>
        </w:rPr>
        <w:t xml:space="preserve">3.2 </w:t>
      </w:r>
      <w:r>
        <w:rPr>
          <w:rFonts w:hint="eastAsia" w:hAnsi="宋体" w:cs="宋体"/>
          <w:snapToGrid w:val="0"/>
        </w:rPr>
        <w:t>施工预付款必须专用于合同工程，并按以下原则支付和抵扣：</w:t>
      </w:r>
    </w:p>
    <w:p w14:paraId="43CA9B75">
      <w:pPr>
        <w:pStyle w:val="7"/>
        <w:spacing w:line="360" w:lineRule="auto"/>
        <w:ind w:firstLine="482" w:firstLineChars="200"/>
        <w:rPr>
          <w:rFonts w:hint="eastAsia" w:hAnsi="宋体" w:cs="宋体"/>
          <w:b/>
          <w:bCs/>
          <w:snapToGrid w:val="0"/>
        </w:rPr>
      </w:pPr>
      <w:r>
        <w:rPr>
          <w:rFonts w:hint="eastAsia" w:hAnsi="宋体" w:cs="宋体"/>
          <w:b/>
          <w:bCs/>
          <w:snapToGrid w:val="0"/>
        </w:rPr>
        <w:t xml:space="preserve">3.2.1 </w:t>
      </w:r>
      <w:r>
        <w:rPr>
          <w:rFonts w:hint="eastAsia" w:hAnsi="宋体" w:cs="宋体"/>
          <w:snapToGrid w:val="0"/>
        </w:rPr>
        <w:t>施工预付款支付比例为：按施工合同价的10%支付。</w:t>
      </w:r>
    </w:p>
    <w:p w14:paraId="4EBAB1DE">
      <w:pPr>
        <w:pStyle w:val="7"/>
        <w:spacing w:line="360" w:lineRule="auto"/>
        <w:ind w:firstLine="482" w:firstLineChars="200"/>
        <w:rPr>
          <w:rFonts w:hint="eastAsia" w:hAnsi="宋体" w:cs="宋体"/>
          <w:snapToGrid w:val="0"/>
        </w:rPr>
      </w:pPr>
      <w:r>
        <w:rPr>
          <w:rFonts w:hint="eastAsia" w:hAnsi="宋体" w:cs="宋体"/>
          <w:b/>
          <w:bCs/>
          <w:snapToGrid w:val="0"/>
        </w:rPr>
        <w:t xml:space="preserve">3.2.2 </w:t>
      </w:r>
      <w:r>
        <w:rPr>
          <w:rFonts w:hint="eastAsia" w:hAnsi="宋体" w:cs="宋体"/>
          <w:snapToGrid w:val="0"/>
        </w:rPr>
        <w:t>本招标项目</w:t>
      </w:r>
      <w:r>
        <w:rPr>
          <w:rFonts w:hint="eastAsia" w:hAnsi="宋体" w:cs="宋体"/>
          <w:b/>
          <w:bCs/>
          <w:snapToGrid w:val="0"/>
          <w:u w:val="single"/>
        </w:rPr>
        <w:t xml:space="preserve"> 要求 </w:t>
      </w:r>
      <w:r>
        <w:rPr>
          <w:rFonts w:hint="eastAsia" w:hAnsi="宋体" w:cs="宋体"/>
          <w:snapToGrid w:val="0"/>
        </w:rPr>
        <w:t>承包人提供预付款总额的预付款保函。（承包单位的预付款保函有效期应保证在扣回预付款前有效，未扣回预付款但保函或保险过期的承包人应重新开具预付款保函或预付款保险。）</w:t>
      </w:r>
    </w:p>
    <w:p w14:paraId="6B466DBC">
      <w:pPr>
        <w:pStyle w:val="7"/>
        <w:spacing w:line="360" w:lineRule="auto"/>
        <w:ind w:firstLine="482" w:firstLineChars="200"/>
        <w:rPr>
          <w:rFonts w:hint="eastAsia" w:hAnsi="宋体" w:cs="宋体"/>
          <w:snapToGrid w:val="0"/>
        </w:rPr>
      </w:pPr>
      <w:r>
        <w:rPr>
          <w:rFonts w:hint="eastAsia" w:hAnsi="宋体" w:cs="宋体"/>
          <w:b/>
          <w:bCs/>
          <w:snapToGrid w:val="0"/>
        </w:rPr>
        <w:t>3.2.3</w:t>
      </w:r>
      <w:r>
        <w:rPr>
          <w:rFonts w:hint="eastAsia" w:hAnsi="宋体" w:cs="宋体"/>
          <w:snapToGrid w:val="0"/>
        </w:rPr>
        <w:t xml:space="preserve"> 承包人应在签订合同后，</w:t>
      </w:r>
      <w:r>
        <w:rPr>
          <w:rFonts w:hint="eastAsia" w:hAnsi="宋体" w:cs="宋体"/>
          <w:b/>
          <w:bCs/>
          <w:snapToGrid w:val="0"/>
        </w:rPr>
        <w:t>在提供符合要求的预付款保函或预付款保险及</w:t>
      </w:r>
      <w:r>
        <w:rPr>
          <w:rFonts w:hint="eastAsia" w:hAnsi="宋体" w:cs="宋体"/>
          <w:snapToGrid w:val="0"/>
        </w:rPr>
        <w:t>在具备施工条件的前提下，向发包人提交预付款支付申请。发包人应在收到支付申请的7天内进行核实后向承包人发出预付款支付证书，并在签发支付证书后的7天内向承包人支付预付款。凡未签订合同或不具备施工条件的工程，发包人不得预付工程款。</w:t>
      </w:r>
    </w:p>
    <w:p w14:paraId="07ECA835">
      <w:pPr>
        <w:wordWrap w:val="0"/>
        <w:adjustRightInd w:val="0"/>
        <w:snapToGrid w:val="0"/>
        <w:ind w:firstLine="482" w:firstLineChars="200"/>
        <w:rPr>
          <w:rFonts w:hint="eastAsia" w:hAnsi="宋体"/>
          <w:b/>
          <w:bCs/>
          <w:snapToGrid w:val="0"/>
          <w:kern w:val="0"/>
        </w:rPr>
      </w:pPr>
      <w:r>
        <w:rPr>
          <w:rFonts w:hint="eastAsia" w:hAnsi="宋体"/>
          <w:b/>
          <w:bCs/>
          <w:snapToGrid w:val="0"/>
          <w:kern w:val="0"/>
        </w:rPr>
        <w:t xml:space="preserve">3.2.4 </w:t>
      </w:r>
      <w:r>
        <w:rPr>
          <w:rFonts w:hint="eastAsia" w:hAnsi="宋体"/>
          <w:snapToGrid w:val="0"/>
          <w:kern w:val="0"/>
        </w:rPr>
        <w:t>发包人没有按时支付预付款的，承包人可催告发包人支付；发包人在付款期满后的7天内仍未支付的，承包人可在付款期满后的第8天起暂停施工。发包人应向承包人支付应付款的利息（从付款期满后之日起计算，利率按同期银行贷款利率计算），并承担违约责任。</w:t>
      </w:r>
    </w:p>
    <w:p w14:paraId="1CFDA3BE">
      <w:pPr>
        <w:wordWrap w:val="0"/>
        <w:adjustRightInd w:val="0"/>
        <w:snapToGrid w:val="0"/>
        <w:ind w:firstLine="482" w:firstLineChars="200"/>
        <w:rPr>
          <w:rFonts w:hint="eastAsia" w:hAnsi="宋体"/>
          <w:snapToGrid w:val="0"/>
          <w:kern w:val="0"/>
        </w:rPr>
      </w:pPr>
      <w:r>
        <w:rPr>
          <w:rFonts w:hint="eastAsia" w:hAnsi="宋体"/>
          <w:b/>
          <w:bCs/>
          <w:snapToGrid w:val="0"/>
          <w:kern w:val="0"/>
        </w:rPr>
        <w:t xml:space="preserve">3.2.5 </w:t>
      </w:r>
      <w:r>
        <w:rPr>
          <w:rFonts w:hint="eastAsia" w:hAnsi="宋体"/>
          <w:snapToGrid w:val="0"/>
          <w:kern w:val="0"/>
        </w:rPr>
        <w:t>预付款按每支付期应支付给承包人的工程进度款中扣回，直到扣回的金额达到合同约定的预付款金额为止。</w:t>
      </w:r>
    </w:p>
    <w:p w14:paraId="497F6320">
      <w:pPr>
        <w:wordWrap w:val="0"/>
        <w:adjustRightInd w:val="0"/>
        <w:snapToGrid w:val="0"/>
        <w:ind w:firstLine="482" w:firstLineChars="200"/>
        <w:rPr>
          <w:rFonts w:hint="eastAsia" w:hAnsi="宋体"/>
          <w:snapToGrid w:val="0"/>
          <w:kern w:val="0"/>
        </w:rPr>
      </w:pPr>
      <w:r>
        <w:rPr>
          <w:rFonts w:hint="eastAsia" w:hAnsi="宋体"/>
          <w:b/>
          <w:bCs/>
          <w:snapToGrid w:val="0"/>
          <w:kern w:val="0"/>
        </w:rPr>
        <w:t>3.3</w:t>
      </w:r>
      <w:r>
        <w:rPr>
          <w:rFonts w:hint="eastAsia" w:hAnsi="宋体"/>
          <w:snapToGrid w:val="0"/>
          <w:kern w:val="0"/>
        </w:rPr>
        <w:t xml:space="preserve"> 施工过程中按月支付工程进度款：承包人每月按工程实际完成工程量（含变更及增加工程）申报，承包人必须将《已完成工程量报表》和《工程付款申请书》于当月26日前报监理单位核</w:t>
      </w:r>
      <w:bookmarkStart w:id="355" w:name="_Hlt127094354"/>
      <w:bookmarkEnd w:id="355"/>
      <w:r>
        <w:rPr>
          <w:rFonts w:hint="eastAsia" w:hAnsi="宋体"/>
          <w:snapToGrid w:val="0"/>
          <w:kern w:val="0"/>
        </w:rPr>
        <w:t>实。经监理单位审核、发包人审定后的工程进度款（指已经按照合同约定，扣除该支付期内因承包人违约而应扣除的管理费），于申报次月支付。</w:t>
      </w:r>
    </w:p>
    <w:p w14:paraId="370A97D2">
      <w:pPr>
        <w:wordWrap w:val="0"/>
        <w:adjustRightInd w:val="0"/>
        <w:snapToGrid w:val="0"/>
        <w:ind w:firstLine="482" w:firstLineChars="200"/>
        <w:rPr>
          <w:rFonts w:hint="eastAsia" w:hAnsi="宋体"/>
          <w:b/>
          <w:bCs/>
          <w:snapToGrid w:val="0"/>
          <w:kern w:val="0"/>
        </w:rPr>
      </w:pPr>
      <w:r>
        <w:rPr>
          <w:rFonts w:hint="eastAsia" w:hAnsi="宋体"/>
          <w:b/>
          <w:bCs/>
          <w:snapToGrid w:val="0"/>
          <w:kern w:val="0"/>
        </w:rPr>
        <w:t>3.4</w:t>
      </w:r>
      <w:r>
        <w:rPr>
          <w:rFonts w:hint="eastAsia" w:hAnsi="宋体"/>
          <w:snapToGrid w:val="0"/>
          <w:kern w:val="0"/>
        </w:rPr>
        <w:t xml:space="preserve"> 每月的工程进度款按应付金额的</w:t>
      </w:r>
      <w:r>
        <w:rPr>
          <w:rFonts w:hint="eastAsia" w:hAnsi="宋体"/>
          <w:snapToGrid w:val="0"/>
          <w:kern w:val="0"/>
          <w:u w:val="single"/>
        </w:rPr>
        <w:t xml:space="preserve"> 80% </w:t>
      </w:r>
      <w:r>
        <w:rPr>
          <w:rFonts w:hint="eastAsia" w:hAnsi="宋体"/>
          <w:snapToGrid w:val="0"/>
          <w:kern w:val="0"/>
        </w:rPr>
        <w:t>支付，其中工人工资按100%支付，工程进度款中的作业工人工资款项由发包人单独足额拨付到承包人的工资专户。</w:t>
      </w:r>
    </w:p>
    <w:p w14:paraId="2C6F1AEC">
      <w:pPr>
        <w:wordWrap w:val="0"/>
        <w:adjustRightInd w:val="0"/>
        <w:snapToGrid w:val="0"/>
        <w:ind w:firstLine="482" w:firstLineChars="200"/>
        <w:rPr>
          <w:rFonts w:hint="eastAsia" w:hAnsi="宋体"/>
          <w:snapToGrid w:val="0"/>
          <w:kern w:val="0"/>
        </w:rPr>
      </w:pPr>
      <w:r>
        <w:rPr>
          <w:rFonts w:hint="eastAsia" w:hAnsi="宋体"/>
          <w:b/>
          <w:bCs/>
          <w:snapToGrid w:val="0"/>
          <w:kern w:val="0"/>
        </w:rPr>
        <w:t>3.5</w:t>
      </w:r>
      <w:r>
        <w:rPr>
          <w:rFonts w:hint="eastAsia" w:hAnsi="宋体"/>
          <w:snapToGrid w:val="0"/>
          <w:kern w:val="0"/>
        </w:rPr>
        <w:t xml:space="preserve"> 措施项目费中的“安全生产措施费”拨付按照《广东省建设工程计价依据（2018）》执行，按照项目所在地的建设行政主管部门有关规定支付。发生一般事故及以上等级重大安全事故的，发包人可扣除承包人金额相当于所有“安全生产措施费”的工程管理费。</w:t>
      </w:r>
    </w:p>
    <w:p w14:paraId="66187BD4">
      <w:pPr>
        <w:wordWrap w:val="0"/>
        <w:adjustRightInd w:val="0"/>
        <w:snapToGrid w:val="0"/>
        <w:ind w:firstLine="482" w:firstLineChars="200"/>
        <w:rPr>
          <w:rFonts w:hint="eastAsia" w:hAnsi="宋体"/>
          <w:b/>
          <w:bCs/>
          <w:snapToGrid w:val="0"/>
          <w:kern w:val="0"/>
        </w:rPr>
      </w:pPr>
      <w:r>
        <w:rPr>
          <w:rFonts w:hint="eastAsia" w:hAnsi="宋体"/>
          <w:b/>
          <w:bCs/>
          <w:snapToGrid w:val="0"/>
          <w:kern w:val="0"/>
        </w:rPr>
        <w:t>3.6</w:t>
      </w:r>
      <w:r>
        <w:rPr>
          <w:rFonts w:hint="eastAsia" w:hAnsi="宋体"/>
          <w:snapToGrid w:val="0"/>
          <w:kern w:val="0"/>
        </w:rPr>
        <w:t xml:space="preserve"> 变更工程造价必须经监理单位核实，并经发包人核定后方可支付。</w:t>
      </w:r>
    </w:p>
    <w:p w14:paraId="2433FF0D">
      <w:pPr>
        <w:wordWrap w:val="0"/>
        <w:adjustRightInd w:val="0"/>
        <w:snapToGrid w:val="0"/>
        <w:ind w:firstLine="482" w:firstLineChars="200"/>
        <w:rPr>
          <w:rFonts w:hint="eastAsia" w:hAnsi="宋体"/>
          <w:snapToGrid w:val="0"/>
          <w:kern w:val="0"/>
        </w:rPr>
      </w:pPr>
      <w:r>
        <w:rPr>
          <w:rFonts w:hint="eastAsia" w:hAnsi="宋体"/>
          <w:b/>
          <w:bCs/>
          <w:snapToGrid w:val="0"/>
          <w:kern w:val="0"/>
        </w:rPr>
        <w:t xml:space="preserve">3.7 </w:t>
      </w:r>
      <w:r>
        <w:rPr>
          <w:rFonts w:hint="eastAsia" w:hAnsi="宋体"/>
          <w:snapToGrid w:val="0"/>
          <w:kern w:val="0"/>
        </w:rPr>
        <w:t>项目整体竣工验收合格，且发包人委托的第三方造价咨询单位完成结算初步审核后，于次月支付至该初步审核结算价的90%；本次付款不作为项目最终结算价款认定依据，项目最终工程结算金额以韶关市财政局投资评审中心审定结果为准。</w:t>
      </w:r>
    </w:p>
    <w:p w14:paraId="79CC5628">
      <w:pPr>
        <w:wordWrap w:val="0"/>
        <w:adjustRightInd w:val="0"/>
        <w:snapToGrid w:val="0"/>
        <w:ind w:firstLine="482" w:firstLineChars="200"/>
        <w:rPr>
          <w:rFonts w:hint="eastAsia" w:hAnsi="宋体"/>
          <w:bCs/>
          <w:snapToGrid w:val="0"/>
          <w:kern w:val="0"/>
        </w:rPr>
      </w:pPr>
      <w:r>
        <w:rPr>
          <w:rFonts w:hint="eastAsia" w:hAnsi="宋体"/>
          <w:b/>
          <w:bCs/>
          <w:snapToGrid w:val="0"/>
          <w:kern w:val="0"/>
        </w:rPr>
        <w:t>3.8</w:t>
      </w:r>
      <w:r>
        <w:rPr>
          <w:rFonts w:hint="eastAsia" w:hAnsi="宋体"/>
          <w:snapToGrid w:val="0"/>
          <w:kern w:val="0"/>
        </w:rPr>
        <w:t xml:space="preserve"> 本项目工程结算金额以韶关市财政局投资评审中心审核为准，结算审核完成后，于次月支付至审定结算价的97%，剩余3%转为质量保证金；承包人提交了等额</w:t>
      </w:r>
      <w:r>
        <w:rPr>
          <w:rFonts w:hint="eastAsia" w:hAnsi="宋体"/>
          <w:bCs/>
          <w:snapToGrid w:val="0"/>
          <w:kern w:val="0"/>
        </w:rPr>
        <w:t>质量保证担保或质量保证保险的，于次月一次性结清合同价格。</w:t>
      </w:r>
    </w:p>
    <w:p w14:paraId="2F1244D4">
      <w:pPr>
        <w:wordWrap w:val="0"/>
        <w:adjustRightInd w:val="0"/>
        <w:snapToGrid w:val="0"/>
        <w:ind w:firstLine="482" w:firstLineChars="200"/>
        <w:rPr>
          <w:rFonts w:hint="eastAsia" w:hAnsi="宋体"/>
          <w:snapToGrid w:val="0"/>
          <w:kern w:val="0"/>
        </w:rPr>
      </w:pPr>
      <w:r>
        <w:rPr>
          <w:rFonts w:hint="eastAsia" w:hAnsi="宋体"/>
          <w:b/>
          <w:snapToGrid w:val="0"/>
          <w:kern w:val="0"/>
        </w:rPr>
        <w:t>3.9</w:t>
      </w:r>
      <w:r>
        <w:rPr>
          <w:rFonts w:hint="eastAsia" w:hAnsi="宋体"/>
          <w:bCs/>
          <w:snapToGrid w:val="0"/>
          <w:kern w:val="0"/>
        </w:rPr>
        <w:t xml:space="preserve"> 本招标项目缺陷责任期为</w:t>
      </w:r>
      <w:r>
        <w:rPr>
          <w:rFonts w:hint="eastAsia" w:hAnsi="宋体"/>
          <w:bCs/>
          <w:snapToGrid w:val="0"/>
          <w:kern w:val="0"/>
          <w:u w:val="single"/>
        </w:rPr>
        <w:t xml:space="preserve"> 2 </w:t>
      </w:r>
      <w:r>
        <w:rPr>
          <w:rFonts w:hint="eastAsia" w:hAnsi="宋体"/>
          <w:bCs/>
          <w:snapToGrid w:val="0"/>
          <w:kern w:val="0"/>
        </w:rPr>
        <w:t>年（自通过竣工验收之日起计）。</w:t>
      </w:r>
      <w:r>
        <w:rPr>
          <w:rFonts w:hint="eastAsia" w:hAnsi="宋体"/>
          <w:snapToGrid w:val="0"/>
          <w:kern w:val="0"/>
        </w:rPr>
        <w:t>缺陷责任期到期后，承包人向发包人申请退还质量保证。发包人收到退还申请后，于14天内会同承包人进行核实。经双方核实且均无异议后，发包人在核实之日起</w:t>
      </w:r>
      <w:r>
        <w:rPr>
          <w:rFonts w:hint="eastAsia" w:hAnsi="宋体"/>
          <w:snapToGrid w:val="0"/>
          <w:kern w:val="0"/>
          <w:u w:val="single"/>
        </w:rPr>
        <w:t xml:space="preserve"> 14 </w:t>
      </w:r>
      <w:r>
        <w:rPr>
          <w:rFonts w:hint="eastAsia" w:hAnsi="宋体"/>
          <w:snapToGrid w:val="0"/>
          <w:kern w:val="0"/>
        </w:rPr>
        <w:t>天内将应返保证金（或银行保函）退还承包人。</w:t>
      </w:r>
    </w:p>
    <w:p w14:paraId="6AE73C13">
      <w:pPr>
        <w:wordWrap w:val="0"/>
        <w:adjustRightInd w:val="0"/>
        <w:snapToGrid w:val="0"/>
        <w:ind w:firstLine="482" w:firstLineChars="200"/>
        <w:rPr>
          <w:rFonts w:hint="eastAsia" w:hAnsi="宋体"/>
          <w:snapToGrid w:val="0"/>
          <w:kern w:val="0"/>
        </w:rPr>
      </w:pPr>
      <w:r>
        <w:rPr>
          <w:rFonts w:hint="eastAsia" w:hAnsi="宋体"/>
          <w:b/>
          <w:bCs/>
          <w:snapToGrid w:val="0"/>
          <w:kern w:val="0"/>
        </w:rPr>
        <w:t>3.10</w:t>
      </w:r>
      <w:r>
        <w:rPr>
          <w:rFonts w:hint="eastAsia" w:hAnsi="宋体"/>
          <w:snapToGrid w:val="0"/>
          <w:kern w:val="0"/>
        </w:rPr>
        <w:t xml:space="preserve"> </w:t>
      </w:r>
      <w:r>
        <w:rPr>
          <w:rFonts w:hint="eastAsia" w:hAnsi="宋体"/>
          <w:b/>
          <w:bCs/>
          <w:snapToGrid w:val="0"/>
          <w:kern w:val="0"/>
        </w:rPr>
        <w:t>发包人每次支付工程款前，承包人均应提供有效的增值税专用发票。如果承包人无法提供符合要求的发票，由此造成的相应损失由承包人承担。</w:t>
      </w:r>
    </w:p>
    <w:p w14:paraId="43F8948C">
      <w:pPr>
        <w:wordWrap w:val="0"/>
        <w:adjustRightInd w:val="0"/>
        <w:snapToGrid w:val="0"/>
        <w:ind w:firstLine="482" w:firstLineChars="200"/>
        <w:rPr>
          <w:rFonts w:hint="eastAsia" w:hAnsi="宋体"/>
          <w:snapToGrid w:val="0"/>
          <w:kern w:val="0"/>
          <w:u w:val="single"/>
        </w:rPr>
      </w:pPr>
      <w:r>
        <w:rPr>
          <w:rFonts w:hint="eastAsia" w:hAnsi="宋体"/>
          <w:b/>
          <w:bCs/>
          <w:snapToGrid w:val="0"/>
          <w:kern w:val="0"/>
        </w:rPr>
        <w:t>3.11</w:t>
      </w:r>
      <w:r>
        <w:rPr>
          <w:rFonts w:hint="eastAsia" w:hAnsi="宋体"/>
          <w:snapToGrid w:val="0"/>
          <w:kern w:val="0"/>
        </w:rPr>
        <w:t xml:space="preserve"> 暂列金额支付方式：</w:t>
      </w:r>
      <w:r>
        <w:rPr>
          <w:rFonts w:hint="eastAsia" w:hAnsi="宋体"/>
          <w:snapToGrid w:val="0"/>
          <w:kern w:val="0"/>
          <w:u w:val="single"/>
        </w:rPr>
        <w:t>与每个月的工程进度款一并报送，在暂列金额的范围内由监理单位进行签认，造价咨询单位审核，发包人确认，需要列明涉及暂列金额的部分。在暂列金额的范围内由监理单位进行签证，造价咨询单位审核后，经发包人确认后按支付节点支付该款项的80％，其余部分待结算完成审核后支付至97%，剩余3%为工程质量保修金。</w:t>
      </w:r>
    </w:p>
    <w:p w14:paraId="32678B36">
      <w:pPr>
        <w:wordWrap w:val="0"/>
        <w:adjustRightInd w:val="0"/>
        <w:snapToGrid w:val="0"/>
        <w:ind w:firstLine="482" w:firstLineChars="200"/>
        <w:rPr>
          <w:rFonts w:hint="eastAsia" w:hAnsi="宋体"/>
          <w:snapToGrid w:val="0"/>
          <w:kern w:val="0"/>
          <w:u w:val="single"/>
        </w:rPr>
      </w:pPr>
      <w:bookmarkStart w:id="356" w:name="_Toc8393"/>
      <w:bookmarkStart w:id="357" w:name="_Toc3253"/>
      <w:bookmarkStart w:id="358" w:name="_Toc26093"/>
      <w:bookmarkStart w:id="359" w:name="_Toc26311"/>
      <w:r>
        <w:rPr>
          <w:rFonts w:hint="eastAsia" w:hAnsi="宋体"/>
          <w:b/>
          <w:bCs/>
          <w:snapToGrid w:val="0"/>
          <w:kern w:val="0"/>
        </w:rPr>
        <w:t>3.12</w:t>
      </w:r>
      <w:r>
        <w:rPr>
          <w:rFonts w:hint="eastAsia" w:hAnsi="宋体"/>
          <w:snapToGrid w:val="0"/>
          <w:kern w:val="0"/>
        </w:rPr>
        <w:t xml:space="preserve"> 材料暂估价</w:t>
      </w:r>
      <w:r>
        <w:rPr>
          <w:rFonts w:hint="eastAsia" w:hAnsi="宋体"/>
          <w:snapToGrid w:val="0"/>
          <w:kern w:val="0"/>
          <w:lang w:eastAsia="zh-CN"/>
        </w:rPr>
        <w:t>、</w:t>
      </w:r>
      <w:r>
        <w:rPr>
          <w:rFonts w:hint="eastAsia" w:hAnsi="宋体"/>
          <w:snapToGrid w:val="0"/>
          <w:kern w:val="0"/>
        </w:rPr>
        <w:t>专业工程暂估价支付方式：</w:t>
      </w:r>
      <w:r>
        <w:rPr>
          <w:rFonts w:hint="eastAsia" w:hAnsi="宋体"/>
          <w:snapToGrid w:val="0"/>
          <w:kern w:val="0"/>
          <w:u w:val="single"/>
        </w:rPr>
        <w:t>材料暂估价、专业工程暂估价与工程进度款一并报送，但需要列明详细项目内容，该部分材料暂估价、专业工程暂估价按该部分实际完成工程量的80%支付，剩余部分结算审核完成后支付至97%，剩余3%为工程质量保修金。</w:t>
      </w:r>
      <w:bookmarkEnd w:id="356"/>
      <w:bookmarkEnd w:id="357"/>
      <w:bookmarkEnd w:id="358"/>
      <w:bookmarkEnd w:id="359"/>
    </w:p>
    <w:p w14:paraId="495473FA">
      <w:pPr>
        <w:wordWrap w:val="0"/>
        <w:adjustRightInd w:val="0"/>
        <w:snapToGrid w:val="0"/>
        <w:ind w:firstLine="482" w:firstLineChars="200"/>
        <w:rPr>
          <w:rFonts w:hint="eastAsia" w:hAnsi="宋体"/>
          <w:snapToGrid w:val="0"/>
          <w:kern w:val="0"/>
          <w:u w:val="none"/>
        </w:rPr>
      </w:pPr>
      <w:r>
        <w:rPr>
          <w:rFonts w:hint="eastAsia" w:hAnsi="宋体"/>
          <w:b/>
          <w:bCs/>
          <w:snapToGrid w:val="0"/>
          <w:kern w:val="0"/>
          <w:u w:val="none"/>
        </w:rPr>
        <w:t>3.13</w:t>
      </w:r>
      <w:r>
        <w:rPr>
          <w:rFonts w:hint="eastAsia" w:hAnsi="宋体"/>
          <w:snapToGrid w:val="0"/>
          <w:kern w:val="0"/>
          <w:u w:val="none"/>
        </w:rPr>
        <w:t xml:space="preserve"> 本项目资金包括财政资金，受国家相关法律法规和预算管理制度的约束，支付流程需遵循财政审批程序。若财政资金未能按时审批拨付到位导致支付延迟，不视为发包人违约，但发包人应积极配合承包人协调解决。</w:t>
      </w:r>
    </w:p>
    <w:bookmarkEnd w:id="342"/>
    <w:p w14:paraId="47F22419">
      <w:pPr>
        <w:wordWrap w:val="0"/>
        <w:adjustRightInd w:val="0"/>
        <w:snapToGrid w:val="0"/>
        <w:rPr>
          <w:rFonts w:hint="eastAsia" w:hAnsi="宋体"/>
          <w:snapToGrid w:val="0"/>
          <w:kern w:val="0"/>
        </w:rPr>
      </w:pPr>
      <w:bookmarkStart w:id="360" w:name="_Toc22427"/>
      <w:bookmarkStart w:id="361" w:name="_Toc3384"/>
      <w:bookmarkStart w:id="362" w:name="_Toc11307"/>
      <w:r>
        <w:rPr>
          <w:rFonts w:hint="eastAsia" w:hAnsi="宋体"/>
          <w:b/>
          <w:bCs/>
          <w:snapToGrid w:val="0"/>
          <w:kern w:val="0"/>
        </w:rPr>
        <w:t>4.其他专用合同条款</w:t>
      </w:r>
      <w:bookmarkEnd w:id="360"/>
      <w:bookmarkEnd w:id="361"/>
      <w:bookmarkEnd w:id="362"/>
    </w:p>
    <w:p w14:paraId="2F5FAA9A">
      <w:pPr>
        <w:ind w:firstLine="475" w:firstLineChars="197"/>
        <w:rPr>
          <w:rFonts w:hint="eastAsia" w:hAnsi="宋体"/>
          <w:b/>
          <w:bCs/>
          <w:snapToGrid w:val="0"/>
          <w:kern w:val="0"/>
        </w:rPr>
      </w:pPr>
      <w:bookmarkStart w:id="363" w:name="_Toc18132"/>
      <w:bookmarkStart w:id="364" w:name="_Toc30082"/>
      <w:bookmarkStart w:id="365" w:name="_Toc7631"/>
      <w:bookmarkStart w:id="366" w:name="_Toc27361"/>
      <w:bookmarkStart w:id="367" w:name="_Toc20705"/>
      <w:bookmarkStart w:id="368" w:name="_Toc6293"/>
      <w:bookmarkStart w:id="369" w:name="_Toc7058"/>
      <w:bookmarkStart w:id="370" w:name="_Toc15737"/>
      <w:bookmarkStart w:id="371" w:name="_Toc22002"/>
      <w:r>
        <w:rPr>
          <w:rFonts w:hint="eastAsia" w:hAnsi="宋体"/>
          <w:b/>
          <w:bCs/>
          <w:snapToGrid w:val="0"/>
          <w:kern w:val="0"/>
        </w:rPr>
        <w:t>4.1专业工程分包</w:t>
      </w:r>
      <w:bookmarkEnd w:id="363"/>
      <w:bookmarkEnd w:id="364"/>
      <w:bookmarkEnd w:id="365"/>
      <w:bookmarkEnd w:id="366"/>
    </w:p>
    <w:p w14:paraId="04208F6B">
      <w:pPr>
        <w:ind w:firstLine="472" w:firstLineChars="197"/>
        <w:rPr>
          <w:rFonts w:hint="eastAsia" w:hAnsi="宋体"/>
          <w:b/>
          <w:bCs/>
          <w:snapToGrid w:val="0"/>
          <w:kern w:val="0"/>
        </w:rPr>
      </w:pPr>
      <w:bookmarkStart w:id="372" w:name="_Toc26759"/>
      <w:bookmarkStart w:id="373" w:name="_Toc6566"/>
      <w:r>
        <w:rPr>
          <w:rFonts w:hint="eastAsia" w:hAnsi="宋体"/>
          <w:snapToGrid w:val="0"/>
          <w:kern w:val="0"/>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bookmarkEnd w:id="372"/>
      <w:bookmarkEnd w:id="373"/>
    </w:p>
    <w:p w14:paraId="702ABB8F">
      <w:pPr>
        <w:ind w:firstLine="475" w:firstLineChars="197"/>
        <w:rPr>
          <w:rFonts w:hint="eastAsia" w:hAnsi="宋体"/>
          <w:b/>
          <w:bCs/>
          <w:snapToGrid w:val="0"/>
          <w:kern w:val="0"/>
        </w:rPr>
      </w:pPr>
      <w:bookmarkStart w:id="374" w:name="_Toc7429"/>
      <w:bookmarkStart w:id="375" w:name="_Toc27900"/>
      <w:bookmarkStart w:id="376" w:name="_Toc3814"/>
      <w:bookmarkStart w:id="377" w:name="_Toc25835"/>
      <w:r>
        <w:rPr>
          <w:rFonts w:hint="eastAsia" w:hAnsi="宋体"/>
          <w:b/>
          <w:bCs/>
          <w:snapToGrid w:val="0"/>
          <w:kern w:val="0"/>
        </w:rPr>
        <w:t>4.2 工人工资支付专用账户</w:t>
      </w:r>
      <w:bookmarkEnd w:id="374"/>
      <w:bookmarkEnd w:id="375"/>
      <w:bookmarkEnd w:id="376"/>
      <w:bookmarkEnd w:id="377"/>
    </w:p>
    <w:p w14:paraId="326A45ED">
      <w:pPr>
        <w:ind w:firstLine="475" w:firstLineChars="197"/>
        <w:rPr>
          <w:rFonts w:hint="eastAsia" w:hAnsi="宋体"/>
          <w:b/>
          <w:bCs/>
          <w:snapToGrid w:val="0"/>
          <w:kern w:val="0"/>
        </w:rPr>
      </w:pPr>
      <w:bookmarkStart w:id="378" w:name="_Toc14361"/>
      <w:bookmarkStart w:id="379" w:name="_Toc21569"/>
      <w:r>
        <w:rPr>
          <w:rFonts w:hint="eastAsia" w:hAnsi="宋体"/>
          <w:b/>
          <w:bCs/>
          <w:snapToGrid w:val="0"/>
          <w:kern w:val="0"/>
        </w:rPr>
        <w:t xml:space="preserve">4.2.1 </w:t>
      </w:r>
      <w:r>
        <w:rPr>
          <w:rFonts w:hint="eastAsia" w:hAnsi="宋体"/>
          <w:snapToGrid w:val="0"/>
          <w:kern w:val="0"/>
        </w:rPr>
        <w:t>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bookmarkEnd w:id="378"/>
      <w:bookmarkEnd w:id="379"/>
    </w:p>
    <w:p w14:paraId="32095B02">
      <w:pPr>
        <w:ind w:firstLine="475" w:firstLineChars="197"/>
        <w:rPr>
          <w:rFonts w:hint="eastAsia" w:hAnsi="宋体"/>
          <w:snapToGrid w:val="0"/>
          <w:kern w:val="0"/>
        </w:rPr>
      </w:pPr>
      <w:bookmarkStart w:id="380" w:name="_Toc22395"/>
      <w:bookmarkStart w:id="381" w:name="_Toc31315"/>
      <w:r>
        <w:rPr>
          <w:rFonts w:hint="eastAsia" w:hAnsi="宋体"/>
          <w:b/>
          <w:bCs/>
          <w:snapToGrid w:val="0"/>
          <w:kern w:val="0"/>
        </w:rPr>
        <w:t xml:space="preserve">4.2.2 </w:t>
      </w:r>
      <w:r>
        <w:rPr>
          <w:rFonts w:hint="eastAsia" w:hAnsi="宋体"/>
          <w:snapToGrid w:val="0"/>
          <w:kern w:val="0"/>
        </w:rPr>
        <w:t>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bookmarkEnd w:id="380"/>
      <w:bookmarkEnd w:id="381"/>
    </w:p>
    <w:p w14:paraId="2BF52143">
      <w:pPr>
        <w:ind w:firstLine="472" w:firstLineChars="197"/>
        <w:rPr>
          <w:rFonts w:hint="eastAsia" w:hAnsi="宋体"/>
          <w:snapToGrid w:val="0"/>
          <w:kern w:val="0"/>
        </w:rPr>
      </w:pPr>
      <w:bookmarkStart w:id="382" w:name="_Toc7647"/>
      <w:bookmarkStart w:id="383" w:name="_Toc12325"/>
      <w:r>
        <w:rPr>
          <w:rFonts w:hint="eastAsia" w:hAnsi="宋体"/>
          <w:snapToGrid w:val="0"/>
          <w:kern w:val="0"/>
        </w:rPr>
        <w:t>按韶关市人力资源和社会保障局 韶关市住房和城乡建设管理局 韶关市交通运输局 韶关市水务局 韶关市金融工作局 国家金融监督管理总局韶关监管分局关于印发《韶关市工程建设领域农民工工资保证金管理实施细则》的通知（韶人社规〔2023〕2 号）及《韶关市工程建设领域农民工工资保证金管理实施细则》（韶法审〔2023〕19 号）规定执行。承包人在签订工程施工承包合同后一个月内必须办妥该事项，并将办妥回执交发包人。</w:t>
      </w:r>
      <w:bookmarkEnd w:id="382"/>
      <w:bookmarkEnd w:id="383"/>
    </w:p>
    <w:p w14:paraId="7609D064">
      <w:pPr>
        <w:ind w:firstLine="472" w:firstLineChars="197"/>
        <w:rPr>
          <w:rFonts w:hint="eastAsia" w:hAnsi="宋体"/>
          <w:snapToGrid w:val="0"/>
          <w:kern w:val="0"/>
        </w:rPr>
      </w:pPr>
      <w:bookmarkStart w:id="384" w:name="_Toc9120"/>
      <w:bookmarkStart w:id="385" w:name="_Toc15532"/>
      <w:r>
        <w:rPr>
          <w:rFonts w:hint="eastAsia" w:hAnsi="宋体"/>
          <w:snapToGrid w:val="0"/>
          <w:kern w:val="0"/>
        </w:rPr>
        <w:t>如发生承包人拖欠农民工工资并且向政府或发包人索要承包人拖欠工资的，发包人有权使用工人工资保证金或在剩余进度款范围内代承包人向农民工支付工资，承包人对发包人垫付工资的人员范围和工资数额均不得提出异议。发包人代支的工资除了从当期工程款内直接扣除外，承包人须按照发包人所垫付的农民工工资2倍向发包人支付违约金。</w:t>
      </w:r>
      <w:bookmarkEnd w:id="384"/>
      <w:bookmarkEnd w:id="385"/>
    </w:p>
    <w:p w14:paraId="718C9059">
      <w:pPr>
        <w:ind w:firstLine="475" w:firstLineChars="197"/>
        <w:rPr>
          <w:rFonts w:hint="eastAsia" w:hAnsi="宋体"/>
          <w:b/>
          <w:bCs/>
          <w:snapToGrid w:val="0"/>
          <w:kern w:val="0"/>
        </w:rPr>
      </w:pPr>
      <w:bookmarkStart w:id="386" w:name="_Toc11021"/>
      <w:bookmarkStart w:id="387" w:name="_Toc9166"/>
      <w:r>
        <w:rPr>
          <w:rFonts w:hint="eastAsia" w:hAnsi="宋体"/>
          <w:b/>
          <w:bCs/>
          <w:snapToGrid w:val="0"/>
          <w:kern w:val="0"/>
        </w:rPr>
        <w:t xml:space="preserve">4.2.3 </w:t>
      </w:r>
      <w:r>
        <w:rPr>
          <w:rFonts w:hint="eastAsia" w:hAnsi="宋体"/>
          <w:snapToGrid w:val="0"/>
          <w:kern w:val="0"/>
        </w:rPr>
        <w:t>承包人应在工资专户开立后2个工作日内，将开户银行及其账号、开户协议等资料提交给发包人。</w:t>
      </w:r>
      <w:bookmarkEnd w:id="386"/>
      <w:bookmarkEnd w:id="387"/>
    </w:p>
    <w:p w14:paraId="388AA8A2">
      <w:pPr>
        <w:ind w:firstLine="472" w:firstLineChars="197"/>
        <w:rPr>
          <w:rFonts w:hint="eastAsia" w:hAnsi="宋体"/>
          <w:snapToGrid w:val="0"/>
          <w:kern w:val="0"/>
        </w:rPr>
      </w:pPr>
      <w:bookmarkStart w:id="388" w:name="_Toc6012"/>
      <w:bookmarkStart w:id="389" w:name="_Toc19737"/>
      <w:r>
        <w:rPr>
          <w:rFonts w:hint="eastAsia" w:hAnsi="宋体"/>
          <w:snapToGrid w:val="0"/>
          <w:kern w:val="0"/>
        </w:rPr>
        <w:t>（1）用人单位应当在建设项目动工前，在建设项目所在地银行设立工人工资支付专用账户。</w:t>
      </w:r>
      <w:bookmarkEnd w:id="388"/>
      <w:bookmarkEnd w:id="389"/>
    </w:p>
    <w:p w14:paraId="3A7423E5">
      <w:pPr>
        <w:ind w:firstLine="472" w:firstLineChars="197"/>
        <w:rPr>
          <w:rFonts w:hint="eastAsia" w:hAnsi="宋体"/>
          <w:snapToGrid w:val="0"/>
          <w:kern w:val="0"/>
        </w:rPr>
      </w:pPr>
      <w:bookmarkStart w:id="390" w:name="_Toc25644"/>
      <w:bookmarkStart w:id="391" w:name="_Toc9762"/>
      <w:r>
        <w:rPr>
          <w:rFonts w:hint="eastAsia" w:hAnsi="宋体"/>
          <w:snapToGrid w:val="0"/>
          <w:kern w:val="0"/>
        </w:rPr>
        <w:t>（2）用人单位应当在用工之日起15日内为每一位工人办理个人银行账户。</w:t>
      </w:r>
      <w:bookmarkEnd w:id="390"/>
      <w:bookmarkEnd w:id="391"/>
    </w:p>
    <w:p w14:paraId="1491E841">
      <w:pPr>
        <w:ind w:firstLine="472" w:firstLineChars="197"/>
        <w:rPr>
          <w:rFonts w:hint="eastAsia" w:hAnsi="宋体"/>
          <w:snapToGrid w:val="0"/>
          <w:kern w:val="0"/>
        </w:rPr>
      </w:pPr>
      <w:bookmarkStart w:id="392" w:name="_Toc20041"/>
      <w:bookmarkStart w:id="393" w:name="_Toc29893"/>
      <w:r>
        <w:rPr>
          <w:rFonts w:hint="eastAsia" w:hAnsi="宋体"/>
          <w:snapToGrid w:val="0"/>
          <w:kern w:val="0"/>
        </w:rPr>
        <w:t>（3）用人单位应当指定专人负责建设项目施工现场台账管理，真实、准确记录工人名册、劳务合同、劳动合同、工程进度、工时台账、劳务承包款和工人工资支付等信息，并保存两年以上备查。</w:t>
      </w:r>
      <w:bookmarkEnd w:id="392"/>
      <w:bookmarkEnd w:id="393"/>
    </w:p>
    <w:p w14:paraId="3C87B3D8">
      <w:pPr>
        <w:ind w:firstLine="472" w:firstLineChars="197"/>
        <w:rPr>
          <w:rFonts w:hint="eastAsia" w:hAnsi="宋体"/>
          <w:snapToGrid w:val="0"/>
          <w:kern w:val="0"/>
        </w:rPr>
      </w:pPr>
      <w:bookmarkStart w:id="394" w:name="_Toc26109"/>
      <w:bookmarkStart w:id="395" w:name="_Toc6451"/>
      <w:r>
        <w:rPr>
          <w:rFonts w:hint="eastAsia" w:hAnsi="宋体"/>
          <w:snapToGrid w:val="0"/>
          <w:kern w:val="0"/>
        </w:rPr>
        <w:t>（4）用人单位应当按照“及时支付，按实结算”的原则，在规定日期前通过银行工人工资支付专用账户将工人工资直接支付到工人的个人银行账户，并按月将工人工资支付明细表报施工总承包单位和建设单位备案。</w:t>
      </w:r>
      <w:bookmarkEnd w:id="394"/>
      <w:bookmarkEnd w:id="395"/>
    </w:p>
    <w:p w14:paraId="3D0B4215">
      <w:pPr>
        <w:ind w:firstLine="472" w:firstLineChars="197"/>
        <w:rPr>
          <w:rFonts w:hint="eastAsia" w:hAnsi="宋体"/>
          <w:snapToGrid w:val="0"/>
          <w:kern w:val="0"/>
        </w:rPr>
      </w:pPr>
      <w:bookmarkStart w:id="396" w:name="_Toc25131"/>
      <w:bookmarkStart w:id="397" w:name="_Toc2331"/>
      <w:r>
        <w:rPr>
          <w:rFonts w:hint="eastAsia" w:hAnsi="宋体"/>
          <w:snapToGrid w:val="0"/>
          <w:kern w:val="0"/>
        </w:rPr>
        <w:t>用人单位未建立、保存用工管理台账，或者伪造相关台账的，按照《广东省劳动保障监察条例》第五十条的规定，由人力资源社会保障部门责令改正，并可处以人民币二千元以上二万以下的罚款。</w:t>
      </w:r>
      <w:bookmarkEnd w:id="396"/>
      <w:bookmarkEnd w:id="397"/>
    </w:p>
    <w:p w14:paraId="73F2E695">
      <w:pPr>
        <w:ind w:firstLine="475" w:firstLineChars="197"/>
        <w:rPr>
          <w:rFonts w:hint="eastAsia" w:hAnsi="宋体"/>
          <w:b/>
          <w:bCs/>
          <w:snapToGrid w:val="0"/>
          <w:kern w:val="0"/>
        </w:rPr>
      </w:pPr>
      <w:bookmarkStart w:id="398" w:name="_Toc31146"/>
      <w:bookmarkStart w:id="399" w:name="_Toc20736"/>
      <w:r>
        <w:rPr>
          <w:rFonts w:hint="eastAsia" w:hAnsi="宋体"/>
          <w:b/>
          <w:bCs/>
          <w:snapToGrid w:val="0"/>
          <w:kern w:val="0"/>
        </w:rPr>
        <w:t xml:space="preserve">4.2.4 </w:t>
      </w:r>
      <w:r>
        <w:rPr>
          <w:rFonts w:hint="eastAsia" w:hAnsi="宋体"/>
          <w:snapToGrid w:val="0"/>
          <w:kern w:val="0"/>
        </w:rPr>
        <w:t>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bookmarkEnd w:id="398"/>
      <w:bookmarkEnd w:id="399"/>
    </w:p>
    <w:p w14:paraId="4884E2DB">
      <w:pPr>
        <w:ind w:firstLine="475" w:firstLineChars="197"/>
        <w:rPr>
          <w:rFonts w:hint="eastAsia" w:hAnsi="宋体"/>
          <w:b/>
          <w:bCs/>
          <w:snapToGrid w:val="0"/>
          <w:kern w:val="0"/>
        </w:rPr>
      </w:pPr>
      <w:bookmarkStart w:id="400" w:name="_Toc25137"/>
      <w:bookmarkStart w:id="401" w:name="_Toc8647"/>
      <w:bookmarkStart w:id="402" w:name="_Toc1635"/>
      <w:bookmarkStart w:id="403" w:name="_Toc4019"/>
      <w:r>
        <w:rPr>
          <w:rFonts w:hint="eastAsia" w:hAnsi="宋体"/>
          <w:b/>
          <w:bCs/>
          <w:snapToGrid w:val="0"/>
          <w:kern w:val="0"/>
        </w:rPr>
        <w:t>4.3 工期进度</w:t>
      </w:r>
      <w:bookmarkEnd w:id="400"/>
      <w:bookmarkEnd w:id="401"/>
      <w:bookmarkEnd w:id="402"/>
      <w:bookmarkEnd w:id="403"/>
    </w:p>
    <w:p w14:paraId="2CFFC7CC">
      <w:pPr>
        <w:ind w:firstLine="475" w:firstLineChars="197"/>
        <w:rPr>
          <w:rFonts w:hint="eastAsia" w:hAnsi="宋体"/>
          <w:b/>
          <w:bCs/>
          <w:snapToGrid w:val="0"/>
          <w:kern w:val="0"/>
        </w:rPr>
      </w:pPr>
      <w:bookmarkStart w:id="404" w:name="_Toc24949"/>
      <w:bookmarkStart w:id="405" w:name="_Toc9144"/>
      <w:r>
        <w:rPr>
          <w:rFonts w:hint="eastAsia" w:hAnsi="宋体"/>
          <w:b/>
          <w:bCs/>
          <w:snapToGrid w:val="0"/>
          <w:kern w:val="0"/>
        </w:rPr>
        <w:t xml:space="preserve">4.3.1 </w:t>
      </w:r>
      <w:r>
        <w:rPr>
          <w:rFonts w:hint="eastAsia" w:hAnsi="宋体"/>
          <w:snapToGrid w:val="0"/>
          <w:kern w:val="0"/>
        </w:rPr>
        <w:t>本招标项目招标工期为232日历天。 承包人必须在招标工期内完成招标范围内的全部内容。</w:t>
      </w:r>
      <w:bookmarkEnd w:id="404"/>
      <w:bookmarkEnd w:id="405"/>
    </w:p>
    <w:p w14:paraId="6BA0A796">
      <w:pPr>
        <w:ind w:firstLine="475" w:firstLineChars="197"/>
        <w:rPr>
          <w:rFonts w:hint="eastAsia" w:hAnsi="宋体"/>
          <w:b/>
          <w:bCs/>
          <w:snapToGrid w:val="0"/>
          <w:kern w:val="0"/>
        </w:rPr>
      </w:pPr>
      <w:bookmarkStart w:id="406" w:name="_Toc24633"/>
      <w:bookmarkStart w:id="407" w:name="_Toc31260"/>
      <w:r>
        <w:rPr>
          <w:rFonts w:hint="eastAsia" w:hAnsi="宋体"/>
          <w:b/>
          <w:bCs/>
          <w:snapToGrid w:val="0"/>
          <w:kern w:val="0"/>
        </w:rPr>
        <w:t xml:space="preserve">4.3.2 </w:t>
      </w:r>
      <w:r>
        <w:rPr>
          <w:rFonts w:hint="eastAsia" w:hAnsi="宋体"/>
          <w:snapToGrid w:val="0"/>
          <w:kern w:val="0"/>
        </w:rPr>
        <w:t>施工工期从承包人收到监理单位签发的开工令之日起计或发包人发出的开工通知之日起计，至竣工验收合格之日止。</w:t>
      </w:r>
      <w:bookmarkEnd w:id="406"/>
      <w:bookmarkEnd w:id="407"/>
    </w:p>
    <w:p w14:paraId="0D4A1477">
      <w:pPr>
        <w:ind w:firstLine="475" w:firstLineChars="197"/>
        <w:rPr>
          <w:rFonts w:hint="eastAsia" w:hAnsi="宋体"/>
          <w:b/>
          <w:bCs/>
          <w:snapToGrid w:val="0"/>
          <w:kern w:val="0"/>
        </w:rPr>
      </w:pPr>
      <w:bookmarkStart w:id="408" w:name="_Toc27892"/>
      <w:bookmarkStart w:id="409" w:name="_Toc31667"/>
      <w:r>
        <w:rPr>
          <w:rFonts w:hint="eastAsia" w:hAnsi="宋体"/>
          <w:b/>
          <w:bCs/>
          <w:snapToGrid w:val="0"/>
          <w:kern w:val="0"/>
        </w:rPr>
        <w:t>4.3.3 工期奖罚</w:t>
      </w:r>
      <w:bookmarkEnd w:id="408"/>
      <w:bookmarkEnd w:id="409"/>
    </w:p>
    <w:p w14:paraId="6DFFCD27">
      <w:pPr>
        <w:ind w:firstLine="472" w:firstLineChars="197"/>
        <w:rPr>
          <w:rFonts w:hint="eastAsia" w:hAnsi="宋体"/>
          <w:snapToGrid w:val="0"/>
          <w:kern w:val="0"/>
        </w:rPr>
      </w:pPr>
      <w:bookmarkStart w:id="410" w:name="_Toc9312"/>
      <w:bookmarkStart w:id="411" w:name="_Toc10133"/>
      <w:r>
        <w:rPr>
          <w:rFonts w:hint="eastAsia" w:hAnsi="宋体"/>
          <w:snapToGrid w:val="0"/>
          <w:kern w:val="0"/>
        </w:rPr>
        <w:t>□竣工验收合格交付使用每提前几天竣工；奖</w:t>
      </w:r>
      <w:r>
        <w:rPr>
          <w:rFonts w:hint="eastAsia" w:hAnsi="宋体"/>
          <w:snapToGrid w:val="0"/>
          <w:kern w:val="0"/>
          <w:u w:val="single"/>
        </w:rPr>
        <w:t xml:space="preserve">   </w:t>
      </w:r>
      <w:r>
        <w:rPr>
          <w:rFonts w:hint="eastAsia" w:hAnsi="宋体"/>
          <w:snapToGrid w:val="0"/>
          <w:kern w:val="0"/>
        </w:rPr>
        <w:t>元，奖励金额不超过合同价款的</w:t>
      </w:r>
      <w:r>
        <w:rPr>
          <w:rFonts w:hint="eastAsia" w:hAnsi="宋体"/>
          <w:snapToGrid w:val="0"/>
          <w:kern w:val="0"/>
          <w:u w:val="single"/>
        </w:rPr>
        <w:t xml:space="preserve">    </w:t>
      </w:r>
      <w:r>
        <w:rPr>
          <w:rFonts w:hint="eastAsia" w:hAnsi="宋体"/>
          <w:snapToGrid w:val="0"/>
          <w:kern w:val="0"/>
        </w:rPr>
        <w:t>%（一般为 2%～5%）且不超过</w:t>
      </w:r>
      <w:r>
        <w:rPr>
          <w:rFonts w:hint="eastAsia" w:hAnsi="宋体"/>
          <w:snapToGrid w:val="0"/>
          <w:kern w:val="0"/>
          <w:u w:val="single"/>
        </w:rPr>
        <w:t xml:space="preserve">     </w:t>
      </w:r>
      <w:r>
        <w:rPr>
          <w:rFonts w:hint="eastAsia" w:hAnsi="宋体"/>
          <w:snapToGrid w:val="0"/>
          <w:kern w:val="0"/>
        </w:rPr>
        <w:t>万元。</w:t>
      </w:r>
      <w:bookmarkEnd w:id="410"/>
      <w:bookmarkEnd w:id="411"/>
    </w:p>
    <w:p w14:paraId="096E4CA7">
      <w:pPr>
        <w:ind w:firstLine="472" w:firstLineChars="197"/>
        <w:rPr>
          <w:rFonts w:hint="eastAsia" w:hAnsi="宋体"/>
          <w:snapToGrid w:val="0"/>
          <w:kern w:val="0"/>
        </w:rPr>
      </w:pPr>
      <w:bookmarkStart w:id="412" w:name="_Toc5418"/>
      <w:bookmarkStart w:id="413" w:name="_Toc15158"/>
      <w:r>
        <w:rPr>
          <w:rFonts w:hint="eastAsia" w:hAnsi="宋体"/>
          <w:snapToGrid w:val="0"/>
          <w:kern w:val="0"/>
        </w:rPr>
        <w:t>☑按施工合同期约定，因承包人原因每延误1天竣工，处罚</w:t>
      </w:r>
      <w:r>
        <w:rPr>
          <w:rFonts w:hint="eastAsia" w:hAnsi="宋体"/>
          <w:snapToGrid w:val="0"/>
          <w:kern w:val="0"/>
          <w:u w:val="single"/>
        </w:rPr>
        <w:t>合同价的1.5‰</w:t>
      </w:r>
      <w:r>
        <w:rPr>
          <w:rFonts w:hint="eastAsia" w:hAnsi="宋体"/>
          <w:snapToGrid w:val="0"/>
          <w:kern w:val="0"/>
        </w:rPr>
        <w:t>，处罚金额不超过合同价款的5%。</w:t>
      </w:r>
      <w:bookmarkEnd w:id="412"/>
      <w:bookmarkEnd w:id="413"/>
    </w:p>
    <w:p w14:paraId="677F6354">
      <w:pPr>
        <w:ind w:firstLine="472" w:firstLineChars="197"/>
        <w:rPr>
          <w:rFonts w:hint="eastAsia" w:hAnsi="宋体"/>
          <w:snapToGrid w:val="0"/>
          <w:kern w:val="0"/>
        </w:rPr>
      </w:pPr>
      <w:bookmarkStart w:id="414" w:name="_Toc32151"/>
      <w:bookmarkStart w:id="415" w:name="_Toc12075"/>
      <w:r>
        <w:rPr>
          <w:rFonts w:hint="eastAsia" w:hAnsi="宋体"/>
          <w:snapToGrid w:val="0"/>
          <w:kern w:val="0"/>
        </w:rPr>
        <w:t>□按施工合同约定，因承包人原因延误工期</w:t>
      </w:r>
      <w:r>
        <w:rPr>
          <w:rFonts w:hint="eastAsia" w:hAnsi="宋体"/>
          <w:snapToGrid w:val="0"/>
          <w:kern w:val="0"/>
          <w:u w:val="single"/>
        </w:rPr>
        <w:t xml:space="preserve">   </w:t>
      </w:r>
      <w:r>
        <w:rPr>
          <w:rFonts w:hint="eastAsia" w:hAnsi="宋体"/>
          <w:snapToGrid w:val="0"/>
          <w:kern w:val="0"/>
        </w:rPr>
        <w:t>天内不处罚，自第</w:t>
      </w:r>
      <w:r>
        <w:rPr>
          <w:rFonts w:hint="eastAsia" w:hAnsi="宋体"/>
          <w:snapToGrid w:val="0"/>
          <w:kern w:val="0"/>
          <w:u w:val="single"/>
        </w:rPr>
        <w:t xml:space="preserve">   天</w:t>
      </w:r>
      <w:r>
        <w:rPr>
          <w:rFonts w:hint="eastAsia" w:hAnsi="宋体"/>
          <w:snapToGrid w:val="0"/>
          <w:kern w:val="0"/>
        </w:rPr>
        <w:t>起每延误</w:t>
      </w:r>
      <w:r>
        <w:rPr>
          <w:rFonts w:hint="eastAsia" w:hAnsi="宋体"/>
          <w:snapToGrid w:val="0"/>
          <w:kern w:val="0"/>
          <w:u w:val="single"/>
        </w:rPr>
        <w:t xml:space="preserve">    </w:t>
      </w:r>
      <w:r>
        <w:rPr>
          <w:rFonts w:hint="eastAsia" w:hAnsi="宋体"/>
          <w:snapToGrid w:val="0"/>
          <w:kern w:val="0"/>
        </w:rPr>
        <w:t>天竣工，罚</w:t>
      </w:r>
      <w:r>
        <w:rPr>
          <w:rFonts w:hint="eastAsia" w:hAnsi="宋体"/>
          <w:snapToGrid w:val="0"/>
          <w:kern w:val="0"/>
          <w:u w:val="single"/>
        </w:rPr>
        <w:t xml:space="preserve">    元</w:t>
      </w:r>
      <w:r>
        <w:rPr>
          <w:rFonts w:hint="eastAsia" w:hAnsi="宋体"/>
          <w:snapToGrid w:val="0"/>
          <w:kern w:val="0"/>
        </w:rPr>
        <w:t>。处罚金额不超过合同价款的</w:t>
      </w:r>
      <w:r>
        <w:rPr>
          <w:rFonts w:hint="eastAsia" w:hAnsi="宋体"/>
          <w:snapToGrid w:val="0"/>
          <w:kern w:val="0"/>
          <w:u w:val="single"/>
        </w:rPr>
        <w:t xml:space="preserve">    </w:t>
      </w:r>
      <w:r>
        <w:rPr>
          <w:rFonts w:hint="eastAsia" w:hAnsi="宋体"/>
          <w:snapToGrid w:val="0"/>
          <w:kern w:val="0"/>
        </w:rPr>
        <w:t xml:space="preserve"> %（一般为 2%～5%）且不超过</w:t>
      </w:r>
      <w:r>
        <w:rPr>
          <w:rFonts w:hint="eastAsia" w:hAnsi="宋体"/>
          <w:snapToGrid w:val="0"/>
          <w:kern w:val="0"/>
          <w:u w:val="single"/>
        </w:rPr>
        <w:t xml:space="preserve">   </w:t>
      </w:r>
      <w:r>
        <w:rPr>
          <w:rFonts w:hint="eastAsia" w:hAnsi="宋体"/>
          <w:snapToGrid w:val="0"/>
          <w:kern w:val="0"/>
        </w:rPr>
        <w:t>万元，累计延误工期达到</w:t>
      </w:r>
      <w:r>
        <w:rPr>
          <w:rFonts w:hint="eastAsia" w:hAnsi="宋体"/>
          <w:snapToGrid w:val="0"/>
          <w:kern w:val="0"/>
          <w:u w:val="single"/>
        </w:rPr>
        <w:t xml:space="preserve">    </w:t>
      </w:r>
      <w:r>
        <w:rPr>
          <w:rFonts w:hint="eastAsia" w:hAnsi="宋体"/>
          <w:snapToGrid w:val="0"/>
          <w:kern w:val="0"/>
        </w:rPr>
        <w:t>天，报请建设行政主管部门做不良行为记录，非承包方原因或不可抗力造成延误的除外。</w:t>
      </w:r>
      <w:bookmarkEnd w:id="414"/>
      <w:bookmarkEnd w:id="415"/>
    </w:p>
    <w:p w14:paraId="1D12845B">
      <w:pPr>
        <w:ind w:firstLine="472" w:firstLineChars="197"/>
        <w:rPr>
          <w:rFonts w:hint="eastAsia" w:hAnsi="宋体"/>
          <w:b/>
          <w:bCs/>
          <w:snapToGrid w:val="0"/>
          <w:kern w:val="0"/>
        </w:rPr>
      </w:pPr>
      <w:bookmarkStart w:id="416" w:name="_Toc10043"/>
      <w:bookmarkStart w:id="417" w:name="_Toc21915"/>
      <w:r>
        <w:rPr>
          <w:rFonts w:hint="eastAsia" w:hAnsi="宋体"/>
          <w:snapToGrid w:val="0"/>
          <w:kern w:val="0"/>
        </w:rPr>
        <w:t>□其他说明：</w:t>
      </w:r>
      <w:bookmarkEnd w:id="416"/>
      <w:bookmarkEnd w:id="417"/>
    </w:p>
    <w:p w14:paraId="6A6C4DAE">
      <w:pPr>
        <w:ind w:firstLine="475" w:firstLineChars="197"/>
        <w:rPr>
          <w:rFonts w:hint="eastAsia" w:hAnsi="宋体"/>
          <w:b/>
          <w:bCs/>
          <w:snapToGrid w:val="0"/>
          <w:kern w:val="0"/>
        </w:rPr>
      </w:pPr>
      <w:bookmarkStart w:id="418" w:name="_Toc2631"/>
      <w:bookmarkStart w:id="419" w:name="_Toc26234"/>
      <w:bookmarkStart w:id="420" w:name="_Toc8434"/>
      <w:bookmarkStart w:id="421" w:name="_Toc2648"/>
      <w:r>
        <w:rPr>
          <w:rFonts w:hint="eastAsia" w:hAnsi="宋体"/>
          <w:b/>
          <w:bCs/>
          <w:snapToGrid w:val="0"/>
          <w:kern w:val="0"/>
        </w:rPr>
        <w:t>4.4 现场管理</w:t>
      </w:r>
      <w:bookmarkEnd w:id="418"/>
      <w:bookmarkEnd w:id="419"/>
      <w:bookmarkEnd w:id="420"/>
      <w:bookmarkEnd w:id="421"/>
    </w:p>
    <w:p w14:paraId="57ECF602">
      <w:pPr>
        <w:ind w:firstLine="475" w:firstLineChars="197"/>
        <w:rPr>
          <w:rFonts w:hint="eastAsia" w:hAnsi="宋体"/>
          <w:b/>
          <w:bCs/>
          <w:snapToGrid w:val="0"/>
          <w:kern w:val="0"/>
        </w:rPr>
      </w:pPr>
      <w:bookmarkStart w:id="422" w:name="_Toc29552"/>
      <w:bookmarkStart w:id="423" w:name="_Toc23561"/>
      <w:r>
        <w:rPr>
          <w:rFonts w:hint="eastAsia" w:hAnsi="宋体"/>
          <w:b/>
          <w:bCs/>
          <w:snapToGrid w:val="0"/>
          <w:kern w:val="0"/>
        </w:rPr>
        <w:t xml:space="preserve">4.4.1 </w:t>
      </w:r>
      <w:r>
        <w:rPr>
          <w:rFonts w:hint="eastAsia" w:hAnsi="宋体"/>
          <w:snapToGrid w:val="0"/>
          <w:kern w:val="0"/>
        </w:rPr>
        <w:t>承包人在施工期间应严格遵守国家、广东省、韶关市有关绿色施工、文明施工、噪声扬尘、消防爆破、环境卫生、渣土清运、治安保卫等方面的规定，并建立相应规章制度和保障措施。否则由此造成的经济损失和法律责任，均由承包人承担。</w:t>
      </w:r>
      <w:bookmarkEnd w:id="422"/>
      <w:bookmarkEnd w:id="423"/>
    </w:p>
    <w:p w14:paraId="38A696D9">
      <w:pPr>
        <w:ind w:firstLine="475" w:firstLineChars="197"/>
        <w:rPr>
          <w:rFonts w:hint="eastAsia" w:hAnsi="宋体"/>
          <w:b/>
          <w:bCs/>
          <w:snapToGrid w:val="0"/>
          <w:kern w:val="0"/>
        </w:rPr>
      </w:pPr>
      <w:bookmarkStart w:id="424" w:name="_Toc31742"/>
      <w:bookmarkStart w:id="425" w:name="_Toc515"/>
      <w:r>
        <w:rPr>
          <w:rFonts w:hint="eastAsia" w:hAnsi="宋体"/>
          <w:b/>
          <w:bCs/>
          <w:snapToGrid w:val="0"/>
          <w:kern w:val="0"/>
        </w:rPr>
        <w:t xml:space="preserve">4.4.2 </w:t>
      </w:r>
      <w:r>
        <w:rPr>
          <w:rFonts w:hint="eastAsia" w:hAnsi="宋体"/>
          <w:snapToGrid w:val="0"/>
          <w:kern w:val="0"/>
        </w:rPr>
        <w:t>承包人应按安全施工有关规定，采取严格、科学的安全防护措施，确保施工和人员（包括第三者）的安全，承担由自身安全防护措施不力所造成的安全事故责任和发生的费用。</w:t>
      </w:r>
      <w:bookmarkEnd w:id="424"/>
      <w:bookmarkEnd w:id="425"/>
    </w:p>
    <w:p w14:paraId="69F5E0CA">
      <w:pPr>
        <w:ind w:firstLine="475" w:firstLineChars="197"/>
        <w:rPr>
          <w:rFonts w:hint="eastAsia" w:hAnsi="宋体"/>
          <w:snapToGrid w:val="0"/>
          <w:kern w:val="0"/>
        </w:rPr>
      </w:pPr>
      <w:bookmarkStart w:id="426" w:name="_Toc3765"/>
      <w:bookmarkStart w:id="427" w:name="_Toc26052"/>
      <w:r>
        <w:rPr>
          <w:rFonts w:hint="eastAsia" w:hAnsi="宋体"/>
          <w:b/>
          <w:bCs/>
          <w:snapToGrid w:val="0"/>
          <w:kern w:val="0"/>
        </w:rPr>
        <w:t xml:space="preserve">4.4.3 </w:t>
      </w:r>
      <w:r>
        <w:rPr>
          <w:rFonts w:hint="eastAsia" w:hAnsi="宋体"/>
          <w:snapToGrid w:val="0"/>
          <w:kern w:val="0"/>
        </w:rPr>
        <w:t>为保证施工现场的环境卫生，承包人在本招标项目施工过程中，所有的车辆必须按发包人规定的行车路线行驶。</w:t>
      </w:r>
      <w:bookmarkEnd w:id="426"/>
      <w:bookmarkEnd w:id="427"/>
    </w:p>
    <w:p w14:paraId="18BD9D0C">
      <w:pPr>
        <w:ind w:firstLine="475" w:firstLineChars="197"/>
        <w:rPr>
          <w:rFonts w:hint="eastAsia" w:hAnsi="宋体"/>
          <w:snapToGrid w:val="0"/>
          <w:kern w:val="0"/>
        </w:rPr>
      </w:pPr>
      <w:bookmarkStart w:id="428" w:name="_Toc18557"/>
      <w:bookmarkStart w:id="429" w:name="_Toc24979"/>
      <w:r>
        <w:rPr>
          <w:rFonts w:hint="eastAsia" w:hAnsi="宋体"/>
          <w:b/>
          <w:bCs/>
          <w:snapToGrid w:val="0"/>
          <w:kern w:val="0"/>
        </w:rPr>
        <w:t xml:space="preserve">4.5 </w:t>
      </w:r>
      <w:r>
        <w:rPr>
          <w:rFonts w:hint="eastAsia" w:hAnsi="宋体"/>
          <w:snapToGrid w:val="0"/>
          <w:kern w:val="0"/>
        </w:rPr>
        <w:t>危险性较大的分部分项工程安全管理约定。对危险性较大的工程必须按《危</w:t>
      </w:r>
      <w:bookmarkEnd w:id="428"/>
      <w:bookmarkEnd w:id="429"/>
      <w:r>
        <w:rPr>
          <w:rFonts w:hint="eastAsia" w:hAnsi="宋体"/>
          <w:snapToGrid w:val="0"/>
          <w:kern w:val="0"/>
        </w:rPr>
        <w:t xml:space="preserve"> </w:t>
      </w:r>
    </w:p>
    <w:p w14:paraId="3D3E8BE8">
      <w:pPr>
        <w:rPr>
          <w:rFonts w:hint="eastAsia" w:hAnsi="宋体"/>
          <w:snapToGrid w:val="0"/>
          <w:kern w:val="0"/>
        </w:rPr>
      </w:pPr>
      <w:bookmarkStart w:id="430" w:name="_Toc29096"/>
      <w:bookmarkStart w:id="431" w:name="_Toc13792"/>
      <w:r>
        <w:rPr>
          <w:rFonts w:hint="eastAsia" w:hAnsi="宋体"/>
          <w:snapToGrid w:val="0"/>
          <w:kern w:val="0"/>
        </w:rPr>
        <w:t>险性较大的分部分项工程安全管理规定》（中华人民共和国住房和城乡建设部令第37</w:t>
      </w:r>
      <w:bookmarkEnd w:id="430"/>
      <w:bookmarkEnd w:id="431"/>
      <w:r>
        <w:rPr>
          <w:rFonts w:hint="eastAsia" w:hAnsi="宋体"/>
          <w:snapToGrid w:val="0"/>
          <w:kern w:val="0"/>
        </w:rPr>
        <w:t xml:space="preserve"> </w:t>
      </w:r>
    </w:p>
    <w:p w14:paraId="238A261D">
      <w:pPr>
        <w:rPr>
          <w:rFonts w:hint="eastAsia" w:hAnsi="宋体"/>
          <w:snapToGrid w:val="0"/>
          <w:kern w:val="0"/>
        </w:rPr>
      </w:pPr>
      <w:bookmarkStart w:id="432" w:name="_Toc3999"/>
      <w:bookmarkStart w:id="433" w:name="_Toc27773"/>
      <w:r>
        <w:rPr>
          <w:rFonts w:hint="eastAsia" w:hAnsi="宋体"/>
          <w:snapToGrid w:val="0"/>
          <w:kern w:val="0"/>
        </w:rPr>
        <w:t>号）的规定编制专项施工方案。同时，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w:t>
      </w:r>
      <w:bookmarkEnd w:id="432"/>
      <w:bookmarkEnd w:id="433"/>
    </w:p>
    <w:p w14:paraId="5CA171E0">
      <w:pPr>
        <w:ind w:firstLine="472" w:firstLineChars="197"/>
        <w:rPr>
          <w:rFonts w:hint="eastAsia" w:hAnsi="宋体"/>
          <w:snapToGrid w:val="0"/>
          <w:kern w:val="0"/>
        </w:rPr>
      </w:pPr>
      <w:bookmarkStart w:id="434" w:name="_Toc1498"/>
      <w:bookmarkStart w:id="435" w:name="_Toc3760"/>
      <w:r>
        <w:rPr>
          <w:rFonts w:hint="eastAsia" w:hAnsi="宋体"/>
          <w:snapToGrid w:val="0"/>
          <w:kern w:val="0"/>
        </w:rPr>
        <w:t>承包人应根据《危险性较大的分部分项工程安全管理规定》（住房和城乡建设部令</w:t>
      </w:r>
      <w:bookmarkEnd w:id="434"/>
      <w:bookmarkEnd w:id="435"/>
      <w:bookmarkStart w:id="436" w:name="_Toc7477"/>
      <w:bookmarkStart w:id="437" w:name="_Toc29743"/>
      <w:r>
        <w:rPr>
          <w:rFonts w:hint="eastAsia" w:hAnsi="宋体"/>
          <w:snapToGrid w:val="0"/>
          <w:kern w:val="0"/>
        </w:rPr>
        <w:t>第37号）、《住房和城乡建设部办公厅关于实施〈危险性较大的分部分项工程安全管理规定〉有关问题的通知》（建办质〔2018〕31 号）、《广东省住房和城乡建设厅关于房屋市政工程危险性较大的分部分项工程安全管理的实施细则的通知》（粤建规范〔2019〕2号） 和《广东省安全生产委员会办公室 广东省住房和城乡建设厅关于〈严格落实危险性较大的分部分项工程“六不施工”要求的通知》（粤安办〔2020〕151 号）等有关危险性较大的分部分项工程的法规规定通知，履行建设工程安全生产管理职责。</w:t>
      </w:r>
      <w:bookmarkEnd w:id="436"/>
      <w:bookmarkEnd w:id="437"/>
    </w:p>
    <w:p w14:paraId="6EF29D89">
      <w:pPr>
        <w:ind w:firstLine="475" w:firstLineChars="197"/>
        <w:rPr>
          <w:rFonts w:hint="eastAsia" w:hAnsi="宋体"/>
        </w:rPr>
      </w:pPr>
      <w:bookmarkStart w:id="438" w:name="_Toc4832"/>
      <w:r>
        <w:rPr>
          <w:rFonts w:hint="eastAsia" w:hAnsi="宋体"/>
          <w:b/>
          <w:bCs/>
          <w:snapToGrid w:val="0"/>
          <w:kern w:val="0"/>
        </w:rPr>
        <w:t xml:space="preserve">4.6 </w:t>
      </w:r>
      <w:r>
        <w:rPr>
          <w:rFonts w:hint="eastAsia" w:hAnsi="宋体"/>
        </w:rPr>
        <w:t>承包人在工程实施过程中，按照国家、省、市的相关规定制定相关的专项安全施工方案（如高支模、基坑支护、沉井等），编制专项施工方案报监理人、招标人审批后方可开展专项工程的施工。</w:t>
      </w:r>
      <w:bookmarkEnd w:id="438"/>
    </w:p>
    <w:p w14:paraId="6C928249">
      <w:pPr>
        <w:ind w:firstLine="475" w:firstLineChars="197"/>
        <w:rPr>
          <w:rFonts w:hint="eastAsia" w:hAnsi="宋体"/>
        </w:rPr>
      </w:pPr>
      <w:bookmarkStart w:id="439" w:name="_Toc31383"/>
      <w:bookmarkStart w:id="440" w:name="_Toc28403"/>
      <w:r>
        <w:rPr>
          <w:rFonts w:hint="eastAsia" w:hAnsi="宋体"/>
          <w:b/>
          <w:bCs/>
        </w:rPr>
        <w:t xml:space="preserve">4.7 </w:t>
      </w:r>
      <w:r>
        <w:rPr>
          <w:rFonts w:hint="eastAsia" w:hAnsi="宋体"/>
        </w:rPr>
        <w:t>承包人须按照《韶关市建筑垃圾管理条例》（2021年5月1日起施行），将弃土运至发包人指定的场所，否则发包人有权要求承包人无条件将弃土从违约弃土点运至发包人指定的场所并扣除违约金人民币</w:t>
      </w:r>
      <w:r>
        <w:rPr>
          <w:rFonts w:hint="eastAsia" w:hAnsi="宋体"/>
          <w:u w:val="single"/>
        </w:rPr>
        <w:t>1</w:t>
      </w:r>
      <w:r>
        <w:rPr>
          <w:rFonts w:hint="eastAsia" w:hAnsi="宋体"/>
        </w:rPr>
        <w:t>万元/次。承包人对建筑垃圾须按《韶关市建筑垃圾管理条例》（2021年5月1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w:t>
      </w:r>
      <w:bookmarkEnd w:id="439"/>
      <w:bookmarkEnd w:id="440"/>
    </w:p>
    <w:p w14:paraId="4B9D0B8D">
      <w:pPr>
        <w:ind w:firstLine="475" w:firstLineChars="197"/>
        <w:rPr>
          <w:rFonts w:hint="eastAsia" w:hAnsi="宋体"/>
        </w:rPr>
      </w:pPr>
      <w:bookmarkStart w:id="441" w:name="_Toc5903"/>
      <w:bookmarkStart w:id="442" w:name="_Toc310"/>
      <w:r>
        <w:rPr>
          <w:rFonts w:hint="eastAsia" w:hAnsi="宋体"/>
          <w:b/>
          <w:bCs/>
        </w:rPr>
        <w:t xml:space="preserve">4.8 </w:t>
      </w:r>
      <w:r>
        <w:rPr>
          <w:rFonts w:hint="eastAsia" w:hAnsi="宋体"/>
        </w:rPr>
        <w:t>工程竣工验收后15日内，承包人应按市城建档案馆的要求（质量、数量），</w:t>
      </w:r>
      <w:bookmarkEnd w:id="441"/>
      <w:bookmarkEnd w:id="442"/>
      <w:r>
        <w:rPr>
          <w:rFonts w:hint="eastAsia" w:hAnsi="宋体"/>
        </w:rPr>
        <w:t xml:space="preserve"> </w:t>
      </w:r>
    </w:p>
    <w:p w14:paraId="62D102C0">
      <w:pPr>
        <w:rPr>
          <w:rFonts w:hint="eastAsia" w:hAnsi="宋体"/>
        </w:rPr>
      </w:pPr>
      <w:bookmarkStart w:id="443" w:name="_Toc10794"/>
      <w:bookmarkStart w:id="444" w:name="_Toc32126"/>
      <w:r>
        <w:rPr>
          <w:rFonts w:hint="eastAsia" w:hAnsi="宋体"/>
        </w:rPr>
        <w:t>将编制成册的施工档案资料（含声像档案和电子档案）提供给发包人、市城建档案馆、</w:t>
      </w:r>
      <w:bookmarkEnd w:id="443"/>
      <w:bookmarkEnd w:id="444"/>
      <w:r>
        <w:rPr>
          <w:rFonts w:hint="eastAsia" w:hAnsi="宋体"/>
        </w:rPr>
        <w:t xml:space="preserve"> </w:t>
      </w:r>
    </w:p>
    <w:p w14:paraId="07637A7C">
      <w:pPr>
        <w:rPr>
          <w:rFonts w:hint="eastAsia" w:hAnsi="宋体"/>
        </w:rPr>
      </w:pPr>
      <w:bookmarkStart w:id="445" w:name="_Toc8284"/>
      <w:bookmarkStart w:id="446" w:name="_Toc22147"/>
      <w:r>
        <w:rPr>
          <w:rFonts w:hint="eastAsia" w:hAnsi="宋体"/>
        </w:rPr>
        <w:t>市住建管理局、管养单位及监理单位，并承担档案涉及的所有费用（制作标准和相关要求按市城建档案馆的有关规定执行）。承包人提交符合城建档案馆要求的竣工资料经发包人确认签收后，即可办理工程结算手续。</w:t>
      </w:r>
      <w:bookmarkEnd w:id="445"/>
      <w:bookmarkEnd w:id="446"/>
    </w:p>
    <w:p w14:paraId="0E5EAEC2">
      <w:pPr>
        <w:ind w:firstLine="475" w:firstLineChars="197"/>
        <w:rPr>
          <w:rFonts w:hint="eastAsia" w:hAnsi="宋体"/>
        </w:rPr>
      </w:pPr>
      <w:bookmarkStart w:id="447" w:name="_Toc18574"/>
      <w:bookmarkStart w:id="448" w:name="_Toc22574"/>
      <w:r>
        <w:rPr>
          <w:rFonts w:hint="eastAsia" w:hAnsi="宋体"/>
          <w:b/>
          <w:bCs/>
        </w:rPr>
        <w:t xml:space="preserve">4.9 </w:t>
      </w:r>
      <w:r>
        <w:rPr>
          <w:rFonts w:hint="eastAsia" w:hAnsi="宋体"/>
        </w:rPr>
        <w:t>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w:t>
      </w:r>
      <w:bookmarkEnd w:id="447"/>
      <w:bookmarkEnd w:id="448"/>
      <w:r>
        <w:rPr>
          <w:rFonts w:hint="eastAsia" w:hAnsi="宋体"/>
        </w:rPr>
        <w:t xml:space="preserve"> </w:t>
      </w:r>
    </w:p>
    <w:p w14:paraId="6162F56F">
      <w:pPr>
        <w:ind w:firstLine="475" w:firstLineChars="197"/>
        <w:rPr>
          <w:rFonts w:hint="eastAsia" w:hAnsi="宋体"/>
        </w:rPr>
      </w:pPr>
      <w:bookmarkStart w:id="449" w:name="_Toc1820"/>
      <w:bookmarkStart w:id="450" w:name="_Toc9893"/>
      <w:r>
        <w:rPr>
          <w:rFonts w:hint="eastAsia" w:hAnsi="宋体"/>
          <w:b/>
          <w:bCs/>
        </w:rPr>
        <w:t xml:space="preserve">4.10 </w:t>
      </w:r>
      <w:r>
        <w:rPr>
          <w:rFonts w:hint="eastAsia" w:hAnsi="宋体"/>
        </w:rPr>
        <w:t>承包人中标后必须按规定及时缴交工人工资保证金、环境噪声排污费等。</w:t>
      </w:r>
      <w:bookmarkEnd w:id="449"/>
      <w:bookmarkEnd w:id="450"/>
      <w:r>
        <w:rPr>
          <w:rFonts w:hint="eastAsia" w:hAnsi="宋体"/>
        </w:rPr>
        <w:t xml:space="preserve"> </w:t>
      </w:r>
    </w:p>
    <w:p w14:paraId="2C6E7C91">
      <w:pPr>
        <w:ind w:firstLine="475" w:firstLineChars="197"/>
        <w:rPr>
          <w:rFonts w:hint="eastAsia" w:hAnsi="宋体"/>
        </w:rPr>
      </w:pPr>
      <w:bookmarkStart w:id="451" w:name="_Toc5099"/>
      <w:bookmarkStart w:id="452" w:name="_Toc24469"/>
      <w:r>
        <w:rPr>
          <w:rFonts w:hint="eastAsia" w:hAnsi="宋体"/>
          <w:b/>
          <w:bCs/>
        </w:rPr>
        <w:t xml:space="preserve">4.11 </w:t>
      </w:r>
      <w:r>
        <w:rPr>
          <w:rFonts w:hint="eastAsia" w:hAnsi="宋体"/>
        </w:rPr>
        <w:t>工程质量保修期按《中华人民共和国建筑法》和《建设工程质量管理条例》</w:t>
      </w:r>
      <w:bookmarkEnd w:id="451"/>
      <w:bookmarkEnd w:id="452"/>
      <w:r>
        <w:rPr>
          <w:rFonts w:hint="eastAsia" w:hAnsi="宋体"/>
        </w:rPr>
        <w:t xml:space="preserve"> </w:t>
      </w:r>
    </w:p>
    <w:p w14:paraId="25AD86F7">
      <w:pPr>
        <w:rPr>
          <w:rFonts w:hint="eastAsia" w:hAnsi="宋体"/>
        </w:rPr>
      </w:pPr>
      <w:bookmarkStart w:id="453" w:name="_Toc25390"/>
      <w:r>
        <w:rPr>
          <w:rFonts w:hint="eastAsia" w:hAnsi="宋体"/>
        </w:rPr>
        <w:t>等相关规定实施。</w:t>
      </w:r>
      <w:bookmarkEnd w:id="453"/>
      <w:r>
        <w:rPr>
          <w:rFonts w:hint="eastAsia" w:hAnsi="宋体"/>
        </w:rPr>
        <w:t xml:space="preserve"> </w:t>
      </w:r>
    </w:p>
    <w:p w14:paraId="0D1F85BB">
      <w:pPr>
        <w:ind w:firstLine="475" w:firstLineChars="197"/>
        <w:rPr>
          <w:rFonts w:hint="eastAsia" w:hAnsi="宋体"/>
        </w:rPr>
      </w:pPr>
      <w:bookmarkStart w:id="454" w:name="_Toc24212"/>
      <w:r>
        <w:rPr>
          <w:rFonts w:hint="eastAsia" w:hAnsi="宋体"/>
          <w:b/>
          <w:bCs/>
        </w:rPr>
        <w:t xml:space="preserve">4.12 </w:t>
      </w:r>
      <w:r>
        <w:rPr>
          <w:rFonts w:hint="eastAsia" w:hAnsi="宋体"/>
        </w:rPr>
        <w:t>如项目实施过程中发生了工程变更及工程签证，承包人需根据发包人的规定        完善工程变更签证相关程序。</w:t>
      </w:r>
      <w:bookmarkEnd w:id="454"/>
      <w:r>
        <w:rPr>
          <w:rFonts w:hint="eastAsia" w:hAnsi="宋体"/>
        </w:rPr>
        <w:t xml:space="preserve"> </w:t>
      </w:r>
    </w:p>
    <w:p w14:paraId="0D59FBCD">
      <w:pPr>
        <w:ind w:firstLine="475" w:firstLineChars="197"/>
        <w:rPr>
          <w:rFonts w:hint="eastAsia" w:hAnsi="宋体"/>
        </w:rPr>
      </w:pPr>
      <w:bookmarkStart w:id="455" w:name="_Toc26085"/>
      <w:r>
        <w:rPr>
          <w:rFonts w:hint="eastAsia" w:hAnsi="宋体"/>
          <w:b/>
          <w:bCs/>
        </w:rPr>
        <w:t xml:space="preserve">4.13 </w:t>
      </w:r>
      <w:r>
        <w:rPr>
          <w:rFonts w:hint="eastAsia" w:hAnsi="宋体"/>
        </w:rPr>
        <w:t>承包人需按相关规定要求，设置本工程符合相关要求的永久性标牌及规划公示牌，投标人在投标报价时综合考虑在报价内，发包人不另行支付该部分费用。</w:t>
      </w:r>
      <w:bookmarkEnd w:id="455"/>
      <w:r>
        <w:rPr>
          <w:rFonts w:hint="eastAsia" w:hAnsi="宋体"/>
        </w:rPr>
        <w:t xml:space="preserve"> </w:t>
      </w:r>
    </w:p>
    <w:p w14:paraId="501DA909">
      <w:pPr>
        <w:ind w:firstLine="475" w:firstLineChars="197"/>
        <w:rPr>
          <w:rFonts w:hint="eastAsia" w:hAnsi="宋体"/>
        </w:rPr>
      </w:pPr>
      <w:bookmarkStart w:id="456" w:name="_Toc24661"/>
      <w:r>
        <w:rPr>
          <w:rFonts w:hint="eastAsia" w:hAnsi="宋体"/>
          <w:b/>
          <w:bCs/>
        </w:rPr>
        <w:t xml:space="preserve">4.14 </w:t>
      </w:r>
      <w:r>
        <w:rPr>
          <w:rFonts w:hint="eastAsia" w:hAnsi="宋体"/>
        </w:rPr>
        <w:t>承包人应在项目所在地住建管理部门办理诚信登记，发包人将严格按住建管理部门诚信登记管理办法对承包人履约情况进行考核。</w:t>
      </w:r>
      <w:bookmarkEnd w:id="456"/>
      <w:r>
        <w:rPr>
          <w:rFonts w:hint="eastAsia" w:hAnsi="宋体"/>
        </w:rPr>
        <w:t xml:space="preserve"> </w:t>
      </w:r>
    </w:p>
    <w:p w14:paraId="1CEA95A3">
      <w:pPr>
        <w:ind w:firstLine="475" w:firstLineChars="197"/>
        <w:rPr>
          <w:rFonts w:hint="eastAsia" w:hAnsi="宋体"/>
          <w:snapToGrid w:val="0"/>
          <w:kern w:val="0"/>
        </w:rPr>
      </w:pPr>
      <w:bookmarkStart w:id="457" w:name="_Toc19085"/>
      <w:r>
        <w:rPr>
          <w:rFonts w:hint="eastAsia" w:hAnsi="宋体"/>
          <w:b/>
          <w:bCs/>
        </w:rPr>
        <w:t xml:space="preserve">4.15 </w:t>
      </w:r>
      <w:r>
        <w:rPr>
          <w:rFonts w:hint="eastAsia" w:hAnsi="宋体"/>
        </w:rPr>
        <w:t>承包人应按韶关市住房和城乡建设管理局、韶关市人力资源和社会保障局等职能部门对用工实名制的相关规定，落实工人及相关软硬件设施要求。</w:t>
      </w:r>
      <w:bookmarkEnd w:id="457"/>
    </w:p>
    <w:p w14:paraId="6E7B601C">
      <w:pPr>
        <w:pStyle w:val="52"/>
        <w:ind w:firstLine="482"/>
        <w:rPr>
          <w:rFonts w:hint="eastAsia"/>
        </w:rPr>
      </w:pPr>
      <w:bookmarkStart w:id="458" w:name="_Toc8000"/>
      <w:r>
        <w:rPr>
          <w:rFonts w:hint="eastAsia"/>
          <w:b/>
          <w:bCs/>
          <w:snapToGrid w:val="0"/>
          <w:kern w:val="0"/>
        </w:rPr>
        <w:t>4.</w:t>
      </w:r>
      <w:bookmarkEnd w:id="367"/>
      <w:bookmarkEnd w:id="368"/>
      <w:bookmarkEnd w:id="369"/>
      <w:bookmarkEnd w:id="370"/>
      <w:bookmarkEnd w:id="371"/>
      <w:bookmarkEnd w:id="458"/>
      <w:r>
        <w:rPr>
          <w:rFonts w:hint="eastAsia"/>
          <w:b/>
          <w:bCs/>
          <w:snapToGrid w:val="0"/>
          <w:kern w:val="0"/>
        </w:rPr>
        <w:t xml:space="preserve">16 </w:t>
      </w:r>
      <w:r>
        <w:rPr>
          <w:rFonts w:hint="eastAsia"/>
        </w:rPr>
        <w:t>用工违约</w:t>
      </w:r>
    </w:p>
    <w:p w14:paraId="0E230078">
      <w:pPr>
        <w:pStyle w:val="52"/>
        <w:ind w:firstLine="482"/>
        <w:rPr>
          <w:rFonts w:hint="eastAsia"/>
        </w:rPr>
      </w:pPr>
      <w:r>
        <w:rPr>
          <w:rFonts w:hint="eastAsia"/>
          <w:b/>
          <w:bCs/>
        </w:rPr>
        <w:t xml:space="preserve">4.16.1 </w:t>
      </w:r>
      <w:r>
        <w:rPr>
          <w:rFonts w:hint="eastAsia"/>
        </w:rPr>
        <w:t>在合同履行期间，如经查实承包人拖欠或克扣农民工或劳务工工资，导致劳资纠纷或发生危及公共安全或正常社会秩序的事件的，按承包人违约处理，承包人应按拖欠或克扣农民工工资总金额2倍的标准向发包人支付惩罚性违约金。</w:t>
      </w:r>
    </w:p>
    <w:p w14:paraId="6FD5BD74">
      <w:pPr>
        <w:pStyle w:val="52"/>
        <w:ind w:firstLine="482"/>
        <w:rPr>
          <w:rFonts w:hint="eastAsia"/>
        </w:rPr>
      </w:pPr>
      <w:r>
        <w:rPr>
          <w:rFonts w:hint="eastAsia"/>
          <w:b/>
          <w:bCs/>
        </w:rPr>
        <w:t xml:space="preserve">4.17 </w:t>
      </w:r>
      <w:r>
        <w:rPr>
          <w:rFonts w:hint="eastAsia"/>
        </w:rPr>
        <w:t>安全文明施工违约</w:t>
      </w:r>
    </w:p>
    <w:p w14:paraId="75D1FE61">
      <w:pPr>
        <w:pStyle w:val="52"/>
        <w:ind w:firstLine="482"/>
        <w:rPr>
          <w:rFonts w:hint="eastAsia"/>
        </w:rPr>
      </w:pPr>
      <w:r>
        <w:rPr>
          <w:rFonts w:hint="eastAsia"/>
          <w:b/>
          <w:bCs/>
        </w:rPr>
        <w:t>4.17.1</w:t>
      </w:r>
      <w:r>
        <w:rPr>
          <w:rFonts w:hint="eastAsia"/>
        </w:rPr>
        <w:t xml:space="preserve"> 如承包人违反国家、广东省、发包人及合同关于安全文明施工的规定，但尚未造成安全责任事故，承包人应及时改正行为并赔偿相关方的损失，如未及时整改，针对每一违约行为每持续一天应支付违约金500元。</w:t>
      </w:r>
    </w:p>
    <w:p w14:paraId="1418B72B">
      <w:pPr>
        <w:pStyle w:val="52"/>
        <w:ind w:firstLine="482"/>
        <w:rPr>
          <w:rFonts w:hint="eastAsia"/>
        </w:rPr>
      </w:pPr>
      <w:r>
        <w:rPr>
          <w:rFonts w:hint="eastAsia"/>
          <w:b/>
          <w:bCs/>
        </w:rPr>
        <w:t>4.17.2</w:t>
      </w:r>
      <w:r>
        <w:rPr>
          <w:rFonts w:hint="eastAsia"/>
        </w:rPr>
        <w:t xml:space="preserve"> 承包人必须接受发包人及监理单位组织的安全、文明施工的检查，检查中的不合格项目、安全隐患必须在规定的时间内整改完成，否则每拖延一天处以1000元违约金，直至整改合格。</w:t>
      </w:r>
    </w:p>
    <w:p w14:paraId="13379DB4">
      <w:pPr>
        <w:pStyle w:val="52"/>
        <w:ind w:firstLine="482"/>
        <w:rPr>
          <w:rFonts w:hint="eastAsia"/>
        </w:rPr>
      </w:pPr>
      <w:r>
        <w:rPr>
          <w:rFonts w:hint="eastAsia"/>
          <w:b/>
          <w:bCs/>
        </w:rPr>
        <w:t xml:space="preserve">4.18 </w:t>
      </w:r>
      <w:r>
        <w:rPr>
          <w:rFonts w:hint="eastAsia"/>
        </w:rPr>
        <w:t>其他违约</w:t>
      </w:r>
    </w:p>
    <w:p w14:paraId="57A9B4E4">
      <w:pPr>
        <w:pStyle w:val="52"/>
        <w:ind w:firstLine="482"/>
        <w:rPr>
          <w:rFonts w:hint="eastAsia"/>
        </w:rPr>
      </w:pPr>
      <w:r>
        <w:rPr>
          <w:rFonts w:hint="eastAsia"/>
          <w:b/>
          <w:bCs/>
        </w:rPr>
        <w:t xml:space="preserve">4.18.1 </w:t>
      </w:r>
      <w:r>
        <w:rPr>
          <w:rFonts w:hint="eastAsia"/>
        </w:rPr>
        <w:t>承包人安排在施工场地的主要管理人员（主要指项目经理、项目技术负责人和专职安全生产管理人员）应与承包人投标文件承诺的名单一致，并保持相对稳定。未经总监理工程师批准，上述人员不应无故不到位或被替换。若确实无法到位或需替换，需经总监理工程师审核并报发包人批准后，承包人可安排同等资历的人员替换。</w:t>
      </w:r>
    </w:p>
    <w:p w14:paraId="248D7901">
      <w:pPr>
        <w:pStyle w:val="52"/>
        <w:ind w:firstLine="482"/>
        <w:rPr>
          <w:rFonts w:hint="eastAsia"/>
        </w:rPr>
      </w:pPr>
      <w:r>
        <w:rPr>
          <w:rFonts w:hint="eastAsia"/>
          <w:b/>
          <w:bCs/>
        </w:rPr>
        <w:t xml:space="preserve">4.18.2 </w:t>
      </w:r>
      <w:r>
        <w:rPr>
          <w:rFonts w:hint="eastAsia"/>
        </w:rPr>
        <w:t>中标人施工资料必须与形象进度同步。</w:t>
      </w:r>
    </w:p>
    <w:p w14:paraId="6267DD99">
      <w:pPr>
        <w:pStyle w:val="52"/>
        <w:ind w:firstLine="482"/>
        <w:rPr>
          <w:rFonts w:hint="eastAsia"/>
        </w:rPr>
      </w:pPr>
      <w:r>
        <w:rPr>
          <w:rFonts w:hint="eastAsia"/>
          <w:b/>
          <w:bCs/>
        </w:rPr>
        <w:t>4.18.3</w:t>
      </w:r>
      <w:r>
        <w:rPr>
          <w:rFonts w:hint="eastAsia"/>
        </w:rPr>
        <w:t xml:space="preserve"> 承包人没有正当合理的理由中途退场，可扣除承包人已递交的所有履约风险保证金。</w:t>
      </w:r>
    </w:p>
    <w:p w14:paraId="45AD264D">
      <w:pPr>
        <w:pStyle w:val="52"/>
        <w:ind w:firstLine="482"/>
        <w:rPr>
          <w:rFonts w:hint="eastAsia"/>
        </w:rPr>
      </w:pPr>
      <w:bookmarkStart w:id="459" w:name="_Toc620"/>
      <w:r>
        <w:rPr>
          <w:rFonts w:hint="eastAsia"/>
          <w:b/>
          <w:bCs/>
        </w:rPr>
        <w:t xml:space="preserve">4.18.4 </w:t>
      </w:r>
      <w:r>
        <w:rPr>
          <w:rFonts w:hint="eastAsia"/>
        </w:rPr>
        <w:t>承包人因上述违约行为而须支付的违约金在工程进度款中或结算时一并扣除。</w:t>
      </w:r>
      <w:bookmarkEnd w:id="459"/>
    </w:p>
    <w:p w14:paraId="1EA32B25">
      <w:pPr>
        <w:pStyle w:val="49"/>
        <w:keepNext w:val="0"/>
        <w:keepLines w:val="0"/>
        <w:widowControl w:val="0"/>
        <w:wordWrap w:val="0"/>
        <w:adjustRightInd w:val="0"/>
        <w:snapToGrid w:val="0"/>
        <w:spacing w:before="0" w:after="0"/>
        <w:ind w:firstLine="0"/>
        <w:jc w:val="both"/>
        <w:outlineLvl w:val="9"/>
        <w:rPr>
          <w:rFonts w:hint="eastAsia" w:ascii="宋体" w:hAnsi="宋体" w:cs="宋体"/>
          <w:szCs w:val="24"/>
        </w:rPr>
      </w:pPr>
      <w:r>
        <w:rPr>
          <w:rFonts w:hint="eastAsia" w:ascii="宋体" w:hAnsi="宋体" w:cs="宋体"/>
          <w:b/>
          <w:bCs/>
          <w:szCs w:val="24"/>
        </w:rPr>
        <w:t>5.信息化设备采购及安装总体要求</w:t>
      </w:r>
    </w:p>
    <w:p w14:paraId="74BAF5BE">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5.1 </w:t>
      </w:r>
      <w:r>
        <w:rPr>
          <w:rFonts w:hint="eastAsia" w:ascii="宋体" w:hAnsi="宋体" w:cs="宋体"/>
          <w:szCs w:val="24"/>
        </w:rPr>
        <w:t>承包人需完成本招标项目内相关设备的采购及安装服务。</w:t>
      </w:r>
    </w:p>
    <w:p w14:paraId="437268EB">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5.2 </w:t>
      </w:r>
      <w:r>
        <w:rPr>
          <w:rFonts w:hint="eastAsia" w:ascii="宋体" w:hAnsi="宋体" w:cs="宋体"/>
          <w:szCs w:val="24"/>
        </w:rPr>
        <w:t>承包人应根据发包人提出的具体业务和管理需求，提交详细的设备采购及安装实施方案。方案经发包人书面确认后方可实施。承包人应按期完成全部硬件设备供货、现场安装、管线敷设及系统整体联调联试工作，保障各子系统按时稳定投用，实现全部既定业务功能；系统各项技术性能指标不得低于招标文件技术要求，达成安防监测、权限管控、设备感知、能耗监测、集中控制、数据统计告警等业务目标，保障各子系统间数据交互通畅，系统运行稳定可靠，满足发包人智慧化日常管理使用要求，并通过项目竣工验收。所有智能化子系统须与本项目现有消防系统完全兼容，支持协议互通、数据对接及应急联动功能，可实现消防报警信号触发后，对应安防、照明、能耗、门禁、监控等系统的联动响应，保障火灾应急场景下系统整体协同运作，满足国家消防规范及项目安全管理要求。</w:t>
      </w:r>
    </w:p>
    <w:p w14:paraId="172FD29F">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b/>
          <w:bCs/>
          <w:szCs w:val="24"/>
        </w:rPr>
      </w:pPr>
      <w:r>
        <w:rPr>
          <w:rFonts w:hint="eastAsia" w:ascii="宋体" w:hAnsi="宋体" w:cs="宋体"/>
          <w:b/>
          <w:bCs/>
          <w:szCs w:val="24"/>
        </w:rPr>
        <w:t xml:space="preserve">5.3 </w:t>
      </w:r>
      <w:r>
        <w:rPr>
          <w:rFonts w:hint="eastAsia" w:ascii="宋体" w:hAnsi="宋体" w:cs="宋体"/>
          <w:szCs w:val="24"/>
        </w:rPr>
        <w:t>本项目全部智能化子系统设备分批运送至发包人指定现场后，承包人应会同发包人（或监理单位）共同开展开箱验收，并签署开箱验收记录。若设备出现数量短缺、规格型号与招标文件不符、外观破损等问题，发包人有权予以拒收，由此造成的全部责任、费用及损失均由承包人承担</w:t>
      </w:r>
    </w:p>
    <w:p w14:paraId="20AFC9AC">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5.4 </w:t>
      </w:r>
      <w:r>
        <w:rPr>
          <w:rFonts w:hint="eastAsia" w:ascii="宋体" w:hAnsi="宋体" w:cs="宋体"/>
          <w:szCs w:val="24"/>
        </w:rPr>
        <w:t>在项目实施阶段，承包人负责本招标项目智能化设备的采购供货、安装、调试及各子系统整体联调工作；项目完工后，承包人须对本项目全部智能化系统开展全面测试，并提交完整测试报告；最终验收前，承包人应配合第三方验收测评单位完成全项目验收检测，项目验收通过后向发包人提交正式验收报告。系统测试须包含消防系统联动专项测试，确保所有智能化设备与消防系统联动逻辑准确、响应及时、运行可靠，联动功能全部达标后方可通过验收。</w:t>
      </w:r>
    </w:p>
    <w:p w14:paraId="12D88FE6">
      <w:pPr>
        <w:pStyle w:val="49"/>
        <w:keepNext w:val="0"/>
        <w:keepLines w:val="0"/>
        <w:widowControl w:val="0"/>
        <w:wordWrap w:val="0"/>
        <w:adjustRightInd w:val="0"/>
        <w:snapToGrid w:val="0"/>
        <w:spacing w:before="0" w:after="0"/>
        <w:ind w:firstLine="0"/>
        <w:jc w:val="both"/>
        <w:outlineLvl w:val="9"/>
        <w:rPr>
          <w:rFonts w:hint="eastAsia" w:ascii="宋体" w:hAnsi="宋体" w:cs="宋体"/>
          <w:szCs w:val="24"/>
        </w:rPr>
      </w:pPr>
      <w:r>
        <w:rPr>
          <w:rFonts w:hint="eastAsia" w:ascii="宋体" w:hAnsi="宋体" w:cs="宋体"/>
          <w:b/>
          <w:bCs/>
          <w:szCs w:val="24"/>
        </w:rPr>
        <w:t>6. 信息化材料设备采购要求</w:t>
      </w:r>
    </w:p>
    <w:p w14:paraId="191517D0">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b/>
          <w:bCs/>
          <w:szCs w:val="24"/>
        </w:rPr>
      </w:pPr>
      <w:r>
        <w:rPr>
          <w:rFonts w:hint="eastAsia" w:ascii="宋体" w:hAnsi="宋体" w:cs="宋体"/>
          <w:b/>
          <w:bCs/>
          <w:szCs w:val="24"/>
        </w:rPr>
        <w:t>6.1 材料设备质量要求：信息化材料设备不低于强制标准所列的要求，一般参考采用《主要材料设备参考品牌表》中所列的参考品牌，若不采用参考品牌，经招标人同意，且必须购买不低于《主要材料设备参考品牌表》中所列的参考品牌标准的材料设备。主要材料必须先提供样板或相关资料给招标人同意确定其规格、型号、颜色、等级等，并经检测部门检测合格方可使用，所有材料必须使用合格产品。</w:t>
      </w:r>
    </w:p>
    <w:p w14:paraId="593F5550">
      <w:pPr>
        <w:pStyle w:val="49"/>
        <w:widowControl w:val="0"/>
        <w:wordWrap w:val="0"/>
        <w:adjustRightInd w:val="0"/>
        <w:snapToGrid w:val="0"/>
        <w:ind w:firstLine="480" w:firstLineChars="200"/>
        <w:jc w:val="both"/>
        <w:outlineLvl w:val="9"/>
        <w:rPr>
          <w:rFonts w:hint="eastAsia" w:ascii="宋体" w:hAnsi="宋体" w:cs="宋体"/>
          <w:szCs w:val="24"/>
        </w:rPr>
      </w:pPr>
      <w:r>
        <w:rPr>
          <w:rFonts w:hint="eastAsia" w:ascii="宋体" w:hAnsi="宋体" w:cs="宋体"/>
          <w:szCs w:val="24"/>
        </w:rPr>
        <w:t>所有采购的智能化设备、软硬件系统须具备消防系统兼容适配能力，支持与项目消防报警系统、应急广播系统、消防联动控制系统实现数据互通、信号对接及联动触发，设备接口、通信协议须满足现行消防规范及项目整体智能化联动要求，不得存在系统孤岛、协议不兼容、无法联动等问题。</w:t>
      </w:r>
    </w:p>
    <w:tbl>
      <w:tblPr>
        <w:tblStyle w:val="20"/>
        <w:tblW w:w="9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2174"/>
        <w:gridCol w:w="1471"/>
        <w:gridCol w:w="3425"/>
        <w:gridCol w:w="1900"/>
      </w:tblGrid>
      <w:tr w14:paraId="61E7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9500" w:type="dxa"/>
            <w:gridSpan w:val="5"/>
            <w:vAlign w:val="center"/>
          </w:tcPr>
          <w:p w14:paraId="6DB8B43A">
            <w:pPr>
              <w:widowControl w:val="0"/>
              <w:adjustRightInd w:val="0"/>
              <w:jc w:val="center"/>
              <w:rPr>
                <w:rFonts w:hint="eastAsia" w:hAnsi="宋体"/>
                <w:b/>
                <w:bCs/>
                <w:kern w:val="0"/>
              </w:rPr>
            </w:pPr>
            <w:r>
              <w:rPr>
                <w:rFonts w:hint="eastAsia" w:hAnsi="宋体"/>
                <w:b/>
                <w:bCs/>
                <w:kern w:val="0"/>
              </w:rPr>
              <w:t>主要材料设备参考品牌表</w:t>
            </w:r>
          </w:p>
        </w:tc>
      </w:tr>
      <w:tr w14:paraId="03FD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vAlign w:val="center"/>
          </w:tcPr>
          <w:p w14:paraId="788137AD">
            <w:pPr>
              <w:widowControl w:val="0"/>
              <w:adjustRightInd w:val="0"/>
              <w:jc w:val="center"/>
              <w:rPr>
                <w:rFonts w:hint="eastAsia" w:hAnsi="宋体"/>
                <w:b/>
                <w:bCs/>
                <w:kern w:val="0"/>
              </w:rPr>
            </w:pPr>
            <w:r>
              <w:rPr>
                <w:rFonts w:hint="eastAsia" w:hAnsi="宋体"/>
                <w:b/>
                <w:bCs/>
                <w:kern w:val="0"/>
              </w:rPr>
              <w:t>序号</w:t>
            </w:r>
          </w:p>
        </w:tc>
        <w:tc>
          <w:tcPr>
            <w:tcW w:w="2174" w:type="dxa"/>
            <w:vAlign w:val="center"/>
          </w:tcPr>
          <w:p w14:paraId="1041D10D">
            <w:pPr>
              <w:widowControl w:val="0"/>
              <w:adjustRightInd w:val="0"/>
              <w:jc w:val="center"/>
              <w:rPr>
                <w:rFonts w:hint="eastAsia" w:hAnsi="宋体"/>
                <w:b/>
                <w:bCs/>
                <w:kern w:val="0"/>
              </w:rPr>
            </w:pPr>
            <w:r>
              <w:rPr>
                <w:rFonts w:hint="eastAsia" w:hAnsi="宋体"/>
                <w:b/>
                <w:bCs/>
                <w:kern w:val="0"/>
              </w:rPr>
              <w:t>材料设备名称</w:t>
            </w:r>
          </w:p>
        </w:tc>
        <w:tc>
          <w:tcPr>
            <w:tcW w:w="1471" w:type="dxa"/>
            <w:vAlign w:val="center"/>
          </w:tcPr>
          <w:p w14:paraId="47FD9419">
            <w:pPr>
              <w:widowControl w:val="0"/>
              <w:adjustRightInd w:val="0"/>
              <w:jc w:val="center"/>
              <w:rPr>
                <w:rFonts w:hint="eastAsia" w:hAnsi="宋体"/>
                <w:b/>
                <w:bCs/>
                <w:kern w:val="0"/>
              </w:rPr>
            </w:pPr>
            <w:r>
              <w:rPr>
                <w:rFonts w:hint="eastAsia" w:hAnsi="宋体"/>
                <w:b/>
                <w:bCs/>
                <w:kern w:val="0"/>
              </w:rPr>
              <w:t>规格、型号等特殊要求</w:t>
            </w:r>
          </w:p>
        </w:tc>
        <w:tc>
          <w:tcPr>
            <w:tcW w:w="3425" w:type="dxa"/>
            <w:vAlign w:val="center"/>
          </w:tcPr>
          <w:p w14:paraId="66275BA5">
            <w:pPr>
              <w:widowControl w:val="0"/>
              <w:adjustRightInd w:val="0"/>
              <w:jc w:val="center"/>
              <w:rPr>
                <w:rFonts w:hint="eastAsia" w:hAnsi="宋体"/>
                <w:b/>
                <w:bCs/>
                <w:kern w:val="0"/>
              </w:rPr>
            </w:pPr>
            <w:r>
              <w:rPr>
                <w:rFonts w:hint="eastAsia" w:hAnsi="宋体"/>
                <w:b/>
                <w:bCs/>
                <w:kern w:val="0"/>
              </w:rPr>
              <w:t>品牌名称参考标准</w:t>
            </w:r>
          </w:p>
          <w:p w14:paraId="0EF3BD9C">
            <w:pPr>
              <w:widowControl w:val="0"/>
              <w:adjustRightInd w:val="0"/>
              <w:jc w:val="center"/>
              <w:rPr>
                <w:rFonts w:hint="eastAsia" w:hAnsi="宋体"/>
                <w:b/>
                <w:bCs/>
                <w:kern w:val="0"/>
              </w:rPr>
            </w:pPr>
            <w:r>
              <w:rPr>
                <w:rFonts w:hint="eastAsia" w:hAnsi="宋体"/>
                <w:b/>
                <w:bCs/>
                <w:kern w:val="0"/>
              </w:rPr>
              <w:t>（或相当于）</w:t>
            </w:r>
          </w:p>
        </w:tc>
        <w:tc>
          <w:tcPr>
            <w:tcW w:w="1900" w:type="dxa"/>
            <w:vAlign w:val="center"/>
          </w:tcPr>
          <w:p w14:paraId="37BDB608">
            <w:pPr>
              <w:widowControl w:val="0"/>
              <w:adjustRightInd w:val="0"/>
              <w:jc w:val="center"/>
              <w:rPr>
                <w:rFonts w:hint="eastAsia" w:hAnsi="宋体"/>
                <w:b/>
                <w:bCs/>
                <w:kern w:val="0"/>
              </w:rPr>
            </w:pPr>
            <w:r>
              <w:rPr>
                <w:rFonts w:hint="eastAsia" w:hAnsi="宋体"/>
                <w:b/>
                <w:bCs/>
                <w:kern w:val="0"/>
              </w:rPr>
              <w:t>备注</w:t>
            </w:r>
          </w:p>
        </w:tc>
      </w:tr>
      <w:tr w14:paraId="480E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30" w:type="dxa"/>
            <w:vAlign w:val="center"/>
          </w:tcPr>
          <w:p w14:paraId="1FABD219">
            <w:pPr>
              <w:widowControl w:val="0"/>
              <w:adjustRightInd w:val="0"/>
              <w:jc w:val="center"/>
              <w:rPr>
                <w:rFonts w:hint="eastAsia" w:hAnsi="宋体"/>
                <w:kern w:val="0"/>
              </w:rPr>
            </w:pPr>
            <w:r>
              <w:rPr>
                <w:rFonts w:hint="eastAsia" w:hAnsi="宋体"/>
                <w:kern w:val="0"/>
              </w:rPr>
              <w:t>1</w:t>
            </w:r>
          </w:p>
        </w:tc>
        <w:tc>
          <w:tcPr>
            <w:tcW w:w="2174" w:type="dxa"/>
            <w:vAlign w:val="center"/>
          </w:tcPr>
          <w:p w14:paraId="1DA7DA15">
            <w:pPr>
              <w:widowControl/>
              <w:jc w:val="center"/>
              <w:textAlignment w:val="center"/>
              <w:rPr>
                <w:rFonts w:hint="eastAsia" w:hAnsi="宋体"/>
                <w:kern w:val="0"/>
              </w:rPr>
            </w:pPr>
            <w:r>
              <w:rPr>
                <w:rFonts w:hint="eastAsia" w:hAnsi="宋体"/>
                <w:kern w:val="0"/>
                <w:lang w:bidi="ar"/>
              </w:rPr>
              <w:t>弱电信息箱</w:t>
            </w:r>
          </w:p>
        </w:tc>
        <w:tc>
          <w:tcPr>
            <w:tcW w:w="1471" w:type="dxa"/>
            <w:vAlign w:val="center"/>
          </w:tcPr>
          <w:p w14:paraId="4B6618AB">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26CD2513">
            <w:pPr>
              <w:widowControl/>
              <w:jc w:val="center"/>
              <w:textAlignment w:val="center"/>
              <w:rPr>
                <w:rFonts w:hint="eastAsia" w:hAnsi="宋体"/>
                <w:kern w:val="0"/>
              </w:rPr>
            </w:pPr>
            <w:r>
              <w:rPr>
                <w:rFonts w:hint="eastAsia" w:hAnsi="宋体"/>
                <w:kern w:val="0"/>
                <w:lang w:bidi="ar"/>
              </w:rPr>
              <w:t>一舟、普天天纪、宇洪科技</w:t>
            </w:r>
          </w:p>
        </w:tc>
        <w:tc>
          <w:tcPr>
            <w:tcW w:w="1900" w:type="dxa"/>
            <w:vAlign w:val="center"/>
          </w:tcPr>
          <w:p w14:paraId="27141249">
            <w:pPr>
              <w:widowControl/>
              <w:jc w:val="center"/>
              <w:textAlignment w:val="auto"/>
              <w:rPr>
                <w:rFonts w:hint="eastAsia" w:hAnsi="宋体"/>
                <w:kern w:val="0"/>
              </w:rPr>
            </w:pPr>
          </w:p>
        </w:tc>
      </w:tr>
      <w:tr w14:paraId="415A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65B38287">
            <w:pPr>
              <w:widowControl w:val="0"/>
              <w:adjustRightInd w:val="0"/>
              <w:jc w:val="center"/>
              <w:rPr>
                <w:rFonts w:hint="eastAsia" w:hAnsi="宋体"/>
                <w:kern w:val="0"/>
              </w:rPr>
            </w:pPr>
            <w:r>
              <w:rPr>
                <w:rFonts w:hint="eastAsia" w:hAnsi="宋体"/>
                <w:kern w:val="0"/>
              </w:rPr>
              <w:t>2</w:t>
            </w:r>
          </w:p>
        </w:tc>
        <w:tc>
          <w:tcPr>
            <w:tcW w:w="2174" w:type="dxa"/>
            <w:vAlign w:val="center"/>
          </w:tcPr>
          <w:p w14:paraId="32A35F11">
            <w:pPr>
              <w:widowControl/>
              <w:jc w:val="center"/>
              <w:textAlignment w:val="center"/>
              <w:rPr>
                <w:rFonts w:hint="eastAsia" w:hAnsi="宋体"/>
                <w:kern w:val="0"/>
              </w:rPr>
            </w:pPr>
            <w:r>
              <w:rPr>
                <w:rFonts w:hint="eastAsia" w:hAnsi="宋体"/>
                <w:kern w:val="0"/>
                <w:lang w:bidi="ar"/>
              </w:rPr>
              <w:t>网线</w:t>
            </w:r>
          </w:p>
        </w:tc>
        <w:tc>
          <w:tcPr>
            <w:tcW w:w="1471" w:type="dxa"/>
            <w:vAlign w:val="center"/>
          </w:tcPr>
          <w:p w14:paraId="4082E9D7">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7951AEB3">
            <w:pPr>
              <w:widowControl/>
              <w:jc w:val="center"/>
              <w:textAlignment w:val="center"/>
              <w:rPr>
                <w:rFonts w:hint="eastAsia" w:hAnsi="宋体"/>
                <w:kern w:val="0"/>
              </w:rPr>
            </w:pPr>
            <w:r>
              <w:rPr>
                <w:rFonts w:hint="eastAsia" w:hAnsi="宋体"/>
                <w:kern w:val="0"/>
                <w:lang w:bidi="ar"/>
              </w:rPr>
              <w:t>一舟、普天天纪、宇洪科技</w:t>
            </w:r>
          </w:p>
        </w:tc>
        <w:tc>
          <w:tcPr>
            <w:tcW w:w="1900" w:type="dxa"/>
            <w:vAlign w:val="center"/>
          </w:tcPr>
          <w:p w14:paraId="4DA801D0">
            <w:pPr>
              <w:widowControl/>
              <w:jc w:val="center"/>
              <w:textAlignment w:val="auto"/>
              <w:rPr>
                <w:rFonts w:hint="eastAsia" w:hAnsi="宋体"/>
                <w:kern w:val="0"/>
              </w:rPr>
            </w:pPr>
          </w:p>
        </w:tc>
      </w:tr>
      <w:tr w14:paraId="1D024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425E6806">
            <w:pPr>
              <w:widowControl w:val="0"/>
              <w:adjustRightInd w:val="0"/>
              <w:jc w:val="center"/>
              <w:rPr>
                <w:rFonts w:hint="eastAsia" w:hAnsi="宋体"/>
                <w:kern w:val="0"/>
              </w:rPr>
            </w:pPr>
            <w:r>
              <w:rPr>
                <w:rFonts w:hint="eastAsia" w:hAnsi="宋体"/>
                <w:kern w:val="0"/>
              </w:rPr>
              <w:t>3</w:t>
            </w:r>
          </w:p>
        </w:tc>
        <w:tc>
          <w:tcPr>
            <w:tcW w:w="2174" w:type="dxa"/>
            <w:vAlign w:val="center"/>
          </w:tcPr>
          <w:p w14:paraId="3AC97DAE">
            <w:pPr>
              <w:widowControl/>
              <w:jc w:val="center"/>
              <w:textAlignment w:val="center"/>
              <w:rPr>
                <w:rFonts w:hint="eastAsia" w:hAnsi="宋体"/>
                <w:kern w:val="0"/>
              </w:rPr>
            </w:pPr>
            <w:r>
              <w:rPr>
                <w:rFonts w:hint="eastAsia" w:hAnsi="宋体"/>
                <w:kern w:val="0"/>
                <w:lang w:bidi="ar"/>
              </w:rPr>
              <w:t>光缆</w:t>
            </w:r>
          </w:p>
        </w:tc>
        <w:tc>
          <w:tcPr>
            <w:tcW w:w="1471" w:type="dxa"/>
            <w:vAlign w:val="center"/>
          </w:tcPr>
          <w:p w14:paraId="5EE74B55">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6A41F4E3">
            <w:pPr>
              <w:widowControl/>
              <w:jc w:val="center"/>
              <w:textAlignment w:val="center"/>
              <w:rPr>
                <w:rFonts w:hint="eastAsia" w:hAnsi="宋体"/>
                <w:kern w:val="0"/>
              </w:rPr>
            </w:pPr>
            <w:r>
              <w:rPr>
                <w:rFonts w:hint="eastAsia" w:hAnsi="宋体"/>
                <w:kern w:val="0"/>
                <w:lang w:bidi="ar"/>
              </w:rPr>
              <w:t>一舟、普天天纪、宇洪科技</w:t>
            </w:r>
          </w:p>
        </w:tc>
        <w:tc>
          <w:tcPr>
            <w:tcW w:w="1900" w:type="dxa"/>
            <w:vAlign w:val="center"/>
          </w:tcPr>
          <w:p w14:paraId="7F5C8FB6">
            <w:pPr>
              <w:widowControl/>
              <w:jc w:val="center"/>
              <w:textAlignment w:val="auto"/>
              <w:rPr>
                <w:rFonts w:hint="eastAsia" w:hAnsi="宋体"/>
                <w:kern w:val="0"/>
              </w:rPr>
            </w:pPr>
          </w:p>
        </w:tc>
      </w:tr>
      <w:tr w14:paraId="305F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7B187C9E">
            <w:pPr>
              <w:widowControl w:val="0"/>
              <w:adjustRightInd w:val="0"/>
              <w:jc w:val="center"/>
              <w:rPr>
                <w:rFonts w:hint="eastAsia" w:hAnsi="宋体"/>
                <w:kern w:val="0"/>
              </w:rPr>
            </w:pPr>
            <w:r>
              <w:rPr>
                <w:rFonts w:hint="eastAsia" w:hAnsi="宋体"/>
                <w:kern w:val="0"/>
              </w:rPr>
              <w:t>4</w:t>
            </w:r>
          </w:p>
        </w:tc>
        <w:tc>
          <w:tcPr>
            <w:tcW w:w="2174" w:type="dxa"/>
            <w:vAlign w:val="center"/>
          </w:tcPr>
          <w:p w14:paraId="7571AB49">
            <w:pPr>
              <w:widowControl/>
              <w:jc w:val="center"/>
              <w:textAlignment w:val="center"/>
              <w:rPr>
                <w:rFonts w:hint="eastAsia" w:hAnsi="宋体"/>
                <w:kern w:val="0"/>
              </w:rPr>
            </w:pPr>
            <w:r>
              <w:rPr>
                <w:rFonts w:hint="eastAsia" w:hAnsi="宋体"/>
                <w:kern w:val="0"/>
                <w:lang w:bidi="ar"/>
              </w:rPr>
              <w:t>交换机</w:t>
            </w:r>
          </w:p>
        </w:tc>
        <w:tc>
          <w:tcPr>
            <w:tcW w:w="1471" w:type="dxa"/>
            <w:vAlign w:val="center"/>
          </w:tcPr>
          <w:p w14:paraId="24C51352">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3782F7BF">
            <w:pPr>
              <w:widowControl/>
              <w:jc w:val="center"/>
              <w:textAlignment w:val="center"/>
              <w:rPr>
                <w:rFonts w:hint="eastAsia" w:hAnsi="宋体"/>
                <w:kern w:val="0"/>
              </w:rPr>
            </w:pPr>
            <w:r>
              <w:rPr>
                <w:rFonts w:hint="eastAsia" w:hAnsi="宋体"/>
                <w:kern w:val="0"/>
                <w:lang w:bidi="ar"/>
              </w:rPr>
              <w:t>华为、华三、锐捷</w:t>
            </w:r>
          </w:p>
        </w:tc>
        <w:tc>
          <w:tcPr>
            <w:tcW w:w="1900" w:type="dxa"/>
            <w:vAlign w:val="center"/>
          </w:tcPr>
          <w:p w14:paraId="366734C0">
            <w:pPr>
              <w:widowControl/>
              <w:jc w:val="center"/>
              <w:textAlignment w:val="center"/>
              <w:rPr>
                <w:rFonts w:hint="eastAsia" w:hAnsi="宋体"/>
                <w:kern w:val="0"/>
              </w:rPr>
            </w:pPr>
          </w:p>
        </w:tc>
      </w:tr>
      <w:tr w14:paraId="1DF3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5B9E45A5">
            <w:pPr>
              <w:widowControl w:val="0"/>
              <w:adjustRightInd w:val="0"/>
              <w:jc w:val="center"/>
              <w:rPr>
                <w:rFonts w:hint="eastAsia" w:hAnsi="宋体"/>
                <w:kern w:val="0"/>
              </w:rPr>
            </w:pPr>
            <w:r>
              <w:rPr>
                <w:rFonts w:hint="eastAsia" w:hAnsi="宋体"/>
                <w:kern w:val="0"/>
              </w:rPr>
              <w:t>5</w:t>
            </w:r>
          </w:p>
        </w:tc>
        <w:tc>
          <w:tcPr>
            <w:tcW w:w="2174" w:type="dxa"/>
            <w:vAlign w:val="center"/>
          </w:tcPr>
          <w:p w14:paraId="61E2C227">
            <w:pPr>
              <w:widowControl/>
              <w:jc w:val="center"/>
              <w:textAlignment w:val="center"/>
              <w:rPr>
                <w:rFonts w:hint="eastAsia" w:hAnsi="宋体"/>
                <w:kern w:val="0"/>
              </w:rPr>
            </w:pPr>
            <w:r>
              <w:rPr>
                <w:rFonts w:hint="eastAsia" w:hAnsi="宋体"/>
                <w:kern w:val="0"/>
                <w:lang w:bidi="ar"/>
              </w:rPr>
              <w:t>监控摄像机</w:t>
            </w:r>
          </w:p>
        </w:tc>
        <w:tc>
          <w:tcPr>
            <w:tcW w:w="1471" w:type="dxa"/>
            <w:vAlign w:val="center"/>
          </w:tcPr>
          <w:p w14:paraId="533F2BA2">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3979BB0C">
            <w:pPr>
              <w:widowControl/>
              <w:jc w:val="center"/>
              <w:textAlignment w:val="center"/>
              <w:rPr>
                <w:rFonts w:hint="eastAsia" w:hAnsi="宋体"/>
                <w:kern w:val="0"/>
              </w:rPr>
            </w:pPr>
            <w:r>
              <w:rPr>
                <w:rFonts w:hint="eastAsia" w:hAnsi="宋体"/>
                <w:kern w:val="0"/>
                <w:lang w:bidi="ar"/>
              </w:rPr>
              <w:t>海康威视、大华、宇视</w:t>
            </w:r>
          </w:p>
        </w:tc>
        <w:tc>
          <w:tcPr>
            <w:tcW w:w="1900" w:type="dxa"/>
            <w:vAlign w:val="center"/>
          </w:tcPr>
          <w:p w14:paraId="0E0982FF">
            <w:pPr>
              <w:widowControl/>
              <w:jc w:val="center"/>
              <w:textAlignment w:val="center"/>
              <w:rPr>
                <w:rFonts w:hint="eastAsia" w:hAnsi="宋体"/>
                <w:kern w:val="0"/>
              </w:rPr>
            </w:pPr>
          </w:p>
        </w:tc>
      </w:tr>
      <w:tr w14:paraId="7A63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11B7D57D">
            <w:pPr>
              <w:widowControl w:val="0"/>
              <w:adjustRightInd w:val="0"/>
              <w:jc w:val="center"/>
              <w:rPr>
                <w:rFonts w:hint="eastAsia" w:hAnsi="宋体"/>
                <w:kern w:val="0"/>
              </w:rPr>
            </w:pPr>
            <w:r>
              <w:rPr>
                <w:rFonts w:hint="eastAsia" w:hAnsi="宋体"/>
                <w:kern w:val="0"/>
              </w:rPr>
              <w:t>6</w:t>
            </w:r>
          </w:p>
        </w:tc>
        <w:tc>
          <w:tcPr>
            <w:tcW w:w="2174" w:type="dxa"/>
            <w:vAlign w:val="center"/>
          </w:tcPr>
          <w:p w14:paraId="5485DC53">
            <w:pPr>
              <w:widowControl/>
              <w:jc w:val="center"/>
              <w:textAlignment w:val="center"/>
              <w:rPr>
                <w:rFonts w:hint="eastAsia" w:hAnsi="宋体"/>
                <w:kern w:val="0"/>
              </w:rPr>
            </w:pPr>
            <w:r>
              <w:rPr>
                <w:rFonts w:hint="eastAsia" w:hAnsi="宋体"/>
                <w:kern w:val="0"/>
                <w:lang w:bidi="ar"/>
              </w:rPr>
              <w:t>36盘位存储主机（满配8T硬盘）</w:t>
            </w:r>
          </w:p>
        </w:tc>
        <w:tc>
          <w:tcPr>
            <w:tcW w:w="1471" w:type="dxa"/>
            <w:vAlign w:val="center"/>
          </w:tcPr>
          <w:p w14:paraId="2E6233AC">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086506F5">
            <w:pPr>
              <w:widowControl/>
              <w:jc w:val="center"/>
              <w:textAlignment w:val="center"/>
              <w:rPr>
                <w:rFonts w:hint="eastAsia" w:hAnsi="宋体"/>
                <w:kern w:val="0"/>
              </w:rPr>
            </w:pPr>
            <w:r>
              <w:rPr>
                <w:rFonts w:hint="eastAsia" w:hAnsi="宋体"/>
                <w:kern w:val="0"/>
                <w:lang w:bidi="ar"/>
              </w:rPr>
              <w:t>海康威视、大华、宇视</w:t>
            </w:r>
          </w:p>
        </w:tc>
        <w:tc>
          <w:tcPr>
            <w:tcW w:w="1900" w:type="dxa"/>
            <w:vAlign w:val="center"/>
          </w:tcPr>
          <w:p w14:paraId="26C8A4B2">
            <w:pPr>
              <w:widowControl/>
              <w:jc w:val="center"/>
              <w:textAlignment w:val="center"/>
              <w:rPr>
                <w:rFonts w:hint="eastAsia" w:hAnsi="宋体"/>
                <w:kern w:val="0"/>
              </w:rPr>
            </w:pPr>
          </w:p>
        </w:tc>
      </w:tr>
      <w:tr w14:paraId="2AED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438180A0">
            <w:pPr>
              <w:widowControl w:val="0"/>
              <w:adjustRightInd w:val="0"/>
              <w:jc w:val="center"/>
              <w:rPr>
                <w:rFonts w:hint="eastAsia" w:hAnsi="宋体"/>
                <w:kern w:val="0"/>
              </w:rPr>
            </w:pPr>
            <w:r>
              <w:rPr>
                <w:rFonts w:hint="eastAsia" w:hAnsi="宋体"/>
                <w:kern w:val="0"/>
              </w:rPr>
              <w:t>7</w:t>
            </w:r>
          </w:p>
        </w:tc>
        <w:tc>
          <w:tcPr>
            <w:tcW w:w="2174" w:type="dxa"/>
            <w:vAlign w:val="center"/>
          </w:tcPr>
          <w:p w14:paraId="5A305F0D">
            <w:pPr>
              <w:widowControl/>
              <w:jc w:val="center"/>
              <w:textAlignment w:val="center"/>
              <w:rPr>
                <w:rFonts w:hint="eastAsia" w:hAnsi="宋体"/>
                <w:kern w:val="0"/>
              </w:rPr>
            </w:pPr>
            <w:r>
              <w:rPr>
                <w:rFonts w:hint="eastAsia" w:hAnsi="宋体"/>
                <w:kern w:val="0"/>
                <w:lang w:bidi="ar"/>
              </w:rPr>
              <w:t>无线巡更系统</w:t>
            </w:r>
          </w:p>
        </w:tc>
        <w:tc>
          <w:tcPr>
            <w:tcW w:w="1471" w:type="dxa"/>
            <w:vAlign w:val="center"/>
          </w:tcPr>
          <w:p w14:paraId="0CBB6944">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0CC20CA1">
            <w:pPr>
              <w:widowControl/>
              <w:jc w:val="center"/>
              <w:textAlignment w:val="center"/>
              <w:rPr>
                <w:rFonts w:hint="eastAsia" w:hAnsi="宋体"/>
                <w:kern w:val="0"/>
              </w:rPr>
            </w:pPr>
            <w:r>
              <w:rPr>
                <w:rFonts w:hint="eastAsia" w:hAnsi="宋体"/>
                <w:kern w:val="0"/>
                <w:lang w:bidi="ar"/>
              </w:rPr>
              <w:t>兰德华、金万码、中研安创</w:t>
            </w:r>
          </w:p>
        </w:tc>
        <w:tc>
          <w:tcPr>
            <w:tcW w:w="1900" w:type="dxa"/>
            <w:vAlign w:val="center"/>
          </w:tcPr>
          <w:p w14:paraId="0B6B3570">
            <w:pPr>
              <w:widowControl/>
              <w:jc w:val="center"/>
              <w:textAlignment w:val="center"/>
              <w:rPr>
                <w:rFonts w:hint="eastAsia" w:hAnsi="宋体"/>
                <w:kern w:val="0"/>
              </w:rPr>
            </w:pPr>
          </w:p>
        </w:tc>
      </w:tr>
      <w:tr w14:paraId="52CC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7DC3C2D3">
            <w:pPr>
              <w:widowControl w:val="0"/>
              <w:adjustRightInd w:val="0"/>
              <w:jc w:val="center"/>
              <w:rPr>
                <w:rFonts w:hint="eastAsia" w:hAnsi="宋体"/>
                <w:kern w:val="0"/>
              </w:rPr>
            </w:pPr>
            <w:r>
              <w:rPr>
                <w:rFonts w:hint="eastAsia" w:hAnsi="宋体"/>
                <w:kern w:val="0"/>
              </w:rPr>
              <w:t>8</w:t>
            </w:r>
          </w:p>
        </w:tc>
        <w:tc>
          <w:tcPr>
            <w:tcW w:w="2174" w:type="dxa"/>
            <w:vAlign w:val="center"/>
          </w:tcPr>
          <w:p w14:paraId="5A16023A">
            <w:pPr>
              <w:widowControl/>
              <w:jc w:val="center"/>
              <w:textAlignment w:val="center"/>
              <w:rPr>
                <w:rFonts w:hint="eastAsia" w:hAnsi="宋体"/>
                <w:kern w:val="0"/>
              </w:rPr>
            </w:pPr>
            <w:r>
              <w:rPr>
                <w:rFonts w:hint="eastAsia" w:hAnsi="宋体"/>
                <w:kern w:val="0"/>
                <w:lang w:bidi="ar"/>
              </w:rPr>
              <w:t>建筑设备管理系统</w:t>
            </w:r>
          </w:p>
        </w:tc>
        <w:tc>
          <w:tcPr>
            <w:tcW w:w="1471" w:type="dxa"/>
            <w:vAlign w:val="center"/>
          </w:tcPr>
          <w:p w14:paraId="1960425D">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1CDEB4B7">
            <w:pPr>
              <w:widowControl/>
              <w:jc w:val="center"/>
              <w:textAlignment w:val="center"/>
              <w:rPr>
                <w:rFonts w:hint="eastAsia" w:hAnsi="宋体"/>
                <w:kern w:val="0"/>
              </w:rPr>
            </w:pPr>
            <w:r>
              <w:rPr>
                <w:rFonts w:hint="eastAsia" w:hAnsi="宋体"/>
                <w:kern w:val="0"/>
                <w:lang w:bidi="ar"/>
              </w:rPr>
              <w:t>西门子、施耐德、霍尼韦尔</w:t>
            </w:r>
          </w:p>
        </w:tc>
        <w:tc>
          <w:tcPr>
            <w:tcW w:w="1900" w:type="dxa"/>
            <w:vAlign w:val="center"/>
          </w:tcPr>
          <w:p w14:paraId="26C79C89">
            <w:pPr>
              <w:widowControl/>
              <w:jc w:val="center"/>
              <w:textAlignment w:val="center"/>
              <w:rPr>
                <w:rFonts w:hint="eastAsia" w:hAnsi="宋体"/>
                <w:kern w:val="0"/>
              </w:rPr>
            </w:pPr>
          </w:p>
        </w:tc>
      </w:tr>
      <w:tr w14:paraId="6BE5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1BE9B561">
            <w:pPr>
              <w:widowControl w:val="0"/>
              <w:adjustRightInd w:val="0"/>
              <w:jc w:val="center"/>
              <w:rPr>
                <w:rFonts w:hint="eastAsia" w:hAnsi="宋体"/>
                <w:kern w:val="0"/>
              </w:rPr>
            </w:pPr>
            <w:r>
              <w:rPr>
                <w:rFonts w:hint="eastAsia" w:hAnsi="宋体"/>
                <w:kern w:val="0"/>
              </w:rPr>
              <w:t>9</w:t>
            </w:r>
          </w:p>
        </w:tc>
        <w:tc>
          <w:tcPr>
            <w:tcW w:w="2174" w:type="dxa"/>
            <w:vAlign w:val="center"/>
          </w:tcPr>
          <w:p w14:paraId="6FDFF9E4">
            <w:pPr>
              <w:widowControl/>
              <w:jc w:val="center"/>
              <w:textAlignment w:val="center"/>
              <w:rPr>
                <w:rFonts w:hint="eastAsia" w:hAnsi="宋体"/>
                <w:kern w:val="0"/>
              </w:rPr>
            </w:pPr>
            <w:r>
              <w:rPr>
                <w:rFonts w:hint="eastAsia" w:hAnsi="宋体"/>
                <w:kern w:val="0"/>
                <w:lang w:bidi="ar"/>
              </w:rPr>
              <w:t>能效管理系统</w:t>
            </w:r>
          </w:p>
        </w:tc>
        <w:tc>
          <w:tcPr>
            <w:tcW w:w="1471" w:type="dxa"/>
            <w:vAlign w:val="center"/>
          </w:tcPr>
          <w:p w14:paraId="7E828DBF">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7184C435">
            <w:pPr>
              <w:widowControl/>
              <w:jc w:val="center"/>
              <w:textAlignment w:val="center"/>
              <w:rPr>
                <w:rFonts w:hint="eastAsia" w:hAnsi="宋体"/>
                <w:kern w:val="0"/>
              </w:rPr>
            </w:pPr>
            <w:r>
              <w:rPr>
                <w:rFonts w:hint="eastAsia" w:hAnsi="宋体"/>
                <w:kern w:val="0"/>
                <w:lang w:bidi="ar"/>
              </w:rPr>
              <w:t>西门子、施耐德、霍尼韦尔</w:t>
            </w:r>
          </w:p>
        </w:tc>
        <w:tc>
          <w:tcPr>
            <w:tcW w:w="1900" w:type="dxa"/>
            <w:vAlign w:val="center"/>
          </w:tcPr>
          <w:p w14:paraId="0D680DC8">
            <w:pPr>
              <w:widowControl/>
              <w:jc w:val="center"/>
              <w:textAlignment w:val="center"/>
              <w:rPr>
                <w:rFonts w:hint="eastAsia" w:hAnsi="宋体"/>
                <w:kern w:val="0"/>
              </w:rPr>
            </w:pPr>
          </w:p>
        </w:tc>
      </w:tr>
      <w:tr w14:paraId="6F875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5CA48128">
            <w:pPr>
              <w:widowControl w:val="0"/>
              <w:adjustRightInd w:val="0"/>
              <w:jc w:val="center"/>
              <w:rPr>
                <w:rFonts w:hint="eastAsia" w:hAnsi="宋体"/>
                <w:kern w:val="0"/>
              </w:rPr>
            </w:pPr>
            <w:r>
              <w:rPr>
                <w:rFonts w:hint="eastAsia" w:hAnsi="宋体"/>
                <w:kern w:val="0"/>
              </w:rPr>
              <w:t>10</w:t>
            </w:r>
          </w:p>
        </w:tc>
        <w:tc>
          <w:tcPr>
            <w:tcW w:w="2174" w:type="dxa"/>
            <w:vAlign w:val="center"/>
          </w:tcPr>
          <w:p w14:paraId="2DFBC8DA">
            <w:pPr>
              <w:widowControl/>
              <w:jc w:val="center"/>
              <w:textAlignment w:val="center"/>
              <w:rPr>
                <w:rFonts w:hint="eastAsia" w:hAnsi="宋体"/>
                <w:kern w:val="0"/>
              </w:rPr>
            </w:pPr>
            <w:r>
              <w:rPr>
                <w:rFonts w:hint="eastAsia" w:hAnsi="宋体"/>
                <w:kern w:val="0"/>
                <w:lang w:bidi="ar"/>
              </w:rPr>
              <w:t>工作站</w:t>
            </w:r>
          </w:p>
        </w:tc>
        <w:tc>
          <w:tcPr>
            <w:tcW w:w="1471" w:type="dxa"/>
            <w:vAlign w:val="center"/>
          </w:tcPr>
          <w:p w14:paraId="2F552D8F">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71C1A309">
            <w:pPr>
              <w:widowControl/>
              <w:jc w:val="center"/>
              <w:textAlignment w:val="center"/>
              <w:rPr>
                <w:rFonts w:hint="eastAsia" w:hAnsi="宋体"/>
                <w:kern w:val="0"/>
              </w:rPr>
            </w:pPr>
            <w:r>
              <w:rPr>
                <w:rFonts w:hint="eastAsia" w:hAnsi="宋体"/>
                <w:kern w:val="0"/>
                <w:lang w:bidi="ar"/>
              </w:rPr>
              <w:t>戴尔、惠普、联想</w:t>
            </w:r>
          </w:p>
        </w:tc>
        <w:tc>
          <w:tcPr>
            <w:tcW w:w="1900" w:type="dxa"/>
            <w:vAlign w:val="center"/>
          </w:tcPr>
          <w:p w14:paraId="2C98732D">
            <w:pPr>
              <w:widowControl/>
              <w:jc w:val="center"/>
              <w:textAlignment w:val="auto"/>
              <w:rPr>
                <w:rFonts w:hint="eastAsia" w:hAnsi="宋体"/>
                <w:kern w:val="0"/>
              </w:rPr>
            </w:pPr>
          </w:p>
        </w:tc>
      </w:tr>
      <w:tr w14:paraId="1CDC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360295A1">
            <w:pPr>
              <w:widowControl w:val="0"/>
              <w:adjustRightInd w:val="0"/>
              <w:jc w:val="center"/>
              <w:rPr>
                <w:rFonts w:hint="eastAsia" w:hAnsi="宋体"/>
                <w:kern w:val="0"/>
              </w:rPr>
            </w:pPr>
            <w:r>
              <w:rPr>
                <w:rFonts w:hint="eastAsia" w:hAnsi="宋体"/>
                <w:kern w:val="0"/>
              </w:rPr>
              <w:t>11</w:t>
            </w:r>
          </w:p>
        </w:tc>
        <w:tc>
          <w:tcPr>
            <w:tcW w:w="2174" w:type="dxa"/>
            <w:vAlign w:val="center"/>
          </w:tcPr>
          <w:p w14:paraId="1C3316D6">
            <w:pPr>
              <w:widowControl/>
              <w:jc w:val="center"/>
              <w:textAlignment w:val="center"/>
              <w:rPr>
                <w:rFonts w:hint="eastAsia" w:hAnsi="宋体"/>
                <w:kern w:val="0"/>
              </w:rPr>
            </w:pPr>
            <w:r>
              <w:rPr>
                <w:rFonts w:hint="eastAsia" w:hAnsi="宋体"/>
                <w:kern w:val="0"/>
                <w:lang w:bidi="ar"/>
              </w:rPr>
              <w:t>服务器</w:t>
            </w:r>
          </w:p>
        </w:tc>
        <w:tc>
          <w:tcPr>
            <w:tcW w:w="1471" w:type="dxa"/>
            <w:vAlign w:val="center"/>
          </w:tcPr>
          <w:p w14:paraId="6EFFBEF2">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644D3463">
            <w:pPr>
              <w:widowControl/>
              <w:jc w:val="center"/>
              <w:textAlignment w:val="center"/>
              <w:rPr>
                <w:rFonts w:hint="eastAsia" w:hAnsi="宋体"/>
                <w:kern w:val="0"/>
              </w:rPr>
            </w:pPr>
            <w:r>
              <w:rPr>
                <w:rFonts w:hint="eastAsia" w:hAnsi="宋体"/>
                <w:kern w:val="0"/>
                <w:lang w:bidi="ar"/>
              </w:rPr>
              <w:t>戴尔、惠普、联想</w:t>
            </w:r>
          </w:p>
        </w:tc>
        <w:tc>
          <w:tcPr>
            <w:tcW w:w="1900" w:type="dxa"/>
            <w:vAlign w:val="center"/>
          </w:tcPr>
          <w:p w14:paraId="00DF9827">
            <w:pPr>
              <w:widowControl/>
              <w:jc w:val="center"/>
              <w:textAlignment w:val="auto"/>
              <w:rPr>
                <w:rFonts w:hint="eastAsia" w:hAnsi="宋体"/>
                <w:kern w:val="0"/>
              </w:rPr>
            </w:pPr>
          </w:p>
        </w:tc>
      </w:tr>
      <w:tr w14:paraId="093E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5E24AD46">
            <w:pPr>
              <w:widowControl w:val="0"/>
              <w:adjustRightInd w:val="0"/>
              <w:jc w:val="center"/>
              <w:rPr>
                <w:rFonts w:hint="eastAsia" w:hAnsi="宋体"/>
                <w:kern w:val="0"/>
              </w:rPr>
            </w:pPr>
            <w:r>
              <w:rPr>
                <w:rFonts w:hint="eastAsia" w:hAnsi="宋体"/>
                <w:kern w:val="0"/>
              </w:rPr>
              <w:t>12</w:t>
            </w:r>
          </w:p>
        </w:tc>
        <w:tc>
          <w:tcPr>
            <w:tcW w:w="2174" w:type="dxa"/>
            <w:vAlign w:val="center"/>
          </w:tcPr>
          <w:p w14:paraId="401845E3">
            <w:pPr>
              <w:widowControl/>
              <w:jc w:val="center"/>
              <w:textAlignment w:val="center"/>
              <w:rPr>
                <w:rFonts w:hint="eastAsia" w:hAnsi="宋体"/>
                <w:kern w:val="0"/>
              </w:rPr>
            </w:pPr>
            <w:r>
              <w:rPr>
                <w:rFonts w:hint="eastAsia" w:hAnsi="宋体"/>
                <w:kern w:val="0"/>
                <w:lang w:bidi="ar"/>
              </w:rPr>
              <w:t>打印机</w:t>
            </w:r>
          </w:p>
        </w:tc>
        <w:tc>
          <w:tcPr>
            <w:tcW w:w="1471" w:type="dxa"/>
            <w:vAlign w:val="center"/>
          </w:tcPr>
          <w:p w14:paraId="7E3DE363">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27494993">
            <w:pPr>
              <w:widowControl/>
              <w:jc w:val="center"/>
              <w:textAlignment w:val="center"/>
              <w:rPr>
                <w:rFonts w:hint="eastAsia" w:hAnsi="宋体"/>
                <w:kern w:val="0"/>
              </w:rPr>
            </w:pPr>
            <w:r>
              <w:rPr>
                <w:rFonts w:hint="eastAsia" w:hAnsi="宋体"/>
                <w:kern w:val="0"/>
                <w:lang w:bidi="ar"/>
              </w:rPr>
              <w:t>惠普、佳能、联想</w:t>
            </w:r>
          </w:p>
        </w:tc>
        <w:tc>
          <w:tcPr>
            <w:tcW w:w="1900" w:type="dxa"/>
            <w:vAlign w:val="center"/>
          </w:tcPr>
          <w:p w14:paraId="41984293">
            <w:pPr>
              <w:widowControl/>
              <w:jc w:val="center"/>
              <w:textAlignment w:val="auto"/>
              <w:rPr>
                <w:rFonts w:hint="eastAsia" w:hAnsi="宋体"/>
                <w:kern w:val="0"/>
              </w:rPr>
            </w:pPr>
          </w:p>
        </w:tc>
      </w:tr>
      <w:tr w14:paraId="3ED8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4D4DB599">
            <w:pPr>
              <w:widowControl w:val="0"/>
              <w:adjustRightInd w:val="0"/>
              <w:jc w:val="center"/>
              <w:rPr>
                <w:rFonts w:hint="eastAsia" w:hAnsi="宋体"/>
                <w:kern w:val="0"/>
              </w:rPr>
            </w:pPr>
            <w:r>
              <w:rPr>
                <w:rFonts w:hint="eastAsia" w:hAnsi="宋体"/>
                <w:kern w:val="0"/>
              </w:rPr>
              <w:t>13</w:t>
            </w:r>
          </w:p>
        </w:tc>
        <w:tc>
          <w:tcPr>
            <w:tcW w:w="2174" w:type="dxa"/>
            <w:vAlign w:val="center"/>
          </w:tcPr>
          <w:p w14:paraId="393C8A4C">
            <w:pPr>
              <w:widowControl/>
              <w:jc w:val="center"/>
              <w:textAlignment w:val="center"/>
              <w:rPr>
                <w:rFonts w:hint="eastAsia" w:hAnsi="宋体"/>
                <w:kern w:val="0"/>
              </w:rPr>
            </w:pPr>
            <w:r>
              <w:rPr>
                <w:rFonts w:hint="eastAsia" w:hAnsi="宋体"/>
                <w:kern w:val="0"/>
                <w:lang w:bidi="ar"/>
              </w:rPr>
              <w:t>机柜</w:t>
            </w:r>
          </w:p>
        </w:tc>
        <w:tc>
          <w:tcPr>
            <w:tcW w:w="1471" w:type="dxa"/>
            <w:vAlign w:val="center"/>
          </w:tcPr>
          <w:p w14:paraId="629245AC">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2087BCF1">
            <w:pPr>
              <w:widowControl/>
              <w:jc w:val="center"/>
              <w:textAlignment w:val="center"/>
              <w:rPr>
                <w:rFonts w:hint="eastAsia" w:hAnsi="宋体"/>
                <w:kern w:val="0"/>
              </w:rPr>
            </w:pPr>
            <w:r>
              <w:rPr>
                <w:rFonts w:hint="eastAsia" w:hAnsi="宋体"/>
                <w:kern w:val="0"/>
                <w:lang w:bidi="ar"/>
              </w:rPr>
              <w:t>图腾、金盾、朗威</w:t>
            </w:r>
          </w:p>
        </w:tc>
        <w:tc>
          <w:tcPr>
            <w:tcW w:w="1900" w:type="dxa"/>
            <w:vAlign w:val="center"/>
          </w:tcPr>
          <w:p w14:paraId="12681AC8">
            <w:pPr>
              <w:widowControl/>
              <w:jc w:val="center"/>
              <w:textAlignment w:val="auto"/>
              <w:rPr>
                <w:rFonts w:hint="eastAsia" w:hAnsi="宋体"/>
                <w:kern w:val="0"/>
              </w:rPr>
            </w:pPr>
          </w:p>
        </w:tc>
      </w:tr>
      <w:tr w14:paraId="5419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30" w:type="dxa"/>
            <w:vAlign w:val="center"/>
          </w:tcPr>
          <w:p w14:paraId="05FA19A7">
            <w:pPr>
              <w:widowControl w:val="0"/>
              <w:adjustRightInd w:val="0"/>
              <w:jc w:val="center"/>
              <w:rPr>
                <w:rFonts w:hint="eastAsia" w:hAnsi="宋体"/>
                <w:kern w:val="0"/>
              </w:rPr>
            </w:pPr>
            <w:r>
              <w:rPr>
                <w:rFonts w:hint="eastAsia" w:hAnsi="宋体"/>
                <w:kern w:val="0"/>
              </w:rPr>
              <w:t>14</w:t>
            </w:r>
          </w:p>
        </w:tc>
        <w:tc>
          <w:tcPr>
            <w:tcW w:w="2174" w:type="dxa"/>
            <w:vAlign w:val="center"/>
          </w:tcPr>
          <w:p w14:paraId="66B6DEA7">
            <w:pPr>
              <w:widowControl/>
              <w:jc w:val="center"/>
              <w:textAlignment w:val="center"/>
              <w:rPr>
                <w:rFonts w:hint="eastAsia" w:hAnsi="宋体"/>
                <w:kern w:val="0"/>
              </w:rPr>
            </w:pPr>
            <w:r>
              <w:rPr>
                <w:rFonts w:hint="eastAsia" w:hAnsi="宋体"/>
                <w:kern w:val="0"/>
                <w:lang w:bidi="ar"/>
              </w:rPr>
              <w:t>弱电信息箱</w:t>
            </w:r>
          </w:p>
        </w:tc>
        <w:tc>
          <w:tcPr>
            <w:tcW w:w="1471" w:type="dxa"/>
            <w:vAlign w:val="center"/>
          </w:tcPr>
          <w:p w14:paraId="10889559">
            <w:pPr>
              <w:widowControl w:val="0"/>
              <w:adjustRightInd w:val="0"/>
              <w:jc w:val="center"/>
              <w:rPr>
                <w:rFonts w:hint="eastAsia" w:hAnsi="宋体"/>
                <w:kern w:val="0"/>
              </w:rPr>
            </w:pPr>
            <w:r>
              <w:rPr>
                <w:rFonts w:hint="eastAsia" w:hAnsi="宋体"/>
                <w:kern w:val="0"/>
              </w:rPr>
              <w:t>按设计要求</w:t>
            </w:r>
          </w:p>
        </w:tc>
        <w:tc>
          <w:tcPr>
            <w:tcW w:w="3425" w:type="dxa"/>
            <w:vAlign w:val="center"/>
          </w:tcPr>
          <w:p w14:paraId="62D6214A">
            <w:pPr>
              <w:widowControl/>
              <w:jc w:val="center"/>
              <w:textAlignment w:val="center"/>
              <w:rPr>
                <w:rFonts w:hint="eastAsia" w:hAnsi="宋体"/>
                <w:kern w:val="0"/>
              </w:rPr>
            </w:pPr>
            <w:r>
              <w:rPr>
                <w:rFonts w:hint="eastAsia" w:hAnsi="宋体"/>
                <w:kern w:val="0"/>
                <w:lang w:bidi="ar"/>
              </w:rPr>
              <w:t>一舟、普天天纪、宇洪科技</w:t>
            </w:r>
          </w:p>
        </w:tc>
        <w:tc>
          <w:tcPr>
            <w:tcW w:w="1900" w:type="dxa"/>
            <w:vAlign w:val="center"/>
          </w:tcPr>
          <w:p w14:paraId="4BC8094C">
            <w:pPr>
              <w:widowControl/>
              <w:jc w:val="center"/>
              <w:textAlignment w:val="auto"/>
              <w:rPr>
                <w:rFonts w:hint="eastAsia" w:hAnsi="宋体"/>
                <w:kern w:val="0"/>
              </w:rPr>
            </w:pPr>
          </w:p>
        </w:tc>
      </w:tr>
      <w:tr w14:paraId="5BFB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9500" w:type="dxa"/>
            <w:gridSpan w:val="5"/>
            <w:vAlign w:val="center"/>
          </w:tcPr>
          <w:p w14:paraId="6F8EFFE4">
            <w:pPr>
              <w:widowControl/>
              <w:tabs>
                <w:tab w:val="left" w:pos="932"/>
              </w:tabs>
              <w:jc w:val="left"/>
              <w:textAlignment w:val="auto"/>
              <w:rPr>
                <w:rFonts w:hint="eastAsia" w:hAnsi="宋体"/>
                <w:kern w:val="0"/>
              </w:rPr>
            </w:pPr>
            <w:r>
              <w:rPr>
                <w:rFonts w:hint="eastAsia" w:hAnsi="宋体"/>
                <w:kern w:val="0"/>
              </w:rPr>
              <w:t>注：若投标人（承包人）选用相当于或优于上述标准的，须提供有效的证明材料，有效证明材料是指材料设备的技术手册、供货证明（含供货合同及清单），否则，视为不符合招标文件要求。</w:t>
            </w:r>
          </w:p>
        </w:tc>
      </w:tr>
    </w:tbl>
    <w:p w14:paraId="62086986">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6.2 </w:t>
      </w:r>
      <w:r>
        <w:rPr>
          <w:rFonts w:hint="eastAsia" w:ascii="宋体" w:hAnsi="宋体" w:cs="宋体"/>
          <w:szCs w:val="24"/>
        </w:rPr>
        <w:t>承包人提供的信息化设备必须是定型的成熟产品，已批量生产并经广泛使用验证。设备应根据使用地区（如南方潮湿、北方寒冷）的自然环境特点，相应设有三防措施（防潮、防腐、防锈）。产品为全新的厂家原装产品，需提供设备的相关合格证书，整机无污染，无侵权行为，表面无划损，无任何缺陷隐患，在中国境内可依常规安全合法使用。设备应具备出厂合格证，并按产品要求配备所有附件和完整的使用说明书（含中英文操作指南）。</w:t>
      </w:r>
    </w:p>
    <w:p w14:paraId="77C512D7">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6.3 </w:t>
      </w:r>
      <w:r>
        <w:rPr>
          <w:rFonts w:hint="eastAsia" w:ascii="宋体" w:hAnsi="宋体" w:cs="宋体"/>
          <w:szCs w:val="24"/>
        </w:rPr>
        <w:t>本项目信息化设备采购包括从设备生产、物流送货、现场安装调试直至系统上线运营的全流程服务及配套服务。</w:t>
      </w:r>
    </w:p>
    <w:p w14:paraId="5E70C827">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6.4 </w:t>
      </w:r>
      <w:r>
        <w:rPr>
          <w:rFonts w:hint="eastAsia" w:ascii="宋体" w:hAnsi="宋体" w:cs="宋体"/>
          <w:szCs w:val="24"/>
        </w:rPr>
        <w:t>本项目为“交钥匙”工程。报价应包含但不限于以下全部费用，承包人不得再向发包人收取任何额外费用。主要包括：产品价款、备品备件价、易损件价、专用工具价、相关配件及附件价。同时涵盖：物料购置费、制作费、检验费、保险费用、检测费、检定费、仓储费、运输费、装卸费、商检费用、银行费用、税费及一切技术和售后服务费（含系统操作培训与日常维护指导费）等所有不可预见的隐含费用。如涉及软件许可使用或技术指导，还应包括软件许可费及一切技术服务费。</w:t>
      </w:r>
    </w:p>
    <w:p w14:paraId="27BB585C">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6.5 </w:t>
      </w:r>
      <w:r>
        <w:rPr>
          <w:rFonts w:hint="eastAsia" w:ascii="宋体" w:hAnsi="宋体" w:cs="宋体"/>
          <w:szCs w:val="24"/>
        </w:rPr>
        <w:t>本项目提出的是最低限度的技术要求，并未对一切细节作出规定，也未充分引述全部有关标准和规范的条文。承包人提供的所有设备（包括设计、制造、验收）都必须符合响应时已颁布的现行中国国家标准或其他公认的部颁、行业标准。所有采购的智能化设备、软硬件系统须具备消防系统兼容适配能力，支持与项目消防报警系统、应急广播系统、消防联动控制系统实现数据互通、信号对接及联动触发，设备接口、通信协议须满足现行消防规范及项目整体智能化联动要求，不得存在系统孤岛、协议不兼容、无法联动等问题。</w:t>
      </w:r>
    </w:p>
    <w:p w14:paraId="5939933E">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6.6</w:t>
      </w:r>
      <w:r>
        <w:rPr>
          <w:rFonts w:hint="eastAsia" w:ascii="宋体" w:hAnsi="宋体" w:cs="宋体"/>
          <w:szCs w:val="24"/>
        </w:rPr>
        <w:t xml:space="preserve"> 承包人必须确保设备的完整性，且必须是全新未使用过的合格设备。在实际供货时，若被发现提供的设备未能达到招标文件和投标文件中的有关要求，将按有关法规进行处罚，发包人有权单方面终止合同的执行，并追究因承包人所提供的未达到承诺标准的产品而产生的所有损失和责任。</w:t>
      </w:r>
    </w:p>
    <w:p w14:paraId="10D298DA">
      <w:pPr>
        <w:pStyle w:val="49"/>
        <w:keepNext w:val="0"/>
        <w:keepLines w:val="0"/>
        <w:widowControl w:val="0"/>
        <w:wordWrap w:val="0"/>
        <w:adjustRightInd w:val="0"/>
        <w:snapToGrid w:val="0"/>
        <w:spacing w:before="0" w:after="0"/>
        <w:ind w:firstLine="0"/>
        <w:jc w:val="both"/>
        <w:outlineLvl w:val="9"/>
        <w:rPr>
          <w:rFonts w:hint="eastAsia" w:ascii="宋体" w:hAnsi="宋体" w:cs="宋体"/>
          <w:b/>
          <w:bCs/>
          <w:szCs w:val="24"/>
        </w:rPr>
      </w:pPr>
      <w:r>
        <w:rPr>
          <w:rFonts w:hint="eastAsia" w:ascii="宋体" w:hAnsi="宋体" w:cs="宋体"/>
          <w:b/>
          <w:bCs/>
          <w:szCs w:val="24"/>
        </w:rPr>
        <w:t>7. 信息化设备安装调试要求</w:t>
      </w:r>
    </w:p>
    <w:p w14:paraId="7A3EA92D">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7.1 </w:t>
      </w:r>
      <w:r>
        <w:rPr>
          <w:rFonts w:hint="eastAsia" w:ascii="宋体" w:hAnsi="宋体" w:cs="宋体"/>
          <w:szCs w:val="24"/>
        </w:rPr>
        <w:t>承包人负责所有信息化设备的安装及调试，包括管线敷设、设备固定、网络配置、系统对接及联动测试。所有采购的智能化设备、软硬件系统须具备消防系统兼容适配能力，支持与项目消防报警系统、应急广播系统、消防联动控制系统实现数据互通、信号对接及联动触发，设备接口、通信协议须满足现行消防规范及项目整体智能化联动要求，不得存在系统孤岛、协议不兼容、无法联动等问题。</w:t>
      </w:r>
    </w:p>
    <w:p w14:paraId="50ED1636">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7.2 </w:t>
      </w:r>
      <w:r>
        <w:rPr>
          <w:rFonts w:hint="eastAsia" w:ascii="宋体" w:hAnsi="宋体" w:cs="宋体"/>
          <w:szCs w:val="24"/>
        </w:rPr>
        <w:t>安装全过程，承包人的项目负责人须常驻现场，并接受发包人统一的管理和协调，确保施工进度与现场其他工程（如土建、绿化）有序衔接。</w:t>
      </w:r>
    </w:p>
    <w:p w14:paraId="327A00FE">
      <w:pPr>
        <w:pStyle w:val="49"/>
        <w:keepNext w:val="0"/>
        <w:keepLines w:val="0"/>
        <w:widowControl w:val="0"/>
        <w:wordWrap w:val="0"/>
        <w:adjustRightInd w:val="0"/>
        <w:snapToGrid w:val="0"/>
        <w:spacing w:before="0" w:after="0"/>
        <w:ind w:firstLine="0"/>
        <w:jc w:val="both"/>
        <w:outlineLvl w:val="9"/>
        <w:rPr>
          <w:rFonts w:hint="eastAsia" w:ascii="宋体" w:hAnsi="宋体" w:cs="宋体"/>
          <w:b/>
          <w:bCs/>
          <w:szCs w:val="24"/>
        </w:rPr>
      </w:pPr>
      <w:r>
        <w:rPr>
          <w:rFonts w:hint="eastAsia" w:ascii="宋体" w:hAnsi="宋体" w:cs="宋体"/>
          <w:b/>
          <w:bCs/>
          <w:szCs w:val="24"/>
        </w:rPr>
        <w:t>8. 信息化设备安装的履约验收</w:t>
      </w:r>
    </w:p>
    <w:p w14:paraId="0D84CEEB">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8.1 </w:t>
      </w:r>
      <w:r>
        <w:rPr>
          <w:rFonts w:hint="eastAsia" w:ascii="宋体" w:hAnsi="宋体" w:cs="宋体"/>
          <w:szCs w:val="24"/>
        </w:rPr>
        <w:t>承包人在服务期届满之日起30天内向发包人提出验收申请，由发包人组织会议对本项目进行验收。项目建设验收后启动为期一年的质保期。</w:t>
      </w:r>
    </w:p>
    <w:p w14:paraId="3B02BB27">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8.2 </w:t>
      </w:r>
      <w:r>
        <w:rPr>
          <w:rFonts w:hint="eastAsia" w:ascii="宋体" w:hAnsi="宋体" w:cs="宋体"/>
          <w:szCs w:val="24"/>
        </w:rPr>
        <w:t>交付验收标准依次序对照适用标准为：</w:t>
      </w:r>
    </w:p>
    <w:p w14:paraId="72D2A054">
      <w:pPr>
        <w:pStyle w:val="49"/>
        <w:keepNext w:val="0"/>
        <w:keepLines w:val="0"/>
        <w:widowControl w:val="0"/>
        <w:wordWrap w:val="0"/>
        <w:adjustRightInd w:val="0"/>
        <w:snapToGrid w:val="0"/>
        <w:spacing w:before="0" w:after="0"/>
        <w:ind w:firstLine="480" w:firstLineChars="200"/>
        <w:jc w:val="both"/>
        <w:outlineLvl w:val="9"/>
        <w:rPr>
          <w:rFonts w:hint="eastAsia" w:ascii="宋体" w:hAnsi="宋体" w:cs="宋体"/>
          <w:szCs w:val="24"/>
        </w:rPr>
      </w:pPr>
      <w:r>
        <w:rPr>
          <w:rFonts w:hint="eastAsia" w:ascii="宋体" w:hAnsi="宋体" w:cs="宋体"/>
          <w:szCs w:val="24"/>
        </w:rPr>
        <w:t>① 符合中华人民共和国国家安全质量标准、环保标准或行业标准；</w:t>
      </w:r>
    </w:p>
    <w:p w14:paraId="155DBC91">
      <w:pPr>
        <w:pStyle w:val="49"/>
        <w:keepNext w:val="0"/>
        <w:keepLines w:val="0"/>
        <w:widowControl w:val="0"/>
        <w:wordWrap w:val="0"/>
        <w:adjustRightInd w:val="0"/>
        <w:snapToGrid w:val="0"/>
        <w:spacing w:before="0" w:after="0"/>
        <w:ind w:firstLine="480" w:firstLineChars="200"/>
        <w:jc w:val="both"/>
        <w:outlineLvl w:val="9"/>
        <w:rPr>
          <w:rFonts w:hint="eastAsia" w:ascii="宋体" w:hAnsi="宋体" w:cs="宋体"/>
          <w:szCs w:val="24"/>
        </w:rPr>
      </w:pPr>
      <w:r>
        <w:rPr>
          <w:rFonts w:hint="eastAsia" w:ascii="宋体" w:hAnsi="宋体" w:cs="宋体"/>
          <w:szCs w:val="24"/>
        </w:rPr>
        <w:t>② 符合招标文件和响应承诺中发包人认可的合理最佳配置、参数及各项要求；</w:t>
      </w:r>
    </w:p>
    <w:p w14:paraId="4817B881">
      <w:pPr>
        <w:pStyle w:val="49"/>
        <w:keepNext w:val="0"/>
        <w:keepLines w:val="0"/>
        <w:widowControl w:val="0"/>
        <w:wordWrap w:val="0"/>
        <w:adjustRightInd w:val="0"/>
        <w:snapToGrid w:val="0"/>
        <w:spacing w:before="0" w:after="0"/>
        <w:ind w:firstLine="480" w:firstLineChars="200"/>
        <w:jc w:val="both"/>
        <w:outlineLvl w:val="9"/>
        <w:rPr>
          <w:rFonts w:hint="eastAsia" w:ascii="宋体" w:hAnsi="宋体" w:cs="宋体"/>
          <w:szCs w:val="24"/>
        </w:rPr>
      </w:pPr>
      <w:r>
        <w:rPr>
          <w:rFonts w:hint="eastAsia" w:ascii="宋体" w:hAnsi="宋体" w:cs="宋体"/>
          <w:szCs w:val="24"/>
        </w:rPr>
        <w:t>③ 货物来源国官方标准。</w:t>
      </w:r>
    </w:p>
    <w:p w14:paraId="510DFEAF">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8.3 </w:t>
      </w:r>
      <w:r>
        <w:rPr>
          <w:rFonts w:hint="eastAsia" w:ascii="宋体" w:hAnsi="宋体" w:cs="宋体"/>
          <w:szCs w:val="24"/>
        </w:rPr>
        <w:t>货物为原厂商未启封全新包装，具出厂合格证，序列号、包装箱号与出厂批号一致，并可追索查阅。所有设备的附件（如电源适配器、安装支架、线缆接头等）必须齐全。</w:t>
      </w:r>
    </w:p>
    <w:p w14:paraId="20F066E7">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8.4 </w:t>
      </w:r>
      <w:r>
        <w:rPr>
          <w:rFonts w:hint="eastAsia" w:ascii="宋体" w:hAnsi="宋体" w:cs="宋体"/>
          <w:szCs w:val="24"/>
        </w:rPr>
        <w:t>承包人应将关键主机设备的用户手册、保修手册、有关单证资料及配备件、随机工具等交付给发包人。使用操作及安全须知等重要资料应附有中文说明。</w:t>
      </w:r>
    </w:p>
    <w:p w14:paraId="41A871E7">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8.5</w:t>
      </w:r>
      <w:r>
        <w:rPr>
          <w:rFonts w:hint="eastAsia" w:ascii="宋体" w:hAnsi="宋体" w:cs="宋体"/>
          <w:szCs w:val="24"/>
        </w:rPr>
        <w:t xml:space="preserve"> 发包人组成验收小组按国家有关规定、规范进行验收，必要时邀请相关的专业人员或机构参与验收。因货物质量问题发生争议时，由本地质量技术监督部门鉴定。货物符合质量技术标准的，鉴定费由发包人承担；否则鉴定费由承包人承担。</w:t>
      </w:r>
    </w:p>
    <w:p w14:paraId="15C2A849">
      <w:pPr>
        <w:pStyle w:val="49"/>
        <w:keepNext w:val="0"/>
        <w:keepLines w:val="0"/>
        <w:widowControl w:val="0"/>
        <w:wordWrap w:val="0"/>
        <w:adjustRightInd w:val="0"/>
        <w:snapToGrid w:val="0"/>
        <w:spacing w:before="0" w:after="0"/>
        <w:ind w:firstLine="482" w:firstLineChars="200"/>
        <w:jc w:val="both"/>
        <w:outlineLvl w:val="9"/>
      </w:pPr>
      <w:r>
        <w:rPr>
          <w:rFonts w:hint="eastAsia" w:ascii="宋体" w:hAnsi="宋体" w:cs="宋体"/>
          <w:b/>
          <w:bCs/>
          <w:szCs w:val="24"/>
        </w:rPr>
        <w:t xml:space="preserve">8.6 </w:t>
      </w:r>
      <w:r>
        <w:rPr>
          <w:rFonts w:hint="eastAsia" w:ascii="宋体" w:hAnsi="宋体" w:cs="宋体"/>
          <w:szCs w:val="24"/>
        </w:rPr>
        <w:t>履约验收标准：按国家有关规定以及招标文件的服务要求、承包人的投标文件及承诺与本合同约定标准进行验收。重点验证系统的稳定性、数据准确性、响应速度及各项功能指标；消防系统兼容性、联动准确性、信号稳定性作为核心验收指标，所有消防联动场景测试必须100%合格，方可通过竣工验收。</w:t>
      </w:r>
      <w:r>
        <w:rPr>
          <w:rFonts w:hint="eastAsia"/>
        </w:rPr>
        <w:t>中标人须保证本项目系统与既有消防系统完全兼容，若验收检测发现存在不兼容、联动异常等问题，中标人应无条件免费更换相关软硬件、优化调试，直至全部消防联动场景测试100%合格并满足本合同及招标文件要求为止，由此产生的工期延误、相关费用及一切责任均由中标人自行承担。</w:t>
      </w:r>
    </w:p>
    <w:p w14:paraId="3CC02F2B">
      <w:pPr>
        <w:pStyle w:val="49"/>
        <w:keepNext w:val="0"/>
        <w:keepLines w:val="0"/>
        <w:widowControl w:val="0"/>
        <w:wordWrap w:val="0"/>
        <w:adjustRightInd w:val="0"/>
        <w:snapToGrid w:val="0"/>
        <w:spacing w:before="0" w:after="0"/>
        <w:ind w:firstLine="0"/>
        <w:jc w:val="both"/>
        <w:outlineLvl w:val="9"/>
        <w:rPr>
          <w:rFonts w:hint="eastAsia" w:ascii="宋体" w:hAnsi="宋体" w:cs="宋体"/>
          <w:szCs w:val="24"/>
        </w:rPr>
      </w:pPr>
      <w:r>
        <w:rPr>
          <w:rFonts w:hint="eastAsia" w:ascii="宋体" w:hAnsi="宋体" w:cs="宋体"/>
          <w:b/>
          <w:bCs/>
          <w:szCs w:val="24"/>
        </w:rPr>
        <w:t>9. 信息化设备售后服务要求</w:t>
      </w:r>
    </w:p>
    <w:p w14:paraId="33DE62A8">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9.1</w:t>
      </w:r>
      <w:r>
        <w:rPr>
          <w:rFonts w:hint="eastAsia" w:ascii="宋体" w:hAnsi="宋体" w:cs="宋体"/>
          <w:szCs w:val="24"/>
        </w:rPr>
        <w:t xml:space="preserve"> 设备部分</w:t>
      </w:r>
    </w:p>
    <w:p w14:paraId="757B9F4B">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9.1.1 </w:t>
      </w:r>
      <w:r>
        <w:rPr>
          <w:rFonts w:hint="eastAsia" w:ascii="宋体" w:hAnsi="宋体" w:cs="宋体"/>
          <w:szCs w:val="24"/>
        </w:rPr>
        <w:t>质保期：2年（自项目验收合格之日起计算，若部分货物原厂商提供的质量保证期优于承包人提供的质量保质期，以原厂商提供的质量保证期为准）。质保期内，承包人负责所有产品的维修、维护和保养等跟踪服务，保修期内不再收取任何费用。维修不能解决的，由承包人按原型号或升级型号进行免费更换。质保期内须持续保障各智能化系统与消防系统的兼容联动功能正常，因设备升级、系统迭代导致的联动失效、协议不兼容问题，由承包人免费整改调试、优化适配，确保联动功能永久合规有效。</w:t>
      </w:r>
    </w:p>
    <w:p w14:paraId="229AFF67">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9.1.2</w:t>
      </w:r>
      <w:r>
        <w:rPr>
          <w:rFonts w:hint="eastAsia" w:ascii="宋体" w:hAnsi="宋体" w:cs="宋体"/>
          <w:szCs w:val="24"/>
        </w:rPr>
        <w:t xml:space="preserve"> 保修期内，发包人所购设备各部件发生非人为故障，承包人均应免费上门更换同种品牌规格型号的新部件。设备发生人为故障或自然因素（如火灾、雷击等不可抗力）造成的故障，承包人应上门更换同种品牌规格型号的新部件，只收零配件成本，不加收其他任何费用。</w:t>
      </w:r>
    </w:p>
    <w:p w14:paraId="2F44CF56">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9.1.3 </w:t>
      </w:r>
      <w:r>
        <w:rPr>
          <w:rFonts w:hint="eastAsia" w:ascii="宋体" w:hAnsi="宋体" w:cs="宋体"/>
          <w:szCs w:val="24"/>
        </w:rPr>
        <w:t>自验收合格之日起，保修服务方式为上门保修。即由承包人或原厂家派员到发包人设备使用现场进行维修，由此产生的一切费用（含更换损坏的零部件、差旅费等）由承包人承担。保修期满后需进行维修的，只收取材料成本费。</w:t>
      </w:r>
    </w:p>
    <w:p w14:paraId="7DD2E391">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9.1.4 </w:t>
      </w:r>
      <w:r>
        <w:rPr>
          <w:rFonts w:hint="eastAsia" w:ascii="宋体" w:hAnsi="宋体" w:cs="宋体"/>
          <w:szCs w:val="24"/>
        </w:rPr>
        <w:t>承包人应提供7×24小时技术支持服务。保修期内设备出现故障，承包人应在收到使用单位通知后24小时内作出正式答复，优先远程解决。超过72小时仍未解决，承包人需派出工程师或技术人员到达工程现场，所发生的费用由承包人自行负责。报修5天内不能修复的，应提供不低于原有设备档次的备用机替换使用。</w:t>
      </w:r>
    </w:p>
    <w:p w14:paraId="1E711CE7">
      <w:pPr>
        <w:pStyle w:val="49"/>
        <w:keepNext w:val="0"/>
        <w:keepLines w:val="0"/>
        <w:widowControl w:val="0"/>
        <w:wordWrap w:val="0"/>
        <w:adjustRightInd w:val="0"/>
        <w:snapToGrid w:val="0"/>
        <w:spacing w:before="0" w:after="0"/>
        <w:ind w:firstLine="0"/>
        <w:jc w:val="both"/>
        <w:outlineLvl w:val="9"/>
        <w:rPr>
          <w:rFonts w:hint="eastAsia" w:ascii="宋体" w:hAnsi="宋体" w:cs="宋体"/>
          <w:szCs w:val="24"/>
        </w:rPr>
      </w:pPr>
      <w:r>
        <w:rPr>
          <w:rFonts w:hint="eastAsia" w:ascii="宋体" w:hAnsi="宋体" w:cs="宋体"/>
          <w:b/>
          <w:bCs/>
          <w:szCs w:val="24"/>
        </w:rPr>
        <w:t>10. 项目保密要求</w:t>
      </w:r>
    </w:p>
    <w:p w14:paraId="746E7AB2">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10.1 </w:t>
      </w:r>
      <w:r>
        <w:rPr>
          <w:rFonts w:hint="eastAsia" w:ascii="宋体" w:hAnsi="宋体" w:cs="宋体"/>
          <w:szCs w:val="24"/>
        </w:rPr>
        <w:t>承包人应签订保密协议，对其因身份、职务、职业或技术关系而知悉的发包人商业信息和党政机关保密信息应严格保守，保证不被披露或使用，包括意外或过失。</w:t>
      </w:r>
    </w:p>
    <w:p w14:paraId="4D65E205">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10.2 </w:t>
      </w:r>
      <w:r>
        <w:rPr>
          <w:rFonts w:hint="eastAsia" w:ascii="宋体" w:hAnsi="宋体" w:cs="宋体"/>
          <w:szCs w:val="24"/>
        </w:rPr>
        <w:t>承包人不得以竞争为目的，或出于私利，或为第三人谋利而擅自保存、披露、使用发包人的商业信息和党政机关保密信息；不得直接或间接地向无关人员泄露发包人的商业信息和党政机关保密信息；不得向不承担保密义务的任何第三人披露发包人的商业信息和党政机关保密信息。承包人在从事政府项目时，不得擅自记录、复制、拍摄、摘抄、收藏在工作中涉及的保密信息，严禁将涉及政府项目的任何资料、数据透露或以其他方式提供给项目以外的其他方或投标人内部与该项目无关的任何人员。</w:t>
      </w:r>
    </w:p>
    <w:p w14:paraId="589CAE42">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10.3 </w:t>
      </w:r>
      <w:r>
        <w:rPr>
          <w:rFonts w:hint="eastAsia" w:ascii="宋体" w:hAnsi="宋体" w:cs="宋体"/>
          <w:szCs w:val="24"/>
        </w:rPr>
        <w:t>承包人对于工作期间知悉的发包人商业信息和党政机关保密信息或工作过程中接触到的政府机关文件（包括内部发文、各类通知及会议记录等）的内容，同样承担保密责任，严禁将政府机关内部会议、谈话内容泄露给无关人员；不得翻阅与工作无关的文件和资料。</w:t>
      </w:r>
    </w:p>
    <w:p w14:paraId="0DD60F05">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 xml:space="preserve">10.4 </w:t>
      </w:r>
      <w:r>
        <w:rPr>
          <w:rFonts w:hint="eastAsia" w:ascii="宋体" w:hAnsi="宋体" w:cs="宋体"/>
          <w:szCs w:val="24"/>
        </w:rPr>
        <w:t>严禁泄露在工作中接触的政府机关科技研究、发明、装备器材及其技术资料和政府工作信息。</w:t>
      </w:r>
    </w:p>
    <w:p w14:paraId="680ADBA6">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zCs w:val="24"/>
        </w:rPr>
      </w:pPr>
      <w:r>
        <w:rPr>
          <w:rFonts w:hint="eastAsia" w:ascii="宋体" w:hAnsi="宋体" w:cs="宋体"/>
          <w:b/>
          <w:bCs/>
          <w:szCs w:val="24"/>
        </w:rPr>
        <w:t>10.5</w:t>
      </w:r>
      <w:r>
        <w:rPr>
          <w:rFonts w:hint="eastAsia" w:ascii="宋体" w:hAnsi="宋体" w:cs="宋体"/>
          <w:szCs w:val="24"/>
        </w:rPr>
        <w:t xml:space="preserve"> 承包人应采取有效措施，保证其参与本项目的人员遵守本约定，并对参与项目人员违反本约定所造成的后果承担连带责任。</w:t>
      </w:r>
    </w:p>
    <w:p w14:paraId="03996F49">
      <w:pPr>
        <w:pStyle w:val="49"/>
        <w:keepNext w:val="0"/>
        <w:keepLines w:val="0"/>
        <w:widowControl w:val="0"/>
        <w:wordWrap w:val="0"/>
        <w:adjustRightInd w:val="0"/>
        <w:snapToGrid w:val="0"/>
        <w:spacing w:before="0" w:after="0"/>
        <w:ind w:firstLine="482" w:firstLineChars="200"/>
        <w:jc w:val="both"/>
        <w:outlineLvl w:val="9"/>
        <w:rPr>
          <w:rFonts w:hint="eastAsia" w:ascii="宋体" w:hAnsi="宋体" w:cs="宋体"/>
          <w:snapToGrid w:val="0"/>
          <w:szCs w:val="24"/>
        </w:rPr>
      </w:pPr>
      <w:r>
        <w:rPr>
          <w:rFonts w:hint="eastAsia" w:ascii="宋体" w:hAnsi="宋体" w:cs="宋体"/>
          <w:b/>
          <w:bCs/>
          <w:szCs w:val="24"/>
        </w:rPr>
        <w:t>11. 其他合同条款由招标人与中标人参考《广东省建设工程标准施工合同》（2009年版）或《建设工程施工合同（示范文本）》（GF-2017-0201）自行协商约定。</w:t>
      </w:r>
    </w:p>
    <w:p w14:paraId="304F004A">
      <w:pPr>
        <w:pStyle w:val="49"/>
        <w:keepNext w:val="0"/>
        <w:keepLines w:val="0"/>
        <w:widowControl w:val="0"/>
        <w:wordWrap w:val="0"/>
        <w:adjustRightInd w:val="0"/>
        <w:snapToGrid w:val="0"/>
        <w:spacing w:before="0" w:after="0"/>
        <w:ind w:firstLine="0"/>
        <w:jc w:val="both"/>
        <w:rPr>
          <w:rFonts w:hint="eastAsia" w:ascii="宋体" w:hAnsi="宋体" w:cs="宋体"/>
          <w:b/>
          <w:snapToGrid w:val="0"/>
        </w:rPr>
      </w:pPr>
    </w:p>
    <w:p w14:paraId="40E94A7C">
      <w:pPr>
        <w:pStyle w:val="50"/>
        <w:rPr>
          <w:rFonts w:hint="eastAsia" w:ascii="宋体" w:hAnsi="宋体" w:cs="宋体"/>
          <w:b/>
          <w:snapToGrid w:val="0"/>
        </w:rPr>
      </w:pPr>
    </w:p>
    <w:p w14:paraId="15AF1683">
      <w:pPr>
        <w:pStyle w:val="50"/>
        <w:rPr>
          <w:rFonts w:hint="eastAsia" w:ascii="宋体" w:hAnsi="宋体" w:cs="宋体"/>
          <w:b/>
          <w:snapToGrid w:val="0"/>
        </w:rPr>
      </w:pPr>
    </w:p>
    <w:p w14:paraId="19D4128E">
      <w:pPr>
        <w:pStyle w:val="50"/>
        <w:rPr>
          <w:rFonts w:hint="eastAsia" w:ascii="宋体" w:hAnsi="宋体" w:cs="宋体"/>
          <w:b/>
          <w:snapToGrid w:val="0"/>
        </w:rPr>
      </w:pPr>
    </w:p>
    <w:p w14:paraId="34E9556E">
      <w:pPr>
        <w:pStyle w:val="50"/>
        <w:rPr>
          <w:rFonts w:hint="eastAsia" w:ascii="宋体" w:hAnsi="宋体" w:cs="宋体"/>
          <w:b/>
          <w:snapToGrid w:val="0"/>
        </w:rPr>
      </w:pPr>
    </w:p>
    <w:p w14:paraId="10C35F53">
      <w:pPr>
        <w:pStyle w:val="50"/>
        <w:rPr>
          <w:rFonts w:hint="eastAsia" w:ascii="宋体" w:hAnsi="宋体" w:cs="宋体"/>
          <w:b/>
          <w:snapToGrid w:val="0"/>
        </w:rPr>
      </w:pPr>
    </w:p>
    <w:p w14:paraId="23C6BE74">
      <w:pPr>
        <w:pStyle w:val="50"/>
        <w:rPr>
          <w:rFonts w:hint="eastAsia" w:ascii="宋体" w:hAnsi="宋体" w:cs="宋体"/>
          <w:b/>
          <w:snapToGrid w:val="0"/>
        </w:rPr>
      </w:pPr>
    </w:p>
    <w:p w14:paraId="112447C0">
      <w:pPr>
        <w:pStyle w:val="50"/>
        <w:rPr>
          <w:rFonts w:hint="eastAsia" w:ascii="宋体" w:hAnsi="宋体" w:cs="宋体"/>
          <w:b/>
          <w:snapToGrid w:val="0"/>
        </w:rPr>
      </w:pPr>
    </w:p>
    <w:p w14:paraId="5B8DF8B2">
      <w:pPr>
        <w:pStyle w:val="50"/>
        <w:rPr>
          <w:rFonts w:hint="eastAsia" w:ascii="宋体" w:hAnsi="宋体" w:cs="宋体"/>
          <w:b/>
          <w:snapToGrid w:val="0"/>
        </w:rPr>
      </w:pPr>
    </w:p>
    <w:p w14:paraId="4B738446">
      <w:pPr>
        <w:pStyle w:val="50"/>
        <w:rPr>
          <w:rFonts w:hint="eastAsia" w:ascii="宋体" w:hAnsi="宋体" w:cs="宋体"/>
          <w:b/>
          <w:snapToGrid w:val="0"/>
        </w:rPr>
      </w:pPr>
    </w:p>
    <w:p w14:paraId="55938532">
      <w:pPr>
        <w:pStyle w:val="50"/>
        <w:rPr>
          <w:rFonts w:hint="eastAsia" w:ascii="宋体" w:hAnsi="宋体" w:cs="宋体"/>
          <w:b/>
          <w:snapToGrid w:val="0"/>
        </w:rPr>
      </w:pPr>
    </w:p>
    <w:p w14:paraId="3743E80E">
      <w:pPr>
        <w:pStyle w:val="50"/>
        <w:rPr>
          <w:rFonts w:hint="eastAsia" w:ascii="宋体" w:hAnsi="宋体" w:cs="宋体"/>
          <w:b/>
          <w:snapToGrid w:val="0"/>
        </w:rPr>
      </w:pPr>
    </w:p>
    <w:p w14:paraId="1A586CDC">
      <w:pPr>
        <w:pStyle w:val="50"/>
        <w:rPr>
          <w:rFonts w:hint="eastAsia" w:ascii="宋体" w:hAnsi="宋体" w:cs="宋体"/>
          <w:b/>
          <w:snapToGrid w:val="0"/>
        </w:rPr>
      </w:pPr>
    </w:p>
    <w:p w14:paraId="507BD9C4">
      <w:pPr>
        <w:pStyle w:val="50"/>
        <w:rPr>
          <w:rFonts w:hint="eastAsia" w:ascii="宋体" w:hAnsi="宋体" w:cs="宋体"/>
          <w:b/>
          <w:snapToGrid w:val="0"/>
        </w:rPr>
      </w:pPr>
    </w:p>
    <w:p w14:paraId="01E45627">
      <w:pPr>
        <w:pStyle w:val="50"/>
        <w:rPr>
          <w:rFonts w:hint="eastAsia" w:ascii="宋体" w:hAnsi="宋体" w:cs="宋体"/>
          <w:b/>
          <w:snapToGrid w:val="0"/>
        </w:rPr>
      </w:pPr>
    </w:p>
    <w:p w14:paraId="4BF08977">
      <w:pPr>
        <w:pStyle w:val="50"/>
        <w:rPr>
          <w:rFonts w:hint="eastAsia" w:ascii="宋体" w:hAnsi="宋体" w:cs="宋体"/>
          <w:b/>
          <w:snapToGrid w:val="0"/>
        </w:rPr>
      </w:pPr>
    </w:p>
    <w:p w14:paraId="121A22BE">
      <w:pPr>
        <w:pStyle w:val="50"/>
        <w:rPr>
          <w:rFonts w:hint="eastAsia" w:ascii="宋体" w:hAnsi="宋体" w:cs="宋体"/>
          <w:b/>
          <w:snapToGrid w:val="0"/>
        </w:rPr>
      </w:pPr>
    </w:p>
    <w:p w14:paraId="63E50A4D">
      <w:pPr>
        <w:pStyle w:val="50"/>
        <w:rPr>
          <w:rFonts w:hint="eastAsia" w:ascii="宋体" w:hAnsi="宋体" w:cs="宋体"/>
          <w:b/>
          <w:snapToGrid w:val="0"/>
        </w:rPr>
      </w:pPr>
    </w:p>
    <w:p w14:paraId="035AFE80">
      <w:pPr>
        <w:pStyle w:val="50"/>
        <w:rPr>
          <w:rFonts w:hint="eastAsia" w:ascii="宋体" w:hAnsi="宋体" w:cs="宋体"/>
          <w:b/>
          <w:snapToGrid w:val="0"/>
        </w:rPr>
      </w:pPr>
    </w:p>
    <w:p w14:paraId="4538DFF7">
      <w:pPr>
        <w:pStyle w:val="50"/>
        <w:rPr>
          <w:rFonts w:hint="eastAsia" w:ascii="宋体" w:hAnsi="宋体" w:cs="宋体"/>
          <w:b/>
          <w:snapToGrid w:val="0"/>
        </w:rPr>
      </w:pPr>
    </w:p>
    <w:p w14:paraId="4D2A7B9E">
      <w:pPr>
        <w:pStyle w:val="50"/>
        <w:rPr>
          <w:rFonts w:hint="eastAsia" w:ascii="宋体" w:hAnsi="宋体" w:cs="宋体"/>
          <w:b/>
          <w:snapToGrid w:val="0"/>
        </w:rPr>
      </w:pPr>
    </w:p>
    <w:p w14:paraId="3A588340">
      <w:pPr>
        <w:pStyle w:val="50"/>
        <w:rPr>
          <w:rFonts w:hint="eastAsia" w:ascii="宋体" w:hAnsi="宋体" w:cs="宋体"/>
          <w:b/>
          <w:snapToGrid w:val="0"/>
        </w:rPr>
      </w:pPr>
    </w:p>
    <w:p w14:paraId="61CAD645">
      <w:pPr>
        <w:pStyle w:val="49"/>
        <w:keepNext w:val="0"/>
        <w:keepLines w:val="0"/>
        <w:widowControl w:val="0"/>
        <w:wordWrap w:val="0"/>
        <w:adjustRightInd w:val="0"/>
        <w:snapToGrid w:val="0"/>
        <w:spacing w:before="0" w:after="0"/>
        <w:ind w:left="3640" w:leftChars="15" w:hanging="3604" w:hangingChars="1496"/>
        <w:jc w:val="both"/>
        <w:rPr>
          <w:rFonts w:hint="eastAsia" w:ascii="宋体" w:hAnsi="宋体" w:cs="宋体"/>
          <w:b/>
          <w:snapToGrid w:val="0"/>
        </w:rPr>
      </w:pPr>
      <w:r>
        <w:rPr>
          <w:rFonts w:hint="eastAsia" w:ascii="宋体" w:hAnsi="宋体" w:cs="宋体"/>
          <w:b/>
          <w:snapToGrid w:val="0"/>
        </w:rPr>
        <w:t>附件一： 预付款保函</w:t>
      </w:r>
      <w:bookmarkEnd w:id="343"/>
      <w:bookmarkEnd w:id="344"/>
    </w:p>
    <w:p w14:paraId="3D8B0888">
      <w:pPr>
        <w:jc w:val="center"/>
        <w:rPr>
          <w:rFonts w:hint="eastAsia" w:hAnsi="宋体"/>
          <w:szCs w:val="21"/>
        </w:rPr>
      </w:pPr>
      <w:r>
        <w:rPr>
          <w:rFonts w:hint="eastAsia" w:hAnsi="宋体"/>
          <w:b/>
          <w:bCs/>
          <w:snapToGrid w:val="0"/>
          <w:kern w:val="0"/>
        </w:rPr>
        <w:t xml:space="preserve">  </w:t>
      </w:r>
      <w:r>
        <w:rPr>
          <w:rFonts w:hint="eastAsia" w:hAnsi="宋体"/>
          <w:b/>
          <w:bCs/>
          <w:sz w:val="32"/>
          <w:szCs w:val="32"/>
        </w:rPr>
        <w:t xml:space="preserve"> </w:t>
      </w:r>
      <w:bookmarkStart w:id="460" w:name="_Toc14863"/>
      <w:r>
        <w:rPr>
          <w:rFonts w:hint="eastAsia" w:hAnsi="宋体"/>
          <w:b/>
          <w:bCs/>
          <w:sz w:val="32"/>
          <w:szCs w:val="32"/>
        </w:rPr>
        <w:t>预付款保函</w:t>
      </w:r>
      <w:bookmarkEnd w:id="460"/>
    </w:p>
    <w:p w14:paraId="19D31FBA">
      <w:pPr>
        <w:wordWrap w:val="0"/>
        <w:jc w:val="right"/>
        <w:rPr>
          <w:rFonts w:hint="eastAsia" w:hAnsi="宋体"/>
          <w:szCs w:val="21"/>
        </w:rPr>
      </w:pPr>
      <w:r>
        <w:rPr>
          <w:rFonts w:hint="eastAsia" w:hAnsi="宋体"/>
          <w:szCs w:val="21"/>
        </w:rPr>
        <w:t xml:space="preserve">编号：           </w:t>
      </w:r>
    </w:p>
    <w:p w14:paraId="5374DFA3">
      <w:pPr>
        <w:rPr>
          <w:rFonts w:hint="eastAsia" w:hAnsi="宋体"/>
        </w:rPr>
      </w:pPr>
    </w:p>
    <w:p w14:paraId="45B44B7A">
      <w:pPr>
        <w:rPr>
          <w:rFonts w:hint="eastAsia" w:hAnsi="宋体"/>
        </w:rPr>
      </w:pPr>
      <w:r>
        <w:rPr>
          <w:rFonts w:hint="eastAsia" w:hAnsi="宋体"/>
        </w:rPr>
        <w:t>申请人：</w:t>
      </w:r>
    </w:p>
    <w:p w14:paraId="30C06A4D">
      <w:pPr>
        <w:rPr>
          <w:rFonts w:hint="eastAsia" w:hAnsi="宋体"/>
        </w:rPr>
      </w:pPr>
      <w:r>
        <w:rPr>
          <w:rFonts w:hint="eastAsia" w:hAnsi="宋体"/>
        </w:rPr>
        <w:t xml:space="preserve">  地址：</w:t>
      </w:r>
    </w:p>
    <w:p w14:paraId="60BAE3C9">
      <w:pPr>
        <w:rPr>
          <w:rFonts w:hint="eastAsia" w:hAnsi="宋体"/>
        </w:rPr>
      </w:pPr>
      <w:r>
        <w:rPr>
          <w:rFonts w:hint="eastAsia" w:hAnsi="宋体"/>
        </w:rPr>
        <w:t>受益人：</w:t>
      </w:r>
    </w:p>
    <w:p w14:paraId="7CC191B9">
      <w:pPr>
        <w:rPr>
          <w:rFonts w:hint="eastAsia" w:hAnsi="宋体"/>
        </w:rPr>
      </w:pPr>
      <w:r>
        <w:rPr>
          <w:rFonts w:hint="eastAsia" w:hAnsi="宋体"/>
        </w:rPr>
        <w:t xml:space="preserve">  地址：</w:t>
      </w:r>
    </w:p>
    <w:p w14:paraId="29006224">
      <w:pPr>
        <w:rPr>
          <w:rFonts w:hint="eastAsia" w:hAnsi="宋体"/>
        </w:rPr>
      </w:pPr>
      <w:r>
        <w:rPr>
          <w:rFonts w:hint="eastAsia" w:hAnsi="宋体"/>
        </w:rPr>
        <w:t>开立人：</w:t>
      </w:r>
    </w:p>
    <w:p w14:paraId="0EC1C357">
      <w:pPr>
        <w:rPr>
          <w:rFonts w:hint="eastAsia" w:hAnsi="宋体"/>
        </w:rPr>
      </w:pPr>
      <w:r>
        <w:rPr>
          <w:rFonts w:hint="eastAsia" w:hAnsi="宋体"/>
        </w:rPr>
        <w:t xml:space="preserve">  地址：</w:t>
      </w:r>
    </w:p>
    <w:p w14:paraId="3A6FA64A">
      <w:pPr>
        <w:rPr>
          <w:rFonts w:hint="eastAsia" w:hAnsi="宋体"/>
        </w:rPr>
      </w:pPr>
      <w:r>
        <w:rPr>
          <w:rFonts w:hint="eastAsia" w:hAnsi="宋体"/>
        </w:rPr>
        <w:t xml:space="preserve"> </w:t>
      </w:r>
    </w:p>
    <w:p w14:paraId="684B3BDF">
      <w:pPr>
        <w:rPr>
          <w:rFonts w:hint="eastAsia" w:hAnsi="宋体"/>
        </w:rPr>
      </w:pPr>
      <w:r>
        <w:rPr>
          <w:rFonts w:hint="eastAsia" w:hAnsi="宋体"/>
          <w:u w:val="single"/>
        </w:rPr>
        <w:t xml:space="preserve">              </w:t>
      </w:r>
      <w:r>
        <w:rPr>
          <w:rFonts w:hint="eastAsia" w:hAnsi="宋体"/>
        </w:rPr>
        <w:t xml:space="preserve">（受益人名称）： </w:t>
      </w:r>
    </w:p>
    <w:p w14:paraId="2944D5CC">
      <w:pPr>
        <w:ind w:firstLine="480" w:firstLineChars="200"/>
        <w:rPr>
          <w:rFonts w:hint="eastAsia" w:hAnsi="宋体"/>
        </w:rPr>
      </w:pPr>
      <w:r>
        <w:rPr>
          <w:rFonts w:hint="eastAsia" w:hAnsi="宋体"/>
        </w:rPr>
        <w:t>鉴于</w:t>
      </w:r>
      <w:r>
        <w:rPr>
          <w:rFonts w:hint="eastAsia" w:hAnsi="宋体"/>
          <w:u w:val="single"/>
        </w:rPr>
        <w:t xml:space="preserve">        </w:t>
      </w:r>
      <w:r>
        <w:rPr>
          <w:rFonts w:hint="eastAsia" w:hAnsi="宋体"/>
        </w:rPr>
        <w:t>（以下简称“受益人”）与</w:t>
      </w:r>
      <w:r>
        <w:rPr>
          <w:rFonts w:hint="eastAsia" w:hAnsi="宋体"/>
          <w:u w:val="single"/>
        </w:rPr>
        <w:t xml:space="preserve">         </w:t>
      </w:r>
      <w:r>
        <w:rPr>
          <w:rFonts w:hint="eastAsia" w:hAnsi="宋体"/>
        </w:rPr>
        <w:t>（以下简称“申请人”）于</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rPr>
        <w:t>日就</w:t>
      </w:r>
      <w:r>
        <w:rPr>
          <w:rFonts w:hint="eastAsia" w:hAnsi="宋体"/>
          <w:u w:val="single"/>
        </w:rPr>
        <w:t xml:space="preserve">           </w:t>
      </w:r>
      <w:r>
        <w:rPr>
          <w:rFonts w:hint="eastAsia" w:hAnsi="宋体"/>
        </w:rPr>
        <w:t>工程（以下简称“本工程”）施工和有关事项协商一致共同签订《</w:t>
      </w:r>
      <w:r>
        <w:rPr>
          <w:rFonts w:hint="eastAsia" w:hAnsi="宋体"/>
          <w:u w:val="single"/>
        </w:rPr>
        <w:t xml:space="preserve">          </w:t>
      </w:r>
      <w:r>
        <w:rPr>
          <w:rFonts w:hint="eastAsia" w:hAnsi="宋体"/>
        </w:rPr>
        <w:t xml:space="preserve">》（以下简称“基础合同”），我方（即“开立人”）根据基础合同了解到申请人为基础合同项下之承包人，受益人为基础合同项下之发包人，基于申请人的请求，我方同意就申请人按照合同约定正确和合理地为合同目的使用预付款，向贵方提供不可撤销、不可转让的见索即付独立保函（以下简称“本保函”）。 </w:t>
      </w:r>
    </w:p>
    <w:p w14:paraId="50CAA948">
      <w:pPr>
        <w:ind w:firstLine="480" w:firstLineChars="200"/>
        <w:rPr>
          <w:rFonts w:hint="eastAsia" w:hAnsi="宋体"/>
        </w:rPr>
      </w:pPr>
      <w:r>
        <w:rPr>
          <w:rFonts w:hint="eastAsia" w:hAnsi="宋体"/>
        </w:rPr>
        <w:t>一、本保函担保范围：申请人未按照合同约定正确和合理地为合同目的使用预付款，应当向贵方承担违约责任和赔偿因此造成的损失、利息、律师费、诉讼费用等实现债权的费用。</w:t>
      </w:r>
    </w:p>
    <w:p w14:paraId="09CD1583">
      <w:pPr>
        <w:ind w:firstLine="480" w:firstLineChars="200"/>
        <w:rPr>
          <w:rFonts w:hint="eastAsia" w:hAnsi="宋体"/>
        </w:rPr>
      </w:pPr>
      <w:r>
        <w:rPr>
          <w:rFonts w:hint="eastAsia" w:hAnsi="宋体"/>
        </w:rPr>
        <w:t>二、本保函担保金额最高不超过人民币（大写）</w:t>
      </w:r>
      <w:r>
        <w:rPr>
          <w:rFonts w:hint="eastAsia" w:hAnsi="宋体"/>
          <w:u w:val="single"/>
        </w:rPr>
        <w:t xml:space="preserve">          </w:t>
      </w:r>
      <w:r>
        <w:rPr>
          <w:rFonts w:hint="eastAsia" w:hAnsi="宋体"/>
        </w:rPr>
        <w:t>元（¥</w:t>
      </w:r>
      <w:r>
        <w:rPr>
          <w:rFonts w:hint="eastAsia" w:hAnsi="宋体"/>
          <w:u w:val="single"/>
        </w:rPr>
        <w:t xml:space="preserve">       </w:t>
      </w:r>
      <w:r>
        <w:rPr>
          <w:rFonts w:hint="eastAsia" w:hAnsi="宋体"/>
        </w:rPr>
        <w:t xml:space="preserve">）。 </w:t>
      </w:r>
    </w:p>
    <w:p w14:paraId="1BBEFAB7">
      <w:pPr>
        <w:ind w:firstLine="480" w:firstLineChars="200"/>
        <w:rPr>
          <w:rFonts w:hint="eastAsia" w:hAnsi="宋体"/>
        </w:rPr>
      </w:pPr>
      <w:r>
        <w:rPr>
          <w:rFonts w:hint="eastAsia" w:hAnsi="宋体"/>
        </w:rPr>
        <w:t>三、本保函有效期自开立之日起至发包人全额扣回预付款后</w:t>
      </w:r>
      <w:r>
        <w:rPr>
          <w:rFonts w:hint="eastAsia" w:hAnsi="宋体"/>
          <w:u w:val="single"/>
        </w:rPr>
        <w:t xml:space="preserve">   </w:t>
      </w:r>
      <w:r>
        <w:rPr>
          <w:rFonts w:hint="eastAsia" w:hAnsi="宋体"/>
        </w:rPr>
        <w:t>日止，最迟不超过</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rPr>
        <w:t>日。</w:t>
      </w:r>
    </w:p>
    <w:p w14:paraId="08A4F3D5">
      <w:pPr>
        <w:ind w:firstLine="480" w:firstLineChars="200"/>
        <w:rPr>
          <w:rFonts w:hint="eastAsia" w:hAnsi="宋体"/>
        </w:rPr>
      </w:pPr>
      <w:r>
        <w:rPr>
          <w:rFonts w:hint="eastAsia" w:hAnsi="宋体"/>
        </w:rPr>
        <w:t>四、我方承诺，在收到受益人发来的书面付款通知后的</w:t>
      </w:r>
      <w:r>
        <w:rPr>
          <w:rFonts w:hint="eastAsia" w:hAnsi="宋体"/>
          <w:u w:val="single"/>
        </w:rPr>
        <w:t xml:space="preserve">    </w:t>
      </w:r>
      <w:r>
        <w:rPr>
          <w:rFonts w:hint="eastAsia" w:hAnsi="宋体"/>
        </w:rPr>
        <w:t>日内无条件支付，前述书面付款通知即为付款要求之单据，且应满足以下要求：</w:t>
      </w:r>
    </w:p>
    <w:p w14:paraId="3B2AF271">
      <w:pPr>
        <w:ind w:firstLine="480" w:firstLineChars="200"/>
        <w:rPr>
          <w:rFonts w:hint="eastAsia" w:hAnsi="宋体"/>
        </w:rPr>
      </w:pPr>
      <w:r>
        <w:rPr>
          <w:rFonts w:hint="eastAsia" w:hAnsi="宋体"/>
        </w:rPr>
        <w:t>（1）付款通知到达的日期在本保函的有效期内；</w:t>
      </w:r>
    </w:p>
    <w:p w14:paraId="79A3BE80">
      <w:pPr>
        <w:ind w:firstLine="480" w:firstLineChars="200"/>
        <w:rPr>
          <w:rFonts w:hint="eastAsia" w:hAnsi="宋体"/>
        </w:rPr>
      </w:pPr>
      <w:r>
        <w:rPr>
          <w:rFonts w:hint="eastAsia" w:hAnsi="宋体"/>
        </w:rPr>
        <w:t>（2）载明要求支付的金额；</w:t>
      </w:r>
    </w:p>
    <w:p w14:paraId="19D03275">
      <w:pPr>
        <w:ind w:firstLine="480" w:firstLineChars="200"/>
        <w:rPr>
          <w:rFonts w:hint="eastAsia" w:hAnsi="宋体"/>
        </w:rPr>
      </w:pPr>
      <w:r>
        <w:rPr>
          <w:rFonts w:hint="eastAsia" w:hAnsi="宋体"/>
        </w:rPr>
        <w:t>（3）载明申请人违反合同义务的条款和内容；</w:t>
      </w:r>
    </w:p>
    <w:p w14:paraId="632C7304">
      <w:pPr>
        <w:ind w:firstLine="480" w:firstLineChars="200"/>
        <w:rPr>
          <w:rFonts w:hint="eastAsia" w:hAnsi="宋体"/>
        </w:rPr>
      </w:pPr>
      <w:r>
        <w:rPr>
          <w:rFonts w:hint="eastAsia" w:hAnsi="宋体"/>
        </w:rPr>
        <w:t>（4）声明不存在合同文件约定或我国法律规定免除申请人或开立人支付责任的情形；</w:t>
      </w:r>
    </w:p>
    <w:p w14:paraId="3B45495A">
      <w:pPr>
        <w:ind w:firstLine="480" w:firstLineChars="200"/>
        <w:rPr>
          <w:rFonts w:hint="eastAsia" w:hAnsi="宋体"/>
        </w:rPr>
      </w:pPr>
      <w:r>
        <w:rPr>
          <w:rFonts w:hint="eastAsia" w:hAnsi="宋体"/>
        </w:rPr>
        <w:t>（5）付款通知应在本保函有效期内到达的地址是：</w:t>
      </w:r>
      <w:r>
        <w:rPr>
          <w:rFonts w:hint="eastAsia" w:hAnsi="宋体"/>
          <w:u w:val="single"/>
        </w:rPr>
        <w:t xml:space="preserve">             </w:t>
      </w:r>
      <w:r>
        <w:rPr>
          <w:rFonts w:hint="eastAsia" w:hAnsi="宋体"/>
        </w:rPr>
        <w:t>。</w:t>
      </w:r>
    </w:p>
    <w:p w14:paraId="6C1BE6EC">
      <w:pPr>
        <w:ind w:firstLine="480" w:firstLineChars="200"/>
        <w:rPr>
          <w:rFonts w:hint="eastAsia" w:hAnsi="宋体"/>
        </w:rPr>
      </w:pPr>
      <w:r>
        <w:rPr>
          <w:rFonts w:hint="eastAsia" w:hAnsi="宋体"/>
        </w:rPr>
        <w:t>受益人发出的书面付款通知应由其为鉴明受益人法定代表人（负责人）或授权代理人签字并加盖公章。</w:t>
      </w:r>
    </w:p>
    <w:p w14:paraId="0576D4CA">
      <w:pPr>
        <w:ind w:firstLine="480" w:firstLineChars="200"/>
        <w:rPr>
          <w:rFonts w:hint="eastAsia" w:hAnsi="宋体"/>
        </w:rPr>
      </w:pPr>
      <w:r>
        <w:rPr>
          <w:rFonts w:hint="eastAsia" w:hAnsi="宋体"/>
        </w:rPr>
        <w:t xml:space="preserve">五、本保函项下的权利不得转让，不得设定担保。贵方未经我方书面同意转 让本保函或其项下任何权利，对我方不发生法律效力。 </w:t>
      </w:r>
    </w:p>
    <w:p w14:paraId="3ACDEFF9">
      <w:pPr>
        <w:ind w:firstLine="480" w:firstLineChars="200"/>
        <w:rPr>
          <w:rFonts w:hint="eastAsia" w:hAnsi="宋体"/>
        </w:rPr>
      </w:pPr>
      <w:r>
        <w:rPr>
          <w:rFonts w:hint="eastAsia" w:hAnsi="宋体"/>
        </w:rPr>
        <w:t xml:space="preserve">六、与本保函有关的基础合同不成立、不生效、无效、被撤销、被解除，不影响本保函的独立有效。 </w:t>
      </w:r>
    </w:p>
    <w:p w14:paraId="097BEBD7">
      <w:pPr>
        <w:ind w:firstLine="480" w:firstLineChars="200"/>
        <w:rPr>
          <w:rFonts w:hint="eastAsia" w:hAnsi="宋体"/>
        </w:rPr>
      </w:pPr>
      <w:r>
        <w:rPr>
          <w:rFonts w:hint="eastAsia" w:hAnsi="宋体"/>
        </w:rPr>
        <w:t xml:space="preserve">七、贵方应在本保函到期后的七日内将本保函正本退回我方注销，但是不论贵方是否按此要求将本保函正本退回我方，我方在本保函项下的义务和责任均在保函有效期到期后自动消灭。 </w:t>
      </w:r>
    </w:p>
    <w:p w14:paraId="72135C69">
      <w:pPr>
        <w:ind w:firstLine="480" w:firstLineChars="200"/>
        <w:rPr>
          <w:rFonts w:hint="eastAsia" w:hAnsi="宋体"/>
        </w:rPr>
      </w:pPr>
      <w:r>
        <w:rPr>
          <w:rFonts w:hint="eastAsia" w:hAnsi="宋体"/>
        </w:rPr>
        <w:t>八、本保函适用的法律为中华人民共和国法律，争议裁判管辖地为中华人民共和国</w:t>
      </w:r>
      <w:r>
        <w:rPr>
          <w:rFonts w:hint="eastAsia" w:hAnsi="宋体"/>
          <w:u w:val="single"/>
        </w:rPr>
        <w:t xml:space="preserve">     </w:t>
      </w:r>
      <w:r>
        <w:rPr>
          <w:rFonts w:hint="eastAsia" w:hAnsi="宋体"/>
        </w:rPr>
        <w:t xml:space="preserve">。 </w:t>
      </w:r>
    </w:p>
    <w:p w14:paraId="6BCD2905">
      <w:pPr>
        <w:ind w:firstLine="480" w:firstLineChars="200"/>
        <w:rPr>
          <w:rFonts w:hint="eastAsia" w:hAnsi="宋体"/>
        </w:rPr>
      </w:pPr>
      <w:r>
        <w:rPr>
          <w:rFonts w:hint="eastAsia" w:hAnsi="宋体"/>
        </w:rPr>
        <w:t xml:space="preserve">九、本保函自我方法定代表人或授权代表签字并加盖公章之日起生效。 </w:t>
      </w:r>
    </w:p>
    <w:p w14:paraId="38AB8ED7">
      <w:pPr>
        <w:ind w:firstLine="480" w:firstLineChars="200"/>
        <w:rPr>
          <w:rFonts w:hint="eastAsia" w:hAnsi="宋体"/>
        </w:rPr>
      </w:pPr>
    </w:p>
    <w:p w14:paraId="2893A8D8">
      <w:pPr>
        <w:ind w:firstLine="480" w:firstLineChars="200"/>
        <w:rPr>
          <w:rFonts w:hint="eastAsia" w:hAnsi="宋体"/>
        </w:rPr>
      </w:pPr>
    </w:p>
    <w:p w14:paraId="43C13F09">
      <w:pPr>
        <w:ind w:firstLine="480" w:firstLineChars="200"/>
        <w:rPr>
          <w:rFonts w:hint="eastAsia" w:hAnsi="宋体"/>
        </w:rPr>
      </w:pPr>
      <w:r>
        <w:rPr>
          <w:rFonts w:hint="eastAsia" w:hAnsi="宋体"/>
        </w:rPr>
        <w:t xml:space="preserve">开 立 人：                              （公章） </w:t>
      </w:r>
    </w:p>
    <w:p w14:paraId="679C0A91">
      <w:pPr>
        <w:ind w:firstLine="480" w:firstLineChars="200"/>
        <w:rPr>
          <w:rFonts w:hint="eastAsia" w:hAnsi="宋体"/>
        </w:rPr>
      </w:pPr>
      <w:r>
        <w:rPr>
          <w:rFonts w:hint="eastAsia" w:hAnsi="宋体"/>
        </w:rPr>
        <w:t xml:space="preserve">法定代表人（或授权代表）：               （签字） </w:t>
      </w:r>
    </w:p>
    <w:p w14:paraId="684E55C2">
      <w:pPr>
        <w:ind w:firstLine="480" w:firstLineChars="200"/>
        <w:rPr>
          <w:rFonts w:hint="eastAsia" w:hAnsi="宋体"/>
        </w:rPr>
      </w:pPr>
      <w:r>
        <w:rPr>
          <w:rFonts w:hint="eastAsia" w:hAnsi="宋体"/>
        </w:rPr>
        <w:t xml:space="preserve">地    址：                                       </w:t>
      </w:r>
    </w:p>
    <w:p w14:paraId="203CE1B3">
      <w:pPr>
        <w:ind w:firstLine="480" w:firstLineChars="200"/>
        <w:rPr>
          <w:rFonts w:hint="eastAsia" w:hAnsi="宋体"/>
        </w:rPr>
      </w:pPr>
      <w:r>
        <w:rPr>
          <w:rFonts w:hint="eastAsia" w:hAnsi="宋体"/>
        </w:rPr>
        <w:t xml:space="preserve">邮政编码：                 </w:t>
      </w:r>
    </w:p>
    <w:p w14:paraId="5AAB4AEB">
      <w:pPr>
        <w:ind w:firstLine="480" w:firstLineChars="200"/>
        <w:rPr>
          <w:rFonts w:hint="eastAsia" w:hAnsi="宋体"/>
        </w:rPr>
      </w:pPr>
      <w:r>
        <w:rPr>
          <w:rFonts w:hint="eastAsia" w:hAnsi="宋体"/>
        </w:rPr>
        <w:t xml:space="preserve">电    话：                 </w:t>
      </w:r>
    </w:p>
    <w:p w14:paraId="786610BB">
      <w:pPr>
        <w:ind w:firstLine="480" w:firstLineChars="200"/>
        <w:rPr>
          <w:rFonts w:hint="eastAsia" w:hAnsi="宋体"/>
        </w:rPr>
      </w:pPr>
      <w:r>
        <w:rPr>
          <w:rFonts w:hint="eastAsia" w:hAnsi="宋体"/>
        </w:rPr>
        <w:t xml:space="preserve">传    真：                 </w:t>
      </w:r>
    </w:p>
    <w:p w14:paraId="7E9CBD55">
      <w:pPr>
        <w:ind w:firstLine="480" w:firstLineChars="200"/>
        <w:rPr>
          <w:rFonts w:hint="eastAsia" w:hAnsi="宋体"/>
        </w:rPr>
      </w:pPr>
      <w:r>
        <w:rPr>
          <w:rFonts w:hint="eastAsia" w:hAnsi="宋体"/>
        </w:rPr>
        <w:t>开立时间：      年      月        日</w:t>
      </w:r>
    </w:p>
    <w:p w14:paraId="5E185931">
      <w:pPr>
        <w:pStyle w:val="37"/>
        <w:ind w:firstLine="0"/>
        <w:rPr>
          <w:rFonts w:hint="eastAsia" w:hAnsi="宋体" w:cs="宋体"/>
          <w:sz w:val="24"/>
          <w:szCs w:val="24"/>
        </w:rPr>
      </w:pPr>
    </w:p>
    <w:p w14:paraId="67229B9E">
      <w:pPr>
        <w:pStyle w:val="37"/>
        <w:ind w:firstLine="0"/>
        <w:rPr>
          <w:rFonts w:hint="eastAsia" w:hAnsi="宋体" w:cs="宋体"/>
          <w:sz w:val="24"/>
          <w:szCs w:val="24"/>
        </w:rPr>
      </w:pPr>
    </w:p>
    <w:p w14:paraId="35B8EF0A">
      <w:pPr>
        <w:pStyle w:val="37"/>
        <w:ind w:firstLine="0"/>
        <w:rPr>
          <w:rFonts w:hint="eastAsia" w:hAnsi="宋体" w:cs="宋体"/>
          <w:sz w:val="24"/>
          <w:szCs w:val="24"/>
        </w:rPr>
      </w:pPr>
    </w:p>
    <w:p w14:paraId="12B72907">
      <w:pPr>
        <w:pStyle w:val="37"/>
        <w:ind w:firstLine="0"/>
        <w:rPr>
          <w:rFonts w:hint="eastAsia" w:hAnsi="宋体" w:cs="宋体"/>
          <w:sz w:val="24"/>
          <w:szCs w:val="24"/>
        </w:rPr>
      </w:pPr>
    </w:p>
    <w:p w14:paraId="17ADB595">
      <w:pPr>
        <w:pStyle w:val="37"/>
        <w:ind w:firstLine="0"/>
        <w:rPr>
          <w:rFonts w:hint="eastAsia" w:hAnsi="宋体" w:cs="宋体"/>
          <w:sz w:val="24"/>
          <w:szCs w:val="24"/>
        </w:rPr>
      </w:pPr>
    </w:p>
    <w:p w14:paraId="7E1BC5E7">
      <w:pPr>
        <w:pStyle w:val="49"/>
        <w:keepNext w:val="0"/>
        <w:keepLines w:val="0"/>
        <w:widowControl w:val="0"/>
        <w:wordWrap w:val="0"/>
        <w:adjustRightInd w:val="0"/>
        <w:snapToGrid w:val="0"/>
        <w:spacing w:before="0" w:after="0"/>
        <w:ind w:left="3640" w:leftChars="15" w:hanging="3604" w:hangingChars="1496"/>
        <w:jc w:val="both"/>
        <w:rPr>
          <w:rFonts w:hint="eastAsia" w:ascii="宋体" w:hAnsi="宋体" w:cs="宋体"/>
          <w:b/>
          <w:snapToGrid w:val="0"/>
        </w:rPr>
      </w:pPr>
      <w:bookmarkStart w:id="461" w:name="_Toc6023"/>
      <w:bookmarkStart w:id="462" w:name="_Toc10704"/>
    </w:p>
    <w:p w14:paraId="0A8438A4">
      <w:pPr>
        <w:pStyle w:val="49"/>
        <w:keepNext w:val="0"/>
        <w:keepLines w:val="0"/>
        <w:widowControl w:val="0"/>
        <w:wordWrap w:val="0"/>
        <w:adjustRightInd w:val="0"/>
        <w:snapToGrid w:val="0"/>
        <w:spacing w:before="0" w:after="0"/>
        <w:ind w:left="3640" w:leftChars="15" w:hanging="3604" w:hangingChars="1496"/>
        <w:jc w:val="both"/>
        <w:rPr>
          <w:rFonts w:hint="eastAsia" w:ascii="宋体" w:hAnsi="宋体" w:cs="宋体"/>
          <w:b/>
          <w:snapToGrid w:val="0"/>
        </w:rPr>
      </w:pPr>
      <w:r>
        <w:rPr>
          <w:rFonts w:hint="eastAsia" w:ascii="宋体" w:hAnsi="宋体" w:cs="宋体"/>
          <w:b/>
          <w:snapToGrid w:val="0"/>
        </w:rPr>
        <w:t>附件二：履约保函</w:t>
      </w:r>
      <w:bookmarkEnd w:id="461"/>
      <w:bookmarkEnd w:id="462"/>
      <w:bookmarkStart w:id="463" w:name="_Toc28124"/>
      <w:bookmarkStart w:id="464" w:name="_Toc4311"/>
    </w:p>
    <w:p w14:paraId="0D7D99AA">
      <w:pPr>
        <w:jc w:val="center"/>
        <w:rPr>
          <w:rFonts w:hint="eastAsia" w:hAnsi="宋体"/>
          <w:b/>
          <w:bCs/>
          <w:sz w:val="32"/>
          <w:szCs w:val="32"/>
        </w:rPr>
      </w:pPr>
      <w:r>
        <w:rPr>
          <w:rFonts w:hint="eastAsia" w:hAnsi="宋体"/>
          <w:b/>
          <w:bCs/>
          <w:sz w:val="32"/>
          <w:szCs w:val="32"/>
        </w:rPr>
        <w:t>履约保函</w:t>
      </w:r>
      <w:bookmarkEnd w:id="463"/>
    </w:p>
    <w:bookmarkEnd w:id="464"/>
    <w:p w14:paraId="267CB712">
      <w:pPr>
        <w:wordWrap w:val="0"/>
        <w:jc w:val="right"/>
        <w:rPr>
          <w:rFonts w:hint="eastAsia" w:hAnsi="宋体"/>
          <w:szCs w:val="21"/>
        </w:rPr>
      </w:pPr>
      <w:r>
        <w:rPr>
          <w:rFonts w:hint="eastAsia" w:hAnsi="宋体"/>
          <w:szCs w:val="21"/>
        </w:rPr>
        <w:t xml:space="preserve">编号：           </w:t>
      </w:r>
    </w:p>
    <w:p w14:paraId="1987FCBE">
      <w:pPr>
        <w:rPr>
          <w:rFonts w:hint="eastAsia" w:hAnsi="宋体"/>
        </w:rPr>
      </w:pPr>
      <w:r>
        <w:rPr>
          <w:rFonts w:hint="eastAsia" w:hAnsi="宋体"/>
        </w:rPr>
        <w:t>申请人：</w:t>
      </w:r>
    </w:p>
    <w:p w14:paraId="10F7B847">
      <w:pPr>
        <w:rPr>
          <w:rFonts w:hint="eastAsia" w:hAnsi="宋体"/>
        </w:rPr>
      </w:pPr>
      <w:r>
        <w:rPr>
          <w:rFonts w:hint="eastAsia" w:hAnsi="宋体"/>
        </w:rPr>
        <w:t xml:space="preserve">  地址：</w:t>
      </w:r>
    </w:p>
    <w:p w14:paraId="0A653890">
      <w:pPr>
        <w:rPr>
          <w:rFonts w:hint="eastAsia" w:hAnsi="宋体"/>
        </w:rPr>
      </w:pPr>
      <w:r>
        <w:rPr>
          <w:rFonts w:hint="eastAsia" w:hAnsi="宋体"/>
        </w:rPr>
        <w:t>受益人：</w:t>
      </w:r>
    </w:p>
    <w:p w14:paraId="6837ABB3">
      <w:pPr>
        <w:rPr>
          <w:rFonts w:hint="eastAsia" w:hAnsi="宋体"/>
        </w:rPr>
      </w:pPr>
      <w:r>
        <w:rPr>
          <w:rFonts w:hint="eastAsia" w:hAnsi="宋体"/>
        </w:rPr>
        <w:t xml:space="preserve">  地址：</w:t>
      </w:r>
    </w:p>
    <w:p w14:paraId="3AC2E57E">
      <w:pPr>
        <w:rPr>
          <w:rFonts w:hint="eastAsia" w:hAnsi="宋体"/>
        </w:rPr>
      </w:pPr>
      <w:r>
        <w:rPr>
          <w:rFonts w:hint="eastAsia" w:hAnsi="宋体"/>
        </w:rPr>
        <w:t>开立人：</w:t>
      </w:r>
    </w:p>
    <w:p w14:paraId="61EAE917">
      <w:pPr>
        <w:rPr>
          <w:rFonts w:hint="eastAsia" w:hAnsi="宋体"/>
        </w:rPr>
      </w:pPr>
      <w:r>
        <w:rPr>
          <w:rFonts w:hint="eastAsia" w:hAnsi="宋体"/>
        </w:rPr>
        <w:t xml:space="preserve">  地址：</w:t>
      </w:r>
    </w:p>
    <w:p w14:paraId="0BFCFACA">
      <w:pPr>
        <w:rPr>
          <w:rFonts w:hint="eastAsia" w:hAnsi="宋体"/>
        </w:rPr>
      </w:pPr>
      <w:r>
        <w:rPr>
          <w:rFonts w:hint="eastAsia" w:hAnsi="宋体"/>
        </w:rPr>
        <w:t xml:space="preserve"> </w:t>
      </w:r>
    </w:p>
    <w:p w14:paraId="032DCC49">
      <w:pPr>
        <w:rPr>
          <w:rFonts w:hint="eastAsia" w:hAnsi="宋体"/>
        </w:rPr>
      </w:pPr>
      <w:r>
        <w:rPr>
          <w:rFonts w:hint="eastAsia" w:hAnsi="宋体"/>
          <w:u w:val="single"/>
        </w:rPr>
        <w:t xml:space="preserve">              </w:t>
      </w:r>
      <w:r>
        <w:rPr>
          <w:rFonts w:hint="eastAsia" w:hAnsi="宋体"/>
        </w:rPr>
        <w:t xml:space="preserve">（受益人名称）： </w:t>
      </w:r>
    </w:p>
    <w:p w14:paraId="0F02C924">
      <w:pPr>
        <w:ind w:firstLine="480" w:firstLineChars="200"/>
        <w:rPr>
          <w:rFonts w:hint="eastAsia" w:hAnsi="宋体"/>
        </w:rPr>
      </w:pPr>
      <w:r>
        <w:rPr>
          <w:rFonts w:hint="eastAsia" w:hAnsi="宋体"/>
        </w:rPr>
        <w:t>鉴于</w:t>
      </w:r>
      <w:r>
        <w:rPr>
          <w:rFonts w:hint="eastAsia" w:hAnsi="宋体"/>
          <w:u w:val="single"/>
        </w:rPr>
        <w:t xml:space="preserve">        </w:t>
      </w:r>
      <w:r>
        <w:rPr>
          <w:rFonts w:hint="eastAsia" w:hAnsi="宋体"/>
        </w:rPr>
        <w:t>（以下简称“受益人”）与</w:t>
      </w:r>
      <w:r>
        <w:rPr>
          <w:rFonts w:hint="eastAsia" w:hAnsi="宋体"/>
          <w:u w:val="single"/>
        </w:rPr>
        <w:t xml:space="preserve">         </w:t>
      </w:r>
      <w:r>
        <w:rPr>
          <w:rFonts w:hint="eastAsia" w:hAnsi="宋体"/>
        </w:rPr>
        <w:t>（以下简称“申请人”）于</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rPr>
        <w:t>日就</w:t>
      </w:r>
      <w:r>
        <w:rPr>
          <w:rFonts w:hint="eastAsia" w:hAnsi="宋体"/>
          <w:u w:val="single"/>
        </w:rPr>
        <w:t xml:space="preserve">           </w:t>
      </w:r>
      <w:r>
        <w:rPr>
          <w:rFonts w:hint="eastAsia" w:hAnsi="宋体"/>
        </w:rPr>
        <w:t>工程（以下简称“本工程”）施工和有关事项协商一致共同签订</w:t>
      </w:r>
      <w:r>
        <w:rPr>
          <w:rFonts w:hint="eastAsia" w:hAnsi="宋体"/>
          <w:u w:val="single"/>
        </w:rPr>
        <w:t>《        》</w:t>
      </w:r>
      <w:r>
        <w:rPr>
          <w:rFonts w:hint="eastAsia" w:hAnsi="宋体"/>
        </w:rPr>
        <w:t xml:space="preserve">（以下简称“基础合同”），我方（即“开立人”）根据基础合同了解到申请人为基础合同项下之承包人，受益人为基础合同项下之发包人，基于申请人的请求，我方同意就申请人履行与贵方签订的基础合同项下的义务，向贵方提供不可撤销、不可转让的见索即付独立保函（以下简称“本保函”）。 </w:t>
      </w:r>
    </w:p>
    <w:p w14:paraId="78EB1B88">
      <w:pPr>
        <w:ind w:firstLine="480" w:firstLineChars="200"/>
        <w:rPr>
          <w:rFonts w:hint="eastAsia" w:hAnsi="宋体"/>
        </w:rPr>
      </w:pPr>
      <w:r>
        <w:rPr>
          <w:rFonts w:hint="eastAsia" w:hAnsi="宋体"/>
        </w:rPr>
        <w:t>一、本保函担保范围：承包人未按照基础合同的约定履行义务，应当向贵方承担违约责任和赔偿因此造成的损失、利息、律师费、诉讼费用等实现债权的费用。</w:t>
      </w:r>
    </w:p>
    <w:p w14:paraId="6E8C1CC0">
      <w:pPr>
        <w:ind w:firstLine="480" w:firstLineChars="200"/>
        <w:rPr>
          <w:rFonts w:hint="eastAsia" w:hAnsi="宋体"/>
        </w:rPr>
      </w:pPr>
      <w:r>
        <w:rPr>
          <w:rFonts w:hint="eastAsia" w:hAnsi="宋体"/>
        </w:rPr>
        <w:t>二、本保函担保金额最高不超过人民币（大写）</w:t>
      </w:r>
      <w:r>
        <w:rPr>
          <w:rFonts w:hint="eastAsia" w:hAnsi="宋体"/>
          <w:u w:val="single"/>
        </w:rPr>
        <w:t xml:space="preserve">          </w:t>
      </w:r>
      <w:r>
        <w:rPr>
          <w:rFonts w:hint="eastAsia" w:hAnsi="宋体"/>
        </w:rPr>
        <w:t>元（¥</w:t>
      </w:r>
      <w:r>
        <w:rPr>
          <w:rFonts w:hint="eastAsia" w:hAnsi="宋体"/>
          <w:u w:val="single"/>
        </w:rPr>
        <w:t xml:space="preserve">        </w:t>
      </w:r>
      <w:r>
        <w:rPr>
          <w:rFonts w:hint="eastAsia" w:hAnsi="宋体"/>
        </w:rPr>
        <w:t xml:space="preserve">）。 </w:t>
      </w:r>
    </w:p>
    <w:p w14:paraId="1037E4C5">
      <w:pPr>
        <w:ind w:firstLine="480" w:firstLineChars="200"/>
        <w:rPr>
          <w:rFonts w:hint="eastAsia" w:hAnsi="宋体"/>
        </w:rPr>
      </w:pPr>
      <w:r>
        <w:rPr>
          <w:rFonts w:hint="eastAsia" w:hAnsi="宋体"/>
        </w:rPr>
        <w:t>三、本保函有效期自开立之日起至基础合同约定的缺陷责任期后</w:t>
      </w:r>
      <w:r>
        <w:rPr>
          <w:rFonts w:hint="eastAsia" w:hAnsi="宋体"/>
          <w:u w:val="single"/>
        </w:rPr>
        <w:t xml:space="preserve">   </w:t>
      </w:r>
      <w:r>
        <w:rPr>
          <w:rFonts w:hint="eastAsia" w:hAnsi="宋体"/>
        </w:rPr>
        <w:t>日止，最迟不超过</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rPr>
        <w:t xml:space="preserve">日。 </w:t>
      </w:r>
    </w:p>
    <w:p w14:paraId="4B500626">
      <w:pPr>
        <w:ind w:firstLine="480"/>
        <w:rPr>
          <w:rFonts w:hint="eastAsia" w:hAnsi="宋体"/>
        </w:rPr>
      </w:pPr>
      <w:r>
        <w:rPr>
          <w:rFonts w:hint="eastAsia" w:hAnsi="宋体"/>
        </w:rPr>
        <w:t>四、我方承诺，在收到受益人发来的书面付款通知后的</w:t>
      </w:r>
      <w:r>
        <w:rPr>
          <w:rFonts w:hint="eastAsia" w:hAnsi="宋体"/>
          <w:u w:val="single"/>
        </w:rPr>
        <w:t xml:space="preserve">    </w:t>
      </w:r>
      <w:r>
        <w:rPr>
          <w:rFonts w:hint="eastAsia" w:hAnsi="宋体"/>
        </w:rPr>
        <w:t>日内无条件支付，前述书面付款通知即为付款要求之单据，且应满足以下要求：</w:t>
      </w:r>
    </w:p>
    <w:p w14:paraId="5808BC91">
      <w:pPr>
        <w:ind w:firstLine="480" w:firstLineChars="200"/>
        <w:rPr>
          <w:rFonts w:hint="eastAsia" w:hAnsi="宋体"/>
        </w:rPr>
      </w:pPr>
      <w:r>
        <w:rPr>
          <w:rFonts w:hint="eastAsia" w:hAnsi="宋体"/>
        </w:rPr>
        <w:t>（1）付款通知到达的日期在本保函的有效期内；</w:t>
      </w:r>
    </w:p>
    <w:p w14:paraId="6236DB91">
      <w:pPr>
        <w:ind w:firstLine="480" w:firstLineChars="200"/>
        <w:rPr>
          <w:rFonts w:hint="eastAsia" w:hAnsi="宋体"/>
        </w:rPr>
      </w:pPr>
      <w:r>
        <w:rPr>
          <w:rFonts w:hint="eastAsia" w:hAnsi="宋体"/>
        </w:rPr>
        <w:t>（2）载明要求支付的金额；</w:t>
      </w:r>
    </w:p>
    <w:p w14:paraId="6D924228">
      <w:pPr>
        <w:ind w:firstLine="480" w:firstLineChars="200"/>
        <w:rPr>
          <w:rFonts w:hint="eastAsia" w:hAnsi="宋体"/>
        </w:rPr>
      </w:pPr>
      <w:r>
        <w:rPr>
          <w:rFonts w:hint="eastAsia" w:hAnsi="宋体"/>
        </w:rPr>
        <w:t>（3）载明申请人违反合同义务的条款和内容；</w:t>
      </w:r>
    </w:p>
    <w:p w14:paraId="1F00FBBC">
      <w:pPr>
        <w:ind w:firstLine="480" w:firstLineChars="200"/>
        <w:rPr>
          <w:rFonts w:hint="eastAsia" w:hAnsi="宋体"/>
        </w:rPr>
      </w:pPr>
      <w:r>
        <w:rPr>
          <w:rFonts w:hint="eastAsia" w:hAnsi="宋体"/>
        </w:rPr>
        <w:t>（4）声明不存在合同文件约定或我国法律规定免除申请人或开立人支付责任的情形；</w:t>
      </w:r>
    </w:p>
    <w:p w14:paraId="03C610E0">
      <w:pPr>
        <w:ind w:firstLine="480" w:firstLineChars="200"/>
        <w:rPr>
          <w:rFonts w:hint="eastAsia" w:hAnsi="宋体"/>
        </w:rPr>
      </w:pPr>
      <w:r>
        <w:rPr>
          <w:rFonts w:hint="eastAsia" w:hAnsi="宋体"/>
        </w:rPr>
        <w:t>（5）付款通知应在本保函有效期内到达的地址是：</w:t>
      </w:r>
      <w:r>
        <w:rPr>
          <w:rFonts w:hint="eastAsia" w:hAnsi="宋体"/>
          <w:u w:val="single"/>
        </w:rPr>
        <w:t xml:space="preserve">             </w:t>
      </w:r>
      <w:r>
        <w:rPr>
          <w:rFonts w:hint="eastAsia" w:hAnsi="宋体"/>
        </w:rPr>
        <w:t>。</w:t>
      </w:r>
    </w:p>
    <w:p w14:paraId="60820FFB">
      <w:pPr>
        <w:ind w:firstLine="480" w:firstLineChars="200"/>
        <w:rPr>
          <w:rFonts w:hint="eastAsia" w:hAnsi="宋体"/>
        </w:rPr>
      </w:pPr>
      <w:r>
        <w:rPr>
          <w:rFonts w:hint="eastAsia" w:hAnsi="宋体"/>
        </w:rPr>
        <w:t>受益人发出的书面付款通知应由其为鉴明受益人法定代表人（负责人）或授权代理人签字并加盖公章。</w:t>
      </w:r>
    </w:p>
    <w:p w14:paraId="78ABE945">
      <w:pPr>
        <w:ind w:firstLine="480" w:firstLineChars="200"/>
        <w:rPr>
          <w:rFonts w:hint="eastAsia" w:hAnsi="宋体"/>
        </w:rPr>
      </w:pPr>
      <w:r>
        <w:rPr>
          <w:rFonts w:hint="eastAsia" w:hAnsi="宋体"/>
        </w:rPr>
        <w:t xml:space="preserve">五、本保函项下的权利不得转让，不得设定担保。贵方未经我方书面同意转 让本保函或其项下任何权利，对我方不发生法律效力。 </w:t>
      </w:r>
    </w:p>
    <w:p w14:paraId="7620FB24">
      <w:pPr>
        <w:ind w:firstLine="480" w:firstLineChars="200"/>
        <w:rPr>
          <w:rFonts w:hint="eastAsia" w:hAnsi="宋体"/>
        </w:rPr>
      </w:pPr>
      <w:r>
        <w:rPr>
          <w:rFonts w:hint="eastAsia" w:hAnsi="宋体"/>
        </w:rPr>
        <w:t xml:space="preserve">六、与本保函有关的基础合同不成立、不生效、无效、被撤销、被解除，不影响本保函的独立有效。 </w:t>
      </w:r>
    </w:p>
    <w:p w14:paraId="6A4F96AD">
      <w:pPr>
        <w:ind w:firstLine="480" w:firstLineChars="200"/>
        <w:rPr>
          <w:rFonts w:hint="eastAsia" w:hAnsi="宋体"/>
        </w:rPr>
      </w:pPr>
      <w:r>
        <w:rPr>
          <w:rFonts w:hint="eastAsia" w:hAnsi="宋体"/>
        </w:rPr>
        <w:t xml:space="preserve">七、贵方应在本保函到期后的七日内将本保函正本退回我方注销，但是不论贵方是否按此要求将本保函正本退回我方，我方在本保函项下的义务和责任均在保函有效期到期后自动消灭。 </w:t>
      </w:r>
    </w:p>
    <w:p w14:paraId="0A545BC5">
      <w:pPr>
        <w:ind w:firstLine="480" w:firstLineChars="200"/>
        <w:rPr>
          <w:rFonts w:hint="eastAsia" w:hAnsi="宋体"/>
        </w:rPr>
      </w:pPr>
      <w:r>
        <w:rPr>
          <w:rFonts w:hint="eastAsia" w:hAnsi="宋体"/>
        </w:rPr>
        <w:t>八、本保函适用的法律为中华人民共和国法律，争议裁判管辖地为中华人民共和国</w:t>
      </w:r>
      <w:r>
        <w:rPr>
          <w:rFonts w:hint="eastAsia" w:hAnsi="宋体"/>
          <w:u w:val="single"/>
        </w:rPr>
        <w:t xml:space="preserve">     </w:t>
      </w:r>
      <w:r>
        <w:rPr>
          <w:rFonts w:hint="eastAsia" w:hAnsi="宋体"/>
        </w:rPr>
        <w:t xml:space="preserve">。 </w:t>
      </w:r>
    </w:p>
    <w:p w14:paraId="61513DC6">
      <w:pPr>
        <w:ind w:firstLine="480" w:firstLineChars="200"/>
        <w:rPr>
          <w:rFonts w:hint="eastAsia" w:hAnsi="宋体"/>
        </w:rPr>
      </w:pPr>
      <w:r>
        <w:rPr>
          <w:rFonts w:hint="eastAsia" w:hAnsi="宋体"/>
        </w:rPr>
        <w:t xml:space="preserve">九、本保函自我方法定代表人或授权代表签字并加盖公章之日起生效。 </w:t>
      </w:r>
    </w:p>
    <w:p w14:paraId="04BBD164">
      <w:pPr>
        <w:ind w:firstLine="480" w:firstLineChars="200"/>
        <w:rPr>
          <w:rFonts w:hint="eastAsia" w:hAnsi="宋体"/>
        </w:rPr>
      </w:pPr>
    </w:p>
    <w:p w14:paraId="345C917E">
      <w:pPr>
        <w:ind w:firstLine="480" w:firstLineChars="200"/>
        <w:rPr>
          <w:rFonts w:hint="eastAsia" w:hAnsi="宋体"/>
        </w:rPr>
      </w:pPr>
    </w:p>
    <w:p w14:paraId="5E465009">
      <w:pPr>
        <w:ind w:firstLine="480" w:firstLineChars="200"/>
        <w:rPr>
          <w:rFonts w:hint="eastAsia" w:hAnsi="宋体"/>
        </w:rPr>
      </w:pPr>
      <w:r>
        <w:rPr>
          <w:rFonts w:hint="eastAsia" w:hAnsi="宋体"/>
        </w:rPr>
        <w:t xml:space="preserve">开 立 人：                              （公章） </w:t>
      </w:r>
    </w:p>
    <w:p w14:paraId="4A794B20">
      <w:pPr>
        <w:ind w:firstLine="480" w:firstLineChars="200"/>
        <w:rPr>
          <w:rFonts w:hint="eastAsia" w:hAnsi="宋体"/>
        </w:rPr>
      </w:pPr>
      <w:r>
        <w:rPr>
          <w:rFonts w:hint="eastAsia" w:hAnsi="宋体"/>
        </w:rPr>
        <w:t xml:space="preserve">法定代表人（或授权代表）：               （签字） </w:t>
      </w:r>
    </w:p>
    <w:p w14:paraId="2A43ED02">
      <w:pPr>
        <w:ind w:firstLine="480" w:firstLineChars="200"/>
        <w:rPr>
          <w:rFonts w:hint="eastAsia" w:hAnsi="宋体"/>
        </w:rPr>
      </w:pPr>
      <w:r>
        <w:rPr>
          <w:rFonts w:hint="eastAsia" w:hAnsi="宋体"/>
        </w:rPr>
        <w:t xml:space="preserve">地    址：                                       </w:t>
      </w:r>
    </w:p>
    <w:p w14:paraId="0AE82C2A">
      <w:pPr>
        <w:ind w:firstLine="480" w:firstLineChars="200"/>
        <w:rPr>
          <w:rFonts w:hint="eastAsia" w:hAnsi="宋体"/>
        </w:rPr>
      </w:pPr>
      <w:r>
        <w:rPr>
          <w:rFonts w:hint="eastAsia" w:hAnsi="宋体"/>
        </w:rPr>
        <w:t xml:space="preserve">邮政编码：                 </w:t>
      </w:r>
    </w:p>
    <w:p w14:paraId="07F2F0D9">
      <w:pPr>
        <w:ind w:firstLine="480" w:firstLineChars="200"/>
        <w:rPr>
          <w:rFonts w:hint="eastAsia" w:hAnsi="宋体"/>
        </w:rPr>
      </w:pPr>
      <w:r>
        <w:rPr>
          <w:rFonts w:hint="eastAsia" w:hAnsi="宋体"/>
        </w:rPr>
        <w:t xml:space="preserve">电    话：                 </w:t>
      </w:r>
    </w:p>
    <w:p w14:paraId="0E0E610B">
      <w:pPr>
        <w:ind w:firstLine="480" w:firstLineChars="200"/>
        <w:rPr>
          <w:rFonts w:hint="eastAsia" w:hAnsi="宋体"/>
        </w:rPr>
      </w:pPr>
      <w:r>
        <w:rPr>
          <w:rFonts w:hint="eastAsia" w:hAnsi="宋体"/>
        </w:rPr>
        <w:t xml:space="preserve">传    真：                 </w:t>
      </w:r>
    </w:p>
    <w:p w14:paraId="58AD9CEA">
      <w:pPr>
        <w:ind w:firstLine="480" w:firstLineChars="200"/>
        <w:rPr>
          <w:rFonts w:hint="eastAsia" w:hAnsi="宋体"/>
        </w:rPr>
      </w:pPr>
      <w:r>
        <w:rPr>
          <w:rFonts w:hint="eastAsia" w:hAnsi="宋体"/>
        </w:rPr>
        <w:t>开立时间：      年      月     日</w:t>
      </w:r>
    </w:p>
    <w:p w14:paraId="1769A682">
      <w:pPr>
        <w:pStyle w:val="37"/>
        <w:rPr>
          <w:rFonts w:hint="eastAsia" w:hAnsi="宋体" w:cs="宋体"/>
        </w:rPr>
      </w:pPr>
    </w:p>
    <w:p w14:paraId="4B259979">
      <w:pPr>
        <w:pStyle w:val="5"/>
        <w:spacing w:line="360" w:lineRule="auto"/>
        <w:rPr>
          <w:rFonts w:hint="eastAsia" w:ascii="宋体" w:hAnsi="宋体" w:cs="宋体"/>
          <w:bCs/>
        </w:rPr>
      </w:pPr>
      <w:bookmarkStart w:id="465" w:name="_Toc556"/>
    </w:p>
    <w:p w14:paraId="7C7DA566">
      <w:pPr>
        <w:pStyle w:val="5"/>
        <w:spacing w:line="360" w:lineRule="auto"/>
        <w:rPr>
          <w:rFonts w:hint="eastAsia" w:ascii="宋体" w:hAnsi="宋体" w:cs="宋体"/>
          <w:bCs/>
        </w:rPr>
      </w:pPr>
    </w:p>
    <w:p w14:paraId="7B3F3037">
      <w:pPr>
        <w:pStyle w:val="5"/>
        <w:spacing w:line="360" w:lineRule="auto"/>
        <w:rPr>
          <w:rFonts w:hint="eastAsia" w:ascii="宋体" w:hAnsi="宋体" w:cs="宋体"/>
          <w:bCs/>
        </w:rPr>
      </w:pPr>
    </w:p>
    <w:p w14:paraId="4229990E">
      <w:pPr>
        <w:rPr>
          <w:rFonts w:hint="eastAsia" w:hAnsi="宋体"/>
          <w:b/>
          <w:bCs/>
        </w:rPr>
      </w:pPr>
    </w:p>
    <w:p w14:paraId="50E1774A">
      <w:pPr>
        <w:pStyle w:val="49"/>
        <w:keepNext w:val="0"/>
        <w:keepLines w:val="0"/>
        <w:widowControl w:val="0"/>
        <w:wordWrap w:val="0"/>
        <w:adjustRightInd w:val="0"/>
        <w:snapToGrid w:val="0"/>
        <w:spacing w:before="0" w:after="0"/>
        <w:ind w:firstLine="0"/>
        <w:jc w:val="both"/>
        <w:rPr>
          <w:rFonts w:hint="eastAsia" w:ascii="宋体" w:hAnsi="宋体" w:cs="宋体"/>
          <w:b/>
          <w:snapToGrid w:val="0"/>
        </w:rPr>
      </w:pPr>
      <w:bookmarkStart w:id="466" w:name="_Toc5949"/>
      <w:bookmarkStart w:id="467" w:name="_Toc7299"/>
      <w:r>
        <w:rPr>
          <w:rFonts w:hint="eastAsia" w:ascii="宋体" w:hAnsi="宋体" w:cs="宋体"/>
          <w:b/>
          <w:snapToGrid w:val="0"/>
        </w:rPr>
        <w:t>附件三：支付保函</w:t>
      </w:r>
      <w:bookmarkEnd w:id="465"/>
      <w:bookmarkEnd w:id="466"/>
      <w:bookmarkEnd w:id="467"/>
    </w:p>
    <w:p w14:paraId="74AA3D7A">
      <w:pPr>
        <w:jc w:val="center"/>
        <w:rPr>
          <w:rFonts w:hint="eastAsia" w:hAnsi="宋体"/>
          <w:b/>
          <w:bCs/>
          <w:sz w:val="32"/>
          <w:szCs w:val="32"/>
        </w:rPr>
      </w:pPr>
      <w:r>
        <w:rPr>
          <w:rFonts w:hint="eastAsia" w:hAnsi="宋体"/>
          <w:b/>
          <w:bCs/>
          <w:sz w:val="32"/>
          <w:szCs w:val="32"/>
        </w:rPr>
        <w:t>支付保函</w:t>
      </w:r>
    </w:p>
    <w:p w14:paraId="42056B3B">
      <w:pPr>
        <w:jc w:val="center"/>
        <w:rPr>
          <w:rFonts w:hint="eastAsia" w:hAnsi="宋体"/>
          <w:b/>
          <w:bCs/>
          <w:sz w:val="32"/>
          <w:szCs w:val="32"/>
        </w:rPr>
      </w:pPr>
    </w:p>
    <w:p w14:paraId="64EF7E4A">
      <w:pPr>
        <w:wordWrap w:val="0"/>
        <w:jc w:val="right"/>
        <w:rPr>
          <w:rFonts w:hint="eastAsia" w:hAnsi="宋体"/>
          <w:szCs w:val="21"/>
        </w:rPr>
      </w:pPr>
      <w:r>
        <w:rPr>
          <w:rFonts w:hint="eastAsia" w:hAnsi="宋体"/>
          <w:szCs w:val="21"/>
        </w:rPr>
        <w:t xml:space="preserve">编号：           </w:t>
      </w:r>
    </w:p>
    <w:p w14:paraId="52CCBE24">
      <w:pPr>
        <w:rPr>
          <w:rFonts w:hint="eastAsia" w:hAnsi="宋体"/>
        </w:rPr>
      </w:pPr>
      <w:r>
        <w:rPr>
          <w:rFonts w:hint="eastAsia" w:hAnsi="宋体"/>
        </w:rPr>
        <w:t>申请人：</w:t>
      </w:r>
    </w:p>
    <w:p w14:paraId="13A73C14">
      <w:pPr>
        <w:rPr>
          <w:rFonts w:hint="eastAsia" w:hAnsi="宋体"/>
        </w:rPr>
      </w:pPr>
      <w:r>
        <w:rPr>
          <w:rFonts w:hint="eastAsia" w:hAnsi="宋体"/>
        </w:rPr>
        <w:t xml:space="preserve">  地址：</w:t>
      </w:r>
    </w:p>
    <w:p w14:paraId="11B88C4E">
      <w:pPr>
        <w:rPr>
          <w:rFonts w:hint="eastAsia" w:hAnsi="宋体"/>
        </w:rPr>
      </w:pPr>
      <w:r>
        <w:rPr>
          <w:rFonts w:hint="eastAsia" w:hAnsi="宋体"/>
        </w:rPr>
        <w:t>受益人：</w:t>
      </w:r>
    </w:p>
    <w:p w14:paraId="6FEB5949">
      <w:pPr>
        <w:rPr>
          <w:rFonts w:hint="eastAsia" w:hAnsi="宋体"/>
        </w:rPr>
      </w:pPr>
      <w:r>
        <w:rPr>
          <w:rFonts w:hint="eastAsia" w:hAnsi="宋体"/>
        </w:rPr>
        <w:t xml:space="preserve">  地址：</w:t>
      </w:r>
    </w:p>
    <w:p w14:paraId="32CD3444">
      <w:pPr>
        <w:rPr>
          <w:rFonts w:hint="eastAsia" w:hAnsi="宋体"/>
        </w:rPr>
      </w:pPr>
      <w:r>
        <w:rPr>
          <w:rFonts w:hint="eastAsia" w:hAnsi="宋体"/>
        </w:rPr>
        <w:t>开立人：</w:t>
      </w:r>
    </w:p>
    <w:p w14:paraId="055ADA2A">
      <w:pPr>
        <w:rPr>
          <w:rFonts w:hint="eastAsia" w:hAnsi="宋体"/>
        </w:rPr>
      </w:pPr>
      <w:r>
        <w:rPr>
          <w:rFonts w:hint="eastAsia" w:hAnsi="宋体"/>
        </w:rPr>
        <w:t xml:space="preserve">  地址：</w:t>
      </w:r>
    </w:p>
    <w:p w14:paraId="09703F59">
      <w:pPr>
        <w:rPr>
          <w:rFonts w:hint="eastAsia" w:hAnsi="宋体"/>
        </w:rPr>
      </w:pPr>
      <w:r>
        <w:rPr>
          <w:rFonts w:hint="eastAsia" w:hAnsi="宋体"/>
        </w:rPr>
        <w:t xml:space="preserve"> </w:t>
      </w:r>
    </w:p>
    <w:p w14:paraId="323AF4C0">
      <w:pPr>
        <w:rPr>
          <w:rFonts w:hint="eastAsia" w:hAnsi="宋体"/>
        </w:rPr>
      </w:pPr>
      <w:bookmarkStart w:id="468" w:name="_Hlk40355074"/>
      <w:r>
        <w:rPr>
          <w:rFonts w:hint="eastAsia" w:hAnsi="宋体"/>
          <w:u w:val="single"/>
        </w:rPr>
        <w:t xml:space="preserve">              </w:t>
      </w:r>
      <w:r>
        <w:rPr>
          <w:rFonts w:hint="eastAsia" w:hAnsi="宋体"/>
        </w:rPr>
        <w:t xml:space="preserve">（受益人名称）： </w:t>
      </w:r>
    </w:p>
    <w:bookmarkEnd w:id="468"/>
    <w:p w14:paraId="1ACC452A">
      <w:pPr>
        <w:ind w:firstLine="480" w:firstLineChars="200"/>
        <w:rPr>
          <w:rFonts w:hint="eastAsia" w:hAnsi="宋体"/>
        </w:rPr>
      </w:pPr>
      <w:r>
        <w:rPr>
          <w:rFonts w:hint="eastAsia" w:hAnsi="宋体"/>
        </w:rPr>
        <w:t>鉴于</w:t>
      </w:r>
      <w:r>
        <w:rPr>
          <w:rFonts w:hint="eastAsia" w:hAnsi="宋体"/>
          <w:u w:val="single"/>
        </w:rPr>
        <w:t xml:space="preserve">        </w:t>
      </w:r>
      <w:r>
        <w:rPr>
          <w:rFonts w:hint="eastAsia" w:hAnsi="宋体"/>
        </w:rPr>
        <w:t>（以下简称“受益人”）与</w:t>
      </w:r>
      <w:r>
        <w:rPr>
          <w:rFonts w:hint="eastAsia" w:hAnsi="宋体"/>
          <w:u w:val="single"/>
        </w:rPr>
        <w:t xml:space="preserve">         </w:t>
      </w:r>
      <w:r>
        <w:rPr>
          <w:rFonts w:hint="eastAsia" w:hAnsi="宋体"/>
        </w:rPr>
        <w:t>（以下简称“申请人”）于</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rPr>
        <w:t>日就</w:t>
      </w:r>
      <w:r>
        <w:rPr>
          <w:rFonts w:hint="eastAsia" w:hAnsi="宋体"/>
          <w:u w:val="single"/>
        </w:rPr>
        <w:t xml:space="preserve">           </w:t>
      </w:r>
      <w:r>
        <w:rPr>
          <w:rFonts w:hint="eastAsia" w:hAnsi="宋体"/>
        </w:rPr>
        <w:t>工程（以下简称“本工程”）施工和有关事项协商一致共同签订</w:t>
      </w:r>
      <w:r>
        <w:rPr>
          <w:rFonts w:hint="eastAsia" w:hAnsi="宋体"/>
          <w:u w:val="single"/>
        </w:rPr>
        <w:t>《        》</w:t>
      </w:r>
      <w:r>
        <w:rPr>
          <w:rFonts w:hint="eastAsia" w:hAnsi="宋体"/>
        </w:rPr>
        <w:t xml:space="preserve">（以下简称“基础合同”），我方（即“开立人”）根据基础合同了解到申请人为基础合同项下之发包人，受益人为基础合同项下之承包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14:paraId="298626D0">
      <w:pPr>
        <w:ind w:firstLine="480" w:firstLineChars="200"/>
        <w:rPr>
          <w:rFonts w:hint="eastAsia" w:hAnsi="宋体"/>
        </w:rPr>
      </w:pPr>
      <w:r>
        <w:rPr>
          <w:rFonts w:hint="eastAsia" w:hAnsi="宋体"/>
        </w:rPr>
        <w:t>一、本保函担保范围：申请人未履行基础合同约定的工程款支付义务，应当向贵方承担违约责任和赔偿因此造成的损失、利息、律师费、诉讼费用等实现债权的费用。</w:t>
      </w:r>
    </w:p>
    <w:p w14:paraId="1A8BC924">
      <w:pPr>
        <w:ind w:firstLine="480" w:firstLineChars="200"/>
        <w:rPr>
          <w:rFonts w:hint="eastAsia" w:hAnsi="宋体"/>
        </w:rPr>
      </w:pPr>
      <w:r>
        <w:rPr>
          <w:rFonts w:hint="eastAsia" w:hAnsi="宋体"/>
        </w:rPr>
        <w:t>二、本保函担保金额最高不超过人民币（大写）</w:t>
      </w:r>
      <w:r>
        <w:rPr>
          <w:rFonts w:hint="eastAsia" w:hAnsi="宋体"/>
          <w:u w:val="single"/>
        </w:rPr>
        <w:t xml:space="preserve">          </w:t>
      </w:r>
      <w:r>
        <w:rPr>
          <w:rFonts w:hint="eastAsia" w:hAnsi="宋体"/>
        </w:rPr>
        <w:t>元（¥</w:t>
      </w:r>
      <w:r>
        <w:rPr>
          <w:rFonts w:hint="eastAsia" w:hAnsi="宋体"/>
          <w:u w:val="single"/>
        </w:rPr>
        <w:t xml:space="preserve">       </w:t>
      </w:r>
      <w:r>
        <w:rPr>
          <w:rFonts w:hint="eastAsia" w:hAnsi="宋体"/>
        </w:rPr>
        <w:t xml:space="preserve">）。 </w:t>
      </w:r>
    </w:p>
    <w:p w14:paraId="7FB019CE">
      <w:pPr>
        <w:ind w:firstLine="480" w:firstLineChars="200"/>
        <w:rPr>
          <w:rFonts w:hint="eastAsia" w:hAnsi="宋体"/>
        </w:rPr>
      </w:pPr>
      <w:r>
        <w:rPr>
          <w:rFonts w:hint="eastAsia" w:hAnsi="宋体"/>
        </w:rPr>
        <w:t>三、本保函有效期自开立之日起至基础合同约定的除工程质量保修金以外的全部工程结算款项支付之日后</w:t>
      </w:r>
      <w:r>
        <w:rPr>
          <w:rFonts w:hint="eastAsia" w:hAnsi="宋体"/>
          <w:u w:val="single"/>
        </w:rPr>
        <w:t xml:space="preserve">   </w:t>
      </w:r>
      <w:r>
        <w:rPr>
          <w:rFonts w:hint="eastAsia" w:hAnsi="宋体"/>
        </w:rPr>
        <w:t>日止，最迟不超过</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rPr>
        <w:t xml:space="preserve">日。 </w:t>
      </w:r>
    </w:p>
    <w:p w14:paraId="21DAE8BA">
      <w:pPr>
        <w:ind w:firstLine="480"/>
        <w:rPr>
          <w:rFonts w:hint="eastAsia" w:hAnsi="宋体"/>
        </w:rPr>
      </w:pPr>
      <w:r>
        <w:rPr>
          <w:rFonts w:hint="eastAsia" w:hAnsi="宋体"/>
        </w:rPr>
        <w:t>四、我方承诺，在收到受益人发来的书面付款通知后的</w:t>
      </w:r>
      <w:r>
        <w:rPr>
          <w:rFonts w:hint="eastAsia" w:hAnsi="宋体"/>
          <w:u w:val="single"/>
        </w:rPr>
        <w:t xml:space="preserve">    </w:t>
      </w:r>
      <w:r>
        <w:rPr>
          <w:rFonts w:hint="eastAsia" w:hAnsi="宋体"/>
        </w:rPr>
        <w:t>日内无条件支付，前述书面付款通知即为付款要求之单据，且应满足以下要求：</w:t>
      </w:r>
    </w:p>
    <w:p w14:paraId="661EE8D5">
      <w:pPr>
        <w:ind w:firstLine="480" w:firstLineChars="200"/>
        <w:rPr>
          <w:rFonts w:hint="eastAsia" w:hAnsi="宋体"/>
        </w:rPr>
      </w:pPr>
      <w:r>
        <w:rPr>
          <w:rFonts w:hint="eastAsia" w:hAnsi="宋体"/>
        </w:rPr>
        <w:t>（1）付款通知到达的日期在本保函的有效期内；</w:t>
      </w:r>
    </w:p>
    <w:p w14:paraId="4AD7153C">
      <w:pPr>
        <w:ind w:firstLine="480" w:firstLineChars="200"/>
        <w:rPr>
          <w:rFonts w:hint="eastAsia" w:hAnsi="宋体"/>
        </w:rPr>
      </w:pPr>
      <w:r>
        <w:rPr>
          <w:rFonts w:hint="eastAsia" w:hAnsi="宋体"/>
        </w:rPr>
        <w:t>（2）载明要求支付的金额；</w:t>
      </w:r>
    </w:p>
    <w:p w14:paraId="3856812E">
      <w:pPr>
        <w:ind w:firstLine="480" w:firstLineChars="200"/>
        <w:rPr>
          <w:rFonts w:hint="eastAsia" w:hAnsi="宋体"/>
        </w:rPr>
      </w:pPr>
      <w:r>
        <w:rPr>
          <w:rFonts w:hint="eastAsia" w:hAnsi="宋体"/>
        </w:rPr>
        <w:t>（3）载明申请人违反合同义务的条款和内容；</w:t>
      </w:r>
    </w:p>
    <w:p w14:paraId="69A68824">
      <w:pPr>
        <w:ind w:firstLine="480" w:firstLineChars="200"/>
        <w:rPr>
          <w:rFonts w:hint="eastAsia" w:hAnsi="宋体"/>
        </w:rPr>
      </w:pPr>
      <w:r>
        <w:rPr>
          <w:rFonts w:hint="eastAsia" w:hAnsi="宋体"/>
        </w:rPr>
        <w:t>（4）声明不存在合同文件约定或我国法律规定免除申请人或开立人支付责任的情形；</w:t>
      </w:r>
    </w:p>
    <w:p w14:paraId="34C1C364">
      <w:pPr>
        <w:ind w:firstLine="480" w:firstLineChars="200"/>
        <w:rPr>
          <w:rFonts w:hint="eastAsia" w:hAnsi="宋体"/>
        </w:rPr>
      </w:pPr>
      <w:r>
        <w:rPr>
          <w:rFonts w:hint="eastAsia" w:hAnsi="宋体"/>
        </w:rPr>
        <w:t>（5）付款通知应在本保函有效期内到达的地址是：</w:t>
      </w:r>
      <w:r>
        <w:rPr>
          <w:rFonts w:hint="eastAsia" w:hAnsi="宋体"/>
          <w:u w:val="single"/>
        </w:rPr>
        <w:t xml:space="preserve">             </w:t>
      </w:r>
      <w:r>
        <w:rPr>
          <w:rFonts w:hint="eastAsia" w:hAnsi="宋体"/>
        </w:rPr>
        <w:t>。</w:t>
      </w:r>
    </w:p>
    <w:p w14:paraId="0871A5E7">
      <w:pPr>
        <w:ind w:firstLine="480" w:firstLineChars="200"/>
        <w:rPr>
          <w:rFonts w:hint="eastAsia" w:hAnsi="宋体"/>
        </w:rPr>
      </w:pPr>
      <w:r>
        <w:rPr>
          <w:rFonts w:hint="eastAsia" w:hAnsi="宋体"/>
        </w:rPr>
        <w:t>受益人发出的书面付款通知应由其为鉴明受益人法定代表人（负责人）或授权代理人签字并加盖公章。</w:t>
      </w:r>
    </w:p>
    <w:p w14:paraId="0AF648D7">
      <w:pPr>
        <w:ind w:firstLine="480" w:firstLineChars="200"/>
        <w:rPr>
          <w:rFonts w:hint="eastAsia" w:hAnsi="宋体"/>
        </w:rPr>
      </w:pPr>
      <w:r>
        <w:rPr>
          <w:rFonts w:hint="eastAsia" w:hAnsi="宋体"/>
        </w:rPr>
        <w:t xml:space="preserve">五、本保函项下的权利不得转让，不得设定担保。贵方未经我方书面同意转 让本保函或其项下任何权利，对我方不发生法律效力。 </w:t>
      </w:r>
    </w:p>
    <w:p w14:paraId="2555233E">
      <w:pPr>
        <w:ind w:firstLine="480" w:firstLineChars="200"/>
        <w:rPr>
          <w:rFonts w:hint="eastAsia" w:hAnsi="宋体"/>
        </w:rPr>
      </w:pPr>
      <w:r>
        <w:rPr>
          <w:rFonts w:hint="eastAsia" w:hAnsi="宋体"/>
        </w:rPr>
        <w:t xml:space="preserve">六、与本保函有关的基础合同不成立、不生效、无效、被撤销、被解除，不影响本保函的独立有效。 </w:t>
      </w:r>
    </w:p>
    <w:p w14:paraId="4E35D1C5">
      <w:pPr>
        <w:ind w:firstLine="480" w:firstLineChars="200"/>
        <w:rPr>
          <w:rFonts w:hint="eastAsia" w:hAnsi="宋体"/>
        </w:rPr>
      </w:pPr>
      <w:r>
        <w:rPr>
          <w:rFonts w:hint="eastAsia" w:hAnsi="宋体"/>
        </w:rPr>
        <w:t xml:space="preserve">七、贵方应在本保函到期后的七日内将本保函正本退回我方注销，但是不论贵方是否按此要求将本保函正本退回我方，我方在本保函项下的义务和责任均在保函有效期到期后自动消灭。 </w:t>
      </w:r>
    </w:p>
    <w:p w14:paraId="01BD6104">
      <w:pPr>
        <w:ind w:firstLine="480" w:firstLineChars="200"/>
        <w:rPr>
          <w:rFonts w:hint="eastAsia" w:hAnsi="宋体"/>
        </w:rPr>
      </w:pPr>
      <w:r>
        <w:rPr>
          <w:rFonts w:hint="eastAsia" w:hAnsi="宋体"/>
        </w:rPr>
        <w:t>八、本保函适用的法律为中华人民共和国法律，争议裁判管辖地为中华人民共和国</w:t>
      </w:r>
      <w:r>
        <w:rPr>
          <w:rFonts w:hint="eastAsia" w:hAnsi="宋体"/>
          <w:u w:val="single"/>
        </w:rPr>
        <w:t xml:space="preserve">     </w:t>
      </w:r>
      <w:r>
        <w:rPr>
          <w:rFonts w:hint="eastAsia" w:hAnsi="宋体"/>
        </w:rPr>
        <w:t xml:space="preserve">。 </w:t>
      </w:r>
    </w:p>
    <w:p w14:paraId="593F7FE3">
      <w:pPr>
        <w:ind w:firstLine="480" w:firstLineChars="200"/>
        <w:rPr>
          <w:rFonts w:hint="eastAsia" w:hAnsi="宋体"/>
        </w:rPr>
      </w:pPr>
      <w:r>
        <w:rPr>
          <w:rFonts w:hint="eastAsia" w:hAnsi="宋体"/>
        </w:rPr>
        <w:t>九、本保函自我方法定代表人</w:t>
      </w:r>
      <w:bookmarkStart w:id="469" w:name="_Hlk58487855"/>
      <w:r>
        <w:rPr>
          <w:rFonts w:hint="eastAsia" w:hAnsi="宋体"/>
        </w:rPr>
        <w:t>或授权代表</w:t>
      </w:r>
      <w:bookmarkEnd w:id="469"/>
      <w:r>
        <w:rPr>
          <w:rFonts w:hint="eastAsia" w:hAnsi="宋体"/>
        </w:rPr>
        <w:t xml:space="preserve">签字并加盖公章之日起生效。 </w:t>
      </w:r>
    </w:p>
    <w:p w14:paraId="741A1276">
      <w:pPr>
        <w:ind w:firstLine="480" w:firstLineChars="200"/>
        <w:rPr>
          <w:rFonts w:hint="eastAsia" w:hAnsi="宋体"/>
        </w:rPr>
      </w:pPr>
    </w:p>
    <w:p w14:paraId="27433866">
      <w:pPr>
        <w:ind w:firstLine="480" w:firstLineChars="200"/>
        <w:rPr>
          <w:rFonts w:hint="eastAsia" w:hAnsi="宋体"/>
        </w:rPr>
      </w:pPr>
    </w:p>
    <w:p w14:paraId="58D75A86">
      <w:pPr>
        <w:ind w:firstLine="480" w:firstLineChars="200"/>
        <w:rPr>
          <w:rFonts w:hint="eastAsia" w:hAnsi="宋体"/>
        </w:rPr>
      </w:pPr>
      <w:r>
        <w:rPr>
          <w:rFonts w:hint="eastAsia" w:hAnsi="宋体"/>
        </w:rPr>
        <w:t xml:space="preserve">开 立 人：                              （公章） </w:t>
      </w:r>
    </w:p>
    <w:p w14:paraId="58B8ACBB">
      <w:pPr>
        <w:ind w:firstLine="480" w:firstLineChars="200"/>
        <w:rPr>
          <w:rFonts w:hint="eastAsia" w:hAnsi="宋体"/>
        </w:rPr>
      </w:pPr>
      <w:r>
        <w:rPr>
          <w:rFonts w:hint="eastAsia" w:hAnsi="宋体"/>
        </w:rPr>
        <w:t xml:space="preserve">法定代表人（或授权代表）：               （签字） </w:t>
      </w:r>
    </w:p>
    <w:p w14:paraId="3FC76AE9">
      <w:pPr>
        <w:ind w:firstLine="480" w:firstLineChars="200"/>
        <w:rPr>
          <w:rFonts w:hint="eastAsia" w:hAnsi="宋体"/>
        </w:rPr>
      </w:pPr>
      <w:r>
        <w:rPr>
          <w:rFonts w:hint="eastAsia" w:hAnsi="宋体"/>
        </w:rPr>
        <w:t xml:space="preserve">地    址：                                       </w:t>
      </w:r>
    </w:p>
    <w:p w14:paraId="605D327A">
      <w:pPr>
        <w:ind w:firstLine="480" w:firstLineChars="200"/>
        <w:rPr>
          <w:rFonts w:hint="eastAsia" w:hAnsi="宋体"/>
        </w:rPr>
      </w:pPr>
      <w:r>
        <w:rPr>
          <w:rFonts w:hint="eastAsia" w:hAnsi="宋体"/>
        </w:rPr>
        <w:t xml:space="preserve">邮政编码：                 </w:t>
      </w:r>
    </w:p>
    <w:p w14:paraId="7266573F">
      <w:pPr>
        <w:ind w:firstLine="480" w:firstLineChars="200"/>
        <w:rPr>
          <w:rFonts w:hint="eastAsia" w:hAnsi="宋体"/>
        </w:rPr>
      </w:pPr>
      <w:r>
        <w:rPr>
          <w:rFonts w:hint="eastAsia" w:hAnsi="宋体"/>
        </w:rPr>
        <w:t xml:space="preserve">电    话：                 </w:t>
      </w:r>
    </w:p>
    <w:p w14:paraId="5B2DFF6D">
      <w:pPr>
        <w:ind w:firstLine="480" w:firstLineChars="200"/>
        <w:rPr>
          <w:rFonts w:hint="eastAsia" w:hAnsi="宋体"/>
        </w:rPr>
      </w:pPr>
      <w:r>
        <w:rPr>
          <w:rFonts w:hint="eastAsia" w:hAnsi="宋体"/>
        </w:rPr>
        <w:t xml:space="preserve">传    真：                 </w:t>
      </w:r>
    </w:p>
    <w:p w14:paraId="0EACD609">
      <w:pPr>
        <w:ind w:firstLine="480" w:firstLineChars="200"/>
        <w:rPr>
          <w:rFonts w:hint="eastAsia" w:hAnsi="宋体"/>
        </w:rPr>
        <w:sectPr>
          <w:endnotePr>
            <w:numFmt w:val="decimal"/>
          </w:endnotePr>
          <w:pgSz w:w="11906" w:h="16838"/>
          <w:pgMar w:top="1461" w:right="1495" w:bottom="977" w:left="1531" w:header="850" w:footer="992" w:gutter="0"/>
          <w:cols w:space="720" w:num="1"/>
          <w:docGrid w:linePitch="327" w:charSpace="0"/>
        </w:sectPr>
      </w:pPr>
      <w:r>
        <w:rPr>
          <w:rFonts w:hint="eastAsia" w:hAnsi="宋体"/>
        </w:rPr>
        <w:t>开立时间：      年      月      日</w:t>
      </w:r>
    </w:p>
    <w:p w14:paraId="179BDE28">
      <w:pPr>
        <w:pStyle w:val="52"/>
        <w:tabs>
          <w:tab w:val="left" w:pos="885"/>
        </w:tabs>
        <w:snapToGrid w:val="0"/>
        <w:ind w:firstLine="0" w:firstLineChars="0"/>
        <w:jc w:val="center"/>
        <w:outlineLvl w:val="0"/>
        <w:rPr>
          <w:rStyle w:val="28"/>
          <w:rFonts w:hint="eastAsia"/>
          <w:b/>
          <w:bCs/>
        </w:rPr>
      </w:pPr>
      <w:bookmarkStart w:id="470" w:name="_Toc19055"/>
      <w:bookmarkStart w:id="471" w:name="_Toc17509"/>
      <w:bookmarkStart w:id="472" w:name="_Toc25616"/>
      <w:bookmarkStart w:id="473" w:name="_Toc32570"/>
      <w:bookmarkStart w:id="474" w:name="_Toc20461"/>
      <w:bookmarkStart w:id="475" w:name="_Toc24640"/>
      <w:bookmarkStart w:id="476" w:name="_Toc18368"/>
      <w:bookmarkStart w:id="477" w:name="_Toc23090"/>
      <w:bookmarkStart w:id="478" w:name="_Toc23902"/>
      <w:bookmarkStart w:id="479" w:name="_Toc24572"/>
      <w:bookmarkStart w:id="480" w:name="_Toc30224"/>
      <w:bookmarkStart w:id="481" w:name="_Toc28086"/>
      <w:r>
        <w:rPr>
          <w:rStyle w:val="28"/>
          <w:rFonts w:hint="eastAsia"/>
          <w:b/>
          <w:bCs/>
        </w:rPr>
        <w:t>第四章 技术要求</w:t>
      </w:r>
      <w:bookmarkEnd w:id="345"/>
      <w:bookmarkEnd w:id="470"/>
      <w:bookmarkEnd w:id="471"/>
      <w:bookmarkEnd w:id="472"/>
      <w:bookmarkEnd w:id="473"/>
      <w:bookmarkEnd w:id="474"/>
      <w:bookmarkEnd w:id="475"/>
      <w:bookmarkEnd w:id="476"/>
      <w:bookmarkEnd w:id="477"/>
      <w:bookmarkEnd w:id="478"/>
      <w:bookmarkEnd w:id="479"/>
      <w:bookmarkEnd w:id="480"/>
      <w:bookmarkEnd w:id="481"/>
    </w:p>
    <w:p w14:paraId="51A65190">
      <w:pPr>
        <w:pStyle w:val="53"/>
        <w:snapToGrid w:val="0"/>
        <w:spacing w:before="0" w:after="0"/>
        <w:ind w:firstLine="0"/>
        <w:jc w:val="both"/>
        <w:rPr>
          <w:rStyle w:val="28"/>
          <w:rFonts w:hint="eastAsia" w:hAnsi="宋体"/>
          <w:b/>
          <w:bCs/>
        </w:rPr>
      </w:pPr>
    </w:p>
    <w:p w14:paraId="7493E184">
      <w:pPr>
        <w:widowControl w:val="0"/>
        <w:wordWrap w:val="0"/>
        <w:adjustRightInd w:val="0"/>
        <w:snapToGrid w:val="0"/>
        <w:ind w:firstLine="482" w:firstLineChars="200"/>
        <w:textAlignment w:val="auto"/>
        <w:rPr>
          <w:rFonts w:hint="eastAsia" w:hAnsi="宋体"/>
          <w:b/>
          <w:snapToGrid w:val="0"/>
          <w:kern w:val="0"/>
        </w:rPr>
      </w:pPr>
      <w:bookmarkStart w:id="482" w:name="_Hlt69670335"/>
      <w:bookmarkEnd w:id="482"/>
      <w:r>
        <w:rPr>
          <w:rFonts w:hint="eastAsia" w:hAnsi="宋体"/>
          <w:b/>
          <w:snapToGrid w:val="0"/>
          <w:kern w:val="0"/>
        </w:rPr>
        <w:t>1.房屋建筑工程建设项目</w:t>
      </w:r>
    </w:p>
    <w:p w14:paraId="683F8DD8">
      <w:pPr>
        <w:widowControl w:val="0"/>
        <w:wordWrap w:val="0"/>
        <w:adjustRightInd w:val="0"/>
        <w:snapToGrid w:val="0"/>
        <w:ind w:firstLine="480" w:firstLineChars="200"/>
        <w:textAlignment w:val="auto"/>
        <w:rPr>
          <w:rFonts w:hint="eastAsia" w:hAnsi="宋体"/>
          <w:bCs/>
          <w:snapToGrid w:val="0"/>
          <w:kern w:val="0"/>
        </w:rPr>
      </w:pPr>
      <w:bookmarkStart w:id="483" w:name="_Hlt78709799"/>
      <w:bookmarkEnd w:id="483"/>
      <w:bookmarkStart w:id="484" w:name="_Hlt69359086"/>
      <w:bookmarkEnd w:id="484"/>
      <w:bookmarkStart w:id="485" w:name="_Hlt69359245"/>
      <w:bookmarkEnd w:id="485"/>
      <w:bookmarkStart w:id="486" w:name="_Hlt69359243"/>
      <w:bookmarkEnd w:id="486"/>
      <w:bookmarkStart w:id="487" w:name="_Hlt69635252"/>
      <w:bookmarkEnd w:id="487"/>
      <w:bookmarkStart w:id="488" w:name="_Hlt69358458"/>
      <w:bookmarkEnd w:id="488"/>
      <w:bookmarkStart w:id="489" w:name="_Hlt69116858"/>
      <w:bookmarkEnd w:id="489"/>
      <w:r>
        <w:rPr>
          <w:rFonts w:hint="eastAsia" w:hAnsi="宋体"/>
          <w:bCs/>
          <w:snapToGrid w:val="0"/>
          <w:kern w:val="0"/>
        </w:rPr>
        <w:t>房屋建筑工程建设项目必须执行的现行技术规范，包括且不限于：</w:t>
      </w:r>
    </w:p>
    <w:p w14:paraId="69319246">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（1）《建筑工程施工质量验收统一标准》；</w:t>
      </w:r>
    </w:p>
    <w:p w14:paraId="2DC57C78">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（2）《建筑地基基础工程施工质量验收规范》；</w:t>
      </w:r>
    </w:p>
    <w:p w14:paraId="0C44D6CC">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（3）《砌体工程施工质量验收规范》；</w:t>
      </w:r>
    </w:p>
    <w:p w14:paraId="47F1035C">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（4）《混凝土结构工程施工质量验收规范》；</w:t>
      </w:r>
    </w:p>
    <w:p w14:paraId="041AC38E">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（5）《屋面工程质量验收规范》；</w:t>
      </w:r>
    </w:p>
    <w:p w14:paraId="11CCDDFA">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（6）《地下防水工程质量验收规范》；</w:t>
      </w:r>
    </w:p>
    <w:p w14:paraId="7B6C8CEB">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（7）</w:t>
      </w:r>
      <w:bookmarkStart w:id="490" w:name="_Hlt78795211"/>
      <w:bookmarkEnd w:id="490"/>
      <w:r>
        <w:rPr>
          <w:rFonts w:hint="eastAsia" w:hAnsi="宋体"/>
          <w:bCs/>
          <w:snapToGrid w:val="0"/>
          <w:kern w:val="0"/>
        </w:rPr>
        <w:t>《建筑地面工程施工质量验收规范》；</w:t>
      </w:r>
    </w:p>
    <w:p w14:paraId="0E67100E">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（8）《建筑装饰装修工程施工质量验收规范》；</w:t>
      </w:r>
    </w:p>
    <w:p w14:paraId="22DFA628">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（9）《建筑给排水及采暖工程施工质量验收规范》；</w:t>
      </w:r>
    </w:p>
    <w:p w14:paraId="78F6016D">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（10）《建筑电气工程施工质量验收规范》；</w:t>
      </w:r>
    </w:p>
    <w:p w14:paraId="10A1BBF2">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（11）《住建部绿色建筑评价标准》；</w:t>
      </w:r>
    </w:p>
    <w:p w14:paraId="27B3E472">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（12）《建筑节能与可再生能源利用通用规范》（GB55015-2021）；</w:t>
      </w:r>
    </w:p>
    <w:p w14:paraId="3B4F9F5D">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（13）《建筑环境通用规范》；</w:t>
      </w:r>
    </w:p>
    <w:p w14:paraId="78A1843B">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（14）《广东省住房和城乡建设厅绿色施工导则》；</w:t>
      </w:r>
    </w:p>
    <w:p w14:paraId="675AB647">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（15）《广东省建筑工程绿色施工评价标准》；</w:t>
      </w:r>
    </w:p>
    <w:p w14:paraId="1E0FC2E6">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（16）《广东省建筑节能与绿色建筑工程施工质量验收规范》</w:t>
      </w:r>
    </w:p>
    <w:p w14:paraId="5DB4A3C1">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（17）其他现行国家、广东省关于房建工程的施工及验收规范、定额、规程、标准。</w:t>
      </w:r>
    </w:p>
    <w:p w14:paraId="75FB17C6">
      <w:pPr>
        <w:widowControl w:val="0"/>
        <w:wordWrap w:val="0"/>
        <w:adjustRightInd w:val="0"/>
        <w:snapToGrid w:val="0"/>
        <w:ind w:firstLine="480" w:firstLineChars="200"/>
        <w:textAlignment w:val="auto"/>
        <w:rPr>
          <w:rFonts w:hint="eastAsia" w:hAnsi="宋体"/>
          <w:bCs/>
          <w:snapToGrid w:val="0"/>
          <w:kern w:val="0"/>
        </w:rPr>
      </w:pPr>
    </w:p>
    <w:p w14:paraId="3CCC0004">
      <w:pPr>
        <w:widowControl w:val="0"/>
        <w:wordWrap w:val="0"/>
        <w:adjustRightInd w:val="0"/>
        <w:snapToGrid w:val="0"/>
        <w:ind w:firstLine="482" w:firstLineChars="200"/>
        <w:textAlignment w:val="auto"/>
        <w:rPr>
          <w:rFonts w:hint="eastAsia" w:hAnsi="宋体"/>
          <w:bCs/>
          <w:snapToGrid w:val="0"/>
          <w:kern w:val="0"/>
        </w:rPr>
      </w:pPr>
      <w:r>
        <w:rPr>
          <w:rFonts w:hint="eastAsia" w:hAnsi="宋体"/>
          <w:b/>
          <w:snapToGrid w:val="0"/>
          <w:kern w:val="0"/>
        </w:rPr>
        <w:t>2.市政基础设施工程建设项目</w:t>
      </w:r>
    </w:p>
    <w:p w14:paraId="7929614E">
      <w:pPr>
        <w:widowControl w:val="0"/>
        <w:wordWrap w:val="0"/>
        <w:adjustRightInd w:val="0"/>
        <w:snapToGrid w:val="0"/>
        <w:ind w:firstLine="480" w:firstLineChars="200"/>
        <w:textAlignment w:val="auto"/>
        <w:rPr>
          <w:rFonts w:hint="eastAsia" w:hAnsi="宋体"/>
          <w:bCs/>
          <w:snapToGrid w:val="0"/>
          <w:kern w:val="0"/>
          <w:szCs w:val="28"/>
        </w:rPr>
      </w:pPr>
      <w:r>
        <w:rPr>
          <w:rFonts w:hint="eastAsia" w:hAnsi="宋体"/>
          <w:bCs/>
          <w:snapToGrid w:val="0"/>
          <w:kern w:val="0"/>
        </w:rPr>
        <w:t>市政基础设施工程建设项目必须执行的现行技术规范，包括且不限于：</w:t>
      </w:r>
    </w:p>
    <w:p w14:paraId="4386F4F5">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szCs w:val="28"/>
        </w:rPr>
        <w:t>（1）《公路路基施工技术规范》</w:t>
      </w:r>
      <w:r>
        <w:rPr>
          <w:rFonts w:hint="eastAsia" w:hAnsi="宋体"/>
          <w:bCs/>
          <w:snapToGrid w:val="0"/>
          <w:kern w:val="0"/>
        </w:rPr>
        <w:t>；</w:t>
      </w:r>
    </w:p>
    <w:p w14:paraId="2B702C27">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（2）《市政道路工程质量检验评定标准》；</w:t>
      </w:r>
    </w:p>
    <w:p w14:paraId="095AA325">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（3）《市政排水管渠工程质量检验评定标准》；</w:t>
      </w:r>
    </w:p>
    <w:p w14:paraId="75318726">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（4）《给水排水管道工程施工及验收规范》；</w:t>
      </w:r>
    </w:p>
    <w:p w14:paraId="081AAC4D">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（5）《城市道路路基工程施工及验收规范》；</w:t>
      </w:r>
    </w:p>
    <w:p w14:paraId="0250C43E">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（6）《水泥砼路面施工及验收规范》；</w:t>
      </w:r>
    </w:p>
    <w:p w14:paraId="6F852FD3">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（7）《公路水泥砼路面施工技术规范》；</w:t>
      </w:r>
    </w:p>
    <w:p w14:paraId="63889F6C">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（8）《埋地硬聚氯乙烯排水管道工程技术规程》；</w:t>
      </w:r>
    </w:p>
    <w:p w14:paraId="0B58E70D">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（9）《沥青路面施工及验收规范》；</w:t>
      </w:r>
    </w:p>
    <w:p w14:paraId="6CA49804">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（10）《广东省市政工程施工质量技术资料统一用表》。</w:t>
      </w:r>
    </w:p>
    <w:p w14:paraId="0168B76F">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（11）《城市道路照明设计标准》（CJJ45-2015）；</w:t>
      </w:r>
    </w:p>
    <w:p w14:paraId="2951D90B">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（12）《低压配电设计规范》（GB50054-2011）；</w:t>
      </w:r>
    </w:p>
    <w:p w14:paraId="44004BEB">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（13）《城市道路照明工程施工及验收规程》（CJJ89-2012）；</w:t>
      </w:r>
    </w:p>
    <w:p w14:paraId="5A6D624E">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（14）《LED道路照明工程技术规范》（DB44/T 1898-2016）；</w:t>
      </w:r>
    </w:p>
    <w:p w14:paraId="31612A18">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（15）《灯具第1部分：一般要求与试验》（GB7000.1-2015）；</w:t>
      </w:r>
    </w:p>
    <w:p w14:paraId="7798B9CD">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（16）《电缆工程电缆设计标准》（GB50217-2018）；</w:t>
      </w:r>
    </w:p>
    <w:p w14:paraId="391CDA92">
      <w:pPr>
        <w:widowControl w:val="0"/>
        <w:wordWrap w:val="0"/>
        <w:adjustRightInd w:val="0"/>
        <w:snapToGrid w:val="0"/>
        <w:ind w:firstLine="480" w:firstLineChars="200"/>
        <w:textAlignment w:val="auto"/>
        <w:rPr>
          <w:rFonts w:hint="eastAsia" w:hAnsi="宋体"/>
          <w:bCs/>
          <w:snapToGrid w:val="0"/>
          <w:kern w:val="0"/>
        </w:rPr>
      </w:pPr>
      <w:r>
        <w:rPr>
          <w:rFonts w:hint="eastAsia" w:hAnsi="宋体"/>
          <w:bCs/>
          <w:snapToGrid w:val="0"/>
          <w:kern w:val="0"/>
        </w:rPr>
        <w:t>（17）其他现行国家、广东省关于市政工程的技术及验收规范、定额、规程、标准。</w:t>
      </w:r>
    </w:p>
    <w:p w14:paraId="22F9D880">
      <w:pPr>
        <w:widowControl w:val="0"/>
        <w:wordWrap w:val="0"/>
        <w:adjustRightInd w:val="0"/>
        <w:snapToGrid w:val="0"/>
        <w:ind w:firstLine="480" w:firstLineChars="200"/>
        <w:textAlignment w:val="auto"/>
        <w:rPr>
          <w:rFonts w:hint="eastAsia" w:hAnsi="宋体"/>
          <w:bCs/>
          <w:snapToGrid w:val="0"/>
          <w:kern w:val="0"/>
        </w:rPr>
      </w:pPr>
    </w:p>
    <w:p w14:paraId="65F36896">
      <w:pPr>
        <w:widowControl w:val="0"/>
        <w:wordWrap w:val="0"/>
        <w:adjustRightInd w:val="0"/>
        <w:snapToGrid w:val="0"/>
        <w:ind w:firstLine="560"/>
        <w:textAlignment w:val="auto"/>
        <w:rPr>
          <w:rFonts w:hint="eastAsia" w:hAnsi="宋体"/>
          <w:strike/>
          <w:snapToGrid w:val="0"/>
          <w:kern w:val="0"/>
        </w:rPr>
      </w:pPr>
      <w:r>
        <w:rPr>
          <w:rFonts w:hint="eastAsia" w:hAnsi="宋体"/>
          <w:b/>
          <w:snapToGrid w:val="0"/>
          <w:kern w:val="0"/>
        </w:rPr>
        <w:t>3.备查要求</w:t>
      </w:r>
    </w:p>
    <w:p w14:paraId="46002446">
      <w:pPr>
        <w:wordWrap w:val="0"/>
        <w:adjustRightInd w:val="0"/>
        <w:snapToGrid w:val="0"/>
        <w:ind w:firstLine="560"/>
        <w:rPr>
          <w:rStyle w:val="28"/>
          <w:rFonts w:hint="eastAsia" w:hAnsi="宋体"/>
          <w:strike/>
          <w:kern w:val="0"/>
        </w:rPr>
        <w:sectPr>
          <w:endnotePr>
            <w:numFmt w:val="decimal"/>
          </w:endnotePr>
          <w:pgSz w:w="11906" w:h="16838"/>
          <w:pgMar w:top="1701" w:right="1531" w:bottom="1417" w:left="1531" w:header="850" w:footer="992" w:gutter="0"/>
          <w:cols w:space="720" w:num="1"/>
          <w:docGrid w:linePitch="327" w:charSpace="0"/>
        </w:sectPr>
      </w:pPr>
      <w:r>
        <w:rPr>
          <w:rFonts w:hint="eastAsia" w:hAnsi="宋体"/>
          <w:snapToGrid w:val="0"/>
          <w:kern w:val="0"/>
        </w:rPr>
        <w:t>承包</w:t>
      </w:r>
      <w:r>
        <w:rPr>
          <w:rFonts w:hint="eastAsia" w:hAnsi="宋体"/>
          <w:bCs/>
          <w:snapToGrid w:val="0"/>
          <w:kern w:val="0"/>
        </w:rPr>
        <w:t>人必须在施工现场准备至少一套上述规范，</w:t>
      </w:r>
      <w:r>
        <w:rPr>
          <w:rFonts w:hint="eastAsia" w:hAnsi="宋体"/>
          <w:snapToGrid w:val="0"/>
          <w:kern w:val="0"/>
        </w:rPr>
        <w:t>发包</w:t>
      </w:r>
      <w:r>
        <w:rPr>
          <w:rFonts w:hint="eastAsia" w:hAnsi="宋体"/>
          <w:bCs/>
          <w:snapToGrid w:val="0"/>
          <w:kern w:val="0"/>
        </w:rPr>
        <w:t>人和监理单位可随时检查</w:t>
      </w:r>
      <w:r>
        <w:rPr>
          <w:rFonts w:hint="eastAsia" w:hAnsi="宋体"/>
          <w:snapToGrid w:val="0"/>
          <w:kern w:val="0"/>
        </w:rPr>
        <w:t>承包</w:t>
      </w:r>
      <w:r>
        <w:rPr>
          <w:rFonts w:hint="eastAsia" w:hAnsi="宋体"/>
          <w:bCs/>
          <w:snapToGrid w:val="0"/>
          <w:kern w:val="0"/>
        </w:rPr>
        <w:t>人的上述规范，并监督</w:t>
      </w:r>
      <w:r>
        <w:rPr>
          <w:rFonts w:hint="eastAsia" w:hAnsi="宋体"/>
          <w:snapToGrid w:val="0"/>
          <w:kern w:val="0"/>
        </w:rPr>
        <w:t>承包</w:t>
      </w:r>
      <w:r>
        <w:rPr>
          <w:rFonts w:hint="eastAsia" w:hAnsi="宋体"/>
          <w:bCs/>
          <w:snapToGrid w:val="0"/>
          <w:kern w:val="0"/>
        </w:rPr>
        <w:t>人按规范要求执行。</w:t>
      </w:r>
    </w:p>
    <w:p w14:paraId="0E7C6CD8">
      <w:pPr>
        <w:tabs>
          <w:tab w:val="left" w:pos="885"/>
        </w:tabs>
        <w:snapToGrid w:val="0"/>
        <w:ind w:left="885" w:hanging="885"/>
        <w:jc w:val="center"/>
        <w:outlineLvl w:val="0"/>
        <w:rPr>
          <w:rStyle w:val="28"/>
          <w:rFonts w:hint="eastAsia" w:hAnsi="宋体"/>
          <w:b/>
          <w:bCs/>
        </w:rPr>
      </w:pPr>
      <w:bookmarkStart w:id="491" w:name="_Toc2426"/>
      <w:bookmarkStart w:id="492" w:name="_Toc26762"/>
      <w:bookmarkStart w:id="493" w:name="_Toc26068"/>
      <w:bookmarkStart w:id="494" w:name="_Toc11187"/>
      <w:bookmarkStart w:id="495" w:name="_Toc27255"/>
      <w:bookmarkStart w:id="496" w:name="_Toc15000"/>
      <w:bookmarkStart w:id="497" w:name="_Toc29718"/>
      <w:bookmarkStart w:id="498" w:name="_Toc1434"/>
      <w:bookmarkStart w:id="499" w:name="_Toc24589"/>
      <w:bookmarkStart w:id="500" w:name="_Toc10825"/>
      <w:bookmarkStart w:id="501" w:name="_Toc8569"/>
      <w:bookmarkStart w:id="502" w:name="_Toc30591"/>
      <w:bookmarkStart w:id="503" w:name="_Toc9956"/>
      <w:r>
        <w:rPr>
          <w:rStyle w:val="28"/>
          <w:rFonts w:hint="eastAsia" w:hAnsi="宋体"/>
          <w:b/>
          <w:bCs/>
        </w:rPr>
        <w:t>第五章 图纸和招标工程量清单</w:t>
      </w:r>
      <w:bookmarkEnd w:id="491"/>
      <w:bookmarkEnd w:id="492"/>
      <w:bookmarkEnd w:id="493"/>
      <w:bookmarkEnd w:id="494"/>
      <w:bookmarkEnd w:id="495"/>
      <w:bookmarkEnd w:id="496"/>
      <w:bookmarkEnd w:id="497"/>
      <w:bookmarkEnd w:id="498"/>
      <w:bookmarkEnd w:id="499"/>
      <w:bookmarkEnd w:id="500"/>
      <w:bookmarkEnd w:id="501"/>
      <w:bookmarkEnd w:id="502"/>
      <w:bookmarkEnd w:id="503"/>
    </w:p>
    <w:p w14:paraId="56686505">
      <w:pPr>
        <w:snapToGrid w:val="0"/>
        <w:ind w:firstLine="480" w:firstLineChars="200"/>
        <w:rPr>
          <w:rStyle w:val="28"/>
          <w:rFonts w:hint="eastAsia" w:hAnsi="宋体"/>
          <w:kern w:val="0"/>
        </w:rPr>
      </w:pPr>
    </w:p>
    <w:p w14:paraId="7DF866C0">
      <w:pPr>
        <w:snapToGrid w:val="0"/>
        <w:ind w:firstLine="482" w:firstLineChars="200"/>
        <w:outlineLvl w:val="1"/>
        <w:rPr>
          <w:rStyle w:val="28"/>
          <w:rFonts w:hint="eastAsia" w:hAnsi="宋体"/>
          <w:kern w:val="0"/>
        </w:rPr>
      </w:pPr>
      <w:bookmarkStart w:id="504" w:name="_Toc25351"/>
      <w:bookmarkStart w:id="505" w:name="_Toc26698"/>
      <w:bookmarkStart w:id="506" w:name="_Toc4007"/>
      <w:bookmarkStart w:id="507" w:name="_Toc27327"/>
      <w:bookmarkStart w:id="508" w:name="_Toc23868"/>
      <w:bookmarkStart w:id="509" w:name="_Toc18345"/>
      <w:bookmarkStart w:id="510" w:name="_Toc23490"/>
      <w:bookmarkStart w:id="511" w:name="_Toc31734"/>
      <w:bookmarkStart w:id="512" w:name="_Toc13785"/>
      <w:bookmarkStart w:id="513" w:name="_Toc22044"/>
      <w:bookmarkStart w:id="514" w:name="_Toc17533"/>
      <w:bookmarkStart w:id="515" w:name="_Toc1614"/>
      <w:bookmarkStart w:id="516" w:name="_Toc24543"/>
      <w:r>
        <w:rPr>
          <w:rStyle w:val="28"/>
          <w:rFonts w:hint="eastAsia" w:hAnsi="宋体"/>
          <w:b/>
          <w:bCs/>
          <w:kern w:val="0"/>
        </w:rPr>
        <w:t>1.图纸</w:t>
      </w:r>
      <w:bookmarkEnd w:id="504"/>
      <w:bookmarkEnd w:id="505"/>
      <w:bookmarkEnd w:id="506"/>
      <w:bookmarkEnd w:id="507"/>
      <w:bookmarkEnd w:id="508"/>
      <w:bookmarkEnd w:id="509"/>
      <w:bookmarkEnd w:id="510"/>
      <w:bookmarkEnd w:id="511"/>
      <w:bookmarkEnd w:id="512"/>
      <w:bookmarkEnd w:id="513"/>
      <w:bookmarkEnd w:id="514"/>
      <w:bookmarkEnd w:id="515"/>
      <w:bookmarkEnd w:id="516"/>
    </w:p>
    <w:p w14:paraId="3D8AD035">
      <w:pPr>
        <w:wordWrap w:val="0"/>
        <w:adjustRightInd w:val="0"/>
        <w:snapToGrid w:val="0"/>
        <w:ind w:firstLine="480" w:firstLineChars="200"/>
        <w:rPr>
          <w:rStyle w:val="28"/>
          <w:rFonts w:hint="eastAsia" w:hAnsi="宋体"/>
          <w:kern w:val="0"/>
        </w:rPr>
      </w:pPr>
      <w:r>
        <w:rPr>
          <w:rFonts w:hint="eastAsia" w:hAnsi="宋体"/>
          <w:snapToGrid w:val="0"/>
          <w:kern w:val="0"/>
        </w:rPr>
        <w:t>本招标文件随文另附施工图（电子文件）一套。</w:t>
      </w:r>
    </w:p>
    <w:p w14:paraId="11624FDB">
      <w:pPr>
        <w:snapToGrid w:val="0"/>
        <w:ind w:firstLine="480" w:firstLineChars="200"/>
        <w:rPr>
          <w:rStyle w:val="28"/>
          <w:rFonts w:hint="eastAsia" w:hAnsi="宋体"/>
          <w:kern w:val="0"/>
        </w:rPr>
      </w:pPr>
    </w:p>
    <w:p w14:paraId="039E4CCB">
      <w:pPr>
        <w:snapToGrid w:val="0"/>
        <w:ind w:firstLine="482" w:firstLineChars="200"/>
        <w:outlineLvl w:val="1"/>
        <w:rPr>
          <w:rStyle w:val="28"/>
          <w:rFonts w:hint="eastAsia" w:hAnsi="宋体"/>
          <w:kern w:val="0"/>
        </w:rPr>
      </w:pPr>
      <w:bookmarkStart w:id="517" w:name="_Toc5487"/>
      <w:bookmarkStart w:id="518" w:name="_Toc24018"/>
      <w:bookmarkStart w:id="519" w:name="_Toc5875"/>
      <w:bookmarkStart w:id="520" w:name="_Toc12213"/>
      <w:bookmarkStart w:id="521" w:name="_Toc6335"/>
      <w:bookmarkStart w:id="522" w:name="_Toc28562"/>
      <w:bookmarkStart w:id="523" w:name="_Toc16018"/>
      <w:bookmarkStart w:id="524" w:name="_Toc3141"/>
      <w:bookmarkStart w:id="525" w:name="_Toc20200"/>
      <w:bookmarkStart w:id="526" w:name="_Toc5733"/>
      <w:bookmarkStart w:id="527" w:name="_Toc8922"/>
      <w:bookmarkStart w:id="528" w:name="_Toc24090"/>
      <w:bookmarkStart w:id="529" w:name="_Toc24790"/>
      <w:r>
        <w:rPr>
          <w:rStyle w:val="28"/>
          <w:rFonts w:hint="eastAsia" w:hAnsi="宋体"/>
          <w:b/>
          <w:bCs/>
          <w:kern w:val="0"/>
        </w:rPr>
        <w:t>2.招标工程量清单</w:t>
      </w:r>
      <w:bookmarkEnd w:id="517"/>
      <w:bookmarkEnd w:id="518"/>
      <w:bookmarkEnd w:id="519"/>
      <w:bookmarkEnd w:id="520"/>
      <w:bookmarkEnd w:id="521"/>
      <w:bookmarkEnd w:id="522"/>
      <w:bookmarkEnd w:id="523"/>
      <w:bookmarkEnd w:id="524"/>
      <w:bookmarkEnd w:id="525"/>
      <w:bookmarkEnd w:id="526"/>
      <w:bookmarkEnd w:id="527"/>
      <w:bookmarkEnd w:id="528"/>
      <w:bookmarkEnd w:id="529"/>
    </w:p>
    <w:p w14:paraId="6AF4BF1E">
      <w:pPr>
        <w:snapToGrid w:val="0"/>
        <w:ind w:firstLine="480"/>
        <w:rPr>
          <w:rStyle w:val="28"/>
          <w:rFonts w:hint="eastAsia" w:hAnsi="宋体"/>
          <w:b/>
          <w:bCs/>
        </w:rPr>
      </w:pPr>
      <w:r>
        <w:rPr>
          <w:rStyle w:val="28"/>
          <w:rFonts w:hint="eastAsia" w:hAnsi="宋体"/>
          <w:b/>
          <w:bCs/>
          <w:kern w:val="0"/>
        </w:rPr>
        <w:t>2.1</w:t>
      </w:r>
      <w:r>
        <w:rPr>
          <w:rStyle w:val="28"/>
          <w:rFonts w:hint="eastAsia" w:hAnsi="宋体"/>
          <w:kern w:val="0"/>
        </w:rPr>
        <w:t xml:space="preserve"> </w:t>
      </w:r>
      <w:r>
        <w:rPr>
          <w:rFonts w:hint="eastAsia" w:hAnsi="宋体"/>
          <w:snapToGrid w:val="0"/>
          <w:kern w:val="0"/>
        </w:rPr>
        <w:t>本招标文件随文另附招标工程量清单（</w:t>
      </w:r>
      <w:r>
        <w:rPr>
          <w:rFonts w:hint="eastAsia" w:hAnsi="宋体"/>
          <w:snapToGrid w:val="0"/>
          <w:kern w:val="0"/>
          <w:u w:val="single"/>
        </w:rPr>
        <w:t>含</w:t>
      </w:r>
      <w:r>
        <w:rPr>
          <w:rFonts w:hint="eastAsia" w:hAnsi="宋体"/>
          <w:snapToGrid w:val="0"/>
          <w:kern w:val="0"/>
          <w:u w:val="single"/>
          <w:lang w:eastAsia="zh-CN"/>
        </w:rPr>
        <w:t>最高投标限价</w:t>
      </w:r>
      <w:r>
        <w:rPr>
          <w:rFonts w:hint="eastAsia" w:hAnsi="宋体"/>
          <w:snapToGrid w:val="0"/>
          <w:kern w:val="0"/>
          <w:u w:val="single"/>
        </w:rPr>
        <w:t xml:space="preserve">的软件版/EXCEL版 </w:t>
      </w:r>
      <w:r>
        <w:rPr>
          <w:rFonts w:hint="eastAsia" w:hAnsi="宋体"/>
          <w:snapToGrid w:val="0"/>
          <w:kern w:val="0"/>
        </w:rPr>
        <w:t>电子文件）一套</w:t>
      </w:r>
      <w:r>
        <w:rPr>
          <w:rStyle w:val="28"/>
          <w:rFonts w:hint="eastAsia" w:hAnsi="宋体"/>
          <w:kern w:val="0"/>
        </w:rPr>
        <w:t>。</w:t>
      </w:r>
    </w:p>
    <w:p w14:paraId="4A54C4A7">
      <w:pPr>
        <w:snapToGrid w:val="0"/>
        <w:ind w:firstLine="480"/>
        <w:rPr>
          <w:rStyle w:val="28"/>
          <w:rFonts w:hint="eastAsia" w:hAnsi="宋体"/>
          <w:kern w:val="0"/>
        </w:rPr>
      </w:pPr>
      <w:r>
        <w:rPr>
          <w:rStyle w:val="28"/>
          <w:rFonts w:hint="eastAsia" w:hAnsi="宋体"/>
          <w:b/>
          <w:bCs/>
          <w:kern w:val="0"/>
        </w:rPr>
        <w:t>2.2</w:t>
      </w:r>
      <w:r>
        <w:rPr>
          <w:rStyle w:val="28"/>
          <w:rFonts w:hint="eastAsia" w:hAnsi="宋体"/>
          <w:kern w:val="0"/>
        </w:rPr>
        <w:t xml:space="preserve"> 本工程按照以下依据编制招标工程量清单</w:t>
      </w:r>
      <w:r>
        <w:rPr>
          <w:rFonts w:hint="eastAsia" w:hAnsi="宋体"/>
          <w:snapToGrid w:val="0"/>
          <w:kern w:val="0"/>
        </w:rPr>
        <w:t>（</w:t>
      </w:r>
      <w:r>
        <w:rPr>
          <w:rFonts w:hint="eastAsia" w:hAnsi="宋体"/>
          <w:b/>
          <w:bCs/>
          <w:snapToGrid w:val="0"/>
          <w:kern w:val="0"/>
        </w:rPr>
        <w:t>（完整）软件版</w:t>
      </w:r>
      <w:r>
        <w:rPr>
          <w:rFonts w:hint="eastAsia" w:hAnsi="宋体"/>
          <w:snapToGrid w:val="0"/>
          <w:kern w:val="0"/>
        </w:rPr>
        <w:t>）</w:t>
      </w:r>
      <w:r>
        <w:rPr>
          <w:rStyle w:val="28"/>
          <w:rFonts w:hint="eastAsia" w:hAnsi="宋体"/>
          <w:kern w:val="0"/>
        </w:rPr>
        <w:t>：</w:t>
      </w:r>
    </w:p>
    <w:p w14:paraId="31092418">
      <w:pPr>
        <w:ind w:firstLine="480" w:firstLineChars="200"/>
        <w:rPr>
          <w:rFonts w:hint="eastAsia" w:hAnsi="宋体"/>
          <w:bCs/>
          <w:snapToGrid w:val="0"/>
        </w:rPr>
      </w:pPr>
      <w:r>
        <w:rPr>
          <w:rFonts w:hint="eastAsia" w:hAnsi="宋体"/>
          <w:bCs/>
          <w:snapToGrid w:val="0"/>
        </w:rPr>
        <w:t>（1）《建设工程工程量清单计价标准》（GB/T 50500-2024）、《广东省住房和城乡建设厅关于贯彻实施〈建设工程工程量清单计价标准〉及九项专业工程工程量计算标准的通知》（粤建市〔2025〕196号）、《关于贯彻执行〈建设工程工程量清单计价标准〉及九项专业工程工程量计算标准的实施意见》（粤标定函〔2025〕24号）；</w:t>
      </w:r>
    </w:p>
    <w:p w14:paraId="46BA7600">
      <w:pPr>
        <w:ind w:firstLine="480" w:firstLineChars="200"/>
        <w:rPr>
          <w:rFonts w:hint="eastAsia" w:hAnsi="宋体"/>
          <w:bCs/>
          <w:snapToGrid w:val="0"/>
        </w:rPr>
      </w:pPr>
      <w:r>
        <w:rPr>
          <w:rFonts w:hint="eastAsia" w:hAnsi="宋体"/>
          <w:bCs/>
          <w:snapToGrid w:val="0"/>
        </w:rPr>
        <w:t>（2）投标人应对招标人提供的工程量清单进行认真细致的复核。这种复核包括对招标人提供的工程量清单中的项目编码、项目名称、项目特征描述、计量单位、工程量的准确性以及可能存在的任何书写、打印错误进行检查和复核，特别是对“分部分项工程项目清单计价表”中每个分部分项工程清单子目的工程量进行重新计算和校核。如果投标人经过检查和复核认为招标人提供的工程量清单存在差异，则投标人应将此类差异的详细情况连同按“投标须知”规定提交的要求招标人澄清的其他问题一起提交给招标人，招标人将根据实际情况决定是否颁发工程量清单、</w:t>
      </w:r>
      <w:r>
        <w:rPr>
          <w:rFonts w:hint="eastAsia" w:hAnsi="宋体"/>
          <w:bCs/>
          <w:snapToGrid w:val="0"/>
          <w:lang w:eastAsia="zh-CN"/>
        </w:rPr>
        <w:t>最高投标限价</w:t>
      </w:r>
      <w:r>
        <w:rPr>
          <w:rFonts w:hint="eastAsia" w:hAnsi="宋体"/>
          <w:bCs/>
          <w:snapToGrid w:val="0"/>
        </w:rPr>
        <w:t>的补充和（或）修改文件；</w:t>
      </w:r>
    </w:p>
    <w:p w14:paraId="7A4DAA33">
      <w:pPr>
        <w:ind w:firstLine="480" w:firstLineChars="200"/>
        <w:rPr>
          <w:rFonts w:hint="eastAsia" w:hAnsi="宋体"/>
          <w:bCs/>
          <w:snapToGrid w:val="0"/>
        </w:rPr>
      </w:pPr>
      <w:r>
        <w:rPr>
          <w:rFonts w:hint="eastAsia" w:hAnsi="宋体"/>
          <w:bCs/>
          <w:snapToGrid w:val="0"/>
        </w:rPr>
        <w:t>（3）本招标工程量清单措施项目中的</w:t>
      </w:r>
      <w:r>
        <w:rPr>
          <w:rFonts w:hint="eastAsia" w:hAnsi="宋体"/>
          <w:bCs/>
          <w:snapToGrid w:val="0"/>
          <w:u w:val="single"/>
        </w:rPr>
        <w:t>安全生产措施费、暂列金额、专业工程暂估价</w:t>
      </w:r>
      <w:r>
        <w:rPr>
          <w:rFonts w:hint="eastAsia" w:hAnsi="宋体"/>
          <w:bCs/>
          <w:snapToGrid w:val="0"/>
        </w:rPr>
        <w:t>不得作为竞争性费用，投标报价必须按本招标工程量清单规定的金额填报；</w:t>
      </w:r>
    </w:p>
    <w:p w14:paraId="10875C51">
      <w:pPr>
        <w:ind w:firstLine="480" w:firstLineChars="200"/>
        <w:rPr>
          <w:rFonts w:hint="eastAsia" w:hAnsi="宋体"/>
          <w:bCs/>
          <w:snapToGrid w:val="0"/>
        </w:rPr>
      </w:pPr>
      <w:r>
        <w:rPr>
          <w:rFonts w:hint="eastAsia" w:hAnsi="宋体"/>
          <w:bCs/>
          <w:snapToGrid w:val="0"/>
        </w:rPr>
        <w:t>（4）投标报价使用的表格格式须按照《建设工程工程量清单计价标准》（GB/T 50500-2024）；</w:t>
      </w:r>
    </w:p>
    <w:p w14:paraId="33ED5795">
      <w:pPr>
        <w:ind w:firstLine="480" w:firstLineChars="200"/>
        <w:rPr>
          <w:rFonts w:hint="eastAsia" w:hAnsi="宋体"/>
          <w:bCs/>
          <w:snapToGrid w:val="0"/>
        </w:rPr>
      </w:pPr>
      <w:r>
        <w:rPr>
          <w:rFonts w:hint="eastAsia" w:hAnsi="宋体"/>
          <w:bCs/>
          <w:snapToGrid w:val="0"/>
        </w:rPr>
        <w:t>（5）《广东省建设工程计价依据（2018）》《关于调整〈广东省建设工程计价依据2018〉计价规则的通知》（粤标定函〔2025〕22号）。具体包括：《广东省房屋建筑与装饰工程综合定额（2018）》《广东省市政工程综合定额（2018）》《广东省通用安装工程综合定额（2018）》《广东省园林绿化工程综合定额（2018）》《广东省建设工程施工机具台班费用编制规则（2018）》等；</w:t>
      </w:r>
    </w:p>
    <w:p w14:paraId="3345C5E6">
      <w:pPr>
        <w:ind w:firstLine="480" w:firstLineChars="200"/>
        <w:rPr>
          <w:rFonts w:hint="eastAsia" w:hAnsi="宋体"/>
          <w:bCs/>
          <w:snapToGrid w:val="0"/>
        </w:rPr>
      </w:pPr>
      <w:r>
        <w:rPr>
          <w:rFonts w:hint="eastAsia" w:hAnsi="宋体"/>
          <w:bCs/>
          <w:snapToGrid w:val="0"/>
        </w:rPr>
        <w:t>（6）项目建设时间、建设地点、建设规模、施工图、完工交付标准、招投标方式、材料来源、使用工人来源等相关资料；</w:t>
      </w:r>
    </w:p>
    <w:p w14:paraId="16C5C912">
      <w:pPr>
        <w:ind w:firstLine="480" w:firstLineChars="200"/>
        <w:rPr>
          <w:rFonts w:hint="eastAsia" w:hAnsi="宋体"/>
          <w:bCs/>
          <w:snapToGrid w:val="0"/>
        </w:rPr>
      </w:pPr>
      <w:r>
        <w:rPr>
          <w:rFonts w:hint="eastAsia" w:hAnsi="宋体"/>
          <w:bCs/>
          <w:snapToGrid w:val="0"/>
        </w:rPr>
        <w:t>（7）招标文件；</w:t>
      </w:r>
    </w:p>
    <w:p w14:paraId="3CBF7A13">
      <w:pPr>
        <w:ind w:firstLine="480" w:firstLineChars="200"/>
        <w:rPr>
          <w:rFonts w:hint="eastAsia" w:hAnsi="宋体"/>
          <w:bCs/>
          <w:snapToGrid w:val="0"/>
        </w:rPr>
      </w:pPr>
      <w:r>
        <w:rPr>
          <w:rFonts w:hint="eastAsia" w:hAnsi="宋体"/>
          <w:bCs/>
          <w:snapToGrid w:val="0"/>
        </w:rPr>
        <w:t>（8）施工现场情况、地勘水文资料、工程特点及常规施工方案；</w:t>
      </w:r>
    </w:p>
    <w:p w14:paraId="18BB1022">
      <w:pPr>
        <w:ind w:firstLine="480" w:firstLineChars="200"/>
        <w:rPr>
          <w:rFonts w:hint="eastAsia" w:hAnsi="宋体"/>
          <w:bCs/>
          <w:snapToGrid w:val="0"/>
        </w:rPr>
      </w:pPr>
      <w:r>
        <w:rPr>
          <w:rFonts w:hint="eastAsia" w:hAnsi="宋体"/>
          <w:bCs/>
          <w:snapToGrid w:val="0"/>
        </w:rPr>
        <w:t>（9）历史工程造价指标、要素价格指数；</w:t>
      </w:r>
    </w:p>
    <w:p w14:paraId="5B66AB09">
      <w:pPr>
        <w:snapToGrid w:val="0"/>
        <w:ind w:firstLine="480"/>
        <w:rPr>
          <w:rStyle w:val="28"/>
          <w:rFonts w:hint="eastAsia" w:hAnsi="宋体"/>
          <w:kern w:val="0"/>
        </w:rPr>
      </w:pPr>
      <w:r>
        <w:rPr>
          <w:rFonts w:hint="eastAsia" w:hAnsi="宋体"/>
          <w:bCs/>
          <w:snapToGrid w:val="0"/>
        </w:rPr>
        <w:t>（10）与建设工程有关的标准、规范、技术资料、材料设备信息价或市场价格等。</w:t>
      </w:r>
    </w:p>
    <w:p w14:paraId="0CBC6B70">
      <w:pPr>
        <w:snapToGrid w:val="0"/>
        <w:ind w:firstLine="480"/>
        <w:rPr>
          <w:rStyle w:val="28"/>
          <w:rFonts w:hint="eastAsia" w:hAnsi="宋体"/>
          <w:kern w:val="0"/>
        </w:rPr>
      </w:pPr>
    </w:p>
    <w:p w14:paraId="33726222">
      <w:pPr>
        <w:pStyle w:val="2"/>
        <w:spacing w:line="360" w:lineRule="auto"/>
        <w:rPr>
          <w:rFonts w:hint="eastAsia" w:ascii="宋体" w:hAnsi="宋体"/>
        </w:rPr>
        <w:sectPr>
          <w:endnotePr>
            <w:numFmt w:val="decimal"/>
          </w:endnotePr>
          <w:pgSz w:w="11906" w:h="16838"/>
          <w:pgMar w:top="1701" w:right="1531" w:bottom="1417" w:left="1531" w:header="850" w:footer="992" w:gutter="0"/>
          <w:cols w:space="720" w:num="1"/>
          <w:docGrid w:linePitch="327" w:charSpace="0"/>
        </w:sectPr>
      </w:pPr>
    </w:p>
    <w:p w14:paraId="462B7FE7">
      <w:pPr>
        <w:snapToGrid w:val="0"/>
        <w:ind w:firstLine="480"/>
        <w:jc w:val="center"/>
        <w:outlineLvl w:val="0"/>
        <w:rPr>
          <w:rStyle w:val="28"/>
          <w:rFonts w:hint="eastAsia" w:hAnsi="宋体"/>
          <w:b/>
          <w:bCs/>
        </w:rPr>
      </w:pPr>
      <w:bookmarkStart w:id="530" w:name="_Toc22611"/>
      <w:bookmarkStart w:id="531" w:name="_Toc23861"/>
      <w:bookmarkStart w:id="532" w:name="_Toc19390"/>
      <w:bookmarkStart w:id="533" w:name="_Toc20486"/>
      <w:bookmarkStart w:id="534" w:name="_Toc5605"/>
      <w:bookmarkStart w:id="535" w:name="_Toc2024"/>
      <w:bookmarkStart w:id="536" w:name="_Toc10673"/>
      <w:bookmarkStart w:id="537" w:name="_Toc30375"/>
      <w:bookmarkStart w:id="538" w:name="_Toc10383"/>
      <w:bookmarkStart w:id="539" w:name="_Toc11483"/>
      <w:bookmarkStart w:id="540" w:name="_Toc27783"/>
      <w:bookmarkStart w:id="541" w:name="_Toc23933"/>
      <w:bookmarkStart w:id="542" w:name="_Toc23235"/>
      <w:r>
        <w:rPr>
          <w:rStyle w:val="28"/>
          <w:rFonts w:hint="eastAsia" w:hAnsi="宋体"/>
          <w:b/>
          <w:bCs/>
        </w:rPr>
        <w:t>第六章 投标文件格式</w:t>
      </w:r>
      <w:bookmarkEnd w:id="530"/>
      <w:bookmarkEnd w:id="531"/>
      <w:bookmarkEnd w:id="532"/>
      <w:bookmarkEnd w:id="533"/>
      <w:bookmarkEnd w:id="534"/>
      <w:bookmarkEnd w:id="535"/>
      <w:bookmarkEnd w:id="536"/>
      <w:bookmarkEnd w:id="537"/>
      <w:bookmarkEnd w:id="538"/>
      <w:bookmarkEnd w:id="539"/>
      <w:bookmarkEnd w:id="540"/>
      <w:bookmarkEnd w:id="541"/>
      <w:bookmarkEnd w:id="542"/>
    </w:p>
    <w:p w14:paraId="0DD69AAF">
      <w:pPr>
        <w:pStyle w:val="55"/>
        <w:snapToGrid w:val="0"/>
        <w:ind w:firstLine="0"/>
        <w:outlineLvl w:val="1"/>
        <w:rPr>
          <w:rStyle w:val="28"/>
          <w:rFonts w:hint="eastAsia" w:hAnsi="宋体"/>
          <w:b/>
          <w:bCs/>
          <w:sz w:val="21"/>
          <w:szCs w:val="21"/>
        </w:rPr>
      </w:pPr>
    </w:p>
    <w:p w14:paraId="7CF8F646">
      <w:pPr>
        <w:pStyle w:val="54"/>
        <w:snapToGrid w:val="0"/>
        <w:ind w:firstLine="0"/>
        <w:outlineLvl w:val="1"/>
        <w:rPr>
          <w:rStyle w:val="28"/>
          <w:rFonts w:hint="eastAsia" w:hAnsi="宋体"/>
          <w:b/>
          <w:bCs/>
          <w:sz w:val="21"/>
          <w:szCs w:val="21"/>
        </w:rPr>
      </w:pPr>
      <w:bookmarkStart w:id="543" w:name="_Toc22593"/>
      <w:bookmarkStart w:id="544" w:name="_Toc319"/>
      <w:bookmarkStart w:id="545" w:name="_Toc15531"/>
      <w:bookmarkStart w:id="546" w:name="_Toc3825"/>
      <w:bookmarkStart w:id="547" w:name="_Toc27729"/>
      <w:bookmarkStart w:id="548" w:name="_Toc1983"/>
      <w:bookmarkStart w:id="549" w:name="_Toc26040"/>
      <w:bookmarkStart w:id="550" w:name="_Toc26026"/>
      <w:bookmarkStart w:id="551" w:name="_Toc2792"/>
      <w:bookmarkStart w:id="552" w:name="_Toc7724"/>
      <w:bookmarkStart w:id="553" w:name="_Toc16570"/>
      <w:bookmarkStart w:id="554" w:name="_Toc8025"/>
      <w:bookmarkStart w:id="555" w:name="_Toc2924"/>
      <w:r>
        <w:rPr>
          <w:rStyle w:val="28"/>
          <w:rFonts w:hint="eastAsia" w:hAnsi="宋体"/>
          <w:b/>
          <w:bCs/>
          <w:sz w:val="21"/>
          <w:szCs w:val="21"/>
        </w:rPr>
        <w:t>格式一 封面</w:t>
      </w:r>
      <w:bookmarkEnd w:id="543"/>
      <w:bookmarkEnd w:id="544"/>
      <w:bookmarkEnd w:id="545"/>
      <w:bookmarkEnd w:id="546"/>
      <w:bookmarkEnd w:id="547"/>
      <w:bookmarkEnd w:id="548"/>
      <w:bookmarkEnd w:id="549"/>
      <w:bookmarkEnd w:id="550"/>
      <w:bookmarkEnd w:id="551"/>
      <w:bookmarkEnd w:id="552"/>
      <w:bookmarkEnd w:id="553"/>
      <w:bookmarkEnd w:id="554"/>
      <w:bookmarkEnd w:id="555"/>
    </w:p>
    <w:p w14:paraId="760CDF4D">
      <w:pPr>
        <w:pStyle w:val="55"/>
        <w:snapToGrid w:val="0"/>
        <w:rPr>
          <w:rStyle w:val="28"/>
          <w:rFonts w:hint="eastAsia" w:hAnsi="宋体"/>
          <w:b/>
          <w:bCs/>
          <w:sz w:val="24"/>
          <w:szCs w:val="24"/>
        </w:rPr>
      </w:pPr>
    </w:p>
    <w:p w14:paraId="66DF812F">
      <w:pPr>
        <w:pStyle w:val="55"/>
        <w:snapToGrid w:val="0"/>
        <w:rPr>
          <w:rStyle w:val="28"/>
          <w:rFonts w:hint="eastAsia" w:hAnsi="宋体"/>
          <w:b/>
          <w:bCs/>
          <w:sz w:val="24"/>
          <w:szCs w:val="24"/>
        </w:rPr>
      </w:pPr>
    </w:p>
    <w:p w14:paraId="276BDDCA">
      <w:pPr>
        <w:pStyle w:val="55"/>
        <w:snapToGrid w:val="0"/>
        <w:rPr>
          <w:rStyle w:val="28"/>
          <w:rFonts w:hint="eastAsia" w:hAnsi="宋体"/>
          <w:b/>
          <w:bCs/>
          <w:sz w:val="24"/>
          <w:szCs w:val="24"/>
        </w:rPr>
      </w:pPr>
    </w:p>
    <w:p w14:paraId="70284F91">
      <w:pPr>
        <w:pStyle w:val="55"/>
        <w:snapToGrid w:val="0"/>
        <w:ind w:firstLine="0"/>
        <w:jc w:val="center"/>
        <w:rPr>
          <w:rStyle w:val="28"/>
          <w:rFonts w:hint="eastAsia" w:hAnsi="宋体"/>
          <w:b/>
          <w:bCs/>
          <w:sz w:val="48"/>
          <w:szCs w:val="48"/>
        </w:rPr>
      </w:pPr>
      <w:r>
        <w:rPr>
          <w:rStyle w:val="28"/>
          <w:rFonts w:hint="eastAsia" w:hAnsi="宋体"/>
          <w:sz w:val="48"/>
          <w:szCs w:val="48"/>
          <w:u w:val="single"/>
        </w:rPr>
        <w:t xml:space="preserve">             </w:t>
      </w:r>
      <w:bookmarkStart w:id="556" w:name="_Toc23835"/>
      <w:bookmarkStart w:id="557" w:name="_Toc21235"/>
      <w:bookmarkStart w:id="558" w:name="_Toc30993"/>
      <w:bookmarkStart w:id="559" w:name="_Toc17128"/>
      <w:r>
        <w:rPr>
          <w:rStyle w:val="28"/>
          <w:rFonts w:hint="eastAsia" w:hAnsi="宋体"/>
          <w:b/>
          <w:bCs/>
          <w:sz w:val="48"/>
          <w:szCs w:val="48"/>
        </w:rPr>
        <w:t>（工程名称）招标</w:t>
      </w:r>
      <w:bookmarkEnd w:id="556"/>
      <w:bookmarkEnd w:id="557"/>
      <w:bookmarkEnd w:id="558"/>
      <w:bookmarkEnd w:id="559"/>
      <w:r>
        <w:rPr>
          <w:rStyle w:val="28"/>
          <w:rFonts w:hint="eastAsia" w:hAnsi="宋体"/>
          <w:b/>
          <w:bCs/>
          <w:sz w:val="48"/>
          <w:szCs w:val="48"/>
        </w:rPr>
        <w:t xml:space="preserve"> </w:t>
      </w:r>
    </w:p>
    <w:p w14:paraId="55816EED">
      <w:pPr>
        <w:pStyle w:val="55"/>
        <w:snapToGrid w:val="0"/>
        <w:ind w:firstLine="0"/>
        <w:jc w:val="center"/>
        <w:rPr>
          <w:rStyle w:val="28"/>
          <w:rFonts w:hint="eastAsia" w:hAnsi="宋体"/>
          <w:b/>
          <w:bCs/>
          <w:sz w:val="32"/>
          <w:szCs w:val="32"/>
        </w:rPr>
      </w:pPr>
    </w:p>
    <w:p w14:paraId="618960AC">
      <w:pPr>
        <w:pStyle w:val="55"/>
        <w:snapToGrid w:val="0"/>
        <w:ind w:firstLine="0"/>
        <w:jc w:val="center"/>
        <w:rPr>
          <w:rStyle w:val="28"/>
          <w:rFonts w:hint="eastAsia" w:hAnsi="宋体"/>
          <w:b/>
          <w:bCs/>
          <w:sz w:val="72"/>
          <w:szCs w:val="72"/>
        </w:rPr>
      </w:pPr>
      <w:r>
        <w:rPr>
          <w:rStyle w:val="28"/>
          <w:rFonts w:hint="eastAsia" w:hAnsi="宋体"/>
          <w:b/>
          <w:bCs/>
          <w:sz w:val="72"/>
          <w:szCs w:val="72"/>
        </w:rPr>
        <w:t>投  标  文  件</w:t>
      </w:r>
    </w:p>
    <w:p w14:paraId="6E4E99DF">
      <w:pPr>
        <w:pStyle w:val="55"/>
        <w:snapToGrid w:val="0"/>
        <w:ind w:firstLine="0"/>
        <w:jc w:val="center"/>
        <w:rPr>
          <w:rStyle w:val="28"/>
          <w:rFonts w:hint="eastAsia" w:hAnsi="宋体"/>
          <w:b/>
          <w:bCs/>
          <w:sz w:val="32"/>
          <w:szCs w:val="32"/>
        </w:rPr>
      </w:pPr>
    </w:p>
    <w:p w14:paraId="5871F5B9">
      <w:pPr>
        <w:pStyle w:val="55"/>
        <w:snapToGrid w:val="0"/>
        <w:ind w:firstLine="0"/>
        <w:jc w:val="center"/>
        <w:rPr>
          <w:rStyle w:val="28"/>
          <w:rFonts w:hint="eastAsia" w:hAnsi="宋体"/>
          <w:b/>
          <w:bCs/>
          <w:sz w:val="40"/>
          <w:szCs w:val="40"/>
        </w:rPr>
      </w:pPr>
      <w:bookmarkStart w:id="560" w:name="_Toc10939"/>
      <w:bookmarkStart w:id="561" w:name="_Toc25717"/>
      <w:bookmarkStart w:id="562" w:name="_Toc23170"/>
      <w:bookmarkStart w:id="563" w:name="_Toc14202"/>
      <w:r>
        <w:rPr>
          <w:rStyle w:val="28"/>
          <w:rFonts w:hint="eastAsia" w:hAnsi="宋体"/>
          <w:b/>
          <w:bCs/>
          <w:sz w:val="40"/>
          <w:szCs w:val="40"/>
        </w:rPr>
        <w:t>（商务标书／经济标书／施工组织设计）</w:t>
      </w:r>
      <w:bookmarkEnd w:id="560"/>
      <w:bookmarkEnd w:id="561"/>
      <w:bookmarkEnd w:id="562"/>
      <w:bookmarkEnd w:id="563"/>
    </w:p>
    <w:p w14:paraId="26ECA1D6">
      <w:pPr>
        <w:pStyle w:val="55"/>
        <w:snapToGrid w:val="0"/>
        <w:rPr>
          <w:rStyle w:val="28"/>
          <w:rFonts w:hint="eastAsia" w:hAnsi="宋体"/>
          <w:b/>
          <w:bCs/>
        </w:rPr>
      </w:pPr>
    </w:p>
    <w:p w14:paraId="5F094A3C">
      <w:pPr>
        <w:pStyle w:val="55"/>
        <w:snapToGrid w:val="0"/>
        <w:rPr>
          <w:rStyle w:val="28"/>
          <w:rFonts w:hint="eastAsia" w:hAnsi="宋体"/>
          <w:b/>
          <w:bCs/>
          <w:sz w:val="32"/>
          <w:szCs w:val="32"/>
        </w:rPr>
      </w:pPr>
    </w:p>
    <w:p w14:paraId="0271C22F">
      <w:pPr>
        <w:pStyle w:val="55"/>
        <w:snapToGrid w:val="0"/>
        <w:rPr>
          <w:rStyle w:val="28"/>
          <w:rFonts w:hint="eastAsia" w:hAnsi="宋体"/>
          <w:b/>
          <w:bCs/>
          <w:sz w:val="32"/>
          <w:szCs w:val="32"/>
        </w:rPr>
      </w:pPr>
    </w:p>
    <w:p w14:paraId="61332524">
      <w:pPr>
        <w:pStyle w:val="55"/>
        <w:snapToGrid w:val="0"/>
        <w:rPr>
          <w:rStyle w:val="28"/>
          <w:rFonts w:hint="eastAsia" w:hAnsi="宋体"/>
          <w:b/>
          <w:bCs/>
          <w:sz w:val="32"/>
          <w:szCs w:val="32"/>
        </w:rPr>
      </w:pPr>
    </w:p>
    <w:p w14:paraId="0224CC65">
      <w:pPr>
        <w:pStyle w:val="55"/>
        <w:snapToGrid w:val="0"/>
        <w:ind w:firstLine="0"/>
        <w:jc w:val="center"/>
        <w:rPr>
          <w:rStyle w:val="28"/>
          <w:rFonts w:hint="eastAsia" w:hAnsi="宋体"/>
          <w:sz w:val="32"/>
          <w:szCs w:val="32"/>
        </w:rPr>
      </w:pPr>
      <w:bookmarkStart w:id="564" w:name="_Toc11118"/>
      <w:bookmarkStart w:id="565" w:name="_Toc8126"/>
      <w:bookmarkStart w:id="566" w:name="_Toc753"/>
      <w:bookmarkStart w:id="567" w:name="_Toc18522"/>
      <w:r>
        <w:rPr>
          <w:rStyle w:val="28"/>
          <w:rFonts w:hint="eastAsia" w:hAnsi="宋体"/>
          <w:sz w:val="32"/>
          <w:szCs w:val="32"/>
        </w:rPr>
        <w:t>投标人：</w:t>
      </w:r>
      <w:r>
        <w:rPr>
          <w:rStyle w:val="28"/>
          <w:rFonts w:hint="eastAsia" w:hAnsi="宋体"/>
          <w:sz w:val="32"/>
          <w:szCs w:val="32"/>
          <w:u w:val="single"/>
        </w:rPr>
        <w:t xml:space="preserve">                                   </w:t>
      </w:r>
      <w:r>
        <w:rPr>
          <w:rStyle w:val="28"/>
          <w:rFonts w:hint="eastAsia" w:hAnsi="宋体"/>
          <w:sz w:val="32"/>
          <w:szCs w:val="32"/>
        </w:rPr>
        <w:t>（盖单位章）</w:t>
      </w:r>
      <w:bookmarkEnd w:id="564"/>
      <w:bookmarkEnd w:id="565"/>
      <w:bookmarkEnd w:id="566"/>
      <w:bookmarkEnd w:id="567"/>
    </w:p>
    <w:p w14:paraId="58C201E7">
      <w:pPr>
        <w:pStyle w:val="55"/>
        <w:snapToGrid w:val="0"/>
        <w:ind w:firstLine="0"/>
        <w:jc w:val="center"/>
        <w:rPr>
          <w:rStyle w:val="28"/>
          <w:rFonts w:hint="eastAsia" w:hAnsi="宋体"/>
          <w:sz w:val="32"/>
          <w:szCs w:val="32"/>
        </w:rPr>
      </w:pPr>
    </w:p>
    <w:p w14:paraId="25CFD224">
      <w:pPr>
        <w:pStyle w:val="55"/>
        <w:snapToGrid w:val="0"/>
        <w:ind w:firstLine="0"/>
        <w:jc w:val="center"/>
        <w:rPr>
          <w:rStyle w:val="28"/>
          <w:rFonts w:hint="eastAsia" w:hAnsi="宋体"/>
          <w:sz w:val="32"/>
          <w:szCs w:val="32"/>
        </w:rPr>
      </w:pPr>
    </w:p>
    <w:p w14:paraId="30BD63AE">
      <w:pPr>
        <w:pStyle w:val="55"/>
        <w:snapToGrid w:val="0"/>
        <w:ind w:firstLine="0"/>
        <w:jc w:val="center"/>
        <w:rPr>
          <w:rStyle w:val="28"/>
          <w:rFonts w:hint="eastAsia" w:hAnsi="宋体"/>
          <w:sz w:val="32"/>
          <w:szCs w:val="32"/>
        </w:rPr>
      </w:pPr>
      <w:bookmarkStart w:id="568" w:name="_Toc19176"/>
      <w:bookmarkStart w:id="569" w:name="_Toc12062"/>
      <w:bookmarkStart w:id="570" w:name="_Toc501"/>
      <w:bookmarkStart w:id="571" w:name="_Toc28339"/>
      <w:r>
        <w:rPr>
          <w:rStyle w:val="28"/>
          <w:rFonts w:hint="eastAsia" w:hAnsi="宋体"/>
          <w:sz w:val="32"/>
          <w:szCs w:val="32"/>
        </w:rPr>
        <w:t>法定代表人或其委托代理人：</w:t>
      </w:r>
      <w:r>
        <w:rPr>
          <w:rStyle w:val="28"/>
          <w:rFonts w:hint="eastAsia" w:hAnsi="宋体"/>
          <w:sz w:val="32"/>
          <w:szCs w:val="32"/>
          <w:u w:val="single"/>
        </w:rPr>
        <w:t xml:space="preserve">               </w:t>
      </w:r>
      <w:r>
        <w:rPr>
          <w:rStyle w:val="28"/>
          <w:rFonts w:hint="eastAsia" w:hAnsi="宋体"/>
          <w:sz w:val="32"/>
          <w:szCs w:val="32"/>
        </w:rPr>
        <w:t>（签字或盖章）</w:t>
      </w:r>
      <w:bookmarkEnd w:id="568"/>
      <w:bookmarkEnd w:id="569"/>
      <w:bookmarkEnd w:id="570"/>
      <w:bookmarkEnd w:id="571"/>
    </w:p>
    <w:p w14:paraId="6CA5D151">
      <w:pPr>
        <w:pStyle w:val="55"/>
        <w:snapToGrid w:val="0"/>
        <w:ind w:firstLine="0"/>
        <w:jc w:val="center"/>
        <w:rPr>
          <w:rStyle w:val="28"/>
          <w:rFonts w:hint="eastAsia" w:hAnsi="宋体"/>
          <w:sz w:val="32"/>
          <w:szCs w:val="32"/>
        </w:rPr>
      </w:pPr>
    </w:p>
    <w:p w14:paraId="305BF8BA">
      <w:pPr>
        <w:pStyle w:val="55"/>
        <w:snapToGrid w:val="0"/>
        <w:ind w:firstLine="0"/>
        <w:jc w:val="center"/>
        <w:rPr>
          <w:rStyle w:val="28"/>
          <w:rFonts w:hint="eastAsia" w:hAnsi="宋体"/>
          <w:sz w:val="32"/>
          <w:szCs w:val="32"/>
          <w:u w:val="single"/>
        </w:rPr>
      </w:pPr>
    </w:p>
    <w:p w14:paraId="5361CB6A">
      <w:pPr>
        <w:pStyle w:val="55"/>
        <w:snapToGrid w:val="0"/>
        <w:ind w:firstLine="0"/>
        <w:jc w:val="center"/>
        <w:rPr>
          <w:rStyle w:val="28"/>
          <w:rFonts w:hint="eastAsia" w:hAnsi="宋体"/>
          <w:b/>
          <w:bCs/>
        </w:rPr>
      </w:pPr>
      <w:r>
        <w:rPr>
          <w:rStyle w:val="28"/>
          <w:rFonts w:hint="eastAsia" w:hAnsi="宋体"/>
          <w:sz w:val="32"/>
          <w:szCs w:val="32"/>
          <w:u w:val="single"/>
        </w:rPr>
        <w:t xml:space="preserve">         </w:t>
      </w:r>
      <w:bookmarkStart w:id="572" w:name="_Toc27315"/>
      <w:bookmarkStart w:id="573" w:name="_Toc23099"/>
      <w:bookmarkStart w:id="574" w:name="_Toc29803"/>
      <w:bookmarkStart w:id="575" w:name="_Toc19304"/>
      <w:bookmarkStart w:id="576" w:name="_Toc24812"/>
      <w:r>
        <w:rPr>
          <w:rStyle w:val="28"/>
          <w:rFonts w:hint="eastAsia" w:hAnsi="宋体"/>
          <w:sz w:val="32"/>
          <w:szCs w:val="32"/>
        </w:rPr>
        <w:t>年</w:t>
      </w:r>
      <w:r>
        <w:rPr>
          <w:rStyle w:val="28"/>
          <w:rFonts w:hint="eastAsia" w:hAnsi="宋体"/>
          <w:sz w:val="32"/>
          <w:szCs w:val="32"/>
          <w:u w:val="single"/>
        </w:rPr>
        <w:t xml:space="preserve">      </w:t>
      </w:r>
      <w:r>
        <w:rPr>
          <w:rStyle w:val="28"/>
          <w:rFonts w:hint="eastAsia" w:hAnsi="宋体"/>
          <w:sz w:val="32"/>
          <w:szCs w:val="32"/>
        </w:rPr>
        <w:t>月</w:t>
      </w:r>
      <w:r>
        <w:rPr>
          <w:rStyle w:val="28"/>
          <w:rFonts w:hint="eastAsia" w:hAnsi="宋体"/>
          <w:sz w:val="32"/>
          <w:szCs w:val="32"/>
          <w:u w:val="single"/>
        </w:rPr>
        <w:t xml:space="preserve">      </w:t>
      </w:r>
      <w:r>
        <w:rPr>
          <w:rStyle w:val="28"/>
          <w:rFonts w:hint="eastAsia" w:hAnsi="宋体"/>
          <w:sz w:val="32"/>
          <w:szCs w:val="32"/>
        </w:rPr>
        <w:t>日</w:t>
      </w:r>
      <w:bookmarkEnd w:id="572"/>
      <w:bookmarkEnd w:id="573"/>
      <w:bookmarkEnd w:id="574"/>
      <w:bookmarkEnd w:id="575"/>
      <w:bookmarkEnd w:id="576"/>
    </w:p>
    <w:p w14:paraId="69C58529">
      <w:pPr>
        <w:pStyle w:val="54"/>
        <w:snapToGrid w:val="0"/>
        <w:ind w:firstLine="0"/>
        <w:outlineLvl w:val="1"/>
        <w:rPr>
          <w:rStyle w:val="28"/>
          <w:rFonts w:hint="eastAsia" w:hAnsi="宋体"/>
          <w:b/>
          <w:bCs/>
          <w:sz w:val="21"/>
          <w:szCs w:val="21"/>
        </w:rPr>
      </w:pPr>
      <w:bookmarkStart w:id="577" w:name="_Toc15168"/>
      <w:bookmarkStart w:id="578" w:name="_Toc30213"/>
      <w:bookmarkStart w:id="579" w:name="_Toc9116"/>
      <w:bookmarkStart w:id="580" w:name="_Toc5509"/>
      <w:bookmarkStart w:id="581" w:name="_Toc32654"/>
      <w:bookmarkStart w:id="582" w:name="_Toc28797"/>
      <w:bookmarkStart w:id="583" w:name="_Toc27916"/>
      <w:bookmarkStart w:id="584" w:name="_Toc28278"/>
      <w:bookmarkStart w:id="585" w:name="_Toc30854"/>
      <w:bookmarkStart w:id="586" w:name="_Toc5547"/>
      <w:bookmarkStart w:id="587" w:name="_Toc23624"/>
      <w:bookmarkStart w:id="588" w:name="_Toc27021"/>
      <w:bookmarkStart w:id="589" w:name="_Toc21959"/>
      <w:r>
        <w:rPr>
          <w:rStyle w:val="28"/>
          <w:rFonts w:hint="eastAsia" w:hAnsi="宋体"/>
          <w:b/>
          <w:bCs/>
          <w:sz w:val="21"/>
          <w:szCs w:val="21"/>
        </w:rPr>
        <w:t>格式二 投标函</w:t>
      </w:r>
      <w:bookmarkEnd w:id="577"/>
      <w:bookmarkEnd w:id="578"/>
      <w:bookmarkEnd w:id="579"/>
      <w:bookmarkEnd w:id="580"/>
      <w:bookmarkEnd w:id="581"/>
      <w:bookmarkEnd w:id="582"/>
      <w:bookmarkEnd w:id="583"/>
      <w:bookmarkEnd w:id="584"/>
      <w:bookmarkEnd w:id="585"/>
      <w:bookmarkEnd w:id="586"/>
      <w:bookmarkEnd w:id="587"/>
      <w:bookmarkEnd w:id="588"/>
      <w:bookmarkEnd w:id="589"/>
    </w:p>
    <w:p w14:paraId="59926610">
      <w:pPr>
        <w:pStyle w:val="53"/>
        <w:snapToGrid w:val="0"/>
        <w:spacing w:before="260" w:after="260"/>
        <w:ind w:firstLine="0"/>
        <w:rPr>
          <w:rStyle w:val="28"/>
          <w:rFonts w:hint="eastAsia" w:hAnsi="宋体"/>
          <w:b/>
          <w:bCs/>
        </w:rPr>
      </w:pPr>
      <w:r>
        <w:rPr>
          <w:rStyle w:val="28"/>
          <w:rFonts w:hint="eastAsia" w:hAnsi="宋体"/>
          <w:b/>
          <w:bCs/>
          <w:sz w:val="30"/>
          <w:szCs w:val="30"/>
        </w:rPr>
        <w:t>投  标  函</w:t>
      </w:r>
    </w:p>
    <w:p w14:paraId="60624A6E">
      <w:pPr>
        <w:snapToGrid w:val="0"/>
        <w:jc w:val="center"/>
        <w:rPr>
          <w:rStyle w:val="28"/>
          <w:rFonts w:hint="eastAsia" w:hAnsi="宋体"/>
          <w:b/>
          <w:bCs/>
          <w:kern w:val="0"/>
        </w:rPr>
      </w:pPr>
    </w:p>
    <w:p w14:paraId="35CE36E7">
      <w:pPr>
        <w:snapToGrid w:val="0"/>
        <w:rPr>
          <w:rStyle w:val="28"/>
          <w:rFonts w:hint="eastAsia" w:hAnsi="宋体"/>
          <w:kern w:val="0"/>
        </w:rPr>
      </w:pPr>
      <w:r>
        <w:rPr>
          <w:rStyle w:val="28"/>
          <w:rFonts w:hint="eastAsia" w:hAnsi="宋体"/>
          <w:kern w:val="0"/>
        </w:rPr>
        <w:t>致：</w:t>
      </w:r>
      <w:r>
        <w:rPr>
          <w:rStyle w:val="28"/>
          <w:rFonts w:hint="eastAsia" w:hAnsi="宋体"/>
          <w:kern w:val="0"/>
          <w:u w:val="single"/>
        </w:rPr>
        <w:t xml:space="preserve">                   </w:t>
      </w:r>
      <w:r>
        <w:rPr>
          <w:rStyle w:val="28"/>
          <w:rFonts w:hint="eastAsia" w:hAnsi="宋体"/>
          <w:kern w:val="0"/>
        </w:rPr>
        <w:t>（招标人名称）</w:t>
      </w:r>
    </w:p>
    <w:p w14:paraId="431D06B2">
      <w:pPr>
        <w:snapToGrid w:val="0"/>
        <w:ind w:firstLine="570"/>
        <w:rPr>
          <w:rStyle w:val="28"/>
          <w:rFonts w:hint="eastAsia" w:hAnsi="宋体"/>
          <w:kern w:val="0"/>
        </w:rPr>
      </w:pPr>
      <w:r>
        <w:rPr>
          <w:rStyle w:val="28"/>
          <w:rFonts w:hint="eastAsia" w:hAnsi="宋体"/>
          <w:kern w:val="0"/>
        </w:rPr>
        <w:t>1. 我方考察现场并充分研究</w:t>
      </w:r>
      <w:r>
        <w:rPr>
          <w:rStyle w:val="28"/>
          <w:rFonts w:hint="eastAsia" w:hAnsi="宋体"/>
          <w:kern w:val="0"/>
          <w:u w:val="single"/>
        </w:rPr>
        <w:t xml:space="preserve">            </w:t>
      </w:r>
      <w:r>
        <w:rPr>
          <w:rStyle w:val="28"/>
          <w:rFonts w:hint="eastAsia" w:hAnsi="宋体"/>
          <w:kern w:val="0"/>
        </w:rPr>
        <w:t>（工程名称）（以下简称“本工程”）招标文件所有内容后，结合自身资质、能力和特点，愿意接受招标文件的全部内容和条件，兹以人民币（大写）：</w:t>
      </w:r>
      <w:r>
        <w:rPr>
          <w:rStyle w:val="28"/>
          <w:rFonts w:hint="eastAsia" w:hAnsi="宋体"/>
          <w:kern w:val="0"/>
          <w:u w:val="single"/>
        </w:rPr>
        <w:t xml:space="preserve">           </w:t>
      </w:r>
      <w:r>
        <w:rPr>
          <w:rStyle w:val="28"/>
          <w:rFonts w:hint="eastAsia" w:hAnsi="宋体"/>
          <w:kern w:val="0"/>
        </w:rPr>
        <w:t>（¥</w:t>
      </w:r>
      <w:r>
        <w:rPr>
          <w:rStyle w:val="28"/>
          <w:rFonts w:hint="eastAsia" w:hAnsi="宋体"/>
          <w:kern w:val="0"/>
          <w:u w:val="single"/>
        </w:rPr>
        <w:t xml:space="preserve">         </w:t>
      </w:r>
      <w:r>
        <w:rPr>
          <w:rStyle w:val="28"/>
          <w:rFonts w:hint="eastAsia" w:hAnsi="宋体"/>
          <w:kern w:val="0"/>
        </w:rPr>
        <w:t>）的投标总价竞投本工程施工。</w:t>
      </w:r>
    </w:p>
    <w:p w14:paraId="4B96BF24">
      <w:pPr>
        <w:snapToGrid w:val="0"/>
        <w:ind w:firstLine="570"/>
        <w:rPr>
          <w:rStyle w:val="28"/>
          <w:rFonts w:hint="eastAsia" w:hAnsi="宋体"/>
          <w:kern w:val="0"/>
        </w:rPr>
      </w:pPr>
      <w:r>
        <w:rPr>
          <w:rStyle w:val="28"/>
          <w:rFonts w:hint="eastAsia" w:hAnsi="宋体"/>
          <w:kern w:val="0"/>
        </w:rPr>
        <w:t>在我方的上述投标总价中，包括：安全生产措施费¥</w:t>
      </w:r>
      <w:r>
        <w:rPr>
          <w:rStyle w:val="28"/>
          <w:rFonts w:hint="eastAsia" w:hAnsi="宋体"/>
          <w:kern w:val="0"/>
          <w:u w:val="single"/>
        </w:rPr>
        <w:t xml:space="preserve">        </w:t>
      </w:r>
      <w:r>
        <w:rPr>
          <w:rStyle w:val="28"/>
          <w:rFonts w:hint="eastAsia" w:hAnsi="宋体"/>
          <w:kern w:val="0"/>
        </w:rPr>
        <w:t>，暂列金额¥</w:t>
      </w:r>
      <w:r>
        <w:rPr>
          <w:rStyle w:val="28"/>
          <w:rFonts w:hint="eastAsia" w:hAnsi="宋体"/>
          <w:kern w:val="0"/>
          <w:u w:val="single"/>
        </w:rPr>
        <w:t xml:space="preserve">        </w:t>
      </w:r>
      <w:r>
        <w:rPr>
          <w:rStyle w:val="28"/>
          <w:rFonts w:hint="eastAsia" w:hAnsi="宋体"/>
          <w:kern w:val="0"/>
        </w:rPr>
        <w:t>，专业工程暂估价¥</w:t>
      </w:r>
      <w:r>
        <w:rPr>
          <w:rStyle w:val="28"/>
          <w:rFonts w:hint="eastAsia" w:hAnsi="宋体"/>
          <w:kern w:val="0"/>
          <w:u w:val="single"/>
        </w:rPr>
        <w:t xml:space="preserve">         </w:t>
      </w:r>
      <w:r>
        <w:rPr>
          <w:rStyle w:val="28"/>
          <w:rFonts w:hint="eastAsia" w:hAnsi="宋体"/>
          <w:kern w:val="0"/>
        </w:rPr>
        <w:t>。</w:t>
      </w:r>
    </w:p>
    <w:p w14:paraId="712FB82B">
      <w:pPr>
        <w:snapToGrid w:val="0"/>
        <w:ind w:firstLine="570"/>
        <w:rPr>
          <w:rStyle w:val="28"/>
          <w:rFonts w:hint="eastAsia" w:hAnsi="宋体"/>
          <w:kern w:val="0"/>
        </w:rPr>
      </w:pPr>
      <w:r>
        <w:rPr>
          <w:rStyle w:val="28"/>
          <w:rFonts w:hint="eastAsia" w:hAnsi="宋体"/>
          <w:kern w:val="0"/>
        </w:rPr>
        <w:t>2.如果我方中标，我方保证按照合同约定的开工日期开始本工程的施工，在</w:t>
      </w:r>
    </w:p>
    <w:p w14:paraId="4EB93FA2">
      <w:pPr>
        <w:snapToGrid w:val="0"/>
        <w:rPr>
          <w:rStyle w:val="28"/>
          <w:rFonts w:hint="eastAsia" w:hAnsi="宋体"/>
          <w:kern w:val="0"/>
        </w:rPr>
      </w:pPr>
      <w:r>
        <w:rPr>
          <w:rStyle w:val="28"/>
          <w:rFonts w:hint="eastAsia" w:hAnsi="宋体"/>
          <w:kern w:val="0"/>
          <w:u w:val="single"/>
        </w:rPr>
        <w:t xml:space="preserve">   </w:t>
      </w:r>
      <w:r>
        <w:rPr>
          <w:rStyle w:val="28"/>
          <w:rFonts w:hint="eastAsia" w:hAnsi="宋体"/>
          <w:kern w:val="0"/>
        </w:rPr>
        <w:t>日历天内竣工，并确保工程质量达到</w:t>
      </w:r>
      <w:r>
        <w:rPr>
          <w:rStyle w:val="28"/>
          <w:rFonts w:hint="eastAsia" w:hAnsi="宋体"/>
          <w:kern w:val="0"/>
          <w:u w:val="single"/>
        </w:rPr>
        <w:t xml:space="preserve">      </w:t>
      </w:r>
      <w:r>
        <w:rPr>
          <w:rStyle w:val="28"/>
          <w:rFonts w:hint="eastAsia" w:hAnsi="宋体"/>
          <w:kern w:val="0"/>
        </w:rPr>
        <w:t>标准和维修其中的任何缺陷。</w:t>
      </w:r>
    </w:p>
    <w:p w14:paraId="33CB06FD">
      <w:pPr>
        <w:snapToGrid w:val="0"/>
        <w:ind w:firstLine="570"/>
        <w:rPr>
          <w:rStyle w:val="28"/>
          <w:rFonts w:hint="eastAsia" w:hAnsi="宋体"/>
          <w:kern w:val="0"/>
        </w:rPr>
      </w:pPr>
      <w:r>
        <w:rPr>
          <w:rStyle w:val="28"/>
          <w:rFonts w:hint="eastAsia" w:hAnsi="宋体"/>
          <w:kern w:val="0"/>
        </w:rPr>
        <w:t>3.本投标函在你方接收到我方递交的投标文件之日起、到招标文件规定的投标有效期期满前对我方具有约束力。我方随时准备接收你方发出的中标通知书。</w:t>
      </w:r>
    </w:p>
    <w:p w14:paraId="0ED7E949">
      <w:pPr>
        <w:snapToGrid w:val="0"/>
        <w:ind w:firstLine="570"/>
        <w:rPr>
          <w:rStyle w:val="28"/>
          <w:rFonts w:hint="eastAsia" w:hAnsi="宋体"/>
          <w:kern w:val="0"/>
        </w:rPr>
      </w:pPr>
      <w:r>
        <w:rPr>
          <w:rStyle w:val="28"/>
          <w:rFonts w:hint="eastAsia" w:hAnsi="宋体"/>
          <w:kern w:val="0"/>
        </w:rPr>
        <w:t>4.我方在此声明，我方不存在本工程招标文件第一章第三节第</w:t>
      </w:r>
      <w:r>
        <w:rPr>
          <w:rStyle w:val="28"/>
          <w:rFonts w:hint="eastAsia" w:hAnsi="宋体"/>
          <w:b/>
          <w:bCs/>
          <w:kern w:val="0"/>
        </w:rPr>
        <w:t>2.4</w:t>
      </w:r>
      <w:r>
        <w:rPr>
          <w:rStyle w:val="28"/>
          <w:rFonts w:hint="eastAsia" w:hAnsi="宋体"/>
          <w:kern w:val="0"/>
        </w:rPr>
        <w:t>条“禁止投标条款”所列出的任何一种情形，并愿意承担因我方就此弄虚作假所引起的一切法律后果。</w:t>
      </w:r>
    </w:p>
    <w:p w14:paraId="0C1D530A">
      <w:pPr>
        <w:snapToGrid w:val="0"/>
        <w:ind w:firstLine="570"/>
        <w:rPr>
          <w:rStyle w:val="28"/>
          <w:rFonts w:hint="eastAsia" w:hAnsi="宋体"/>
          <w:kern w:val="0"/>
        </w:rPr>
      </w:pPr>
      <w:r>
        <w:rPr>
          <w:rStyle w:val="28"/>
          <w:rFonts w:hint="eastAsia" w:hAnsi="宋体"/>
          <w:kern w:val="0"/>
        </w:rPr>
        <w:t>5.我方在此承诺，所递交投标文件的全部内容均为真实、有效、准确的，并愿意承担因我方就此弄虚作假所引起的一切法律后果，同时理解和同意有可能被要求提供更多的资料。</w:t>
      </w:r>
    </w:p>
    <w:p w14:paraId="5C075EFA">
      <w:pPr>
        <w:snapToGrid w:val="0"/>
        <w:ind w:firstLine="570"/>
        <w:rPr>
          <w:rStyle w:val="28"/>
          <w:rFonts w:hint="eastAsia" w:hAnsi="宋体"/>
          <w:kern w:val="0"/>
        </w:rPr>
      </w:pPr>
      <w:r>
        <w:rPr>
          <w:rStyle w:val="28"/>
          <w:rFonts w:hint="eastAsia" w:hAnsi="宋体"/>
          <w:kern w:val="0"/>
        </w:rPr>
        <w:t>6. 我方理解你方不一定要接纳收到的最低投标总价或任何投标总价的投标人中标，也不要求你方解释我方是否中标的原因。</w:t>
      </w:r>
    </w:p>
    <w:p w14:paraId="21D38D71">
      <w:pPr>
        <w:snapToGrid w:val="0"/>
        <w:ind w:firstLine="570"/>
        <w:rPr>
          <w:rStyle w:val="28"/>
          <w:rFonts w:hint="eastAsia" w:hAnsi="宋体"/>
          <w:kern w:val="0"/>
        </w:rPr>
      </w:pPr>
      <w:r>
        <w:rPr>
          <w:rStyle w:val="28"/>
          <w:rFonts w:hint="eastAsia" w:hAnsi="宋体"/>
          <w:kern w:val="0"/>
        </w:rPr>
        <w:t xml:space="preserve"> </w:t>
      </w:r>
    </w:p>
    <w:p w14:paraId="4BE5DBC0">
      <w:pPr>
        <w:snapToGrid w:val="0"/>
        <w:jc w:val="right"/>
        <w:rPr>
          <w:rStyle w:val="28"/>
          <w:rFonts w:hint="eastAsia" w:hAnsi="宋体"/>
          <w:kern w:val="0"/>
        </w:rPr>
      </w:pPr>
      <w:r>
        <w:rPr>
          <w:rStyle w:val="28"/>
          <w:rFonts w:hint="eastAsia" w:hAnsi="宋体"/>
          <w:kern w:val="0"/>
        </w:rPr>
        <w:t xml:space="preserve">    投标人：</w:t>
      </w:r>
      <w:r>
        <w:rPr>
          <w:rStyle w:val="28"/>
          <w:rFonts w:hint="eastAsia" w:hAnsi="宋体"/>
          <w:kern w:val="0"/>
          <w:u w:val="single"/>
        </w:rPr>
        <w:t xml:space="preserve">                              </w:t>
      </w:r>
      <w:r>
        <w:rPr>
          <w:rStyle w:val="28"/>
          <w:rFonts w:hint="eastAsia" w:hAnsi="宋体"/>
          <w:kern w:val="0"/>
        </w:rPr>
        <w:t>（盖单位章）</w:t>
      </w:r>
    </w:p>
    <w:p w14:paraId="4C2C3B54">
      <w:pPr>
        <w:snapToGrid w:val="0"/>
        <w:jc w:val="right"/>
        <w:rPr>
          <w:rStyle w:val="28"/>
          <w:rFonts w:hint="eastAsia" w:hAnsi="宋体"/>
          <w:kern w:val="0"/>
        </w:rPr>
      </w:pPr>
    </w:p>
    <w:p w14:paraId="57ECD28A">
      <w:pPr>
        <w:snapToGrid w:val="0"/>
        <w:ind w:firstLine="480" w:firstLineChars="200"/>
        <w:jc w:val="right"/>
        <w:rPr>
          <w:rStyle w:val="28"/>
          <w:rFonts w:hint="eastAsia" w:hAnsi="宋体"/>
          <w:kern w:val="0"/>
        </w:rPr>
      </w:pPr>
      <w:r>
        <w:rPr>
          <w:rStyle w:val="28"/>
          <w:rFonts w:hint="eastAsia" w:hAnsi="宋体"/>
          <w:kern w:val="0"/>
        </w:rPr>
        <w:t>法定代表人或其委托代理人：</w:t>
      </w:r>
      <w:r>
        <w:rPr>
          <w:rStyle w:val="28"/>
          <w:rFonts w:hint="eastAsia" w:hAnsi="宋体"/>
          <w:kern w:val="0"/>
          <w:u w:val="single"/>
        </w:rPr>
        <w:t xml:space="preserve">          </w:t>
      </w:r>
      <w:r>
        <w:rPr>
          <w:rStyle w:val="28"/>
          <w:rFonts w:hint="eastAsia" w:hAnsi="宋体"/>
          <w:kern w:val="0"/>
        </w:rPr>
        <w:t>（签字或盖章）</w:t>
      </w:r>
    </w:p>
    <w:p w14:paraId="3355EDD9">
      <w:pPr>
        <w:snapToGrid w:val="0"/>
        <w:ind w:firstLine="480" w:firstLineChars="200"/>
        <w:jc w:val="right"/>
        <w:rPr>
          <w:rStyle w:val="28"/>
          <w:rFonts w:hint="eastAsia" w:hAnsi="宋体"/>
          <w:kern w:val="0"/>
        </w:rPr>
      </w:pPr>
    </w:p>
    <w:p w14:paraId="02925F06">
      <w:pPr>
        <w:snapToGrid w:val="0"/>
        <w:jc w:val="left"/>
        <w:rPr>
          <w:rStyle w:val="28"/>
          <w:rFonts w:hint="eastAsia" w:hAnsi="宋体"/>
          <w:kern w:val="0"/>
        </w:rPr>
        <w:sectPr>
          <w:endnotePr>
            <w:numFmt w:val="decimal"/>
          </w:endnotePr>
          <w:pgSz w:w="11906" w:h="16838"/>
          <w:pgMar w:top="1701" w:right="1531" w:bottom="1417" w:left="1531" w:header="850" w:footer="992" w:gutter="0"/>
          <w:cols w:space="720" w:num="1"/>
          <w:docGrid w:linePitch="327" w:charSpace="0"/>
        </w:sectPr>
      </w:pPr>
      <w:r>
        <w:rPr>
          <w:rStyle w:val="28"/>
          <w:rFonts w:hint="eastAsia" w:hAnsi="宋体"/>
          <w:kern w:val="0"/>
        </w:rPr>
        <w:t xml:space="preserve">                                       </w:t>
      </w:r>
      <w:r>
        <w:rPr>
          <w:rStyle w:val="28"/>
          <w:rFonts w:hint="eastAsia" w:hAnsi="宋体"/>
          <w:kern w:val="0"/>
          <w:u w:val="single"/>
        </w:rPr>
        <w:t xml:space="preserve">       </w:t>
      </w:r>
      <w:r>
        <w:rPr>
          <w:rStyle w:val="28"/>
          <w:rFonts w:hint="eastAsia" w:hAnsi="宋体"/>
          <w:kern w:val="0"/>
        </w:rPr>
        <w:t>年</w:t>
      </w:r>
      <w:r>
        <w:rPr>
          <w:rStyle w:val="28"/>
          <w:rFonts w:hint="eastAsia" w:hAnsi="宋体"/>
          <w:kern w:val="0"/>
          <w:u w:val="single"/>
        </w:rPr>
        <w:t xml:space="preserve">     </w:t>
      </w:r>
      <w:r>
        <w:rPr>
          <w:rStyle w:val="28"/>
          <w:rFonts w:hint="eastAsia" w:hAnsi="宋体"/>
          <w:kern w:val="0"/>
        </w:rPr>
        <w:t>月</w:t>
      </w:r>
      <w:r>
        <w:rPr>
          <w:rStyle w:val="28"/>
          <w:rFonts w:hint="eastAsia" w:hAnsi="宋体"/>
          <w:kern w:val="0"/>
          <w:u w:val="single"/>
        </w:rPr>
        <w:t xml:space="preserve">     </w:t>
      </w:r>
      <w:r>
        <w:rPr>
          <w:rStyle w:val="28"/>
          <w:rFonts w:hint="eastAsia" w:hAnsi="宋体"/>
          <w:kern w:val="0"/>
        </w:rPr>
        <w:t>日</w:t>
      </w:r>
    </w:p>
    <w:p w14:paraId="44541DB4">
      <w:pPr>
        <w:pStyle w:val="57"/>
        <w:spacing w:line="360" w:lineRule="auto"/>
        <w:rPr>
          <w:rFonts w:hint="eastAsia" w:cs="宋体"/>
          <w:sz w:val="21"/>
          <w:szCs w:val="21"/>
        </w:rPr>
      </w:pPr>
      <w:bookmarkStart w:id="590" w:name="_Toc4917"/>
      <w:bookmarkStart w:id="591" w:name="_Toc32320"/>
      <w:bookmarkStart w:id="592" w:name="_Toc4375"/>
      <w:bookmarkStart w:id="593" w:name="_Toc27524"/>
      <w:bookmarkStart w:id="594" w:name="_Toc1615"/>
      <w:bookmarkStart w:id="595" w:name="_Toc14947"/>
      <w:bookmarkStart w:id="596" w:name="_Toc5519"/>
      <w:bookmarkStart w:id="597" w:name="_Toc5017"/>
      <w:bookmarkStart w:id="598" w:name="_Toc14714"/>
      <w:bookmarkStart w:id="599" w:name="_Toc30773"/>
      <w:bookmarkStart w:id="600" w:name="_Toc13340"/>
      <w:bookmarkStart w:id="601" w:name="_Toc7329"/>
      <w:bookmarkStart w:id="602" w:name="_Toc21578"/>
      <w:bookmarkStart w:id="603" w:name="_Toc23704"/>
      <w:r>
        <w:rPr>
          <w:rFonts w:hint="eastAsia" w:cs="宋体"/>
          <w:sz w:val="21"/>
          <w:szCs w:val="21"/>
        </w:rPr>
        <w:t>格式三 各项承诺一览表</w:t>
      </w:r>
      <w:bookmarkEnd w:id="590"/>
      <w:bookmarkEnd w:id="591"/>
      <w:bookmarkEnd w:id="592"/>
      <w:bookmarkEnd w:id="593"/>
      <w:bookmarkEnd w:id="594"/>
      <w:bookmarkEnd w:id="595"/>
      <w:bookmarkEnd w:id="596"/>
      <w:bookmarkEnd w:id="597"/>
      <w:bookmarkEnd w:id="598"/>
      <w:bookmarkEnd w:id="599"/>
    </w:p>
    <w:p w14:paraId="6A0468E5">
      <w:pPr>
        <w:pStyle w:val="50"/>
        <w:widowControl w:val="0"/>
        <w:wordWrap w:val="0"/>
        <w:adjustRightInd w:val="0"/>
        <w:snapToGrid w:val="0"/>
        <w:spacing w:before="240" w:after="240"/>
        <w:ind w:firstLine="0"/>
        <w:jc w:val="center"/>
        <w:rPr>
          <w:rFonts w:hint="eastAsia" w:ascii="宋体" w:hAnsi="宋体" w:cs="宋体"/>
          <w:b/>
          <w:snapToGrid w:val="0"/>
          <w:sz w:val="30"/>
        </w:rPr>
      </w:pPr>
      <w:bookmarkStart w:id="604" w:name="_Toc14261300"/>
      <w:r>
        <w:rPr>
          <w:rFonts w:hint="eastAsia" w:ascii="宋体" w:hAnsi="宋体" w:cs="宋体"/>
          <w:b/>
          <w:snapToGrid w:val="0"/>
          <w:sz w:val="30"/>
        </w:rPr>
        <w:t>各项承诺一览表</w:t>
      </w:r>
      <w:bookmarkEnd w:id="604"/>
    </w:p>
    <w:tbl>
      <w:tblPr>
        <w:tblStyle w:val="19"/>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860"/>
        <w:gridCol w:w="4082"/>
      </w:tblGrid>
      <w:tr w14:paraId="209F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vAlign w:val="center"/>
          </w:tcPr>
          <w:p w14:paraId="4638F641">
            <w:pPr>
              <w:pStyle w:val="51"/>
              <w:wordWrap w:val="0"/>
              <w:adjustRightInd w:val="0"/>
              <w:snapToGrid w:val="0"/>
              <w:jc w:val="center"/>
              <w:rPr>
                <w:rFonts w:hint="eastAsia" w:hAnsi="宋体" w:cs="宋体"/>
                <w:bCs/>
                <w:snapToGrid w:val="0"/>
                <w:kern w:val="0"/>
                <w:szCs w:val="24"/>
              </w:rPr>
            </w:pPr>
            <w:r>
              <w:rPr>
                <w:rFonts w:hint="eastAsia" w:hAnsi="宋体" w:cs="宋体"/>
                <w:bCs/>
                <w:snapToGrid w:val="0"/>
                <w:kern w:val="0"/>
                <w:szCs w:val="24"/>
              </w:rPr>
              <w:t>序号</w:t>
            </w:r>
          </w:p>
        </w:tc>
        <w:tc>
          <w:tcPr>
            <w:tcW w:w="1573" w:type="dxa"/>
            <w:vAlign w:val="center"/>
          </w:tcPr>
          <w:p w14:paraId="124BE605">
            <w:pPr>
              <w:pStyle w:val="51"/>
              <w:wordWrap w:val="0"/>
              <w:adjustRightInd w:val="0"/>
              <w:snapToGrid w:val="0"/>
              <w:jc w:val="center"/>
              <w:rPr>
                <w:rFonts w:hint="eastAsia" w:hAnsi="宋体" w:cs="宋体"/>
                <w:bCs/>
                <w:snapToGrid w:val="0"/>
                <w:kern w:val="0"/>
                <w:szCs w:val="24"/>
              </w:rPr>
            </w:pPr>
            <w:r>
              <w:rPr>
                <w:rFonts w:hint="eastAsia" w:hAnsi="宋体" w:cs="宋体"/>
                <w:bCs/>
                <w:snapToGrid w:val="0"/>
                <w:kern w:val="0"/>
                <w:szCs w:val="24"/>
              </w:rPr>
              <w:t>承诺事项</w:t>
            </w:r>
          </w:p>
        </w:tc>
        <w:tc>
          <w:tcPr>
            <w:tcW w:w="2860" w:type="dxa"/>
            <w:vAlign w:val="center"/>
          </w:tcPr>
          <w:p w14:paraId="04C40F75">
            <w:pPr>
              <w:pStyle w:val="51"/>
              <w:wordWrap w:val="0"/>
              <w:adjustRightInd w:val="0"/>
              <w:snapToGrid w:val="0"/>
              <w:jc w:val="center"/>
              <w:rPr>
                <w:rFonts w:hint="eastAsia" w:hAnsi="宋体" w:cs="宋体"/>
                <w:bCs/>
                <w:snapToGrid w:val="0"/>
                <w:kern w:val="0"/>
                <w:szCs w:val="24"/>
              </w:rPr>
            </w:pPr>
            <w:r>
              <w:rPr>
                <w:rFonts w:hint="eastAsia" w:hAnsi="宋体" w:cs="宋体"/>
                <w:bCs/>
                <w:snapToGrid w:val="0"/>
                <w:kern w:val="0"/>
                <w:szCs w:val="24"/>
              </w:rPr>
              <w:t>承诺内容</w:t>
            </w:r>
          </w:p>
        </w:tc>
        <w:tc>
          <w:tcPr>
            <w:tcW w:w="4082" w:type="dxa"/>
            <w:vAlign w:val="center"/>
          </w:tcPr>
          <w:p w14:paraId="7091B379">
            <w:pPr>
              <w:pStyle w:val="51"/>
              <w:wordWrap w:val="0"/>
              <w:adjustRightInd w:val="0"/>
              <w:snapToGrid w:val="0"/>
              <w:jc w:val="center"/>
              <w:rPr>
                <w:rFonts w:hint="eastAsia" w:hAnsi="宋体" w:cs="宋体"/>
                <w:bCs/>
                <w:snapToGrid w:val="0"/>
                <w:kern w:val="0"/>
                <w:szCs w:val="24"/>
              </w:rPr>
            </w:pPr>
            <w:r>
              <w:rPr>
                <w:rFonts w:hint="eastAsia" w:hAnsi="宋体" w:cs="宋体"/>
                <w:bCs/>
                <w:snapToGrid w:val="0"/>
                <w:kern w:val="0"/>
                <w:szCs w:val="24"/>
              </w:rPr>
              <w:t>违约承诺</w:t>
            </w:r>
          </w:p>
        </w:tc>
      </w:tr>
      <w:tr w14:paraId="63DC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3" w:hRule="atLeast"/>
          <w:jc w:val="center"/>
        </w:trPr>
        <w:tc>
          <w:tcPr>
            <w:tcW w:w="716" w:type="dxa"/>
            <w:vAlign w:val="center"/>
          </w:tcPr>
          <w:p w14:paraId="132C108A">
            <w:pPr>
              <w:pStyle w:val="51"/>
              <w:wordWrap w:val="0"/>
              <w:adjustRightInd w:val="0"/>
              <w:snapToGrid w:val="0"/>
              <w:jc w:val="center"/>
              <w:rPr>
                <w:rFonts w:hint="eastAsia" w:hAnsi="宋体" w:cs="宋体"/>
                <w:snapToGrid w:val="0"/>
                <w:kern w:val="0"/>
                <w:szCs w:val="24"/>
              </w:rPr>
            </w:pPr>
            <w:r>
              <w:rPr>
                <w:rFonts w:hint="eastAsia" w:hAnsi="宋体" w:cs="宋体"/>
                <w:snapToGrid w:val="0"/>
                <w:kern w:val="0"/>
                <w:szCs w:val="24"/>
              </w:rPr>
              <w:t>1</w:t>
            </w:r>
          </w:p>
        </w:tc>
        <w:tc>
          <w:tcPr>
            <w:tcW w:w="1573" w:type="dxa"/>
            <w:vAlign w:val="center"/>
          </w:tcPr>
          <w:p w14:paraId="1C834A6A">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自愿接受招标</w:t>
            </w:r>
          </w:p>
          <w:p w14:paraId="73CA7489">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文件条款的承诺</w:t>
            </w:r>
          </w:p>
        </w:tc>
        <w:tc>
          <w:tcPr>
            <w:tcW w:w="2860" w:type="dxa"/>
            <w:vAlign w:val="center"/>
          </w:tcPr>
          <w:p w14:paraId="38E5962B">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我方自愿接受招标文件的所有条款，所提交的投标文件已经充分响应招标文件的实质性要求。</w:t>
            </w:r>
          </w:p>
        </w:tc>
        <w:tc>
          <w:tcPr>
            <w:tcW w:w="4082" w:type="dxa"/>
            <w:vAlign w:val="center"/>
          </w:tcPr>
          <w:p w14:paraId="5ABEC6C3">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如果我方的投标文件未响应、违反、偏离招标文件的实质性要求，我方接受招标人或其授权的招标代理机构或其组建的评标委员会依据招标文件作出的相应处理，包括否决投标。</w:t>
            </w:r>
          </w:p>
        </w:tc>
      </w:tr>
      <w:tr w14:paraId="3E8DC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2" w:hRule="atLeast"/>
          <w:jc w:val="center"/>
        </w:trPr>
        <w:tc>
          <w:tcPr>
            <w:tcW w:w="716" w:type="dxa"/>
            <w:vAlign w:val="center"/>
          </w:tcPr>
          <w:p w14:paraId="0B7FF476">
            <w:pPr>
              <w:pStyle w:val="51"/>
              <w:wordWrap w:val="0"/>
              <w:adjustRightInd w:val="0"/>
              <w:snapToGrid w:val="0"/>
              <w:jc w:val="center"/>
              <w:rPr>
                <w:rFonts w:hint="eastAsia" w:hAnsi="宋体" w:cs="宋体"/>
                <w:snapToGrid w:val="0"/>
                <w:kern w:val="0"/>
                <w:szCs w:val="24"/>
              </w:rPr>
            </w:pPr>
            <w:r>
              <w:rPr>
                <w:rFonts w:hint="eastAsia" w:hAnsi="宋体" w:cs="宋体"/>
                <w:snapToGrid w:val="0"/>
                <w:kern w:val="0"/>
                <w:szCs w:val="24"/>
              </w:rPr>
              <w:t>2</w:t>
            </w:r>
          </w:p>
        </w:tc>
        <w:tc>
          <w:tcPr>
            <w:tcW w:w="1573" w:type="dxa"/>
            <w:vAlign w:val="center"/>
          </w:tcPr>
          <w:p w14:paraId="46D2139B">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无禁止投标</w:t>
            </w:r>
          </w:p>
          <w:p w14:paraId="0446F8C1">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情形的承诺</w:t>
            </w:r>
          </w:p>
        </w:tc>
        <w:tc>
          <w:tcPr>
            <w:tcW w:w="2860" w:type="dxa"/>
            <w:vAlign w:val="center"/>
          </w:tcPr>
          <w:p w14:paraId="31C1B69E">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我方不存在招标文件第一章第三节第</w:t>
            </w:r>
            <w:r>
              <w:rPr>
                <w:rFonts w:hint="eastAsia" w:hAnsi="宋体" w:cs="宋体"/>
                <w:b/>
                <w:bCs/>
                <w:snapToGrid w:val="0"/>
                <w:kern w:val="0"/>
                <w:szCs w:val="24"/>
              </w:rPr>
              <w:t>2.4</w:t>
            </w:r>
            <w:r>
              <w:rPr>
                <w:rFonts w:hint="eastAsia" w:hAnsi="宋体" w:cs="宋体"/>
                <w:snapToGrid w:val="0"/>
                <w:kern w:val="0"/>
                <w:szCs w:val="24"/>
              </w:rPr>
              <w:t>条“禁止投标条款”规定的任何一种情形。</w:t>
            </w:r>
          </w:p>
        </w:tc>
        <w:tc>
          <w:tcPr>
            <w:tcW w:w="4082" w:type="dxa"/>
            <w:vAlign w:val="center"/>
          </w:tcPr>
          <w:p w14:paraId="6F878F35">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如果我方有招标文件第一章第三节第</w:t>
            </w:r>
            <w:r>
              <w:rPr>
                <w:rFonts w:hint="eastAsia" w:hAnsi="宋体" w:cs="宋体"/>
                <w:b/>
                <w:bCs/>
                <w:snapToGrid w:val="0"/>
                <w:kern w:val="0"/>
                <w:szCs w:val="24"/>
              </w:rPr>
              <w:t>2.4</w:t>
            </w:r>
            <w:r>
              <w:rPr>
                <w:rFonts w:hint="eastAsia" w:hAnsi="宋体" w:cs="宋体"/>
                <w:snapToGrid w:val="0"/>
                <w:kern w:val="0"/>
                <w:szCs w:val="24"/>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604A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9" w:hRule="atLeast"/>
          <w:jc w:val="center"/>
        </w:trPr>
        <w:tc>
          <w:tcPr>
            <w:tcW w:w="716" w:type="dxa"/>
            <w:vAlign w:val="center"/>
          </w:tcPr>
          <w:p w14:paraId="60F8B6E9">
            <w:pPr>
              <w:pStyle w:val="51"/>
              <w:wordWrap w:val="0"/>
              <w:adjustRightInd w:val="0"/>
              <w:snapToGrid w:val="0"/>
              <w:jc w:val="center"/>
              <w:rPr>
                <w:rFonts w:hint="eastAsia" w:hAnsi="宋体" w:cs="宋体"/>
                <w:snapToGrid w:val="0"/>
                <w:kern w:val="0"/>
                <w:szCs w:val="24"/>
              </w:rPr>
            </w:pPr>
            <w:r>
              <w:rPr>
                <w:rFonts w:hint="eastAsia" w:hAnsi="宋体" w:cs="宋体"/>
                <w:snapToGrid w:val="0"/>
                <w:kern w:val="0"/>
                <w:szCs w:val="24"/>
              </w:rPr>
              <w:t>3</w:t>
            </w:r>
          </w:p>
        </w:tc>
        <w:tc>
          <w:tcPr>
            <w:tcW w:w="1573" w:type="dxa"/>
            <w:vAlign w:val="center"/>
          </w:tcPr>
          <w:p w14:paraId="408E022E">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自觉抵制围标</w:t>
            </w:r>
          </w:p>
          <w:p w14:paraId="22F66A04">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串标和弄虚</w:t>
            </w:r>
          </w:p>
          <w:p w14:paraId="624DE3FB">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作假行为的承诺</w:t>
            </w:r>
          </w:p>
        </w:tc>
        <w:tc>
          <w:tcPr>
            <w:tcW w:w="2860" w:type="dxa"/>
            <w:vAlign w:val="center"/>
          </w:tcPr>
          <w:p w14:paraId="61300DCA">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我方合法正当、诚实守信地参与投标，不组织、不参加围标串标违法行为，不通过弄虚作假行为骗取中标。</w:t>
            </w:r>
          </w:p>
        </w:tc>
        <w:tc>
          <w:tcPr>
            <w:tcW w:w="4082" w:type="dxa"/>
            <w:vAlign w:val="center"/>
          </w:tcPr>
          <w:p w14:paraId="0B8DF705">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51F7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6" w:hRule="atLeast"/>
          <w:jc w:val="center"/>
        </w:trPr>
        <w:tc>
          <w:tcPr>
            <w:tcW w:w="716" w:type="dxa"/>
            <w:vAlign w:val="center"/>
          </w:tcPr>
          <w:p w14:paraId="1B6867B1">
            <w:pPr>
              <w:pStyle w:val="51"/>
              <w:wordWrap w:val="0"/>
              <w:adjustRightInd w:val="0"/>
              <w:snapToGrid w:val="0"/>
              <w:jc w:val="center"/>
              <w:rPr>
                <w:rFonts w:hint="eastAsia" w:hAnsi="宋体" w:cs="宋体"/>
                <w:snapToGrid w:val="0"/>
                <w:kern w:val="0"/>
                <w:szCs w:val="24"/>
              </w:rPr>
            </w:pPr>
            <w:r>
              <w:rPr>
                <w:rFonts w:hint="eastAsia" w:hAnsi="宋体" w:cs="宋体"/>
                <w:snapToGrid w:val="0"/>
                <w:kern w:val="0"/>
                <w:szCs w:val="24"/>
              </w:rPr>
              <w:t>4</w:t>
            </w:r>
          </w:p>
        </w:tc>
        <w:tc>
          <w:tcPr>
            <w:tcW w:w="1573" w:type="dxa"/>
            <w:vAlign w:val="center"/>
          </w:tcPr>
          <w:p w14:paraId="0F5EC00E">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项目经理</w:t>
            </w:r>
          </w:p>
          <w:p w14:paraId="40FA88E4">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任职承诺</w:t>
            </w:r>
          </w:p>
        </w:tc>
        <w:tc>
          <w:tcPr>
            <w:tcW w:w="2860" w:type="dxa"/>
            <w:vAlign w:val="center"/>
          </w:tcPr>
          <w:p w14:paraId="66626852">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我方拟派项目经理现阶段未担任其他在施（包括已中标未开工、已开工未竣工）建设工程项目的项目经理。</w:t>
            </w:r>
          </w:p>
        </w:tc>
        <w:tc>
          <w:tcPr>
            <w:tcW w:w="4082" w:type="dxa"/>
            <w:vAlign w:val="center"/>
          </w:tcPr>
          <w:p w14:paraId="6848F54B">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如果我方拟派项目经理在本工程招标投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5508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716" w:type="dxa"/>
            <w:vAlign w:val="center"/>
          </w:tcPr>
          <w:p w14:paraId="10A5C72F">
            <w:pPr>
              <w:pStyle w:val="51"/>
              <w:wordWrap w:val="0"/>
              <w:adjustRightInd w:val="0"/>
              <w:snapToGrid w:val="0"/>
              <w:jc w:val="center"/>
              <w:rPr>
                <w:rFonts w:hint="eastAsia" w:hAnsi="宋体" w:cs="宋体"/>
                <w:snapToGrid w:val="0"/>
                <w:kern w:val="0"/>
                <w:szCs w:val="24"/>
              </w:rPr>
            </w:pPr>
            <w:r>
              <w:rPr>
                <w:rFonts w:hint="eastAsia" w:hAnsi="宋体" w:cs="宋体"/>
                <w:snapToGrid w:val="0"/>
                <w:kern w:val="0"/>
                <w:szCs w:val="24"/>
              </w:rPr>
              <w:t>5</w:t>
            </w:r>
          </w:p>
        </w:tc>
        <w:tc>
          <w:tcPr>
            <w:tcW w:w="1573" w:type="dxa"/>
            <w:vAlign w:val="center"/>
          </w:tcPr>
          <w:p w14:paraId="42D707E7">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投标文件</w:t>
            </w:r>
          </w:p>
          <w:p w14:paraId="4E56FABD">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真实性承诺</w:t>
            </w:r>
          </w:p>
        </w:tc>
        <w:tc>
          <w:tcPr>
            <w:tcW w:w="2860" w:type="dxa"/>
            <w:vAlign w:val="center"/>
          </w:tcPr>
          <w:p w14:paraId="79DE0BFC">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我方所递交投标文件的全部内容均为真实、有效、准确的。</w:t>
            </w:r>
          </w:p>
        </w:tc>
        <w:tc>
          <w:tcPr>
            <w:tcW w:w="4082" w:type="dxa"/>
            <w:vAlign w:val="center"/>
          </w:tcPr>
          <w:p w14:paraId="567EAEE4">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如果我方递交的投标文件任何内容不真实或无效或不准确，我方接受招标人或其授权的招标代理机构或其组建的评标委员会依据招标文件作出的相应处理，包括否决投标。</w:t>
            </w:r>
          </w:p>
        </w:tc>
      </w:tr>
      <w:tr w14:paraId="6E1B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716" w:type="dxa"/>
            <w:vAlign w:val="center"/>
          </w:tcPr>
          <w:p w14:paraId="3B855857">
            <w:pPr>
              <w:pStyle w:val="51"/>
              <w:wordWrap w:val="0"/>
              <w:adjustRightInd w:val="0"/>
              <w:snapToGrid w:val="0"/>
              <w:jc w:val="center"/>
              <w:rPr>
                <w:rFonts w:hint="eastAsia" w:hAnsi="宋体" w:cs="宋体"/>
                <w:snapToGrid w:val="0"/>
                <w:kern w:val="0"/>
                <w:szCs w:val="24"/>
              </w:rPr>
            </w:pPr>
            <w:r>
              <w:rPr>
                <w:rFonts w:hint="eastAsia" w:hAnsi="宋体" w:cs="宋体"/>
                <w:snapToGrid w:val="0"/>
                <w:kern w:val="0"/>
                <w:szCs w:val="24"/>
              </w:rPr>
              <w:t>6</w:t>
            </w:r>
          </w:p>
        </w:tc>
        <w:tc>
          <w:tcPr>
            <w:tcW w:w="1573" w:type="dxa"/>
            <w:vAlign w:val="center"/>
          </w:tcPr>
          <w:p w14:paraId="059AD767">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投标文件信息公开承诺</w:t>
            </w:r>
          </w:p>
        </w:tc>
        <w:tc>
          <w:tcPr>
            <w:tcW w:w="2860" w:type="dxa"/>
            <w:vAlign w:val="center"/>
          </w:tcPr>
          <w:p w14:paraId="20463D12">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我方提供完整的电子文件。如果我方成为本项目中标候选人，我方同意并授权招标人在评标结果公示期内公开我方商务标书的全部内容。</w:t>
            </w:r>
          </w:p>
        </w:tc>
        <w:tc>
          <w:tcPr>
            <w:tcW w:w="4082" w:type="dxa"/>
            <w:vAlign w:val="center"/>
          </w:tcPr>
          <w:p w14:paraId="41A1AD49">
            <w:pPr>
              <w:pStyle w:val="58"/>
              <w:wordWrap w:val="0"/>
              <w:adjustRightInd w:val="0"/>
              <w:snapToGrid w:val="0"/>
              <w:ind w:firstLine="0" w:firstLineChars="0"/>
              <w:jc w:val="left"/>
              <w:rPr>
                <w:rFonts w:hint="eastAsia" w:hAnsi="宋体" w:cs="宋体"/>
                <w:snapToGrid w:val="0"/>
                <w:kern w:val="0"/>
                <w:szCs w:val="24"/>
              </w:rPr>
            </w:pPr>
            <w:r>
              <w:rPr>
                <w:rFonts w:hint="eastAsia" w:hAnsi="宋体" w:cs="宋体"/>
                <w:snapToGrid w:val="0"/>
                <w:kern w:val="0"/>
                <w:szCs w:val="24"/>
              </w:rPr>
              <w:t xml:space="preserve">  </w:t>
            </w:r>
          </w:p>
          <w:p w14:paraId="7281A9E0">
            <w:pPr>
              <w:pStyle w:val="58"/>
              <w:wordWrap w:val="0"/>
              <w:adjustRightInd w:val="0"/>
              <w:snapToGrid w:val="0"/>
              <w:ind w:firstLine="0" w:firstLineChars="0"/>
              <w:jc w:val="left"/>
              <w:rPr>
                <w:rFonts w:hint="eastAsia" w:hAnsi="宋体" w:cs="宋体"/>
                <w:snapToGrid w:val="0"/>
                <w:kern w:val="0"/>
                <w:szCs w:val="24"/>
              </w:rPr>
            </w:pPr>
          </w:p>
          <w:p w14:paraId="735EE6D7">
            <w:pPr>
              <w:pStyle w:val="58"/>
              <w:wordWrap w:val="0"/>
              <w:adjustRightInd w:val="0"/>
              <w:snapToGrid w:val="0"/>
              <w:ind w:firstLine="0" w:firstLineChars="0"/>
              <w:jc w:val="left"/>
              <w:rPr>
                <w:rFonts w:hint="eastAsia" w:hAnsi="宋体" w:cs="宋体"/>
                <w:snapToGrid w:val="0"/>
                <w:kern w:val="0"/>
                <w:szCs w:val="24"/>
              </w:rPr>
            </w:pPr>
          </w:p>
          <w:p w14:paraId="1ACAB8AC">
            <w:pPr>
              <w:pStyle w:val="58"/>
              <w:wordWrap w:val="0"/>
              <w:adjustRightInd w:val="0"/>
              <w:snapToGrid w:val="0"/>
              <w:ind w:firstLine="0" w:firstLineChars="0"/>
              <w:jc w:val="left"/>
              <w:rPr>
                <w:rFonts w:hint="eastAsia" w:hAnsi="宋体" w:cs="宋体"/>
                <w:snapToGrid w:val="0"/>
                <w:kern w:val="0"/>
                <w:szCs w:val="24"/>
              </w:rPr>
            </w:pPr>
          </w:p>
        </w:tc>
      </w:tr>
      <w:tr w14:paraId="514E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jc w:val="center"/>
        </w:trPr>
        <w:tc>
          <w:tcPr>
            <w:tcW w:w="716" w:type="dxa"/>
            <w:vAlign w:val="center"/>
          </w:tcPr>
          <w:p w14:paraId="2D572BAC">
            <w:pPr>
              <w:pStyle w:val="51"/>
              <w:wordWrap w:val="0"/>
              <w:adjustRightInd w:val="0"/>
              <w:snapToGrid w:val="0"/>
              <w:jc w:val="center"/>
              <w:rPr>
                <w:rFonts w:hint="eastAsia" w:hAnsi="宋体" w:cs="宋体"/>
                <w:snapToGrid w:val="0"/>
                <w:kern w:val="0"/>
                <w:szCs w:val="24"/>
              </w:rPr>
            </w:pPr>
            <w:r>
              <w:rPr>
                <w:rFonts w:hint="eastAsia" w:hAnsi="宋体" w:cs="宋体"/>
                <w:snapToGrid w:val="0"/>
                <w:kern w:val="0"/>
                <w:szCs w:val="24"/>
              </w:rPr>
              <w:t>7</w:t>
            </w:r>
          </w:p>
        </w:tc>
        <w:tc>
          <w:tcPr>
            <w:tcW w:w="1573" w:type="dxa"/>
            <w:vAlign w:val="center"/>
          </w:tcPr>
          <w:p w14:paraId="04333822">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对不正常报价的确认承诺</w:t>
            </w:r>
          </w:p>
        </w:tc>
        <w:tc>
          <w:tcPr>
            <w:tcW w:w="2860" w:type="dxa"/>
            <w:vAlign w:val="center"/>
          </w:tcPr>
          <w:p w14:paraId="3BFD313D">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如果我方中标，我方接受招标人在合同订立期间或合同履行期间依据招标文件有关条款约定对我方已标价工程量清单中不正常报价的修正或认定，并按要求签署《不正常报价清单》加以确认。</w:t>
            </w:r>
          </w:p>
        </w:tc>
        <w:tc>
          <w:tcPr>
            <w:tcW w:w="4082" w:type="dxa"/>
            <w:vAlign w:val="center"/>
          </w:tcPr>
          <w:p w14:paraId="7B56D689">
            <w:pPr>
              <w:pStyle w:val="58"/>
              <w:wordWrap w:val="0"/>
              <w:adjustRightInd w:val="0"/>
              <w:snapToGrid w:val="0"/>
              <w:ind w:firstLine="0" w:firstLineChars="0"/>
              <w:jc w:val="left"/>
              <w:rPr>
                <w:rFonts w:hint="eastAsia" w:hAnsi="宋体" w:cs="宋体"/>
                <w:snapToGrid w:val="0"/>
                <w:kern w:val="0"/>
                <w:szCs w:val="24"/>
              </w:rPr>
            </w:pPr>
          </w:p>
          <w:p w14:paraId="4D713CC1">
            <w:pPr>
              <w:pStyle w:val="58"/>
              <w:wordWrap w:val="0"/>
              <w:adjustRightInd w:val="0"/>
              <w:snapToGrid w:val="0"/>
              <w:ind w:firstLine="0" w:firstLineChars="0"/>
              <w:jc w:val="left"/>
              <w:rPr>
                <w:rFonts w:hint="eastAsia" w:hAnsi="宋体" w:cs="宋体"/>
                <w:snapToGrid w:val="0"/>
                <w:kern w:val="0"/>
                <w:szCs w:val="24"/>
              </w:rPr>
            </w:pPr>
          </w:p>
          <w:p w14:paraId="0C34A30A">
            <w:pPr>
              <w:pStyle w:val="58"/>
              <w:wordWrap w:val="0"/>
              <w:adjustRightInd w:val="0"/>
              <w:snapToGrid w:val="0"/>
              <w:ind w:firstLine="0" w:firstLineChars="0"/>
              <w:jc w:val="left"/>
              <w:rPr>
                <w:rFonts w:hint="eastAsia" w:hAnsi="宋体" w:cs="宋体"/>
                <w:snapToGrid w:val="0"/>
                <w:kern w:val="0"/>
                <w:szCs w:val="24"/>
              </w:rPr>
            </w:pPr>
          </w:p>
          <w:p w14:paraId="5A5F71D3">
            <w:pPr>
              <w:pStyle w:val="58"/>
              <w:wordWrap w:val="0"/>
              <w:adjustRightInd w:val="0"/>
              <w:snapToGrid w:val="0"/>
              <w:ind w:firstLine="0" w:firstLineChars="0"/>
              <w:jc w:val="left"/>
              <w:rPr>
                <w:rFonts w:hint="eastAsia" w:hAnsi="宋体" w:cs="宋体"/>
                <w:snapToGrid w:val="0"/>
                <w:kern w:val="0"/>
                <w:szCs w:val="24"/>
              </w:rPr>
            </w:pPr>
          </w:p>
          <w:p w14:paraId="1A9E9887">
            <w:pPr>
              <w:pStyle w:val="58"/>
              <w:wordWrap w:val="0"/>
              <w:adjustRightInd w:val="0"/>
              <w:snapToGrid w:val="0"/>
              <w:ind w:firstLine="0" w:firstLineChars="0"/>
              <w:jc w:val="left"/>
              <w:rPr>
                <w:rFonts w:hint="eastAsia" w:hAnsi="宋体" w:cs="宋体"/>
                <w:snapToGrid w:val="0"/>
                <w:kern w:val="0"/>
                <w:szCs w:val="24"/>
              </w:rPr>
            </w:pPr>
          </w:p>
        </w:tc>
      </w:tr>
      <w:tr w14:paraId="72D1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6" w:hRule="atLeast"/>
          <w:jc w:val="center"/>
        </w:trPr>
        <w:tc>
          <w:tcPr>
            <w:tcW w:w="716" w:type="dxa"/>
            <w:vAlign w:val="center"/>
          </w:tcPr>
          <w:p w14:paraId="3DB87308">
            <w:pPr>
              <w:pStyle w:val="51"/>
              <w:wordWrap w:val="0"/>
              <w:adjustRightInd w:val="0"/>
              <w:snapToGrid w:val="0"/>
              <w:jc w:val="center"/>
              <w:rPr>
                <w:rFonts w:hint="eastAsia" w:hAnsi="宋体" w:cs="宋体"/>
                <w:snapToGrid w:val="0"/>
                <w:kern w:val="0"/>
                <w:szCs w:val="24"/>
              </w:rPr>
            </w:pPr>
            <w:r>
              <w:rPr>
                <w:rFonts w:hint="eastAsia" w:hAnsi="宋体" w:cs="宋体"/>
                <w:snapToGrid w:val="0"/>
                <w:kern w:val="0"/>
                <w:szCs w:val="24"/>
              </w:rPr>
              <w:t>8</w:t>
            </w:r>
          </w:p>
        </w:tc>
        <w:tc>
          <w:tcPr>
            <w:tcW w:w="1573" w:type="dxa"/>
            <w:vAlign w:val="center"/>
          </w:tcPr>
          <w:p w14:paraId="6821DA90">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按时提交履约保证的承诺</w:t>
            </w:r>
          </w:p>
        </w:tc>
        <w:tc>
          <w:tcPr>
            <w:tcW w:w="2860" w:type="dxa"/>
            <w:vAlign w:val="center"/>
          </w:tcPr>
          <w:p w14:paraId="75CAAC49">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如果我方中标，我方保证在招标文件规定的时限内全额提交履约保证。</w:t>
            </w:r>
          </w:p>
        </w:tc>
        <w:tc>
          <w:tcPr>
            <w:tcW w:w="4082" w:type="dxa"/>
            <w:vAlign w:val="center"/>
          </w:tcPr>
          <w:p w14:paraId="7B4074E3">
            <w:pPr>
              <w:pStyle w:val="58"/>
              <w:wordWrap w:val="0"/>
              <w:adjustRightInd w:val="0"/>
              <w:snapToGrid w:val="0"/>
              <w:ind w:firstLine="0" w:firstLineChars="0"/>
              <w:jc w:val="left"/>
              <w:rPr>
                <w:rFonts w:hint="eastAsia" w:hAnsi="宋体" w:cs="宋体"/>
                <w:snapToGrid w:val="0"/>
                <w:kern w:val="0"/>
                <w:szCs w:val="24"/>
              </w:rPr>
            </w:pPr>
            <w:r>
              <w:rPr>
                <w:rFonts w:hint="eastAsia" w:hAnsi="宋体" w:cs="宋体"/>
                <w:snapToGrid w:val="0"/>
                <w:kern w:val="0"/>
                <w:szCs w:val="24"/>
              </w:rPr>
              <w:t xml:space="preserve">    如果我方未在招标文件规定的时限内全额提交履约保证，我方接受招标人依据招标文件作出的相应处理以及有关监督部门作出的行政处罚，并承担由此引起的一切法律后果。</w:t>
            </w:r>
          </w:p>
        </w:tc>
      </w:tr>
      <w:tr w14:paraId="6753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vAlign w:val="center"/>
          </w:tcPr>
          <w:p w14:paraId="5AB09549">
            <w:pPr>
              <w:pStyle w:val="51"/>
              <w:wordWrap w:val="0"/>
              <w:adjustRightInd w:val="0"/>
              <w:snapToGrid w:val="0"/>
              <w:jc w:val="center"/>
              <w:rPr>
                <w:rFonts w:hint="eastAsia" w:hAnsi="宋体" w:cs="宋体"/>
                <w:snapToGrid w:val="0"/>
                <w:kern w:val="0"/>
                <w:szCs w:val="24"/>
              </w:rPr>
            </w:pPr>
            <w:r>
              <w:rPr>
                <w:rFonts w:hint="eastAsia" w:hAnsi="宋体" w:cs="宋体"/>
                <w:snapToGrid w:val="0"/>
                <w:kern w:val="0"/>
                <w:szCs w:val="24"/>
              </w:rPr>
              <w:t>9</w:t>
            </w:r>
          </w:p>
        </w:tc>
        <w:tc>
          <w:tcPr>
            <w:tcW w:w="1573" w:type="dxa"/>
            <w:vAlign w:val="center"/>
          </w:tcPr>
          <w:p w14:paraId="435BE943">
            <w:pPr>
              <w:pStyle w:val="58"/>
              <w:wordWrap w:val="0"/>
              <w:adjustRightInd w:val="0"/>
              <w:snapToGrid w:val="0"/>
              <w:ind w:firstLine="0" w:firstLineChars="0"/>
              <w:jc w:val="center"/>
              <w:rPr>
                <w:rFonts w:hint="eastAsia" w:hAnsi="宋体" w:cs="宋体"/>
                <w:snapToGrid w:val="0"/>
                <w:kern w:val="0"/>
                <w:szCs w:val="24"/>
              </w:rPr>
            </w:pPr>
            <w:r>
              <w:rPr>
                <w:rFonts w:hint="eastAsia" w:hAnsi="宋体" w:cs="宋体"/>
                <w:snapToGrid w:val="0"/>
                <w:kern w:val="0"/>
                <w:szCs w:val="24"/>
              </w:rPr>
              <w:t>按时签订合同的承诺</w:t>
            </w:r>
          </w:p>
        </w:tc>
        <w:tc>
          <w:tcPr>
            <w:tcW w:w="2860" w:type="dxa"/>
            <w:vAlign w:val="center"/>
          </w:tcPr>
          <w:p w14:paraId="38107DB7">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如果我方中标，我方保证在招标文件规定的时限内与招标人签订合同，不提出违背或超出招标文件、中标文件的要求。</w:t>
            </w:r>
          </w:p>
        </w:tc>
        <w:tc>
          <w:tcPr>
            <w:tcW w:w="4082" w:type="dxa"/>
            <w:vAlign w:val="center"/>
          </w:tcPr>
          <w:p w14:paraId="6BB3AF2B">
            <w:pPr>
              <w:pStyle w:val="58"/>
              <w:wordWrap w:val="0"/>
              <w:adjustRightInd w:val="0"/>
              <w:snapToGrid w:val="0"/>
              <w:ind w:firstLine="480"/>
              <w:rPr>
                <w:rFonts w:hint="eastAsia" w:hAnsi="宋体" w:cs="宋体"/>
                <w:snapToGrid w:val="0"/>
                <w:kern w:val="0"/>
                <w:szCs w:val="24"/>
              </w:rPr>
            </w:pPr>
            <w:r>
              <w:rPr>
                <w:rFonts w:hint="eastAsia" w:hAnsi="宋体" w:cs="宋体"/>
                <w:snapToGrid w:val="0"/>
                <w:kern w:val="0"/>
                <w:szCs w:val="24"/>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r w14:paraId="76C4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716" w:type="dxa"/>
            <w:vAlign w:val="center"/>
          </w:tcPr>
          <w:p w14:paraId="19F9EA7A">
            <w:pPr>
              <w:pStyle w:val="59"/>
              <w:jc w:val="center"/>
              <w:rPr>
                <w:rFonts w:hint="eastAsia" w:hAnsi="宋体" w:eastAsia="宋体" w:cs="宋体"/>
                <w:snapToGrid w:val="0"/>
                <w:kern w:val="0"/>
                <w:szCs w:val="24"/>
              </w:rPr>
            </w:pPr>
            <w:r>
              <w:rPr>
                <w:rFonts w:hint="eastAsia" w:hAnsi="宋体" w:eastAsia="宋体" w:cs="宋体"/>
                <w:szCs w:val="24"/>
              </w:rPr>
              <w:t>10</w:t>
            </w:r>
          </w:p>
        </w:tc>
        <w:tc>
          <w:tcPr>
            <w:tcW w:w="1573" w:type="dxa"/>
            <w:vAlign w:val="center"/>
          </w:tcPr>
          <w:p w14:paraId="23A517CC">
            <w:pPr>
              <w:pStyle w:val="58"/>
              <w:ind w:firstLine="0" w:firstLineChars="0"/>
              <w:jc w:val="center"/>
              <w:rPr>
                <w:rFonts w:hint="eastAsia" w:hAnsi="宋体" w:cs="宋体"/>
                <w:snapToGrid w:val="0"/>
                <w:kern w:val="0"/>
                <w:szCs w:val="24"/>
              </w:rPr>
            </w:pPr>
            <w:r>
              <w:rPr>
                <w:rFonts w:hint="eastAsia" w:hAnsi="宋体" w:cs="宋体"/>
                <w:szCs w:val="24"/>
              </w:rPr>
              <w:t>工期、进度承诺书</w:t>
            </w:r>
          </w:p>
        </w:tc>
        <w:tc>
          <w:tcPr>
            <w:tcW w:w="2860" w:type="dxa"/>
            <w:vAlign w:val="center"/>
          </w:tcPr>
          <w:p w14:paraId="0F8EBFE9">
            <w:pPr>
              <w:pStyle w:val="58"/>
              <w:ind w:firstLine="480"/>
              <w:rPr>
                <w:rFonts w:hint="eastAsia" w:hAnsi="宋体" w:cs="宋体"/>
                <w:szCs w:val="24"/>
              </w:rPr>
            </w:pPr>
            <w:r>
              <w:rPr>
                <w:rFonts w:hint="eastAsia" w:hAnsi="宋体" w:cs="宋体"/>
                <w:szCs w:val="24"/>
              </w:rPr>
              <w:t>我方保证在</w:t>
            </w:r>
            <w:r>
              <w:rPr>
                <w:rFonts w:hint="eastAsia" w:hAnsi="宋体" w:cs="宋体"/>
                <w:szCs w:val="24"/>
                <w:u w:val="single"/>
              </w:rPr>
              <w:t xml:space="preserve">    </w:t>
            </w:r>
            <w:r>
              <w:rPr>
                <w:rFonts w:hint="eastAsia" w:hAnsi="宋体" w:cs="宋体"/>
                <w:szCs w:val="24"/>
              </w:rPr>
              <w:t>日历天内完成施工并通过竣工验收。</w:t>
            </w:r>
          </w:p>
          <w:p w14:paraId="7264F61A">
            <w:pPr>
              <w:pStyle w:val="58"/>
              <w:ind w:firstLine="480"/>
              <w:rPr>
                <w:rFonts w:hint="eastAsia" w:hAnsi="宋体" w:cs="宋体"/>
                <w:snapToGrid w:val="0"/>
                <w:kern w:val="0"/>
                <w:szCs w:val="24"/>
              </w:rPr>
            </w:pPr>
            <w:r>
              <w:rPr>
                <w:rFonts w:hint="eastAsia" w:hAnsi="宋体" w:cs="宋体"/>
                <w:szCs w:val="24"/>
              </w:rPr>
              <w:t>我方保证各分部、分项工程的施工进度按我方投标文件中的施工进度计划完成施工任务。</w:t>
            </w:r>
          </w:p>
        </w:tc>
        <w:tc>
          <w:tcPr>
            <w:tcW w:w="4082" w:type="dxa"/>
            <w:vAlign w:val="center"/>
          </w:tcPr>
          <w:p w14:paraId="264246F2">
            <w:pPr>
              <w:pStyle w:val="9"/>
              <w:ind w:firstLine="240" w:firstLineChars="100"/>
              <w:rPr>
                <w:rFonts w:hint="eastAsia" w:hAnsi="宋体"/>
                <w:snapToGrid w:val="0"/>
                <w:kern w:val="0"/>
              </w:rPr>
            </w:pPr>
            <w:r>
              <w:rPr>
                <w:rFonts w:hint="eastAsia" w:hAnsi="宋体"/>
                <w:snapToGrid w:val="0"/>
                <w:kern w:val="0"/>
              </w:rPr>
              <w:t>若因我方原因，工程没有按期竣工时，我方在逾期第壹天起每天按合同价款的1.5‰向招标人支付逾期违约金，累计最高不超过合同价款的5%向招标人支付逾期违约金。</w:t>
            </w:r>
          </w:p>
          <w:p w14:paraId="57A8835C">
            <w:pPr>
              <w:pStyle w:val="9"/>
              <w:ind w:firstLine="240" w:firstLineChars="100"/>
              <w:rPr>
                <w:rFonts w:hint="eastAsia" w:hAnsi="宋体"/>
                <w:snapToGrid w:val="0"/>
                <w:kern w:val="0"/>
              </w:rPr>
            </w:pPr>
            <w:r>
              <w:rPr>
                <w:rFonts w:hint="eastAsia" w:hAnsi="宋体"/>
                <w:snapToGrid w:val="0"/>
                <w:kern w:val="0"/>
              </w:rPr>
              <w:t xml:space="preserve">   若因我方原因，各分部、分项工程的施工进度未能按我方投标文件中的施工进度计划完成施工任务，延期达到30日历天，招标人有权终止合同。我方愿意承担所有由此引起的责任及经济损失。</w:t>
            </w:r>
          </w:p>
        </w:tc>
      </w:tr>
      <w:tr w14:paraId="0729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vAlign w:val="center"/>
          </w:tcPr>
          <w:p w14:paraId="638870A7">
            <w:pPr>
              <w:pStyle w:val="59"/>
              <w:jc w:val="center"/>
              <w:rPr>
                <w:rFonts w:hint="eastAsia" w:hAnsi="宋体" w:eastAsia="宋体" w:cs="宋体"/>
                <w:szCs w:val="24"/>
              </w:rPr>
            </w:pPr>
            <w:r>
              <w:rPr>
                <w:rFonts w:hint="eastAsia" w:hAnsi="宋体" w:eastAsia="宋体" w:cs="宋体"/>
                <w:szCs w:val="24"/>
              </w:rPr>
              <w:t>11</w:t>
            </w:r>
          </w:p>
        </w:tc>
        <w:tc>
          <w:tcPr>
            <w:tcW w:w="1573" w:type="dxa"/>
            <w:vAlign w:val="center"/>
          </w:tcPr>
          <w:p w14:paraId="0456A7BD">
            <w:pPr>
              <w:pStyle w:val="58"/>
              <w:ind w:firstLine="0" w:firstLineChars="0"/>
              <w:jc w:val="center"/>
              <w:rPr>
                <w:rFonts w:hint="eastAsia" w:hAnsi="宋体" w:cs="宋体"/>
                <w:szCs w:val="24"/>
              </w:rPr>
            </w:pPr>
            <w:r>
              <w:rPr>
                <w:rFonts w:hint="eastAsia" w:hAnsi="宋体" w:cs="宋体"/>
                <w:szCs w:val="24"/>
              </w:rPr>
              <w:t>安全、文明施工承诺书</w:t>
            </w:r>
          </w:p>
        </w:tc>
        <w:tc>
          <w:tcPr>
            <w:tcW w:w="2860" w:type="dxa"/>
            <w:vAlign w:val="center"/>
          </w:tcPr>
          <w:p w14:paraId="0B6DB4D0">
            <w:pPr>
              <w:pStyle w:val="58"/>
              <w:ind w:firstLine="480"/>
              <w:rPr>
                <w:rFonts w:hint="eastAsia" w:hAnsi="宋体" w:cs="宋体"/>
                <w:szCs w:val="24"/>
              </w:rPr>
            </w:pPr>
            <w:r>
              <w:rPr>
                <w:rFonts w:hint="eastAsia" w:hAnsi="宋体" w:cs="宋体"/>
                <w:szCs w:val="24"/>
              </w:rPr>
              <w:t>我方保证在施工期间严格遵守国家、省、市有关安全、文明施工规定，确保施工安全和第三者的安全，根据施工现场情况保证安全生产措施费投入。</w:t>
            </w:r>
          </w:p>
        </w:tc>
        <w:tc>
          <w:tcPr>
            <w:tcW w:w="4082" w:type="dxa"/>
            <w:vAlign w:val="center"/>
          </w:tcPr>
          <w:p w14:paraId="0ABE370E">
            <w:pPr>
              <w:pStyle w:val="58"/>
              <w:ind w:firstLine="480"/>
              <w:rPr>
                <w:rFonts w:hint="eastAsia" w:hAnsi="宋体" w:cs="宋体"/>
                <w:szCs w:val="24"/>
              </w:rPr>
            </w:pPr>
            <w:r>
              <w:rPr>
                <w:rFonts w:hint="eastAsia" w:hAnsi="宋体" w:cs="宋体"/>
                <w:szCs w:val="24"/>
              </w:rPr>
              <w:t>若因我方原因，在施工期间发生安全事故，造成施工人员或第三者的伤亡，我方愿意承担由此造成的一切经济损失和法律责任。</w:t>
            </w:r>
          </w:p>
          <w:p w14:paraId="3E52BCFF">
            <w:pPr>
              <w:pStyle w:val="58"/>
              <w:ind w:firstLine="480"/>
              <w:rPr>
                <w:rFonts w:hint="eastAsia" w:hAnsi="宋体" w:cs="宋体"/>
                <w:szCs w:val="24"/>
              </w:rPr>
            </w:pPr>
            <w:r>
              <w:rPr>
                <w:rFonts w:hint="eastAsia" w:hAnsi="宋体" w:cs="宋体"/>
                <w:szCs w:val="24"/>
              </w:rPr>
              <w:t>若我方在施工中发生一般事故及以上等级生产安全事故，可扣除相当于所有“安全生产措施费”的管理费。</w:t>
            </w:r>
          </w:p>
        </w:tc>
      </w:tr>
      <w:tr w14:paraId="7951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716" w:type="dxa"/>
            <w:vAlign w:val="center"/>
          </w:tcPr>
          <w:p w14:paraId="59D03A5A">
            <w:pPr>
              <w:pStyle w:val="59"/>
              <w:jc w:val="center"/>
              <w:rPr>
                <w:rFonts w:hint="eastAsia" w:hAnsi="宋体" w:eastAsia="宋体" w:cs="宋体"/>
                <w:szCs w:val="24"/>
              </w:rPr>
            </w:pPr>
            <w:r>
              <w:rPr>
                <w:rFonts w:hint="eastAsia" w:hAnsi="宋体" w:eastAsia="宋体" w:cs="宋体"/>
                <w:szCs w:val="24"/>
              </w:rPr>
              <w:t>12</w:t>
            </w:r>
          </w:p>
        </w:tc>
        <w:tc>
          <w:tcPr>
            <w:tcW w:w="1573" w:type="dxa"/>
            <w:vAlign w:val="center"/>
          </w:tcPr>
          <w:p w14:paraId="245B74D3">
            <w:pPr>
              <w:pStyle w:val="58"/>
              <w:ind w:firstLine="0" w:firstLineChars="0"/>
              <w:jc w:val="center"/>
              <w:rPr>
                <w:rFonts w:hint="eastAsia" w:hAnsi="宋体" w:cs="宋体"/>
                <w:szCs w:val="24"/>
              </w:rPr>
            </w:pPr>
            <w:r>
              <w:rPr>
                <w:rFonts w:hint="eastAsia" w:hAnsi="宋体" w:cs="宋体"/>
                <w:szCs w:val="24"/>
              </w:rPr>
              <w:t>质量承诺书</w:t>
            </w:r>
          </w:p>
        </w:tc>
        <w:tc>
          <w:tcPr>
            <w:tcW w:w="2860" w:type="dxa"/>
            <w:vAlign w:val="center"/>
          </w:tcPr>
          <w:p w14:paraId="639D8C3B">
            <w:pPr>
              <w:pStyle w:val="58"/>
              <w:ind w:firstLine="480"/>
              <w:rPr>
                <w:rFonts w:hint="eastAsia" w:hAnsi="宋体" w:cs="宋体"/>
                <w:szCs w:val="24"/>
              </w:rPr>
            </w:pPr>
            <w:r>
              <w:rPr>
                <w:rFonts w:hint="eastAsia" w:hAnsi="宋体" w:cs="宋体"/>
                <w:szCs w:val="24"/>
              </w:rPr>
              <w:t>我方保证按照现行的国家和广东省的有关施工技术规范及现行标准，达到验收合格标准。</w:t>
            </w:r>
          </w:p>
        </w:tc>
        <w:tc>
          <w:tcPr>
            <w:tcW w:w="4082" w:type="dxa"/>
            <w:vAlign w:val="center"/>
          </w:tcPr>
          <w:p w14:paraId="2E199B83">
            <w:pPr>
              <w:pStyle w:val="58"/>
              <w:ind w:firstLine="480"/>
              <w:rPr>
                <w:rFonts w:hint="eastAsia" w:hAnsi="宋体" w:cs="宋体"/>
                <w:szCs w:val="24"/>
              </w:rPr>
            </w:pPr>
            <w:r>
              <w:rPr>
                <w:rFonts w:hint="eastAsia" w:hAnsi="宋体" w:cs="宋体"/>
                <w:szCs w:val="24"/>
              </w:rPr>
              <w:t>若因我方原因，工程在竣工验收或分部分项工程验收时没有达到合格标准，我方在每次（每分部每分项次）验收检查时按合同价款的1％向招标人支付质量违约金。并达到合格标准为止，同时承担所有的责任及经济损失。</w:t>
            </w:r>
          </w:p>
          <w:p w14:paraId="276FAF88">
            <w:pPr>
              <w:pStyle w:val="58"/>
              <w:ind w:firstLine="480"/>
              <w:rPr>
                <w:rFonts w:hint="eastAsia" w:hAnsi="宋体" w:cs="宋体"/>
                <w:szCs w:val="24"/>
              </w:rPr>
            </w:pPr>
            <w:r>
              <w:rPr>
                <w:rFonts w:hint="eastAsia" w:hAnsi="宋体" w:cs="宋体"/>
                <w:szCs w:val="24"/>
              </w:rPr>
              <w:t>在建设或监理单位组织的质量检查中，一次一个分项工程实测或其他项、程序不合格不符合要求的，一次向建设单位支付质量违约金¥500元/次、项，分部工程不合格的一次、一个分部向建设（委托）单位支付违约金¥1000元/次、项；</w:t>
            </w:r>
          </w:p>
          <w:p w14:paraId="02ADBE11">
            <w:pPr>
              <w:pStyle w:val="58"/>
              <w:ind w:firstLine="480"/>
              <w:rPr>
                <w:rFonts w:hint="eastAsia" w:hAnsi="宋体" w:cs="宋体"/>
                <w:szCs w:val="24"/>
              </w:rPr>
            </w:pPr>
            <w:r>
              <w:rPr>
                <w:rFonts w:hint="eastAsia" w:hAnsi="宋体" w:cs="宋体"/>
                <w:szCs w:val="24"/>
              </w:rPr>
              <w:t>在省、市监管部门抽查、巡查、专项、随机检查中，一次一个分项工程实测或其他项、程序不合格不符合要求的，一次向建设（委托）单位支付质量违约金¥1000元/次、项，分部工程不合格的一次、一个分部向建设（委托）单位支付违约金¥2500元/次、项；</w:t>
            </w:r>
          </w:p>
          <w:p w14:paraId="5E61347E">
            <w:pPr>
              <w:pStyle w:val="58"/>
              <w:ind w:firstLine="480"/>
              <w:rPr>
                <w:rFonts w:hint="eastAsia" w:hAnsi="宋体" w:cs="宋体"/>
                <w:szCs w:val="24"/>
              </w:rPr>
            </w:pPr>
            <w:r>
              <w:rPr>
                <w:rFonts w:hint="eastAsia" w:hAnsi="宋体" w:cs="宋体"/>
                <w:szCs w:val="24"/>
              </w:rPr>
              <w:t>未能在限期内完成质量安全隐患整改的，每逾期一天，向建设单位缴纳罚金¥500元；</w:t>
            </w:r>
          </w:p>
          <w:p w14:paraId="5227A6F5">
            <w:pPr>
              <w:pStyle w:val="58"/>
              <w:ind w:firstLine="480"/>
              <w:rPr>
                <w:rFonts w:hint="eastAsia" w:hAnsi="宋体" w:cs="宋体"/>
                <w:szCs w:val="24"/>
              </w:rPr>
            </w:pPr>
            <w:r>
              <w:rPr>
                <w:rFonts w:hint="eastAsia" w:hAnsi="宋体" w:cs="宋体"/>
                <w:szCs w:val="24"/>
              </w:rPr>
              <w:t>未按规定委派专业人员参加检验批、分部分项工程验收，不及时签署验收记录的，一次向建设（委托）单位支付违约金¥1000元/次、项；</w:t>
            </w:r>
          </w:p>
          <w:p w14:paraId="563CE609">
            <w:pPr>
              <w:pStyle w:val="58"/>
              <w:ind w:firstLine="480"/>
              <w:rPr>
                <w:rFonts w:hint="eastAsia" w:hAnsi="宋体" w:cs="宋体"/>
                <w:szCs w:val="24"/>
              </w:rPr>
            </w:pPr>
            <w:r>
              <w:rPr>
                <w:rFonts w:hint="eastAsia" w:hAnsi="宋体" w:cs="宋体"/>
                <w:szCs w:val="24"/>
              </w:rPr>
              <w:t>不按规定委派相关人员参加项目竣工验收的，一次向建设单位支付违约金¥25000元/项，不签署意见的支付违约金¥25000元。</w:t>
            </w:r>
          </w:p>
        </w:tc>
      </w:tr>
      <w:tr w14:paraId="6634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vAlign w:val="center"/>
          </w:tcPr>
          <w:p w14:paraId="51B4B1F8">
            <w:pPr>
              <w:pStyle w:val="59"/>
              <w:jc w:val="center"/>
              <w:rPr>
                <w:rFonts w:hint="eastAsia" w:hAnsi="宋体" w:eastAsia="宋体" w:cs="宋体"/>
                <w:szCs w:val="24"/>
              </w:rPr>
            </w:pPr>
            <w:r>
              <w:rPr>
                <w:rFonts w:hint="eastAsia" w:hAnsi="宋体" w:eastAsia="宋体" w:cs="宋体"/>
                <w:szCs w:val="24"/>
              </w:rPr>
              <w:t>13</w:t>
            </w:r>
          </w:p>
        </w:tc>
        <w:tc>
          <w:tcPr>
            <w:tcW w:w="1573" w:type="dxa"/>
            <w:vAlign w:val="center"/>
          </w:tcPr>
          <w:p w14:paraId="1C1C695D">
            <w:pPr>
              <w:pStyle w:val="58"/>
              <w:ind w:firstLine="0" w:firstLineChars="0"/>
              <w:rPr>
                <w:rFonts w:hint="eastAsia" w:hAnsi="宋体" w:cs="宋体"/>
                <w:szCs w:val="24"/>
              </w:rPr>
            </w:pPr>
            <w:r>
              <w:rPr>
                <w:rFonts w:hint="eastAsia" w:hAnsi="宋体" w:cs="宋体"/>
                <w:szCs w:val="24"/>
              </w:rPr>
              <w:t>项目管理班子人员承诺</w:t>
            </w:r>
          </w:p>
        </w:tc>
        <w:tc>
          <w:tcPr>
            <w:tcW w:w="2860" w:type="dxa"/>
            <w:vAlign w:val="center"/>
          </w:tcPr>
          <w:p w14:paraId="0902C857">
            <w:pPr>
              <w:pStyle w:val="59"/>
              <w:ind w:firstLine="560"/>
              <w:rPr>
                <w:rFonts w:hint="eastAsia" w:hAnsi="宋体" w:eastAsia="宋体" w:cs="宋体"/>
                <w:szCs w:val="24"/>
              </w:rPr>
            </w:pPr>
            <w:r>
              <w:rPr>
                <w:rFonts w:hint="eastAsia" w:hAnsi="宋体" w:eastAsia="宋体" w:cs="宋体"/>
                <w:szCs w:val="24"/>
              </w:rPr>
              <w:t>我方保证投标文件中所拟派的项目经理、技术负责人、施工员、质量员、安全员等工程管理人员全部在施工现场管理施工</w:t>
            </w:r>
          </w:p>
        </w:tc>
        <w:tc>
          <w:tcPr>
            <w:tcW w:w="4082" w:type="dxa"/>
            <w:vAlign w:val="center"/>
          </w:tcPr>
          <w:p w14:paraId="4ACC63E2">
            <w:pPr>
              <w:pStyle w:val="58"/>
              <w:ind w:firstLine="472"/>
              <w:rPr>
                <w:rFonts w:hint="eastAsia" w:hAnsi="宋体" w:cs="宋体"/>
                <w:spacing w:val="-2"/>
                <w:szCs w:val="24"/>
              </w:rPr>
            </w:pPr>
            <w:r>
              <w:rPr>
                <w:rFonts w:hint="eastAsia" w:hAnsi="宋体" w:cs="宋体"/>
                <w:spacing w:val="-2"/>
                <w:szCs w:val="24"/>
              </w:rPr>
              <w:t>承诺施工期间如左所叙施工现场管理人员按要求每日办理签到手续，如未经招标人同意未办理签到，向建设单位每人每天支付违约金</w:t>
            </w:r>
            <w:r>
              <w:rPr>
                <w:rFonts w:hint="eastAsia" w:hAnsi="宋体" w:cs="宋体"/>
                <w:szCs w:val="24"/>
              </w:rPr>
              <w:t>¥</w:t>
            </w:r>
            <w:r>
              <w:rPr>
                <w:rFonts w:hint="eastAsia" w:hAnsi="宋体" w:cs="宋体"/>
                <w:spacing w:val="-2"/>
                <w:szCs w:val="24"/>
              </w:rPr>
              <w:t>1500元（项目经理未签到每天支付违约金</w:t>
            </w:r>
            <w:r>
              <w:rPr>
                <w:rFonts w:hint="eastAsia" w:hAnsi="宋体" w:cs="宋体"/>
                <w:szCs w:val="24"/>
              </w:rPr>
              <w:t>¥</w:t>
            </w:r>
            <w:r>
              <w:rPr>
                <w:rFonts w:hint="eastAsia" w:hAnsi="宋体" w:cs="宋体"/>
                <w:spacing w:val="-2"/>
                <w:szCs w:val="24"/>
              </w:rPr>
              <w:t>1500元）；</w:t>
            </w:r>
          </w:p>
          <w:p w14:paraId="1E20AA5F">
            <w:pPr>
              <w:pStyle w:val="58"/>
              <w:ind w:firstLine="472"/>
              <w:rPr>
                <w:rFonts w:hint="eastAsia" w:hAnsi="宋体" w:cs="宋体"/>
                <w:szCs w:val="24"/>
              </w:rPr>
            </w:pPr>
            <w:r>
              <w:rPr>
                <w:rFonts w:hint="eastAsia" w:hAnsi="宋体" w:cs="宋体"/>
                <w:spacing w:val="-2"/>
                <w:szCs w:val="24"/>
              </w:rPr>
              <w:t>若我方的投标文件中所拟派的如左所述任何一个管理人员未经招标人同意擅自离岗，在一个月内达到10次/人，或项目经理、技术负责人在施工过程中每月驻场少于22天的，招标人有权终止合同。我方承担由此造成的所有责任及经济损失。</w:t>
            </w:r>
          </w:p>
        </w:tc>
      </w:tr>
      <w:tr w14:paraId="466B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vAlign w:val="center"/>
          </w:tcPr>
          <w:p w14:paraId="12AD99C5">
            <w:pPr>
              <w:pStyle w:val="59"/>
              <w:jc w:val="center"/>
              <w:rPr>
                <w:rFonts w:hint="eastAsia" w:hAnsi="宋体" w:eastAsia="宋体" w:cs="宋体"/>
                <w:szCs w:val="24"/>
              </w:rPr>
            </w:pPr>
            <w:r>
              <w:rPr>
                <w:rFonts w:hint="eastAsia" w:hAnsi="宋体" w:eastAsia="宋体" w:cs="宋体"/>
                <w:szCs w:val="24"/>
              </w:rPr>
              <w:t>14</w:t>
            </w:r>
          </w:p>
        </w:tc>
        <w:tc>
          <w:tcPr>
            <w:tcW w:w="1573" w:type="dxa"/>
            <w:vAlign w:val="center"/>
          </w:tcPr>
          <w:p w14:paraId="28F0D1F1">
            <w:pPr>
              <w:pStyle w:val="58"/>
              <w:ind w:firstLine="0" w:firstLineChars="0"/>
              <w:rPr>
                <w:rFonts w:hint="eastAsia" w:hAnsi="宋体" w:cs="宋体"/>
                <w:szCs w:val="24"/>
              </w:rPr>
            </w:pPr>
            <w:r>
              <w:rPr>
                <w:rFonts w:hint="eastAsia" w:hAnsi="宋体" w:cs="宋体"/>
                <w:szCs w:val="24"/>
              </w:rPr>
              <w:t>对支付农民工工资的承诺</w:t>
            </w:r>
          </w:p>
        </w:tc>
        <w:tc>
          <w:tcPr>
            <w:tcW w:w="2860" w:type="dxa"/>
            <w:vAlign w:val="center"/>
          </w:tcPr>
          <w:p w14:paraId="39B2C6F2">
            <w:pPr>
              <w:pStyle w:val="58"/>
              <w:ind w:firstLine="236" w:firstLineChars="100"/>
              <w:rPr>
                <w:rFonts w:hint="eastAsia" w:hAnsi="宋体" w:cs="宋体"/>
                <w:szCs w:val="24"/>
              </w:rPr>
            </w:pPr>
            <w:r>
              <w:rPr>
                <w:rFonts w:hint="eastAsia" w:hAnsi="宋体" w:cs="宋体"/>
                <w:spacing w:val="-2"/>
                <w:szCs w:val="24"/>
              </w:rPr>
              <w:t>如我方中标，我方无条件同意按照用工合同支付</w:t>
            </w:r>
            <w:r>
              <w:rPr>
                <w:rFonts w:hint="eastAsia" w:hAnsi="宋体" w:cs="宋体"/>
                <w:szCs w:val="24"/>
              </w:rPr>
              <w:t>农民工工资。</w:t>
            </w:r>
          </w:p>
        </w:tc>
        <w:tc>
          <w:tcPr>
            <w:tcW w:w="4082" w:type="dxa"/>
            <w:vAlign w:val="center"/>
          </w:tcPr>
          <w:p w14:paraId="1A86F4D4">
            <w:pPr>
              <w:pStyle w:val="58"/>
              <w:ind w:firstLine="472"/>
              <w:rPr>
                <w:rFonts w:hint="eastAsia" w:hAnsi="宋体" w:cs="宋体"/>
                <w:szCs w:val="24"/>
              </w:rPr>
            </w:pPr>
            <w:r>
              <w:rPr>
                <w:rFonts w:hint="eastAsia" w:hAnsi="宋体" w:cs="宋体"/>
                <w:spacing w:val="-2"/>
                <w:szCs w:val="24"/>
              </w:rPr>
              <w:t>如我方中标，我方无条件同意按照用工合同支付</w:t>
            </w:r>
            <w:r>
              <w:rPr>
                <w:rFonts w:hint="eastAsia" w:hAnsi="宋体" w:cs="宋体"/>
                <w:szCs w:val="24"/>
              </w:rPr>
              <w:t>农民工工资。否则，招标人有权终止合同，扣除履约保证金，并由招标人先行垫付农民工被拖欠的工资，数额以未结清的工程款为限。</w:t>
            </w:r>
          </w:p>
        </w:tc>
      </w:tr>
      <w:tr w14:paraId="4507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vAlign w:val="center"/>
          </w:tcPr>
          <w:p w14:paraId="175EB1DE">
            <w:pPr>
              <w:pStyle w:val="59"/>
              <w:jc w:val="center"/>
              <w:rPr>
                <w:rFonts w:hint="eastAsia" w:hAnsi="宋体" w:eastAsia="宋体" w:cs="宋体"/>
                <w:szCs w:val="24"/>
              </w:rPr>
            </w:pPr>
            <w:r>
              <w:rPr>
                <w:rFonts w:hint="eastAsia" w:hAnsi="宋体" w:eastAsia="宋体" w:cs="宋体"/>
                <w:szCs w:val="24"/>
              </w:rPr>
              <w:t>15</w:t>
            </w:r>
          </w:p>
        </w:tc>
        <w:tc>
          <w:tcPr>
            <w:tcW w:w="1573" w:type="dxa"/>
            <w:vAlign w:val="center"/>
          </w:tcPr>
          <w:p w14:paraId="26DA6053">
            <w:pPr>
              <w:pStyle w:val="58"/>
              <w:ind w:firstLine="0" w:firstLineChars="0"/>
              <w:rPr>
                <w:rFonts w:hint="eastAsia" w:hAnsi="宋体" w:cs="宋体"/>
                <w:szCs w:val="24"/>
              </w:rPr>
            </w:pPr>
            <w:r>
              <w:rPr>
                <w:rFonts w:hint="eastAsia" w:hAnsi="宋体" w:cs="宋体"/>
                <w:szCs w:val="24"/>
              </w:rPr>
              <w:t>施工组织设计承诺</w:t>
            </w:r>
          </w:p>
        </w:tc>
        <w:tc>
          <w:tcPr>
            <w:tcW w:w="2860" w:type="dxa"/>
            <w:vAlign w:val="center"/>
          </w:tcPr>
          <w:p w14:paraId="22AE1F5B">
            <w:pPr>
              <w:pStyle w:val="58"/>
              <w:ind w:firstLine="240" w:firstLineChars="100"/>
              <w:rPr>
                <w:rFonts w:hint="eastAsia" w:hAnsi="宋体" w:cs="宋体"/>
                <w:szCs w:val="24"/>
              </w:rPr>
            </w:pPr>
            <w:r>
              <w:rPr>
                <w:rFonts w:hint="eastAsia" w:hAnsi="宋体" w:cs="宋体"/>
                <w:szCs w:val="24"/>
              </w:rPr>
              <w:t>我方保证施工组织设计按照国家和省市有关规定进行编写。</w:t>
            </w:r>
          </w:p>
        </w:tc>
        <w:tc>
          <w:tcPr>
            <w:tcW w:w="4082" w:type="dxa"/>
            <w:vAlign w:val="center"/>
          </w:tcPr>
          <w:p w14:paraId="0CF59950">
            <w:pPr>
              <w:pStyle w:val="58"/>
              <w:ind w:firstLine="240" w:firstLineChars="100"/>
              <w:rPr>
                <w:rFonts w:hint="eastAsia" w:hAnsi="宋体" w:cs="宋体"/>
                <w:szCs w:val="24"/>
              </w:rPr>
            </w:pPr>
            <w:r>
              <w:rPr>
                <w:rFonts w:hint="eastAsia" w:hAnsi="宋体" w:cs="宋体"/>
                <w:szCs w:val="24"/>
              </w:rPr>
              <w:t>如我方的施工组织设计未根据招标项目情况按照国家和省市有关规定进行编写的，扣除全部履约保证金。</w:t>
            </w:r>
          </w:p>
        </w:tc>
      </w:tr>
    </w:tbl>
    <w:p w14:paraId="446800C5">
      <w:pPr>
        <w:pStyle w:val="51"/>
        <w:wordWrap w:val="0"/>
        <w:adjustRightInd w:val="0"/>
        <w:snapToGrid w:val="0"/>
        <w:jc w:val="left"/>
        <w:rPr>
          <w:rFonts w:hint="eastAsia" w:hAnsi="宋体" w:cs="宋体"/>
          <w:snapToGrid w:val="0"/>
          <w:kern w:val="0"/>
        </w:rPr>
      </w:pPr>
    </w:p>
    <w:p w14:paraId="64F252AA">
      <w:pPr>
        <w:pStyle w:val="11"/>
        <w:wordWrap w:val="0"/>
        <w:adjustRightInd w:val="0"/>
        <w:snapToGrid w:val="0"/>
        <w:spacing w:line="360" w:lineRule="auto"/>
        <w:ind w:firstLine="480" w:firstLineChars="200"/>
        <w:jc w:val="right"/>
        <w:rPr>
          <w:rFonts w:hint="eastAsia" w:hAnsi="宋体"/>
          <w:snapToGrid w:val="0"/>
          <w:kern w:val="0"/>
        </w:rPr>
      </w:pPr>
      <w:r>
        <w:rPr>
          <w:rFonts w:hint="eastAsia" w:hAnsi="宋体"/>
          <w:snapToGrid w:val="0"/>
          <w:kern w:val="0"/>
        </w:rPr>
        <w:t>投标人：</w:t>
      </w:r>
      <w:r>
        <w:rPr>
          <w:rFonts w:hint="eastAsia" w:hAnsi="宋体"/>
          <w:snapToGrid w:val="0"/>
          <w:kern w:val="0"/>
          <w:u w:val="single"/>
        </w:rPr>
        <w:t xml:space="preserve">                                   </w:t>
      </w:r>
      <w:r>
        <w:rPr>
          <w:rFonts w:hint="eastAsia" w:hAnsi="宋体"/>
          <w:snapToGrid w:val="0"/>
          <w:kern w:val="0"/>
        </w:rPr>
        <w:t>（盖单位章）</w:t>
      </w:r>
    </w:p>
    <w:p w14:paraId="3F5A4070">
      <w:pPr>
        <w:pStyle w:val="11"/>
        <w:wordWrap w:val="0"/>
        <w:adjustRightInd w:val="0"/>
        <w:snapToGrid w:val="0"/>
        <w:spacing w:line="360" w:lineRule="auto"/>
        <w:ind w:firstLine="480" w:firstLineChars="200"/>
        <w:jc w:val="right"/>
        <w:rPr>
          <w:rFonts w:hint="eastAsia" w:hAnsi="宋体"/>
          <w:snapToGrid w:val="0"/>
          <w:kern w:val="0"/>
        </w:rPr>
      </w:pPr>
    </w:p>
    <w:p w14:paraId="0466EC1F">
      <w:pPr>
        <w:pStyle w:val="11"/>
        <w:wordWrap w:val="0"/>
        <w:adjustRightInd w:val="0"/>
        <w:snapToGrid w:val="0"/>
        <w:spacing w:line="360" w:lineRule="auto"/>
        <w:ind w:firstLine="480" w:firstLineChars="200"/>
        <w:jc w:val="right"/>
        <w:rPr>
          <w:rFonts w:hint="eastAsia" w:hAnsi="宋体"/>
          <w:snapToGrid w:val="0"/>
          <w:kern w:val="0"/>
        </w:rPr>
      </w:pPr>
    </w:p>
    <w:p w14:paraId="7B7D1628">
      <w:pPr>
        <w:pStyle w:val="11"/>
        <w:wordWrap w:val="0"/>
        <w:adjustRightInd w:val="0"/>
        <w:snapToGrid w:val="0"/>
        <w:spacing w:line="360" w:lineRule="auto"/>
        <w:ind w:firstLine="480" w:firstLineChars="200"/>
        <w:jc w:val="right"/>
        <w:rPr>
          <w:rFonts w:hint="eastAsia" w:hAnsi="宋体"/>
          <w:snapToGrid w:val="0"/>
          <w:kern w:val="0"/>
        </w:rPr>
      </w:pPr>
      <w:r>
        <w:rPr>
          <w:rFonts w:hint="eastAsia" w:hAnsi="宋体"/>
          <w:snapToGrid w:val="0"/>
          <w:kern w:val="0"/>
        </w:rPr>
        <w:t>法定代表人或其委托代理人：</w:t>
      </w:r>
      <w:r>
        <w:rPr>
          <w:rFonts w:hint="eastAsia" w:hAnsi="宋体"/>
          <w:snapToGrid w:val="0"/>
          <w:kern w:val="0"/>
          <w:u w:val="single"/>
        </w:rPr>
        <w:t xml:space="preserve">               </w:t>
      </w:r>
      <w:r>
        <w:rPr>
          <w:rFonts w:hint="eastAsia" w:hAnsi="宋体"/>
          <w:snapToGrid w:val="0"/>
          <w:kern w:val="0"/>
        </w:rPr>
        <w:t>（签字或盖章）</w:t>
      </w:r>
    </w:p>
    <w:p w14:paraId="08C805E1">
      <w:pPr>
        <w:pStyle w:val="11"/>
        <w:wordWrap w:val="0"/>
        <w:adjustRightInd w:val="0"/>
        <w:snapToGrid w:val="0"/>
        <w:spacing w:line="360" w:lineRule="auto"/>
        <w:ind w:firstLine="480" w:firstLineChars="200"/>
        <w:rPr>
          <w:rFonts w:hint="eastAsia" w:hAnsi="宋体"/>
          <w:snapToGrid w:val="0"/>
          <w:kern w:val="0"/>
        </w:rPr>
      </w:pPr>
    </w:p>
    <w:p w14:paraId="7C963A43">
      <w:pPr>
        <w:pStyle w:val="11"/>
        <w:wordWrap w:val="0"/>
        <w:adjustRightInd w:val="0"/>
        <w:snapToGrid w:val="0"/>
        <w:spacing w:line="360" w:lineRule="auto"/>
        <w:ind w:firstLine="480" w:firstLineChars="200"/>
        <w:jc w:val="center"/>
        <w:rPr>
          <w:rFonts w:hint="eastAsia" w:hAnsi="宋体"/>
          <w:snapToGrid w:val="0"/>
          <w:kern w:val="0"/>
        </w:rPr>
      </w:pPr>
      <w:r>
        <w:rPr>
          <w:rFonts w:hint="eastAsia" w:hAnsi="宋体"/>
          <w:snapToGrid w:val="0"/>
          <w:kern w:val="0"/>
        </w:rPr>
        <w:t xml:space="preserve">                      </w:t>
      </w:r>
      <w:r>
        <w:rPr>
          <w:rFonts w:hint="eastAsia" w:hAnsi="宋体"/>
          <w:snapToGrid w:val="0"/>
          <w:kern w:val="0"/>
          <w:u w:val="single"/>
        </w:rPr>
        <w:t xml:space="preserve">        </w:t>
      </w:r>
      <w:r>
        <w:rPr>
          <w:rFonts w:hint="eastAsia" w:hAnsi="宋体"/>
          <w:snapToGrid w:val="0"/>
          <w:kern w:val="0"/>
        </w:rPr>
        <w:t>年</w:t>
      </w:r>
      <w:r>
        <w:rPr>
          <w:rFonts w:hint="eastAsia" w:hAnsi="宋体"/>
          <w:snapToGrid w:val="0"/>
          <w:kern w:val="0"/>
          <w:u w:val="single"/>
        </w:rPr>
        <w:t xml:space="preserve">     </w:t>
      </w:r>
      <w:r>
        <w:rPr>
          <w:rFonts w:hint="eastAsia" w:hAnsi="宋体"/>
          <w:snapToGrid w:val="0"/>
          <w:kern w:val="0"/>
        </w:rPr>
        <w:t>月</w:t>
      </w:r>
      <w:r>
        <w:rPr>
          <w:rFonts w:hint="eastAsia" w:hAnsi="宋体"/>
          <w:snapToGrid w:val="0"/>
          <w:kern w:val="0"/>
          <w:u w:val="single"/>
        </w:rPr>
        <w:t xml:space="preserve">     </w:t>
      </w:r>
      <w:r>
        <w:rPr>
          <w:rFonts w:hint="eastAsia" w:hAnsi="宋体"/>
          <w:snapToGrid w:val="0"/>
          <w:kern w:val="0"/>
        </w:rPr>
        <w:t>日</w:t>
      </w:r>
    </w:p>
    <w:p w14:paraId="2A461F04">
      <w:pPr>
        <w:wordWrap w:val="0"/>
        <w:adjustRightInd w:val="0"/>
        <w:snapToGrid w:val="0"/>
        <w:jc w:val="left"/>
        <w:outlineLvl w:val="2"/>
        <w:rPr>
          <w:rFonts w:hint="eastAsia" w:hAnsi="宋体"/>
          <w:b/>
          <w:snapToGrid w:val="0"/>
          <w:kern w:val="0"/>
        </w:rPr>
        <w:sectPr>
          <w:endnotePr>
            <w:numFmt w:val="decimal"/>
          </w:endnotePr>
          <w:pgSz w:w="11906" w:h="16838"/>
          <w:pgMar w:top="1701" w:right="1531" w:bottom="1417" w:left="1531" w:header="850" w:footer="992" w:gutter="0"/>
          <w:cols w:space="720" w:num="1"/>
          <w:docGrid w:linePitch="327" w:charSpace="0"/>
        </w:sectPr>
      </w:pPr>
    </w:p>
    <w:p w14:paraId="5F20ADE6">
      <w:pPr>
        <w:pStyle w:val="54"/>
        <w:snapToGrid w:val="0"/>
        <w:ind w:firstLine="0"/>
        <w:outlineLvl w:val="1"/>
        <w:rPr>
          <w:rStyle w:val="28"/>
          <w:rFonts w:hint="eastAsia" w:hAnsi="宋体"/>
          <w:b/>
          <w:bCs/>
          <w:sz w:val="21"/>
          <w:szCs w:val="21"/>
        </w:rPr>
      </w:pPr>
      <w:bookmarkStart w:id="605" w:name="_Toc12795"/>
      <w:bookmarkStart w:id="606" w:name="_Toc30144"/>
      <w:bookmarkStart w:id="607" w:name="_Toc32274"/>
      <w:bookmarkStart w:id="608" w:name="_Toc16763"/>
      <w:bookmarkStart w:id="609" w:name="_Toc22"/>
      <w:bookmarkStart w:id="610" w:name="_Toc17535"/>
      <w:bookmarkStart w:id="611" w:name="_Toc25154"/>
      <w:bookmarkStart w:id="612" w:name="_Toc4092"/>
      <w:bookmarkStart w:id="613" w:name="_Toc4663"/>
      <w:r>
        <w:rPr>
          <w:rStyle w:val="28"/>
          <w:rFonts w:hint="eastAsia" w:hAnsi="宋体"/>
          <w:b/>
          <w:bCs/>
          <w:sz w:val="21"/>
          <w:szCs w:val="21"/>
        </w:rPr>
        <w:t>格式四 授权委托书</w:t>
      </w:r>
      <w:bookmarkEnd w:id="600"/>
      <w:bookmarkEnd w:id="601"/>
      <w:bookmarkEnd w:id="602"/>
      <w:bookmarkEnd w:id="603"/>
      <w:bookmarkEnd w:id="605"/>
      <w:bookmarkEnd w:id="606"/>
      <w:bookmarkEnd w:id="607"/>
      <w:bookmarkEnd w:id="608"/>
      <w:bookmarkEnd w:id="609"/>
      <w:bookmarkEnd w:id="610"/>
      <w:bookmarkEnd w:id="611"/>
      <w:bookmarkEnd w:id="612"/>
      <w:bookmarkEnd w:id="613"/>
    </w:p>
    <w:p w14:paraId="03BC3B68">
      <w:pPr>
        <w:snapToGrid w:val="0"/>
        <w:rPr>
          <w:rStyle w:val="28"/>
          <w:rFonts w:hint="eastAsia" w:hAnsi="宋体"/>
          <w:b/>
          <w:bCs/>
          <w:kern w:val="0"/>
        </w:rPr>
      </w:pPr>
    </w:p>
    <w:p w14:paraId="673FB901">
      <w:pPr>
        <w:snapToGrid w:val="0"/>
        <w:spacing w:before="260" w:after="260"/>
        <w:jc w:val="center"/>
        <w:rPr>
          <w:rStyle w:val="28"/>
          <w:rFonts w:hint="eastAsia" w:hAnsi="宋体"/>
          <w:b/>
          <w:bCs/>
          <w:kern w:val="0"/>
        </w:rPr>
      </w:pPr>
      <w:r>
        <w:rPr>
          <w:rStyle w:val="28"/>
          <w:rFonts w:hint="eastAsia" w:hAnsi="宋体"/>
          <w:b/>
          <w:bCs/>
          <w:kern w:val="0"/>
          <w:sz w:val="30"/>
          <w:szCs w:val="30"/>
        </w:rPr>
        <w:t>授权委托书</w:t>
      </w:r>
    </w:p>
    <w:p w14:paraId="12A94C5C">
      <w:pPr>
        <w:snapToGrid w:val="0"/>
        <w:rPr>
          <w:rStyle w:val="28"/>
          <w:rFonts w:hint="eastAsia" w:hAnsi="宋体"/>
          <w:kern w:val="0"/>
        </w:rPr>
      </w:pPr>
    </w:p>
    <w:p w14:paraId="03E3159B">
      <w:pPr>
        <w:snapToGrid w:val="0"/>
        <w:rPr>
          <w:rStyle w:val="28"/>
          <w:rFonts w:hint="eastAsia" w:hAnsi="宋体"/>
          <w:kern w:val="0"/>
        </w:rPr>
      </w:pPr>
      <w:r>
        <w:rPr>
          <w:rStyle w:val="28"/>
          <w:rFonts w:hint="eastAsia" w:hAnsi="宋体"/>
          <w:kern w:val="0"/>
        </w:rPr>
        <w:t xml:space="preserve">    本人</w:t>
      </w:r>
      <w:r>
        <w:rPr>
          <w:rStyle w:val="28"/>
          <w:rFonts w:hint="eastAsia" w:hAnsi="宋体"/>
          <w:kern w:val="0"/>
          <w:u w:val="single"/>
        </w:rPr>
        <w:t xml:space="preserve">          </w:t>
      </w:r>
      <w:r>
        <w:rPr>
          <w:rStyle w:val="28"/>
          <w:rFonts w:hint="eastAsia" w:hAnsi="宋体"/>
          <w:kern w:val="0"/>
        </w:rPr>
        <w:t>（姓名）系</w:t>
      </w:r>
      <w:r>
        <w:rPr>
          <w:rStyle w:val="28"/>
          <w:rFonts w:hint="eastAsia" w:hAnsi="宋体"/>
          <w:kern w:val="0"/>
          <w:u w:val="single"/>
        </w:rPr>
        <w:t xml:space="preserve">             </w:t>
      </w:r>
      <w:r>
        <w:rPr>
          <w:rStyle w:val="28"/>
          <w:rFonts w:hint="eastAsia" w:hAnsi="宋体"/>
          <w:kern w:val="0"/>
        </w:rPr>
        <w:t>（投标人名称）的法定代表人，现委托</w:t>
      </w:r>
      <w:r>
        <w:rPr>
          <w:rStyle w:val="28"/>
          <w:rFonts w:hint="eastAsia" w:hAnsi="宋体"/>
          <w:kern w:val="0"/>
          <w:u w:val="single"/>
        </w:rPr>
        <w:t xml:space="preserve">        </w:t>
      </w:r>
      <w:r>
        <w:rPr>
          <w:rStyle w:val="28"/>
          <w:rFonts w:hint="eastAsia" w:hAnsi="宋体"/>
          <w:kern w:val="0"/>
        </w:rPr>
        <w:t>（姓名）为我方代理人。代理人根据授权，以我方名义签署、澄清、说明、补正、递交、撤回、修改</w:t>
      </w:r>
      <w:r>
        <w:rPr>
          <w:rStyle w:val="28"/>
          <w:rFonts w:hint="eastAsia" w:hAnsi="宋体"/>
          <w:kern w:val="0"/>
          <w:u w:val="single"/>
        </w:rPr>
        <w:t xml:space="preserve">             </w:t>
      </w:r>
      <w:r>
        <w:rPr>
          <w:rStyle w:val="28"/>
          <w:rFonts w:hint="eastAsia" w:hAnsi="宋体"/>
          <w:kern w:val="0"/>
        </w:rPr>
        <w:t>（工程名称）投标文件、签订合同和处理有关事宜，其法律后果由我方承担。</w:t>
      </w:r>
    </w:p>
    <w:p w14:paraId="39C086EB">
      <w:pPr>
        <w:snapToGrid w:val="0"/>
        <w:ind w:firstLine="480" w:firstLineChars="200"/>
        <w:rPr>
          <w:rStyle w:val="28"/>
          <w:rFonts w:hint="eastAsia" w:hAnsi="宋体"/>
          <w:kern w:val="0"/>
        </w:rPr>
      </w:pPr>
      <w:r>
        <w:rPr>
          <w:rStyle w:val="28"/>
          <w:rFonts w:hint="eastAsia" w:hAnsi="宋体"/>
          <w:kern w:val="0"/>
        </w:rPr>
        <w:t>委托期限：</w:t>
      </w:r>
      <w:r>
        <w:rPr>
          <w:rFonts w:hint="eastAsia" w:hAnsi="宋体"/>
          <w:snapToGrid w:val="0"/>
          <w:kern w:val="0"/>
          <w:szCs w:val="21"/>
          <w:u w:val="single"/>
        </w:rPr>
        <w:t>至投标有效期的期满之日止</w:t>
      </w:r>
      <w:r>
        <w:rPr>
          <w:rStyle w:val="28"/>
          <w:rFonts w:hint="eastAsia" w:hAnsi="宋体"/>
          <w:kern w:val="0"/>
        </w:rPr>
        <w:t>。</w:t>
      </w:r>
    </w:p>
    <w:p w14:paraId="2A04B446">
      <w:pPr>
        <w:snapToGrid w:val="0"/>
        <w:rPr>
          <w:rStyle w:val="28"/>
          <w:rFonts w:hint="eastAsia" w:hAnsi="宋体"/>
          <w:kern w:val="0"/>
        </w:rPr>
      </w:pPr>
      <w:r>
        <w:rPr>
          <w:rStyle w:val="28"/>
          <w:rFonts w:hint="eastAsia" w:hAnsi="宋体"/>
          <w:kern w:val="0"/>
        </w:rPr>
        <w:t xml:space="preserve">    代理人无转委托权。</w:t>
      </w:r>
    </w:p>
    <w:p w14:paraId="11849F2C">
      <w:pPr>
        <w:snapToGrid w:val="0"/>
        <w:ind w:firstLine="480" w:firstLineChars="200"/>
        <w:rPr>
          <w:rStyle w:val="28"/>
          <w:rFonts w:hint="eastAsia" w:hAnsi="宋体"/>
          <w:kern w:val="0"/>
        </w:rPr>
      </w:pPr>
    </w:p>
    <w:p w14:paraId="27DB283D">
      <w:pPr>
        <w:snapToGrid w:val="0"/>
        <w:ind w:firstLine="480" w:firstLineChars="200"/>
        <w:rPr>
          <w:rStyle w:val="28"/>
          <w:rFonts w:hint="eastAsia" w:hAnsi="宋体"/>
          <w:kern w:val="0"/>
        </w:rPr>
      </w:pPr>
    </w:p>
    <w:p w14:paraId="1DA36A0E">
      <w:pPr>
        <w:snapToGrid w:val="0"/>
        <w:ind w:firstLine="480" w:firstLineChars="200"/>
        <w:rPr>
          <w:rStyle w:val="28"/>
          <w:rFonts w:hint="eastAsia" w:hAnsi="宋体"/>
          <w:kern w:val="0"/>
        </w:rPr>
      </w:pPr>
    </w:p>
    <w:p w14:paraId="21284FEA">
      <w:pPr>
        <w:snapToGrid w:val="0"/>
        <w:ind w:firstLine="480" w:firstLineChars="200"/>
        <w:rPr>
          <w:rStyle w:val="28"/>
          <w:rFonts w:hint="eastAsia" w:hAnsi="宋体"/>
          <w:kern w:val="0"/>
        </w:rPr>
      </w:pPr>
      <w:r>
        <w:rPr>
          <w:rStyle w:val="28"/>
          <w:rFonts w:hint="eastAsia" w:hAnsi="宋体"/>
          <w:kern w:val="0"/>
        </w:rPr>
        <w:t>　　　　　　　　　　投  标  人：</w:t>
      </w:r>
      <w:r>
        <w:rPr>
          <w:rStyle w:val="28"/>
          <w:rFonts w:hint="eastAsia" w:hAnsi="宋体"/>
          <w:kern w:val="0"/>
          <w:u w:val="single"/>
        </w:rPr>
        <w:t xml:space="preserve">                        </w:t>
      </w:r>
      <w:r>
        <w:rPr>
          <w:rStyle w:val="28"/>
          <w:rFonts w:hint="eastAsia" w:hAnsi="宋体"/>
          <w:kern w:val="0"/>
        </w:rPr>
        <w:t>（盖单位章）</w:t>
      </w:r>
    </w:p>
    <w:p w14:paraId="228E79A9">
      <w:pPr>
        <w:snapToGrid w:val="0"/>
        <w:ind w:firstLine="480" w:firstLineChars="200"/>
        <w:rPr>
          <w:rStyle w:val="28"/>
          <w:rFonts w:hint="eastAsia" w:hAnsi="宋体"/>
          <w:kern w:val="0"/>
        </w:rPr>
      </w:pPr>
      <w:r>
        <w:rPr>
          <w:rStyle w:val="28"/>
          <w:rFonts w:hint="eastAsia" w:hAnsi="宋体"/>
          <w:kern w:val="0"/>
        </w:rPr>
        <w:t>　　　　　　　　　　　　　　　　　</w:t>
      </w:r>
    </w:p>
    <w:p w14:paraId="4EDDFDF8">
      <w:pPr>
        <w:snapToGrid w:val="0"/>
        <w:ind w:firstLine="480" w:firstLineChars="200"/>
        <w:rPr>
          <w:rStyle w:val="28"/>
          <w:rFonts w:hint="eastAsia" w:hAnsi="宋体"/>
          <w:kern w:val="0"/>
        </w:rPr>
      </w:pPr>
    </w:p>
    <w:p w14:paraId="3564E810">
      <w:pPr>
        <w:snapToGrid w:val="0"/>
        <w:ind w:firstLine="480" w:firstLineChars="200"/>
        <w:rPr>
          <w:rStyle w:val="28"/>
          <w:rFonts w:hint="eastAsia" w:hAnsi="宋体"/>
          <w:kern w:val="0"/>
        </w:rPr>
      </w:pPr>
      <w:r>
        <w:rPr>
          <w:rStyle w:val="28"/>
          <w:rFonts w:hint="eastAsia" w:hAnsi="宋体"/>
          <w:kern w:val="0"/>
        </w:rPr>
        <w:t>　　　　　　　　　法定代表人：</w:t>
      </w:r>
      <w:r>
        <w:rPr>
          <w:rStyle w:val="28"/>
          <w:rFonts w:hint="eastAsia" w:hAnsi="宋体"/>
          <w:kern w:val="0"/>
          <w:u w:val="single"/>
        </w:rPr>
        <w:t xml:space="preserve">                        </w:t>
      </w:r>
      <w:r>
        <w:rPr>
          <w:rStyle w:val="28"/>
          <w:rFonts w:hint="eastAsia" w:hAnsi="宋体"/>
          <w:kern w:val="0"/>
        </w:rPr>
        <w:t>（签字或盖章）</w:t>
      </w:r>
    </w:p>
    <w:p w14:paraId="7B2786E6">
      <w:pPr>
        <w:snapToGrid w:val="0"/>
        <w:ind w:firstLine="480" w:firstLineChars="200"/>
        <w:rPr>
          <w:rStyle w:val="28"/>
          <w:rFonts w:hint="eastAsia" w:hAnsi="宋体"/>
          <w:kern w:val="0"/>
        </w:rPr>
      </w:pPr>
    </w:p>
    <w:p w14:paraId="366F24A2">
      <w:pPr>
        <w:snapToGrid w:val="0"/>
        <w:ind w:left="2640" w:leftChars="200" w:hanging="2160" w:hangingChars="900"/>
        <w:rPr>
          <w:rStyle w:val="28"/>
          <w:rFonts w:hint="eastAsia" w:hAnsi="宋体"/>
          <w:kern w:val="0"/>
        </w:rPr>
      </w:pPr>
      <w:r>
        <w:rPr>
          <w:rStyle w:val="28"/>
          <w:rFonts w:hint="eastAsia" w:hAnsi="宋体"/>
          <w:kern w:val="0"/>
        </w:rPr>
        <w:t>　　　　　　　　　　　　　　　　　　　　　　　　　　　　　　　　　　　　 　　　　　　　　　　 委托代理人：</w:t>
      </w:r>
      <w:r>
        <w:rPr>
          <w:rStyle w:val="28"/>
          <w:rFonts w:hint="eastAsia" w:hAnsi="宋体"/>
          <w:kern w:val="0"/>
          <w:u w:val="single"/>
        </w:rPr>
        <w:t xml:space="preserve">                       </w:t>
      </w:r>
      <w:r>
        <w:rPr>
          <w:rStyle w:val="28"/>
          <w:rFonts w:hint="eastAsia" w:hAnsi="宋体"/>
          <w:kern w:val="0"/>
        </w:rPr>
        <w:t>（签字或盖章）</w:t>
      </w:r>
    </w:p>
    <w:p w14:paraId="60DD3716">
      <w:pPr>
        <w:snapToGrid w:val="0"/>
        <w:ind w:firstLine="480" w:firstLineChars="200"/>
        <w:rPr>
          <w:rStyle w:val="28"/>
          <w:rFonts w:hint="eastAsia" w:hAnsi="宋体"/>
          <w:kern w:val="0"/>
        </w:rPr>
      </w:pPr>
      <w:r>
        <w:rPr>
          <w:rStyle w:val="28"/>
          <w:rFonts w:hint="eastAsia" w:hAnsi="宋体"/>
          <w:kern w:val="0"/>
        </w:rPr>
        <w:t>　　　　　　　　　　　　　　　　　　　　　　　　　　　　　　　　　　</w:t>
      </w:r>
    </w:p>
    <w:p w14:paraId="219737D6">
      <w:pPr>
        <w:snapToGrid w:val="0"/>
        <w:ind w:firstLine="480" w:firstLineChars="200"/>
        <w:rPr>
          <w:rStyle w:val="28"/>
          <w:rFonts w:hint="eastAsia" w:hAnsi="宋体"/>
          <w:kern w:val="0"/>
        </w:rPr>
      </w:pPr>
      <w:r>
        <w:rPr>
          <w:rStyle w:val="28"/>
          <w:rFonts w:hint="eastAsia" w:hAnsi="宋体"/>
          <w:kern w:val="0"/>
        </w:rPr>
        <w:t>　　　　　　　　　　　　　 　　</w:t>
      </w:r>
      <w:r>
        <w:rPr>
          <w:rStyle w:val="28"/>
          <w:rFonts w:hint="eastAsia" w:hAnsi="宋体"/>
          <w:kern w:val="0"/>
          <w:u w:val="single"/>
        </w:rPr>
        <w:t xml:space="preserve">        </w:t>
      </w:r>
      <w:r>
        <w:rPr>
          <w:rStyle w:val="28"/>
          <w:rFonts w:hint="eastAsia" w:hAnsi="宋体"/>
          <w:kern w:val="0"/>
        </w:rPr>
        <w:t>年</w:t>
      </w:r>
      <w:r>
        <w:rPr>
          <w:rStyle w:val="28"/>
          <w:rFonts w:hint="eastAsia" w:hAnsi="宋体"/>
          <w:kern w:val="0"/>
          <w:u w:val="single"/>
        </w:rPr>
        <w:t xml:space="preserve">      </w:t>
      </w:r>
      <w:r>
        <w:rPr>
          <w:rStyle w:val="28"/>
          <w:rFonts w:hint="eastAsia" w:hAnsi="宋体"/>
          <w:kern w:val="0"/>
        </w:rPr>
        <w:t>月</w:t>
      </w:r>
      <w:r>
        <w:rPr>
          <w:rStyle w:val="28"/>
          <w:rFonts w:hint="eastAsia" w:hAnsi="宋体"/>
          <w:kern w:val="0"/>
          <w:u w:val="single"/>
        </w:rPr>
        <w:t xml:space="preserve">      </w:t>
      </w:r>
      <w:r>
        <w:rPr>
          <w:rStyle w:val="28"/>
          <w:rFonts w:hint="eastAsia" w:hAnsi="宋体"/>
          <w:kern w:val="0"/>
        </w:rPr>
        <w:t>日</w:t>
      </w:r>
    </w:p>
    <w:p w14:paraId="4145D559">
      <w:pPr>
        <w:snapToGrid w:val="0"/>
        <w:ind w:firstLine="480" w:firstLineChars="200"/>
        <w:rPr>
          <w:rStyle w:val="28"/>
          <w:rFonts w:hint="eastAsia" w:hAnsi="宋体"/>
          <w:kern w:val="0"/>
        </w:rPr>
      </w:pPr>
    </w:p>
    <w:p w14:paraId="2F16918C">
      <w:pPr>
        <w:snapToGrid w:val="0"/>
        <w:ind w:firstLine="5520" w:firstLineChars="2300"/>
        <w:rPr>
          <w:rStyle w:val="28"/>
          <w:rFonts w:hint="eastAsia" w:hAnsi="宋体"/>
          <w:kern w:val="0"/>
        </w:rPr>
      </w:pPr>
      <w:r>
        <w:rPr>
          <w:rFonts w:hint="eastAsia" w:hAnsi="宋体"/>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 name="流程图: 可选过程 2" hidden="1"/>
                <wp:cNvGraphicFramePr/>
                <a:graphic xmlns:a="http://schemas.openxmlformats.org/drawingml/2006/main">
                  <a:graphicData uri="http://schemas.microsoft.com/office/word/2010/wordprocessingShape">
                    <wps:wsp>
                      <wps:cNvSpPr/>
                      <wps:spPr>
                        <a:xfrm>
                          <a:off x="0" y="0"/>
                          <a:ext cx="635000" cy="6350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5785123">
                            <w:pPr>
                              <w:rPr>
                                <w:rFonts w:cs="Times New Roman"/>
                              </w:rPr>
                            </w:pPr>
                          </w:p>
                        </w:txbxContent>
                      </wps:txbx>
                      <wps:bodyPr upright="1"/>
                    </wps:wsp>
                  </a:graphicData>
                </a:graphic>
              </wp:anchor>
            </w:drawing>
          </mc:Choice>
          <mc:Fallback>
            <w:pict>
              <v:shape id="_x0000_s1026" o:spid="_x0000_s1026" o:spt="176" type="#_x0000_t176" style="position:absolute;left:0pt;margin-left:0pt;margin-top:0pt;height:50pt;width:50pt;visibility:hidden;z-index:251659264;mso-width-relative:page;mso-height-relative:page;" fillcolor="#FFFFFF" filled="t" stroked="t" coordsize="21600,21600" o:gfxdata="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bZ&#10;PMLRAAAABQEAAA8AAAAAAAAAAQAgAAAAIgAAAGRycy9kb3ducmV2LnhtbFBLAQIUABQAAAAIAIdO&#10;4kB+QdsTKgIAAFkEAAAOAAAAAAAAAAEAIAAAACABAABkcnMvZTJvRG9jLnhtbFBLBQYAAAAABgAG&#10;AFkBAAC8BQAAAAA=&#10;">
                <v:fill on="t" focussize="0,0"/>
                <v:stroke color="#000000" joinstyle="miter"/>
                <v:imagedata o:title=""/>
                <o:lock v:ext="edit" aspectratio="f"/>
                <v:textbox>
                  <w:txbxContent>
                    <w:p w14:paraId="05785123">
                      <w:pPr>
                        <w:rPr>
                          <w:rFonts w:cs="Times New Roman"/>
                        </w:rPr>
                      </w:pPr>
                    </w:p>
                  </w:txbxContent>
                </v:textbox>
              </v:shape>
            </w:pict>
          </mc:Fallback>
        </mc:AlternateContent>
      </w:r>
      <w:r>
        <w:rPr>
          <w:rFonts w:hint="eastAsia" w:hAnsi="宋体"/>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33020</wp:posOffset>
                </wp:positionV>
                <wp:extent cx="3190875" cy="1472565"/>
                <wp:effectExtent l="4445" t="4445" r="5080" b="8890"/>
                <wp:wrapNone/>
                <wp:docPr id="3" name="流程图: 可选过程 3"/>
                <wp:cNvGraphicFramePr/>
                <a:graphic xmlns:a="http://schemas.openxmlformats.org/drawingml/2006/main">
                  <a:graphicData uri="http://schemas.microsoft.com/office/word/2010/wordprocessingShape">
                    <wps:wsp>
                      <wps:cNvSpPr/>
                      <wps:spPr>
                        <a:xfrm>
                          <a:off x="0" y="0"/>
                          <a:ext cx="3190875" cy="147256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8F7AA68">
                            <w:pPr>
                              <w:jc w:val="center"/>
                              <w:rPr>
                                <w:rStyle w:val="28"/>
                                <w:rFonts w:cs="Times New Roman"/>
                              </w:rPr>
                            </w:pPr>
                          </w:p>
                          <w:p w14:paraId="405115BF">
                            <w:pPr>
                              <w:jc w:val="center"/>
                              <w:rPr>
                                <w:rStyle w:val="28"/>
                                <w:rFonts w:cs="Times New Roman"/>
                              </w:rPr>
                            </w:pPr>
                          </w:p>
                          <w:p w14:paraId="01BC228C">
                            <w:pPr>
                              <w:jc w:val="center"/>
                              <w:rPr>
                                <w:rStyle w:val="28"/>
                                <w:rFonts w:cs="Times New Roman"/>
                              </w:rPr>
                            </w:pPr>
                            <w:r>
                              <w:rPr>
                                <w:rStyle w:val="28"/>
                                <w:rFonts w:hint="eastAsia"/>
                              </w:rPr>
                              <w:t>委托代理人身份证复印件正、反面</w:t>
                            </w:r>
                          </w:p>
                          <w:p w14:paraId="29860664">
                            <w:pPr>
                              <w:rPr>
                                <w:rStyle w:val="28"/>
                                <w:rFonts w:cs="Times New Roman"/>
                              </w:rPr>
                            </w:pPr>
                          </w:p>
                        </w:txbxContent>
                      </wps:txbx>
                      <wps:bodyPr upright="1"/>
                    </wps:wsp>
                  </a:graphicData>
                </a:graphic>
              </wp:anchor>
            </w:drawing>
          </mc:Choice>
          <mc:Fallback>
            <w:pict>
              <v:shape id="_x0000_s1026" o:spid="_x0000_s1026" o:spt="176" type="#_x0000_t176" style="position:absolute;left:0pt;margin-left:115.5pt;margin-top:2.6pt;height:115.95pt;width:251.25pt;z-index:251660288;mso-width-relative:page;mso-height-relative:page;" fillcolor="#FFFFFF" filled="t" stroked="t" coordsize="21600,21600" o:gfxdata="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HRkm2jXAAAACQEAAA8AAAAAAAAAAQAgAAAAIgAAAGRycy9kb3ducmV2LnhtbFBLAQIUABQA&#10;AAAIAIdO4kDTcJkoKgIAAFAEAAAOAAAAAAAAAAEAIAAAACYBAABkcnMvZTJvRG9jLnhtbFBLBQYA&#10;AAAABgAGAFkBAADCBQAAAAA=&#10;">
                <v:fill on="t" focussize="0,0"/>
                <v:stroke color="#000000" joinstyle="miter"/>
                <v:imagedata o:title=""/>
                <o:lock v:ext="edit" aspectratio="f"/>
                <v:textbox>
                  <w:txbxContent>
                    <w:p w14:paraId="28F7AA68">
                      <w:pPr>
                        <w:jc w:val="center"/>
                        <w:rPr>
                          <w:rStyle w:val="28"/>
                          <w:rFonts w:cs="Times New Roman"/>
                        </w:rPr>
                      </w:pPr>
                    </w:p>
                    <w:p w14:paraId="405115BF">
                      <w:pPr>
                        <w:jc w:val="center"/>
                        <w:rPr>
                          <w:rStyle w:val="28"/>
                          <w:rFonts w:cs="Times New Roman"/>
                        </w:rPr>
                      </w:pPr>
                    </w:p>
                    <w:p w14:paraId="01BC228C">
                      <w:pPr>
                        <w:jc w:val="center"/>
                        <w:rPr>
                          <w:rStyle w:val="28"/>
                          <w:rFonts w:cs="Times New Roman"/>
                        </w:rPr>
                      </w:pPr>
                      <w:r>
                        <w:rPr>
                          <w:rStyle w:val="28"/>
                          <w:rFonts w:hint="eastAsia"/>
                        </w:rPr>
                        <w:t>委托代理人身份证复印件正、反面</w:t>
                      </w:r>
                    </w:p>
                    <w:p w14:paraId="29860664">
                      <w:pPr>
                        <w:rPr>
                          <w:rStyle w:val="28"/>
                          <w:rFonts w:cs="Times New Roman"/>
                        </w:rPr>
                      </w:pPr>
                    </w:p>
                  </w:txbxContent>
                </v:textbox>
              </v:shape>
            </w:pict>
          </mc:Fallback>
        </mc:AlternateContent>
      </w:r>
    </w:p>
    <w:p w14:paraId="0FDA7603">
      <w:pPr>
        <w:pStyle w:val="60"/>
        <w:snapToGrid w:val="0"/>
        <w:rPr>
          <w:rStyle w:val="28"/>
          <w:rFonts w:hint="eastAsia" w:hAnsi="宋体"/>
          <w:kern w:val="0"/>
        </w:rPr>
      </w:pPr>
    </w:p>
    <w:p w14:paraId="4AEE15E0">
      <w:pPr>
        <w:pStyle w:val="53"/>
        <w:snapToGrid w:val="0"/>
        <w:rPr>
          <w:rStyle w:val="28"/>
          <w:rFonts w:hint="eastAsia" w:hAnsi="宋体"/>
        </w:rPr>
      </w:pPr>
    </w:p>
    <w:p w14:paraId="2ACA027A">
      <w:pPr>
        <w:pStyle w:val="54"/>
        <w:snapToGrid w:val="0"/>
        <w:rPr>
          <w:rStyle w:val="28"/>
          <w:rFonts w:hint="eastAsia" w:hAnsi="宋体"/>
        </w:rPr>
        <w:sectPr>
          <w:endnotePr>
            <w:numFmt w:val="decimal"/>
          </w:endnotePr>
          <w:pgSz w:w="11906" w:h="16838"/>
          <w:pgMar w:top="1701" w:right="1531" w:bottom="1417" w:left="1531" w:header="850" w:footer="992" w:gutter="0"/>
          <w:cols w:space="720" w:num="1"/>
          <w:docGrid w:linePitch="327" w:charSpace="0"/>
        </w:sectPr>
      </w:pPr>
    </w:p>
    <w:p w14:paraId="22CDBC77">
      <w:pPr>
        <w:pStyle w:val="54"/>
        <w:snapToGrid w:val="0"/>
        <w:ind w:firstLine="0"/>
        <w:outlineLvl w:val="1"/>
        <w:rPr>
          <w:rStyle w:val="28"/>
          <w:rFonts w:hint="eastAsia" w:hAnsi="宋体"/>
          <w:b/>
          <w:bCs/>
          <w:sz w:val="21"/>
          <w:szCs w:val="21"/>
        </w:rPr>
      </w:pPr>
      <w:bookmarkStart w:id="614" w:name="_Toc31156"/>
      <w:bookmarkStart w:id="615" w:name="_Toc19982"/>
      <w:bookmarkStart w:id="616" w:name="_Toc2417"/>
      <w:bookmarkStart w:id="617" w:name="_Toc3305"/>
      <w:bookmarkStart w:id="618" w:name="_Toc25505"/>
      <w:bookmarkStart w:id="619" w:name="_Toc20179"/>
      <w:bookmarkStart w:id="620" w:name="_Toc2433"/>
      <w:bookmarkStart w:id="621" w:name="_Toc27998"/>
      <w:bookmarkStart w:id="622" w:name="_Toc27116"/>
      <w:bookmarkStart w:id="623" w:name="_Toc30204"/>
      <w:bookmarkStart w:id="624" w:name="_Toc1326"/>
      <w:bookmarkStart w:id="625" w:name="_Toc17587"/>
      <w:bookmarkStart w:id="626" w:name="_Toc11066"/>
      <w:r>
        <w:rPr>
          <w:rStyle w:val="28"/>
          <w:rFonts w:hint="eastAsia" w:hAnsi="宋体"/>
          <w:b/>
          <w:bCs/>
          <w:sz w:val="21"/>
          <w:szCs w:val="21"/>
        </w:rPr>
        <w:t>格式五 法定代表人身份证明</w:t>
      </w:r>
      <w:bookmarkEnd w:id="614"/>
      <w:bookmarkEnd w:id="615"/>
      <w:bookmarkEnd w:id="616"/>
      <w:bookmarkEnd w:id="617"/>
      <w:bookmarkEnd w:id="618"/>
      <w:bookmarkEnd w:id="619"/>
      <w:bookmarkEnd w:id="620"/>
      <w:bookmarkEnd w:id="621"/>
      <w:bookmarkEnd w:id="622"/>
      <w:bookmarkEnd w:id="623"/>
      <w:bookmarkEnd w:id="624"/>
      <w:bookmarkEnd w:id="625"/>
      <w:bookmarkEnd w:id="626"/>
    </w:p>
    <w:p w14:paraId="49C3F945">
      <w:pPr>
        <w:snapToGrid w:val="0"/>
        <w:rPr>
          <w:rStyle w:val="28"/>
          <w:rFonts w:hint="eastAsia" w:hAnsi="宋体"/>
          <w:b/>
          <w:bCs/>
          <w:kern w:val="0"/>
        </w:rPr>
      </w:pPr>
    </w:p>
    <w:p w14:paraId="7E3EB650">
      <w:pPr>
        <w:snapToGrid w:val="0"/>
        <w:spacing w:before="260" w:after="260"/>
        <w:jc w:val="center"/>
        <w:rPr>
          <w:rStyle w:val="28"/>
          <w:rFonts w:hint="eastAsia" w:hAnsi="宋体"/>
          <w:b/>
          <w:bCs/>
          <w:kern w:val="0"/>
        </w:rPr>
      </w:pPr>
      <w:r>
        <w:rPr>
          <w:rStyle w:val="28"/>
          <w:rFonts w:hint="eastAsia" w:hAnsi="宋体"/>
          <w:b/>
          <w:bCs/>
          <w:kern w:val="0"/>
          <w:sz w:val="30"/>
          <w:szCs w:val="30"/>
        </w:rPr>
        <w:t>法定代表人身份证明</w:t>
      </w:r>
    </w:p>
    <w:p w14:paraId="46E50AA1">
      <w:pPr>
        <w:snapToGrid w:val="0"/>
        <w:rPr>
          <w:rStyle w:val="28"/>
          <w:rFonts w:hint="eastAsia" w:hAnsi="宋体"/>
          <w:kern w:val="0"/>
        </w:rPr>
      </w:pPr>
    </w:p>
    <w:p w14:paraId="5BD5AE29">
      <w:pPr>
        <w:snapToGrid w:val="0"/>
        <w:rPr>
          <w:rStyle w:val="28"/>
          <w:rFonts w:hint="eastAsia" w:hAnsi="宋体"/>
          <w:kern w:val="0"/>
          <w:u w:val="single"/>
        </w:rPr>
      </w:pPr>
      <w:r>
        <w:rPr>
          <w:rStyle w:val="28"/>
          <w:rFonts w:hint="eastAsia" w:hAnsi="宋体"/>
          <w:kern w:val="0"/>
        </w:rPr>
        <w:t>投标人名称：</w:t>
      </w:r>
      <w:r>
        <w:rPr>
          <w:rStyle w:val="28"/>
          <w:rFonts w:hint="eastAsia" w:hAnsi="宋体"/>
          <w:kern w:val="0"/>
          <w:u w:val="single"/>
        </w:rPr>
        <w:t xml:space="preserve">                  </w:t>
      </w:r>
    </w:p>
    <w:p w14:paraId="2F873569">
      <w:pPr>
        <w:snapToGrid w:val="0"/>
        <w:rPr>
          <w:rStyle w:val="28"/>
          <w:rFonts w:hint="eastAsia" w:hAnsi="宋体"/>
          <w:kern w:val="0"/>
          <w:u w:val="single"/>
        </w:rPr>
      </w:pPr>
      <w:r>
        <w:rPr>
          <w:rStyle w:val="28"/>
          <w:rFonts w:hint="eastAsia" w:hAnsi="宋体"/>
          <w:kern w:val="0"/>
        </w:rPr>
        <w:t>姓名：</w:t>
      </w:r>
      <w:r>
        <w:rPr>
          <w:rStyle w:val="28"/>
          <w:rFonts w:hint="eastAsia" w:hAnsi="宋体"/>
          <w:kern w:val="0"/>
          <w:u w:val="single"/>
        </w:rPr>
        <w:t xml:space="preserve">         </w:t>
      </w:r>
      <w:r>
        <w:rPr>
          <w:rStyle w:val="28"/>
          <w:rFonts w:hint="eastAsia" w:hAnsi="宋体"/>
          <w:kern w:val="0"/>
        </w:rPr>
        <w:t>性别：</w:t>
      </w:r>
      <w:r>
        <w:rPr>
          <w:rStyle w:val="28"/>
          <w:rFonts w:hint="eastAsia" w:hAnsi="宋体"/>
          <w:kern w:val="0"/>
          <w:u w:val="single"/>
        </w:rPr>
        <w:t xml:space="preserve">      </w:t>
      </w:r>
      <w:r>
        <w:rPr>
          <w:rStyle w:val="28"/>
          <w:rFonts w:hint="eastAsia" w:hAnsi="宋体"/>
          <w:kern w:val="0"/>
        </w:rPr>
        <w:t>年龄：</w:t>
      </w:r>
      <w:r>
        <w:rPr>
          <w:rStyle w:val="28"/>
          <w:rFonts w:hint="eastAsia" w:hAnsi="宋体"/>
          <w:kern w:val="0"/>
          <w:u w:val="single"/>
        </w:rPr>
        <w:t xml:space="preserve">       </w:t>
      </w:r>
      <w:r>
        <w:rPr>
          <w:rStyle w:val="28"/>
          <w:rFonts w:hint="eastAsia" w:hAnsi="宋体"/>
          <w:kern w:val="0"/>
        </w:rPr>
        <w:t>职务：</w:t>
      </w:r>
      <w:r>
        <w:rPr>
          <w:rStyle w:val="28"/>
          <w:rFonts w:hint="eastAsia" w:hAnsi="宋体"/>
          <w:kern w:val="0"/>
          <w:u w:val="single"/>
        </w:rPr>
        <w:t xml:space="preserve">           </w:t>
      </w:r>
    </w:p>
    <w:p w14:paraId="7118C0CD">
      <w:pPr>
        <w:snapToGrid w:val="0"/>
        <w:rPr>
          <w:rStyle w:val="28"/>
          <w:rFonts w:hint="eastAsia" w:hAnsi="宋体"/>
          <w:kern w:val="0"/>
        </w:rPr>
      </w:pPr>
      <w:r>
        <w:rPr>
          <w:rStyle w:val="28"/>
          <w:rFonts w:hint="eastAsia" w:hAnsi="宋体"/>
          <w:kern w:val="0"/>
        </w:rPr>
        <w:t>系</w:t>
      </w:r>
      <w:r>
        <w:rPr>
          <w:rStyle w:val="28"/>
          <w:rFonts w:hint="eastAsia" w:hAnsi="宋体"/>
          <w:kern w:val="0"/>
          <w:u w:val="single"/>
        </w:rPr>
        <w:t xml:space="preserve">                        </w:t>
      </w:r>
      <w:r>
        <w:rPr>
          <w:rStyle w:val="28"/>
          <w:rFonts w:hint="eastAsia" w:hAnsi="宋体"/>
          <w:kern w:val="0"/>
        </w:rPr>
        <w:t>（投标人名称）的法定代表人。</w:t>
      </w:r>
    </w:p>
    <w:p w14:paraId="5DA9797F">
      <w:pPr>
        <w:snapToGrid w:val="0"/>
        <w:rPr>
          <w:rStyle w:val="28"/>
          <w:rFonts w:hint="eastAsia" w:hAnsi="宋体"/>
          <w:kern w:val="0"/>
        </w:rPr>
      </w:pPr>
      <w:r>
        <w:rPr>
          <w:rStyle w:val="28"/>
          <w:rFonts w:hint="eastAsia" w:hAnsi="宋体"/>
          <w:kern w:val="0"/>
        </w:rPr>
        <w:t xml:space="preserve">    特此证明。</w:t>
      </w:r>
    </w:p>
    <w:p w14:paraId="49A6F53F">
      <w:pPr>
        <w:snapToGrid w:val="0"/>
        <w:rPr>
          <w:rStyle w:val="28"/>
          <w:rFonts w:hint="eastAsia" w:hAnsi="宋体"/>
          <w:kern w:val="0"/>
        </w:rPr>
      </w:pPr>
    </w:p>
    <w:p w14:paraId="251B523F">
      <w:pPr>
        <w:snapToGrid w:val="0"/>
        <w:rPr>
          <w:rStyle w:val="28"/>
          <w:rFonts w:hint="eastAsia" w:hAnsi="宋体"/>
          <w:kern w:val="0"/>
        </w:rPr>
      </w:pPr>
    </w:p>
    <w:p w14:paraId="242F04FE">
      <w:pPr>
        <w:snapToGrid w:val="0"/>
        <w:jc w:val="right"/>
        <w:rPr>
          <w:rStyle w:val="28"/>
          <w:rFonts w:hint="eastAsia" w:hAnsi="宋体"/>
          <w:kern w:val="0"/>
        </w:rPr>
      </w:pPr>
      <w:r>
        <w:rPr>
          <w:rStyle w:val="28"/>
          <w:rFonts w:hint="eastAsia" w:hAnsi="宋体"/>
          <w:kern w:val="0"/>
        </w:rPr>
        <w:t>投标人：</w:t>
      </w:r>
      <w:r>
        <w:rPr>
          <w:rStyle w:val="28"/>
          <w:rFonts w:hint="eastAsia" w:hAnsi="宋体"/>
          <w:kern w:val="0"/>
          <w:u w:val="single"/>
        </w:rPr>
        <w:t xml:space="preserve">                          </w:t>
      </w:r>
      <w:r>
        <w:rPr>
          <w:rStyle w:val="28"/>
          <w:rFonts w:hint="eastAsia" w:hAnsi="宋体"/>
          <w:kern w:val="0"/>
        </w:rPr>
        <w:t>（盖单位章）</w:t>
      </w:r>
    </w:p>
    <w:p w14:paraId="3ADF5067">
      <w:pPr>
        <w:snapToGrid w:val="0"/>
        <w:jc w:val="right"/>
        <w:rPr>
          <w:rStyle w:val="28"/>
          <w:rFonts w:hint="eastAsia" w:hAnsi="宋体"/>
          <w:kern w:val="0"/>
        </w:rPr>
      </w:pPr>
    </w:p>
    <w:p w14:paraId="241C47E0">
      <w:pPr>
        <w:snapToGrid w:val="0"/>
        <w:jc w:val="right"/>
        <w:rPr>
          <w:rStyle w:val="28"/>
          <w:rFonts w:hint="eastAsia" w:hAnsi="宋体"/>
          <w:kern w:val="0"/>
        </w:rPr>
      </w:pPr>
    </w:p>
    <w:p w14:paraId="6BFE28A6">
      <w:pPr>
        <w:snapToGrid w:val="0"/>
        <w:jc w:val="right"/>
        <w:rPr>
          <w:rStyle w:val="28"/>
          <w:rFonts w:hint="eastAsia" w:hAnsi="宋体"/>
          <w:kern w:val="0"/>
        </w:rPr>
      </w:pPr>
      <w:r>
        <w:rPr>
          <w:rStyle w:val="28"/>
          <w:rFonts w:hint="eastAsia" w:hAnsi="宋体"/>
          <w:kern w:val="0"/>
        </w:rPr>
        <w:t xml:space="preserve">                        法定代表人：</w:t>
      </w:r>
      <w:r>
        <w:rPr>
          <w:rStyle w:val="28"/>
          <w:rFonts w:hint="eastAsia" w:hAnsi="宋体"/>
          <w:kern w:val="0"/>
          <w:u w:val="single"/>
        </w:rPr>
        <w:t xml:space="preserve">                       </w:t>
      </w:r>
      <w:r>
        <w:rPr>
          <w:rStyle w:val="28"/>
          <w:rFonts w:hint="eastAsia" w:hAnsi="宋体"/>
          <w:kern w:val="0"/>
        </w:rPr>
        <w:t>（签字或盖章）</w:t>
      </w:r>
    </w:p>
    <w:p w14:paraId="106A6510">
      <w:pPr>
        <w:snapToGrid w:val="0"/>
        <w:jc w:val="center"/>
        <w:rPr>
          <w:rStyle w:val="28"/>
          <w:rFonts w:hint="eastAsia" w:hAnsi="宋体"/>
          <w:kern w:val="0"/>
        </w:rPr>
      </w:pPr>
      <w:r>
        <w:rPr>
          <w:rStyle w:val="28"/>
          <w:rFonts w:hint="eastAsia" w:hAnsi="宋体"/>
          <w:kern w:val="0"/>
        </w:rPr>
        <w:t xml:space="preserve">                        </w:t>
      </w:r>
    </w:p>
    <w:p w14:paraId="5CB3DAEC">
      <w:pPr>
        <w:snapToGrid w:val="0"/>
        <w:jc w:val="center"/>
        <w:rPr>
          <w:rStyle w:val="28"/>
          <w:rFonts w:hint="eastAsia" w:hAnsi="宋体"/>
          <w:kern w:val="0"/>
        </w:rPr>
      </w:pPr>
      <w:r>
        <w:rPr>
          <w:rStyle w:val="28"/>
          <w:rFonts w:hint="eastAsia" w:hAnsi="宋体"/>
          <w:kern w:val="0"/>
        </w:rPr>
        <w:t xml:space="preserve">                            </w:t>
      </w:r>
      <w:r>
        <w:rPr>
          <w:rStyle w:val="28"/>
          <w:rFonts w:hint="eastAsia" w:hAnsi="宋体"/>
          <w:kern w:val="0"/>
          <w:u w:val="single"/>
        </w:rPr>
        <w:t xml:space="preserve">         </w:t>
      </w:r>
      <w:r>
        <w:rPr>
          <w:rStyle w:val="28"/>
          <w:rFonts w:hint="eastAsia" w:hAnsi="宋体"/>
          <w:kern w:val="0"/>
        </w:rPr>
        <w:t>年</w:t>
      </w:r>
      <w:r>
        <w:rPr>
          <w:rStyle w:val="28"/>
          <w:rFonts w:hint="eastAsia" w:hAnsi="宋体"/>
          <w:kern w:val="0"/>
          <w:u w:val="single"/>
        </w:rPr>
        <w:t xml:space="preserve">      </w:t>
      </w:r>
      <w:r>
        <w:rPr>
          <w:rStyle w:val="28"/>
          <w:rFonts w:hint="eastAsia" w:hAnsi="宋体"/>
          <w:kern w:val="0"/>
        </w:rPr>
        <w:t>月</w:t>
      </w:r>
      <w:r>
        <w:rPr>
          <w:rStyle w:val="28"/>
          <w:rFonts w:hint="eastAsia" w:hAnsi="宋体"/>
          <w:kern w:val="0"/>
          <w:u w:val="single"/>
        </w:rPr>
        <w:t xml:space="preserve">      </w:t>
      </w:r>
      <w:r>
        <w:rPr>
          <w:rStyle w:val="28"/>
          <w:rFonts w:hint="eastAsia" w:hAnsi="宋体"/>
          <w:kern w:val="0"/>
        </w:rPr>
        <w:t xml:space="preserve">日       </w:t>
      </w:r>
    </w:p>
    <w:p w14:paraId="7AE26DD7">
      <w:pPr>
        <w:snapToGrid w:val="0"/>
        <w:ind w:firstLine="240" w:firstLineChars="100"/>
        <w:rPr>
          <w:rStyle w:val="28"/>
          <w:rFonts w:hint="eastAsia" w:hAnsi="宋体"/>
          <w:kern w:val="0"/>
        </w:rPr>
      </w:pPr>
      <w:r>
        <w:rPr>
          <w:rStyle w:val="28"/>
          <w:rFonts w:hint="eastAsia" w:hAnsi="宋体"/>
          <w:kern w:val="0"/>
        </w:rPr>
        <w:t xml:space="preserve">     </w:t>
      </w:r>
    </w:p>
    <w:p w14:paraId="5B9CD6B4">
      <w:pPr>
        <w:snapToGrid w:val="0"/>
        <w:ind w:firstLine="720" w:firstLineChars="300"/>
        <w:rPr>
          <w:rStyle w:val="28"/>
          <w:rFonts w:hint="eastAsia" w:hAnsi="宋体"/>
          <w:i/>
          <w:iCs/>
          <w:kern w:val="0"/>
        </w:rPr>
      </w:pPr>
      <w:r>
        <w:rPr>
          <w:rStyle w:val="28"/>
          <w:rFonts w:hint="eastAsia" w:hAnsi="宋体"/>
          <w:kern w:val="0"/>
        </w:rPr>
        <w:t xml:space="preserve">  </w:t>
      </w:r>
      <w:r>
        <w:rPr>
          <w:rStyle w:val="28"/>
          <w:rFonts w:hint="eastAsia" w:hAnsi="宋体"/>
          <w:i/>
          <w:iCs/>
          <w:kern w:val="0"/>
        </w:rPr>
        <w:t xml:space="preserve"> </w:t>
      </w:r>
    </w:p>
    <w:p w14:paraId="2AE58C23">
      <w:pPr>
        <w:snapToGrid w:val="0"/>
        <w:ind w:firstLine="720" w:firstLineChars="300"/>
        <w:rPr>
          <w:rStyle w:val="28"/>
          <w:rFonts w:hint="eastAsia" w:hAnsi="宋体"/>
          <w:i/>
          <w:iCs/>
          <w:kern w:val="0"/>
        </w:rPr>
      </w:pPr>
    </w:p>
    <w:p w14:paraId="433DDEE6">
      <w:pPr>
        <w:snapToGrid w:val="0"/>
        <w:ind w:firstLine="720" w:firstLineChars="300"/>
        <w:rPr>
          <w:rStyle w:val="28"/>
          <w:rFonts w:hint="eastAsia" w:hAnsi="宋体"/>
          <w:i/>
          <w:iCs/>
          <w:kern w:val="0"/>
        </w:rPr>
      </w:pPr>
    </w:p>
    <w:p w14:paraId="379D02A2">
      <w:pPr>
        <w:snapToGrid w:val="0"/>
        <w:rPr>
          <w:rStyle w:val="28"/>
          <w:rFonts w:hint="eastAsia" w:hAnsi="宋体"/>
          <w:b/>
          <w:bCs/>
          <w:kern w:val="0"/>
        </w:rPr>
      </w:pPr>
      <w:r>
        <w:rPr>
          <w:rFonts w:hint="eastAsia" w:hAnsi="宋体"/>
        </w:rPr>
        <mc:AlternateContent>
          <mc:Choice Requires="wps">
            <w:drawing>
              <wp:anchor distT="0" distB="0" distL="114300" distR="114300" simplePos="0" relativeHeight="251661312"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4" name="流程图: 可选过程 4"/>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73BEC3F">
                            <w:pPr>
                              <w:jc w:val="center"/>
                              <w:rPr>
                                <w:rStyle w:val="28"/>
                                <w:rFonts w:cs="Times New Roman"/>
                              </w:rPr>
                            </w:pPr>
                          </w:p>
                          <w:p w14:paraId="70E2E84D">
                            <w:pPr>
                              <w:jc w:val="center"/>
                              <w:rPr>
                                <w:rStyle w:val="28"/>
                                <w:rFonts w:cs="Times New Roman"/>
                              </w:rPr>
                            </w:pPr>
                          </w:p>
                          <w:p w14:paraId="4BF6D3C0">
                            <w:pPr>
                              <w:jc w:val="center"/>
                              <w:rPr>
                                <w:rStyle w:val="28"/>
                                <w:rFonts w:cs="Times New Roman"/>
                              </w:rPr>
                            </w:pPr>
                            <w:r>
                              <w:rPr>
                                <w:rStyle w:val="28"/>
                                <w:rFonts w:hint="eastAsia"/>
                              </w:rPr>
                              <w:t>法定代表人身份证复印件正、反面</w:t>
                            </w:r>
                          </w:p>
                          <w:p w14:paraId="5726374D">
                            <w:pPr>
                              <w:rPr>
                                <w:rStyle w:val="28"/>
                                <w:rFonts w:cs="Times New Roman"/>
                              </w:rPr>
                            </w:pPr>
                          </w:p>
                        </w:txbxContent>
                      </wps:txbx>
                      <wps:bodyPr upright="1"/>
                    </wps:wsp>
                  </a:graphicData>
                </a:graphic>
              </wp:anchor>
            </w:drawing>
          </mc:Choice>
          <mc:Fallback>
            <w:pict>
              <v:shape id="_x0000_s1026" o:spid="_x0000_s1026" o:spt="176" type="#_x0000_t176" style="position:absolute;left:0pt;margin-left:127.5pt;margin-top:1.6pt;height:124.75pt;width:222.45pt;z-index:251661312;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4V1KbYAAAACQEAAA8AAAAAAAAAAQAgAAAAIgAAAGRycy9kb3ducmV2LnhtbFBLAQIUABQA&#10;AAAIAIdO4kCep3LuKQIAAFAEAAAOAAAAAAAAAAEAIAAAACcBAABkcnMvZTJvRG9jLnhtbFBLBQYA&#10;AAAABgAGAFkBAADCBQAAAAA=&#10;">
                <v:fill on="t" focussize="0,0"/>
                <v:stroke color="#000000" joinstyle="miter"/>
                <v:imagedata o:title=""/>
                <o:lock v:ext="edit" aspectratio="f"/>
                <v:textbox>
                  <w:txbxContent>
                    <w:p w14:paraId="173BEC3F">
                      <w:pPr>
                        <w:jc w:val="center"/>
                        <w:rPr>
                          <w:rStyle w:val="28"/>
                          <w:rFonts w:cs="Times New Roman"/>
                        </w:rPr>
                      </w:pPr>
                    </w:p>
                    <w:p w14:paraId="70E2E84D">
                      <w:pPr>
                        <w:jc w:val="center"/>
                        <w:rPr>
                          <w:rStyle w:val="28"/>
                          <w:rFonts w:cs="Times New Roman"/>
                        </w:rPr>
                      </w:pPr>
                    </w:p>
                    <w:p w14:paraId="4BF6D3C0">
                      <w:pPr>
                        <w:jc w:val="center"/>
                        <w:rPr>
                          <w:rStyle w:val="28"/>
                          <w:rFonts w:cs="Times New Roman"/>
                        </w:rPr>
                      </w:pPr>
                      <w:r>
                        <w:rPr>
                          <w:rStyle w:val="28"/>
                          <w:rFonts w:hint="eastAsia"/>
                        </w:rPr>
                        <w:t>法定代表人身份证复印件正、反面</w:t>
                      </w:r>
                    </w:p>
                    <w:p w14:paraId="5726374D">
                      <w:pPr>
                        <w:rPr>
                          <w:rStyle w:val="28"/>
                          <w:rFonts w:cs="Times New Roman"/>
                        </w:rPr>
                      </w:pPr>
                    </w:p>
                  </w:txbxContent>
                </v:textbox>
              </v:shape>
            </w:pict>
          </mc:Fallback>
        </mc:AlternateContent>
      </w:r>
    </w:p>
    <w:p w14:paraId="1D7ADBF8">
      <w:pPr>
        <w:tabs>
          <w:tab w:val="left" w:pos="654"/>
          <w:tab w:val="left" w:pos="1734"/>
          <w:tab w:val="left" w:pos="2814"/>
          <w:tab w:val="left" w:pos="3894"/>
          <w:tab w:val="left" w:pos="5334"/>
          <w:tab w:val="left" w:pos="6414"/>
          <w:tab w:val="left" w:pos="7254"/>
          <w:tab w:val="left" w:pos="8574"/>
          <w:tab w:val="left" w:pos="9654"/>
        </w:tabs>
        <w:snapToGrid w:val="0"/>
        <w:rPr>
          <w:rStyle w:val="28"/>
          <w:rFonts w:hint="eastAsia" w:hAnsi="宋体"/>
          <w:kern w:val="0"/>
          <w:sz w:val="28"/>
          <w:szCs w:val="28"/>
        </w:rPr>
      </w:pPr>
    </w:p>
    <w:p w14:paraId="0D5567C7">
      <w:pPr>
        <w:snapToGrid w:val="0"/>
        <w:jc w:val="center"/>
        <w:rPr>
          <w:rStyle w:val="28"/>
          <w:rFonts w:hint="eastAsia" w:hAnsi="宋体"/>
          <w:b/>
          <w:bCs/>
          <w:kern w:val="0"/>
          <w:sz w:val="28"/>
          <w:szCs w:val="28"/>
        </w:rPr>
      </w:pPr>
    </w:p>
    <w:p w14:paraId="207AF6FD">
      <w:pPr>
        <w:snapToGrid w:val="0"/>
        <w:jc w:val="center"/>
        <w:rPr>
          <w:rStyle w:val="28"/>
          <w:rFonts w:hint="eastAsia" w:hAnsi="宋体"/>
          <w:b/>
          <w:bCs/>
          <w:kern w:val="0"/>
          <w:sz w:val="28"/>
          <w:szCs w:val="28"/>
        </w:rPr>
      </w:pPr>
    </w:p>
    <w:p w14:paraId="28621C82">
      <w:pPr>
        <w:snapToGrid w:val="0"/>
        <w:jc w:val="center"/>
        <w:rPr>
          <w:rStyle w:val="28"/>
          <w:rFonts w:hint="eastAsia" w:hAnsi="宋体"/>
          <w:b/>
          <w:bCs/>
          <w:kern w:val="0"/>
          <w:sz w:val="28"/>
          <w:szCs w:val="28"/>
        </w:rPr>
        <w:sectPr>
          <w:endnotePr>
            <w:numFmt w:val="decimal"/>
          </w:endnotePr>
          <w:pgSz w:w="11906" w:h="16838"/>
          <w:pgMar w:top="1701" w:right="1531" w:bottom="1417" w:left="1531" w:header="850" w:footer="992" w:gutter="0"/>
          <w:cols w:space="720" w:num="1"/>
          <w:docGrid w:linePitch="327" w:charSpace="0"/>
        </w:sectPr>
      </w:pPr>
    </w:p>
    <w:p w14:paraId="56EC5D79">
      <w:pPr>
        <w:pStyle w:val="55"/>
        <w:snapToGrid w:val="0"/>
        <w:ind w:firstLine="0"/>
        <w:outlineLvl w:val="1"/>
        <w:rPr>
          <w:rStyle w:val="28"/>
          <w:rFonts w:hint="eastAsia" w:hAnsi="宋体"/>
          <w:b/>
          <w:bCs/>
          <w:sz w:val="21"/>
          <w:szCs w:val="21"/>
        </w:rPr>
      </w:pPr>
      <w:bookmarkStart w:id="627" w:name="_Toc378"/>
      <w:bookmarkStart w:id="628" w:name="_Toc24831"/>
      <w:bookmarkStart w:id="629" w:name="_Toc1073"/>
      <w:bookmarkStart w:id="630" w:name="_Toc14832"/>
      <w:bookmarkStart w:id="631" w:name="_Toc6560"/>
      <w:bookmarkStart w:id="632" w:name="_Toc9529"/>
      <w:bookmarkStart w:id="633" w:name="_Toc5331"/>
      <w:bookmarkStart w:id="634" w:name="_Toc8052"/>
      <w:bookmarkStart w:id="635" w:name="_Toc10399"/>
      <w:bookmarkStart w:id="636" w:name="_Toc17406"/>
      <w:bookmarkStart w:id="637" w:name="_Toc29920"/>
      <w:bookmarkStart w:id="638" w:name="_Toc537"/>
      <w:bookmarkStart w:id="639" w:name="_Toc15149"/>
      <w:r>
        <w:rPr>
          <w:rStyle w:val="28"/>
          <w:rFonts w:hint="eastAsia" w:hAnsi="宋体"/>
          <w:b/>
          <w:bCs/>
          <w:sz w:val="21"/>
          <w:szCs w:val="21"/>
        </w:rPr>
        <w:t>格式六 联合体协议书</w:t>
      </w:r>
      <w:bookmarkEnd w:id="627"/>
      <w:bookmarkEnd w:id="628"/>
      <w:bookmarkEnd w:id="629"/>
      <w:bookmarkEnd w:id="630"/>
      <w:bookmarkEnd w:id="631"/>
    </w:p>
    <w:p w14:paraId="44CAD847">
      <w:pPr>
        <w:pStyle w:val="50"/>
        <w:widowControl w:val="0"/>
        <w:wordWrap w:val="0"/>
        <w:adjustRightInd w:val="0"/>
        <w:snapToGrid w:val="0"/>
        <w:spacing w:before="240" w:after="240"/>
        <w:ind w:firstLine="0"/>
        <w:jc w:val="center"/>
        <w:rPr>
          <w:rFonts w:hint="eastAsia" w:ascii="宋体" w:hAnsi="宋体" w:cs="宋体"/>
          <w:snapToGrid w:val="0"/>
          <w:sz w:val="24"/>
          <w:szCs w:val="24"/>
        </w:rPr>
      </w:pPr>
      <w:r>
        <w:rPr>
          <w:rFonts w:hint="eastAsia" w:ascii="宋体" w:hAnsi="宋体" w:cs="宋体"/>
          <w:b/>
          <w:snapToGrid w:val="0"/>
          <w:sz w:val="24"/>
          <w:szCs w:val="24"/>
        </w:rPr>
        <w:t>联合体协议书</w:t>
      </w:r>
    </w:p>
    <w:p w14:paraId="34D7F628">
      <w:pPr>
        <w:pStyle w:val="50"/>
        <w:widowControl w:val="0"/>
        <w:wordWrap w:val="0"/>
        <w:adjustRightInd w:val="0"/>
        <w:snapToGrid w:val="0"/>
        <w:rPr>
          <w:rFonts w:hint="eastAsia" w:ascii="宋体" w:hAnsi="宋体" w:cs="宋体"/>
          <w:snapToGrid w:val="0"/>
          <w:sz w:val="24"/>
          <w:szCs w:val="24"/>
          <w:u w:val="single"/>
        </w:rPr>
      </w:pPr>
      <w:r>
        <w:rPr>
          <w:rFonts w:hint="eastAsia" w:ascii="宋体" w:hAnsi="宋体" w:cs="宋体"/>
          <w:snapToGrid w:val="0"/>
          <w:sz w:val="24"/>
          <w:szCs w:val="24"/>
        </w:rPr>
        <w:t>牵头人名称：</w:t>
      </w:r>
      <w:r>
        <w:rPr>
          <w:rFonts w:hint="eastAsia" w:ascii="宋体" w:hAnsi="宋体" w:cs="宋体"/>
          <w:snapToGrid w:val="0"/>
          <w:sz w:val="24"/>
          <w:szCs w:val="24"/>
          <w:u w:val="single"/>
        </w:rPr>
        <w:t xml:space="preserve">                                                  </w:t>
      </w:r>
    </w:p>
    <w:p w14:paraId="5C0B389E">
      <w:pPr>
        <w:pStyle w:val="50"/>
        <w:widowControl w:val="0"/>
        <w:wordWrap w:val="0"/>
        <w:adjustRightInd w:val="0"/>
        <w:snapToGrid w:val="0"/>
        <w:rPr>
          <w:rFonts w:hint="eastAsia" w:ascii="宋体" w:hAnsi="宋体" w:cs="宋体"/>
          <w:snapToGrid w:val="0"/>
          <w:sz w:val="24"/>
          <w:szCs w:val="24"/>
          <w:u w:val="single"/>
        </w:rPr>
      </w:pPr>
      <w:r>
        <w:rPr>
          <w:rFonts w:hint="eastAsia" w:ascii="宋体" w:hAnsi="宋体" w:cs="宋体"/>
          <w:snapToGrid w:val="0"/>
          <w:sz w:val="24"/>
          <w:szCs w:val="24"/>
        </w:rPr>
        <w:t>法定代表人：</w:t>
      </w:r>
      <w:r>
        <w:rPr>
          <w:rFonts w:hint="eastAsia" w:ascii="宋体" w:hAnsi="宋体" w:cs="宋体"/>
          <w:snapToGrid w:val="0"/>
          <w:sz w:val="24"/>
          <w:szCs w:val="24"/>
          <w:u w:val="single"/>
        </w:rPr>
        <w:t xml:space="preserve">                                                  </w:t>
      </w:r>
    </w:p>
    <w:p w14:paraId="3587E84E">
      <w:pPr>
        <w:pStyle w:val="50"/>
        <w:widowControl w:val="0"/>
        <w:wordWrap w:val="0"/>
        <w:adjustRightInd w:val="0"/>
        <w:snapToGrid w:val="0"/>
        <w:rPr>
          <w:rFonts w:hint="eastAsia" w:ascii="宋体" w:hAnsi="宋体" w:cs="宋体"/>
          <w:snapToGrid w:val="0"/>
          <w:sz w:val="24"/>
          <w:szCs w:val="24"/>
        </w:rPr>
      </w:pPr>
      <w:r>
        <w:rPr>
          <w:rFonts w:hint="eastAsia" w:ascii="宋体" w:hAnsi="宋体" w:cs="宋体"/>
          <w:snapToGrid w:val="0"/>
          <w:sz w:val="24"/>
          <w:szCs w:val="24"/>
        </w:rPr>
        <w:t>法定住所：</w:t>
      </w:r>
      <w:r>
        <w:rPr>
          <w:rFonts w:hint="eastAsia" w:ascii="宋体" w:hAnsi="宋体" w:cs="宋体"/>
          <w:snapToGrid w:val="0"/>
          <w:sz w:val="24"/>
          <w:szCs w:val="24"/>
          <w:u w:val="single"/>
        </w:rPr>
        <w:t xml:space="preserve">                                                    </w:t>
      </w:r>
    </w:p>
    <w:p w14:paraId="39E7C92F">
      <w:pPr>
        <w:pStyle w:val="50"/>
        <w:widowControl w:val="0"/>
        <w:wordWrap w:val="0"/>
        <w:adjustRightInd w:val="0"/>
        <w:snapToGrid w:val="0"/>
        <w:rPr>
          <w:rFonts w:hint="eastAsia" w:ascii="宋体" w:hAnsi="宋体" w:cs="宋体"/>
          <w:snapToGrid w:val="0"/>
          <w:sz w:val="24"/>
          <w:szCs w:val="24"/>
        </w:rPr>
      </w:pPr>
    </w:p>
    <w:p w14:paraId="0C1DE98B">
      <w:pPr>
        <w:pStyle w:val="50"/>
        <w:widowControl w:val="0"/>
        <w:wordWrap w:val="0"/>
        <w:adjustRightInd w:val="0"/>
        <w:snapToGrid w:val="0"/>
        <w:rPr>
          <w:rFonts w:hint="eastAsia" w:ascii="宋体" w:hAnsi="宋体" w:cs="宋体"/>
          <w:snapToGrid w:val="0"/>
          <w:sz w:val="24"/>
          <w:szCs w:val="24"/>
          <w:u w:val="single"/>
        </w:rPr>
      </w:pPr>
      <w:r>
        <w:rPr>
          <w:rFonts w:hint="eastAsia" w:ascii="宋体" w:hAnsi="宋体" w:cs="宋体"/>
          <w:snapToGrid w:val="0"/>
          <w:sz w:val="24"/>
          <w:szCs w:val="24"/>
        </w:rPr>
        <w:t>成员名称：</w:t>
      </w:r>
      <w:r>
        <w:rPr>
          <w:rFonts w:hint="eastAsia" w:ascii="宋体" w:hAnsi="宋体" w:cs="宋体"/>
          <w:snapToGrid w:val="0"/>
          <w:sz w:val="24"/>
          <w:szCs w:val="24"/>
          <w:u w:val="single"/>
        </w:rPr>
        <w:t xml:space="preserve">                                                  </w:t>
      </w:r>
    </w:p>
    <w:p w14:paraId="72952853">
      <w:pPr>
        <w:pStyle w:val="50"/>
        <w:widowControl w:val="0"/>
        <w:wordWrap w:val="0"/>
        <w:adjustRightInd w:val="0"/>
        <w:snapToGrid w:val="0"/>
        <w:rPr>
          <w:rFonts w:hint="eastAsia" w:ascii="宋体" w:hAnsi="宋体" w:cs="宋体"/>
          <w:snapToGrid w:val="0"/>
          <w:sz w:val="24"/>
          <w:szCs w:val="24"/>
          <w:u w:val="single"/>
        </w:rPr>
      </w:pPr>
      <w:r>
        <w:rPr>
          <w:rFonts w:hint="eastAsia" w:ascii="宋体" w:hAnsi="宋体" w:cs="宋体"/>
          <w:snapToGrid w:val="0"/>
          <w:sz w:val="24"/>
          <w:szCs w:val="24"/>
        </w:rPr>
        <w:t>法定代表人：</w:t>
      </w:r>
      <w:r>
        <w:rPr>
          <w:rFonts w:hint="eastAsia" w:ascii="宋体" w:hAnsi="宋体" w:cs="宋体"/>
          <w:snapToGrid w:val="0"/>
          <w:sz w:val="24"/>
          <w:szCs w:val="24"/>
          <w:u w:val="single"/>
        </w:rPr>
        <w:t xml:space="preserve">                                                  </w:t>
      </w:r>
    </w:p>
    <w:p w14:paraId="5F38E625">
      <w:pPr>
        <w:pStyle w:val="50"/>
        <w:widowControl w:val="0"/>
        <w:wordWrap w:val="0"/>
        <w:adjustRightInd w:val="0"/>
        <w:snapToGrid w:val="0"/>
        <w:rPr>
          <w:rFonts w:hint="eastAsia" w:ascii="宋体" w:hAnsi="宋体" w:cs="宋体"/>
          <w:snapToGrid w:val="0"/>
          <w:sz w:val="24"/>
          <w:szCs w:val="24"/>
          <w:u w:val="single"/>
        </w:rPr>
      </w:pPr>
      <w:r>
        <w:rPr>
          <w:rFonts w:hint="eastAsia" w:ascii="宋体" w:hAnsi="宋体" w:cs="宋体"/>
          <w:snapToGrid w:val="0"/>
          <w:sz w:val="24"/>
          <w:szCs w:val="24"/>
        </w:rPr>
        <w:t>法定住所：</w:t>
      </w:r>
      <w:r>
        <w:rPr>
          <w:rFonts w:hint="eastAsia" w:ascii="宋体" w:hAnsi="宋体" w:cs="宋体"/>
          <w:snapToGrid w:val="0"/>
          <w:sz w:val="24"/>
          <w:szCs w:val="24"/>
          <w:u w:val="single"/>
        </w:rPr>
        <w:t xml:space="preserve">                                                    </w:t>
      </w:r>
    </w:p>
    <w:p w14:paraId="24E20C29">
      <w:pPr>
        <w:pStyle w:val="50"/>
        <w:widowControl w:val="0"/>
        <w:wordWrap w:val="0"/>
        <w:adjustRightInd w:val="0"/>
        <w:snapToGrid w:val="0"/>
        <w:rPr>
          <w:rFonts w:hint="eastAsia" w:ascii="宋体" w:hAnsi="宋体" w:cs="宋体"/>
          <w:snapToGrid w:val="0"/>
          <w:sz w:val="24"/>
          <w:szCs w:val="24"/>
        </w:rPr>
      </w:pPr>
      <w:r>
        <w:rPr>
          <w:rFonts w:hint="eastAsia" w:ascii="宋体" w:hAnsi="宋体" w:cs="宋体"/>
          <w:snapToGrid w:val="0"/>
          <w:sz w:val="24"/>
          <w:szCs w:val="24"/>
        </w:rPr>
        <w:t>……</w:t>
      </w:r>
    </w:p>
    <w:p w14:paraId="0EF937E5">
      <w:pPr>
        <w:pStyle w:val="50"/>
        <w:widowControl w:val="0"/>
        <w:wordWrap w:val="0"/>
        <w:adjustRightInd w:val="0"/>
        <w:snapToGrid w:val="0"/>
        <w:rPr>
          <w:rFonts w:hint="eastAsia" w:ascii="宋体" w:hAnsi="宋体" w:cs="宋体"/>
          <w:snapToGrid w:val="0"/>
          <w:sz w:val="24"/>
          <w:szCs w:val="24"/>
        </w:rPr>
      </w:pPr>
      <w:r>
        <w:rPr>
          <w:rFonts w:hint="eastAsia" w:ascii="宋体" w:hAnsi="宋体" w:cs="宋体"/>
          <w:snapToGrid w:val="0"/>
          <w:sz w:val="24"/>
          <w:szCs w:val="24"/>
        </w:rPr>
        <w:t>上述各成员单位经过友好协商，自愿组成联合体，共同参加</w:t>
      </w:r>
      <w:r>
        <w:rPr>
          <w:rFonts w:hint="eastAsia" w:ascii="宋体" w:hAnsi="宋体" w:cs="宋体"/>
          <w:snapToGrid w:val="0"/>
          <w:sz w:val="24"/>
          <w:szCs w:val="24"/>
          <w:u w:val="single"/>
        </w:rPr>
        <w:t xml:space="preserve">          </w:t>
      </w:r>
      <w:r>
        <w:rPr>
          <w:rFonts w:hint="eastAsia" w:ascii="宋体" w:hAnsi="宋体" w:cs="宋体"/>
          <w:snapToGrid w:val="0"/>
          <w:sz w:val="24"/>
          <w:szCs w:val="24"/>
        </w:rPr>
        <w:t>（工程名称）（以下简称“本项目”）的施工投标并争取赢得本项目施工承包合同（以下简称合同）。现就联合体投标事宜订立如下协议：</w:t>
      </w:r>
    </w:p>
    <w:p w14:paraId="09E20C1C">
      <w:pPr>
        <w:pStyle w:val="50"/>
        <w:widowControl w:val="0"/>
        <w:wordWrap w:val="0"/>
        <w:adjustRightInd w:val="0"/>
        <w:snapToGrid w:val="0"/>
        <w:ind w:firstLine="0"/>
        <w:rPr>
          <w:rFonts w:hint="eastAsia" w:ascii="宋体" w:hAnsi="宋体" w:cs="宋体"/>
          <w:snapToGrid w:val="0"/>
          <w:sz w:val="24"/>
          <w:szCs w:val="24"/>
        </w:rPr>
      </w:pPr>
      <w:r>
        <w:rPr>
          <w:rFonts w:hint="eastAsia" w:ascii="宋体" w:hAnsi="宋体" w:cs="宋体"/>
          <w:snapToGrid w:val="0"/>
          <w:sz w:val="24"/>
          <w:szCs w:val="24"/>
        </w:rPr>
        <w:t xml:space="preserve">    1．</w:t>
      </w:r>
      <w:r>
        <w:rPr>
          <w:rFonts w:hint="eastAsia" w:ascii="宋体" w:hAnsi="宋体" w:cs="宋体"/>
          <w:snapToGrid w:val="0"/>
          <w:sz w:val="24"/>
          <w:szCs w:val="24"/>
          <w:u w:val="single"/>
        </w:rPr>
        <w:t xml:space="preserve">              </w:t>
      </w:r>
      <w:r>
        <w:rPr>
          <w:rFonts w:hint="eastAsia" w:ascii="宋体" w:hAnsi="宋体" w:cs="宋体"/>
          <w:snapToGrid w:val="0"/>
          <w:sz w:val="24"/>
          <w:szCs w:val="24"/>
        </w:rPr>
        <w:t>（某成员单位名称）为联合体牵头人。</w:t>
      </w:r>
    </w:p>
    <w:p w14:paraId="3FF73F53">
      <w:pPr>
        <w:pStyle w:val="50"/>
        <w:widowControl w:val="0"/>
        <w:wordWrap w:val="0"/>
        <w:adjustRightInd w:val="0"/>
        <w:snapToGrid w:val="0"/>
        <w:ind w:firstLine="0"/>
        <w:rPr>
          <w:rFonts w:hint="eastAsia" w:ascii="宋体" w:hAnsi="宋体" w:cs="宋体"/>
          <w:snapToGrid w:val="0"/>
          <w:sz w:val="24"/>
          <w:szCs w:val="24"/>
        </w:rPr>
      </w:pPr>
      <w:r>
        <w:rPr>
          <w:rFonts w:hint="eastAsia" w:ascii="宋体" w:hAnsi="宋体" w:cs="宋体"/>
          <w:snapToGrid w:val="0"/>
          <w:sz w:val="24"/>
          <w:szCs w:val="24"/>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0B4532FD">
      <w:pPr>
        <w:pStyle w:val="50"/>
        <w:widowControl w:val="0"/>
        <w:wordWrap w:val="0"/>
        <w:adjustRightInd w:val="0"/>
        <w:snapToGrid w:val="0"/>
        <w:ind w:firstLine="0"/>
        <w:rPr>
          <w:rFonts w:hint="eastAsia" w:ascii="宋体" w:hAnsi="宋体" w:cs="宋体"/>
          <w:snapToGrid w:val="0"/>
          <w:sz w:val="24"/>
          <w:szCs w:val="24"/>
        </w:rPr>
      </w:pPr>
      <w:r>
        <w:rPr>
          <w:rFonts w:hint="eastAsia" w:ascii="宋体" w:hAnsi="宋体" w:cs="宋体"/>
          <w:snapToGrid w:val="0"/>
          <w:sz w:val="24"/>
          <w:szCs w:val="24"/>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78C1D399">
      <w:pPr>
        <w:pStyle w:val="50"/>
        <w:widowControl w:val="0"/>
        <w:wordWrap w:val="0"/>
        <w:adjustRightInd w:val="0"/>
        <w:snapToGrid w:val="0"/>
        <w:ind w:firstLine="0"/>
        <w:rPr>
          <w:rFonts w:hint="eastAsia" w:ascii="宋体" w:hAnsi="宋体" w:cs="宋体"/>
          <w:snapToGrid w:val="0"/>
          <w:sz w:val="24"/>
          <w:szCs w:val="24"/>
        </w:rPr>
      </w:pPr>
      <w:r>
        <w:rPr>
          <w:rFonts w:hint="eastAsia" w:ascii="宋体" w:hAnsi="宋体" w:cs="宋体"/>
          <w:snapToGrid w:val="0"/>
          <w:sz w:val="24"/>
          <w:szCs w:val="24"/>
        </w:rPr>
        <w:t xml:space="preserve">    4.联合体各成员单位内部的职责分工如下：</w:t>
      </w:r>
      <w:r>
        <w:rPr>
          <w:rFonts w:hint="eastAsia" w:ascii="宋体" w:hAnsi="宋体" w:cs="宋体"/>
          <w:snapToGrid w:val="0"/>
          <w:sz w:val="24"/>
          <w:szCs w:val="24"/>
          <w:u w:val="single"/>
        </w:rPr>
        <w:t xml:space="preserve">                  </w:t>
      </w:r>
      <w:r>
        <w:rPr>
          <w:rFonts w:hint="eastAsia" w:ascii="宋体" w:hAnsi="宋体" w:cs="宋体"/>
          <w:snapToGrid w:val="0"/>
          <w:sz w:val="24"/>
          <w:szCs w:val="24"/>
        </w:rPr>
        <w:t>。按照本条上述分工，联合体成员单位各自所承担的合同工作量比例如下：</w:t>
      </w:r>
      <w:r>
        <w:rPr>
          <w:rFonts w:hint="eastAsia" w:ascii="宋体" w:hAnsi="宋体" w:cs="宋体"/>
          <w:snapToGrid w:val="0"/>
          <w:sz w:val="24"/>
          <w:szCs w:val="24"/>
          <w:u w:val="single"/>
        </w:rPr>
        <w:t xml:space="preserve">               </w:t>
      </w:r>
      <w:r>
        <w:rPr>
          <w:rFonts w:hint="eastAsia" w:ascii="宋体" w:hAnsi="宋体" w:cs="宋体"/>
          <w:snapToGrid w:val="0"/>
          <w:sz w:val="24"/>
          <w:szCs w:val="24"/>
        </w:rPr>
        <w:t>。</w:t>
      </w:r>
    </w:p>
    <w:p w14:paraId="3EDF7D8F">
      <w:pPr>
        <w:pStyle w:val="50"/>
        <w:widowControl w:val="0"/>
        <w:wordWrap w:val="0"/>
        <w:adjustRightInd w:val="0"/>
        <w:snapToGrid w:val="0"/>
        <w:ind w:firstLine="0"/>
        <w:rPr>
          <w:rFonts w:hint="eastAsia" w:ascii="宋体" w:hAnsi="宋体" w:cs="宋体"/>
          <w:snapToGrid w:val="0"/>
          <w:sz w:val="24"/>
          <w:szCs w:val="24"/>
        </w:rPr>
      </w:pPr>
      <w:r>
        <w:rPr>
          <w:rFonts w:hint="eastAsia" w:ascii="宋体" w:hAnsi="宋体" w:cs="宋体"/>
          <w:snapToGrid w:val="0"/>
          <w:sz w:val="24"/>
          <w:szCs w:val="24"/>
        </w:rPr>
        <w:t xml:space="preserve">    5.投标工作和联合体在中标后工程实施过程中的有关费用按各自承担的工作量分摊。</w:t>
      </w:r>
    </w:p>
    <w:p w14:paraId="1EE09CDC">
      <w:pPr>
        <w:pStyle w:val="50"/>
        <w:widowControl w:val="0"/>
        <w:wordWrap w:val="0"/>
        <w:adjustRightInd w:val="0"/>
        <w:snapToGrid w:val="0"/>
        <w:ind w:firstLine="0"/>
        <w:rPr>
          <w:rFonts w:hint="eastAsia" w:ascii="宋体" w:hAnsi="宋体" w:cs="宋体"/>
          <w:snapToGrid w:val="0"/>
          <w:sz w:val="24"/>
          <w:szCs w:val="24"/>
        </w:rPr>
      </w:pPr>
      <w:r>
        <w:rPr>
          <w:rFonts w:hint="eastAsia" w:ascii="宋体" w:hAnsi="宋体" w:cs="宋体"/>
          <w:snapToGrid w:val="0"/>
          <w:sz w:val="24"/>
          <w:szCs w:val="24"/>
        </w:rPr>
        <w:t xml:space="preserve">    6.联合体中标后，本联合体协议是合同的附件，对联合体各成员单位有合同约束力。</w:t>
      </w:r>
    </w:p>
    <w:p w14:paraId="29EE6975">
      <w:pPr>
        <w:pStyle w:val="50"/>
        <w:widowControl w:val="0"/>
        <w:wordWrap w:val="0"/>
        <w:adjustRightInd w:val="0"/>
        <w:snapToGrid w:val="0"/>
        <w:ind w:firstLine="0"/>
        <w:rPr>
          <w:rFonts w:hint="eastAsia" w:ascii="宋体" w:hAnsi="宋体" w:cs="宋体"/>
          <w:snapToGrid w:val="0"/>
          <w:sz w:val="24"/>
          <w:szCs w:val="24"/>
        </w:rPr>
      </w:pPr>
      <w:r>
        <w:rPr>
          <w:rFonts w:hint="eastAsia" w:ascii="宋体" w:hAnsi="宋体" w:cs="宋体"/>
          <w:snapToGrid w:val="0"/>
          <w:sz w:val="24"/>
          <w:szCs w:val="24"/>
        </w:rPr>
        <w:t xml:space="preserve">    7.本协议书自签署之日起生效，联合体未中标或者中标时合同履行完毕后自动失效。</w:t>
      </w:r>
    </w:p>
    <w:p w14:paraId="3A50768F">
      <w:pPr>
        <w:pStyle w:val="50"/>
        <w:widowControl w:val="0"/>
        <w:wordWrap w:val="0"/>
        <w:adjustRightInd w:val="0"/>
        <w:snapToGrid w:val="0"/>
        <w:ind w:firstLine="0"/>
        <w:rPr>
          <w:rFonts w:hint="eastAsia" w:ascii="宋体" w:hAnsi="宋体" w:cs="宋体"/>
          <w:snapToGrid w:val="0"/>
          <w:sz w:val="24"/>
          <w:szCs w:val="24"/>
        </w:rPr>
      </w:pPr>
      <w:r>
        <w:rPr>
          <w:rFonts w:hint="eastAsia" w:ascii="宋体" w:hAnsi="宋体" w:cs="宋体"/>
          <w:snapToGrid w:val="0"/>
          <w:sz w:val="24"/>
          <w:szCs w:val="24"/>
        </w:rPr>
        <w:t xml:space="preserve">    8.本协议书一式</w:t>
      </w:r>
      <w:r>
        <w:rPr>
          <w:rFonts w:hint="eastAsia" w:ascii="宋体" w:hAnsi="宋体" w:cs="宋体"/>
          <w:snapToGrid w:val="0"/>
          <w:sz w:val="24"/>
          <w:szCs w:val="24"/>
          <w:u w:val="single"/>
        </w:rPr>
        <w:t xml:space="preserve">        </w:t>
      </w:r>
      <w:r>
        <w:rPr>
          <w:rFonts w:hint="eastAsia" w:ascii="宋体" w:hAnsi="宋体" w:cs="宋体"/>
          <w:snapToGrid w:val="0"/>
          <w:sz w:val="24"/>
          <w:szCs w:val="24"/>
        </w:rPr>
        <w:t>份，联合体成员和招标人各执一份。</w:t>
      </w:r>
    </w:p>
    <w:p w14:paraId="3BE1299C">
      <w:pPr>
        <w:pStyle w:val="50"/>
        <w:widowControl w:val="0"/>
        <w:wordWrap w:val="0"/>
        <w:adjustRightInd w:val="0"/>
        <w:snapToGrid w:val="0"/>
        <w:rPr>
          <w:rFonts w:hint="eastAsia" w:ascii="宋体" w:hAnsi="宋体" w:cs="宋体"/>
          <w:snapToGrid w:val="0"/>
          <w:sz w:val="24"/>
          <w:szCs w:val="24"/>
        </w:rPr>
      </w:pPr>
    </w:p>
    <w:p w14:paraId="48062175">
      <w:pPr>
        <w:pStyle w:val="50"/>
        <w:widowControl w:val="0"/>
        <w:wordWrap w:val="0"/>
        <w:adjustRightInd w:val="0"/>
        <w:snapToGrid w:val="0"/>
        <w:jc w:val="right"/>
        <w:rPr>
          <w:rFonts w:hint="eastAsia" w:ascii="宋体" w:hAnsi="宋体" w:cs="宋体"/>
          <w:snapToGrid w:val="0"/>
          <w:sz w:val="24"/>
          <w:szCs w:val="24"/>
        </w:rPr>
      </w:pPr>
      <w:r>
        <w:rPr>
          <w:rFonts w:hint="eastAsia" w:ascii="宋体" w:hAnsi="宋体" w:cs="宋体"/>
          <w:snapToGrid w:val="0"/>
          <w:sz w:val="24"/>
          <w:szCs w:val="24"/>
        </w:rPr>
        <w:t>　　　　　　牵头人名称：</w:t>
      </w:r>
      <w:r>
        <w:rPr>
          <w:rFonts w:hint="eastAsia" w:ascii="宋体" w:hAnsi="宋体" w:cs="宋体"/>
          <w:snapToGrid w:val="0"/>
          <w:sz w:val="24"/>
          <w:szCs w:val="24"/>
          <w:u w:val="single"/>
        </w:rPr>
        <w:t xml:space="preserve">                               </w:t>
      </w:r>
      <w:r>
        <w:rPr>
          <w:rFonts w:hint="eastAsia" w:ascii="宋体" w:hAnsi="宋体" w:cs="宋体"/>
          <w:snapToGrid w:val="0"/>
          <w:sz w:val="24"/>
          <w:szCs w:val="24"/>
        </w:rPr>
        <w:t>（盖单位章）</w:t>
      </w:r>
    </w:p>
    <w:p w14:paraId="2E3E72E7">
      <w:pPr>
        <w:pStyle w:val="50"/>
        <w:widowControl w:val="0"/>
        <w:wordWrap w:val="0"/>
        <w:adjustRightInd w:val="0"/>
        <w:snapToGrid w:val="0"/>
        <w:jc w:val="right"/>
        <w:rPr>
          <w:rFonts w:hint="eastAsia" w:ascii="宋体" w:hAnsi="宋体" w:cs="宋体"/>
          <w:snapToGrid w:val="0"/>
          <w:sz w:val="24"/>
          <w:szCs w:val="24"/>
        </w:rPr>
      </w:pPr>
      <w:r>
        <w:rPr>
          <w:rFonts w:hint="eastAsia" w:ascii="宋体" w:hAnsi="宋体" w:cs="宋体"/>
          <w:snapToGrid w:val="0"/>
          <w:sz w:val="24"/>
          <w:szCs w:val="24"/>
        </w:rPr>
        <w:t>　　　　　　　　</w:t>
      </w:r>
    </w:p>
    <w:p w14:paraId="2CCAC2E3">
      <w:pPr>
        <w:pStyle w:val="50"/>
        <w:widowControl w:val="0"/>
        <w:wordWrap w:val="0"/>
        <w:adjustRightInd w:val="0"/>
        <w:snapToGrid w:val="0"/>
        <w:jc w:val="right"/>
        <w:rPr>
          <w:rFonts w:hint="eastAsia" w:ascii="宋体" w:hAnsi="宋体" w:cs="宋体"/>
          <w:snapToGrid w:val="0"/>
          <w:sz w:val="24"/>
          <w:szCs w:val="24"/>
        </w:rPr>
      </w:pPr>
      <w:r>
        <w:rPr>
          <w:rFonts w:hint="eastAsia" w:ascii="宋体" w:hAnsi="宋体" w:cs="宋体"/>
          <w:snapToGrid w:val="0"/>
          <w:sz w:val="24"/>
          <w:szCs w:val="24"/>
        </w:rPr>
        <w:t xml:space="preserve">        法定代表人或其委托代理人：</w:t>
      </w:r>
      <w:r>
        <w:rPr>
          <w:rFonts w:hint="eastAsia" w:ascii="宋体" w:hAnsi="宋体" w:cs="宋体"/>
          <w:snapToGrid w:val="0"/>
          <w:sz w:val="24"/>
          <w:szCs w:val="24"/>
          <w:u w:val="single"/>
        </w:rPr>
        <w:t xml:space="preserve">               </w:t>
      </w:r>
      <w:r>
        <w:rPr>
          <w:rFonts w:hint="eastAsia" w:ascii="宋体" w:hAnsi="宋体" w:cs="宋体"/>
          <w:snapToGrid w:val="0"/>
          <w:sz w:val="24"/>
          <w:szCs w:val="24"/>
        </w:rPr>
        <w:t>（签字或盖章）</w:t>
      </w:r>
    </w:p>
    <w:p w14:paraId="79A3566D">
      <w:pPr>
        <w:pStyle w:val="50"/>
        <w:widowControl w:val="0"/>
        <w:wordWrap w:val="0"/>
        <w:adjustRightInd w:val="0"/>
        <w:snapToGrid w:val="0"/>
        <w:jc w:val="right"/>
        <w:rPr>
          <w:rFonts w:hint="eastAsia" w:ascii="宋体" w:hAnsi="宋体" w:cs="宋体"/>
          <w:snapToGrid w:val="0"/>
          <w:sz w:val="24"/>
          <w:szCs w:val="24"/>
        </w:rPr>
      </w:pPr>
    </w:p>
    <w:p w14:paraId="0A379D3F">
      <w:pPr>
        <w:pStyle w:val="50"/>
        <w:widowControl w:val="0"/>
        <w:wordWrap w:val="0"/>
        <w:adjustRightInd w:val="0"/>
        <w:snapToGrid w:val="0"/>
        <w:jc w:val="right"/>
        <w:rPr>
          <w:rFonts w:hint="eastAsia" w:ascii="宋体" w:hAnsi="宋体" w:cs="宋体"/>
          <w:snapToGrid w:val="0"/>
          <w:sz w:val="24"/>
          <w:szCs w:val="24"/>
        </w:rPr>
      </w:pPr>
    </w:p>
    <w:p w14:paraId="129820ED">
      <w:pPr>
        <w:pStyle w:val="50"/>
        <w:widowControl w:val="0"/>
        <w:wordWrap w:val="0"/>
        <w:adjustRightInd w:val="0"/>
        <w:snapToGrid w:val="0"/>
        <w:jc w:val="right"/>
        <w:rPr>
          <w:rFonts w:hint="eastAsia" w:ascii="宋体" w:hAnsi="宋体" w:cs="宋体"/>
          <w:snapToGrid w:val="0"/>
          <w:sz w:val="24"/>
          <w:szCs w:val="24"/>
        </w:rPr>
      </w:pPr>
      <w:r>
        <w:rPr>
          <w:rFonts w:hint="eastAsia" w:ascii="宋体" w:hAnsi="宋体" w:cs="宋体"/>
          <w:snapToGrid w:val="0"/>
          <w:sz w:val="24"/>
          <w:szCs w:val="24"/>
        </w:rPr>
        <w:t>　　　　　　成员名称：</w:t>
      </w:r>
      <w:r>
        <w:rPr>
          <w:rFonts w:hint="eastAsia" w:ascii="宋体" w:hAnsi="宋体" w:cs="宋体"/>
          <w:snapToGrid w:val="0"/>
          <w:sz w:val="24"/>
          <w:szCs w:val="24"/>
          <w:u w:val="single"/>
        </w:rPr>
        <w:t xml:space="preserve">                               </w:t>
      </w:r>
      <w:r>
        <w:rPr>
          <w:rFonts w:hint="eastAsia" w:ascii="宋体" w:hAnsi="宋体" w:cs="宋体"/>
          <w:snapToGrid w:val="0"/>
          <w:sz w:val="24"/>
          <w:szCs w:val="24"/>
        </w:rPr>
        <w:t>（盖单位章）</w:t>
      </w:r>
    </w:p>
    <w:p w14:paraId="7133EFEC">
      <w:pPr>
        <w:pStyle w:val="50"/>
        <w:widowControl w:val="0"/>
        <w:wordWrap w:val="0"/>
        <w:adjustRightInd w:val="0"/>
        <w:snapToGrid w:val="0"/>
        <w:jc w:val="right"/>
        <w:rPr>
          <w:rFonts w:hint="eastAsia" w:ascii="宋体" w:hAnsi="宋体" w:cs="宋体"/>
          <w:snapToGrid w:val="0"/>
          <w:sz w:val="24"/>
          <w:szCs w:val="24"/>
        </w:rPr>
      </w:pPr>
    </w:p>
    <w:p w14:paraId="70882A0A">
      <w:pPr>
        <w:pStyle w:val="50"/>
        <w:widowControl w:val="0"/>
        <w:wordWrap w:val="0"/>
        <w:adjustRightInd w:val="0"/>
        <w:snapToGrid w:val="0"/>
        <w:jc w:val="right"/>
        <w:rPr>
          <w:rFonts w:hint="eastAsia" w:ascii="宋体" w:hAnsi="宋体" w:cs="宋体"/>
          <w:snapToGrid w:val="0"/>
          <w:sz w:val="24"/>
          <w:szCs w:val="24"/>
        </w:rPr>
      </w:pPr>
    </w:p>
    <w:p w14:paraId="32C1C4D5">
      <w:pPr>
        <w:pStyle w:val="50"/>
        <w:widowControl w:val="0"/>
        <w:wordWrap w:val="0"/>
        <w:adjustRightInd w:val="0"/>
        <w:snapToGrid w:val="0"/>
        <w:jc w:val="right"/>
        <w:rPr>
          <w:rFonts w:hint="eastAsia" w:ascii="宋体" w:hAnsi="宋体" w:cs="宋体"/>
          <w:snapToGrid w:val="0"/>
          <w:sz w:val="24"/>
          <w:szCs w:val="24"/>
        </w:rPr>
      </w:pPr>
      <w:r>
        <w:rPr>
          <w:rFonts w:hint="eastAsia" w:ascii="宋体" w:hAnsi="宋体" w:cs="宋体"/>
          <w:snapToGrid w:val="0"/>
          <w:sz w:val="24"/>
          <w:szCs w:val="24"/>
        </w:rPr>
        <w:t>　　　　　法定代表人或其委托代理人：</w:t>
      </w:r>
      <w:r>
        <w:rPr>
          <w:rFonts w:hint="eastAsia" w:ascii="宋体" w:hAnsi="宋体" w:cs="宋体"/>
          <w:snapToGrid w:val="0"/>
          <w:sz w:val="24"/>
          <w:szCs w:val="24"/>
          <w:u w:val="single"/>
        </w:rPr>
        <w:t xml:space="preserve">               </w:t>
      </w:r>
      <w:r>
        <w:rPr>
          <w:rFonts w:hint="eastAsia" w:ascii="宋体" w:hAnsi="宋体" w:cs="宋体"/>
          <w:snapToGrid w:val="0"/>
          <w:sz w:val="24"/>
          <w:szCs w:val="24"/>
        </w:rPr>
        <w:t>（签字或盖章）</w:t>
      </w:r>
    </w:p>
    <w:p w14:paraId="4EA8FB51">
      <w:pPr>
        <w:pStyle w:val="50"/>
        <w:widowControl w:val="0"/>
        <w:wordWrap w:val="0"/>
        <w:adjustRightInd w:val="0"/>
        <w:snapToGrid w:val="0"/>
        <w:rPr>
          <w:rFonts w:hint="eastAsia" w:ascii="宋体" w:hAnsi="宋体" w:cs="宋体"/>
          <w:snapToGrid w:val="0"/>
          <w:sz w:val="24"/>
          <w:szCs w:val="24"/>
        </w:rPr>
      </w:pPr>
      <w:r>
        <w:rPr>
          <w:rFonts w:hint="eastAsia" w:ascii="宋体" w:hAnsi="宋体" w:cs="宋体"/>
          <w:snapToGrid w:val="0"/>
          <w:sz w:val="24"/>
          <w:szCs w:val="24"/>
        </w:rPr>
        <w:t>　　　　　　      ……</w:t>
      </w:r>
    </w:p>
    <w:p w14:paraId="43BE2765">
      <w:pPr>
        <w:pStyle w:val="50"/>
        <w:widowControl w:val="0"/>
        <w:wordWrap w:val="0"/>
        <w:adjustRightInd w:val="0"/>
        <w:snapToGrid w:val="0"/>
        <w:rPr>
          <w:rFonts w:hint="eastAsia" w:ascii="宋体" w:hAnsi="宋体" w:cs="宋体"/>
          <w:snapToGrid w:val="0"/>
          <w:sz w:val="24"/>
          <w:szCs w:val="24"/>
        </w:rPr>
      </w:pPr>
    </w:p>
    <w:p w14:paraId="70FA26C7">
      <w:pPr>
        <w:pStyle w:val="50"/>
        <w:widowControl w:val="0"/>
        <w:wordWrap w:val="0"/>
        <w:adjustRightInd w:val="0"/>
        <w:snapToGrid w:val="0"/>
        <w:jc w:val="center"/>
        <w:rPr>
          <w:rFonts w:hint="eastAsia" w:ascii="宋体" w:hAnsi="宋体" w:cs="宋体"/>
          <w:snapToGrid w:val="0"/>
          <w:sz w:val="24"/>
          <w:szCs w:val="24"/>
        </w:rPr>
      </w:pPr>
      <w:r>
        <w:rPr>
          <w:rFonts w:hint="eastAsia" w:ascii="宋体" w:hAnsi="宋体" w:cs="宋体"/>
          <w:snapToGrid w:val="0"/>
          <w:sz w:val="24"/>
          <w:szCs w:val="24"/>
        </w:rPr>
        <w:t xml:space="preserve">                                 </w:t>
      </w:r>
      <w:r>
        <w:rPr>
          <w:rFonts w:hint="eastAsia" w:ascii="宋体" w:hAnsi="宋体" w:cs="宋体"/>
          <w:snapToGrid w:val="0"/>
          <w:sz w:val="24"/>
          <w:szCs w:val="24"/>
          <w:u w:val="single"/>
        </w:rPr>
        <w:t xml:space="preserve">        </w:t>
      </w:r>
      <w:r>
        <w:rPr>
          <w:rFonts w:hint="eastAsia" w:ascii="宋体" w:hAnsi="宋体" w:cs="宋体"/>
          <w:snapToGrid w:val="0"/>
          <w:sz w:val="24"/>
          <w:szCs w:val="24"/>
        </w:rPr>
        <w:t>年</w:t>
      </w:r>
      <w:r>
        <w:rPr>
          <w:rFonts w:hint="eastAsia" w:ascii="宋体" w:hAnsi="宋体" w:cs="宋体"/>
          <w:snapToGrid w:val="0"/>
          <w:sz w:val="24"/>
          <w:szCs w:val="24"/>
          <w:u w:val="single"/>
        </w:rPr>
        <w:t xml:space="preserve">     </w:t>
      </w:r>
      <w:r>
        <w:rPr>
          <w:rFonts w:hint="eastAsia" w:ascii="宋体" w:hAnsi="宋体" w:cs="宋体"/>
          <w:snapToGrid w:val="0"/>
          <w:sz w:val="24"/>
          <w:szCs w:val="24"/>
        </w:rPr>
        <w:t>月</w:t>
      </w:r>
      <w:r>
        <w:rPr>
          <w:rFonts w:hint="eastAsia" w:ascii="宋体" w:hAnsi="宋体" w:cs="宋体"/>
          <w:snapToGrid w:val="0"/>
          <w:sz w:val="24"/>
          <w:szCs w:val="24"/>
          <w:u w:val="single"/>
        </w:rPr>
        <w:t xml:space="preserve">     </w:t>
      </w:r>
      <w:r>
        <w:rPr>
          <w:rFonts w:hint="eastAsia" w:ascii="宋体" w:hAnsi="宋体" w:cs="宋体"/>
          <w:snapToGrid w:val="0"/>
          <w:sz w:val="24"/>
          <w:szCs w:val="24"/>
        </w:rPr>
        <w:t>日</w:t>
      </w:r>
    </w:p>
    <w:p w14:paraId="47AE9F5F">
      <w:pPr>
        <w:pStyle w:val="50"/>
        <w:widowControl w:val="0"/>
        <w:wordWrap w:val="0"/>
        <w:adjustRightInd w:val="0"/>
        <w:snapToGrid w:val="0"/>
        <w:jc w:val="center"/>
        <w:rPr>
          <w:rFonts w:hint="eastAsia" w:ascii="宋体" w:hAnsi="宋体" w:cs="宋体"/>
          <w:snapToGrid w:val="0"/>
          <w:sz w:val="24"/>
          <w:szCs w:val="24"/>
        </w:rPr>
      </w:pPr>
    </w:p>
    <w:p w14:paraId="1124DBC0">
      <w:pPr>
        <w:pStyle w:val="50"/>
        <w:widowControl w:val="0"/>
        <w:wordWrap w:val="0"/>
        <w:adjustRightInd w:val="0"/>
        <w:snapToGrid w:val="0"/>
        <w:rPr>
          <w:rFonts w:hint="eastAsia" w:ascii="宋体" w:hAnsi="宋体" w:cs="宋体"/>
          <w:snapToGrid w:val="0"/>
          <w:sz w:val="24"/>
          <w:szCs w:val="24"/>
        </w:rPr>
      </w:pPr>
      <w:r>
        <w:rPr>
          <w:rFonts w:hint="eastAsia" w:ascii="宋体" w:hAnsi="宋体" w:cs="宋体"/>
          <w:snapToGrid w:val="0"/>
          <w:sz w:val="24"/>
          <w:szCs w:val="24"/>
        </w:rPr>
        <w:t>说明：《联合体协议书》由委托代理人签字或盖章的，应附法定代表人签字或盖章的授权委托书。</w:t>
      </w:r>
    </w:p>
    <w:p w14:paraId="4E0F1F3A">
      <w:pPr>
        <w:pStyle w:val="50"/>
        <w:widowControl w:val="0"/>
        <w:wordWrap w:val="0"/>
        <w:adjustRightInd w:val="0"/>
        <w:snapToGrid w:val="0"/>
        <w:rPr>
          <w:rFonts w:hint="eastAsia" w:ascii="宋体" w:hAnsi="宋体" w:cs="宋体"/>
          <w:snapToGrid w:val="0"/>
          <w:sz w:val="24"/>
          <w:szCs w:val="24"/>
        </w:rPr>
        <w:sectPr>
          <w:endnotePr>
            <w:numFmt w:val="decimal"/>
          </w:endnotePr>
          <w:pgSz w:w="11906" w:h="16838"/>
          <w:pgMar w:top="1247" w:right="1304" w:bottom="1247" w:left="1304" w:header="850" w:footer="544" w:gutter="0"/>
          <w:cols w:space="720" w:num="1"/>
          <w:docGrid w:linePitch="327" w:charSpace="0"/>
        </w:sectPr>
      </w:pPr>
    </w:p>
    <w:p w14:paraId="352DE30A">
      <w:pPr>
        <w:pStyle w:val="55"/>
        <w:snapToGrid w:val="0"/>
        <w:ind w:firstLine="0"/>
        <w:outlineLvl w:val="1"/>
        <w:rPr>
          <w:rStyle w:val="28"/>
          <w:rFonts w:hint="eastAsia" w:hAnsi="宋体"/>
          <w:b/>
          <w:bCs/>
          <w:sz w:val="21"/>
          <w:szCs w:val="21"/>
        </w:rPr>
      </w:pPr>
      <w:bookmarkStart w:id="640" w:name="_Toc16239"/>
      <w:bookmarkStart w:id="641" w:name="_Toc27352"/>
      <w:bookmarkStart w:id="642" w:name="_Toc19459"/>
      <w:bookmarkStart w:id="643" w:name="_Toc19608"/>
      <w:r>
        <w:rPr>
          <w:rStyle w:val="28"/>
          <w:rFonts w:hint="eastAsia" w:hAnsi="宋体"/>
          <w:b/>
          <w:bCs/>
          <w:sz w:val="21"/>
          <w:szCs w:val="21"/>
        </w:rPr>
        <w:t xml:space="preserve">格式七 </w:t>
      </w:r>
      <w:bookmarkStart w:id="644" w:name="_Toc31066"/>
      <w:r>
        <w:rPr>
          <w:rStyle w:val="28"/>
          <w:rFonts w:hint="eastAsia" w:hAnsi="宋体"/>
          <w:b/>
          <w:bCs/>
          <w:sz w:val="21"/>
          <w:szCs w:val="21"/>
        </w:rPr>
        <w:t>投标人基本情况表</w:t>
      </w:r>
      <w:bookmarkEnd w:id="632"/>
      <w:bookmarkEnd w:id="633"/>
      <w:bookmarkEnd w:id="634"/>
      <w:bookmarkEnd w:id="635"/>
      <w:bookmarkEnd w:id="636"/>
      <w:bookmarkEnd w:id="637"/>
      <w:bookmarkEnd w:id="638"/>
      <w:bookmarkEnd w:id="639"/>
      <w:bookmarkEnd w:id="640"/>
      <w:bookmarkEnd w:id="641"/>
      <w:bookmarkEnd w:id="642"/>
      <w:bookmarkEnd w:id="643"/>
      <w:bookmarkEnd w:id="644"/>
    </w:p>
    <w:p w14:paraId="3C6BD0D9">
      <w:pPr>
        <w:pStyle w:val="55"/>
        <w:snapToGrid w:val="0"/>
        <w:spacing w:before="260" w:after="260"/>
        <w:ind w:firstLine="0"/>
        <w:jc w:val="center"/>
        <w:rPr>
          <w:rStyle w:val="28"/>
          <w:rFonts w:hint="eastAsia" w:hAnsi="宋体"/>
          <w:b/>
          <w:bCs/>
          <w:sz w:val="30"/>
          <w:szCs w:val="30"/>
        </w:rPr>
      </w:pPr>
      <w:r>
        <w:rPr>
          <w:rStyle w:val="28"/>
          <w:rFonts w:hint="eastAsia" w:hAnsi="宋体"/>
          <w:b/>
          <w:bCs/>
          <w:sz w:val="30"/>
          <w:szCs w:val="30"/>
        </w:rPr>
        <w:t>投标人基本情况表</w:t>
      </w:r>
    </w:p>
    <w:tbl>
      <w:tblPr>
        <w:tblStyle w:val="19"/>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85"/>
        <w:gridCol w:w="897"/>
        <w:gridCol w:w="1689"/>
        <w:gridCol w:w="803"/>
        <w:gridCol w:w="286"/>
        <w:gridCol w:w="960"/>
        <w:gridCol w:w="260"/>
        <w:gridCol w:w="709"/>
        <w:gridCol w:w="1416"/>
      </w:tblGrid>
      <w:tr w14:paraId="4F5F6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485" w:type="dxa"/>
            <w:vAlign w:val="center"/>
          </w:tcPr>
          <w:p w14:paraId="0F37E2FC">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投标人名称</w:t>
            </w:r>
          </w:p>
        </w:tc>
        <w:tc>
          <w:tcPr>
            <w:tcW w:w="7020" w:type="dxa"/>
            <w:gridSpan w:val="8"/>
            <w:vAlign w:val="center"/>
          </w:tcPr>
          <w:p w14:paraId="6E0BA254">
            <w:pPr>
              <w:pStyle w:val="61"/>
              <w:snapToGrid w:val="0"/>
              <w:spacing w:line="360" w:lineRule="auto"/>
              <w:jc w:val="center"/>
              <w:rPr>
                <w:rStyle w:val="28"/>
                <w:rFonts w:hint="eastAsia" w:ascii="宋体" w:hAnsi="宋体" w:cs="宋体"/>
                <w:kern w:val="0"/>
              </w:rPr>
            </w:pPr>
          </w:p>
        </w:tc>
      </w:tr>
      <w:tr w14:paraId="07414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exact"/>
          <w:jc w:val="center"/>
        </w:trPr>
        <w:tc>
          <w:tcPr>
            <w:tcW w:w="1485" w:type="dxa"/>
            <w:vAlign w:val="center"/>
          </w:tcPr>
          <w:p w14:paraId="19FE6568">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注册地址</w:t>
            </w:r>
          </w:p>
        </w:tc>
        <w:tc>
          <w:tcPr>
            <w:tcW w:w="3389" w:type="dxa"/>
            <w:gridSpan w:val="3"/>
            <w:vAlign w:val="center"/>
          </w:tcPr>
          <w:p w14:paraId="4F84FF6D">
            <w:pPr>
              <w:pStyle w:val="61"/>
              <w:snapToGrid w:val="0"/>
              <w:spacing w:line="360" w:lineRule="auto"/>
              <w:jc w:val="center"/>
              <w:rPr>
                <w:rStyle w:val="28"/>
                <w:rFonts w:hint="eastAsia" w:ascii="宋体" w:hAnsi="宋体" w:cs="宋体"/>
                <w:kern w:val="0"/>
              </w:rPr>
            </w:pPr>
          </w:p>
        </w:tc>
        <w:tc>
          <w:tcPr>
            <w:tcW w:w="1246" w:type="dxa"/>
            <w:gridSpan w:val="2"/>
            <w:vAlign w:val="center"/>
          </w:tcPr>
          <w:p w14:paraId="3C47DEBA">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邮政编码</w:t>
            </w:r>
          </w:p>
        </w:tc>
        <w:tc>
          <w:tcPr>
            <w:tcW w:w="2385" w:type="dxa"/>
            <w:gridSpan w:val="3"/>
            <w:vAlign w:val="center"/>
          </w:tcPr>
          <w:p w14:paraId="2C384F27">
            <w:pPr>
              <w:pStyle w:val="61"/>
              <w:snapToGrid w:val="0"/>
              <w:spacing w:line="360" w:lineRule="auto"/>
              <w:jc w:val="center"/>
              <w:rPr>
                <w:rStyle w:val="28"/>
                <w:rFonts w:hint="eastAsia" w:ascii="宋体" w:hAnsi="宋体" w:cs="宋体"/>
                <w:kern w:val="0"/>
              </w:rPr>
            </w:pPr>
          </w:p>
        </w:tc>
      </w:tr>
      <w:tr w14:paraId="4BF69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exact"/>
          <w:jc w:val="center"/>
        </w:trPr>
        <w:tc>
          <w:tcPr>
            <w:tcW w:w="1485" w:type="dxa"/>
            <w:vMerge w:val="restart"/>
            <w:vAlign w:val="center"/>
          </w:tcPr>
          <w:p w14:paraId="6F2F390A">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联系方式</w:t>
            </w:r>
          </w:p>
        </w:tc>
        <w:tc>
          <w:tcPr>
            <w:tcW w:w="897" w:type="dxa"/>
            <w:vAlign w:val="center"/>
          </w:tcPr>
          <w:p w14:paraId="01AC24A8">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联系人</w:t>
            </w:r>
          </w:p>
        </w:tc>
        <w:tc>
          <w:tcPr>
            <w:tcW w:w="2492" w:type="dxa"/>
            <w:gridSpan w:val="2"/>
            <w:vAlign w:val="center"/>
          </w:tcPr>
          <w:p w14:paraId="4406E36C">
            <w:pPr>
              <w:pStyle w:val="61"/>
              <w:snapToGrid w:val="0"/>
              <w:spacing w:line="360" w:lineRule="auto"/>
              <w:jc w:val="center"/>
              <w:rPr>
                <w:rStyle w:val="28"/>
                <w:rFonts w:hint="eastAsia" w:ascii="宋体" w:hAnsi="宋体" w:cs="宋体"/>
                <w:kern w:val="0"/>
              </w:rPr>
            </w:pPr>
          </w:p>
        </w:tc>
        <w:tc>
          <w:tcPr>
            <w:tcW w:w="1246" w:type="dxa"/>
            <w:gridSpan w:val="2"/>
            <w:vAlign w:val="center"/>
          </w:tcPr>
          <w:p w14:paraId="574F8E63">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电  话</w:t>
            </w:r>
          </w:p>
        </w:tc>
        <w:tc>
          <w:tcPr>
            <w:tcW w:w="2385" w:type="dxa"/>
            <w:gridSpan w:val="3"/>
            <w:vAlign w:val="center"/>
          </w:tcPr>
          <w:p w14:paraId="221648E1">
            <w:pPr>
              <w:pStyle w:val="61"/>
              <w:snapToGrid w:val="0"/>
              <w:spacing w:line="360" w:lineRule="auto"/>
              <w:jc w:val="center"/>
              <w:rPr>
                <w:rStyle w:val="28"/>
                <w:rFonts w:hint="eastAsia" w:ascii="宋体" w:hAnsi="宋体" w:cs="宋体"/>
                <w:kern w:val="0"/>
              </w:rPr>
            </w:pPr>
          </w:p>
        </w:tc>
      </w:tr>
      <w:tr w14:paraId="6FD40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exact"/>
          <w:jc w:val="center"/>
        </w:trPr>
        <w:tc>
          <w:tcPr>
            <w:tcW w:w="1485" w:type="dxa"/>
            <w:vMerge w:val="continue"/>
            <w:vAlign w:val="center"/>
          </w:tcPr>
          <w:p w14:paraId="4ED36722">
            <w:pPr>
              <w:pStyle w:val="61"/>
              <w:snapToGrid w:val="0"/>
              <w:spacing w:line="360" w:lineRule="auto"/>
              <w:jc w:val="center"/>
              <w:rPr>
                <w:rStyle w:val="28"/>
                <w:rFonts w:hint="eastAsia" w:ascii="宋体" w:hAnsi="宋体" w:cs="宋体"/>
                <w:kern w:val="0"/>
              </w:rPr>
            </w:pPr>
          </w:p>
        </w:tc>
        <w:tc>
          <w:tcPr>
            <w:tcW w:w="897" w:type="dxa"/>
            <w:vAlign w:val="center"/>
          </w:tcPr>
          <w:p w14:paraId="1F2860F0">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传  真</w:t>
            </w:r>
          </w:p>
        </w:tc>
        <w:tc>
          <w:tcPr>
            <w:tcW w:w="2492" w:type="dxa"/>
            <w:gridSpan w:val="2"/>
            <w:vAlign w:val="center"/>
          </w:tcPr>
          <w:p w14:paraId="6B1BAC01">
            <w:pPr>
              <w:pStyle w:val="61"/>
              <w:snapToGrid w:val="0"/>
              <w:spacing w:line="360" w:lineRule="auto"/>
              <w:jc w:val="center"/>
              <w:rPr>
                <w:rStyle w:val="28"/>
                <w:rFonts w:hint="eastAsia" w:ascii="宋体" w:hAnsi="宋体" w:cs="宋体"/>
                <w:kern w:val="0"/>
              </w:rPr>
            </w:pPr>
          </w:p>
        </w:tc>
        <w:tc>
          <w:tcPr>
            <w:tcW w:w="1246" w:type="dxa"/>
            <w:gridSpan w:val="2"/>
            <w:vAlign w:val="center"/>
          </w:tcPr>
          <w:p w14:paraId="1FA293E2">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电子邮箱</w:t>
            </w:r>
          </w:p>
        </w:tc>
        <w:tc>
          <w:tcPr>
            <w:tcW w:w="2385" w:type="dxa"/>
            <w:gridSpan w:val="3"/>
            <w:vAlign w:val="center"/>
          </w:tcPr>
          <w:p w14:paraId="3B0FFFC5">
            <w:pPr>
              <w:pStyle w:val="61"/>
              <w:snapToGrid w:val="0"/>
              <w:spacing w:line="360" w:lineRule="auto"/>
              <w:jc w:val="center"/>
              <w:rPr>
                <w:rStyle w:val="28"/>
                <w:rFonts w:hint="eastAsia" w:ascii="宋体" w:hAnsi="宋体" w:cs="宋体"/>
                <w:kern w:val="0"/>
              </w:rPr>
            </w:pPr>
          </w:p>
        </w:tc>
      </w:tr>
      <w:tr w14:paraId="7E356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exact"/>
          <w:jc w:val="center"/>
        </w:trPr>
        <w:tc>
          <w:tcPr>
            <w:tcW w:w="1485" w:type="dxa"/>
            <w:vAlign w:val="center"/>
          </w:tcPr>
          <w:p w14:paraId="34B7B295">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单位性质</w:t>
            </w:r>
          </w:p>
        </w:tc>
        <w:tc>
          <w:tcPr>
            <w:tcW w:w="7020" w:type="dxa"/>
            <w:gridSpan w:val="8"/>
            <w:vAlign w:val="center"/>
          </w:tcPr>
          <w:p w14:paraId="064ACA09">
            <w:pPr>
              <w:pStyle w:val="61"/>
              <w:snapToGrid w:val="0"/>
              <w:spacing w:line="360" w:lineRule="auto"/>
              <w:jc w:val="center"/>
              <w:rPr>
                <w:rStyle w:val="28"/>
                <w:rFonts w:hint="eastAsia" w:ascii="宋体" w:hAnsi="宋体" w:cs="宋体"/>
                <w:kern w:val="0"/>
              </w:rPr>
            </w:pPr>
          </w:p>
        </w:tc>
      </w:tr>
      <w:tr w14:paraId="17EF4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exact"/>
          <w:jc w:val="center"/>
        </w:trPr>
        <w:tc>
          <w:tcPr>
            <w:tcW w:w="1485" w:type="dxa"/>
            <w:vAlign w:val="center"/>
          </w:tcPr>
          <w:p w14:paraId="62E946ED">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法定代表人</w:t>
            </w:r>
          </w:p>
        </w:tc>
        <w:tc>
          <w:tcPr>
            <w:tcW w:w="897" w:type="dxa"/>
            <w:vAlign w:val="center"/>
          </w:tcPr>
          <w:p w14:paraId="2A52EDCE">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姓名</w:t>
            </w:r>
          </w:p>
        </w:tc>
        <w:tc>
          <w:tcPr>
            <w:tcW w:w="1689" w:type="dxa"/>
            <w:vAlign w:val="center"/>
          </w:tcPr>
          <w:p w14:paraId="4A79CD67">
            <w:pPr>
              <w:pStyle w:val="61"/>
              <w:snapToGrid w:val="0"/>
              <w:spacing w:line="360" w:lineRule="auto"/>
              <w:jc w:val="center"/>
              <w:rPr>
                <w:rStyle w:val="28"/>
                <w:rFonts w:hint="eastAsia" w:ascii="宋体" w:hAnsi="宋体" w:cs="宋体"/>
                <w:kern w:val="0"/>
              </w:rPr>
            </w:pPr>
          </w:p>
        </w:tc>
        <w:tc>
          <w:tcPr>
            <w:tcW w:w="1089" w:type="dxa"/>
            <w:gridSpan w:val="2"/>
            <w:vAlign w:val="center"/>
          </w:tcPr>
          <w:p w14:paraId="3DC9D2E4">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技术职称</w:t>
            </w:r>
          </w:p>
        </w:tc>
        <w:tc>
          <w:tcPr>
            <w:tcW w:w="1220" w:type="dxa"/>
            <w:gridSpan w:val="2"/>
            <w:vAlign w:val="center"/>
          </w:tcPr>
          <w:p w14:paraId="02AC52F1">
            <w:pPr>
              <w:pStyle w:val="61"/>
              <w:snapToGrid w:val="0"/>
              <w:spacing w:line="360" w:lineRule="auto"/>
              <w:jc w:val="center"/>
              <w:rPr>
                <w:rStyle w:val="28"/>
                <w:rFonts w:hint="eastAsia" w:ascii="宋体" w:hAnsi="宋体" w:cs="宋体"/>
                <w:kern w:val="0"/>
              </w:rPr>
            </w:pPr>
          </w:p>
        </w:tc>
        <w:tc>
          <w:tcPr>
            <w:tcW w:w="709" w:type="dxa"/>
            <w:vAlign w:val="center"/>
          </w:tcPr>
          <w:p w14:paraId="27F6A06C">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电话</w:t>
            </w:r>
          </w:p>
        </w:tc>
        <w:tc>
          <w:tcPr>
            <w:tcW w:w="1416" w:type="dxa"/>
            <w:vAlign w:val="center"/>
          </w:tcPr>
          <w:p w14:paraId="3B7523E8">
            <w:pPr>
              <w:pStyle w:val="61"/>
              <w:snapToGrid w:val="0"/>
              <w:spacing w:line="360" w:lineRule="auto"/>
              <w:jc w:val="center"/>
              <w:rPr>
                <w:rStyle w:val="28"/>
                <w:rFonts w:hint="eastAsia" w:ascii="宋体" w:hAnsi="宋体" w:cs="宋体"/>
                <w:kern w:val="0"/>
              </w:rPr>
            </w:pPr>
          </w:p>
        </w:tc>
      </w:tr>
      <w:tr w14:paraId="20392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485" w:type="dxa"/>
            <w:vAlign w:val="center"/>
          </w:tcPr>
          <w:p w14:paraId="52C9C1A2">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成立时间</w:t>
            </w:r>
          </w:p>
        </w:tc>
        <w:tc>
          <w:tcPr>
            <w:tcW w:w="2586" w:type="dxa"/>
            <w:gridSpan w:val="2"/>
            <w:vAlign w:val="center"/>
          </w:tcPr>
          <w:p w14:paraId="21163F6B">
            <w:pPr>
              <w:pStyle w:val="61"/>
              <w:snapToGrid w:val="0"/>
              <w:spacing w:line="360" w:lineRule="auto"/>
              <w:jc w:val="center"/>
              <w:rPr>
                <w:rStyle w:val="28"/>
                <w:rFonts w:hint="eastAsia" w:ascii="宋体" w:hAnsi="宋体" w:cs="宋体"/>
                <w:kern w:val="0"/>
              </w:rPr>
            </w:pPr>
          </w:p>
        </w:tc>
        <w:tc>
          <w:tcPr>
            <w:tcW w:w="4434" w:type="dxa"/>
            <w:gridSpan w:val="6"/>
            <w:vAlign w:val="center"/>
          </w:tcPr>
          <w:p w14:paraId="6D8B9DFF">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员工总人数（个）：</w:t>
            </w:r>
          </w:p>
        </w:tc>
      </w:tr>
      <w:tr w14:paraId="12F68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exact"/>
          <w:jc w:val="center"/>
        </w:trPr>
        <w:tc>
          <w:tcPr>
            <w:tcW w:w="1485" w:type="dxa"/>
            <w:vAlign w:val="center"/>
          </w:tcPr>
          <w:p w14:paraId="4C8CECB8">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企业资质等级</w:t>
            </w:r>
          </w:p>
        </w:tc>
        <w:tc>
          <w:tcPr>
            <w:tcW w:w="2586" w:type="dxa"/>
            <w:gridSpan w:val="2"/>
            <w:vAlign w:val="center"/>
          </w:tcPr>
          <w:p w14:paraId="55623CB0">
            <w:pPr>
              <w:pStyle w:val="61"/>
              <w:snapToGrid w:val="0"/>
              <w:spacing w:line="360" w:lineRule="auto"/>
              <w:jc w:val="center"/>
              <w:rPr>
                <w:rStyle w:val="28"/>
                <w:rFonts w:hint="eastAsia" w:ascii="宋体" w:hAnsi="宋体" w:cs="宋体"/>
                <w:kern w:val="0"/>
              </w:rPr>
            </w:pPr>
          </w:p>
        </w:tc>
        <w:tc>
          <w:tcPr>
            <w:tcW w:w="1089" w:type="dxa"/>
            <w:gridSpan w:val="2"/>
            <w:vMerge w:val="restart"/>
            <w:vAlign w:val="center"/>
          </w:tcPr>
          <w:p w14:paraId="34BF10B8">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其中</w:t>
            </w:r>
          </w:p>
        </w:tc>
        <w:tc>
          <w:tcPr>
            <w:tcW w:w="1929" w:type="dxa"/>
            <w:gridSpan w:val="3"/>
            <w:vAlign w:val="center"/>
          </w:tcPr>
          <w:p w14:paraId="20F12216">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项目经理</w:t>
            </w:r>
          </w:p>
        </w:tc>
        <w:tc>
          <w:tcPr>
            <w:tcW w:w="1416" w:type="dxa"/>
            <w:vAlign w:val="center"/>
          </w:tcPr>
          <w:p w14:paraId="5DB56528">
            <w:pPr>
              <w:pStyle w:val="61"/>
              <w:snapToGrid w:val="0"/>
              <w:spacing w:line="360" w:lineRule="auto"/>
              <w:jc w:val="center"/>
              <w:rPr>
                <w:rStyle w:val="28"/>
                <w:rFonts w:hint="eastAsia" w:ascii="宋体" w:hAnsi="宋体" w:cs="宋体"/>
                <w:kern w:val="0"/>
              </w:rPr>
            </w:pPr>
          </w:p>
        </w:tc>
      </w:tr>
      <w:tr w14:paraId="31F9E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exact"/>
          <w:jc w:val="center"/>
        </w:trPr>
        <w:tc>
          <w:tcPr>
            <w:tcW w:w="1485" w:type="dxa"/>
            <w:vAlign w:val="center"/>
          </w:tcPr>
          <w:p w14:paraId="17B5EB0A">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营业执照号</w:t>
            </w:r>
          </w:p>
        </w:tc>
        <w:tc>
          <w:tcPr>
            <w:tcW w:w="2586" w:type="dxa"/>
            <w:gridSpan w:val="2"/>
            <w:vAlign w:val="center"/>
          </w:tcPr>
          <w:p w14:paraId="39069A94">
            <w:pPr>
              <w:pStyle w:val="61"/>
              <w:snapToGrid w:val="0"/>
              <w:spacing w:line="360" w:lineRule="auto"/>
              <w:jc w:val="center"/>
              <w:rPr>
                <w:rStyle w:val="28"/>
                <w:rFonts w:hint="eastAsia" w:ascii="宋体" w:hAnsi="宋体" w:cs="宋体"/>
                <w:kern w:val="0"/>
              </w:rPr>
            </w:pPr>
          </w:p>
        </w:tc>
        <w:tc>
          <w:tcPr>
            <w:tcW w:w="1089" w:type="dxa"/>
            <w:gridSpan w:val="2"/>
            <w:vMerge w:val="continue"/>
            <w:vAlign w:val="center"/>
          </w:tcPr>
          <w:p w14:paraId="4D64DF3B">
            <w:pPr>
              <w:pStyle w:val="61"/>
              <w:snapToGrid w:val="0"/>
              <w:spacing w:line="360" w:lineRule="auto"/>
              <w:jc w:val="center"/>
              <w:rPr>
                <w:rStyle w:val="28"/>
                <w:rFonts w:hint="eastAsia" w:ascii="宋体" w:hAnsi="宋体" w:cs="宋体"/>
                <w:kern w:val="0"/>
              </w:rPr>
            </w:pPr>
          </w:p>
        </w:tc>
        <w:tc>
          <w:tcPr>
            <w:tcW w:w="1929" w:type="dxa"/>
            <w:gridSpan w:val="3"/>
            <w:vAlign w:val="center"/>
          </w:tcPr>
          <w:p w14:paraId="31D4AE81">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高级职称人员</w:t>
            </w:r>
          </w:p>
        </w:tc>
        <w:tc>
          <w:tcPr>
            <w:tcW w:w="1416" w:type="dxa"/>
            <w:vAlign w:val="center"/>
          </w:tcPr>
          <w:p w14:paraId="47375D0F">
            <w:pPr>
              <w:pStyle w:val="61"/>
              <w:snapToGrid w:val="0"/>
              <w:spacing w:line="360" w:lineRule="auto"/>
              <w:jc w:val="center"/>
              <w:rPr>
                <w:rStyle w:val="28"/>
                <w:rFonts w:hint="eastAsia" w:ascii="宋体" w:hAnsi="宋体" w:cs="宋体"/>
                <w:kern w:val="0"/>
              </w:rPr>
            </w:pPr>
          </w:p>
        </w:tc>
      </w:tr>
      <w:tr w14:paraId="0F501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exact"/>
          <w:jc w:val="center"/>
        </w:trPr>
        <w:tc>
          <w:tcPr>
            <w:tcW w:w="1485" w:type="dxa"/>
            <w:vAlign w:val="center"/>
          </w:tcPr>
          <w:p w14:paraId="5BE9515A">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注册资金</w:t>
            </w:r>
          </w:p>
        </w:tc>
        <w:tc>
          <w:tcPr>
            <w:tcW w:w="2586" w:type="dxa"/>
            <w:gridSpan w:val="2"/>
            <w:vAlign w:val="center"/>
          </w:tcPr>
          <w:p w14:paraId="20E2DE70">
            <w:pPr>
              <w:pStyle w:val="61"/>
              <w:snapToGrid w:val="0"/>
              <w:spacing w:line="360" w:lineRule="auto"/>
              <w:jc w:val="center"/>
              <w:rPr>
                <w:rStyle w:val="28"/>
                <w:rFonts w:hint="eastAsia" w:ascii="宋体" w:hAnsi="宋体" w:cs="宋体"/>
                <w:kern w:val="0"/>
              </w:rPr>
            </w:pPr>
          </w:p>
        </w:tc>
        <w:tc>
          <w:tcPr>
            <w:tcW w:w="1089" w:type="dxa"/>
            <w:gridSpan w:val="2"/>
            <w:vMerge w:val="continue"/>
            <w:vAlign w:val="center"/>
          </w:tcPr>
          <w:p w14:paraId="3A7C2204">
            <w:pPr>
              <w:pStyle w:val="61"/>
              <w:snapToGrid w:val="0"/>
              <w:spacing w:line="360" w:lineRule="auto"/>
              <w:jc w:val="center"/>
              <w:rPr>
                <w:rStyle w:val="28"/>
                <w:rFonts w:hint="eastAsia" w:ascii="宋体" w:hAnsi="宋体" w:cs="宋体"/>
                <w:kern w:val="0"/>
              </w:rPr>
            </w:pPr>
          </w:p>
        </w:tc>
        <w:tc>
          <w:tcPr>
            <w:tcW w:w="1929" w:type="dxa"/>
            <w:gridSpan w:val="3"/>
            <w:vAlign w:val="center"/>
          </w:tcPr>
          <w:p w14:paraId="4731B730">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中级职称人员</w:t>
            </w:r>
          </w:p>
        </w:tc>
        <w:tc>
          <w:tcPr>
            <w:tcW w:w="1416" w:type="dxa"/>
            <w:vAlign w:val="center"/>
          </w:tcPr>
          <w:p w14:paraId="594D8E11">
            <w:pPr>
              <w:pStyle w:val="61"/>
              <w:snapToGrid w:val="0"/>
              <w:spacing w:line="360" w:lineRule="auto"/>
              <w:jc w:val="center"/>
              <w:rPr>
                <w:rStyle w:val="28"/>
                <w:rFonts w:hint="eastAsia" w:ascii="宋体" w:hAnsi="宋体" w:cs="宋体"/>
                <w:kern w:val="0"/>
              </w:rPr>
            </w:pPr>
          </w:p>
        </w:tc>
      </w:tr>
      <w:tr w14:paraId="08E3A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exact"/>
          <w:jc w:val="center"/>
        </w:trPr>
        <w:tc>
          <w:tcPr>
            <w:tcW w:w="1485" w:type="dxa"/>
            <w:vAlign w:val="center"/>
          </w:tcPr>
          <w:p w14:paraId="0E696A41">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开户银行</w:t>
            </w:r>
          </w:p>
        </w:tc>
        <w:tc>
          <w:tcPr>
            <w:tcW w:w="2586" w:type="dxa"/>
            <w:gridSpan w:val="2"/>
            <w:vAlign w:val="center"/>
          </w:tcPr>
          <w:p w14:paraId="7D1DE812">
            <w:pPr>
              <w:pStyle w:val="61"/>
              <w:snapToGrid w:val="0"/>
              <w:spacing w:line="360" w:lineRule="auto"/>
              <w:jc w:val="center"/>
              <w:rPr>
                <w:rStyle w:val="28"/>
                <w:rFonts w:hint="eastAsia" w:ascii="宋体" w:hAnsi="宋体" w:cs="宋体"/>
                <w:kern w:val="0"/>
              </w:rPr>
            </w:pPr>
          </w:p>
        </w:tc>
        <w:tc>
          <w:tcPr>
            <w:tcW w:w="1089" w:type="dxa"/>
            <w:gridSpan w:val="2"/>
            <w:vMerge w:val="continue"/>
            <w:vAlign w:val="center"/>
          </w:tcPr>
          <w:p w14:paraId="7F5CFE09">
            <w:pPr>
              <w:pStyle w:val="61"/>
              <w:snapToGrid w:val="0"/>
              <w:spacing w:line="360" w:lineRule="auto"/>
              <w:jc w:val="center"/>
              <w:rPr>
                <w:rStyle w:val="28"/>
                <w:rFonts w:hint="eastAsia" w:ascii="宋体" w:hAnsi="宋体" w:cs="宋体"/>
                <w:kern w:val="0"/>
              </w:rPr>
            </w:pPr>
          </w:p>
        </w:tc>
        <w:tc>
          <w:tcPr>
            <w:tcW w:w="1929" w:type="dxa"/>
            <w:gridSpan w:val="3"/>
            <w:vAlign w:val="center"/>
          </w:tcPr>
          <w:p w14:paraId="2D8A9715">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初级职称人员</w:t>
            </w:r>
          </w:p>
        </w:tc>
        <w:tc>
          <w:tcPr>
            <w:tcW w:w="1416" w:type="dxa"/>
            <w:vAlign w:val="center"/>
          </w:tcPr>
          <w:p w14:paraId="38D2C530">
            <w:pPr>
              <w:pStyle w:val="61"/>
              <w:snapToGrid w:val="0"/>
              <w:spacing w:line="360" w:lineRule="auto"/>
              <w:jc w:val="center"/>
              <w:rPr>
                <w:rStyle w:val="28"/>
                <w:rFonts w:hint="eastAsia" w:ascii="宋体" w:hAnsi="宋体" w:cs="宋体"/>
                <w:kern w:val="0"/>
              </w:rPr>
            </w:pPr>
          </w:p>
        </w:tc>
      </w:tr>
      <w:tr w14:paraId="43434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exact"/>
          <w:jc w:val="center"/>
        </w:trPr>
        <w:tc>
          <w:tcPr>
            <w:tcW w:w="1485" w:type="dxa"/>
            <w:vAlign w:val="center"/>
          </w:tcPr>
          <w:p w14:paraId="20173426">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账号</w:t>
            </w:r>
          </w:p>
        </w:tc>
        <w:tc>
          <w:tcPr>
            <w:tcW w:w="2586" w:type="dxa"/>
            <w:gridSpan w:val="2"/>
            <w:vAlign w:val="center"/>
          </w:tcPr>
          <w:p w14:paraId="3538465C">
            <w:pPr>
              <w:pStyle w:val="61"/>
              <w:snapToGrid w:val="0"/>
              <w:spacing w:line="360" w:lineRule="auto"/>
              <w:jc w:val="center"/>
              <w:rPr>
                <w:rStyle w:val="28"/>
                <w:rFonts w:hint="eastAsia" w:ascii="宋体" w:hAnsi="宋体" w:cs="宋体"/>
                <w:kern w:val="0"/>
              </w:rPr>
            </w:pPr>
          </w:p>
        </w:tc>
        <w:tc>
          <w:tcPr>
            <w:tcW w:w="1089" w:type="dxa"/>
            <w:gridSpan w:val="2"/>
            <w:vMerge w:val="continue"/>
            <w:vAlign w:val="center"/>
          </w:tcPr>
          <w:p w14:paraId="4AF005DF">
            <w:pPr>
              <w:pStyle w:val="61"/>
              <w:snapToGrid w:val="0"/>
              <w:spacing w:line="360" w:lineRule="auto"/>
              <w:jc w:val="center"/>
              <w:rPr>
                <w:rStyle w:val="28"/>
                <w:rFonts w:hint="eastAsia" w:ascii="宋体" w:hAnsi="宋体" w:cs="宋体"/>
                <w:kern w:val="0"/>
              </w:rPr>
            </w:pPr>
          </w:p>
        </w:tc>
        <w:tc>
          <w:tcPr>
            <w:tcW w:w="1929" w:type="dxa"/>
            <w:gridSpan w:val="3"/>
            <w:vAlign w:val="center"/>
          </w:tcPr>
          <w:p w14:paraId="751E1CAB">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技术员</w:t>
            </w:r>
          </w:p>
        </w:tc>
        <w:tc>
          <w:tcPr>
            <w:tcW w:w="1416" w:type="dxa"/>
            <w:vAlign w:val="center"/>
          </w:tcPr>
          <w:p w14:paraId="1F3EB21A">
            <w:pPr>
              <w:pStyle w:val="61"/>
              <w:snapToGrid w:val="0"/>
              <w:spacing w:line="360" w:lineRule="auto"/>
              <w:jc w:val="center"/>
              <w:rPr>
                <w:rStyle w:val="28"/>
                <w:rFonts w:hint="eastAsia" w:ascii="宋体" w:hAnsi="宋体" w:cs="宋体"/>
                <w:kern w:val="0"/>
              </w:rPr>
            </w:pPr>
          </w:p>
        </w:tc>
      </w:tr>
      <w:tr w14:paraId="56146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exact"/>
          <w:jc w:val="center"/>
        </w:trPr>
        <w:tc>
          <w:tcPr>
            <w:tcW w:w="1485" w:type="dxa"/>
            <w:vAlign w:val="center"/>
          </w:tcPr>
          <w:p w14:paraId="07A75B2F">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经营范围</w:t>
            </w:r>
          </w:p>
        </w:tc>
        <w:tc>
          <w:tcPr>
            <w:tcW w:w="7020" w:type="dxa"/>
            <w:gridSpan w:val="8"/>
            <w:vAlign w:val="center"/>
          </w:tcPr>
          <w:p w14:paraId="3A61D425">
            <w:pPr>
              <w:pStyle w:val="61"/>
              <w:snapToGrid w:val="0"/>
              <w:spacing w:line="360" w:lineRule="auto"/>
              <w:jc w:val="center"/>
              <w:rPr>
                <w:rStyle w:val="28"/>
                <w:rFonts w:hint="eastAsia" w:ascii="宋体" w:hAnsi="宋体" w:cs="宋体"/>
                <w:kern w:val="0"/>
              </w:rPr>
            </w:pPr>
          </w:p>
        </w:tc>
      </w:tr>
      <w:tr w14:paraId="7B47F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exact"/>
          <w:jc w:val="center"/>
        </w:trPr>
        <w:tc>
          <w:tcPr>
            <w:tcW w:w="1485" w:type="dxa"/>
            <w:vAlign w:val="center"/>
          </w:tcPr>
          <w:p w14:paraId="66C76FF5">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关联企业情况</w:t>
            </w:r>
          </w:p>
        </w:tc>
        <w:tc>
          <w:tcPr>
            <w:tcW w:w="7020" w:type="dxa"/>
            <w:gridSpan w:val="8"/>
            <w:vAlign w:val="center"/>
          </w:tcPr>
          <w:p w14:paraId="0C1EF933">
            <w:pPr>
              <w:pStyle w:val="61"/>
              <w:snapToGrid w:val="0"/>
              <w:spacing w:line="360" w:lineRule="auto"/>
              <w:rPr>
                <w:rStyle w:val="28"/>
                <w:rFonts w:hint="eastAsia" w:ascii="宋体" w:hAnsi="宋体" w:cs="宋体"/>
                <w:kern w:val="0"/>
              </w:rPr>
            </w:pPr>
            <w:r>
              <w:rPr>
                <w:rStyle w:val="28"/>
                <w:rFonts w:hint="eastAsia" w:ascii="宋体" w:hAnsi="宋体" w:cs="宋体"/>
                <w:kern w:val="0"/>
              </w:rPr>
              <w:t>包括但不限于与投标人存在以下关系的不同单位：</w:t>
            </w:r>
          </w:p>
          <w:p w14:paraId="1B4AE249">
            <w:pPr>
              <w:pStyle w:val="61"/>
              <w:snapToGrid w:val="0"/>
              <w:spacing w:line="360" w:lineRule="auto"/>
              <w:rPr>
                <w:rStyle w:val="28"/>
                <w:rFonts w:hint="eastAsia" w:ascii="宋体" w:hAnsi="宋体" w:cs="宋体"/>
                <w:kern w:val="0"/>
              </w:rPr>
            </w:pPr>
            <w:r>
              <w:rPr>
                <w:rStyle w:val="28"/>
                <w:rFonts w:hint="eastAsia" w:ascii="宋体" w:hAnsi="宋体" w:cs="宋体"/>
                <w:kern w:val="0"/>
              </w:rPr>
              <w:t>1.法定代表人为同一人的。</w:t>
            </w:r>
          </w:p>
          <w:p w14:paraId="22D7CC4F">
            <w:pPr>
              <w:pStyle w:val="61"/>
              <w:snapToGrid w:val="0"/>
              <w:spacing w:line="360" w:lineRule="auto"/>
              <w:rPr>
                <w:rStyle w:val="28"/>
                <w:rFonts w:hint="eastAsia" w:ascii="宋体" w:hAnsi="宋体" w:cs="宋体"/>
                <w:kern w:val="0"/>
              </w:rPr>
            </w:pPr>
            <w:r>
              <w:rPr>
                <w:rStyle w:val="28"/>
                <w:rFonts w:hint="eastAsia" w:ascii="宋体" w:hAnsi="宋体" w:cs="宋体"/>
                <w:kern w:val="0"/>
              </w:rPr>
              <w:t>2.存在控股、管理关系的。</w:t>
            </w:r>
          </w:p>
          <w:p w14:paraId="4BC5B89B">
            <w:pPr>
              <w:pStyle w:val="61"/>
              <w:snapToGrid w:val="0"/>
              <w:spacing w:line="360" w:lineRule="auto"/>
              <w:rPr>
                <w:rStyle w:val="28"/>
                <w:rFonts w:hint="eastAsia" w:ascii="宋体" w:hAnsi="宋体" w:cs="宋体"/>
                <w:kern w:val="0"/>
              </w:rPr>
            </w:pPr>
            <w:r>
              <w:rPr>
                <w:rStyle w:val="28"/>
                <w:rFonts w:hint="eastAsia" w:ascii="宋体" w:hAnsi="宋体" w:cs="宋体"/>
                <w:kern w:val="0"/>
              </w:rPr>
              <w:t>3.主要人员相互任职的。</w:t>
            </w:r>
          </w:p>
        </w:tc>
      </w:tr>
      <w:tr w14:paraId="753EE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exact"/>
          <w:jc w:val="center"/>
        </w:trPr>
        <w:tc>
          <w:tcPr>
            <w:tcW w:w="1485" w:type="dxa"/>
            <w:vAlign w:val="center"/>
          </w:tcPr>
          <w:p w14:paraId="13F00050">
            <w:pPr>
              <w:pStyle w:val="61"/>
              <w:snapToGrid w:val="0"/>
              <w:spacing w:line="360" w:lineRule="auto"/>
              <w:jc w:val="center"/>
              <w:rPr>
                <w:rStyle w:val="28"/>
                <w:rFonts w:hint="eastAsia" w:ascii="宋体" w:hAnsi="宋体" w:cs="宋体"/>
                <w:kern w:val="0"/>
              </w:rPr>
            </w:pPr>
            <w:r>
              <w:rPr>
                <w:rStyle w:val="28"/>
                <w:rFonts w:hint="eastAsia" w:ascii="宋体" w:hAnsi="宋体" w:cs="宋体"/>
                <w:kern w:val="0"/>
              </w:rPr>
              <w:t>备注</w:t>
            </w:r>
          </w:p>
        </w:tc>
        <w:tc>
          <w:tcPr>
            <w:tcW w:w="7020" w:type="dxa"/>
            <w:gridSpan w:val="8"/>
            <w:vAlign w:val="center"/>
          </w:tcPr>
          <w:p w14:paraId="7948B46E">
            <w:pPr>
              <w:pStyle w:val="61"/>
              <w:snapToGrid w:val="0"/>
              <w:spacing w:line="360" w:lineRule="auto"/>
              <w:jc w:val="center"/>
              <w:rPr>
                <w:rStyle w:val="28"/>
                <w:rFonts w:hint="eastAsia" w:ascii="宋体" w:hAnsi="宋体" w:cs="宋体"/>
                <w:kern w:val="0"/>
              </w:rPr>
            </w:pPr>
          </w:p>
        </w:tc>
      </w:tr>
    </w:tbl>
    <w:p w14:paraId="09808DB2">
      <w:pPr>
        <w:pStyle w:val="61"/>
        <w:snapToGrid w:val="0"/>
        <w:spacing w:line="360" w:lineRule="auto"/>
        <w:ind w:firstLine="420" w:firstLineChars="200"/>
        <w:rPr>
          <w:rStyle w:val="28"/>
          <w:rFonts w:hint="eastAsia" w:ascii="宋体" w:hAnsi="宋体" w:cs="宋体"/>
          <w:kern w:val="0"/>
        </w:rPr>
      </w:pPr>
      <w:r>
        <w:rPr>
          <w:rStyle w:val="28"/>
          <w:rFonts w:hint="eastAsia" w:ascii="宋体" w:hAnsi="宋体" w:cs="宋体"/>
          <w:kern w:val="0"/>
        </w:rPr>
        <w:t>说明：</w:t>
      </w:r>
    </w:p>
    <w:p w14:paraId="23C888A8">
      <w:pPr>
        <w:pStyle w:val="55"/>
        <w:snapToGrid w:val="0"/>
        <w:ind w:firstLine="210" w:firstLineChars="100"/>
        <w:rPr>
          <w:rStyle w:val="28"/>
          <w:rFonts w:hint="eastAsia" w:hAnsi="宋体"/>
          <w:sz w:val="21"/>
          <w:szCs w:val="21"/>
        </w:rPr>
      </w:pPr>
      <w:r>
        <w:rPr>
          <w:rStyle w:val="28"/>
          <w:rFonts w:hint="eastAsia" w:hAnsi="宋体"/>
          <w:sz w:val="21"/>
          <w:szCs w:val="21"/>
        </w:rPr>
        <w:t>《投标人基本情况表》后应附以下资料：</w:t>
      </w:r>
    </w:p>
    <w:p w14:paraId="5F2F6833">
      <w:pPr>
        <w:pStyle w:val="55"/>
        <w:snapToGrid w:val="0"/>
        <w:ind w:firstLine="210" w:firstLineChars="100"/>
        <w:rPr>
          <w:rStyle w:val="28"/>
          <w:rFonts w:hint="eastAsia" w:hAnsi="宋体"/>
          <w:sz w:val="21"/>
          <w:szCs w:val="21"/>
        </w:rPr>
      </w:pPr>
      <w:r>
        <w:rPr>
          <w:rStyle w:val="28"/>
          <w:rFonts w:hint="eastAsia" w:hAnsi="宋体"/>
          <w:sz w:val="21"/>
          <w:szCs w:val="21"/>
        </w:rPr>
        <w:t>（1）企业营业执照、资质证书、安全生产许可证的彩色扫描件（或打印件）。</w:t>
      </w:r>
      <w:r>
        <w:rPr>
          <w:rStyle w:val="28"/>
          <w:rFonts w:hint="eastAsia" w:hAnsi="宋体"/>
          <w:b/>
          <w:bCs/>
          <w:sz w:val="21"/>
          <w:szCs w:val="21"/>
        </w:rPr>
        <w:t>（因推行电子证照，企业的营业执照、资质证书等可以提供电子证照。为实时掌握项目投标单位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38BD5E32">
      <w:pPr>
        <w:pStyle w:val="62"/>
        <w:wordWrap w:val="0"/>
        <w:adjustRightInd w:val="0"/>
        <w:snapToGrid w:val="0"/>
        <w:spacing w:line="360" w:lineRule="auto"/>
        <w:ind w:firstLine="210" w:firstLineChars="100"/>
        <w:rPr>
          <w:rFonts w:hint="eastAsia" w:ascii="宋体" w:hAnsi="宋体" w:cs="宋体"/>
          <w:snapToGrid w:val="0"/>
          <w:kern w:val="0"/>
        </w:rPr>
      </w:pPr>
      <w:bookmarkStart w:id="645" w:name="_Toc32195"/>
      <w:bookmarkStart w:id="646" w:name="_Toc18314"/>
      <w:bookmarkStart w:id="647" w:name="_Toc31837"/>
      <w:bookmarkStart w:id="648" w:name="_Toc2633"/>
      <w:r>
        <w:rPr>
          <w:rFonts w:hint="eastAsia" w:ascii="宋体" w:hAnsi="宋体" w:cs="宋体"/>
          <w:snapToGrid w:val="0"/>
          <w:kern w:val="0"/>
          <w:szCs w:val="21"/>
        </w:rPr>
        <w:t>（2）</w:t>
      </w:r>
      <w:r>
        <w:rPr>
          <w:rFonts w:hint="eastAsia" w:ascii="宋体" w:hAnsi="宋体" w:cs="宋体"/>
          <w:snapToGrid w:val="0"/>
          <w:kern w:val="0"/>
        </w:rPr>
        <w:t>“进粤企业和人员诚信信息登记平台”企业信息情况打印页或网页截图。（适用于省外建筑企业）</w:t>
      </w:r>
    </w:p>
    <w:p w14:paraId="53D36CB2">
      <w:pPr>
        <w:pStyle w:val="62"/>
        <w:wordWrap w:val="0"/>
        <w:adjustRightInd w:val="0"/>
        <w:snapToGrid w:val="0"/>
        <w:spacing w:line="360" w:lineRule="auto"/>
        <w:ind w:firstLine="210" w:firstLineChars="100"/>
        <w:rPr>
          <w:rFonts w:hint="eastAsia" w:ascii="宋体" w:hAnsi="宋体" w:cs="宋体"/>
          <w:snapToGrid w:val="0"/>
          <w:kern w:val="0"/>
        </w:rPr>
      </w:pPr>
      <w:r>
        <w:rPr>
          <w:rFonts w:hint="eastAsia" w:ascii="宋体" w:hAnsi="宋体" w:cs="宋体"/>
          <w:snapToGrid w:val="0"/>
          <w:kern w:val="0"/>
          <w:szCs w:val="21"/>
        </w:rPr>
        <w:t>（3）</w:t>
      </w:r>
      <w:r>
        <w:rPr>
          <w:rFonts w:hint="eastAsia" w:ascii="宋体" w:hAnsi="宋体" w:cs="宋体"/>
          <w:snapToGrid w:val="0"/>
          <w:kern w:val="0"/>
        </w:rPr>
        <w:t>《法人和非法人组织公共信用信息报告》（在“信用中国”网站企业查询界面中下载）。</w:t>
      </w:r>
    </w:p>
    <w:p w14:paraId="70FDBBE8">
      <w:pPr>
        <w:pStyle w:val="55"/>
        <w:snapToGrid w:val="0"/>
        <w:ind w:firstLine="0"/>
        <w:outlineLvl w:val="1"/>
        <w:rPr>
          <w:rStyle w:val="28"/>
          <w:rFonts w:hint="eastAsia" w:hAnsi="宋体"/>
          <w:b/>
          <w:bCs/>
          <w:sz w:val="21"/>
          <w:szCs w:val="21"/>
        </w:rPr>
      </w:pPr>
      <w:bookmarkStart w:id="649" w:name="_Toc5097"/>
      <w:bookmarkStart w:id="650" w:name="_Toc16429"/>
      <w:bookmarkStart w:id="651" w:name="_Toc18643"/>
      <w:bookmarkStart w:id="652" w:name="_Toc6145"/>
      <w:bookmarkStart w:id="653" w:name="_Toc15973"/>
    </w:p>
    <w:p w14:paraId="511EABEA">
      <w:pPr>
        <w:pStyle w:val="55"/>
        <w:snapToGrid w:val="0"/>
        <w:ind w:firstLine="0"/>
        <w:outlineLvl w:val="1"/>
        <w:rPr>
          <w:rStyle w:val="28"/>
          <w:rFonts w:hint="eastAsia" w:hAnsi="宋体"/>
          <w:b/>
          <w:bCs/>
          <w:sz w:val="21"/>
          <w:szCs w:val="21"/>
        </w:rPr>
      </w:pPr>
      <w:bookmarkStart w:id="654" w:name="_Toc20778"/>
      <w:bookmarkStart w:id="655" w:name="_Toc26601"/>
      <w:bookmarkStart w:id="656" w:name="_Toc21362"/>
      <w:bookmarkStart w:id="657" w:name="_Toc4592"/>
      <w:r>
        <w:rPr>
          <w:rStyle w:val="28"/>
          <w:rFonts w:hint="eastAsia" w:hAnsi="宋体"/>
          <w:b/>
          <w:bCs/>
          <w:sz w:val="21"/>
          <w:szCs w:val="21"/>
        </w:rPr>
        <w:t>格式八 项目经理简历表</w:t>
      </w:r>
      <w:bookmarkEnd w:id="645"/>
      <w:bookmarkEnd w:id="646"/>
      <w:bookmarkEnd w:id="647"/>
      <w:bookmarkEnd w:id="648"/>
      <w:bookmarkEnd w:id="649"/>
      <w:bookmarkEnd w:id="650"/>
      <w:bookmarkEnd w:id="651"/>
      <w:bookmarkEnd w:id="652"/>
      <w:bookmarkEnd w:id="653"/>
      <w:bookmarkEnd w:id="654"/>
      <w:bookmarkEnd w:id="655"/>
      <w:bookmarkEnd w:id="656"/>
      <w:bookmarkEnd w:id="657"/>
    </w:p>
    <w:p w14:paraId="20B61AEF">
      <w:pPr>
        <w:snapToGrid w:val="0"/>
        <w:jc w:val="left"/>
        <w:rPr>
          <w:rStyle w:val="28"/>
          <w:rFonts w:hint="eastAsia" w:hAnsi="宋体"/>
          <w:b/>
          <w:bCs/>
          <w:kern w:val="0"/>
        </w:rPr>
      </w:pPr>
    </w:p>
    <w:tbl>
      <w:tblPr>
        <w:tblStyle w:val="19"/>
        <w:tblpPr w:leftFromText="180" w:rightFromText="180" w:vertAnchor="text" w:horzAnchor="page" w:tblpX="1490" w:tblpY="692"/>
        <w:tblOverlap w:val="never"/>
        <w:tblW w:w="9270" w:type="dxa"/>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5"/>
        <w:gridCol w:w="963"/>
        <w:gridCol w:w="584"/>
        <w:gridCol w:w="648"/>
        <w:gridCol w:w="1294"/>
        <w:gridCol w:w="1946"/>
        <w:gridCol w:w="27"/>
        <w:gridCol w:w="1706"/>
        <w:gridCol w:w="1327"/>
      </w:tblGrid>
      <w:tr w14:paraId="2BA83F7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vAlign w:val="center"/>
          </w:tcPr>
          <w:p w14:paraId="0533FE06">
            <w:pPr>
              <w:snapToGrid w:val="0"/>
              <w:jc w:val="center"/>
              <w:rPr>
                <w:rStyle w:val="28"/>
                <w:rFonts w:hint="eastAsia" w:hAnsi="宋体"/>
                <w:kern w:val="0"/>
                <w:sz w:val="21"/>
                <w:szCs w:val="21"/>
              </w:rPr>
            </w:pPr>
            <w:r>
              <w:rPr>
                <w:rStyle w:val="28"/>
                <w:rFonts w:hint="eastAsia" w:hAnsi="宋体"/>
                <w:kern w:val="0"/>
                <w:sz w:val="21"/>
                <w:szCs w:val="21"/>
              </w:rPr>
              <w:t>姓   名</w:t>
            </w:r>
          </w:p>
        </w:tc>
        <w:tc>
          <w:tcPr>
            <w:tcW w:w="1232" w:type="dxa"/>
            <w:gridSpan w:val="2"/>
            <w:tcBorders>
              <w:top w:val="single" w:color="000000" w:sz="6" w:space="0"/>
              <w:left w:val="single" w:color="000000" w:sz="6" w:space="0"/>
              <w:bottom w:val="single" w:color="000000" w:sz="6" w:space="0"/>
              <w:right w:val="single" w:color="000000" w:sz="6" w:space="0"/>
            </w:tcBorders>
            <w:vAlign w:val="center"/>
          </w:tcPr>
          <w:p w14:paraId="36A4CC53">
            <w:pPr>
              <w:snapToGrid w:val="0"/>
              <w:jc w:val="center"/>
              <w:rPr>
                <w:rStyle w:val="28"/>
                <w:rFonts w:hint="eastAsia" w:hAnsi="宋体"/>
                <w:kern w:val="0"/>
                <w:sz w:val="21"/>
                <w:szCs w:val="21"/>
              </w:rPr>
            </w:pPr>
          </w:p>
        </w:tc>
        <w:tc>
          <w:tcPr>
            <w:tcW w:w="1294" w:type="dxa"/>
            <w:tcBorders>
              <w:top w:val="single" w:color="000000" w:sz="6" w:space="0"/>
              <w:left w:val="single" w:color="000000" w:sz="6" w:space="0"/>
              <w:bottom w:val="single" w:color="000000" w:sz="6" w:space="0"/>
              <w:right w:val="single" w:color="000000" w:sz="6" w:space="0"/>
            </w:tcBorders>
            <w:vAlign w:val="center"/>
          </w:tcPr>
          <w:p w14:paraId="6B3F6311">
            <w:pPr>
              <w:snapToGrid w:val="0"/>
              <w:jc w:val="center"/>
              <w:rPr>
                <w:rStyle w:val="28"/>
                <w:rFonts w:hint="eastAsia" w:hAnsi="宋体"/>
                <w:kern w:val="0"/>
                <w:sz w:val="21"/>
                <w:szCs w:val="21"/>
              </w:rPr>
            </w:pPr>
            <w:r>
              <w:rPr>
                <w:rStyle w:val="28"/>
                <w:rFonts w:hint="eastAsia" w:hAnsi="宋体"/>
                <w:kern w:val="0"/>
                <w:sz w:val="21"/>
                <w:szCs w:val="21"/>
              </w:rPr>
              <w:t>性  别</w:t>
            </w:r>
          </w:p>
        </w:tc>
        <w:tc>
          <w:tcPr>
            <w:tcW w:w="1946" w:type="dxa"/>
            <w:tcBorders>
              <w:top w:val="single" w:color="000000" w:sz="6" w:space="0"/>
              <w:left w:val="single" w:color="000000" w:sz="6" w:space="0"/>
              <w:bottom w:val="single" w:color="000000" w:sz="6" w:space="0"/>
              <w:right w:val="single" w:color="000000" w:sz="6" w:space="0"/>
            </w:tcBorders>
            <w:vAlign w:val="center"/>
          </w:tcPr>
          <w:p w14:paraId="79C877FC">
            <w:pPr>
              <w:snapToGrid w:val="0"/>
              <w:jc w:val="center"/>
              <w:rPr>
                <w:rStyle w:val="28"/>
                <w:rFonts w:hint="eastAsia" w:hAnsi="宋体"/>
                <w:kern w:val="0"/>
                <w:sz w:val="21"/>
                <w:szCs w:val="21"/>
              </w:rPr>
            </w:pPr>
          </w:p>
        </w:tc>
        <w:tc>
          <w:tcPr>
            <w:tcW w:w="1733" w:type="dxa"/>
            <w:gridSpan w:val="2"/>
            <w:tcBorders>
              <w:top w:val="single" w:color="000000" w:sz="6" w:space="0"/>
              <w:left w:val="single" w:color="000000" w:sz="6" w:space="0"/>
              <w:bottom w:val="single" w:color="000000" w:sz="6" w:space="0"/>
              <w:right w:val="single" w:color="000000" w:sz="6" w:space="0"/>
            </w:tcBorders>
            <w:vAlign w:val="center"/>
          </w:tcPr>
          <w:p w14:paraId="1AB005A5">
            <w:pPr>
              <w:snapToGrid w:val="0"/>
              <w:jc w:val="center"/>
              <w:rPr>
                <w:rStyle w:val="28"/>
                <w:rFonts w:hint="eastAsia" w:hAnsi="宋体"/>
                <w:kern w:val="0"/>
                <w:sz w:val="21"/>
                <w:szCs w:val="21"/>
              </w:rPr>
            </w:pPr>
            <w:r>
              <w:rPr>
                <w:rStyle w:val="28"/>
                <w:rFonts w:hint="eastAsia" w:hAnsi="宋体"/>
                <w:kern w:val="0"/>
                <w:sz w:val="21"/>
                <w:szCs w:val="21"/>
              </w:rPr>
              <w:t>年   龄</w:t>
            </w:r>
          </w:p>
        </w:tc>
        <w:tc>
          <w:tcPr>
            <w:tcW w:w="1327" w:type="dxa"/>
            <w:tcBorders>
              <w:top w:val="single" w:color="000000" w:sz="6" w:space="0"/>
              <w:left w:val="single" w:color="000000" w:sz="6" w:space="0"/>
              <w:bottom w:val="single" w:color="000000" w:sz="6" w:space="0"/>
              <w:right w:val="single" w:color="000000" w:sz="6" w:space="0"/>
            </w:tcBorders>
            <w:vAlign w:val="center"/>
          </w:tcPr>
          <w:p w14:paraId="6DD55199">
            <w:pPr>
              <w:snapToGrid w:val="0"/>
              <w:jc w:val="center"/>
              <w:rPr>
                <w:rStyle w:val="28"/>
                <w:rFonts w:hint="eastAsia" w:hAnsi="宋体"/>
                <w:kern w:val="0"/>
                <w:sz w:val="21"/>
                <w:szCs w:val="21"/>
              </w:rPr>
            </w:pPr>
          </w:p>
        </w:tc>
      </w:tr>
      <w:tr w14:paraId="7655490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vAlign w:val="center"/>
          </w:tcPr>
          <w:p w14:paraId="7096720B">
            <w:pPr>
              <w:snapToGrid w:val="0"/>
              <w:jc w:val="center"/>
              <w:rPr>
                <w:rStyle w:val="28"/>
                <w:rFonts w:hint="eastAsia" w:hAnsi="宋体"/>
                <w:kern w:val="0"/>
                <w:sz w:val="21"/>
                <w:szCs w:val="21"/>
              </w:rPr>
            </w:pPr>
            <w:r>
              <w:rPr>
                <w:rStyle w:val="28"/>
                <w:rFonts w:hint="eastAsia" w:hAnsi="宋体"/>
                <w:kern w:val="0"/>
                <w:sz w:val="21"/>
                <w:szCs w:val="21"/>
              </w:rPr>
              <w:t>职   务</w:t>
            </w:r>
          </w:p>
        </w:tc>
        <w:tc>
          <w:tcPr>
            <w:tcW w:w="1232" w:type="dxa"/>
            <w:gridSpan w:val="2"/>
            <w:tcBorders>
              <w:top w:val="single" w:color="000000" w:sz="6" w:space="0"/>
              <w:left w:val="single" w:color="000000" w:sz="6" w:space="0"/>
              <w:bottom w:val="single" w:color="000000" w:sz="6" w:space="0"/>
              <w:right w:val="single" w:color="000000" w:sz="6" w:space="0"/>
            </w:tcBorders>
            <w:vAlign w:val="center"/>
          </w:tcPr>
          <w:p w14:paraId="56A1FF57">
            <w:pPr>
              <w:snapToGrid w:val="0"/>
              <w:jc w:val="center"/>
              <w:rPr>
                <w:rStyle w:val="28"/>
                <w:rFonts w:hint="eastAsia" w:hAnsi="宋体"/>
                <w:kern w:val="0"/>
                <w:sz w:val="21"/>
                <w:szCs w:val="21"/>
              </w:rPr>
            </w:pPr>
          </w:p>
        </w:tc>
        <w:tc>
          <w:tcPr>
            <w:tcW w:w="1294" w:type="dxa"/>
            <w:tcBorders>
              <w:top w:val="single" w:color="000000" w:sz="6" w:space="0"/>
              <w:left w:val="single" w:color="000000" w:sz="6" w:space="0"/>
              <w:bottom w:val="single" w:color="000000" w:sz="6" w:space="0"/>
              <w:right w:val="single" w:color="000000" w:sz="6" w:space="0"/>
            </w:tcBorders>
            <w:vAlign w:val="center"/>
          </w:tcPr>
          <w:p w14:paraId="1FCD8373">
            <w:pPr>
              <w:snapToGrid w:val="0"/>
              <w:jc w:val="center"/>
              <w:rPr>
                <w:rStyle w:val="28"/>
                <w:rFonts w:hint="eastAsia" w:hAnsi="宋体"/>
                <w:kern w:val="0"/>
                <w:sz w:val="21"/>
                <w:szCs w:val="21"/>
              </w:rPr>
            </w:pPr>
            <w:r>
              <w:rPr>
                <w:rStyle w:val="28"/>
                <w:rFonts w:hint="eastAsia" w:hAnsi="宋体"/>
                <w:kern w:val="0"/>
                <w:sz w:val="21"/>
                <w:szCs w:val="21"/>
              </w:rPr>
              <w:t>职  称</w:t>
            </w:r>
          </w:p>
        </w:tc>
        <w:tc>
          <w:tcPr>
            <w:tcW w:w="1946" w:type="dxa"/>
            <w:tcBorders>
              <w:top w:val="single" w:color="000000" w:sz="6" w:space="0"/>
              <w:left w:val="single" w:color="000000" w:sz="6" w:space="0"/>
              <w:bottom w:val="single" w:color="000000" w:sz="6" w:space="0"/>
              <w:right w:val="single" w:color="000000" w:sz="6" w:space="0"/>
            </w:tcBorders>
            <w:vAlign w:val="center"/>
          </w:tcPr>
          <w:p w14:paraId="2A389A43">
            <w:pPr>
              <w:snapToGrid w:val="0"/>
              <w:jc w:val="center"/>
              <w:rPr>
                <w:rStyle w:val="28"/>
                <w:rFonts w:hint="eastAsia" w:hAnsi="宋体"/>
                <w:kern w:val="0"/>
                <w:sz w:val="21"/>
                <w:szCs w:val="21"/>
              </w:rPr>
            </w:pPr>
          </w:p>
        </w:tc>
        <w:tc>
          <w:tcPr>
            <w:tcW w:w="1733" w:type="dxa"/>
            <w:gridSpan w:val="2"/>
            <w:tcBorders>
              <w:top w:val="single" w:color="000000" w:sz="6" w:space="0"/>
              <w:left w:val="single" w:color="000000" w:sz="6" w:space="0"/>
              <w:bottom w:val="single" w:color="000000" w:sz="6" w:space="0"/>
              <w:right w:val="single" w:color="000000" w:sz="6" w:space="0"/>
            </w:tcBorders>
            <w:vAlign w:val="center"/>
          </w:tcPr>
          <w:p w14:paraId="5882BAC1">
            <w:pPr>
              <w:snapToGrid w:val="0"/>
              <w:jc w:val="center"/>
              <w:rPr>
                <w:rStyle w:val="28"/>
                <w:rFonts w:hint="eastAsia" w:hAnsi="宋体"/>
                <w:kern w:val="0"/>
                <w:sz w:val="21"/>
                <w:szCs w:val="21"/>
              </w:rPr>
            </w:pPr>
            <w:r>
              <w:rPr>
                <w:rStyle w:val="28"/>
                <w:rFonts w:hint="eastAsia" w:hAnsi="宋体"/>
                <w:kern w:val="0"/>
                <w:sz w:val="21"/>
                <w:szCs w:val="21"/>
              </w:rPr>
              <w:t>学   历</w:t>
            </w:r>
          </w:p>
        </w:tc>
        <w:tc>
          <w:tcPr>
            <w:tcW w:w="1327" w:type="dxa"/>
            <w:tcBorders>
              <w:top w:val="single" w:color="000000" w:sz="6" w:space="0"/>
              <w:left w:val="single" w:color="000000" w:sz="6" w:space="0"/>
              <w:bottom w:val="single" w:color="000000" w:sz="6" w:space="0"/>
              <w:right w:val="single" w:color="000000" w:sz="6" w:space="0"/>
            </w:tcBorders>
            <w:vAlign w:val="center"/>
          </w:tcPr>
          <w:p w14:paraId="2A4363B8">
            <w:pPr>
              <w:snapToGrid w:val="0"/>
              <w:jc w:val="center"/>
              <w:rPr>
                <w:rStyle w:val="28"/>
                <w:rFonts w:hint="eastAsia" w:hAnsi="宋体"/>
                <w:kern w:val="0"/>
                <w:sz w:val="21"/>
                <w:szCs w:val="21"/>
              </w:rPr>
            </w:pPr>
          </w:p>
        </w:tc>
      </w:tr>
      <w:tr w14:paraId="27F357B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vAlign w:val="center"/>
          </w:tcPr>
          <w:p w14:paraId="40DEB049">
            <w:pPr>
              <w:snapToGrid w:val="0"/>
              <w:jc w:val="center"/>
              <w:rPr>
                <w:rStyle w:val="28"/>
                <w:rFonts w:hint="eastAsia" w:hAnsi="宋体"/>
                <w:kern w:val="0"/>
                <w:sz w:val="21"/>
                <w:szCs w:val="21"/>
              </w:rPr>
            </w:pPr>
            <w:r>
              <w:rPr>
                <w:rStyle w:val="28"/>
                <w:rFonts w:hint="eastAsia" w:hAnsi="宋体"/>
                <w:kern w:val="0"/>
                <w:sz w:val="21"/>
                <w:szCs w:val="21"/>
              </w:rPr>
              <w:t>参加工作时间</w:t>
            </w:r>
          </w:p>
        </w:tc>
        <w:tc>
          <w:tcPr>
            <w:tcW w:w="2526" w:type="dxa"/>
            <w:gridSpan w:val="3"/>
            <w:tcBorders>
              <w:top w:val="single" w:color="000000" w:sz="6" w:space="0"/>
              <w:left w:val="single" w:color="000000" w:sz="6" w:space="0"/>
              <w:bottom w:val="single" w:color="000000" w:sz="6" w:space="0"/>
              <w:right w:val="single" w:color="000000" w:sz="6" w:space="0"/>
            </w:tcBorders>
            <w:vAlign w:val="center"/>
          </w:tcPr>
          <w:p w14:paraId="3A1DC35A">
            <w:pPr>
              <w:snapToGrid w:val="0"/>
              <w:jc w:val="center"/>
              <w:rPr>
                <w:rStyle w:val="28"/>
                <w:rFonts w:hint="eastAsia" w:hAnsi="宋体"/>
                <w:kern w:val="0"/>
                <w:sz w:val="21"/>
                <w:szCs w:val="21"/>
              </w:rPr>
            </w:pPr>
          </w:p>
        </w:tc>
        <w:tc>
          <w:tcPr>
            <w:tcW w:w="3679" w:type="dxa"/>
            <w:gridSpan w:val="3"/>
            <w:tcBorders>
              <w:top w:val="single" w:color="000000" w:sz="6" w:space="0"/>
              <w:left w:val="single" w:color="000000" w:sz="6" w:space="0"/>
              <w:bottom w:val="single" w:color="000000" w:sz="6" w:space="0"/>
              <w:right w:val="single" w:color="000000" w:sz="6" w:space="0"/>
            </w:tcBorders>
            <w:vAlign w:val="center"/>
          </w:tcPr>
          <w:p w14:paraId="22DC1D94">
            <w:pPr>
              <w:snapToGrid w:val="0"/>
              <w:jc w:val="center"/>
              <w:rPr>
                <w:rStyle w:val="28"/>
                <w:rFonts w:hint="eastAsia" w:hAnsi="宋体"/>
                <w:kern w:val="0"/>
                <w:sz w:val="21"/>
                <w:szCs w:val="21"/>
              </w:rPr>
            </w:pPr>
            <w:r>
              <w:rPr>
                <w:rStyle w:val="28"/>
                <w:rFonts w:hint="eastAsia" w:hAnsi="宋体"/>
                <w:kern w:val="0"/>
                <w:sz w:val="21"/>
                <w:szCs w:val="21"/>
              </w:rPr>
              <w:t>从事工程建设项目管理工作年限</w:t>
            </w:r>
          </w:p>
        </w:tc>
        <w:tc>
          <w:tcPr>
            <w:tcW w:w="1327" w:type="dxa"/>
            <w:tcBorders>
              <w:top w:val="single" w:color="000000" w:sz="6" w:space="0"/>
              <w:left w:val="single" w:color="000000" w:sz="6" w:space="0"/>
              <w:bottom w:val="single" w:color="000000" w:sz="6" w:space="0"/>
              <w:right w:val="single" w:color="000000" w:sz="6" w:space="0"/>
            </w:tcBorders>
            <w:vAlign w:val="center"/>
          </w:tcPr>
          <w:p w14:paraId="71676DFC">
            <w:pPr>
              <w:snapToGrid w:val="0"/>
              <w:jc w:val="center"/>
              <w:rPr>
                <w:rStyle w:val="28"/>
                <w:rFonts w:hint="eastAsia" w:hAnsi="宋体"/>
                <w:kern w:val="0"/>
                <w:sz w:val="21"/>
                <w:szCs w:val="21"/>
              </w:rPr>
            </w:pPr>
          </w:p>
        </w:tc>
      </w:tr>
      <w:tr w14:paraId="763468F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9270" w:type="dxa"/>
            <w:gridSpan w:val="9"/>
            <w:tcBorders>
              <w:top w:val="single" w:color="000000" w:sz="6" w:space="0"/>
              <w:left w:val="single" w:color="000000" w:sz="6" w:space="0"/>
              <w:bottom w:val="single" w:color="000000" w:sz="6" w:space="0"/>
              <w:right w:val="single" w:color="000000" w:sz="6" w:space="0"/>
            </w:tcBorders>
            <w:vAlign w:val="center"/>
          </w:tcPr>
          <w:p w14:paraId="3D796C16">
            <w:pPr>
              <w:snapToGrid w:val="0"/>
              <w:jc w:val="center"/>
              <w:rPr>
                <w:rStyle w:val="28"/>
                <w:rFonts w:hint="eastAsia" w:hAnsi="宋体"/>
                <w:kern w:val="0"/>
                <w:sz w:val="21"/>
                <w:szCs w:val="21"/>
              </w:rPr>
            </w:pPr>
            <w:r>
              <w:rPr>
                <w:rStyle w:val="28"/>
                <w:rFonts w:hint="eastAsia" w:hAnsi="宋体"/>
                <w:kern w:val="0"/>
                <w:sz w:val="21"/>
                <w:szCs w:val="21"/>
              </w:rPr>
              <w:t>以项目经理身份参与过的主要业绩（已完工项目）</w:t>
            </w:r>
          </w:p>
        </w:tc>
      </w:tr>
      <w:tr w14:paraId="61245D7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53AB0DC4">
            <w:pPr>
              <w:snapToGrid w:val="0"/>
              <w:jc w:val="center"/>
              <w:rPr>
                <w:rStyle w:val="28"/>
                <w:rFonts w:hint="eastAsia" w:hAnsi="宋体"/>
                <w:kern w:val="0"/>
                <w:sz w:val="21"/>
                <w:szCs w:val="21"/>
              </w:rPr>
            </w:pPr>
            <w:r>
              <w:rPr>
                <w:rStyle w:val="28"/>
                <w:rFonts w:hint="eastAsia" w:hAnsi="宋体"/>
                <w:kern w:val="0"/>
                <w:sz w:val="21"/>
                <w:szCs w:val="21"/>
              </w:rPr>
              <w:t>序号</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643BE9CC">
            <w:pPr>
              <w:snapToGrid w:val="0"/>
              <w:jc w:val="center"/>
              <w:rPr>
                <w:rStyle w:val="28"/>
                <w:rFonts w:hint="eastAsia" w:hAnsi="宋体"/>
                <w:kern w:val="0"/>
                <w:sz w:val="21"/>
                <w:szCs w:val="21"/>
              </w:rPr>
            </w:pPr>
            <w:r>
              <w:rPr>
                <w:rStyle w:val="28"/>
                <w:rFonts w:hint="eastAsia" w:hAnsi="宋体"/>
                <w:kern w:val="0"/>
                <w:sz w:val="21"/>
                <w:szCs w:val="21"/>
              </w:rPr>
              <w:t>工程名称</w:t>
            </w: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69852FE4">
            <w:pPr>
              <w:snapToGrid w:val="0"/>
              <w:jc w:val="center"/>
              <w:rPr>
                <w:rStyle w:val="28"/>
                <w:rFonts w:hint="eastAsia" w:hAnsi="宋体"/>
                <w:kern w:val="0"/>
                <w:sz w:val="21"/>
                <w:szCs w:val="21"/>
              </w:rPr>
            </w:pPr>
            <w:r>
              <w:rPr>
                <w:rStyle w:val="28"/>
                <w:rFonts w:hint="eastAsia" w:hAnsi="宋体"/>
                <w:kern w:val="0"/>
                <w:sz w:val="21"/>
                <w:szCs w:val="21"/>
              </w:rPr>
              <w:t>建设单位</w:t>
            </w: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358B368A">
            <w:pPr>
              <w:snapToGrid w:val="0"/>
              <w:jc w:val="center"/>
              <w:rPr>
                <w:rStyle w:val="28"/>
                <w:rFonts w:hint="eastAsia" w:hAnsi="宋体"/>
                <w:kern w:val="0"/>
                <w:sz w:val="21"/>
                <w:szCs w:val="21"/>
              </w:rPr>
            </w:pPr>
            <w:r>
              <w:rPr>
                <w:rStyle w:val="28"/>
                <w:rFonts w:hint="eastAsia" w:hAnsi="宋体"/>
                <w:kern w:val="0"/>
                <w:sz w:val="21"/>
                <w:szCs w:val="21"/>
              </w:rPr>
              <w:t>建设内容和规模</w:t>
            </w:r>
          </w:p>
        </w:tc>
        <w:tc>
          <w:tcPr>
            <w:tcW w:w="1706" w:type="dxa"/>
            <w:tcBorders>
              <w:top w:val="single" w:color="000000" w:sz="6" w:space="0"/>
              <w:left w:val="single" w:color="000000" w:sz="6" w:space="0"/>
              <w:bottom w:val="single" w:color="000000" w:sz="6" w:space="0"/>
              <w:right w:val="single" w:color="000000" w:sz="6" w:space="0"/>
            </w:tcBorders>
            <w:vAlign w:val="center"/>
          </w:tcPr>
          <w:p w14:paraId="38B81783">
            <w:pPr>
              <w:snapToGrid w:val="0"/>
              <w:jc w:val="center"/>
              <w:rPr>
                <w:rStyle w:val="28"/>
                <w:rFonts w:hint="eastAsia" w:hAnsi="宋体"/>
                <w:kern w:val="0"/>
                <w:sz w:val="21"/>
                <w:szCs w:val="21"/>
              </w:rPr>
            </w:pPr>
            <w:r>
              <w:rPr>
                <w:rStyle w:val="28"/>
                <w:rFonts w:hint="eastAsia" w:hAnsi="宋体"/>
                <w:kern w:val="0"/>
                <w:sz w:val="21"/>
                <w:szCs w:val="21"/>
              </w:rPr>
              <w:t>开、竣工日期</w:t>
            </w:r>
          </w:p>
        </w:tc>
        <w:tc>
          <w:tcPr>
            <w:tcW w:w="1327" w:type="dxa"/>
            <w:tcBorders>
              <w:top w:val="single" w:color="000000" w:sz="6" w:space="0"/>
              <w:left w:val="single" w:color="000000" w:sz="6" w:space="0"/>
              <w:bottom w:val="single" w:color="000000" w:sz="6" w:space="0"/>
              <w:right w:val="single" w:color="000000" w:sz="6" w:space="0"/>
            </w:tcBorders>
            <w:vAlign w:val="center"/>
          </w:tcPr>
          <w:p w14:paraId="096ACC18">
            <w:pPr>
              <w:snapToGrid w:val="0"/>
              <w:jc w:val="center"/>
              <w:rPr>
                <w:rStyle w:val="28"/>
                <w:rFonts w:hint="eastAsia" w:hAnsi="宋体"/>
                <w:kern w:val="0"/>
                <w:sz w:val="21"/>
                <w:szCs w:val="21"/>
              </w:rPr>
            </w:pPr>
            <w:r>
              <w:rPr>
                <w:rStyle w:val="28"/>
                <w:rFonts w:hint="eastAsia" w:hAnsi="宋体"/>
                <w:kern w:val="0"/>
                <w:sz w:val="21"/>
                <w:szCs w:val="21"/>
              </w:rPr>
              <w:t>质量等级</w:t>
            </w:r>
          </w:p>
        </w:tc>
      </w:tr>
      <w:tr w14:paraId="3B528F8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4B230A54">
            <w:pPr>
              <w:snapToGrid w:val="0"/>
              <w:jc w:val="center"/>
              <w:rPr>
                <w:rStyle w:val="28"/>
                <w:rFonts w:hint="eastAsia" w:hAnsi="宋体"/>
                <w:kern w:val="0"/>
                <w:sz w:val="21"/>
                <w:szCs w:val="21"/>
              </w:rPr>
            </w:pPr>
            <w:r>
              <w:rPr>
                <w:rStyle w:val="28"/>
                <w:rFonts w:hint="eastAsia" w:hAnsi="宋体"/>
                <w:kern w:val="0"/>
                <w:sz w:val="21"/>
                <w:szCs w:val="21"/>
              </w:rPr>
              <w:t>1</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1A501FC5">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0EDF8796">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30612FC1">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1B71C3AD">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766C7F0A">
            <w:pPr>
              <w:snapToGrid w:val="0"/>
              <w:jc w:val="center"/>
              <w:rPr>
                <w:rStyle w:val="28"/>
                <w:rFonts w:hint="eastAsia" w:hAnsi="宋体"/>
                <w:kern w:val="0"/>
                <w:sz w:val="21"/>
                <w:szCs w:val="21"/>
              </w:rPr>
            </w:pPr>
          </w:p>
        </w:tc>
      </w:tr>
      <w:tr w14:paraId="41921CE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69581EDA">
            <w:pPr>
              <w:snapToGrid w:val="0"/>
              <w:jc w:val="center"/>
              <w:rPr>
                <w:rStyle w:val="28"/>
                <w:rFonts w:hint="eastAsia" w:hAnsi="宋体"/>
                <w:kern w:val="0"/>
                <w:sz w:val="21"/>
                <w:szCs w:val="21"/>
              </w:rPr>
            </w:pPr>
            <w:r>
              <w:rPr>
                <w:rStyle w:val="28"/>
                <w:rFonts w:hint="eastAsia" w:hAnsi="宋体"/>
                <w:kern w:val="0"/>
                <w:sz w:val="21"/>
                <w:szCs w:val="21"/>
              </w:rPr>
              <w:t>2</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74A48CF9">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67C12F5B">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79429C7B">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0B7A2681">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6823D43D">
            <w:pPr>
              <w:snapToGrid w:val="0"/>
              <w:jc w:val="center"/>
              <w:rPr>
                <w:rStyle w:val="28"/>
                <w:rFonts w:hint="eastAsia" w:hAnsi="宋体"/>
                <w:kern w:val="0"/>
                <w:sz w:val="21"/>
                <w:szCs w:val="21"/>
              </w:rPr>
            </w:pPr>
          </w:p>
        </w:tc>
      </w:tr>
      <w:tr w14:paraId="69138A7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1D6B7D3F">
            <w:pPr>
              <w:snapToGrid w:val="0"/>
              <w:jc w:val="center"/>
              <w:rPr>
                <w:rStyle w:val="28"/>
                <w:rFonts w:hint="eastAsia" w:hAnsi="宋体"/>
                <w:kern w:val="0"/>
                <w:sz w:val="21"/>
                <w:szCs w:val="21"/>
              </w:rPr>
            </w:pPr>
            <w:r>
              <w:rPr>
                <w:rStyle w:val="28"/>
                <w:rFonts w:hint="eastAsia" w:hAnsi="宋体"/>
                <w:kern w:val="0"/>
                <w:sz w:val="21"/>
                <w:szCs w:val="21"/>
              </w:rPr>
              <w:t>3</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3FB09D9F">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759BBE64">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72E3F62A">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2E67A291">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58D47183">
            <w:pPr>
              <w:snapToGrid w:val="0"/>
              <w:jc w:val="center"/>
              <w:rPr>
                <w:rStyle w:val="28"/>
                <w:rFonts w:hint="eastAsia" w:hAnsi="宋体"/>
                <w:kern w:val="0"/>
                <w:sz w:val="21"/>
                <w:szCs w:val="21"/>
              </w:rPr>
            </w:pPr>
          </w:p>
        </w:tc>
      </w:tr>
      <w:tr w14:paraId="3F4B8D5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2DB35224">
            <w:pPr>
              <w:snapToGrid w:val="0"/>
              <w:jc w:val="center"/>
              <w:rPr>
                <w:rStyle w:val="28"/>
                <w:rFonts w:hint="eastAsia" w:hAnsi="宋体"/>
                <w:kern w:val="0"/>
                <w:sz w:val="21"/>
                <w:szCs w:val="21"/>
              </w:rPr>
            </w:pPr>
            <w:r>
              <w:rPr>
                <w:rStyle w:val="28"/>
                <w:rFonts w:hint="eastAsia" w:hAnsi="宋体"/>
                <w:kern w:val="0"/>
                <w:sz w:val="21"/>
                <w:szCs w:val="21"/>
              </w:rPr>
              <w:t>……</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53630C4A">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19DB4B3A">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0CE1A978">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482F1950">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51EAFF28">
            <w:pPr>
              <w:snapToGrid w:val="0"/>
              <w:jc w:val="center"/>
              <w:rPr>
                <w:rStyle w:val="28"/>
                <w:rFonts w:hint="eastAsia" w:hAnsi="宋体"/>
                <w:kern w:val="0"/>
                <w:sz w:val="21"/>
                <w:szCs w:val="21"/>
              </w:rPr>
            </w:pPr>
          </w:p>
        </w:tc>
      </w:tr>
    </w:tbl>
    <w:p w14:paraId="507A9E25">
      <w:pPr>
        <w:snapToGrid w:val="0"/>
        <w:jc w:val="center"/>
        <w:rPr>
          <w:rStyle w:val="28"/>
          <w:rFonts w:hint="eastAsia" w:hAnsi="宋体"/>
          <w:b/>
          <w:bCs/>
          <w:kern w:val="0"/>
        </w:rPr>
      </w:pPr>
      <w:r>
        <w:rPr>
          <w:rStyle w:val="28"/>
          <w:rFonts w:hint="eastAsia" w:hAnsi="宋体"/>
          <w:b/>
          <w:bCs/>
          <w:kern w:val="0"/>
          <w:sz w:val="30"/>
          <w:szCs w:val="30"/>
        </w:rPr>
        <w:t>项目经理简历表</w:t>
      </w:r>
    </w:p>
    <w:p w14:paraId="0B11D33A">
      <w:pPr>
        <w:snapToGrid w:val="0"/>
        <w:ind w:firstLine="570"/>
        <w:rPr>
          <w:rStyle w:val="28"/>
          <w:rFonts w:hint="eastAsia" w:hAnsi="宋体"/>
          <w:kern w:val="0"/>
        </w:rPr>
      </w:pPr>
    </w:p>
    <w:p w14:paraId="45E10D1F">
      <w:pPr>
        <w:pStyle w:val="56"/>
        <w:snapToGrid w:val="0"/>
        <w:jc w:val="right"/>
        <w:rPr>
          <w:rStyle w:val="28"/>
          <w:rFonts w:hint="eastAsia" w:hAnsi="宋体"/>
          <w:kern w:val="0"/>
        </w:rPr>
      </w:pPr>
    </w:p>
    <w:p w14:paraId="65C128D0">
      <w:pPr>
        <w:pStyle w:val="56"/>
        <w:snapToGrid w:val="0"/>
        <w:jc w:val="right"/>
        <w:rPr>
          <w:rStyle w:val="28"/>
          <w:rFonts w:hint="eastAsia" w:hAnsi="宋体"/>
          <w:kern w:val="0"/>
        </w:rPr>
      </w:pPr>
      <w:r>
        <w:rPr>
          <w:rStyle w:val="28"/>
          <w:rFonts w:hint="eastAsia" w:hAnsi="宋体"/>
          <w:kern w:val="0"/>
        </w:rPr>
        <w:t>项目经理：</w:t>
      </w:r>
      <w:r>
        <w:rPr>
          <w:rStyle w:val="28"/>
          <w:rFonts w:hint="eastAsia" w:hAnsi="宋体"/>
          <w:kern w:val="0"/>
          <w:u w:val="single"/>
        </w:rPr>
        <w:t xml:space="preserve">                   </w:t>
      </w:r>
      <w:r>
        <w:rPr>
          <w:rStyle w:val="28"/>
          <w:rFonts w:hint="eastAsia" w:hAnsi="宋体"/>
          <w:kern w:val="0"/>
        </w:rPr>
        <w:t>（签字）</w:t>
      </w:r>
    </w:p>
    <w:p w14:paraId="3E47A980">
      <w:pPr>
        <w:pStyle w:val="56"/>
        <w:snapToGrid w:val="0"/>
        <w:jc w:val="right"/>
        <w:rPr>
          <w:rStyle w:val="28"/>
          <w:rFonts w:hint="eastAsia" w:hAnsi="宋体"/>
          <w:kern w:val="0"/>
        </w:rPr>
      </w:pPr>
    </w:p>
    <w:p w14:paraId="5E3E6997">
      <w:pPr>
        <w:pStyle w:val="56"/>
        <w:snapToGrid w:val="0"/>
        <w:jc w:val="center"/>
        <w:rPr>
          <w:rStyle w:val="28"/>
          <w:rFonts w:hint="eastAsia" w:hAnsi="宋体"/>
          <w:kern w:val="0"/>
        </w:rPr>
      </w:pPr>
      <w:r>
        <w:rPr>
          <w:rStyle w:val="28"/>
          <w:rFonts w:hint="eastAsia" w:hAnsi="宋体"/>
          <w:kern w:val="0"/>
        </w:rPr>
        <w:t xml:space="preserve">                                     </w:t>
      </w:r>
      <w:r>
        <w:rPr>
          <w:rStyle w:val="28"/>
          <w:rFonts w:hint="eastAsia" w:hAnsi="宋体"/>
          <w:kern w:val="0"/>
          <w:u w:val="single"/>
        </w:rPr>
        <w:t xml:space="preserve">       </w:t>
      </w:r>
      <w:r>
        <w:rPr>
          <w:rStyle w:val="28"/>
          <w:rFonts w:hint="eastAsia" w:hAnsi="宋体"/>
          <w:kern w:val="0"/>
        </w:rPr>
        <w:t>年</w:t>
      </w:r>
      <w:r>
        <w:rPr>
          <w:rStyle w:val="28"/>
          <w:rFonts w:hint="eastAsia" w:hAnsi="宋体"/>
          <w:kern w:val="0"/>
          <w:u w:val="single"/>
        </w:rPr>
        <w:t xml:space="preserve">     </w:t>
      </w:r>
      <w:r>
        <w:rPr>
          <w:rStyle w:val="28"/>
          <w:rFonts w:hint="eastAsia" w:hAnsi="宋体"/>
          <w:kern w:val="0"/>
        </w:rPr>
        <w:t>月</w:t>
      </w:r>
      <w:r>
        <w:rPr>
          <w:rStyle w:val="28"/>
          <w:rFonts w:hint="eastAsia" w:hAnsi="宋体"/>
          <w:kern w:val="0"/>
          <w:u w:val="single"/>
        </w:rPr>
        <w:t xml:space="preserve">     </w:t>
      </w:r>
      <w:r>
        <w:rPr>
          <w:rStyle w:val="28"/>
          <w:rFonts w:hint="eastAsia" w:hAnsi="宋体"/>
          <w:kern w:val="0"/>
        </w:rPr>
        <w:t>日</w:t>
      </w:r>
    </w:p>
    <w:p w14:paraId="1B65BABF">
      <w:pPr>
        <w:snapToGrid w:val="0"/>
        <w:rPr>
          <w:rStyle w:val="28"/>
          <w:rFonts w:hint="eastAsia" w:hAnsi="宋体"/>
          <w:kern w:val="0"/>
          <w:sz w:val="21"/>
          <w:szCs w:val="21"/>
        </w:rPr>
      </w:pPr>
    </w:p>
    <w:p w14:paraId="28B9F2A7">
      <w:pPr>
        <w:snapToGrid w:val="0"/>
        <w:rPr>
          <w:rStyle w:val="28"/>
          <w:rFonts w:hint="eastAsia" w:hAnsi="宋体"/>
          <w:kern w:val="0"/>
          <w:sz w:val="21"/>
          <w:szCs w:val="21"/>
        </w:rPr>
      </w:pPr>
      <w:r>
        <w:rPr>
          <w:rStyle w:val="28"/>
          <w:rFonts w:hint="eastAsia" w:hAnsi="宋体"/>
          <w:kern w:val="0"/>
          <w:sz w:val="21"/>
          <w:szCs w:val="21"/>
        </w:rPr>
        <w:t xml:space="preserve"> 说明：《项目经理简历表》后应附拟派项目经理以下资料：</w:t>
      </w:r>
    </w:p>
    <w:p w14:paraId="009EAC2A">
      <w:pPr>
        <w:snapToGrid w:val="0"/>
        <w:rPr>
          <w:rStyle w:val="28"/>
          <w:rFonts w:hint="eastAsia" w:hAnsi="宋体"/>
          <w:kern w:val="0"/>
          <w:sz w:val="21"/>
          <w:szCs w:val="21"/>
        </w:rPr>
      </w:pPr>
      <w:r>
        <w:rPr>
          <w:rStyle w:val="28"/>
          <w:rFonts w:hint="eastAsia" w:hAnsi="宋体"/>
          <w:kern w:val="0"/>
          <w:sz w:val="21"/>
          <w:szCs w:val="21"/>
        </w:rPr>
        <w:t xml:space="preserve">    1.身份证</w:t>
      </w:r>
      <w:r>
        <w:rPr>
          <w:rFonts w:hint="eastAsia" w:hAnsi="宋体"/>
          <w:snapToGrid w:val="0"/>
          <w:kern w:val="0"/>
          <w:sz w:val="21"/>
          <w:szCs w:val="28"/>
        </w:rPr>
        <w:t>彩色扫描件</w:t>
      </w:r>
      <w:r>
        <w:rPr>
          <w:rStyle w:val="28"/>
          <w:rFonts w:hint="eastAsia" w:hAnsi="宋体"/>
          <w:kern w:val="0"/>
          <w:sz w:val="21"/>
          <w:szCs w:val="21"/>
        </w:rPr>
        <w:t>；</w:t>
      </w:r>
    </w:p>
    <w:p w14:paraId="623F8346">
      <w:pPr>
        <w:wordWrap w:val="0"/>
        <w:adjustRightInd w:val="0"/>
        <w:snapToGrid w:val="0"/>
        <w:rPr>
          <w:rFonts w:hint="eastAsia" w:hAnsi="宋体"/>
          <w:snapToGrid w:val="0"/>
          <w:kern w:val="0"/>
          <w:sz w:val="21"/>
          <w:szCs w:val="28"/>
        </w:rPr>
      </w:pPr>
      <w:r>
        <w:rPr>
          <w:rStyle w:val="28"/>
          <w:rFonts w:hint="eastAsia" w:hAnsi="宋体"/>
          <w:kern w:val="0"/>
          <w:sz w:val="21"/>
          <w:szCs w:val="21"/>
        </w:rPr>
        <w:t xml:space="preserve">    2.</w:t>
      </w:r>
      <w:r>
        <w:rPr>
          <w:rFonts w:hint="eastAsia" w:hAnsi="宋体"/>
          <w:snapToGrid w:val="0"/>
          <w:kern w:val="0"/>
          <w:sz w:val="21"/>
          <w:szCs w:val="21"/>
        </w:rPr>
        <w:t>建造师电子注册证书（在使用有效期内的有效电子证书）彩色扫描件</w:t>
      </w:r>
      <w:r>
        <w:rPr>
          <w:rFonts w:hint="eastAsia" w:hAnsi="宋体"/>
          <w:snapToGrid w:val="0"/>
          <w:kern w:val="0"/>
          <w:sz w:val="21"/>
          <w:szCs w:val="28"/>
        </w:rPr>
        <w:t>；</w:t>
      </w:r>
    </w:p>
    <w:p w14:paraId="399C013A">
      <w:pPr>
        <w:wordWrap w:val="0"/>
        <w:adjustRightInd w:val="0"/>
        <w:snapToGrid w:val="0"/>
        <w:rPr>
          <w:rStyle w:val="28"/>
          <w:rFonts w:hint="eastAsia" w:hAnsi="宋体"/>
          <w:kern w:val="0"/>
          <w:sz w:val="21"/>
          <w:szCs w:val="21"/>
        </w:rPr>
      </w:pPr>
      <w:r>
        <w:rPr>
          <w:rFonts w:hint="eastAsia" w:hAnsi="宋体"/>
          <w:snapToGrid w:val="0"/>
          <w:kern w:val="0"/>
          <w:sz w:val="21"/>
          <w:szCs w:val="28"/>
        </w:rPr>
        <w:t xml:space="preserve">    3.B类安全生产考核合格证书</w:t>
      </w:r>
      <w:r>
        <w:rPr>
          <w:rFonts w:hint="eastAsia" w:hAnsi="宋体"/>
          <w:snapToGrid w:val="0"/>
          <w:kern w:val="0"/>
          <w:sz w:val="21"/>
          <w:szCs w:val="21"/>
        </w:rPr>
        <w:t>彩色扫描件</w:t>
      </w:r>
      <w:r>
        <w:rPr>
          <w:rFonts w:hint="eastAsia" w:hAnsi="宋体"/>
          <w:snapToGrid w:val="0"/>
          <w:kern w:val="0"/>
          <w:sz w:val="21"/>
          <w:szCs w:val="28"/>
        </w:rPr>
        <w:t>或广东省建筑施工企业管理人员安全生产考核系统考核合格信息彩色扫描件；</w:t>
      </w:r>
    </w:p>
    <w:p w14:paraId="30E7E97C">
      <w:pPr>
        <w:snapToGrid w:val="0"/>
        <w:ind w:firstLine="420" w:firstLineChars="200"/>
        <w:rPr>
          <w:rStyle w:val="28"/>
          <w:rFonts w:hint="eastAsia" w:hAnsi="宋体"/>
          <w:kern w:val="0"/>
          <w:sz w:val="21"/>
          <w:szCs w:val="21"/>
        </w:rPr>
      </w:pPr>
      <w:bookmarkStart w:id="658" w:name="_Toc23777"/>
      <w:r>
        <w:rPr>
          <w:rStyle w:val="28"/>
          <w:rFonts w:hint="eastAsia" w:hAnsi="宋体"/>
          <w:kern w:val="0"/>
          <w:sz w:val="21"/>
          <w:szCs w:val="21"/>
        </w:rPr>
        <w:t>4.在本单位缴纳社保的证明（连续三个月，其中必须有2026年8月）彩色扫描件</w:t>
      </w:r>
      <w:r>
        <w:rPr>
          <w:rFonts w:hint="eastAsia" w:hAnsi="宋体"/>
          <w:snapToGrid w:val="0"/>
          <w:kern w:val="0"/>
          <w:sz w:val="21"/>
          <w:szCs w:val="21"/>
        </w:rPr>
        <w:t>，非独立法人分支机构出具社保，予以认可；</w:t>
      </w:r>
      <w:r>
        <w:rPr>
          <w:rStyle w:val="28"/>
          <w:rFonts w:hint="eastAsia" w:hAnsi="宋体"/>
          <w:kern w:val="0"/>
          <w:sz w:val="21"/>
          <w:szCs w:val="21"/>
        </w:rPr>
        <w:t>拟派项目经理为退休返聘人员无法提供社保证明的，提供退休证和劳动合同彩色扫描件。</w:t>
      </w:r>
    </w:p>
    <w:p w14:paraId="4BF5049A">
      <w:pPr>
        <w:snapToGrid w:val="0"/>
        <w:ind w:firstLine="420" w:firstLineChars="200"/>
        <w:rPr>
          <w:rFonts w:hint="eastAsia" w:hAnsi="宋体"/>
        </w:rPr>
      </w:pPr>
      <w:r>
        <w:rPr>
          <w:rStyle w:val="28"/>
          <w:rFonts w:hint="eastAsia" w:hAnsi="宋体"/>
          <w:kern w:val="0"/>
          <w:sz w:val="21"/>
          <w:szCs w:val="21"/>
        </w:rPr>
        <w:t>5.“进粤企业和人员诚信信息登记平台”个人信息情况截图。（适用于省外建筑企业）。</w:t>
      </w:r>
      <w:bookmarkEnd w:id="658"/>
      <w:bookmarkStart w:id="659" w:name="_Toc1272"/>
    </w:p>
    <w:p w14:paraId="11BE5786">
      <w:pPr>
        <w:snapToGrid w:val="0"/>
        <w:rPr>
          <w:rStyle w:val="28"/>
          <w:rFonts w:hint="eastAsia" w:hAnsi="宋体"/>
          <w:b/>
          <w:bCs/>
          <w:kern w:val="0"/>
          <w:szCs w:val="36"/>
        </w:rPr>
      </w:pPr>
    </w:p>
    <w:p w14:paraId="4E305F69">
      <w:pPr>
        <w:pStyle w:val="55"/>
        <w:snapToGrid w:val="0"/>
        <w:ind w:firstLine="0"/>
        <w:outlineLvl w:val="1"/>
        <w:rPr>
          <w:rStyle w:val="28"/>
          <w:rFonts w:hint="eastAsia" w:hAnsi="宋体"/>
          <w:b/>
          <w:bCs/>
          <w:sz w:val="21"/>
          <w:szCs w:val="21"/>
        </w:rPr>
      </w:pPr>
      <w:bookmarkStart w:id="660" w:name="_Toc1658"/>
      <w:bookmarkStart w:id="661" w:name="_Toc11322"/>
      <w:bookmarkStart w:id="662" w:name="_Toc28740"/>
      <w:bookmarkStart w:id="663" w:name="_Toc30757"/>
      <w:r>
        <w:rPr>
          <w:rStyle w:val="28"/>
          <w:rFonts w:hint="eastAsia" w:hAnsi="宋体"/>
          <w:b/>
          <w:bCs/>
          <w:sz w:val="21"/>
          <w:szCs w:val="21"/>
        </w:rPr>
        <w:t>格式九 项目经理任职声明</w:t>
      </w:r>
      <w:bookmarkEnd w:id="659"/>
      <w:bookmarkEnd w:id="660"/>
      <w:bookmarkEnd w:id="661"/>
      <w:bookmarkEnd w:id="662"/>
      <w:bookmarkEnd w:id="663"/>
    </w:p>
    <w:p w14:paraId="30C90DAC">
      <w:pPr>
        <w:snapToGrid w:val="0"/>
        <w:jc w:val="left"/>
        <w:rPr>
          <w:rStyle w:val="28"/>
          <w:rFonts w:hint="eastAsia" w:hAnsi="宋体"/>
          <w:b/>
          <w:bCs/>
          <w:kern w:val="0"/>
        </w:rPr>
      </w:pPr>
    </w:p>
    <w:p w14:paraId="2C1E40C0">
      <w:pPr>
        <w:snapToGrid w:val="0"/>
        <w:spacing w:before="260" w:after="260"/>
        <w:jc w:val="center"/>
        <w:rPr>
          <w:rStyle w:val="28"/>
          <w:rFonts w:hint="eastAsia" w:hAnsi="宋体"/>
          <w:kern w:val="0"/>
        </w:rPr>
      </w:pPr>
      <w:r>
        <w:rPr>
          <w:rStyle w:val="28"/>
          <w:rFonts w:hint="eastAsia" w:hAnsi="宋体"/>
          <w:b/>
          <w:bCs/>
          <w:kern w:val="0"/>
          <w:sz w:val="30"/>
          <w:szCs w:val="30"/>
        </w:rPr>
        <w:t>项目经理任职声明</w:t>
      </w:r>
    </w:p>
    <w:p w14:paraId="1FA6C13F">
      <w:pPr>
        <w:snapToGrid w:val="0"/>
        <w:jc w:val="center"/>
        <w:rPr>
          <w:rStyle w:val="28"/>
          <w:rFonts w:hint="eastAsia" w:hAnsi="宋体"/>
          <w:kern w:val="0"/>
        </w:rPr>
      </w:pPr>
    </w:p>
    <w:p w14:paraId="5B5049E7">
      <w:pPr>
        <w:snapToGrid w:val="0"/>
        <w:rPr>
          <w:rStyle w:val="28"/>
          <w:rFonts w:hint="eastAsia" w:hAnsi="宋体"/>
          <w:kern w:val="0"/>
        </w:rPr>
      </w:pPr>
      <w:r>
        <w:rPr>
          <w:rStyle w:val="28"/>
          <w:rFonts w:hint="eastAsia" w:hAnsi="宋体"/>
          <w:kern w:val="0"/>
        </w:rPr>
        <w:t>致：</w:t>
      </w:r>
      <w:r>
        <w:rPr>
          <w:rStyle w:val="28"/>
          <w:rFonts w:hint="eastAsia" w:hAnsi="宋体"/>
          <w:kern w:val="0"/>
          <w:u w:val="single"/>
        </w:rPr>
        <w:t xml:space="preserve">                   </w:t>
      </w:r>
      <w:r>
        <w:rPr>
          <w:rStyle w:val="28"/>
          <w:rFonts w:hint="eastAsia" w:hAnsi="宋体"/>
          <w:kern w:val="0"/>
        </w:rPr>
        <w:t>（招标人名称）：</w:t>
      </w:r>
    </w:p>
    <w:p w14:paraId="32300FB7">
      <w:pPr>
        <w:snapToGrid w:val="0"/>
        <w:rPr>
          <w:rStyle w:val="28"/>
          <w:rFonts w:hint="eastAsia" w:hAnsi="宋体"/>
          <w:kern w:val="0"/>
        </w:rPr>
      </w:pPr>
      <w:r>
        <w:rPr>
          <w:rStyle w:val="28"/>
          <w:rFonts w:hint="eastAsia" w:hAnsi="宋体"/>
          <w:kern w:val="0"/>
        </w:rPr>
        <w:t>　　我方在此声明，我方拟派往</w:t>
      </w:r>
      <w:r>
        <w:rPr>
          <w:rStyle w:val="28"/>
          <w:rFonts w:hint="eastAsia" w:hAnsi="宋体"/>
          <w:kern w:val="0"/>
          <w:u w:val="single"/>
        </w:rPr>
        <w:t xml:space="preserve">        </w:t>
      </w:r>
      <w:r>
        <w:rPr>
          <w:rStyle w:val="28"/>
          <w:rFonts w:hint="eastAsia" w:hAnsi="宋体"/>
          <w:kern w:val="0"/>
        </w:rPr>
        <w:t>（工程名称）的项目经理</w:t>
      </w:r>
      <w:r>
        <w:rPr>
          <w:rStyle w:val="28"/>
          <w:rFonts w:hint="eastAsia" w:hAnsi="宋体"/>
          <w:kern w:val="0"/>
          <w:u w:val="single"/>
        </w:rPr>
        <w:t xml:space="preserve">           </w:t>
      </w:r>
      <w:r>
        <w:rPr>
          <w:rStyle w:val="28"/>
          <w:rFonts w:hint="eastAsia" w:hAnsi="宋体"/>
          <w:kern w:val="0"/>
        </w:rPr>
        <w:t>（项目经理姓名）现阶段没有担任任何在施</w:t>
      </w:r>
      <w:r>
        <w:rPr>
          <w:rFonts w:hint="eastAsia" w:hAnsi="宋体"/>
        </w:rPr>
        <w:t>（包括已中标未开工、已开工未竣工）</w:t>
      </w:r>
      <w:r>
        <w:rPr>
          <w:rStyle w:val="28"/>
          <w:rFonts w:hint="eastAsia" w:hAnsi="宋体"/>
          <w:kern w:val="0"/>
        </w:rPr>
        <w:t>建设工程项目的项目经理。</w:t>
      </w:r>
    </w:p>
    <w:p w14:paraId="78D7AF6D">
      <w:pPr>
        <w:snapToGrid w:val="0"/>
        <w:ind w:firstLine="480"/>
        <w:rPr>
          <w:rStyle w:val="28"/>
          <w:rFonts w:hint="eastAsia" w:hAnsi="宋体"/>
          <w:kern w:val="0"/>
        </w:rPr>
      </w:pPr>
      <w:r>
        <w:rPr>
          <w:rStyle w:val="28"/>
          <w:rFonts w:hint="eastAsia" w:hAnsi="宋体"/>
          <w:kern w:val="0"/>
        </w:rPr>
        <w:t>我方保证上述信息的真实和准确，并愿意承担因我方就此弄虚作假所引起的一切法律后果。</w:t>
      </w:r>
    </w:p>
    <w:p w14:paraId="0571E189">
      <w:pPr>
        <w:snapToGrid w:val="0"/>
        <w:ind w:firstLine="480"/>
        <w:rPr>
          <w:rStyle w:val="28"/>
          <w:rFonts w:hint="eastAsia" w:hAnsi="宋体"/>
          <w:kern w:val="0"/>
        </w:rPr>
      </w:pPr>
      <w:r>
        <w:rPr>
          <w:rStyle w:val="28"/>
          <w:rFonts w:hint="eastAsia" w:hAnsi="宋体"/>
          <w:kern w:val="0"/>
        </w:rPr>
        <w:t>　　</w:t>
      </w:r>
    </w:p>
    <w:p w14:paraId="7CE5FED6">
      <w:pPr>
        <w:snapToGrid w:val="0"/>
        <w:rPr>
          <w:rStyle w:val="28"/>
          <w:rFonts w:hint="eastAsia" w:hAnsi="宋体"/>
          <w:kern w:val="0"/>
        </w:rPr>
      </w:pPr>
      <w:r>
        <w:rPr>
          <w:rStyle w:val="28"/>
          <w:rFonts w:hint="eastAsia" w:hAnsi="宋体"/>
          <w:kern w:val="0"/>
        </w:rPr>
        <w:t>　　特此承诺　　</w:t>
      </w:r>
    </w:p>
    <w:p w14:paraId="1E6E4F2E">
      <w:pPr>
        <w:snapToGrid w:val="0"/>
        <w:rPr>
          <w:rStyle w:val="28"/>
          <w:rFonts w:hint="eastAsia" w:hAnsi="宋体"/>
          <w:kern w:val="0"/>
        </w:rPr>
      </w:pPr>
      <w:r>
        <w:rPr>
          <w:rStyle w:val="28"/>
          <w:rFonts w:hint="eastAsia" w:hAnsi="宋体"/>
          <w:kern w:val="0"/>
        </w:rPr>
        <w:t>　　</w:t>
      </w:r>
    </w:p>
    <w:p w14:paraId="08E05FDF">
      <w:pPr>
        <w:snapToGrid w:val="0"/>
        <w:rPr>
          <w:rStyle w:val="28"/>
          <w:rFonts w:hint="eastAsia" w:hAnsi="宋体"/>
          <w:kern w:val="0"/>
        </w:rPr>
      </w:pPr>
      <w:r>
        <w:rPr>
          <w:rStyle w:val="28"/>
          <w:rFonts w:hint="eastAsia" w:hAnsi="宋体"/>
          <w:kern w:val="0"/>
        </w:rPr>
        <w:t>　　</w:t>
      </w:r>
    </w:p>
    <w:p w14:paraId="22CA9E6B">
      <w:pPr>
        <w:snapToGrid w:val="0"/>
        <w:jc w:val="right"/>
        <w:rPr>
          <w:rStyle w:val="28"/>
          <w:rFonts w:hint="eastAsia" w:hAnsi="宋体"/>
          <w:kern w:val="0"/>
        </w:rPr>
      </w:pPr>
      <w:r>
        <w:rPr>
          <w:rStyle w:val="28"/>
          <w:rFonts w:hint="eastAsia" w:hAnsi="宋体"/>
          <w:kern w:val="0"/>
        </w:rPr>
        <w:t>投标人：</w:t>
      </w:r>
      <w:r>
        <w:rPr>
          <w:rStyle w:val="28"/>
          <w:rFonts w:hint="eastAsia" w:hAnsi="宋体"/>
          <w:kern w:val="0"/>
          <w:u w:val="single"/>
        </w:rPr>
        <w:t xml:space="preserve">                                </w:t>
      </w:r>
      <w:r>
        <w:rPr>
          <w:rStyle w:val="28"/>
          <w:rFonts w:hint="eastAsia" w:hAnsi="宋体"/>
          <w:kern w:val="0"/>
        </w:rPr>
        <w:t>（盖单位章）</w:t>
      </w:r>
    </w:p>
    <w:p w14:paraId="522C2F62">
      <w:pPr>
        <w:snapToGrid w:val="0"/>
        <w:jc w:val="right"/>
        <w:rPr>
          <w:rStyle w:val="28"/>
          <w:rFonts w:hint="eastAsia" w:hAnsi="宋体"/>
          <w:kern w:val="0"/>
        </w:rPr>
      </w:pPr>
    </w:p>
    <w:p w14:paraId="0422AB81">
      <w:pPr>
        <w:snapToGrid w:val="0"/>
        <w:jc w:val="right"/>
        <w:rPr>
          <w:rStyle w:val="28"/>
          <w:rFonts w:hint="eastAsia" w:hAnsi="宋体"/>
          <w:kern w:val="0"/>
        </w:rPr>
      </w:pPr>
    </w:p>
    <w:p w14:paraId="411A32BA">
      <w:pPr>
        <w:snapToGrid w:val="0"/>
        <w:jc w:val="right"/>
        <w:rPr>
          <w:rStyle w:val="28"/>
          <w:rFonts w:hint="eastAsia" w:hAnsi="宋体"/>
          <w:kern w:val="0"/>
        </w:rPr>
      </w:pPr>
      <w:r>
        <w:rPr>
          <w:rStyle w:val="28"/>
          <w:rFonts w:hint="eastAsia" w:hAnsi="宋体"/>
          <w:kern w:val="0"/>
        </w:rPr>
        <w:t>法定代表人或其委托代理人：</w:t>
      </w:r>
      <w:r>
        <w:rPr>
          <w:rStyle w:val="28"/>
          <w:rFonts w:hint="eastAsia" w:hAnsi="宋体"/>
          <w:kern w:val="0"/>
          <w:u w:val="single"/>
        </w:rPr>
        <w:t xml:space="preserve">             </w:t>
      </w:r>
      <w:r>
        <w:rPr>
          <w:rStyle w:val="28"/>
          <w:rFonts w:hint="eastAsia" w:hAnsi="宋体"/>
          <w:kern w:val="0"/>
        </w:rPr>
        <w:t>（签字或盖章）</w:t>
      </w:r>
    </w:p>
    <w:p w14:paraId="2518F29F">
      <w:pPr>
        <w:snapToGrid w:val="0"/>
        <w:jc w:val="right"/>
        <w:rPr>
          <w:rStyle w:val="28"/>
          <w:rFonts w:hint="eastAsia" w:hAnsi="宋体"/>
          <w:kern w:val="0"/>
        </w:rPr>
      </w:pPr>
    </w:p>
    <w:p w14:paraId="49208A90">
      <w:pPr>
        <w:snapToGrid w:val="0"/>
        <w:jc w:val="center"/>
        <w:rPr>
          <w:rStyle w:val="28"/>
          <w:rFonts w:hint="eastAsia" w:hAnsi="宋体"/>
          <w:kern w:val="0"/>
        </w:rPr>
      </w:pPr>
      <w:r>
        <w:rPr>
          <w:rStyle w:val="28"/>
          <w:rFonts w:hint="eastAsia" w:hAnsi="宋体"/>
          <w:kern w:val="0"/>
        </w:rPr>
        <w:t xml:space="preserve">                            </w:t>
      </w:r>
      <w:r>
        <w:rPr>
          <w:rStyle w:val="28"/>
          <w:rFonts w:hint="eastAsia" w:hAnsi="宋体"/>
          <w:kern w:val="0"/>
          <w:u w:val="single"/>
        </w:rPr>
        <w:t xml:space="preserve">         </w:t>
      </w:r>
      <w:r>
        <w:rPr>
          <w:rStyle w:val="28"/>
          <w:rFonts w:hint="eastAsia" w:hAnsi="宋体"/>
          <w:kern w:val="0"/>
        </w:rPr>
        <w:t>年</w:t>
      </w:r>
      <w:r>
        <w:rPr>
          <w:rStyle w:val="28"/>
          <w:rFonts w:hint="eastAsia" w:hAnsi="宋体"/>
          <w:kern w:val="0"/>
          <w:u w:val="single"/>
        </w:rPr>
        <w:t xml:space="preserve">        </w:t>
      </w:r>
      <w:r>
        <w:rPr>
          <w:rStyle w:val="28"/>
          <w:rFonts w:hint="eastAsia" w:hAnsi="宋体"/>
          <w:kern w:val="0"/>
        </w:rPr>
        <w:t>月</w:t>
      </w:r>
      <w:r>
        <w:rPr>
          <w:rStyle w:val="28"/>
          <w:rFonts w:hint="eastAsia" w:hAnsi="宋体"/>
          <w:kern w:val="0"/>
          <w:u w:val="single"/>
        </w:rPr>
        <w:t xml:space="preserve">        </w:t>
      </w:r>
      <w:r>
        <w:rPr>
          <w:rStyle w:val="28"/>
          <w:rFonts w:hint="eastAsia" w:hAnsi="宋体"/>
          <w:kern w:val="0"/>
        </w:rPr>
        <w:t>日</w:t>
      </w:r>
    </w:p>
    <w:p w14:paraId="00709720">
      <w:pPr>
        <w:snapToGrid w:val="0"/>
        <w:rPr>
          <w:rStyle w:val="28"/>
          <w:rFonts w:hint="eastAsia" w:hAnsi="宋体"/>
          <w:kern w:val="0"/>
        </w:rPr>
        <w:sectPr>
          <w:endnotePr>
            <w:numFmt w:val="decimal"/>
          </w:endnotePr>
          <w:pgSz w:w="11906" w:h="16838"/>
          <w:pgMar w:top="1701" w:right="1531" w:bottom="1417" w:left="1531" w:header="850" w:footer="992" w:gutter="0"/>
          <w:cols w:space="720" w:num="1"/>
          <w:docGrid w:linePitch="327" w:charSpace="0"/>
        </w:sectPr>
      </w:pPr>
    </w:p>
    <w:p w14:paraId="7A624DCF">
      <w:pPr>
        <w:pStyle w:val="55"/>
        <w:snapToGrid w:val="0"/>
        <w:ind w:firstLine="0"/>
        <w:outlineLvl w:val="1"/>
        <w:rPr>
          <w:rStyle w:val="28"/>
          <w:rFonts w:hint="eastAsia" w:hAnsi="宋体"/>
          <w:b/>
          <w:bCs/>
          <w:sz w:val="21"/>
          <w:szCs w:val="21"/>
        </w:rPr>
      </w:pPr>
      <w:bookmarkStart w:id="664" w:name="_Toc4214"/>
      <w:bookmarkStart w:id="665" w:name="_Toc17190"/>
      <w:bookmarkStart w:id="666" w:name="_Toc13202"/>
      <w:bookmarkStart w:id="667" w:name="_Toc22848"/>
      <w:bookmarkStart w:id="668" w:name="_Toc11605"/>
      <w:bookmarkStart w:id="669" w:name="_Toc3726"/>
      <w:bookmarkStart w:id="670" w:name="_Toc4071"/>
      <w:bookmarkStart w:id="671" w:name="_Toc17422"/>
      <w:bookmarkStart w:id="672" w:name="_Toc29099"/>
      <w:bookmarkStart w:id="673" w:name="_Toc23480"/>
      <w:bookmarkStart w:id="674" w:name="_Toc2497"/>
      <w:bookmarkStart w:id="675" w:name="_Toc13967"/>
      <w:bookmarkStart w:id="676" w:name="_Toc31193"/>
      <w:r>
        <w:rPr>
          <w:rStyle w:val="28"/>
          <w:rFonts w:hint="eastAsia" w:hAnsi="宋体"/>
          <w:b/>
          <w:bCs/>
          <w:sz w:val="21"/>
          <w:szCs w:val="21"/>
        </w:rPr>
        <w:t>格式十 项目技术负责人简历表</w:t>
      </w:r>
      <w:bookmarkEnd w:id="664"/>
      <w:bookmarkEnd w:id="665"/>
      <w:bookmarkEnd w:id="666"/>
      <w:bookmarkEnd w:id="667"/>
      <w:bookmarkEnd w:id="668"/>
      <w:bookmarkEnd w:id="669"/>
      <w:bookmarkEnd w:id="670"/>
      <w:bookmarkEnd w:id="671"/>
      <w:bookmarkEnd w:id="672"/>
      <w:bookmarkEnd w:id="673"/>
      <w:bookmarkEnd w:id="674"/>
      <w:bookmarkEnd w:id="675"/>
      <w:bookmarkEnd w:id="676"/>
    </w:p>
    <w:p w14:paraId="284FFE54">
      <w:pPr>
        <w:snapToGrid w:val="0"/>
        <w:jc w:val="left"/>
        <w:rPr>
          <w:rStyle w:val="28"/>
          <w:rFonts w:hint="eastAsia" w:hAnsi="宋体"/>
          <w:b/>
          <w:bCs/>
          <w:kern w:val="0"/>
        </w:rPr>
      </w:pPr>
    </w:p>
    <w:tbl>
      <w:tblPr>
        <w:tblStyle w:val="19"/>
        <w:tblpPr w:leftFromText="180" w:rightFromText="180" w:vertAnchor="text" w:horzAnchor="page" w:tblpX="1490" w:tblpY="692"/>
        <w:tblOverlap w:val="never"/>
        <w:tblW w:w="9270" w:type="dxa"/>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5"/>
        <w:gridCol w:w="963"/>
        <w:gridCol w:w="584"/>
        <w:gridCol w:w="648"/>
        <w:gridCol w:w="1294"/>
        <w:gridCol w:w="1946"/>
        <w:gridCol w:w="27"/>
        <w:gridCol w:w="1706"/>
        <w:gridCol w:w="1327"/>
      </w:tblGrid>
      <w:tr w14:paraId="3B8079D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vAlign w:val="center"/>
          </w:tcPr>
          <w:p w14:paraId="1FDCB2C3">
            <w:pPr>
              <w:snapToGrid w:val="0"/>
              <w:jc w:val="center"/>
              <w:rPr>
                <w:rStyle w:val="28"/>
                <w:rFonts w:hint="eastAsia" w:hAnsi="宋体"/>
                <w:kern w:val="0"/>
                <w:sz w:val="21"/>
                <w:szCs w:val="21"/>
              </w:rPr>
            </w:pPr>
            <w:r>
              <w:rPr>
                <w:rStyle w:val="28"/>
                <w:rFonts w:hint="eastAsia" w:hAnsi="宋体"/>
                <w:kern w:val="0"/>
                <w:sz w:val="21"/>
                <w:szCs w:val="21"/>
              </w:rPr>
              <w:t>姓   名</w:t>
            </w:r>
          </w:p>
        </w:tc>
        <w:tc>
          <w:tcPr>
            <w:tcW w:w="1232" w:type="dxa"/>
            <w:gridSpan w:val="2"/>
            <w:tcBorders>
              <w:top w:val="single" w:color="000000" w:sz="6" w:space="0"/>
              <w:left w:val="single" w:color="000000" w:sz="6" w:space="0"/>
              <w:bottom w:val="single" w:color="000000" w:sz="6" w:space="0"/>
              <w:right w:val="single" w:color="000000" w:sz="6" w:space="0"/>
            </w:tcBorders>
            <w:vAlign w:val="center"/>
          </w:tcPr>
          <w:p w14:paraId="70C298EF">
            <w:pPr>
              <w:snapToGrid w:val="0"/>
              <w:jc w:val="center"/>
              <w:rPr>
                <w:rStyle w:val="28"/>
                <w:rFonts w:hint="eastAsia" w:hAnsi="宋体"/>
                <w:kern w:val="0"/>
                <w:sz w:val="21"/>
                <w:szCs w:val="21"/>
              </w:rPr>
            </w:pPr>
          </w:p>
        </w:tc>
        <w:tc>
          <w:tcPr>
            <w:tcW w:w="1294" w:type="dxa"/>
            <w:tcBorders>
              <w:top w:val="single" w:color="000000" w:sz="6" w:space="0"/>
              <w:left w:val="single" w:color="000000" w:sz="6" w:space="0"/>
              <w:bottom w:val="single" w:color="000000" w:sz="6" w:space="0"/>
              <w:right w:val="single" w:color="000000" w:sz="6" w:space="0"/>
            </w:tcBorders>
            <w:vAlign w:val="center"/>
          </w:tcPr>
          <w:p w14:paraId="74720E91">
            <w:pPr>
              <w:snapToGrid w:val="0"/>
              <w:jc w:val="center"/>
              <w:rPr>
                <w:rStyle w:val="28"/>
                <w:rFonts w:hint="eastAsia" w:hAnsi="宋体"/>
                <w:kern w:val="0"/>
                <w:sz w:val="21"/>
                <w:szCs w:val="21"/>
              </w:rPr>
            </w:pPr>
            <w:r>
              <w:rPr>
                <w:rStyle w:val="28"/>
                <w:rFonts w:hint="eastAsia" w:hAnsi="宋体"/>
                <w:kern w:val="0"/>
                <w:sz w:val="21"/>
                <w:szCs w:val="21"/>
              </w:rPr>
              <w:t>性  别</w:t>
            </w:r>
          </w:p>
        </w:tc>
        <w:tc>
          <w:tcPr>
            <w:tcW w:w="1946" w:type="dxa"/>
            <w:tcBorders>
              <w:top w:val="single" w:color="000000" w:sz="6" w:space="0"/>
              <w:left w:val="single" w:color="000000" w:sz="6" w:space="0"/>
              <w:bottom w:val="single" w:color="000000" w:sz="6" w:space="0"/>
              <w:right w:val="single" w:color="000000" w:sz="6" w:space="0"/>
            </w:tcBorders>
            <w:vAlign w:val="center"/>
          </w:tcPr>
          <w:p w14:paraId="56A5D9B8">
            <w:pPr>
              <w:snapToGrid w:val="0"/>
              <w:jc w:val="center"/>
              <w:rPr>
                <w:rStyle w:val="28"/>
                <w:rFonts w:hint="eastAsia" w:hAnsi="宋体"/>
                <w:kern w:val="0"/>
                <w:sz w:val="21"/>
                <w:szCs w:val="21"/>
              </w:rPr>
            </w:pPr>
          </w:p>
        </w:tc>
        <w:tc>
          <w:tcPr>
            <w:tcW w:w="1733" w:type="dxa"/>
            <w:gridSpan w:val="2"/>
            <w:tcBorders>
              <w:top w:val="single" w:color="000000" w:sz="6" w:space="0"/>
              <w:left w:val="single" w:color="000000" w:sz="6" w:space="0"/>
              <w:bottom w:val="single" w:color="000000" w:sz="6" w:space="0"/>
              <w:right w:val="single" w:color="000000" w:sz="6" w:space="0"/>
            </w:tcBorders>
            <w:vAlign w:val="center"/>
          </w:tcPr>
          <w:p w14:paraId="339E4A3A">
            <w:pPr>
              <w:snapToGrid w:val="0"/>
              <w:jc w:val="center"/>
              <w:rPr>
                <w:rStyle w:val="28"/>
                <w:rFonts w:hint="eastAsia" w:hAnsi="宋体"/>
                <w:kern w:val="0"/>
                <w:sz w:val="21"/>
                <w:szCs w:val="21"/>
              </w:rPr>
            </w:pPr>
            <w:r>
              <w:rPr>
                <w:rStyle w:val="28"/>
                <w:rFonts w:hint="eastAsia" w:hAnsi="宋体"/>
                <w:kern w:val="0"/>
                <w:sz w:val="21"/>
                <w:szCs w:val="21"/>
              </w:rPr>
              <w:t>年   龄</w:t>
            </w:r>
          </w:p>
        </w:tc>
        <w:tc>
          <w:tcPr>
            <w:tcW w:w="1327" w:type="dxa"/>
            <w:tcBorders>
              <w:top w:val="single" w:color="000000" w:sz="6" w:space="0"/>
              <w:left w:val="single" w:color="000000" w:sz="6" w:space="0"/>
              <w:bottom w:val="single" w:color="000000" w:sz="6" w:space="0"/>
              <w:right w:val="single" w:color="000000" w:sz="6" w:space="0"/>
            </w:tcBorders>
            <w:vAlign w:val="center"/>
          </w:tcPr>
          <w:p w14:paraId="5A925980">
            <w:pPr>
              <w:snapToGrid w:val="0"/>
              <w:jc w:val="center"/>
              <w:rPr>
                <w:rStyle w:val="28"/>
                <w:rFonts w:hint="eastAsia" w:hAnsi="宋体"/>
                <w:kern w:val="0"/>
                <w:sz w:val="21"/>
                <w:szCs w:val="21"/>
              </w:rPr>
            </w:pPr>
          </w:p>
        </w:tc>
      </w:tr>
      <w:tr w14:paraId="5E0A5D5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vAlign w:val="center"/>
          </w:tcPr>
          <w:p w14:paraId="4ACDF322">
            <w:pPr>
              <w:snapToGrid w:val="0"/>
              <w:jc w:val="center"/>
              <w:rPr>
                <w:rStyle w:val="28"/>
                <w:rFonts w:hint="eastAsia" w:hAnsi="宋体"/>
                <w:kern w:val="0"/>
                <w:sz w:val="21"/>
                <w:szCs w:val="21"/>
              </w:rPr>
            </w:pPr>
            <w:r>
              <w:rPr>
                <w:rStyle w:val="28"/>
                <w:rFonts w:hint="eastAsia" w:hAnsi="宋体"/>
                <w:kern w:val="0"/>
                <w:sz w:val="21"/>
                <w:szCs w:val="21"/>
              </w:rPr>
              <w:t>职   务</w:t>
            </w:r>
          </w:p>
        </w:tc>
        <w:tc>
          <w:tcPr>
            <w:tcW w:w="1232" w:type="dxa"/>
            <w:gridSpan w:val="2"/>
            <w:tcBorders>
              <w:top w:val="single" w:color="000000" w:sz="6" w:space="0"/>
              <w:left w:val="single" w:color="000000" w:sz="6" w:space="0"/>
              <w:bottom w:val="single" w:color="000000" w:sz="6" w:space="0"/>
              <w:right w:val="single" w:color="000000" w:sz="6" w:space="0"/>
            </w:tcBorders>
            <w:vAlign w:val="center"/>
          </w:tcPr>
          <w:p w14:paraId="59F53FA2">
            <w:pPr>
              <w:snapToGrid w:val="0"/>
              <w:jc w:val="center"/>
              <w:rPr>
                <w:rStyle w:val="28"/>
                <w:rFonts w:hint="eastAsia" w:hAnsi="宋体"/>
                <w:kern w:val="0"/>
                <w:sz w:val="21"/>
                <w:szCs w:val="21"/>
              </w:rPr>
            </w:pPr>
          </w:p>
        </w:tc>
        <w:tc>
          <w:tcPr>
            <w:tcW w:w="1294" w:type="dxa"/>
            <w:tcBorders>
              <w:top w:val="single" w:color="000000" w:sz="6" w:space="0"/>
              <w:left w:val="single" w:color="000000" w:sz="6" w:space="0"/>
              <w:bottom w:val="single" w:color="000000" w:sz="6" w:space="0"/>
              <w:right w:val="single" w:color="000000" w:sz="6" w:space="0"/>
            </w:tcBorders>
            <w:vAlign w:val="center"/>
          </w:tcPr>
          <w:p w14:paraId="3097135A">
            <w:pPr>
              <w:snapToGrid w:val="0"/>
              <w:jc w:val="center"/>
              <w:rPr>
                <w:rStyle w:val="28"/>
                <w:rFonts w:hint="eastAsia" w:hAnsi="宋体"/>
                <w:kern w:val="0"/>
                <w:sz w:val="21"/>
                <w:szCs w:val="21"/>
              </w:rPr>
            </w:pPr>
            <w:r>
              <w:rPr>
                <w:rStyle w:val="28"/>
                <w:rFonts w:hint="eastAsia" w:hAnsi="宋体"/>
                <w:kern w:val="0"/>
                <w:sz w:val="21"/>
                <w:szCs w:val="21"/>
              </w:rPr>
              <w:t>职  称</w:t>
            </w:r>
          </w:p>
        </w:tc>
        <w:tc>
          <w:tcPr>
            <w:tcW w:w="1946" w:type="dxa"/>
            <w:tcBorders>
              <w:top w:val="single" w:color="000000" w:sz="6" w:space="0"/>
              <w:left w:val="single" w:color="000000" w:sz="6" w:space="0"/>
              <w:bottom w:val="single" w:color="000000" w:sz="6" w:space="0"/>
              <w:right w:val="single" w:color="000000" w:sz="6" w:space="0"/>
            </w:tcBorders>
            <w:vAlign w:val="center"/>
          </w:tcPr>
          <w:p w14:paraId="2ECE33F2">
            <w:pPr>
              <w:snapToGrid w:val="0"/>
              <w:jc w:val="center"/>
              <w:rPr>
                <w:rStyle w:val="28"/>
                <w:rFonts w:hint="eastAsia" w:hAnsi="宋体"/>
                <w:kern w:val="0"/>
                <w:sz w:val="21"/>
                <w:szCs w:val="21"/>
              </w:rPr>
            </w:pPr>
          </w:p>
        </w:tc>
        <w:tc>
          <w:tcPr>
            <w:tcW w:w="1733" w:type="dxa"/>
            <w:gridSpan w:val="2"/>
            <w:tcBorders>
              <w:top w:val="single" w:color="000000" w:sz="6" w:space="0"/>
              <w:left w:val="single" w:color="000000" w:sz="6" w:space="0"/>
              <w:bottom w:val="single" w:color="000000" w:sz="6" w:space="0"/>
              <w:right w:val="single" w:color="000000" w:sz="6" w:space="0"/>
            </w:tcBorders>
            <w:vAlign w:val="center"/>
          </w:tcPr>
          <w:p w14:paraId="37AB92FF">
            <w:pPr>
              <w:snapToGrid w:val="0"/>
              <w:jc w:val="center"/>
              <w:rPr>
                <w:rStyle w:val="28"/>
                <w:rFonts w:hint="eastAsia" w:hAnsi="宋体"/>
                <w:kern w:val="0"/>
                <w:sz w:val="21"/>
                <w:szCs w:val="21"/>
              </w:rPr>
            </w:pPr>
            <w:r>
              <w:rPr>
                <w:rStyle w:val="28"/>
                <w:rFonts w:hint="eastAsia" w:hAnsi="宋体"/>
                <w:kern w:val="0"/>
                <w:sz w:val="21"/>
                <w:szCs w:val="21"/>
              </w:rPr>
              <w:t>学   历</w:t>
            </w:r>
          </w:p>
        </w:tc>
        <w:tc>
          <w:tcPr>
            <w:tcW w:w="1327" w:type="dxa"/>
            <w:tcBorders>
              <w:top w:val="single" w:color="000000" w:sz="6" w:space="0"/>
              <w:left w:val="single" w:color="000000" w:sz="6" w:space="0"/>
              <w:bottom w:val="single" w:color="000000" w:sz="6" w:space="0"/>
              <w:right w:val="single" w:color="000000" w:sz="6" w:space="0"/>
            </w:tcBorders>
            <w:vAlign w:val="center"/>
          </w:tcPr>
          <w:p w14:paraId="4C33106F">
            <w:pPr>
              <w:snapToGrid w:val="0"/>
              <w:jc w:val="center"/>
              <w:rPr>
                <w:rStyle w:val="28"/>
                <w:rFonts w:hint="eastAsia" w:hAnsi="宋体"/>
                <w:kern w:val="0"/>
                <w:sz w:val="21"/>
                <w:szCs w:val="21"/>
              </w:rPr>
            </w:pPr>
          </w:p>
        </w:tc>
      </w:tr>
      <w:tr w14:paraId="2ED9297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vAlign w:val="center"/>
          </w:tcPr>
          <w:p w14:paraId="4EAAFB50">
            <w:pPr>
              <w:snapToGrid w:val="0"/>
              <w:jc w:val="center"/>
              <w:rPr>
                <w:rStyle w:val="28"/>
                <w:rFonts w:hint="eastAsia" w:hAnsi="宋体"/>
                <w:kern w:val="0"/>
                <w:sz w:val="21"/>
                <w:szCs w:val="21"/>
              </w:rPr>
            </w:pPr>
            <w:r>
              <w:rPr>
                <w:rStyle w:val="28"/>
                <w:rFonts w:hint="eastAsia" w:hAnsi="宋体"/>
                <w:kern w:val="0"/>
                <w:sz w:val="21"/>
                <w:szCs w:val="21"/>
              </w:rPr>
              <w:t>参加工作时间</w:t>
            </w:r>
          </w:p>
        </w:tc>
        <w:tc>
          <w:tcPr>
            <w:tcW w:w="2526" w:type="dxa"/>
            <w:gridSpan w:val="3"/>
            <w:tcBorders>
              <w:top w:val="single" w:color="000000" w:sz="6" w:space="0"/>
              <w:left w:val="single" w:color="000000" w:sz="6" w:space="0"/>
              <w:bottom w:val="single" w:color="000000" w:sz="6" w:space="0"/>
              <w:right w:val="single" w:color="000000" w:sz="6" w:space="0"/>
            </w:tcBorders>
            <w:vAlign w:val="center"/>
          </w:tcPr>
          <w:p w14:paraId="107814D1">
            <w:pPr>
              <w:snapToGrid w:val="0"/>
              <w:jc w:val="center"/>
              <w:rPr>
                <w:rStyle w:val="28"/>
                <w:rFonts w:hint="eastAsia" w:hAnsi="宋体"/>
                <w:kern w:val="0"/>
                <w:sz w:val="21"/>
                <w:szCs w:val="21"/>
              </w:rPr>
            </w:pPr>
          </w:p>
        </w:tc>
        <w:tc>
          <w:tcPr>
            <w:tcW w:w="3679" w:type="dxa"/>
            <w:gridSpan w:val="3"/>
            <w:tcBorders>
              <w:top w:val="single" w:color="000000" w:sz="6" w:space="0"/>
              <w:left w:val="single" w:color="000000" w:sz="6" w:space="0"/>
              <w:bottom w:val="single" w:color="000000" w:sz="6" w:space="0"/>
              <w:right w:val="single" w:color="000000" w:sz="6" w:space="0"/>
            </w:tcBorders>
            <w:vAlign w:val="center"/>
          </w:tcPr>
          <w:p w14:paraId="69C346DA">
            <w:pPr>
              <w:snapToGrid w:val="0"/>
              <w:jc w:val="center"/>
              <w:rPr>
                <w:rStyle w:val="28"/>
                <w:rFonts w:hint="eastAsia" w:hAnsi="宋体"/>
                <w:kern w:val="0"/>
                <w:sz w:val="21"/>
                <w:szCs w:val="21"/>
              </w:rPr>
            </w:pPr>
            <w:r>
              <w:rPr>
                <w:rStyle w:val="28"/>
                <w:rFonts w:hint="eastAsia" w:hAnsi="宋体"/>
                <w:kern w:val="0"/>
                <w:sz w:val="21"/>
                <w:szCs w:val="21"/>
              </w:rPr>
              <w:t>从事工程建设项目管理工作年限</w:t>
            </w:r>
          </w:p>
        </w:tc>
        <w:tc>
          <w:tcPr>
            <w:tcW w:w="1327" w:type="dxa"/>
            <w:tcBorders>
              <w:top w:val="single" w:color="000000" w:sz="6" w:space="0"/>
              <w:left w:val="single" w:color="000000" w:sz="6" w:space="0"/>
              <w:bottom w:val="single" w:color="000000" w:sz="6" w:space="0"/>
              <w:right w:val="single" w:color="000000" w:sz="6" w:space="0"/>
            </w:tcBorders>
            <w:vAlign w:val="center"/>
          </w:tcPr>
          <w:p w14:paraId="03820A7E">
            <w:pPr>
              <w:snapToGrid w:val="0"/>
              <w:jc w:val="center"/>
              <w:rPr>
                <w:rStyle w:val="28"/>
                <w:rFonts w:hint="eastAsia" w:hAnsi="宋体"/>
                <w:kern w:val="0"/>
                <w:sz w:val="21"/>
                <w:szCs w:val="21"/>
              </w:rPr>
            </w:pPr>
          </w:p>
        </w:tc>
      </w:tr>
      <w:tr w14:paraId="324F123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9270" w:type="dxa"/>
            <w:gridSpan w:val="9"/>
            <w:tcBorders>
              <w:top w:val="single" w:color="000000" w:sz="6" w:space="0"/>
              <w:left w:val="single" w:color="000000" w:sz="6" w:space="0"/>
              <w:bottom w:val="single" w:color="000000" w:sz="6" w:space="0"/>
              <w:right w:val="single" w:color="000000" w:sz="6" w:space="0"/>
            </w:tcBorders>
            <w:vAlign w:val="center"/>
          </w:tcPr>
          <w:p w14:paraId="5C187BB7">
            <w:pPr>
              <w:snapToGrid w:val="0"/>
              <w:jc w:val="center"/>
              <w:rPr>
                <w:rStyle w:val="28"/>
                <w:rFonts w:hint="eastAsia" w:hAnsi="宋体"/>
                <w:kern w:val="0"/>
                <w:sz w:val="21"/>
                <w:szCs w:val="21"/>
              </w:rPr>
            </w:pPr>
            <w:r>
              <w:rPr>
                <w:rStyle w:val="28"/>
                <w:rFonts w:hint="eastAsia" w:hAnsi="宋体"/>
                <w:kern w:val="0"/>
                <w:sz w:val="21"/>
                <w:szCs w:val="21"/>
              </w:rPr>
              <w:t>以项目技术负责人身份参与过的主要业绩（已完工项目）</w:t>
            </w:r>
          </w:p>
        </w:tc>
      </w:tr>
      <w:tr w14:paraId="50C1577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1E7BAA8B">
            <w:pPr>
              <w:snapToGrid w:val="0"/>
              <w:jc w:val="center"/>
              <w:rPr>
                <w:rStyle w:val="28"/>
                <w:rFonts w:hint="eastAsia" w:hAnsi="宋体"/>
                <w:kern w:val="0"/>
                <w:sz w:val="21"/>
                <w:szCs w:val="21"/>
              </w:rPr>
            </w:pPr>
            <w:r>
              <w:rPr>
                <w:rStyle w:val="28"/>
                <w:rFonts w:hint="eastAsia" w:hAnsi="宋体"/>
                <w:kern w:val="0"/>
                <w:sz w:val="21"/>
                <w:szCs w:val="21"/>
              </w:rPr>
              <w:t>序号</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094A5E0E">
            <w:pPr>
              <w:snapToGrid w:val="0"/>
              <w:jc w:val="center"/>
              <w:rPr>
                <w:rStyle w:val="28"/>
                <w:rFonts w:hint="eastAsia" w:hAnsi="宋体"/>
                <w:kern w:val="0"/>
                <w:sz w:val="21"/>
                <w:szCs w:val="21"/>
              </w:rPr>
            </w:pPr>
            <w:r>
              <w:rPr>
                <w:rStyle w:val="28"/>
                <w:rFonts w:hint="eastAsia" w:hAnsi="宋体"/>
                <w:kern w:val="0"/>
                <w:sz w:val="21"/>
                <w:szCs w:val="21"/>
              </w:rPr>
              <w:t>工程名称</w:t>
            </w: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05070479">
            <w:pPr>
              <w:snapToGrid w:val="0"/>
              <w:jc w:val="center"/>
              <w:rPr>
                <w:rStyle w:val="28"/>
                <w:rFonts w:hint="eastAsia" w:hAnsi="宋体"/>
                <w:kern w:val="0"/>
                <w:sz w:val="21"/>
                <w:szCs w:val="21"/>
              </w:rPr>
            </w:pPr>
            <w:r>
              <w:rPr>
                <w:rStyle w:val="28"/>
                <w:rFonts w:hint="eastAsia" w:hAnsi="宋体"/>
                <w:kern w:val="0"/>
                <w:sz w:val="21"/>
                <w:szCs w:val="21"/>
              </w:rPr>
              <w:t>建设单位</w:t>
            </w: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79435113">
            <w:pPr>
              <w:snapToGrid w:val="0"/>
              <w:jc w:val="center"/>
              <w:rPr>
                <w:rStyle w:val="28"/>
                <w:rFonts w:hint="eastAsia" w:hAnsi="宋体"/>
                <w:kern w:val="0"/>
                <w:sz w:val="21"/>
                <w:szCs w:val="21"/>
              </w:rPr>
            </w:pPr>
            <w:r>
              <w:rPr>
                <w:rStyle w:val="28"/>
                <w:rFonts w:hint="eastAsia" w:hAnsi="宋体"/>
                <w:kern w:val="0"/>
                <w:sz w:val="21"/>
                <w:szCs w:val="21"/>
              </w:rPr>
              <w:t>建设内容和规模</w:t>
            </w:r>
          </w:p>
        </w:tc>
        <w:tc>
          <w:tcPr>
            <w:tcW w:w="1706" w:type="dxa"/>
            <w:tcBorders>
              <w:top w:val="single" w:color="000000" w:sz="6" w:space="0"/>
              <w:left w:val="single" w:color="000000" w:sz="6" w:space="0"/>
              <w:bottom w:val="single" w:color="000000" w:sz="6" w:space="0"/>
              <w:right w:val="single" w:color="000000" w:sz="6" w:space="0"/>
            </w:tcBorders>
            <w:vAlign w:val="center"/>
          </w:tcPr>
          <w:p w14:paraId="268A2BCF">
            <w:pPr>
              <w:snapToGrid w:val="0"/>
              <w:jc w:val="center"/>
              <w:rPr>
                <w:rStyle w:val="28"/>
                <w:rFonts w:hint="eastAsia" w:hAnsi="宋体"/>
                <w:kern w:val="0"/>
                <w:sz w:val="21"/>
                <w:szCs w:val="21"/>
              </w:rPr>
            </w:pPr>
            <w:r>
              <w:rPr>
                <w:rStyle w:val="28"/>
                <w:rFonts w:hint="eastAsia" w:hAnsi="宋体"/>
                <w:kern w:val="0"/>
                <w:sz w:val="21"/>
                <w:szCs w:val="21"/>
              </w:rPr>
              <w:t>开、竣工日期</w:t>
            </w:r>
          </w:p>
        </w:tc>
        <w:tc>
          <w:tcPr>
            <w:tcW w:w="1327" w:type="dxa"/>
            <w:tcBorders>
              <w:top w:val="single" w:color="000000" w:sz="6" w:space="0"/>
              <w:left w:val="single" w:color="000000" w:sz="6" w:space="0"/>
              <w:bottom w:val="single" w:color="000000" w:sz="6" w:space="0"/>
              <w:right w:val="single" w:color="000000" w:sz="6" w:space="0"/>
            </w:tcBorders>
            <w:vAlign w:val="center"/>
          </w:tcPr>
          <w:p w14:paraId="1DBF58E0">
            <w:pPr>
              <w:snapToGrid w:val="0"/>
              <w:jc w:val="center"/>
              <w:rPr>
                <w:rStyle w:val="28"/>
                <w:rFonts w:hint="eastAsia" w:hAnsi="宋体"/>
                <w:kern w:val="0"/>
                <w:sz w:val="21"/>
                <w:szCs w:val="21"/>
              </w:rPr>
            </w:pPr>
            <w:r>
              <w:rPr>
                <w:rStyle w:val="28"/>
                <w:rFonts w:hint="eastAsia" w:hAnsi="宋体"/>
                <w:kern w:val="0"/>
                <w:sz w:val="21"/>
                <w:szCs w:val="21"/>
              </w:rPr>
              <w:t>质量等级</w:t>
            </w:r>
          </w:p>
        </w:tc>
      </w:tr>
      <w:tr w14:paraId="0CA04CF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2444BAF5">
            <w:pPr>
              <w:snapToGrid w:val="0"/>
              <w:jc w:val="center"/>
              <w:rPr>
                <w:rStyle w:val="28"/>
                <w:rFonts w:hint="eastAsia" w:hAnsi="宋体"/>
                <w:kern w:val="0"/>
                <w:sz w:val="21"/>
                <w:szCs w:val="21"/>
              </w:rPr>
            </w:pPr>
            <w:r>
              <w:rPr>
                <w:rStyle w:val="28"/>
                <w:rFonts w:hint="eastAsia" w:hAnsi="宋体"/>
                <w:kern w:val="0"/>
                <w:sz w:val="21"/>
                <w:szCs w:val="21"/>
              </w:rPr>
              <w:t>1</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7BC51D38">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53FEF3D7">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76DD5ABD">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24EF0A7C">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0171FA69">
            <w:pPr>
              <w:snapToGrid w:val="0"/>
              <w:jc w:val="center"/>
              <w:rPr>
                <w:rStyle w:val="28"/>
                <w:rFonts w:hint="eastAsia" w:hAnsi="宋体"/>
                <w:kern w:val="0"/>
                <w:sz w:val="21"/>
                <w:szCs w:val="21"/>
              </w:rPr>
            </w:pPr>
          </w:p>
        </w:tc>
      </w:tr>
      <w:tr w14:paraId="50B629A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7CB44EE7">
            <w:pPr>
              <w:snapToGrid w:val="0"/>
              <w:jc w:val="center"/>
              <w:rPr>
                <w:rStyle w:val="28"/>
                <w:rFonts w:hint="eastAsia" w:hAnsi="宋体"/>
                <w:kern w:val="0"/>
                <w:sz w:val="21"/>
                <w:szCs w:val="21"/>
              </w:rPr>
            </w:pPr>
            <w:r>
              <w:rPr>
                <w:rStyle w:val="28"/>
                <w:rFonts w:hint="eastAsia" w:hAnsi="宋体"/>
                <w:kern w:val="0"/>
                <w:sz w:val="21"/>
                <w:szCs w:val="21"/>
              </w:rPr>
              <w:t>2</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2C43F6B5">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465C4682">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5D09D160">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5CB23C25">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3CBA4357">
            <w:pPr>
              <w:snapToGrid w:val="0"/>
              <w:jc w:val="center"/>
              <w:rPr>
                <w:rStyle w:val="28"/>
                <w:rFonts w:hint="eastAsia" w:hAnsi="宋体"/>
                <w:kern w:val="0"/>
                <w:sz w:val="21"/>
                <w:szCs w:val="21"/>
              </w:rPr>
            </w:pPr>
          </w:p>
        </w:tc>
      </w:tr>
      <w:tr w14:paraId="08D5AF5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7769160D">
            <w:pPr>
              <w:snapToGrid w:val="0"/>
              <w:jc w:val="center"/>
              <w:rPr>
                <w:rStyle w:val="28"/>
                <w:rFonts w:hint="eastAsia" w:hAnsi="宋体"/>
                <w:kern w:val="0"/>
                <w:sz w:val="21"/>
                <w:szCs w:val="21"/>
              </w:rPr>
            </w:pPr>
            <w:r>
              <w:rPr>
                <w:rStyle w:val="28"/>
                <w:rFonts w:hint="eastAsia" w:hAnsi="宋体"/>
                <w:kern w:val="0"/>
                <w:sz w:val="21"/>
                <w:szCs w:val="21"/>
              </w:rPr>
              <w:t>……</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157FF2E0">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6895427B">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412450FC">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2943A765">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23798AFC">
            <w:pPr>
              <w:snapToGrid w:val="0"/>
              <w:jc w:val="center"/>
              <w:rPr>
                <w:rStyle w:val="28"/>
                <w:rFonts w:hint="eastAsia" w:hAnsi="宋体"/>
                <w:kern w:val="0"/>
                <w:sz w:val="21"/>
                <w:szCs w:val="21"/>
              </w:rPr>
            </w:pPr>
          </w:p>
        </w:tc>
      </w:tr>
      <w:tr w14:paraId="56EDDFF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08B4E651">
            <w:pPr>
              <w:snapToGrid w:val="0"/>
              <w:jc w:val="center"/>
              <w:rPr>
                <w:rStyle w:val="28"/>
                <w:rFonts w:hint="eastAsia" w:hAnsi="宋体"/>
                <w:kern w:val="0"/>
                <w:sz w:val="21"/>
                <w:szCs w:val="21"/>
              </w:rPr>
            </w:pP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1EF46401">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20AD4525">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32425A8F">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3698E9AE">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234987DD">
            <w:pPr>
              <w:snapToGrid w:val="0"/>
              <w:jc w:val="center"/>
              <w:rPr>
                <w:rStyle w:val="28"/>
                <w:rFonts w:hint="eastAsia" w:hAnsi="宋体"/>
                <w:kern w:val="0"/>
                <w:sz w:val="21"/>
                <w:szCs w:val="21"/>
              </w:rPr>
            </w:pPr>
          </w:p>
        </w:tc>
      </w:tr>
      <w:tr w14:paraId="1AB5821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7EB690F2">
            <w:pPr>
              <w:snapToGrid w:val="0"/>
              <w:jc w:val="center"/>
              <w:rPr>
                <w:rStyle w:val="28"/>
                <w:rFonts w:hint="eastAsia" w:hAnsi="宋体"/>
                <w:kern w:val="0"/>
                <w:sz w:val="21"/>
                <w:szCs w:val="21"/>
              </w:rPr>
            </w:pP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3CE3A247">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03D55C22">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2B3C2BC4">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3E67C682">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2E374DEE">
            <w:pPr>
              <w:snapToGrid w:val="0"/>
              <w:jc w:val="center"/>
              <w:rPr>
                <w:rStyle w:val="28"/>
                <w:rFonts w:hint="eastAsia" w:hAnsi="宋体"/>
                <w:kern w:val="0"/>
                <w:sz w:val="21"/>
                <w:szCs w:val="21"/>
              </w:rPr>
            </w:pPr>
          </w:p>
        </w:tc>
      </w:tr>
    </w:tbl>
    <w:p w14:paraId="404CBC5E">
      <w:pPr>
        <w:snapToGrid w:val="0"/>
        <w:jc w:val="center"/>
        <w:rPr>
          <w:rStyle w:val="28"/>
          <w:rFonts w:hint="eastAsia" w:hAnsi="宋体"/>
          <w:b/>
          <w:bCs/>
          <w:kern w:val="0"/>
        </w:rPr>
      </w:pPr>
      <w:r>
        <w:rPr>
          <w:rStyle w:val="28"/>
          <w:rFonts w:hint="eastAsia" w:hAnsi="宋体"/>
          <w:b/>
          <w:bCs/>
          <w:kern w:val="0"/>
          <w:sz w:val="30"/>
          <w:szCs w:val="30"/>
        </w:rPr>
        <w:t>项目技术负责人简历表</w:t>
      </w:r>
    </w:p>
    <w:p w14:paraId="5AE34055">
      <w:pPr>
        <w:snapToGrid w:val="0"/>
        <w:ind w:firstLine="570"/>
        <w:rPr>
          <w:rStyle w:val="28"/>
          <w:rFonts w:hint="eastAsia" w:hAnsi="宋体"/>
          <w:kern w:val="0"/>
        </w:rPr>
      </w:pPr>
    </w:p>
    <w:p w14:paraId="5B27E314">
      <w:pPr>
        <w:pStyle w:val="56"/>
        <w:snapToGrid w:val="0"/>
        <w:jc w:val="right"/>
        <w:rPr>
          <w:rStyle w:val="28"/>
          <w:rFonts w:hint="eastAsia" w:hAnsi="宋体"/>
          <w:kern w:val="0"/>
        </w:rPr>
      </w:pPr>
    </w:p>
    <w:p w14:paraId="243F6D2E">
      <w:pPr>
        <w:pStyle w:val="56"/>
        <w:snapToGrid w:val="0"/>
        <w:jc w:val="right"/>
        <w:rPr>
          <w:rStyle w:val="28"/>
          <w:rFonts w:hint="eastAsia" w:hAnsi="宋体"/>
          <w:kern w:val="0"/>
        </w:rPr>
      </w:pPr>
      <w:r>
        <w:rPr>
          <w:rStyle w:val="28"/>
          <w:rFonts w:hint="eastAsia" w:hAnsi="宋体"/>
          <w:kern w:val="0"/>
        </w:rPr>
        <w:t>项目技术负责人：</w:t>
      </w:r>
      <w:r>
        <w:rPr>
          <w:rStyle w:val="28"/>
          <w:rFonts w:hint="eastAsia" w:hAnsi="宋体"/>
          <w:kern w:val="0"/>
          <w:u w:val="single"/>
        </w:rPr>
        <w:t xml:space="preserve">              </w:t>
      </w:r>
      <w:r>
        <w:rPr>
          <w:rStyle w:val="28"/>
          <w:rFonts w:hint="eastAsia" w:hAnsi="宋体"/>
          <w:kern w:val="0"/>
        </w:rPr>
        <w:t>（签字）</w:t>
      </w:r>
    </w:p>
    <w:p w14:paraId="304C3B4E">
      <w:pPr>
        <w:pStyle w:val="56"/>
        <w:snapToGrid w:val="0"/>
        <w:jc w:val="right"/>
        <w:rPr>
          <w:rStyle w:val="28"/>
          <w:rFonts w:hint="eastAsia" w:hAnsi="宋体"/>
          <w:kern w:val="0"/>
        </w:rPr>
      </w:pPr>
    </w:p>
    <w:p w14:paraId="778BDEA6">
      <w:pPr>
        <w:pStyle w:val="56"/>
        <w:snapToGrid w:val="0"/>
        <w:jc w:val="center"/>
        <w:rPr>
          <w:rStyle w:val="28"/>
          <w:rFonts w:hint="eastAsia" w:hAnsi="宋体"/>
          <w:kern w:val="0"/>
        </w:rPr>
      </w:pPr>
      <w:r>
        <w:rPr>
          <w:rStyle w:val="28"/>
          <w:rFonts w:hint="eastAsia" w:hAnsi="宋体"/>
          <w:kern w:val="0"/>
        </w:rPr>
        <w:t xml:space="preserve">                                     </w:t>
      </w:r>
      <w:r>
        <w:rPr>
          <w:rStyle w:val="28"/>
          <w:rFonts w:hint="eastAsia" w:hAnsi="宋体"/>
          <w:kern w:val="0"/>
          <w:u w:val="single"/>
        </w:rPr>
        <w:t xml:space="preserve">       </w:t>
      </w:r>
      <w:r>
        <w:rPr>
          <w:rStyle w:val="28"/>
          <w:rFonts w:hint="eastAsia" w:hAnsi="宋体"/>
          <w:kern w:val="0"/>
        </w:rPr>
        <w:t>年</w:t>
      </w:r>
      <w:r>
        <w:rPr>
          <w:rStyle w:val="28"/>
          <w:rFonts w:hint="eastAsia" w:hAnsi="宋体"/>
          <w:kern w:val="0"/>
          <w:u w:val="single"/>
        </w:rPr>
        <w:t xml:space="preserve">     </w:t>
      </w:r>
      <w:r>
        <w:rPr>
          <w:rStyle w:val="28"/>
          <w:rFonts w:hint="eastAsia" w:hAnsi="宋体"/>
          <w:kern w:val="0"/>
        </w:rPr>
        <w:t>月</w:t>
      </w:r>
      <w:r>
        <w:rPr>
          <w:rStyle w:val="28"/>
          <w:rFonts w:hint="eastAsia" w:hAnsi="宋体"/>
          <w:kern w:val="0"/>
          <w:u w:val="single"/>
        </w:rPr>
        <w:t xml:space="preserve">     </w:t>
      </w:r>
      <w:r>
        <w:rPr>
          <w:rStyle w:val="28"/>
          <w:rFonts w:hint="eastAsia" w:hAnsi="宋体"/>
          <w:kern w:val="0"/>
        </w:rPr>
        <w:t>日</w:t>
      </w:r>
    </w:p>
    <w:p w14:paraId="4BE972CD">
      <w:pPr>
        <w:snapToGrid w:val="0"/>
        <w:ind w:firstLine="570"/>
        <w:rPr>
          <w:rStyle w:val="28"/>
          <w:rFonts w:hint="eastAsia" w:hAnsi="宋体"/>
          <w:kern w:val="0"/>
        </w:rPr>
      </w:pPr>
    </w:p>
    <w:p w14:paraId="55E5FCE9">
      <w:pPr>
        <w:snapToGrid w:val="0"/>
        <w:rPr>
          <w:rStyle w:val="28"/>
          <w:rFonts w:hint="eastAsia" w:hAnsi="宋体"/>
          <w:kern w:val="0"/>
          <w:sz w:val="21"/>
          <w:szCs w:val="21"/>
        </w:rPr>
      </w:pPr>
      <w:r>
        <w:rPr>
          <w:rStyle w:val="28"/>
          <w:rFonts w:hint="eastAsia" w:hAnsi="宋体"/>
          <w:kern w:val="0"/>
          <w:sz w:val="21"/>
          <w:szCs w:val="21"/>
        </w:rPr>
        <w:t xml:space="preserve">    说明：《项目技术负责人简历表》后应附拟派项目技术负责人以下资料：</w:t>
      </w:r>
    </w:p>
    <w:p w14:paraId="732459B2">
      <w:pPr>
        <w:wordWrap w:val="0"/>
        <w:adjustRightInd w:val="0"/>
        <w:snapToGrid w:val="0"/>
        <w:rPr>
          <w:rFonts w:hint="eastAsia" w:hAnsi="宋体"/>
          <w:snapToGrid w:val="0"/>
          <w:kern w:val="0"/>
          <w:sz w:val="21"/>
          <w:szCs w:val="28"/>
        </w:rPr>
      </w:pPr>
      <w:r>
        <w:rPr>
          <w:rStyle w:val="28"/>
          <w:rFonts w:hint="eastAsia" w:hAnsi="宋体"/>
          <w:kern w:val="0"/>
          <w:sz w:val="21"/>
          <w:szCs w:val="21"/>
        </w:rPr>
        <w:t xml:space="preserve">    1.</w:t>
      </w:r>
      <w:r>
        <w:rPr>
          <w:rFonts w:hint="eastAsia" w:hAnsi="宋体"/>
          <w:snapToGrid w:val="0"/>
          <w:kern w:val="0"/>
          <w:sz w:val="21"/>
          <w:szCs w:val="28"/>
        </w:rPr>
        <w:t>身份证</w:t>
      </w:r>
      <w:r>
        <w:rPr>
          <w:rFonts w:hint="eastAsia" w:hAnsi="宋体"/>
          <w:snapToGrid w:val="0"/>
          <w:kern w:val="0"/>
          <w:sz w:val="21"/>
          <w:szCs w:val="21"/>
        </w:rPr>
        <w:t>彩色扫描件</w:t>
      </w:r>
      <w:r>
        <w:rPr>
          <w:rFonts w:hint="eastAsia" w:hAnsi="宋体"/>
          <w:snapToGrid w:val="0"/>
          <w:kern w:val="0"/>
          <w:sz w:val="21"/>
          <w:szCs w:val="28"/>
        </w:rPr>
        <w:t>；</w:t>
      </w:r>
    </w:p>
    <w:p w14:paraId="549206D0">
      <w:pPr>
        <w:snapToGrid w:val="0"/>
        <w:rPr>
          <w:rStyle w:val="28"/>
          <w:rFonts w:hint="eastAsia" w:hAnsi="宋体"/>
          <w:kern w:val="0"/>
          <w:sz w:val="21"/>
          <w:szCs w:val="21"/>
        </w:rPr>
      </w:pPr>
      <w:r>
        <w:rPr>
          <w:rFonts w:hint="eastAsia" w:hAnsi="宋体"/>
          <w:snapToGrid w:val="0"/>
          <w:kern w:val="0"/>
          <w:sz w:val="21"/>
          <w:szCs w:val="28"/>
        </w:rPr>
        <w:t xml:space="preserve">    2.职称证</w:t>
      </w:r>
      <w:r>
        <w:rPr>
          <w:rFonts w:hint="eastAsia" w:hAnsi="宋体"/>
          <w:snapToGrid w:val="0"/>
          <w:kern w:val="0"/>
          <w:sz w:val="21"/>
          <w:szCs w:val="21"/>
        </w:rPr>
        <w:t>彩色扫描件</w:t>
      </w:r>
      <w:r>
        <w:rPr>
          <w:rFonts w:hint="eastAsia" w:hAnsi="宋体"/>
          <w:snapToGrid w:val="0"/>
          <w:kern w:val="0"/>
          <w:sz w:val="21"/>
          <w:szCs w:val="28"/>
        </w:rPr>
        <w:t>；</w:t>
      </w:r>
    </w:p>
    <w:p w14:paraId="011C2ADD">
      <w:pPr>
        <w:wordWrap w:val="0"/>
        <w:adjustRightInd w:val="0"/>
        <w:snapToGrid w:val="0"/>
        <w:ind w:firstLine="420" w:firstLineChars="200"/>
        <w:rPr>
          <w:rStyle w:val="28"/>
          <w:rFonts w:hint="eastAsia" w:hAnsi="宋体"/>
          <w:kern w:val="0"/>
          <w:sz w:val="21"/>
          <w:szCs w:val="21"/>
        </w:rPr>
      </w:pPr>
      <w:r>
        <w:rPr>
          <w:rStyle w:val="28"/>
          <w:rFonts w:hint="eastAsia" w:hAnsi="宋体"/>
          <w:kern w:val="0"/>
          <w:sz w:val="21"/>
          <w:szCs w:val="21"/>
        </w:rPr>
        <w:t>3.在本单位缴纳社保的证明（连续三个月，其中必须有2026年8月）彩</w:t>
      </w:r>
      <w:r>
        <w:rPr>
          <w:rFonts w:hint="eastAsia" w:hAnsi="宋体"/>
          <w:snapToGrid w:val="0"/>
          <w:kern w:val="0"/>
          <w:sz w:val="21"/>
          <w:szCs w:val="21"/>
        </w:rPr>
        <w:t>色扫描件，非独立法人分支机构出具社保，予以认可；</w:t>
      </w:r>
      <w:r>
        <w:rPr>
          <w:rStyle w:val="28"/>
          <w:rFonts w:hint="eastAsia" w:hAnsi="宋体"/>
          <w:kern w:val="0"/>
          <w:sz w:val="21"/>
          <w:szCs w:val="21"/>
        </w:rPr>
        <w:t>拟派技术负责人为退休返聘人员无法提供社保证明的，提供退休证和劳动合同</w:t>
      </w:r>
      <w:r>
        <w:rPr>
          <w:rFonts w:hint="eastAsia" w:hAnsi="宋体"/>
          <w:snapToGrid w:val="0"/>
          <w:kern w:val="0"/>
          <w:sz w:val="21"/>
          <w:szCs w:val="21"/>
        </w:rPr>
        <w:t>彩色扫描件</w:t>
      </w:r>
      <w:r>
        <w:rPr>
          <w:rStyle w:val="28"/>
          <w:rFonts w:hint="eastAsia" w:hAnsi="宋体"/>
          <w:kern w:val="0"/>
          <w:sz w:val="21"/>
          <w:szCs w:val="21"/>
        </w:rPr>
        <w:t>。</w:t>
      </w:r>
    </w:p>
    <w:p w14:paraId="30A516D6">
      <w:pPr>
        <w:wordWrap w:val="0"/>
        <w:adjustRightInd w:val="0"/>
        <w:snapToGrid w:val="0"/>
        <w:ind w:firstLine="420" w:firstLineChars="200"/>
        <w:rPr>
          <w:rFonts w:hint="eastAsia" w:hAnsi="宋体"/>
          <w:snapToGrid w:val="0"/>
          <w:kern w:val="0"/>
          <w:sz w:val="21"/>
          <w:szCs w:val="21"/>
        </w:rPr>
      </w:pPr>
      <w:r>
        <w:rPr>
          <w:rFonts w:hint="eastAsia" w:hAnsi="宋体"/>
          <w:snapToGrid w:val="0"/>
          <w:kern w:val="0"/>
          <w:sz w:val="21"/>
          <w:szCs w:val="21"/>
        </w:rPr>
        <w:t>4.“进粤企业和人员诚信信息登记平台”个人信息情况截图。（适用于省外建筑企业）</w:t>
      </w:r>
    </w:p>
    <w:p w14:paraId="4869CC36">
      <w:pPr>
        <w:wordWrap w:val="0"/>
        <w:adjustRightInd w:val="0"/>
        <w:snapToGrid w:val="0"/>
        <w:ind w:firstLine="420" w:firstLineChars="200"/>
        <w:rPr>
          <w:rStyle w:val="28"/>
          <w:rFonts w:hint="eastAsia" w:hAnsi="宋体"/>
          <w:kern w:val="0"/>
          <w:sz w:val="21"/>
          <w:szCs w:val="21"/>
        </w:rPr>
      </w:pPr>
    </w:p>
    <w:p w14:paraId="1DCC0900">
      <w:pPr>
        <w:snapToGrid w:val="0"/>
        <w:ind w:firstLine="420" w:firstLineChars="200"/>
        <w:rPr>
          <w:rStyle w:val="28"/>
          <w:rFonts w:hint="eastAsia" w:hAnsi="宋体"/>
          <w:kern w:val="0"/>
          <w:sz w:val="21"/>
          <w:szCs w:val="21"/>
        </w:rPr>
      </w:pPr>
    </w:p>
    <w:p w14:paraId="37820AD6">
      <w:pPr>
        <w:pStyle w:val="55"/>
        <w:snapToGrid w:val="0"/>
        <w:rPr>
          <w:rStyle w:val="28"/>
          <w:rFonts w:hint="eastAsia" w:hAnsi="宋体"/>
          <w:sz w:val="21"/>
          <w:szCs w:val="21"/>
        </w:rPr>
        <w:sectPr>
          <w:endnotePr>
            <w:numFmt w:val="decimal"/>
          </w:endnotePr>
          <w:pgSz w:w="11906" w:h="16838"/>
          <w:pgMar w:top="1701" w:right="1531" w:bottom="1417" w:left="1531" w:header="850" w:footer="992" w:gutter="0"/>
          <w:cols w:space="720" w:num="1"/>
          <w:docGrid w:linePitch="327" w:charSpace="0"/>
        </w:sectPr>
      </w:pPr>
    </w:p>
    <w:p w14:paraId="12E6724F">
      <w:pPr>
        <w:pStyle w:val="55"/>
        <w:snapToGrid w:val="0"/>
        <w:ind w:firstLine="0"/>
        <w:outlineLvl w:val="1"/>
        <w:rPr>
          <w:rStyle w:val="28"/>
          <w:rFonts w:hint="eastAsia" w:hAnsi="宋体"/>
          <w:b/>
          <w:bCs/>
          <w:sz w:val="21"/>
          <w:szCs w:val="21"/>
        </w:rPr>
      </w:pPr>
      <w:bookmarkStart w:id="677" w:name="_Toc30703"/>
      <w:bookmarkStart w:id="678" w:name="_Toc27539"/>
      <w:bookmarkStart w:id="679" w:name="_Toc15225"/>
      <w:bookmarkStart w:id="680" w:name="_Toc735"/>
      <w:bookmarkStart w:id="681" w:name="_Toc7992"/>
      <w:bookmarkStart w:id="682" w:name="_Toc2397"/>
      <w:bookmarkStart w:id="683" w:name="_Toc12596"/>
      <w:bookmarkStart w:id="684" w:name="_Toc29673"/>
      <w:bookmarkStart w:id="685" w:name="_Toc21596"/>
      <w:bookmarkStart w:id="686" w:name="_Toc19909"/>
      <w:bookmarkStart w:id="687" w:name="_Toc14097"/>
      <w:bookmarkStart w:id="688" w:name="_Toc32297"/>
      <w:bookmarkStart w:id="689" w:name="_Toc17998"/>
      <w:r>
        <w:rPr>
          <w:rStyle w:val="28"/>
          <w:rFonts w:hint="eastAsia" w:hAnsi="宋体"/>
          <w:b/>
          <w:bCs/>
          <w:sz w:val="21"/>
          <w:szCs w:val="21"/>
        </w:rPr>
        <w:t>格式十一 专职安全员简历表</w:t>
      </w:r>
      <w:bookmarkEnd w:id="677"/>
      <w:bookmarkEnd w:id="678"/>
      <w:bookmarkEnd w:id="679"/>
      <w:bookmarkEnd w:id="680"/>
      <w:bookmarkEnd w:id="681"/>
      <w:bookmarkEnd w:id="682"/>
      <w:bookmarkEnd w:id="683"/>
      <w:bookmarkEnd w:id="684"/>
      <w:bookmarkEnd w:id="685"/>
      <w:bookmarkEnd w:id="686"/>
      <w:bookmarkEnd w:id="687"/>
      <w:bookmarkEnd w:id="688"/>
      <w:bookmarkEnd w:id="689"/>
    </w:p>
    <w:p w14:paraId="2DBC0DE0">
      <w:pPr>
        <w:snapToGrid w:val="0"/>
        <w:jc w:val="left"/>
        <w:rPr>
          <w:rStyle w:val="28"/>
          <w:rFonts w:hint="eastAsia" w:hAnsi="宋体"/>
          <w:b/>
          <w:bCs/>
          <w:kern w:val="0"/>
        </w:rPr>
      </w:pPr>
    </w:p>
    <w:tbl>
      <w:tblPr>
        <w:tblStyle w:val="19"/>
        <w:tblpPr w:leftFromText="180" w:rightFromText="180" w:vertAnchor="text" w:horzAnchor="page" w:tblpX="1490" w:tblpY="692"/>
        <w:tblOverlap w:val="never"/>
        <w:tblW w:w="9270" w:type="dxa"/>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5"/>
        <w:gridCol w:w="963"/>
        <w:gridCol w:w="584"/>
        <w:gridCol w:w="648"/>
        <w:gridCol w:w="1294"/>
        <w:gridCol w:w="1946"/>
        <w:gridCol w:w="27"/>
        <w:gridCol w:w="1706"/>
        <w:gridCol w:w="1327"/>
      </w:tblGrid>
      <w:tr w14:paraId="7835C8B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vAlign w:val="center"/>
          </w:tcPr>
          <w:p w14:paraId="226D27AA">
            <w:pPr>
              <w:snapToGrid w:val="0"/>
              <w:jc w:val="center"/>
              <w:rPr>
                <w:rStyle w:val="28"/>
                <w:rFonts w:hint="eastAsia" w:hAnsi="宋体"/>
                <w:kern w:val="0"/>
                <w:sz w:val="21"/>
                <w:szCs w:val="21"/>
              </w:rPr>
            </w:pPr>
            <w:r>
              <w:rPr>
                <w:rStyle w:val="28"/>
                <w:rFonts w:hint="eastAsia" w:hAnsi="宋体"/>
                <w:kern w:val="0"/>
                <w:sz w:val="21"/>
                <w:szCs w:val="21"/>
              </w:rPr>
              <w:t>姓   名</w:t>
            </w:r>
          </w:p>
        </w:tc>
        <w:tc>
          <w:tcPr>
            <w:tcW w:w="1232" w:type="dxa"/>
            <w:gridSpan w:val="2"/>
            <w:tcBorders>
              <w:top w:val="single" w:color="000000" w:sz="6" w:space="0"/>
              <w:left w:val="single" w:color="000000" w:sz="6" w:space="0"/>
              <w:bottom w:val="single" w:color="000000" w:sz="6" w:space="0"/>
              <w:right w:val="single" w:color="000000" w:sz="6" w:space="0"/>
            </w:tcBorders>
            <w:vAlign w:val="center"/>
          </w:tcPr>
          <w:p w14:paraId="50975DB4">
            <w:pPr>
              <w:snapToGrid w:val="0"/>
              <w:jc w:val="center"/>
              <w:rPr>
                <w:rStyle w:val="28"/>
                <w:rFonts w:hint="eastAsia" w:hAnsi="宋体"/>
                <w:kern w:val="0"/>
                <w:sz w:val="21"/>
                <w:szCs w:val="21"/>
              </w:rPr>
            </w:pPr>
          </w:p>
        </w:tc>
        <w:tc>
          <w:tcPr>
            <w:tcW w:w="1294" w:type="dxa"/>
            <w:tcBorders>
              <w:top w:val="single" w:color="000000" w:sz="6" w:space="0"/>
              <w:left w:val="single" w:color="000000" w:sz="6" w:space="0"/>
              <w:bottom w:val="single" w:color="000000" w:sz="6" w:space="0"/>
              <w:right w:val="single" w:color="000000" w:sz="6" w:space="0"/>
            </w:tcBorders>
            <w:vAlign w:val="center"/>
          </w:tcPr>
          <w:p w14:paraId="59F29E07">
            <w:pPr>
              <w:snapToGrid w:val="0"/>
              <w:jc w:val="center"/>
              <w:rPr>
                <w:rStyle w:val="28"/>
                <w:rFonts w:hint="eastAsia" w:hAnsi="宋体"/>
                <w:kern w:val="0"/>
                <w:sz w:val="21"/>
                <w:szCs w:val="21"/>
              </w:rPr>
            </w:pPr>
            <w:r>
              <w:rPr>
                <w:rStyle w:val="28"/>
                <w:rFonts w:hint="eastAsia" w:hAnsi="宋体"/>
                <w:kern w:val="0"/>
                <w:sz w:val="21"/>
                <w:szCs w:val="21"/>
              </w:rPr>
              <w:t>性  别</w:t>
            </w:r>
          </w:p>
        </w:tc>
        <w:tc>
          <w:tcPr>
            <w:tcW w:w="1946" w:type="dxa"/>
            <w:tcBorders>
              <w:top w:val="single" w:color="000000" w:sz="6" w:space="0"/>
              <w:left w:val="single" w:color="000000" w:sz="6" w:space="0"/>
              <w:bottom w:val="single" w:color="000000" w:sz="6" w:space="0"/>
              <w:right w:val="single" w:color="000000" w:sz="6" w:space="0"/>
            </w:tcBorders>
            <w:vAlign w:val="center"/>
          </w:tcPr>
          <w:p w14:paraId="4BA55200">
            <w:pPr>
              <w:snapToGrid w:val="0"/>
              <w:jc w:val="center"/>
              <w:rPr>
                <w:rStyle w:val="28"/>
                <w:rFonts w:hint="eastAsia" w:hAnsi="宋体"/>
                <w:kern w:val="0"/>
                <w:sz w:val="21"/>
                <w:szCs w:val="21"/>
              </w:rPr>
            </w:pPr>
          </w:p>
        </w:tc>
        <w:tc>
          <w:tcPr>
            <w:tcW w:w="1733" w:type="dxa"/>
            <w:gridSpan w:val="2"/>
            <w:tcBorders>
              <w:top w:val="single" w:color="000000" w:sz="6" w:space="0"/>
              <w:left w:val="single" w:color="000000" w:sz="6" w:space="0"/>
              <w:bottom w:val="single" w:color="000000" w:sz="6" w:space="0"/>
              <w:right w:val="single" w:color="000000" w:sz="6" w:space="0"/>
            </w:tcBorders>
            <w:vAlign w:val="center"/>
          </w:tcPr>
          <w:p w14:paraId="2047B394">
            <w:pPr>
              <w:snapToGrid w:val="0"/>
              <w:jc w:val="center"/>
              <w:rPr>
                <w:rStyle w:val="28"/>
                <w:rFonts w:hint="eastAsia" w:hAnsi="宋体"/>
                <w:kern w:val="0"/>
                <w:sz w:val="21"/>
                <w:szCs w:val="21"/>
              </w:rPr>
            </w:pPr>
            <w:r>
              <w:rPr>
                <w:rStyle w:val="28"/>
                <w:rFonts w:hint="eastAsia" w:hAnsi="宋体"/>
                <w:kern w:val="0"/>
                <w:sz w:val="21"/>
                <w:szCs w:val="21"/>
              </w:rPr>
              <w:t>年   龄</w:t>
            </w:r>
          </w:p>
        </w:tc>
        <w:tc>
          <w:tcPr>
            <w:tcW w:w="1327" w:type="dxa"/>
            <w:tcBorders>
              <w:top w:val="single" w:color="000000" w:sz="6" w:space="0"/>
              <w:left w:val="single" w:color="000000" w:sz="6" w:space="0"/>
              <w:bottom w:val="single" w:color="000000" w:sz="6" w:space="0"/>
              <w:right w:val="single" w:color="000000" w:sz="6" w:space="0"/>
            </w:tcBorders>
            <w:vAlign w:val="center"/>
          </w:tcPr>
          <w:p w14:paraId="79C0E59E">
            <w:pPr>
              <w:snapToGrid w:val="0"/>
              <w:jc w:val="center"/>
              <w:rPr>
                <w:rStyle w:val="28"/>
                <w:rFonts w:hint="eastAsia" w:hAnsi="宋体"/>
                <w:kern w:val="0"/>
                <w:sz w:val="21"/>
                <w:szCs w:val="21"/>
              </w:rPr>
            </w:pPr>
          </w:p>
        </w:tc>
      </w:tr>
      <w:tr w14:paraId="72A6BB8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vAlign w:val="center"/>
          </w:tcPr>
          <w:p w14:paraId="42623175">
            <w:pPr>
              <w:snapToGrid w:val="0"/>
              <w:jc w:val="center"/>
              <w:rPr>
                <w:rStyle w:val="28"/>
                <w:rFonts w:hint="eastAsia" w:hAnsi="宋体"/>
                <w:kern w:val="0"/>
                <w:sz w:val="21"/>
                <w:szCs w:val="21"/>
              </w:rPr>
            </w:pPr>
            <w:r>
              <w:rPr>
                <w:rStyle w:val="28"/>
                <w:rFonts w:hint="eastAsia" w:hAnsi="宋体"/>
                <w:kern w:val="0"/>
                <w:sz w:val="21"/>
                <w:szCs w:val="21"/>
              </w:rPr>
              <w:t>职   务</w:t>
            </w:r>
          </w:p>
        </w:tc>
        <w:tc>
          <w:tcPr>
            <w:tcW w:w="1232" w:type="dxa"/>
            <w:gridSpan w:val="2"/>
            <w:tcBorders>
              <w:top w:val="single" w:color="000000" w:sz="6" w:space="0"/>
              <w:left w:val="single" w:color="000000" w:sz="6" w:space="0"/>
              <w:bottom w:val="single" w:color="000000" w:sz="6" w:space="0"/>
              <w:right w:val="single" w:color="000000" w:sz="6" w:space="0"/>
            </w:tcBorders>
            <w:vAlign w:val="center"/>
          </w:tcPr>
          <w:p w14:paraId="4C101DA9">
            <w:pPr>
              <w:snapToGrid w:val="0"/>
              <w:jc w:val="center"/>
              <w:rPr>
                <w:rStyle w:val="28"/>
                <w:rFonts w:hint="eastAsia" w:hAnsi="宋体"/>
                <w:kern w:val="0"/>
                <w:sz w:val="21"/>
                <w:szCs w:val="21"/>
              </w:rPr>
            </w:pPr>
          </w:p>
        </w:tc>
        <w:tc>
          <w:tcPr>
            <w:tcW w:w="1294" w:type="dxa"/>
            <w:tcBorders>
              <w:top w:val="single" w:color="000000" w:sz="6" w:space="0"/>
              <w:left w:val="single" w:color="000000" w:sz="6" w:space="0"/>
              <w:bottom w:val="single" w:color="000000" w:sz="6" w:space="0"/>
              <w:right w:val="single" w:color="000000" w:sz="6" w:space="0"/>
            </w:tcBorders>
            <w:vAlign w:val="center"/>
          </w:tcPr>
          <w:p w14:paraId="214EB32A">
            <w:pPr>
              <w:snapToGrid w:val="0"/>
              <w:jc w:val="center"/>
              <w:rPr>
                <w:rStyle w:val="28"/>
                <w:rFonts w:hint="eastAsia" w:hAnsi="宋体"/>
                <w:kern w:val="0"/>
                <w:sz w:val="21"/>
                <w:szCs w:val="21"/>
              </w:rPr>
            </w:pPr>
            <w:r>
              <w:rPr>
                <w:rStyle w:val="28"/>
                <w:rFonts w:hint="eastAsia" w:hAnsi="宋体"/>
                <w:kern w:val="0"/>
                <w:sz w:val="21"/>
                <w:szCs w:val="21"/>
              </w:rPr>
              <w:t>职  称</w:t>
            </w:r>
          </w:p>
        </w:tc>
        <w:tc>
          <w:tcPr>
            <w:tcW w:w="1946" w:type="dxa"/>
            <w:tcBorders>
              <w:top w:val="single" w:color="000000" w:sz="6" w:space="0"/>
              <w:left w:val="single" w:color="000000" w:sz="6" w:space="0"/>
              <w:bottom w:val="single" w:color="000000" w:sz="6" w:space="0"/>
              <w:right w:val="single" w:color="000000" w:sz="6" w:space="0"/>
            </w:tcBorders>
            <w:vAlign w:val="center"/>
          </w:tcPr>
          <w:p w14:paraId="633C12C5">
            <w:pPr>
              <w:snapToGrid w:val="0"/>
              <w:jc w:val="center"/>
              <w:rPr>
                <w:rStyle w:val="28"/>
                <w:rFonts w:hint="eastAsia" w:hAnsi="宋体"/>
                <w:kern w:val="0"/>
                <w:sz w:val="21"/>
                <w:szCs w:val="21"/>
              </w:rPr>
            </w:pPr>
          </w:p>
        </w:tc>
        <w:tc>
          <w:tcPr>
            <w:tcW w:w="1733" w:type="dxa"/>
            <w:gridSpan w:val="2"/>
            <w:tcBorders>
              <w:top w:val="single" w:color="000000" w:sz="6" w:space="0"/>
              <w:left w:val="single" w:color="000000" w:sz="6" w:space="0"/>
              <w:bottom w:val="single" w:color="000000" w:sz="6" w:space="0"/>
              <w:right w:val="single" w:color="000000" w:sz="6" w:space="0"/>
            </w:tcBorders>
            <w:vAlign w:val="center"/>
          </w:tcPr>
          <w:p w14:paraId="12A8F878">
            <w:pPr>
              <w:snapToGrid w:val="0"/>
              <w:jc w:val="center"/>
              <w:rPr>
                <w:rStyle w:val="28"/>
                <w:rFonts w:hint="eastAsia" w:hAnsi="宋体"/>
                <w:kern w:val="0"/>
                <w:sz w:val="21"/>
                <w:szCs w:val="21"/>
              </w:rPr>
            </w:pPr>
            <w:r>
              <w:rPr>
                <w:rStyle w:val="28"/>
                <w:rFonts w:hint="eastAsia" w:hAnsi="宋体"/>
                <w:kern w:val="0"/>
                <w:sz w:val="21"/>
                <w:szCs w:val="21"/>
              </w:rPr>
              <w:t>学   历</w:t>
            </w:r>
          </w:p>
        </w:tc>
        <w:tc>
          <w:tcPr>
            <w:tcW w:w="1327" w:type="dxa"/>
            <w:tcBorders>
              <w:top w:val="single" w:color="000000" w:sz="6" w:space="0"/>
              <w:left w:val="single" w:color="000000" w:sz="6" w:space="0"/>
              <w:bottom w:val="single" w:color="000000" w:sz="6" w:space="0"/>
              <w:right w:val="single" w:color="000000" w:sz="6" w:space="0"/>
            </w:tcBorders>
            <w:vAlign w:val="center"/>
          </w:tcPr>
          <w:p w14:paraId="7750D275">
            <w:pPr>
              <w:snapToGrid w:val="0"/>
              <w:jc w:val="center"/>
              <w:rPr>
                <w:rStyle w:val="28"/>
                <w:rFonts w:hint="eastAsia" w:hAnsi="宋体"/>
                <w:kern w:val="0"/>
                <w:sz w:val="21"/>
                <w:szCs w:val="21"/>
              </w:rPr>
            </w:pPr>
          </w:p>
        </w:tc>
      </w:tr>
      <w:tr w14:paraId="5F686BA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vAlign w:val="center"/>
          </w:tcPr>
          <w:p w14:paraId="0176038B">
            <w:pPr>
              <w:snapToGrid w:val="0"/>
              <w:jc w:val="center"/>
              <w:rPr>
                <w:rStyle w:val="28"/>
                <w:rFonts w:hint="eastAsia" w:hAnsi="宋体"/>
                <w:kern w:val="0"/>
                <w:sz w:val="21"/>
                <w:szCs w:val="21"/>
              </w:rPr>
            </w:pPr>
            <w:r>
              <w:rPr>
                <w:rStyle w:val="28"/>
                <w:rFonts w:hint="eastAsia" w:hAnsi="宋体"/>
                <w:kern w:val="0"/>
                <w:sz w:val="21"/>
                <w:szCs w:val="21"/>
              </w:rPr>
              <w:t>参加工作时间</w:t>
            </w:r>
          </w:p>
        </w:tc>
        <w:tc>
          <w:tcPr>
            <w:tcW w:w="2526" w:type="dxa"/>
            <w:gridSpan w:val="3"/>
            <w:tcBorders>
              <w:top w:val="single" w:color="000000" w:sz="6" w:space="0"/>
              <w:left w:val="single" w:color="000000" w:sz="6" w:space="0"/>
              <w:bottom w:val="single" w:color="000000" w:sz="6" w:space="0"/>
              <w:right w:val="single" w:color="000000" w:sz="6" w:space="0"/>
            </w:tcBorders>
            <w:vAlign w:val="center"/>
          </w:tcPr>
          <w:p w14:paraId="27728D97">
            <w:pPr>
              <w:snapToGrid w:val="0"/>
              <w:jc w:val="center"/>
              <w:rPr>
                <w:rStyle w:val="28"/>
                <w:rFonts w:hint="eastAsia" w:hAnsi="宋体"/>
                <w:kern w:val="0"/>
                <w:sz w:val="21"/>
                <w:szCs w:val="21"/>
              </w:rPr>
            </w:pPr>
          </w:p>
        </w:tc>
        <w:tc>
          <w:tcPr>
            <w:tcW w:w="3679" w:type="dxa"/>
            <w:gridSpan w:val="3"/>
            <w:tcBorders>
              <w:top w:val="single" w:color="000000" w:sz="6" w:space="0"/>
              <w:left w:val="single" w:color="000000" w:sz="6" w:space="0"/>
              <w:bottom w:val="single" w:color="000000" w:sz="6" w:space="0"/>
              <w:right w:val="single" w:color="000000" w:sz="6" w:space="0"/>
            </w:tcBorders>
            <w:vAlign w:val="center"/>
          </w:tcPr>
          <w:p w14:paraId="70AEA622">
            <w:pPr>
              <w:snapToGrid w:val="0"/>
              <w:jc w:val="center"/>
              <w:rPr>
                <w:rStyle w:val="28"/>
                <w:rFonts w:hint="eastAsia" w:hAnsi="宋体"/>
                <w:kern w:val="0"/>
                <w:sz w:val="21"/>
                <w:szCs w:val="21"/>
              </w:rPr>
            </w:pPr>
            <w:r>
              <w:rPr>
                <w:rStyle w:val="28"/>
                <w:rFonts w:hint="eastAsia" w:hAnsi="宋体"/>
                <w:kern w:val="0"/>
                <w:sz w:val="21"/>
                <w:szCs w:val="21"/>
              </w:rPr>
              <w:t>从事工程建设项目管理工作年限</w:t>
            </w:r>
          </w:p>
        </w:tc>
        <w:tc>
          <w:tcPr>
            <w:tcW w:w="1327" w:type="dxa"/>
            <w:tcBorders>
              <w:top w:val="single" w:color="000000" w:sz="6" w:space="0"/>
              <w:left w:val="single" w:color="000000" w:sz="6" w:space="0"/>
              <w:bottom w:val="single" w:color="000000" w:sz="6" w:space="0"/>
              <w:right w:val="single" w:color="000000" w:sz="6" w:space="0"/>
            </w:tcBorders>
            <w:vAlign w:val="center"/>
          </w:tcPr>
          <w:p w14:paraId="7728483E">
            <w:pPr>
              <w:snapToGrid w:val="0"/>
              <w:jc w:val="center"/>
              <w:rPr>
                <w:rStyle w:val="28"/>
                <w:rFonts w:hint="eastAsia" w:hAnsi="宋体"/>
                <w:kern w:val="0"/>
                <w:sz w:val="21"/>
                <w:szCs w:val="21"/>
              </w:rPr>
            </w:pPr>
          </w:p>
        </w:tc>
      </w:tr>
      <w:tr w14:paraId="1877F11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9270" w:type="dxa"/>
            <w:gridSpan w:val="9"/>
            <w:tcBorders>
              <w:top w:val="single" w:color="000000" w:sz="6" w:space="0"/>
              <w:left w:val="single" w:color="000000" w:sz="6" w:space="0"/>
              <w:bottom w:val="single" w:color="000000" w:sz="6" w:space="0"/>
              <w:right w:val="single" w:color="000000" w:sz="6" w:space="0"/>
            </w:tcBorders>
            <w:vAlign w:val="center"/>
          </w:tcPr>
          <w:p w14:paraId="43F7E779">
            <w:pPr>
              <w:snapToGrid w:val="0"/>
              <w:jc w:val="center"/>
              <w:rPr>
                <w:rStyle w:val="28"/>
                <w:rFonts w:hint="eastAsia" w:hAnsi="宋体"/>
                <w:kern w:val="0"/>
                <w:sz w:val="21"/>
                <w:szCs w:val="21"/>
              </w:rPr>
            </w:pPr>
            <w:r>
              <w:rPr>
                <w:rStyle w:val="28"/>
                <w:rFonts w:hint="eastAsia" w:hAnsi="宋体"/>
                <w:kern w:val="0"/>
                <w:sz w:val="21"/>
                <w:szCs w:val="21"/>
              </w:rPr>
              <w:t>以专职安全员身份参与过的主要业绩（已完工项目）</w:t>
            </w:r>
          </w:p>
        </w:tc>
      </w:tr>
      <w:tr w14:paraId="19629AC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4C67C010">
            <w:pPr>
              <w:snapToGrid w:val="0"/>
              <w:jc w:val="center"/>
              <w:rPr>
                <w:rStyle w:val="28"/>
                <w:rFonts w:hint="eastAsia" w:hAnsi="宋体"/>
                <w:kern w:val="0"/>
                <w:sz w:val="21"/>
                <w:szCs w:val="21"/>
              </w:rPr>
            </w:pPr>
            <w:r>
              <w:rPr>
                <w:rStyle w:val="28"/>
                <w:rFonts w:hint="eastAsia" w:hAnsi="宋体"/>
                <w:kern w:val="0"/>
                <w:sz w:val="21"/>
                <w:szCs w:val="21"/>
              </w:rPr>
              <w:t>序号</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43400A11">
            <w:pPr>
              <w:snapToGrid w:val="0"/>
              <w:jc w:val="center"/>
              <w:rPr>
                <w:rStyle w:val="28"/>
                <w:rFonts w:hint="eastAsia" w:hAnsi="宋体"/>
                <w:kern w:val="0"/>
                <w:sz w:val="21"/>
                <w:szCs w:val="21"/>
              </w:rPr>
            </w:pPr>
            <w:r>
              <w:rPr>
                <w:rStyle w:val="28"/>
                <w:rFonts w:hint="eastAsia" w:hAnsi="宋体"/>
                <w:kern w:val="0"/>
                <w:sz w:val="21"/>
                <w:szCs w:val="21"/>
              </w:rPr>
              <w:t>工程名称</w:t>
            </w: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0ACF095E">
            <w:pPr>
              <w:snapToGrid w:val="0"/>
              <w:jc w:val="center"/>
              <w:rPr>
                <w:rStyle w:val="28"/>
                <w:rFonts w:hint="eastAsia" w:hAnsi="宋体"/>
                <w:kern w:val="0"/>
                <w:sz w:val="21"/>
                <w:szCs w:val="21"/>
              </w:rPr>
            </w:pPr>
            <w:r>
              <w:rPr>
                <w:rStyle w:val="28"/>
                <w:rFonts w:hint="eastAsia" w:hAnsi="宋体"/>
                <w:kern w:val="0"/>
                <w:sz w:val="21"/>
                <w:szCs w:val="21"/>
              </w:rPr>
              <w:t>建设单位</w:t>
            </w: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43A710CC">
            <w:pPr>
              <w:snapToGrid w:val="0"/>
              <w:jc w:val="center"/>
              <w:rPr>
                <w:rStyle w:val="28"/>
                <w:rFonts w:hint="eastAsia" w:hAnsi="宋体"/>
                <w:kern w:val="0"/>
                <w:sz w:val="21"/>
                <w:szCs w:val="21"/>
              </w:rPr>
            </w:pPr>
            <w:r>
              <w:rPr>
                <w:rStyle w:val="28"/>
                <w:rFonts w:hint="eastAsia" w:hAnsi="宋体"/>
                <w:kern w:val="0"/>
                <w:sz w:val="21"/>
                <w:szCs w:val="21"/>
              </w:rPr>
              <w:t>建设内容和规模</w:t>
            </w:r>
          </w:p>
        </w:tc>
        <w:tc>
          <w:tcPr>
            <w:tcW w:w="1706" w:type="dxa"/>
            <w:tcBorders>
              <w:top w:val="single" w:color="000000" w:sz="6" w:space="0"/>
              <w:left w:val="single" w:color="000000" w:sz="6" w:space="0"/>
              <w:bottom w:val="single" w:color="000000" w:sz="6" w:space="0"/>
              <w:right w:val="single" w:color="000000" w:sz="6" w:space="0"/>
            </w:tcBorders>
            <w:vAlign w:val="center"/>
          </w:tcPr>
          <w:p w14:paraId="7B3C3E0B">
            <w:pPr>
              <w:snapToGrid w:val="0"/>
              <w:jc w:val="center"/>
              <w:rPr>
                <w:rStyle w:val="28"/>
                <w:rFonts w:hint="eastAsia" w:hAnsi="宋体"/>
                <w:kern w:val="0"/>
                <w:sz w:val="21"/>
                <w:szCs w:val="21"/>
              </w:rPr>
            </w:pPr>
            <w:r>
              <w:rPr>
                <w:rStyle w:val="28"/>
                <w:rFonts w:hint="eastAsia" w:hAnsi="宋体"/>
                <w:kern w:val="0"/>
                <w:sz w:val="21"/>
                <w:szCs w:val="21"/>
              </w:rPr>
              <w:t>开、竣工日期</w:t>
            </w:r>
          </w:p>
        </w:tc>
        <w:tc>
          <w:tcPr>
            <w:tcW w:w="1327" w:type="dxa"/>
            <w:tcBorders>
              <w:top w:val="single" w:color="000000" w:sz="6" w:space="0"/>
              <w:left w:val="single" w:color="000000" w:sz="6" w:space="0"/>
              <w:bottom w:val="single" w:color="000000" w:sz="6" w:space="0"/>
              <w:right w:val="single" w:color="000000" w:sz="6" w:space="0"/>
            </w:tcBorders>
            <w:vAlign w:val="center"/>
          </w:tcPr>
          <w:p w14:paraId="51252754">
            <w:pPr>
              <w:snapToGrid w:val="0"/>
              <w:jc w:val="center"/>
              <w:rPr>
                <w:rStyle w:val="28"/>
                <w:rFonts w:hint="eastAsia" w:hAnsi="宋体"/>
                <w:kern w:val="0"/>
                <w:sz w:val="21"/>
                <w:szCs w:val="21"/>
              </w:rPr>
            </w:pPr>
            <w:r>
              <w:rPr>
                <w:rStyle w:val="28"/>
                <w:rFonts w:hint="eastAsia" w:hAnsi="宋体"/>
                <w:kern w:val="0"/>
                <w:sz w:val="21"/>
                <w:szCs w:val="21"/>
              </w:rPr>
              <w:t>质量等级</w:t>
            </w:r>
          </w:p>
        </w:tc>
      </w:tr>
      <w:tr w14:paraId="4B9E50B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76D7C4C3">
            <w:pPr>
              <w:snapToGrid w:val="0"/>
              <w:jc w:val="center"/>
              <w:rPr>
                <w:rStyle w:val="28"/>
                <w:rFonts w:hint="eastAsia" w:hAnsi="宋体"/>
                <w:kern w:val="0"/>
                <w:sz w:val="21"/>
                <w:szCs w:val="21"/>
              </w:rPr>
            </w:pPr>
            <w:r>
              <w:rPr>
                <w:rStyle w:val="28"/>
                <w:rFonts w:hint="eastAsia" w:hAnsi="宋体"/>
                <w:kern w:val="0"/>
                <w:sz w:val="21"/>
                <w:szCs w:val="21"/>
              </w:rPr>
              <w:t>1</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4EA46732">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1417DAD5">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7232E5E8">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25AAEEE4">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299B732D">
            <w:pPr>
              <w:snapToGrid w:val="0"/>
              <w:jc w:val="center"/>
              <w:rPr>
                <w:rStyle w:val="28"/>
                <w:rFonts w:hint="eastAsia" w:hAnsi="宋体"/>
                <w:kern w:val="0"/>
                <w:sz w:val="21"/>
                <w:szCs w:val="21"/>
              </w:rPr>
            </w:pPr>
          </w:p>
        </w:tc>
      </w:tr>
      <w:tr w14:paraId="21C8BE7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138BBF13">
            <w:pPr>
              <w:snapToGrid w:val="0"/>
              <w:jc w:val="center"/>
              <w:rPr>
                <w:rStyle w:val="28"/>
                <w:rFonts w:hint="eastAsia" w:hAnsi="宋体"/>
                <w:kern w:val="0"/>
                <w:sz w:val="21"/>
                <w:szCs w:val="21"/>
              </w:rPr>
            </w:pPr>
            <w:r>
              <w:rPr>
                <w:rStyle w:val="28"/>
                <w:rFonts w:hint="eastAsia" w:hAnsi="宋体"/>
                <w:kern w:val="0"/>
                <w:sz w:val="21"/>
                <w:szCs w:val="21"/>
              </w:rPr>
              <w:t>2</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732DE4A9">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42AA2067">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13A9F6BF">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7A6BC35E">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1332E004">
            <w:pPr>
              <w:snapToGrid w:val="0"/>
              <w:jc w:val="center"/>
              <w:rPr>
                <w:rStyle w:val="28"/>
                <w:rFonts w:hint="eastAsia" w:hAnsi="宋体"/>
                <w:kern w:val="0"/>
                <w:sz w:val="21"/>
                <w:szCs w:val="21"/>
              </w:rPr>
            </w:pPr>
          </w:p>
        </w:tc>
      </w:tr>
      <w:tr w14:paraId="32F6E93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2D3F99DF">
            <w:pPr>
              <w:snapToGrid w:val="0"/>
              <w:jc w:val="center"/>
              <w:rPr>
                <w:rStyle w:val="28"/>
                <w:rFonts w:hint="eastAsia" w:hAnsi="宋体"/>
                <w:kern w:val="0"/>
                <w:sz w:val="21"/>
                <w:szCs w:val="21"/>
              </w:rPr>
            </w:pPr>
            <w:r>
              <w:rPr>
                <w:rStyle w:val="28"/>
                <w:rFonts w:hint="eastAsia" w:hAnsi="宋体"/>
                <w:kern w:val="0"/>
                <w:sz w:val="21"/>
                <w:szCs w:val="21"/>
              </w:rPr>
              <w:t>……</w:t>
            </w: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7BFED427">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7A1DDBB1">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66821B7F">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2865BD44">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621AA348">
            <w:pPr>
              <w:snapToGrid w:val="0"/>
              <w:jc w:val="center"/>
              <w:rPr>
                <w:rStyle w:val="28"/>
                <w:rFonts w:hint="eastAsia" w:hAnsi="宋体"/>
                <w:kern w:val="0"/>
                <w:sz w:val="21"/>
                <w:szCs w:val="21"/>
              </w:rPr>
            </w:pPr>
          </w:p>
        </w:tc>
      </w:tr>
      <w:tr w14:paraId="41E72CB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455E61BD">
            <w:pPr>
              <w:snapToGrid w:val="0"/>
              <w:jc w:val="center"/>
              <w:rPr>
                <w:rStyle w:val="28"/>
                <w:rFonts w:hint="eastAsia" w:hAnsi="宋体"/>
                <w:kern w:val="0"/>
                <w:sz w:val="21"/>
                <w:szCs w:val="21"/>
              </w:rPr>
            </w:pP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50D85950">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16E7411C">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40B989FE">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28EF9F4E">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0BBF3880">
            <w:pPr>
              <w:snapToGrid w:val="0"/>
              <w:jc w:val="center"/>
              <w:rPr>
                <w:rStyle w:val="28"/>
                <w:rFonts w:hint="eastAsia" w:hAnsi="宋体"/>
                <w:kern w:val="0"/>
                <w:sz w:val="21"/>
                <w:szCs w:val="21"/>
              </w:rPr>
            </w:pPr>
          </w:p>
        </w:tc>
      </w:tr>
      <w:tr w14:paraId="1A82595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vAlign w:val="center"/>
          </w:tcPr>
          <w:p w14:paraId="5CAB3462">
            <w:pPr>
              <w:snapToGrid w:val="0"/>
              <w:jc w:val="center"/>
              <w:rPr>
                <w:rStyle w:val="28"/>
                <w:rFonts w:hint="eastAsia" w:hAnsi="宋体"/>
                <w:kern w:val="0"/>
                <w:sz w:val="21"/>
                <w:szCs w:val="21"/>
              </w:rPr>
            </w:pPr>
          </w:p>
        </w:tc>
        <w:tc>
          <w:tcPr>
            <w:tcW w:w="1547" w:type="dxa"/>
            <w:gridSpan w:val="2"/>
            <w:tcBorders>
              <w:top w:val="single" w:color="000000" w:sz="6" w:space="0"/>
              <w:left w:val="single" w:color="000000" w:sz="4" w:space="0"/>
              <w:bottom w:val="single" w:color="000000" w:sz="6" w:space="0"/>
              <w:right w:val="single" w:color="000000" w:sz="6" w:space="0"/>
            </w:tcBorders>
            <w:vAlign w:val="center"/>
          </w:tcPr>
          <w:p w14:paraId="2F056D84">
            <w:pPr>
              <w:snapToGrid w:val="0"/>
              <w:jc w:val="center"/>
              <w:rPr>
                <w:rStyle w:val="28"/>
                <w:rFonts w:hint="eastAsia" w:hAnsi="宋体"/>
                <w:kern w:val="0"/>
                <w:sz w:val="21"/>
                <w:szCs w:val="21"/>
              </w:rPr>
            </w:pPr>
          </w:p>
        </w:tc>
        <w:tc>
          <w:tcPr>
            <w:tcW w:w="1942" w:type="dxa"/>
            <w:gridSpan w:val="2"/>
            <w:tcBorders>
              <w:top w:val="single" w:color="000000" w:sz="6" w:space="0"/>
              <w:left w:val="single" w:color="000000" w:sz="6" w:space="0"/>
              <w:bottom w:val="single" w:color="000000" w:sz="6" w:space="0"/>
              <w:right w:val="single" w:color="000000" w:sz="6" w:space="0"/>
            </w:tcBorders>
            <w:vAlign w:val="center"/>
          </w:tcPr>
          <w:p w14:paraId="7E473997">
            <w:pPr>
              <w:snapToGrid w:val="0"/>
              <w:jc w:val="center"/>
              <w:rPr>
                <w:rStyle w:val="28"/>
                <w:rFonts w:hint="eastAsia" w:hAnsi="宋体"/>
                <w:kern w:val="0"/>
                <w:sz w:val="21"/>
                <w:szCs w:val="21"/>
              </w:rPr>
            </w:pPr>
          </w:p>
        </w:tc>
        <w:tc>
          <w:tcPr>
            <w:tcW w:w="1973" w:type="dxa"/>
            <w:gridSpan w:val="2"/>
            <w:tcBorders>
              <w:top w:val="single" w:color="000000" w:sz="6" w:space="0"/>
              <w:left w:val="single" w:color="000000" w:sz="6" w:space="0"/>
              <w:bottom w:val="single" w:color="000000" w:sz="6" w:space="0"/>
              <w:right w:val="single" w:color="000000" w:sz="6" w:space="0"/>
            </w:tcBorders>
            <w:vAlign w:val="center"/>
          </w:tcPr>
          <w:p w14:paraId="0D79517E">
            <w:pPr>
              <w:snapToGrid w:val="0"/>
              <w:jc w:val="center"/>
              <w:rPr>
                <w:rStyle w:val="28"/>
                <w:rFonts w:hint="eastAsia" w:hAnsi="宋体"/>
                <w:kern w:val="0"/>
                <w:sz w:val="21"/>
                <w:szCs w:val="21"/>
              </w:rPr>
            </w:pPr>
          </w:p>
        </w:tc>
        <w:tc>
          <w:tcPr>
            <w:tcW w:w="1706" w:type="dxa"/>
            <w:tcBorders>
              <w:top w:val="single" w:color="000000" w:sz="6" w:space="0"/>
              <w:left w:val="single" w:color="000000" w:sz="6" w:space="0"/>
              <w:bottom w:val="single" w:color="000000" w:sz="6" w:space="0"/>
              <w:right w:val="single" w:color="000000" w:sz="6" w:space="0"/>
            </w:tcBorders>
            <w:vAlign w:val="center"/>
          </w:tcPr>
          <w:p w14:paraId="0237F72A">
            <w:pPr>
              <w:snapToGrid w:val="0"/>
              <w:jc w:val="center"/>
              <w:rPr>
                <w:rStyle w:val="28"/>
                <w:rFonts w:hint="eastAsia" w:hAnsi="宋体"/>
                <w:kern w:val="0"/>
                <w:sz w:val="21"/>
                <w:szCs w:val="21"/>
              </w:rPr>
            </w:pPr>
          </w:p>
        </w:tc>
        <w:tc>
          <w:tcPr>
            <w:tcW w:w="1327" w:type="dxa"/>
            <w:tcBorders>
              <w:top w:val="single" w:color="000000" w:sz="6" w:space="0"/>
              <w:left w:val="single" w:color="000000" w:sz="6" w:space="0"/>
              <w:bottom w:val="single" w:color="000000" w:sz="6" w:space="0"/>
              <w:right w:val="single" w:color="000000" w:sz="6" w:space="0"/>
            </w:tcBorders>
            <w:vAlign w:val="center"/>
          </w:tcPr>
          <w:p w14:paraId="3811B610">
            <w:pPr>
              <w:snapToGrid w:val="0"/>
              <w:jc w:val="center"/>
              <w:rPr>
                <w:rStyle w:val="28"/>
                <w:rFonts w:hint="eastAsia" w:hAnsi="宋体"/>
                <w:kern w:val="0"/>
                <w:sz w:val="21"/>
                <w:szCs w:val="21"/>
              </w:rPr>
            </w:pPr>
          </w:p>
        </w:tc>
      </w:tr>
    </w:tbl>
    <w:p w14:paraId="15A8FFD9">
      <w:pPr>
        <w:snapToGrid w:val="0"/>
        <w:jc w:val="center"/>
        <w:rPr>
          <w:rStyle w:val="28"/>
          <w:rFonts w:hint="eastAsia" w:hAnsi="宋体"/>
          <w:b/>
          <w:bCs/>
          <w:kern w:val="0"/>
        </w:rPr>
      </w:pPr>
      <w:r>
        <w:rPr>
          <w:rStyle w:val="28"/>
          <w:rFonts w:hint="eastAsia" w:hAnsi="宋体"/>
          <w:b/>
          <w:bCs/>
          <w:kern w:val="0"/>
          <w:sz w:val="30"/>
          <w:szCs w:val="30"/>
        </w:rPr>
        <w:t>专职安全员简历表</w:t>
      </w:r>
    </w:p>
    <w:p w14:paraId="0F6BDAA3">
      <w:pPr>
        <w:snapToGrid w:val="0"/>
        <w:ind w:firstLine="570"/>
        <w:rPr>
          <w:rStyle w:val="28"/>
          <w:rFonts w:hint="eastAsia" w:hAnsi="宋体"/>
          <w:kern w:val="0"/>
        </w:rPr>
      </w:pPr>
    </w:p>
    <w:p w14:paraId="37AF5889">
      <w:pPr>
        <w:pStyle w:val="56"/>
        <w:snapToGrid w:val="0"/>
        <w:jc w:val="right"/>
        <w:rPr>
          <w:rStyle w:val="28"/>
          <w:rFonts w:hint="eastAsia" w:hAnsi="宋体"/>
          <w:kern w:val="0"/>
        </w:rPr>
      </w:pPr>
    </w:p>
    <w:p w14:paraId="5CE457E2">
      <w:pPr>
        <w:pStyle w:val="56"/>
        <w:snapToGrid w:val="0"/>
        <w:jc w:val="right"/>
        <w:rPr>
          <w:rStyle w:val="28"/>
          <w:rFonts w:hint="eastAsia" w:hAnsi="宋体"/>
          <w:kern w:val="0"/>
        </w:rPr>
      </w:pPr>
      <w:r>
        <w:rPr>
          <w:rStyle w:val="28"/>
          <w:rFonts w:hint="eastAsia" w:hAnsi="宋体"/>
          <w:kern w:val="0"/>
        </w:rPr>
        <w:t>专职安全员：</w:t>
      </w:r>
      <w:r>
        <w:rPr>
          <w:rStyle w:val="28"/>
          <w:rFonts w:hint="eastAsia" w:hAnsi="宋体"/>
          <w:kern w:val="0"/>
          <w:u w:val="single"/>
        </w:rPr>
        <w:t xml:space="preserve">              </w:t>
      </w:r>
      <w:r>
        <w:rPr>
          <w:rStyle w:val="28"/>
          <w:rFonts w:hint="eastAsia" w:hAnsi="宋体"/>
          <w:kern w:val="0"/>
        </w:rPr>
        <w:t>（签字）</w:t>
      </w:r>
    </w:p>
    <w:p w14:paraId="3F0C6A52">
      <w:pPr>
        <w:pStyle w:val="56"/>
        <w:snapToGrid w:val="0"/>
        <w:jc w:val="right"/>
        <w:rPr>
          <w:rStyle w:val="28"/>
          <w:rFonts w:hint="eastAsia" w:hAnsi="宋体"/>
          <w:kern w:val="0"/>
        </w:rPr>
      </w:pPr>
    </w:p>
    <w:p w14:paraId="5A5790DF">
      <w:pPr>
        <w:pStyle w:val="56"/>
        <w:snapToGrid w:val="0"/>
        <w:jc w:val="center"/>
        <w:rPr>
          <w:rStyle w:val="28"/>
          <w:rFonts w:hint="eastAsia" w:hAnsi="宋体"/>
          <w:kern w:val="0"/>
        </w:rPr>
      </w:pPr>
      <w:r>
        <w:rPr>
          <w:rStyle w:val="28"/>
          <w:rFonts w:hint="eastAsia" w:hAnsi="宋体"/>
          <w:kern w:val="0"/>
        </w:rPr>
        <w:t xml:space="preserve">                                     </w:t>
      </w:r>
      <w:r>
        <w:rPr>
          <w:rStyle w:val="28"/>
          <w:rFonts w:hint="eastAsia" w:hAnsi="宋体"/>
          <w:kern w:val="0"/>
          <w:u w:val="single"/>
        </w:rPr>
        <w:t xml:space="preserve">       </w:t>
      </w:r>
      <w:r>
        <w:rPr>
          <w:rStyle w:val="28"/>
          <w:rFonts w:hint="eastAsia" w:hAnsi="宋体"/>
          <w:kern w:val="0"/>
        </w:rPr>
        <w:t>年</w:t>
      </w:r>
      <w:r>
        <w:rPr>
          <w:rStyle w:val="28"/>
          <w:rFonts w:hint="eastAsia" w:hAnsi="宋体"/>
          <w:kern w:val="0"/>
          <w:u w:val="single"/>
        </w:rPr>
        <w:t xml:space="preserve">     </w:t>
      </w:r>
      <w:r>
        <w:rPr>
          <w:rStyle w:val="28"/>
          <w:rFonts w:hint="eastAsia" w:hAnsi="宋体"/>
          <w:kern w:val="0"/>
        </w:rPr>
        <w:t>月</w:t>
      </w:r>
      <w:r>
        <w:rPr>
          <w:rStyle w:val="28"/>
          <w:rFonts w:hint="eastAsia" w:hAnsi="宋体"/>
          <w:kern w:val="0"/>
          <w:u w:val="single"/>
        </w:rPr>
        <w:t xml:space="preserve">     </w:t>
      </w:r>
      <w:r>
        <w:rPr>
          <w:rStyle w:val="28"/>
          <w:rFonts w:hint="eastAsia" w:hAnsi="宋体"/>
          <w:kern w:val="0"/>
        </w:rPr>
        <w:t>日</w:t>
      </w:r>
    </w:p>
    <w:p w14:paraId="6C5DA6FB">
      <w:pPr>
        <w:snapToGrid w:val="0"/>
        <w:ind w:firstLine="570"/>
        <w:rPr>
          <w:rStyle w:val="28"/>
          <w:rFonts w:hint="eastAsia" w:hAnsi="宋体"/>
          <w:kern w:val="0"/>
        </w:rPr>
      </w:pPr>
    </w:p>
    <w:p w14:paraId="5FDBE192">
      <w:pPr>
        <w:snapToGrid w:val="0"/>
        <w:rPr>
          <w:rStyle w:val="28"/>
          <w:rFonts w:hint="eastAsia" w:hAnsi="宋体"/>
          <w:kern w:val="0"/>
          <w:sz w:val="21"/>
          <w:szCs w:val="21"/>
        </w:rPr>
      </w:pPr>
      <w:r>
        <w:rPr>
          <w:rStyle w:val="28"/>
          <w:rFonts w:hint="eastAsia" w:hAnsi="宋体"/>
          <w:kern w:val="0"/>
          <w:sz w:val="21"/>
          <w:szCs w:val="21"/>
        </w:rPr>
        <w:t xml:space="preserve">    说明：《专职安全员简历表》后应附拟派专职安全员以下资料：</w:t>
      </w:r>
    </w:p>
    <w:p w14:paraId="11697795">
      <w:pPr>
        <w:snapToGrid w:val="0"/>
        <w:rPr>
          <w:rStyle w:val="28"/>
          <w:rFonts w:hint="eastAsia" w:hAnsi="宋体"/>
          <w:kern w:val="0"/>
          <w:sz w:val="21"/>
          <w:szCs w:val="21"/>
        </w:rPr>
      </w:pPr>
      <w:r>
        <w:rPr>
          <w:rStyle w:val="28"/>
          <w:rFonts w:hint="eastAsia" w:hAnsi="宋体"/>
          <w:kern w:val="0"/>
          <w:sz w:val="21"/>
          <w:szCs w:val="21"/>
        </w:rPr>
        <w:t xml:space="preserve">    1.身份证</w:t>
      </w:r>
      <w:r>
        <w:rPr>
          <w:rFonts w:hint="eastAsia" w:hAnsi="宋体"/>
          <w:snapToGrid w:val="0"/>
          <w:kern w:val="0"/>
          <w:sz w:val="21"/>
          <w:szCs w:val="21"/>
        </w:rPr>
        <w:t>彩色扫描件</w:t>
      </w:r>
      <w:r>
        <w:rPr>
          <w:rStyle w:val="28"/>
          <w:rFonts w:hint="eastAsia" w:hAnsi="宋体"/>
          <w:kern w:val="0"/>
          <w:sz w:val="21"/>
          <w:szCs w:val="21"/>
        </w:rPr>
        <w:t>；</w:t>
      </w:r>
    </w:p>
    <w:p w14:paraId="161D44EE">
      <w:pPr>
        <w:snapToGrid w:val="0"/>
        <w:rPr>
          <w:rStyle w:val="28"/>
          <w:rFonts w:hint="eastAsia" w:hAnsi="宋体"/>
          <w:kern w:val="0"/>
          <w:sz w:val="21"/>
          <w:szCs w:val="21"/>
        </w:rPr>
      </w:pPr>
      <w:r>
        <w:rPr>
          <w:rStyle w:val="28"/>
          <w:rFonts w:hint="eastAsia" w:hAnsi="宋体"/>
          <w:kern w:val="0"/>
          <w:sz w:val="21"/>
          <w:szCs w:val="21"/>
        </w:rPr>
        <w:t xml:space="preserve">    2.C类安全生产考核合格证书</w:t>
      </w:r>
      <w:r>
        <w:rPr>
          <w:rFonts w:hint="eastAsia" w:hAnsi="宋体"/>
          <w:snapToGrid w:val="0"/>
          <w:kern w:val="0"/>
          <w:sz w:val="21"/>
          <w:szCs w:val="21"/>
        </w:rPr>
        <w:t>彩色扫描件</w:t>
      </w:r>
      <w:r>
        <w:rPr>
          <w:rStyle w:val="28"/>
          <w:rFonts w:hint="eastAsia" w:hAnsi="宋体"/>
          <w:kern w:val="0"/>
          <w:sz w:val="21"/>
          <w:szCs w:val="21"/>
        </w:rPr>
        <w:t>（或打印件）或“广东省建筑施工企业管理人员安全生产考核信息系统”考核合格信息打印页；</w:t>
      </w:r>
    </w:p>
    <w:p w14:paraId="7BEA21F8">
      <w:pPr>
        <w:snapToGrid w:val="0"/>
        <w:ind w:firstLine="420" w:firstLineChars="200"/>
        <w:rPr>
          <w:rStyle w:val="28"/>
          <w:rFonts w:hint="eastAsia" w:hAnsi="宋体"/>
          <w:kern w:val="0"/>
          <w:sz w:val="21"/>
          <w:szCs w:val="21"/>
        </w:rPr>
      </w:pPr>
      <w:r>
        <w:rPr>
          <w:rStyle w:val="28"/>
          <w:rFonts w:hint="eastAsia" w:hAnsi="宋体"/>
          <w:kern w:val="0"/>
          <w:sz w:val="21"/>
          <w:szCs w:val="21"/>
        </w:rPr>
        <w:t>3.在本单位缴纳社保的证明（连续三个月，其中必须有2026年8月）</w:t>
      </w:r>
      <w:r>
        <w:rPr>
          <w:rFonts w:hint="eastAsia" w:hAnsi="宋体"/>
          <w:snapToGrid w:val="0"/>
          <w:kern w:val="0"/>
          <w:sz w:val="21"/>
          <w:szCs w:val="21"/>
        </w:rPr>
        <w:t>彩色扫描件，非独立法人分支机构出具社保，予以认可；</w:t>
      </w:r>
      <w:r>
        <w:rPr>
          <w:rStyle w:val="28"/>
          <w:rFonts w:hint="eastAsia" w:hAnsi="宋体"/>
          <w:kern w:val="0"/>
          <w:sz w:val="21"/>
          <w:szCs w:val="21"/>
        </w:rPr>
        <w:t>拟派专职安全员为退休返聘人员无法提供社保证明的，提供退休证和劳动合同</w:t>
      </w:r>
      <w:r>
        <w:rPr>
          <w:rFonts w:hint="eastAsia" w:hAnsi="宋体"/>
          <w:snapToGrid w:val="0"/>
          <w:kern w:val="0"/>
          <w:sz w:val="21"/>
          <w:szCs w:val="21"/>
        </w:rPr>
        <w:t>彩色扫描件</w:t>
      </w:r>
      <w:r>
        <w:rPr>
          <w:rStyle w:val="28"/>
          <w:rFonts w:hint="eastAsia" w:hAnsi="宋体"/>
          <w:kern w:val="0"/>
          <w:sz w:val="21"/>
          <w:szCs w:val="21"/>
        </w:rPr>
        <w:t>。</w:t>
      </w:r>
    </w:p>
    <w:p w14:paraId="60261A2F">
      <w:pPr>
        <w:snapToGrid w:val="0"/>
        <w:ind w:firstLine="420" w:firstLineChars="200"/>
        <w:rPr>
          <w:rStyle w:val="28"/>
          <w:rFonts w:hint="eastAsia" w:hAnsi="宋体"/>
          <w:kern w:val="0"/>
          <w:sz w:val="21"/>
          <w:szCs w:val="21"/>
        </w:rPr>
      </w:pPr>
      <w:r>
        <w:rPr>
          <w:rStyle w:val="28"/>
          <w:rFonts w:hint="eastAsia" w:hAnsi="宋体"/>
          <w:kern w:val="0"/>
          <w:sz w:val="21"/>
          <w:szCs w:val="21"/>
        </w:rPr>
        <w:t>4.“进粤企业和人员诚信信息登记平台”个人信息情况截图。（适用于省外建筑企业）</w:t>
      </w:r>
    </w:p>
    <w:p w14:paraId="30C756EA">
      <w:pPr>
        <w:pStyle w:val="55"/>
        <w:snapToGrid w:val="0"/>
        <w:ind w:left="2288" w:leftChars="15" w:hanging="2252" w:hangingChars="1068"/>
        <w:outlineLvl w:val="1"/>
        <w:rPr>
          <w:rStyle w:val="28"/>
          <w:rFonts w:hint="eastAsia" w:hAnsi="宋体"/>
          <w:b/>
          <w:bCs/>
          <w:sz w:val="21"/>
          <w:szCs w:val="21"/>
        </w:rPr>
      </w:pPr>
      <w:bookmarkStart w:id="690" w:name="_Toc13800"/>
      <w:bookmarkStart w:id="691" w:name="_Toc11123"/>
      <w:bookmarkStart w:id="692" w:name="_Toc6214"/>
      <w:bookmarkStart w:id="693" w:name="_Toc27456"/>
      <w:r>
        <w:rPr>
          <w:rStyle w:val="28"/>
          <w:rFonts w:hint="eastAsia" w:hAnsi="宋体"/>
          <w:b/>
          <w:bCs/>
          <w:sz w:val="21"/>
          <w:szCs w:val="21"/>
        </w:rPr>
        <w:br w:type="page"/>
      </w:r>
      <w:bookmarkStart w:id="694" w:name="_Toc15266"/>
      <w:bookmarkStart w:id="695" w:name="_Toc31435"/>
      <w:bookmarkStart w:id="696" w:name="_Toc22584"/>
      <w:bookmarkStart w:id="697" w:name="_Toc19093"/>
      <w:bookmarkStart w:id="698" w:name="_Toc14867"/>
      <w:bookmarkStart w:id="699" w:name="_Toc8350"/>
      <w:bookmarkStart w:id="700" w:name="_Toc6877"/>
      <w:bookmarkStart w:id="701" w:name="_Toc4080"/>
      <w:bookmarkStart w:id="702" w:name="_Toc23260"/>
      <w:r>
        <w:rPr>
          <w:rStyle w:val="28"/>
          <w:rFonts w:hint="eastAsia" w:hAnsi="宋体"/>
          <w:b/>
          <w:bCs/>
          <w:sz w:val="21"/>
          <w:szCs w:val="21"/>
        </w:rPr>
        <w:t>格式十二 项目管理机构组成表</w:t>
      </w:r>
      <w:bookmarkEnd w:id="690"/>
      <w:bookmarkEnd w:id="691"/>
      <w:bookmarkEnd w:id="692"/>
      <w:bookmarkEnd w:id="693"/>
      <w:bookmarkEnd w:id="694"/>
      <w:bookmarkEnd w:id="695"/>
      <w:bookmarkEnd w:id="696"/>
      <w:bookmarkEnd w:id="697"/>
      <w:bookmarkEnd w:id="698"/>
      <w:bookmarkEnd w:id="699"/>
      <w:bookmarkEnd w:id="700"/>
      <w:bookmarkEnd w:id="701"/>
      <w:bookmarkEnd w:id="702"/>
    </w:p>
    <w:p w14:paraId="6A5E20AD">
      <w:pPr>
        <w:snapToGrid w:val="0"/>
        <w:spacing w:before="260" w:after="260"/>
        <w:jc w:val="center"/>
        <w:rPr>
          <w:rStyle w:val="28"/>
          <w:rFonts w:hint="eastAsia" w:hAnsi="宋体"/>
          <w:b/>
          <w:bCs/>
          <w:kern w:val="0"/>
        </w:rPr>
      </w:pPr>
      <w:r>
        <w:rPr>
          <w:rStyle w:val="28"/>
          <w:rFonts w:hint="eastAsia" w:hAnsi="宋体"/>
          <w:b/>
          <w:bCs/>
          <w:kern w:val="0"/>
          <w:sz w:val="30"/>
          <w:szCs w:val="30"/>
        </w:rPr>
        <w:t>项目管理机构组成表</w:t>
      </w:r>
    </w:p>
    <w:tbl>
      <w:tblPr>
        <w:tblStyle w:val="19"/>
        <w:tblW w:w="8938" w:type="dxa"/>
        <w:tblInd w:w="2"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43"/>
        <w:gridCol w:w="1421"/>
        <w:gridCol w:w="1355"/>
        <w:gridCol w:w="900"/>
        <w:gridCol w:w="817"/>
        <w:gridCol w:w="1538"/>
        <w:gridCol w:w="2164"/>
      </w:tblGrid>
      <w:tr w14:paraId="609CB4E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60" w:hRule="atLeast"/>
        </w:trPr>
        <w:tc>
          <w:tcPr>
            <w:tcW w:w="743" w:type="dxa"/>
            <w:tcBorders>
              <w:top w:val="single" w:color="000000" w:sz="6" w:space="0"/>
              <w:left w:val="single" w:color="000000" w:sz="6" w:space="0"/>
              <w:bottom w:val="single" w:color="000000" w:sz="6" w:space="0"/>
              <w:right w:val="single" w:color="000000" w:sz="6" w:space="0"/>
            </w:tcBorders>
            <w:vAlign w:val="center"/>
          </w:tcPr>
          <w:p w14:paraId="38188C9A">
            <w:pPr>
              <w:snapToGrid w:val="0"/>
              <w:jc w:val="center"/>
              <w:rPr>
                <w:rStyle w:val="28"/>
                <w:rFonts w:hint="eastAsia" w:hAnsi="宋体"/>
                <w:kern w:val="0"/>
                <w:sz w:val="21"/>
                <w:szCs w:val="21"/>
              </w:rPr>
            </w:pPr>
            <w:r>
              <w:rPr>
                <w:rStyle w:val="28"/>
                <w:rFonts w:hint="eastAsia" w:hAnsi="宋体"/>
                <w:kern w:val="0"/>
                <w:sz w:val="21"/>
                <w:szCs w:val="21"/>
              </w:rPr>
              <w:t>序号</w:t>
            </w:r>
          </w:p>
        </w:tc>
        <w:tc>
          <w:tcPr>
            <w:tcW w:w="1421" w:type="dxa"/>
            <w:tcBorders>
              <w:top w:val="single" w:color="000000" w:sz="6" w:space="0"/>
              <w:left w:val="single" w:color="000000" w:sz="6" w:space="0"/>
              <w:bottom w:val="single" w:color="000000" w:sz="6" w:space="0"/>
              <w:right w:val="single" w:color="000000" w:sz="6" w:space="0"/>
            </w:tcBorders>
            <w:vAlign w:val="center"/>
          </w:tcPr>
          <w:p w14:paraId="20D6BE2C">
            <w:pPr>
              <w:snapToGrid w:val="0"/>
              <w:jc w:val="center"/>
              <w:rPr>
                <w:rStyle w:val="28"/>
                <w:rFonts w:hint="eastAsia" w:hAnsi="宋体"/>
                <w:kern w:val="0"/>
                <w:sz w:val="21"/>
                <w:szCs w:val="21"/>
              </w:rPr>
            </w:pPr>
            <w:r>
              <w:rPr>
                <w:rStyle w:val="28"/>
                <w:rFonts w:hint="eastAsia" w:hAnsi="宋体"/>
                <w:kern w:val="0"/>
                <w:sz w:val="21"/>
                <w:szCs w:val="21"/>
              </w:rPr>
              <w:t>职务</w:t>
            </w:r>
          </w:p>
        </w:tc>
        <w:tc>
          <w:tcPr>
            <w:tcW w:w="1355" w:type="dxa"/>
            <w:tcBorders>
              <w:top w:val="single" w:color="000000" w:sz="6" w:space="0"/>
              <w:left w:val="single" w:color="000000" w:sz="6" w:space="0"/>
              <w:bottom w:val="single" w:color="000000" w:sz="6" w:space="0"/>
              <w:right w:val="single" w:color="000000" w:sz="6" w:space="0"/>
            </w:tcBorders>
            <w:vAlign w:val="center"/>
          </w:tcPr>
          <w:p w14:paraId="694A69BC">
            <w:pPr>
              <w:snapToGrid w:val="0"/>
              <w:jc w:val="center"/>
              <w:rPr>
                <w:rStyle w:val="28"/>
                <w:rFonts w:hint="eastAsia" w:hAnsi="宋体"/>
                <w:kern w:val="0"/>
                <w:sz w:val="21"/>
                <w:szCs w:val="21"/>
              </w:rPr>
            </w:pPr>
            <w:r>
              <w:rPr>
                <w:rStyle w:val="28"/>
                <w:rFonts w:hint="eastAsia" w:hAnsi="宋体"/>
                <w:kern w:val="0"/>
                <w:sz w:val="21"/>
                <w:szCs w:val="21"/>
              </w:rPr>
              <w:t>姓名</w:t>
            </w:r>
          </w:p>
        </w:tc>
        <w:tc>
          <w:tcPr>
            <w:tcW w:w="900" w:type="dxa"/>
            <w:tcBorders>
              <w:top w:val="single" w:color="000000" w:sz="6" w:space="0"/>
              <w:left w:val="single" w:color="000000" w:sz="6" w:space="0"/>
              <w:bottom w:val="single" w:color="000000" w:sz="6" w:space="0"/>
              <w:right w:val="single" w:color="000000" w:sz="6" w:space="0"/>
            </w:tcBorders>
            <w:vAlign w:val="center"/>
          </w:tcPr>
          <w:p w14:paraId="66C743A3">
            <w:pPr>
              <w:snapToGrid w:val="0"/>
              <w:jc w:val="center"/>
              <w:rPr>
                <w:rStyle w:val="28"/>
                <w:rFonts w:hint="eastAsia" w:hAnsi="宋体"/>
                <w:kern w:val="0"/>
                <w:sz w:val="21"/>
                <w:szCs w:val="21"/>
              </w:rPr>
            </w:pPr>
            <w:r>
              <w:rPr>
                <w:rStyle w:val="28"/>
                <w:rFonts w:hint="eastAsia" w:hAnsi="宋体"/>
                <w:kern w:val="0"/>
                <w:sz w:val="21"/>
                <w:szCs w:val="21"/>
              </w:rPr>
              <w:t>性别</w:t>
            </w:r>
          </w:p>
        </w:tc>
        <w:tc>
          <w:tcPr>
            <w:tcW w:w="817" w:type="dxa"/>
            <w:tcBorders>
              <w:top w:val="single" w:color="000000" w:sz="6" w:space="0"/>
              <w:left w:val="single" w:color="000000" w:sz="6" w:space="0"/>
              <w:bottom w:val="single" w:color="000000" w:sz="6" w:space="0"/>
              <w:right w:val="single" w:color="000000" w:sz="6" w:space="0"/>
            </w:tcBorders>
            <w:vAlign w:val="center"/>
          </w:tcPr>
          <w:p w14:paraId="057AA51A">
            <w:pPr>
              <w:snapToGrid w:val="0"/>
              <w:jc w:val="center"/>
              <w:rPr>
                <w:rStyle w:val="28"/>
                <w:rFonts w:hint="eastAsia" w:hAnsi="宋体"/>
                <w:kern w:val="0"/>
                <w:sz w:val="21"/>
                <w:szCs w:val="21"/>
              </w:rPr>
            </w:pPr>
            <w:r>
              <w:rPr>
                <w:rStyle w:val="28"/>
                <w:rFonts w:hint="eastAsia" w:hAnsi="宋体"/>
                <w:kern w:val="0"/>
                <w:sz w:val="21"/>
                <w:szCs w:val="21"/>
              </w:rPr>
              <w:t>年龄</w:t>
            </w:r>
          </w:p>
        </w:tc>
        <w:tc>
          <w:tcPr>
            <w:tcW w:w="1538" w:type="dxa"/>
            <w:tcBorders>
              <w:top w:val="single" w:color="000000" w:sz="6" w:space="0"/>
              <w:left w:val="single" w:color="000000" w:sz="6" w:space="0"/>
              <w:bottom w:val="single" w:color="000000" w:sz="6" w:space="0"/>
              <w:right w:val="single" w:color="000000" w:sz="6" w:space="0"/>
            </w:tcBorders>
            <w:vAlign w:val="center"/>
          </w:tcPr>
          <w:p w14:paraId="4D1C849A">
            <w:pPr>
              <w:snapToGrid w:val="0"/>
              <w:jc w:val="center"/>
              <w:rPr>
                <w:rStyle w:val="28"/>
                <w:rFonts w:hint="eastAsia" w:hAnsi="宋体"/>
                <w:kern w:val="0"/>
                <w:sz w:val="21"/>
                <w:szCs w:val="21"/>
              </w:rPr>
            </w:pPr>
            <w:r>
              <w:rPr>
                <w:rStyle w:val="28"/>
                <w:rFonts w:hint="eastAsia" w:hAnsi="宋体"/>
                <w:kern w:val="0"/>
                <w:sz w:val="21"/>
                <w:szCs w:val="21"/>
              </w:rPr>
              <w:t>职称</w:t>
            </w:r>
          </w:p>
        </w:tc>
        <w:tc>
          <w:tcPr>
            <w:tcW w:w="2164" w:type="dxa"/>
            <w:tcBorders>
              <w:top w:val="single" w:color="000000" w:sz="6" w:space="0"/>
              <w:left w:val="single" w:color="000000" w:sz="6" w:space="0"/>
              <w:bottom w:val="single" w:color="000000" w:sz="6" w:space="0"/>
              <w:right w:val="single" w:color="000000" w:sz="6" w:space="0"/>
            </w:tcBorders>
            <w:vAlign w:val="center"/>
          </w:tcPr>
          <w:p w14:paraId="5A17DD96">
            <w:pPr>
              <w:snapToGrid w:val="0"/>
              <w:jc w:val="center"/>
              <w:rPr>
                <w:rStyle w:val="28"/>
                <w:rFonts w:hint="eastAsia" w:hAnsi="宋体"/>
                <w:kern w:val="0"/>
                <w:sz w:val="21"/>
                <w:szCs w:val="21"/>
              </w:rPr>
            </w:pPr>
            <w:r>
              <w:rPr>
                <w:rStyle w:val="28"/>
                <w:rFonts w:hint="eastAsia" w:hAnsi="宋体"/>
                <w:kern w:val="0"/>
                <w:sz w:val="21"/>
                <w:szCs w:val="21"/>
              </w:rPr>
              <w:t>备注</w:t>
            </w:r>
          </w:p>
        </w:tc>
      </w:tr>
      <w:tr w14:paraId="3B6E7AF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85" w:hRule="exact"/>
        </w:trPr>
        <w:tc>
          <w:tcPr>
            <w:tcW w:w="743" w:type="dxa"/>
            <w:tcBorders>
              <w:top w:val="single" w:color="000000" w:sz="6" w:space="0"/>
              <w:left w:val="single" w:color="000000" w:sz="6" w:space="0"/>
              <w:bottom w:val="nil"/>
              <w:right w:val="single" w:color="000000" w:sz="6" w:space="0"/>
            </w:tcBorders>
            <w:vAlign w:val="center"/>
          </w:tcPr>
          <w:p w14:paraId="76D60ECF">
            <w:pPr>
              <w:snapToGrid w:val="0"/>
              <w:jc w:val="center"/>
              <w:rPr>
                <w:rStyle w:val="28"/>
                <w:rFonts w:hint="eastAsia" w:hAnsi="宋体"/>
                <w:kern w:val="0"/>
                <w:sz w:val="21"/>
                <w:szCs w:val="21"/>
              </w:rPr>
            </w:pPr>
            <w:r>
              <w:rPr>
                <w:rStyle w:val="28"/>
                <w:rFonts w:hint="eastAsia" w:hAnsi="宋体"/>
                <w:kern w:val="0"/>
                <w:sz w:val="21"/>
                <w:szCs w:val="21"/>
              </w:rPr>
              <w:t>1</w:t>
            </w:r>
          </w:p>
        </w:tc>
        <w:tc>
          <w:tcPr>
            <w:tcW w:w="1421" w:type="dxa"/>
            <w:tcBorders>
              <w:top w:val="single" w:color="000000" w:sz="6" w:space="0"/>
              <w:left w:val="single" w:color="000000" w:sz="6" w:space="0"/>
              <w:bottom w:val="nil"/>
              <w:right w:val="single" w:color="000000" w:sz="6" w:space="0"/>
            </w:tcBorders>
            <w:vAlign w:val="center"/>
          </w:tcPr>
          <w:p w14:paraId="0D03212D">
            <w:pPr>
              <w:snapToGrid w:val="0"/>
              <w:jc w:val="center"/>
              <w:rPr>
                <w:rStyle w:val="28"/>
                <w:rFonts w:hint="eastAsia" w:hAnsi="宋体"/>
                <w:kern w:val="0"/>
                <w:sz w:val="21"/>
                <w:szCs w:val="21"/>
              </w:rPr>
            </w:pPr>
            <w:r>
              <w:rPr>
                <w:rStyle w:val="28"/>
                <w:rFonts w:hint="eastAsia" w:hAnsi="宋体"/>
                <w:kern w:val="0"/>
                <w:sz w:val="21"/>
                <w:szCs w:val="21"/>
              </w:rPr>
              <w:t>项目经理</w:t>
            </w:r>
          </w:p>
        </w:tc>
        <w:tc>
          <w:tcPr>
            <w:tcW w:w="1355" w:type="dxa"/>
            <w:tcBorders>
              <w:top w:val="single" w:color="000000" w:sz="6" w:space="0"/>
              <w:left w:val="single" w:color="000000" w:sz="6" w:space="0"/>
              <w:bottom w:val="single" w:color="000000" w:sz="6" w:space="0"/>
              <w:right w:val="single" w:color="000000" w:sz="6" w:space="0"/>
            </w:tcBorders>
            <w:vAlign w:val="center"/>
          </w:tcPr>
          <w:p w14:paraId="4C1C6622">
            <w:pPr>
              <w:snapToGrid w:val="0"/>
              <w:jc w:val="center"/>
              <w:rPr>
                <w:rStyle w:val="28"/>
                <w:rFonts w:hint="eastAsia" w:hAnsi="宋体"/>
                <w:kern w:val="0"/>
                <w:sz w:val="21"/>
                <w:szCs w:val="21"/>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7886F553">
            <w:pPr>
              <w:snapToGrid w:val="0"/>
              <w:jc w:val="center"/>
              <w:rPr>
                <w:rStyle w:val="28"/>
                <w:rFonts w:hint="eastAsia" w:hAnsi="宋体"/>
                <w:kern w:val="0"/>
                <w:sz w:val="21"/>
                <w:szCs w:val="21"/>
              </w:rPr>
            </w:pPr>
          </w:p>
        </w:tc>
        <w:tc>
          <w:tcPr>
            <w:tcW w:w="817" w:type="dxa"/>
            <w:tcBorders>
              <w:top w:val="single" w:color="000000" w:sz="6" w:space="0"/>
              <w:left w:val="single" w:color="000000" w:sz="6" w:space="0"/>
              <w:bottom w:val="single" w:color="000000" w:sz="6" w:space="0"/>
              <w:right w:val="single" w:color="000000" w:sz="6" w:space="0"/>
            </w:tcBorders>
            <w:vAlign w:val="center"/>
          </w:tcPr>
          <w:p w14:paraId="6C7E5C39">
            <w:pPr>
              <w:snapToGrid w:val="0"/>
              <w:jc w:val="center"/>
              <w:rPr>
                <w:rStyle w:val="28"/>
                <w:rFonts w:hint="eastAsia" w:hAnsi="宋体"/>
                <w:kern w:val="0"/>
                <w:sz w:val="21"/>
                <w:szCs w:val="21"/>
              </w:rPr>
            </w:pPr>
          </w:p>
        </w:tc>
        <w:tc>
          <w:tcPr>
            <w:tcW w:w="1538" w:type="dxa"/>
            <w:tcBorders>
              <w:top w:val="single" w:color="000000" w:sz="6" w:space="0"/>
              <w:left w:val="single" w:color="000000" w:sz="6" w:space="0"/>
              <w:bottom w:val="single" w:color="000000" w:sz="6" w:space="0"/>
              <w:right w:val="single" w:color="000000" w:sz="6" w:space="0"/>
            </w:tcBorders>
            <w:vAlign w:val="center"/>
          </w:tcPr>
          <w:p w14:paraId="46A4E646">
            <w:pPr>
              <w:snapToGrid w:val="0"/>
              <w:jc w:val="center"/>
              <w:rPr>
                <w:rStyle w:val="28"/>
                <w:rFonts w:hint="eastAsia" w:hAnsi="宋体"/>
                <w:kern w:val="0"/>
                <w:sz w:val="21"/>
                <w:szCs w:val="21"/>
              </w:rPr>
            </w:pPr>
          </w:p>
        </w:tc>
        <w:tc>
          <w:tcPr>
            <w:tcW w:w="2164" w:type="dxa"/>
            <w:tcBorders>
              <w:top w:val="single" w:color="000000" w:sz="6" w:space="0"/>
              <w:left w:val="single" w:color="000000" w:sz="6" w:space="0"/>
              <w:bottom w:val="single" w:color="000000" w:sz="6" w:space="0"/>
              <w:right w:val="single" w:color="000000" w:sz="6" w:space="0"/>
            </w:tcBorders>
            <w:vAlign w:val="center"/>
          </w:tcPr>
          <w:p w14:paraId="3F22F71A">
            <w:pPr>
              <w:snapToGrid w:val="0"/>
              <w:jc w:val="center"/>
              <w:rPr>
                <w:rStyle w:val="28"/>
                <w:rFonts w:hint="eastAsia" w:hAnsi="宋体"/>
                <w:kern w:val="0"/>
                <w:sz w:val="21"/>
                <w:szCs w:val="21"/>
              </w:rPr>
            </w:pPr>
          </w:p>
        </w:tc>
      </w:tr>
      <w:tr w14:paraId="4748929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31" w:hRule="exact"/>
        </w:trPr>
        <w:tc>
          <w:tcPr>
            <w:tcW w:w="743" w:type="dxa"/>
            <w:tcBorders>
              <w:top w:val="single" w:color="000000" w:sz="6" w:space="0"/>
              <w:left w:val="single" w:color="000000" w:sz="6" w:space="0"/>
              <w:bottom w:val="nil"/>
              <w:right w:val="single" w:color="000000" w:sz="6" w:space="0"/>
            </w:tcBorders>
            <w:vAlign w:val="center"/>
          </w:tcPr>
          <w:p w14:paraId="186FF308">
            <w:pPr>
              <w:snapToGrid w:val="0"/>
              <w:jc w:val="center"/>
              <w:rPr>
                <w:rStyle w:val="28"/>
                <w:rFonts w:hint="eastAsia" w:hAnsi="宋体"/>
                <w:kern w:val="0"/>
                <w:sz w:val="21"/>
                <w:szCs w:val="21"/>
              </w:rPr>
            </w:pPr>
            <w:r>
              <w:rPr>
                <w:rStyle w:val="28"/>
                <w:rFonts w:hint="eastAsia" w:hAnsi="宋体"/>
                <w:kern w:val="0"/>
                <w:sz w:val="21"/>
                <w:szCs w:val="21"/>
              </w:rPr>
              <w:t>2</w:t>
            </w:r>
          </w:p>
        </w:tc>
        <w:tc>
          <w:tcPr>
            <w:tcW w:w="1421" w:type="dxa"/>
            <w:tcBorders>
              <w:top w:val="single" w:color="000000" w:sz="6" w:space="0"/>
              <w:left w:val="single" w:color="000000" w:sz="6" w:space="0"/>
              <w:bottom w:val="nil"/>
              <w:right w:val="single" w:color="000000" w:sz="6" w:space="0"/>
            </w:tcBorders>
            <w:vAlign w:val="center"/>
          </w:tcPr>
          <w:p w14:paraId="19CB2E35">
            <w:pPr>
              <w:snapToGrid w:val="0"/>
              <w:jc w:val="center"/>
              <w:rPr>
                <w:rStyle w:val="28"/>
                <w:rFonts w:hint="eastAsia" w:hAnsi="宋体"/>
                <w:kern w:val="0"/>
                <w:sz w:val="21"/>
                <w:szCs w:val="21"/>
              </w:rPr>
            </w:pPr>
            <w:r>
              <w:rPr>
                <w:rStyle w:val="28"/>
                <w:rFonts w:hint="eastAsia" w:hAnsi="宋体"/>
                <w:kern w:val="0"/>
                <w:sz w:val="21"/>
                <w:szCs w:val="21"/>
              </w:rPr>
              <w:t>项目技术</w:t>
            </w:r>
          </w:p>
          <w:p w14:paraId="22B878DA">
            <w:pPr>
              <w:snapToGrid w:val="0"/>
              <w:jc w:val="center"/>
              <w:rPr>
                <w:rStyle w:val="28"/>
                <w:rFonts w:hint="eastAsia" w:hAnsi="宋体"/>
                <w:kern w:val="0"/>
                <w:sz w:val="21"/>
                <w:szCs w:val="21"/>
              </w:rPr>
            </w:pPr>
            <w:r>
              <w:rPr>
                <w:rStyle w:val="28"/>
                <w:rFonts w:hint="eastAsia" w:hAnsi="宋体"/>
                <w:kern w:val="0"/>
                <w:sz w:val="21"/>
                <w:szCs w:val="21"/>
              </w:rPr>
              <w:t>负责人</w:t>
            </w:r>
          </w:p>
        </w:tc>
        <w:tc>
          <w:tcPr>
            <w:tcW w:w="1355" w:type="dxa"/>
            <w:tcBorders>
              <w:top w:val="single" w:color="000000" w:sz="6" w:space="0"/>
              <w:left w:val="single" w:color="000000" w:sz="6" w:space="0"/>
              <w:bottom w:val="single" w:color="000000" w:sz="6" w:space="0"/>
              <w:right w:val="single" w:color="000000" w:sz="6" w:space="0"/>
            </w:tcBorders>
            <w:vAlign w:val="center"/>
          </w:tcPr>
          <w:p w14:paraId="1A01159E">
            <w:pPr>
              <w:snapToGrid w:val="0"/>
              <w:jc w:val="center"/>
              <w:rPr>
                <w:rStyle w:val="28"/>
                <w:rFonts w:hint="eastAsia" w:hAnsi="宋体"/>
                <w:kern w:val="0"/>
                <w:sz w:val="21"/>
                <w:szCs w:val="21"/>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36A720BF">
            <w:pPr>
              <w:snapToGrid w:val="0"/>
              <w:jc w:val="center"/>
              <w:rPr>
                <w:rStyle w:val="28"/>
                <w:rFonts w:hint="eastAsia" w:hAnsi="宋体"/>
                <w:kern w:val="0"/>
                <w:sz w:val="21"/>
                <w:szCs w:val="21"/>
              </w:rPr>
            </w:pPr>
          </w:p>
        </w:tc>
        <w:tc>
          <w:tcPr>
            <w:tcW w:w="817" w:type="dxa"/>
            <w:tcBorders>
              <w:top w:val="single" w:color="000000" w:sz="6" w:space="0"/>
              <w:left w:val="single" w:color="000000" w:sz="6" w:space="0"/>
              <w:bottom w:val="single" w:color="000000" w:sz="6" w:space="0"/>
              <w:right w:val="single" w:color="000000" w:sz="6" w:space="0"/>
            </w:tcBorders>
            <w:vAlign w:val="center"/>
          </w:tcPr>
          <w:p w14:paraId="44A00AC4">
            <w:pPr>
              <w:snapToGrid w:val="0"/>
              <w:jc w:val="center"/>
              <w:rPr>
                <w:rStyle w:val="28"/>
                <w:rFonts w:hint="eastAsia" w:hAnsi="宋体"/>
                <w:kern w:val="0"/>
                <w:sz w:val="21"/>
                <w:szCs w:val="21"/>
              </w:rPr>
            </w:pPr>
          </w:p>
        </w:tc>
        <w:tc>
          <w:tcPr>
            <w:tcW w:w="1538" w:type="dxa"/>
            <w:tcBorders>
              <w:top w:val="single" w:color="000000" w:sz="6" w:space="0"/>
              <w:left w:val="single" w:color="000000" w:sz="6" w:space="0"/>
              <w:bottom w:val="single" w:color="000000" w:sz="6" w:space="0"/>
              <w:right w:val="single" w:color="000000" w:sz="6" w:space="0"/>
            </w:tcBorders>
            <w:vAlign w:val="center"/>
          </w:tcPr>
          <w:p w14:paraId="4AC9D0B4">
            <w:pPr>
              <w:snapToGrid w:val="0"/>
              <w:jc w:val="center"/>
              <w:rPr>
                <w:rStyle w:val="28"/>
                <w:rFonts w:hint="eastAsia" w:hAnsi="宋体"/>
                <w:kern w:val="0"/>
                <w:sz w:val="21"/>
                <w:szCs w:val="21"/>
              </w:rPr>
            </w:pPr>
          </w:p>
        </w:tc>
        <w:tc>
          <w:tcPr>
            <w:tcW w:w="2164" w:type="dxa"/>
            <w:tcBorders>
              <w:top w:val="single" w:color="000000" w:sz="6" w:space="0"/>
              <w:left w:val="single" w:color="000000" w:sz="6" w:space="0"/>
              <w:bottom w:val="single" w:color="000000" w:sz="6" w:space="0"/>
              <w:right w:val="single" w:color="000000" w:sz="6" w:space="0"/>
            </w:tcBorders>
            <w:vAlign w:val="center"/>
          </w:tcPr>
          <w:p w14:paraId="3B585884">
            <w:pPr>
              <w:snapToGrid w:val="0"/>
              <w:jc w:val="center"/>
              <w:rPr>
                <w:rStyle w:val="28"/>
                <w:rFonts w:hint="eastAsia" w:hAnsi="宋体"/>
                <w:kern w:val="0"/>
                <w:sz w:val="21"/>
                <w:szCs w:val="21"/>
              </w:rPr>
            </w:pPr>
          </w:p>
        </w:tc>
      </w:tr>
      <w:tr w14:paraId="717FE8B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right w:val="single" w:color="000000" w:sz="6" w:space="0"/>
            </w:tcBorders>
            <w:vAlign w:val="center"/>
          </w:tcPr>
          <w:p w14:paraId="462CDED5">
            <w:pPr>
              <w:snapToGrid w:val="0"/>
              <w:jc w:val="center"/>
              <w:rPr>
                <w:rStyle w:val="28"/>
                <w:rFonts w:hint="eastAsia" w:hAnsi="宋体"/>
                <w:kern w:val="0"/>
                <w:sz w:val="21"/>
                <w:szCs w:val="21"/>
              </w:rPr>
            </w:pPr>
            <w:r>
              <w:rPr>
                <w:rStyle w:val="28"/>
                <w:rFonts w:hint="eastAsia" w:hAnsi="宋体"/>
                <w:kern w:val="0"/>
                <w:sz w:val="21"/>
                <w:szCs w:val="21"/>
              </w:rPr>
              <w:t>3</w:t>
            </w:r>
          </w:p>
        </w:tc>
        <w:tc>
          <w:tcPr>
            <w:tcW w:w="1421" w:type="dxa"/>
            <w:tcBorders>
              <w:top w:val="single" w:color="000000" w:sz="6" w:space="0"/>
              <w:left w:val="single" w:color="000000" w:sz="6" w:space="0"/>
              <w:bottom w:val="single" w:color="000000" w:sz="6" w:space="0"/>
              <w:right w:val="single" w:color="000000" w:sz="6" w:space="0"/>
            </w:tcBorders>
            <w:vAlign w:val="center"/>
          </w:tcPr>
          <w:p w14:paraId="426D76C2">
            <w:pPr>
              <w:snapToGrid w:val="0"/>
              <w:jc w:val="center"/>
              <w:rPr>
                <w:rStyle w:val="28"/>
                <w:rFonts w:hint="eastAsia" w:hAnsi="宋体"/>
                <w:kern w:val="0"/>
                <w:sz w:val="21"/>
                <w:szCs w:val="21"/>
              </w:rPr>
            </w:pPr>
            <w:r>
              <w:rPr>
                <w:rStyle w:val="28"/>
                <w:rFonts w:hint="eastAsia" w:hAnsi="宋体"/>
                <w:kern w:val="0"/>
                <w:sz w:val="21"/>
                <w:szCs w:val="21"/>
              </w:rPr>
              <w:t>专职安全员</w:t>
            </w:r>
          </w:p>
        </w:tc>
        <w:tc>
          <w:tcPr>
            <w:tcW w:w="1355" w:type="dxa"/>
            <w:tcBorders>
              <w:top w:val="single" w:color="000000" w:sz="6" w:space="0"/>
              <w:left w:val="single" w:color="000000" w:sz="6" w:space="0"/>
              <w:bottom w:val="single" w:color="000000" w:sz="6" w:space="0"/>
              <w:right w:val="single" w:color="000000" w:sz="6" w:space="0"/>
            </w:tcBorders>
            <w:vAlign w:val="center"/>
          </w:tcPr>
          <w:p w14:paraId="7C71C119">
            <w:pPr>
              <w:snapToGrid w:val="0"/>
              <w:jc w:val="center"/>
              <w:rPr>
                <w:rStyle w:val="28"/>
                <w:rFonts w:hint="eastAsia" w:hAnsi="宋体"/>
                <w:kern w:val="0"/>
                <w:sz w:val="21"/>
                <w:szCs w:val="21"/>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3309C701">
            <w:pPr>
              <w:snapToGrid w:val="0"/>
              <w:jc w:val="center"/>
              <w:rPr>
                <w:rStyle w:val="28"/>
                <w:rFonts w:hint="eastAsia" w:hAnsi="宋体"/>
                <w:kern w:val="0"/>
                <w:sz w:val="21"/>
                <w:szCs w:val="21"/>
              </w:rPr>
            </w:pPr>
          </w:p>
        </w:tc>
        <w:tc>
          <w:tcPr>
            <w:tcW w:w="817" w:type="dxa"/>
            <w:tcBorders>
              <w:top w:val="single" w:color="000000" w:sz="6" w:space="0"/>
              <w:left w:val="single" w:color="000000" w:sz="6" w:space="0"/>
              <w:bottom w:val="single" w:color="000000" w:sz="6" w:space="0"/>
              <w:right w:val="single" w:color="000000" w:sz="6" w:space="0"/>
            </w:tcBorders>
            <w:vAlign w:val="center"/>
          </w:tcPr>
          <w:p w14:paraId="192452FF">
            <w:pPr>
              <w:snapToGrid w:val="0"/>
              <w:jc w:val="center"/>
              <w:rPr>
                <w:rStyle w:val="28"/>
                <w:rFonts w:hint="eastAsia" w:hAnsi="宋体"/>
                <w:kern w:val="0"/>
                <w:sz w:val="21"/>
                <w:szCs w:val="21"/>
              </w:rPr>
            </w:pPr>
          </w:p>
        </w:tc>
        <w:tc>
          <w:tcPr>
            <w:tcW w:w="1538" w:type="dxa"/>
            <w:tcBorders>
              <w:top w:val="single" w:color="000000" w:sz="6" w:space="0"/>
              <w:left w:val="single" w:color="000000" w:sz="6" w:space="0"/>
              <w:bottom w:val="single" w:color="000000" w:sz="6" w:space="0"/>
              <w:right w:val="single" w:color="000000" w:sz="6" w:space="0"/>
            </w:tcBorders>
            <w:vAlign w:val="center"/>
          </w:tcPr>
          <w:p w14:paraId="2190CE1D">
            <w:pPr>
              <w:snapToGrid w:val="0"/>
              <w:jc w:val="center"/>
              <w:rPr>
                <w:rStyle w:val="28"/>
                <w:rFonts w:hint="eastAsia" w:hAnsi="宋体"/>
                <w:kern w:val="0"/>
                <w:sz w:val="21"/>
                <w:szCs w:val="21"/>
              </w:rPr>
            </w:pPr>
          </w:p>
        </w:tc>
        <w:tc>
          <w:tcPr>
            <w:tcW w:w="2164" w:type="dxa"/>
            <w:tcBorders>
              <w:top w:val="single" w:color="000000" w:sz="6" w:space="0"/>
              <w:left w:val="single" w:color="000000" w:sz="6" w:space="0"/>
              <w:bottom w:val="single" w:color="000000" w:sz="6" w:space="0"/>
              <w:right w:val="single" w:color="000000" w:sz="6" w:space="0"/>
            </w:tcBorders>
            <w:vAlign w:val="center"/>
          </w:tcPr>
          <w:p w14:paraId="4B400155">
            <w:pPr>
              <w:snapToGrid w:val="0"/>
              <w:jc w:val="center"/>
              <w:rPr>
                <w:rStyle w:val="28"/>
                <w:rFonts w:hint="eastAsia" w:hAnsi="宋体"/>
                <w:kern w:val="0"/>
                <w:sz w:val="21"/>
                <w:szCs w:val="21"/>
              </w:rPr>
            </w:pPr>
          </w:p>
        </w:tc>
      </w:tr>
      <w:tr w14:paraId="45DB170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vAlign w:val="center"/>
          </w:tcPr>
          <w:p w14:paraId="530F1E87">
            <w:pPr>
              <w:snapToGrid w:val="0"/>
              <w:jc w:val="center"/>
              <w:rPr>
                <w:rFonts w:hint="eastAsia" w:hAnsi="宋体"/>
                <w:kern w:val="0"/>
                <w:sz w:val="21"/>
                <w:szCs w:val="21"/>
              </w:rPr>
            </w:pPr>
            <w:r>
              <w:rPr>
                <w:rFonts w:hint="eastAsia" w:hAnsi="宋体"/>
                <w:kern w:val="0"/>
                <w:sz w:val="21"/>
                <w:szCs w:val="21"/>
              </w:rPr>
              <w:t>4</w:t>
            </w:r>
          </w:p>
        </w:tc>
        <w:tc>
          <w:tcPr>
            <w:tcW w:w="1421" w:type="dxa"/>
            <w:tcBorders>
              <w:top w:val="single" w:color="000000" w:sz="6" w:space="0"/>
              <w:left w:val="single" w:color="000000" w:sz="6" w:space="0"/>
              <w:bottom w:val="single" w:color="000000" w:sz="6" w:space="0"/>
              <w:right w:val="single" w:color="000000" w:sz="6" w:space="0"/>
            </w:tcBorders>
            <w:vAlign w:val="center"/>
          </w:tcPr>
          <w:p w14:paraId="0612F27E">
            <w:pPr>
              <w:snapToGrid w:val="0"/>
              <w:jc w:val="center"/>
              <w:rPr>
                <w:rStyle w:val="28"/>
                <w:rFonts w:hint="eastAsia" w:hAnsi="宋体"/>
                <w:kern w:val="0"/>
                <w:sz w:val="21"/>
                <w:szCs w:val="21"/>
              </w:rPr>
            </w:pPr>
            <w:r>
              <w:rPr>
                <w:rStyle w:val="28"/>
                <w:rFonts w:hint="eastAsia" w:hAnsi="宋体"/>
                <w:kern w:val="0"/>
                <w:sz w:val="21"/>
                <w:szCs w:val="21"/>
              </w:rPr>
              <w:t>施工员</w:t>
            </w:r>
          </w:p>
        </w:tc>
        <w:tc>
          <w:tcPr>
            <w:tcW w:w="1355" w:type="dxa"/>
            <w:tcBorders>
              <w:top w:val="single" w:color="000000" w:sz="6" w:space="0"/>
              <w:left w:val="single" w:color="000000" w:sz="6" w:space="0"/>
              <w:bottom w:val="single" w:color="000000" w:sz="6" w:space="0"/>
              <w:right w:val="single" w:color="000000" w:sz="6" w:space="0"/>
            </w:tcBorders>
            <w:vAlign w:val="center"/>
          </w:tcPr>
          <w:p w14:paraId="1FED9043">
            <w:pPr>
              <w:snapToGrid w:val="0"/>
              <w:jc w:val="center"/>
              <w:rPr>
                <w:rStyle w:val="28"/>
                <w:rFonts w:hint="eastAsia" w:hAnsi="宋体"/>
                <w:kern w:val="0"/>
                <w:sz w:val="21"/>
                <w:szCs w:val="21"/>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77C40E90">
            <w:pPr>
              <w:snapToGrid w:val="0"/>
              <w:jc w:val="center"/>
              <w:rPr>
                <w:rStyle w:val="28"/>
                <w:rFonts w:hint="eastAsia" w:hAnsi="宋体"/>
                <w:kern w:val="0"/>
                <w:sz w:val="21"/>
                <w:szCs w:val="21"/>
              </w:rPr>
            </w:pPr>
          </w:p>
        </w:tc>
        <w:tc>
          <w:tcPr>
            <w:tcW w:w="817" w:type="dxa"/>
            <w:tcBorders>
              <w:top w:val="single" w:color="000000" w:sz="6" w:space="0"/>
              <w:left w:val="single" w:color="000000" w:sz="6" w:space="0"/>
              <w:bottom w:val="single" w:color="000000" w:sz="6" w:space="0"/>
              <w:right w:val="single" w:color="000000" w:sz="6" w:space="0"/>
            </w:tcBorders>
            <w:vAlign w:val="center"/>
          </w:tcPr>
          <w:p w14:paraId="376F9B4E">
            <w:pPr>
              <w:snapToGrid w:val="0"/>
              <w:jc w:val="center"/>
              <w:rPr>
                <w:rStyle w:val="28"/>
                <w:rFonts w:hint="eastAsia" w:hAnsi="宋体"/>
                <w:kern w:val="0"/>
                <w:sz w:val="21"/>
                <w:szCs w:val="21"/>
              </w:rPr>
            </w:pPr>
          </w:p>
        </w:tc>
        <w:tc>
          <w:tcPr>
            <w:tcW w:w="1538" w:type="dxa"/>
            <w:tcBorders>
              <w:top w:val="single" w:color="000000" w:sz="6" w:space="0"/>
              <w:left w:val="single" w:color="000000" w:sz="6" w:space="0"/>
              <w:bottom w:val="single" w:color="000000" w:sz="6" w:space="0"/>
              <w:right w:val="single" w:color="000000" w:sz="6" w:space="0"/>
            </w:tcBorders>
            <w:vAlign w:val="center"/>
          </w:tcPr>
          <w:p w14:paraId="4FA5D5E1">
            <w:pPr>
              <w:snapToGrid w:val="0"/>
              <w:jc w:val="center"/>
              <w:rPr>
                <w:rStyle w:val="28"/>
                <w:rFonts w:hint="eastAsia" w:hAnsi="宋体"/>
                <w:kern w:val="0"/>
                <w:sz w:val="21"/>
                <w:szCs w:val="21"/>
              </w:rPr>
            </w:pPr>
          </w:p>
        </w:tc>
        <w:tc>
          <w:tcPr>
            <w:tcW w:w="2164" w:type="dxa"/>
            <w:tcBorders>
              <w:top w:val="single" w:color="000000" w:sz="6" w:space="0"/>
              <w:left w:val="single" w:color="000000" w:sz="6" w:space="0"/>
              <w:bottom w:val="single" w:color="000000" w:sz="6" w:space="0"/>
              <w:right w:val="single" w:color="000000" w:sz="6" w:space="0"/>
            </w:tcBorders>
            <w:vAlign w:val="center"/>
          </w:tcPr>
          <w:p w14:paraId="280AEAB6">
            <w:pPr>
              <w:snapToGrid w:val="0"/>
              <w:jc w:val="center"/>
              <w:rPr>
                <w:rStyle w:val="28"/>
                <w:rFonts w:hint="eastAsia" w:hAnsi="宋体"/>
                <w:kern w:val="0"/>
                <w:sz w:val="21"/>
                <w:szCs w:val="21"/>
              </w:rPr>
            </w:pPr>
          </w:p>
        </w:tc>
      </w:tr>
      <w:tr w14:paraId="1417647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vAlign w:val="center"/>
          </w:tcPr>
          <w:p w14:paraId="010ED890">
            <w:pPr>
              <w:snapToGrid w:val="0"/>
              <w:jc w:val="center"/>
              <w:rPr>
                <w:rFonts w:hint="eastAsia" w:hAnsi="宋体"/>
                <w:kern w:val="0"/>
                <w:sz w:val="21"/>
                <w:szCs w:val="21"/>
              </w:rPr>
            </w:pPr>
            <w:r>
              <w:rPr>
                <w:rStyle w:val="28"/>
                <w:rFonts w:hint="eastAsia" w:hAnsi="宋体"/>
                <w:kern w:val="0"/>
                <w:sz w:val="21"/>
                <w:szCs w:val="21"/>
              </w:rPr>
              <w:t>5</w:t>
            </w:r>
          </w:p>
        </w:tc>
        <w:tc>
          <w:tcPr>
            <w:tcW w:w="1421" w:type="dxa"/>
            <w:tcBorders>
              <w:top w:val="single" w:color="000000" w:sz="6" w:space="0"/>
              <w:left w:val="single" w:color="000000" w:sz="6" w:space="0"/>
              <w:bottom w:val="single" w:color="000000" w:sz="6" w:space="0"/>
              <w:right w:val="single" w:color="000000" w:sz="6" w:space="0"/>
            </w:tcBorders>
            <w:vAlign w:val="center"/>
          </w:tcPr>
          <w:p w14:paraId="3196B334">
            <w:pPr>
              <w:snapToGrid w:val="0"/>
              <w:jc w:val="center"/>
              <w:rPr>
                <w:rStyle w:val="28"/>
                <w:rFonts w:hint="eastAsia" w:hAnsi="宋体"/>
                <w:kern w:val="0"/>
                <w:sz w:val="21"/>
                <w:szCs w:val="21"/>
              </w:rPr>
            </w:pPr>
            <w:r>
              <w:rPr>
                <w:rStyle w:val="28"/>
                <w:rFonts w:hint="eastAsia" w:hAnsi="宋体"/>
                <w:kern w:val="0"/>
                <w:sz w:val="21"/>
                <w:szCs w:val="21"/>
              </w:rPr>
              <w:t>质量员</w:t>
            </w:r>
          </w:p>
        </w:tc>
        <w:tc>
          <w:tcPr>
            <w:tcW w:w="1355" w:type="dxa"/>
            <w:tcBorders>
              <w:top w:val="single" w:color="000000" w:sz="6" w:space="0"/>
              <w:left w:val="single" w:color="000000" w:sz="6" w:space="0"/>
              <w:bottom w:val="single" w:color="000000" w:sz="6" w:space="0"/>
              <w:right w:val="single" w:color="000000" w:sz="6" w:space="0"/>
            </w:tcBorders>
            <w:vAlign w:val="center"/>
          </w:tcPr>
          <w:p w14:paraId="7D658FC7">
            <w:pPr>
              <w:snapToGrid w:val="0"/>
              <w:jc w:val="center"/>
              <w:rPr>
                <w:rStyle w:val="28"/>
                <w:rFonts w:hint="eastAsia" w:hAnsi="宋体"/>
                <w:kern w:val="0"/>
                <w:sz w:val="21"/>
                <w:szCs w:val="21"/>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3C49D259">
            <w:pPr>
              <w:snapToGrid w:val="0"/>
              <w:jc w:val="center"/>
              <w:rPr>
                <w:rStyle w:val="28"/>
                <w:rFonts w:hint="eastAsia" w:hAnsi="宋体"/>
                <w:kern w:val="0"/>
                <w:sz w:val="21"/>
                <w:szCs w:val="21"/>
              </w:rPr>
            </w:pPr>
          </w:p>
        </w:tc>
        <w:tc>
          <w:tcPr>
            <w:tcW w:w="817" w:type="dxa"/>
            <w:tcBorders>
              <w:top w:val="single" w:color="000000" w:sz="6" w:space="0"/>
              <w:left w:val="single" w:color="000000" w:sz="6" w:space="0"/>
              <w:bottom w:val="single" w:color="000000" w:sz="6" w:space="0"/>
              <w:right w:val="single" w:color="000000" w:sz="6" w:space="0"/>
            </w:tcBorders>
            <w:vAlign w:val="center"/>
          </w:tcPr>
          <w:p w14:paraId="771764BD">
            <w:pPr>
              <w:snapToGrid w:val="0"/>
              <w:jc w:val="center"/>
              <w:rPr>
                <w:rStyle w:val="28"/>
                <w:rFonts w:hint="eastAsia" w:hAnsi="宋体"/>
                <w:kern w:val="0"/>
                <w:sz w:val="21"/>
                <w:szCs w:val="21"/>
              </w:rPr>
            </w:pPr>
          </w:p>
        </w:tc>
        <w:tc>
          <w:tcPr>
            <w:tcW w:w="1538" w:type="dxa"/>
            <w:tcBorders>
              <w:top w:val="single" w:color="000000" w:sz="6" w:space="0"/>
              <w:left w:val="single" w:color="000000" w:sz="6" w:space="0"/>
              <w:bottom w:val="single" w:color="000000" w:sz="6" w:space="0"/>
              <w:right w:val="single" w:color="000000" w:sz="6" w:space="0"/>
            </w:tcBorders>
            <w:vAlign w:val="center"/>
          </w:tcPr>
          <w:p w14:paraId="5780A0A4">
            <w:pPr>
              <w:snapToGrid w:val="0"/>
              <w:jc w:val="center"/>
              <w:rPr>
                <w:rStyle w:val="28"/>
                <w:rFonts w:hint="eastAsia" w:hAnsi="宋体"/>
                <w:kern w:val="0"/>
                <w:sz w:val="21"/>
                <w:szCs w:val="21"/>
              </w:rPr>
            </w:pPr>
          </w:p>
        </w:tc>
        <w:tc>
          <w:tcPr>
            <w:tcW w:w="2164" w:type="dxa"/>
            <w:tcBorders>
              <w:top w:val="single" w:color="000000" w:sz="6" w:space="0"/>
              <w:left w:val="single" w:color="000000" w:sz="6" w:space="0"/>
              <w:bottom w:val="single" w:color="000000" w:sz="6" w:space="0"/>
              <w:right w:val="single" w:color="000000" w:sz="6" w:space="0"/>
            </w:tcBorders>
            <w:vAlign w:val="center"/>
          </w:tcPr>
          <w:p w14:paraId="7C9FA8B0">
            <w:pPr>
              <w:snapToGrid w:val="0"/>
              <w:jc w:val="center"/>
              <w:rPr>
                <w:rStyle w:val="28"/>
                <w:rFonts w:hint="eastAsia" w:hAnsi="宋体"/>
                <w:kern w:val="0"/>
                <w:sz w:val="21"/>
                <w:szCs w:val="21"/>
              </w:rPr>
            </w:pPr>
          </w:p>
        </w:tc>
      </w:tr>
      <w:tr w14:paraId="4D7D00E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vAlign w:val="center"/>
          </w:tcPr>
          <w:p w14:paraId="6076253C">
            <w:pPr>
              <w:snapToGrid w:val="0"/>
              <w:jc w:val="center"/>
              <w:rPr>
                <w:rFonts w:hint="eastAsia" w:hAnsi="宋体"/>
                <w:kern w:val="0"/>
                <w:sz w:val="21"/>
                <w:szCs w:val="21"/>
              </w:rPr>
            </w:pPr>
            <w:r>
              <w:rPr>
                <w:rStyle w:val="28"/>
                <w:rFonts w:hint="eastAsia" w:hAnsi="宋体"/>
                <w:kern w:val="0"/>
                <w:sz w:val="21"/>
                <w:szCs w:val="21"/>
              </w:rPr>
              <w:t>6</w:t>
            </w:r>
          </w:p>
        </w:tc>
        <w:tc>
          <w:tcPr>
            <w:tcW w:w="1421" w:type="dxa"/>
            <w:tcBorders>
              <w:top w:val="single" w:color="000000" w:sz="6" w:space="0"/>
              <w:left w:val="single" w:color="000000" w:sz="6" w:space="0"/>
              <w:bottom w:val="single" w:color="000000" w:sz="6" w:space="0"/>
              <w:right w:val="single" w:color="000000" w:sz="6" w:space="0"/>
            </w:tcBorders>
            <w:vAlign w:val="center"/>
          </w:tcPr>
          <w:p w14:paraId="2F7F603D">
            <w:pPr>
              <w:snapToGrid w:val="0"/>
              <w:jc w:val="center"/>
              <w:rPr>
                <w:rStyle w:val="28"/>
                <w:rFonts w:hint="eastAsia" w:hAnsi="宋体"/>
                <w:kern w:val="0"/>
                <w:sz w:val="21"/>
                <w:szCs w:val="21"/>
              </w:rPr>
            </w:pPr>
            <w:r>
              <w:rPr>
                <w:rStyle w:val="28"/>
                <w:rFonts w:hint="eastAsia" w:hAnsi="宋体"/>
                <w:kern w:val="0"/>
                <w:sz w:val="21"/>
                <w:szCs w:val="21"/>
              </w:rPr>
              <w:t>材料员</w:t>
            </w:r>
          </w:p>
        </w:tc>
        <w:tc>
          <w:tcPr>
            <w:tcW w:w="1355" w:type="dxa"/>
            <w:tcBorders>
              <w:top w:val="single" w:color="000000" w:sz="6" w:space="0"/>
              <w:left w:val="single" w:color="000000" w:sz="6" w:space="0"/>
              <w:bottom w:val="single" w:color="000000" w:sz="6" w:space="0"/>
              <w:right w:val="single" w:color="000000" w:sz="6" w:space="0"/>
            </w:tcBorders>
            <w:vAlign w:val="center"/>
          </w:tcPr>
          <w:p w14:paraId="449BDE26">
            <w:pPr>
              <w:snapToGrid w:val="0"/>
              <w:jc w:val="center"/>
              <w:rPr>
                <w:rStyle w:val="28"/>
                <w:rFonts w:hint="eastAsia" w:hAnsi="宋体"/>
                <w:kern w:val="0"/>
                <w:sz w:val="21"/>
                <w:szCs w:val="21"/>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2AA6376A">
            <w:pPr>
              <w:snapToGrid w:val="0"/>
              <w:jc w:val="center"/>
              <w:rPr>
                <w:rStyle w:val="28"/>
                <w:rFonts w:hint="eastAsia" w:hAnsi="宋体"/>
                <w:kern w:val="0"/>
                <w:sz w:val="21"/>
                <w:szCs w:val="21"/>
              </w:rPr>
            </w:pPr>
          </w:p>
        </w:tc>
        <w:tc>
          <w:tcPr>
            <w:tcW w:w="817" w:type="dxa"/>
            <w:tcBorders>
              <w:top w:val="single" w:color="000000" w:sz="6" w:space="0"/>
              <w:left w:val="single" w:color="000000" w:sz="6" w:space="0"/>
              <w:bottom w:val="single" w:color="000000" w:sz="6" w:space="0"/>
              <w:right w:val="single" w:color="000000" w:sz="6" w:space="0"/>
            </w:tcBorders>
            <w:vAlign w:val="center"/>
          </w:tcPr>
          <w:p w14:paraId="45A8AEA8">
            <w:pPr>
              <w:snapToGrid w:val="0"/>
              <w:jc w:val="center"/>
              <w:rPr>
                <w:rStyle w:val="28"/>
                <w:rFonts w:hint="eastAsia" w:hAnsi="宋体"/>
                <w:kern w:val="0"/>
                <w:sz w:val="21"/>
                <w:szCs w:val="21"/>
              </w:rPr>
            </w:pPr>
          </w:p>
        </w:tc>
        <w:tc>
          <w:tcPr>
            <w:tcW w:w="1538" w:type="dxa"/>
            <w:tcBorders>
              <w:top w:val="single" w:color="000000" w:sz="6" w:space="0"/>
              <w:left w:val="single" w:color="000000" w:sz="6" w:space="0"/>
              <w:bottom w:val="single" w:color="000000" w:sz="6" w:space="0"/>
              <w:right w:val="single" w:color="000000" w:sz="6" w:space="0"/>
            </w:tcBorders>
            <w:vAlign w:val="center"/>
          </w:tcPr>
          <w:p w14:paraId="73413201">
            <w:pPr>
              <w:snapToGrid w:val="0"/>
              <w:jc w:val="center"/>
              <w:rPr>
                <w:rStyle w:val="28"/>
                <w:rFonts w:hint="eastAsia" w:hAnsi="宋体"/>
                <w:kern w:val="0"/>
                <w:sz w:val="21"/>
                <w:szCs w:val="21"/>
              </w:rPr>
            </w:pPr>
          </w:p>
        </w:tc>
        <w:tc>
          <w:tcPr>
            <w:tcW w:w="2164" w:type="dxa"/>
            <w:tcBorders>
              <w:top w:val="single" w:color="000000" w:sz="6" w:space="0"/>
              <w:left w:val="single" w:color="000000" w:sz="6" w:space="0"/>
              <w:bottom w:val="single" w:color="000000" w:sz="6" w:space="0"/>
              <w:right w:val="single" w:color="000000" w:sz="6" w:space="0"/>
            </w:tcBorders>
            <w:vAlign w:val="center"/>
          </w:tcPr>
          <w:p w14:paraId="27283B70">
            <w:pPr>
              <w:snapToGrid w:val="0"/>
              <w:jc w:val="center"/>
              <w:rPr>
                <w:rStyle w:val="28"/>
                <w:rFonts w:hint="eastAsia" w:hAnsi="宋体"/>
                <w:kern w:val="0"/>
                <w:sz w:val="21"/>
                <w:szCs w:val="21"/>
              </w:rPr>
            </w:pPr>
          </w:p>
        </w:tc>
      </w:tr>
      <w:tr w14:paraId="0428BB6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vAlign w:val="center"/>
          </w:tcPr>
          <w:p w14:paraId="4F98166D">
            <w:pPr>
              <w:snapToGrid w:val="0"/>
              <w:jc w:val="center"/>
              <w:rPr>
                <w:rStyle w:val="28"/>
                <w:rFonts w:hint="eastAsia" w:hAnsi="宋体"/>
                <w:kern w:val="0"/>
                <w:sz w:val="21"/>
                <w:szCs w:val="21"/>
              </w:rPr>
            </w:pPr>
            <w:r>
              <w:rPr>
                <w:rStyle w:val="28"/>
                <w:rFonts w:hint="eastAsia" w:hAnsi="宋体"/>
                <w:kern w:val="0"/>
                <w:sz w:val="21"/>
                <w:szCs w:val="21"/>
              </w:rPr>
              <w:t>7</w:t>
            </w:r>
          </w:p>
        </w:tc>
        <w:tc>
          <w:tcPr>
            <w:tcW w:w="1421" w:type="dxa"/>
            <w:tcBorders>
              <w:top w:val="single" w:color="000000" w:sz="6" w:space="0"/>
              <w:left w:val="single" w:color="000000" w:sz="6" w:space="0"/>
              <w:bottom w:val="single" w:color="000000" w:sz="6" w:space="0"/>
              <w:right w:val="single" w:color="000000" w:sz="6" w:space="0"/>
            </w:tcBorders>
            <w:vAlign w:val="center"/>
          </w:tcPr>
          <w:p w14:paraId="18A12725">
            <w:pPr>
              <w:snapToGrid w:val="0"/>
              <w:jc w:val="center"/>
              <w:rPr>
                <w:rStyle w:val="28"/>
                <w:rFonts w:hint="eastAsia" w:hAnsi="宋体"/>
                <w:kern w:val="0"/>
                <w:sz w:val="21"/>
                <w:szCs w:val="21"/>
              </w:rPr>
            </w:pPr>
            <w:r>
              <w:rPr>
                <w:rStyle w:val="28"/>
                <w:rFonts w:hint="eastAsia" w:hAnsi="宋体"/>
                <w:kern w:val="0"/>
                <w:sz w:val="21"/>
                <w:szCs w:val="21"/>
              </w:rPr>
              <w:t>资料员</w:t>
            </w:r>
          </w:p>
        </w:tc>
        <w:tc>
          <w:tcPr>
            <w:tcW w:w="1355" w:type="dxa"/>
            <w:tcBorders>
              <w:top w:val="single" w:color="000000" w:sz="6" w:space="0"/>
              <w:left w:val="single" w:color="000000" w:sz="6" w:space="0"/>
              <w:bottom w:val="single" w:color="000000" w:sz="6" w:space="0"/>
              <w:right w:val="single" w:color="000000" w:sz="6" w:space="0"/>
            </w:tcBorders>
            <w:vAlign w:val="center"/>
          </w:tcPr>
          <w:p w14:paraId="79677E38">
            <w:pPr>
              <w:snapToGrid w:val="0"/>
              <w:jc w:val="center"/>
              <w:rPr>
                <w:rStyle w:val="28"/>
                <w:rFonts w:hint="eastAsia" w:hAnsi="宋体"/>
                <w:kern w:val="0"/>
                <w:sz w:val="21"/>
                <w:szCs w:val="21"/>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2622B00">
            <w:pPr>
              <w:snapToGrid w:val="0"/>
              <w:jc w:val="center"/>
              <w:rPr>
                <w:rStyle w:val="28"/>
                <w:rFonts w:hint="eastAsia" w:hAnsi="宋体"/>
                <w:kern w:val="0"/>
                <w:sz w:val="21"/>
                <w:szCs w:val="21"/>
              </w:rPr>
            </w:pPr>
          </w:p>
        </w:tc>
        <w:tc>
          <w:tcPr>
            <w:tcW w:w="817" w:type="dxa"/>
            <w:tcBorders>
              <w:top w:val="single" w:color="000000" w:sz="6" w:space="0"/>
              <w:left w:val="single" w:color="000000" w:sz="6" w:space="0"/>
              <w:bottom w:val="single" w:color="000000" w:sz="6" w:space="0"/>
              <w:right w:val="single" w:color="000000" w:sz="6" w:space="0"/>
            </w:tcBorders>
            <w:vAlign w:val="center"/>
          </w:tcPr>
          <w:p w14:paraId="5B184DD4">
            <w:pPr>
              <w:snapToGrid w:val="0"/>
              <w:jc w:val="center"/>
              <w:rPr>
                <w:rStyle w:val="28"/>
                <w:rFonts w:hint="eastAsia" w:hAnsi="宋体"/>
                <w:kern w:val="0"/>
                <w:sz w:val="21"/>
                <w:szCs w:val="21"/>
              </w:rPr>
            </w:pPr>
          </w:p>
        </w:tc>
        <w:tc>
          <w:tcPr>
            <w:tcW w:w="1538" w:type="dxa"/>
            <w:tcBorders>
              <w:top w:val="single" w:color="000000" w:sz="6" w:space="0"/>
              <w:left w:val="single" w:color="000000" w:sz="6" w:space="0"/>
              <w:bottom w:val="single" w:color="000000" w:sz="6" w:space="0"/>
              <w:right w:val="single" w:color="000000" w:sz="6" w:space="0"/>
            </w:tcBorders>
            <w:vAlign w:val="center"/>
          </w:tcPr>
          <w:p w14:paraId="4E6EAC03">
            <w:pPr>
              <w:snapToGrid w:val="0"/>
              <w:jc w:val="center"/>
              <w:rPr>
                <w:rStyle w:val="28"/>
                <w:rFonts w:hint="eastAsia" w:hAnsi="宋体"/>
                <w:kern w:val="0"/>
                <w:sz w:val="21"/>
                <w:szCs w:val="21"/>
              </w:rPr>
            </w:pPr>
          </w:p>
        </w:tc>
        <w:tc>
          <w:tcPr>
            <w:tcW w:w="2164" w:type="dxa"/>
            <w:tcBorders>
              <w:top w:val="single" w:color="000000" w:sz="6" w:space="0"/>
              <w:left w:val="single" w:color="000000" w:sz="6" w:space="0"/>
              <w:bottom w:val="single" w:color="000000" w:sz="6" w:space="0"/>
              <w:right w:val="single" w:color="000000" w:sz="6" w:space="0"/>
            </w:tcBorders>
            <w:vAlign w:val="center"/>
          </w:tcPr>
          <w:p w14:paraId="06C9BB72">
            <w:pPr>
              <w:snapToGrid w:val="0"/>
              <w:jc w:val="center"/>
              <w:rPr>
                <w:rStyle w:val="28"/>
                <w:rFonts w:hint="eastAsia" w:hAnsi="宋体"/>
                <w:kern w:val="0"/>
                <w:sz w:val="21"/>
                <w:szCs w:val="21"/>
              </w:rPr>
            </w:pPr>
          </w:p>
        </w:tc>
      </w:tr>
      <w:tr w14:paraId="5867653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vAlign w:val="center"/>
          </w:tcPr>
          <w:p w14:paraId="29AA916C">
            <w:pPr>
              <w:snapToGrid w:val="0"/>
              <w:jc w:val="center"/>
              <w:rPr>
                <w:rStyle w:val="28"/>
                <w:rFonts w:hint="eastAsia" w:hAnsi="宋体"/>
                <w:kern w:val="0"/>
                <w:sz w:val="21"/>
                <w:szCs w:val="21"/>
              </w:rPr>
            </w:pPr>
            <w:r>
              <w:rPr>
                <w:rStyle w:val="28"/>
                <w:rFonts w:hint="eastAsia" w:hAnsi="宋体"/>
                <w:kern w:val="0"/>
                <w:sz w:val="21"/>
                <w:szCs w:val="21"/>
              </w:rPr>
              <w:t>……</w:t>
            </w:r>
          </w:p>
        </w:tc>
        <w:tc>
          <w:tcPr>
            <w:tcW w:w="1421" w:type="dxa"/>
            <w:tcBorders>
              <w:top w:val="single" w:color="000000" w:sz="6" w:space="0"/>
              <w:left w:val="single" w:color="000000" w:sz="6" w:space="0"/>
              <w:bottom w:val="single" w:color="000000" w:sz="6" w:space="0"/>
              <w:right w:val="single" w:color="000000" w:sz="6" w:space="0"/>
            </w:tcBorders>
            <w:vAlign w:val="center"/>
          </w:tcPr>
          <w:p w14:paraId="0F99B3C1">
            <w:pPr>
              <w:snapToGrid w:val="0"/>
              <w:jc w:val="center"/>
              <w:rPr>
                <w:rStyle w:val="28"/>
                <w:rFonts w:hint="eastAsia" w:hAnsi="宋体"/>
                <w:kern w:val="0"/>
                <w:sz w:val="21"/>
                <w:szCs w:val="21"/>
              </w:rPr>
            </w:pPr>
            <w:r>
              <w:rPr>
                <w:rStyle w:val="28"/>
                <w:rFonts w:hint="eastAsia" w:hAnsi="宋体"/>
                <w:kern w:val="0"/>
                <w:sz w:val="21"/>
                <w:szCs w:val="21"/>
              </w:rPr>
              <w:t>……</w:t>
            </w:r>
          </w:p>
        </w:tc>
        <w:tc>
          <w:tcPr>
            <w:tcW w:w="1355" w:type="dxa"/>
            <w:tcBorders>
              <w:top w:val="single" w:color="000000" w:sz="6" w:space="0"/>
              <w:left w:val="single" w:color="000000" w:sz="6" w:space="0"/>
              <w:bottom w:val="single" w:color="000000" w:sz="6" w:space="0"/>
              <w:right w:val="single" w:color="000000" w:sz="6" w:space="0"/>
            </w:tcBorders>
            <w:vAlign w:val="center"/>
          </w:tcPr>
          <w:p w14:paraId="1691AC96">
            <w:pPr>
              <w:snapToGrid w:val="0"/>
              <w:jc w:val="center"/>
              <w:rPr>
                <w:rStyle w:val="28"/>
                <w:rFonts w:hint="eastAsia" w:hAnsi="宋体"/>
                <w:kern w:val="0"/>
                <w:sz w:val="21"/>
                <w:szCs w:val="21"/>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6D96B62E">
            <w:pPr>
              <w:snapToGrid w:val="0"/>
              <w:jc w:val="center"/>
              <w:rPr>
                <w:rStyle w:val="28"/>
                <w:rFonts w:hint="eastAsia" w:hAnsi="宋体"/>
                <w:kern w:val="0"/>
                <w:sz w:val="21"/>
                <w:szCs w:val="21"/>
              </w:rPr>
            </w:pPr>
          </w:p>
        </w:tc>
        <w:tc>
          <w:tcPr>
            <w:tcW w:w="817" w:type="dxa"/>
            <w:tcBorders>
              <w:top w:val="single" w:color="000000" w:sz="6" w:space="0"/>
              <w:left w:val="single" w:color="000000" w:sz="6" w:space="0"/>
              <w:bottom w:val="single" w:color="000000" w:sz="6" w:space="0"/>
              <w:right w:val="single" w:color="000000" w:sz="6" w:space="0"/>
            </w:tcBorders>
            <w:vAlign w:val="center"/>
          </w:tcPr>
          <w:p w14:paraId="49D7EBAF">
            <w:pPr>
              <w:snapToGrid w:val="0"/>
              <w:jc w:val="center"/>
              <w:rPr>
                <w:rStyle w:val="28"/>
                <w:rFonts w:hint="eastAsia" w:hAnsi="宋体"/>
                <w:kern w:val="0"/>
                <w:sz w:val="21"/>
                <w:szCs w:val="21"/>
              </w:rPr>
            </w:pPr>
          </w:p>
        </w:tc>
        <w:tc>
          <w:tcPr>
            <w:tcW w:w="1538" w:type="dxa"/>
            <w:tcBorders>
              <w:top w:val="single" w:color="000000" w:sz="6" w:space="0"/>
              <w:left w:val="single" w:color="000000" w:sz="6" w:space="0"/>
              <w:bottom w:val="single" w:color="000000" w:sz="6" w:space="0"/>
              <w:right w:val="single" w:color="000000" w:sz="6" w:space="0"/>
            </w:tcBorders>
            <w:vAlign w:val="center"/>
          </w:tcPr>
          <w:p w14:paraId="7B7984D8">
            <w:pPr>
              <w:snapToGrid w:val="0"/>
              <w:jc w:val="center"/>
              <w:rPr>
                <w:rStyle w:val="28"/>
                <w:rFonts w:hint="eastAsia" w:hAnsi="宋体"/>
                <w:kern w:val="0"/>
                <w:sz w:val="21"/>
                <w:szCs w:val="21"/>
              </w:rPr>
            </w:pPr>
          </w:p>
        </w:tc>
        <w:tc>
          <w:tcPr>
            <w:tcW w:w="2164" w:type="dxa"/>
            <w:tcBorders>
              <w:top w:val="single" w:color="000000" w:sz="6" w:space="0"/>
              <w:left w:val="single" w:color="000000" w:sz="6" w:space="0"/>
              <w:bottom w:val="single" w:color="000000" w:sz="6" w:space="0"/>
              <w:right w:val="single" w:color="000000" w:sz="6" w:space="0"/>
            </w:tcBorders>
            <w:vAlign w:val="center"/>
          </w:tcPr>
          <w:p w14:paraId="7FEA3E5D">
            <w:pPr>
              <w:snapToGrid w:val="0"/>
              <w:jc w:val="center"/>
              <w:rPr>
                <w:rStyle w:val="28"/>
                <w:rFonts w:hint="eastAsia" w:hAnsi="宋体"/>
                <w:kern w:val="0"/>
                <w:sz w:val="21"/>
                <w:szCs w:val="21"/>
              </w:rPr>
            </w:pPr>
          </w:p>
        </w:tc>
      </w:tr>
    </w:tbl>
    <w:p w14:paraId="11A259A1">
      <w:pPr>
        <w:pStyle w:val="55"/>
        <w:snapToGrid w:val="0"/>
        <w:rPr>
          <w:rStyle w:val="28"/>
          <w:rFonts w:hint="eastAsia" w:hAnsi="宋体"/>
          <w:sz w:val="21"/>
          <w:szCs w:val="21"/>
        </w:rPr>
      </w:pPr>
    </w:p>
    <w:p w14:paraId="1C5531E2">
      <w:pPr>
        <w:pStyle w:val="55"/>
        <w:snapToGrid w:val="0"/>
        <w:rPr>
          <w:rStyle w:val="28"/>
          <w:rFonts w:hint="eastAsia" w:hAnsi="宋体"/>
          <w:sz w:val="21"/>
          <w:szCs w:val="21"/>
        </w:rPr>
      </w:pPr>
      <w:r>
        <w:rPr>
          <w:rStyle w:val="28"/>
          <w:rFonts w:hint="eastAsia" w:hAnsi="宋体"/>
          <w:sz w:val="21"/>
          <w:szCs w:val="21"/>
        </w:rPr>
        <w:t>说明：</w:t>
      </w:r>
    </w:p>
    <w:p w14:paraId="0B676E04">
      <w:pPr>
        <w:pStyle w:val="55"/>
        <w:snapToGrid w:val="0"/>
        <w:rPr>
          <w:rStyle w:val="28"/>
          <w:rFonts w:hint="eastAsia" w:hAnsi="宋体"/>
          <w:sz w:val="21"/>
          <w:szCs w:val="21"/>
        </w:rPr>
      </w:pPr>
      <w:r>
        <w:rPr>
          <w:rStyle w:val="28"/>
          <w:rFonts w:hint="eastAsia" w:hAnsi="宋体"/>
          <w:sz w:val="21"/>
          <w:szCs w:val="21"/>
        </w:rPr>
        <w:t>《项目管理机构组成表》后应附表中拟派人员（项目经理、项目技术负责人、专职安全员除外）以下资料：</w:t>
      </w:r>
    </w:p>
    <w:p w14:paraId="19F44ACD">
      <w:pPr>
        <w:snapToGrid w:val="0"/>
        <w:ind w:firstLine="420" w:firstLineChars="200"/>
        <w:rPr>
          <w:rStyle w:val="28"/>
          <w:rFonts w:hint="eastAsia" w:hAnsi="宋体"/>
          <w:kern w:val="0"/>
          <w:sz w:val="21"/>
          <w:szCs w:val="21"/>
        </w:rPr>
      </w:pPr>
      <w:r>
        <w:rPr>
          <w:rStyle w:val="28"/>
          <w:rFonts w:hint="eastAsia" w:hAnsi="宋体"/>
          <w:kern w:val="0"/>
          <w:sz w:val="21"/>
          <w:szCs w:val="21"/>
        </w:rPr>
        <w:t>（1）身份证</w:t>
      </w:r>
      <w:r>
        <w:rPr>
          <w:rFonts w:hint="eastAsia" w:hAnsi="宋体"/>
          <w:snapToGrid w:val="0"/>
          <w:kern w:val="0"/>
          <w:sz w:val="21"/>
          <w:szCs w:val="21"/>
        </w:rPr>
        <w:t>彩色扫描件</w:t>
      </w:r>
      <w:r>
        <w:rPr>
          <w:rStyle w:val="28"/>
          <w:rFonts w:hint="eastAsia" w:hAnsi="宋体"/>
          <w:kern w:val="0"/>
          <w:sz w:val="21"/>
          <w:szCs w:val="21"/>
        </w:rPr>
        <w:t>；</w:t>
      </w:r>
    </w:p>
    <w:p w14:paraId="4BE6488E">
      <w:pPr>
        <w:snapToGrid w:val="0"/>
        <w:ind w:firstLine="420" w:firstLineChars="200"/>
        <w:rPr>
          <w:rStyle w:val="28"/>
          <w:rFonts w:hint="eastAsia" w:hAnsi="宋体"/>
          <w:kern w:val="0"/>
          <w:sz w:val="21"/>
          <w:szCs w:val="21"/>
        </w:rPr>
      </w:pPr>
      <w:r>
        <w:rPr>
          <w:rStyle w:val="28"/>
          <w:rFonts w:hint="eastAsia" w:hAnsi="宋体"/>
          <w:kern w:val="0"/>
          <w:sz w:val="21"/>
          <w:szCs w:val="21"/>
        </w:rPr>
        <w:t>（2）执业注册证或职称证或岗位证</w:t>
      </w:r>
      <w:r>
        <w:rPr>
          <w:rFonts w:hint="eastAsia" w:hAnsi="宋体"/>
          <w:snapToGrid w:val="0"/>
          <w:kern w:val="0"/>
          <w:sz w:val="21"/>
          <w:szCs w:val="21"/>
        </w:rPr>
        <w:t>彩色扫描件</w:t>
      </w:r>
      <w:r>
        <w:rPr>
          <w:rStyle w:val="28"/>
          <w:rFonts w:hint="eastAsia" w:hAnsi="宋体"/>
          <w:kern w:val="0"/>
          <w:sz w:val="21"/>
          <w:szCs w:val="21"/>
        </w:rPr>
        <w:t>；</w:t>
      </w:r>
    </w:p>
    <w:p w14:paraId="5C7A3E42">
      <w:pPr>
        <w:wordWrap w:val="0"/>
        <w:adjustRightInd w:val="0"/>
        <w:snapToGrid w:val="0"/>
        <w:ind w:firstLine="420" w:firstLineChars="200"/>
        <w:rPr>
          <w:rFonts w:hint="eastAsia" w:hAnsi="宋体"/>
          <w:snapToGrid w:val="0"/>
          <w:kern w:val="0"/>
          <w:sz w:val="21"/>
          <w:szCs w:val="21"/>
        </w:rPr>
      </w:pPr>
      <w:r>
        <w:rPr>
          <w:rStyle w:val="28"/>
          <w:rFonts w:hint="eastAsia" w:hAnsi="宋体"/>
          <w:kern w:val="0"/>
          <w:sz w:val="21"/>
          <w:szCs w:val="21"/>
        </w:rPr>
        <w:t>（3）在本单位缴纳社保的证明（连续三个月，其中必须</w:t>
      </w:r>
      <w:r>
        <w:rPr>
          <w:rFonts w:hint="eastAsia" w:hAnsi="宋体"/>
          <w:snapToGrid w:val="0"/>
          <w:kern w:val="0"/>
          <w:sz w:val="21"/>
          <w:szCs w:val="21"/>
        </w:rPr>
        <w:t>有</w:t>
      </w:r>
      <w:r>
        <w:rPr>
          <w:rStyle w:val="28"/>
          <w:rFonts w:hint="eastAsia" w:hAnsi="宋体"/>
          <w:kern w:val="0"/>
          <w:sz w:val="21"/>
          <w:szCs w:val="21"/>
        </w:rPr>
        <w:t>2026年8月</w:t>
      </w:r>
      <w:r>
        <w:rPr>
          <w:rFonts w:hint="eastAsia" w:hAnsi="宋体"/>
          <w:snapToGrid w:val="0"/>
          <w:kern w:val="0"/>
          <w:sz w:val="21"/>
          <w:szCs w:val="21"/>
        </w:rPr>
        <w:t xml:space="preserve">）彩色扫描件，非独立法人分支机构出具社保，予以认可；拟派人员为退休返聘人员无法提供社保证明的，提供退休证和劳动合同彩色扫描件。 </w:t>
      </w:r>
    </w:p>
    <w:p w14:paraId="58B35F8A">
      <w:pPr>
        <w:snapToGrid w:val="0"/>
        <w:ind w:firstLine="420" w:firstLineChars="200"/>
        <w:rPr>
          <w:rStyle w:val="28"/>
          <w:rFonts w:hint="eastAsia" w:hAnsi="宋体"/>
          <w:kern w:val="0"/>
          <w:sz w:val="21"/>
          <w:szCs w:val="21"/>
        </w:rPr>
      </w:pPr>
      <w:r>
        <w:rPr>
          <w:rStyle w:val="28"/>
          <w:rFonts w:hint="eastAsia" w:hAnsi="宋体"/>
          <w:kern w:val="0"/>
          <w:sz w:val="21"/>
          <w:szCs w:val="21"/>
        </w:rPr>
        <w:t>（4）“进粤企业和人员诚信信息登记平台”个人信息情况截图。（适用于省外建筑企业）</w:t>
      </w:r>
    </w:p>
    <w:p w14:paraId="74650ABF">
      <w:pPr>
        <w:snapToGrid w:val="0"/>
        <w:ind w:firstLine="420" w:firstLineChars="200"/>
        <w:rPr>
          <w:rStyle w:val="28"/>
          <w:rFonts w:hint="eastAsia" w:hAnsi="宋体"/>
          <w:kern w:val="0"/>
          <w:sz w:val="21"/>
          <w:szCs w:val="21"/>
        </w:rPr>
      </w:pPr>
    </w:p>
    <w:p w14:paraId="635A2484">
      <w:pPr>
        <w:pStyle w:val="5"/>
        <w:spacing w:line="360" w:lineRule="auto"/>
        <w:ind w:firstLine="0"/>
        <w:rPr>
          <w:rStyle w:val="28"/>
          <w:rFonts w:hint="eastAsia" w:ascii="宋体" w:hAnsi="宋体" w:cs="宋体"/>
          <w:bCs/>
        </w:rPr>
      </w:pPr>
      <w:r>
        <w:rPr>
          <w:rStyle w:val="28"/>
          <w:rFonts w:hint="eastAsia" w:ascii="宋体" w:hAnsi="宋体" w:cs="宋体"/>
          <w:sz w:val="21"/>
          <w:szCs w:val="21"/>
        </w:rPr>
        <w:br w:type="page"/>
      </w:r>
      <w:bookmarkStart w:id="703" w:name="_Toc9476"/>
      <w:bookmarkStart w:id="704" w:name="_Toc29544"/>
      <w:bookmarkStart w:id="705" w:name="_Toc4370"/>
      <w:bookmarkStart w:id="706" w:name="_Toc8959"/>
      <w:bookmarkStart w:id="707" w:name="_Toc28355"/>
      <w:bookmarkStart w:id="708" w:name="_Toc28465"/>
      <w:bookmarkStart w:id="709" w:name="_Toc13885"/>
      <w:bookmarkStart w:id="710" w:name="_Toc19125"/>
      <w:bookmarkStart w:id="711" w:name="_Toc13261"/>
      <w:bookmarkStart w:id="712" w:name="_Toc31072"/>
      <w:bookmarkStart w:id="713" w:name="_Toc11642"/>
      <w:bookmarkStart w:id="714" w:name="_Toc15402"/>
      <w:bookmarkStart w:id="715" w:name="_Toc12849"/>
      <w:bookmarkStart w:id="716" w:name="_Toc6024"/>
      <w:r>
        <w:rPr>
          <w:rStyle w:val="63"/>
          <w:rFonts w:hint="eastAsia" w:ascii="宋体" w:hAnsi="宋体" w:eastAsia="宋体" w:cs="宋体"/>
          <w:b/>
          <w:bCs/>
          <w:sz w:val="21"/>
          <w:szCs w:val="21"/>
        </w:rPr>
        <w:t>格式十三 建造师查询页（有效期+建造师签字）</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1437C1C9">
      <w:pPr>
        <w:pStyle w:val="49"/>
        <w:jc w:val="both"/>
        <w:rPr>
          <w:rFonts w:hint="eastAsia" w:ascii="宋体" w:hAnsi="宋体" w:cs="宋体"/>
          <w:b/>
          <w:bCs/>
          <w:snapToGrid w:val="0"/>
          <w:szCs w:val="24"/>
        </w:rPr>
      </w:pPr>
      <w:r>
        <w:rPr>
          <w:rFonts w:hint="eastAsia" w:ascii="宋体" w:hAnsi="宋体" w:cs="宋体"/>
          <w:snapToGrid w:val="0"/>
          <w:sz w:val="21"/>
        </w:rPr>
        <w:drawing>
          <wp:inline distT="0" distB="0" distL="114300" distR="114300">
            <wp:extent cx="5344160" cy="7471410"/>
            <wp:effectExtent l="0" t="0" r="8890" b="15240"/>
            <wp:docPr id="5" name="图片 13" descr="b7c3fa9a6b84aa75afaa6419d14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3" descr="b7c3fa9a6b84aa75afaa6419d149817"/>
                    <pic:cNvPicPr>
                      <a:picLocks noChangeAspect="1"/>
                    </pic:cNvPicPr>
                  </pic:nvPicPr>
                  <pic:blipFill>
                    <a:blip r:embed="rId34"/>
                    <a:stretch>
                      <a:fillRect/>
                    </a:stretch>
                  </pic:blipFill>
                  <pic:spPr>
                    <a:xfrm>
                      <a:off x="0" y="0"/>
                      <a:ext cx="5344160" cy="7471410"/>
                    </a:xfrm>
                    <a:prstGeom prst="rect">
                      <a:avLst/>
                    </a:prstGeom>
                    <a:noFill/>
                    <a:ln>
                      <a:noFill/>
                    </a:ln>
                  </pic:spPr>
                </pic:pic>
              </a:graphicData>
            </a:graphic>
          </wp:inline>
        </w:drawing>
      </w:r>
    </w:p>
    <w:p w14:paraId="3A11E9BA">
      <w:pPr>
        <w:pStyle w:val="50"/>
        <w:ind w:firstLine="0"/>
        <w:rPr>
          <w:rStyle w:val="63"/>
          <w:rFonts w:hint="eastAsia" w:ascii="宋体" w:hAnsi="宋体" w:eastAsia="宋体" w:cs="宋体"/>
          <w:bCs/>
          <w:sz w:val="21"/>
          <w:szCs w:val="21"/>
        </w:rPr>
      </w:pPr>
      <w:bookmarkStart w:id="717" w:name="_Toc26904"/>
      <w:bookmarkStart w:id="718" w:name="_Toc9224"/>
      <w:bookmarkStart w:id="719" w:name="_Toc36804690"/>
      <w:bookmarkStart w:id="720" w:name="_Toc30931"/>
      <w:bookmarkStart w:id="721" w:name="_Toc23831"/>
      <w:bookmarkStart w:id="722" w:name="_Toc14143"/>
      <w:bookmarkStart w:id="723" w:name="_Toc6379"/>
      <w:bookmarkStart w:id="724" w:name="_Toc29671"/>
      <w:bookmarkStart w:id="725" w:name="_Toc18297"/>
      <w:bookmarkStart w:id="726" w:name="_Toc18504"/>
      <w:bookmarkStart w:id="727" w:name="_Toc28494"/>
      <w:bookmarkStart w:id="728" w:name="_Toc16380"/>
      <w:bookmarkStart w:id="729" w:name="_Toc20623"/>
      <w:bookmarkStart w:id="730" w:name="_Toc11365"/>
    </w:p>
    <w:p w14:paraId="5C4056C4">
      <w:pPr>
        <w:pStyle w:val="50"/>
        <w:ind w:firstLine="0"/>
        <w:rPr>
          <w:rStyle w:val="63"/>
          <w:rFonts w:hint="eastAsia" w:ascii="宋体" w:hAnsi="宋体" w:eastAsia="宋体" w:cs="宋体"/>
          <w:bCs/>
          <w:sz w:val="21"/>
          <w:szCs w:val="21"/>
        </w:rPr>
      </w:pPr>
    </w:p>
    <w:p w14:paraId="2B4D8102">
      <w:pPr>
        <w:pStyle w:val="49"/>
        <w:keepNext w:val="0"/>
        <w:keepLines w:val="0"/>
        <w:widowControl w:val="0"/>
        <w:wordWrap w:val="0"/>
        <w:adjustRightInd w:val="0"/>
        <w:snapToGrid w:val="0"/>
        <w:spacing w:before="0" w:after="0"/>
        <w:ind w:left="3190" w:leftChars="15" w:hanging="3154" w:hangingChars="1496"/>
        <w:rPr>
          <w:rStyle w:val="63"/>
          <w:rFonts w:hint="eastAsia" w:ascii="宋体" w:hAnsi="宋体" w:eastAsia="宋体" w:cs="宋体"/>
          <w:bCs/>
          <w:sz w:val="21"/>
          <w:szCs w:val="21"/>
        </w:rPr>
      </w:pPr>
      <w:bookmarkStart w:id="731" w:name="_Toc21705"/>
      <w:r>
        <w:rPr>
          <w:rStyle w:val="63"/>
          <w:rFonts w:hint="eastAsia" w:ascii="宋体" w:hAnsi="宋体" w:eastAsia="宋体" w:cs="宋体"/>
          <w:bCs/>
          <w:sz w:val="21"/>
          <w:szCs w:val="21"/>
        </w:rPr>
        <w:t xml:space="preserve">格式十四 </w:t>
      </w:r>
      <w:bookmarkEnd w:id="717"/>
      <w:bookmarkEnd w:id="718"/>
      <w:bookmarkEnd w:id="719"/>
      <w:bookmarkEnd w:id="720"/>
      <w:bookmarkEnd w:id="721"/>
      <w:bookmarkEnd w:id="722"/>
      <w:bookmarkEnd w:id="723"/>
      <w:bookmarkEnd w:id="724"/>
      <w:bookmarkEnd w:id="725"/>
      <w:bookmarkEnd w:id="726"/>
      <w:bookmarkEnd w:id="727"/>
      <w:bookmarkStart w:id="732" w:name="_Toc10203"/>
      <w:r>
        <w:rPr>
          <w:rStyle w:val="63"/>
          <w:rFonts w:hint="eastAsia" w:ascii="宋体" w:hAnsi="宋体" w:eastAsia="宋体" w:cs="宋体"/>
          <w:bCs/>
          <w:sz w:val="21"/>
          <w:szCs w:val="21"/>
        </w:rPr>
        <w:t>危险性较大的分部分项工程清单及超过一定规模的危险性较大的分部分项工程清单</w:t>
      </w:r>
      <w:bookmarkEnd w:id="728"/>
      <w:bookmarkEnd w:id="731"/>
    </w:p>
    <w:bookmarkEnd w:id="729"/>
    <w:bookmarkEnd w:id="730"/>
    <w:p w14:paraId="575B0177">
      <w:pPr>
        <w:pStyle w:val="8"/>
        <w:ind w:left="5" w:firstLine="492"/>
        <w:rPr>
          <w:rFonts w:hint="eastAsia" w:hAnsi="宋体" w:cs="宋体"/>
          <w:sz w:val="21"/>
          <w:szCs w:val="21"/>
        </w:rPr>
      </w:pPr>
      <w:r>
        <w:rPr>
          <w:rFonts w:hint="eastAsia" w:hAnsi="宋体" w:cs="宋体"/>
          <w:spacing w:val="-1"/>
          <w:sz w:val="21"/>
          <w:szCs w:val="21"/>
        </w:rPr>
        <w:t>1.根据中华人民共和国住房和城乡建设部令第37号《危险性较大的分部分项工程</w:t>
      </w:r>
      <w:r>
        <w:rPr>
          <w:rFonts w:hint="eastAsia" w:hAnsi="宋体" w:cs="宋体"/>
          <w:spacing w:val="-2"/>
          <w:sz w:val="21"/>
          <w:szCs w:val="21"/>
        </w:rPr>
        <w:t>安全管理规定》（以下简称“37号文”</w:t>
      </w:r>
      <w:r>
        <w:rPr>
          <w:rFonts w:hint="eastAsia" w:hAnsi="宋体" w:cs="宋体"/>
          <w:spacing w:val="-11"/>
          <w:sz w:val="21"/>
          <w:szCs w:val="21"/>
        </w:rPr>
        <w:t>），</w:t>
      </w:r>
      <w:r>
        <w:rPr>
          <w:rFonts w:hint="eastAsia" w:hAnsi="宋体" w:cs="宋体"/>
          <w:spacing w:val="-2"/>
          <w:sz w:val="21"/>
          <w:szCs w:val="21"/>
        </w:rPr>
        <w:t>投标人在投标时须补充完善危大工程清单并明确相应的安全管理措施。</w:t>
      </w:r>
    </w:p>
    <w:p w14:paraId="595426F8">
      <w:pPr>
        <w:pStyle w:val="8"/>
        <w:ind w:left="1" w:firstLine="481"/>
        <w:rPr>
          <w:rFonts w:hint="eastAsia" w:hAnsi="宋体" w:cs="宋体"/>
          <w:sz w:val="21"/>
          <w:szCs w:val="21"/>
        </w:rPr>
      </w:pPr>
      <w:r>
        <w:rPr>
          <w:rFonts w:hint="eastAsia" w:hAnsi="宋体" w:cs="宋体"/>
          <w:spacing w:val="-2"/>
          <w:sz w:val="21"/>
          <w:szCs w:val="21"/>
        </w:rPr>
        <w:t>2.招标人根据设计文件的要求及37号文、粤建规范〔2019〕2号文的规定列出“危险性较大的分部分项工程清单及超过一定规模的危</w:t>
      </w:r>
      <w:r>
        <w:rPr>
          <w:rFonts w:hint="eastAsia" w:hAnsi="宋体" w:cs="宋体"/>
          <w:spacing w:val="-3"/>
          <w:sz w:val="21"/>
          <w:szCs w:val="21"/>
        </w:rPr>
        <w:t>险性较大的分部分项工程清单”中与</w:t>
      </w:r>
      <w:r>
        <w:rPr>
          <w:rFonts w:hint="eastAsia" w:hAnsi="宋体" w:cs="宋体"/>
          <w:spacing w:val="-5"/>
          <w:sz w:val="21"/>
          <w:szCs w:val="21"/>
        </w:rPr>
        <w:t>本招标项目相关的清单项，具体详见第5点“打√”标识。</w:t>
      </w:r>
    </w:p>
    <w:p w14:paraId="0C67D1C9">
      <w:pPr>
        <w:pStyle w:val="8"/>
        <w:ind w:left="3" w:right="72" w:firstLine="488"/>
        <w:rPr>
          <w:rFonts w:hint="eastAsia" w:hAnsi="宋体" w:cs="宋体"/>
          <w:sz w:val="21"/>
          <w:szCs w:val="21"/>
        </w:rPr>
      </w:pPr>
      <w:r>
        <w:rPr>
          <w:rFonts w:hint="eastAsia" w:hAnsi="宋体" w:cs="宋体"/>
          <w:spacing w:val="-3"/>
          <w:sz w:val="21"/>
          <w:szCs w:val="21"/>
        </w:rPr>
        <w:t>（1）投标单位同意建设单位在清单中标识的该</w:t>
      </w:r>
      <w:r>
        <w:rPr>
          <w:rFonts w:hint="eastAsia" w:hAnsi="宋体" w:cs="宋体"/>
          <w:spacing w:val="-4"/>
          <w:sz w:val="21"/>
          <w:szCs w:val="21"/>
        </w:rPr>
        <w:t>项请在对应项打“√”标识，并与</w:t>
      </w:r>
      <w:r>
        <w:rPr>
          <w:rFonts w:hint="eastAsia" w:hAnsi="宋体" w:cs="宋体"/>
          <w:spacing w:val="-1"/>
          <w:sz w:val="21"/>
          <w:szCs w:val="21"/>
        </w:rPr>
        <w:t>投标文件中提供相应的安全管理措施。</w:t>
      </w:r>
    </w:p>
    <w:p w14:paraId="05E7CFC2">
      <w:pPr>
        <w:pStyle w:val="8"/>
        <w:ind w:left="2" w:right="72" w:firstLine="489"/>
        <w:rPr>
          <w:rFonts w:hint="eastAsia" w:hAnsi="宋体" w:cs="宋体"/>
          <w:sz w:val="21"/>
          <w:szCs w:val="21"/>
        </w:rPr>
      </w:pPr>
      <w:r>
        <w:rPr>
          <w:rFonts w:hint="eastAsia" w:hAnsi="宋体" w:cs="宋体"/>
          <w:spacing w:val="-3"/>
          <w:sz w:val="21"/>
          <w:szCs w:val="21"/>
        </w:rPr>
        <w:t>（2）投标单位对清单中认为需要补充的该项请</w:t>
      </w:r>
      <w:r>
        <w:rPr>
          <w:rFonts w:hint="eastAsia" w:hAnsi="宋体" w:cs="宋体"/>
          <w:spacing w:val="-4"/>
          <w:sz w:val="21"/>
          <w:szCs w:val="21"/>
        </w:rPr>
        <w:t>在对应项打“√”标识，并于投标</w:t>
      </w:r>
      <w:r>
        <w:rPr>
          <w:rFonts w:hint="eastAsia" w:hAnsi="宋体" w:cs="宋体"/>
          <w:spacing w:val="-1"/>
          <w:sz w:val="21"/>
          <w:szCs w:val="21"/>
        </w:rPr>
        <w:t>文件中提供相应的安全管理措施。</w:t>
      </w:r>
    </w:p>
    <w:p w14:paraId="291A00BF">
      <w:pPr>
        <w:pStyle w:val="8"/>
        <w:ind w:right="72" w:firstLine="492"/>
        <w:rPr>
          <w:rFonts w:hint="eastAsia" w:hAnsi="宋体" w:cs="宋体"/>
          <w:sz w:val="21"/>
          <w:szCs w:val="21"/>
        </w:rPr>
      </w:pPr>
      <w:r>
        <w:rPr>
          <w:rFonts w:hint="eastAsia" w:hAnsi="宋体" w:cs="宋体"/>
          <w:spacing w:val="-3"/>
          <w:sz w:val="21"/>
          <w:szCs w:val="21"/>
        </w:rPr>
        <w:t>（3）投标单位不同意建设单位在清单中标识的该项请在对应项打“×”标识，并</w:t>
      </w:r>
      <w:r>
        <w:rPr>
          <w:rFonts w:hint="eastAsia" w:hAnsi="宋体" w:cs="宋体"/>
          <w:spacing w:val="-1"/>
          <w:sz w:val="21"/>
          <w:szCs w:val="21"/>
        </w:rPr>
        <w:t>在备注栏填上相关说明。</w:t>
      </w:r>
    </w:p>
    <w:p w14:paraId="659B6CDC">
      <w:pPr>
        <w:pStyle w:val="8"/>
        <w:ind w:firstLine="484"/>
        <w:rPr>
          <w:rFonts w:hint="eastAsia" w:hAnsi="宋体" w:cs="宋体"/>
          <w:sz w:val="21"/>
          <w:szCs w:val="21"/>
        </w:rPr>
      </w:pPr>
      <w:r>
        <w:rPr>
          <w:rFonts w:hint="eastAsia" w:hAnsi="宋体" w:cs="宋体"/>
          <w:b/>
          <w:bCs/>
          <w:spacing w:val="-4"/>
          <w:sz w:val="21"/>
          <w:szCs w:val="21"/>
          <w:u w:val="single"/>
        </w:rPr>
        <w:t>3.投标单位应当在投标时根据招标人提供的下述第5点清单，</w:t>
      </w:r>
      <w:r>
        <w:rPr>
          <w:rFonts w:hint="eastAsia" w:hAnsi="宋体" w:cs="宋体"/>
          <w:b/>
          <w:bCs/>
          <w:spacing w:val="-5"/>
          <w:sz w:val="21"/>
          <w:szCs w:val="21"/>
          <w:u w:val="single"/>
        </w:rPr>
        <w:t>在投标施工组织中回</w:t>
      </w:r>
      <w:r>
        <w:rPr>
          <w:rFonts w:hint="eastAsia" w:hAnsi="宋体" w:cs="宋体"/>
          <w:b/>
          <w:bCs/>
          <w:spacing w:val="-4"/>
          <w:sz w:val="21"/>
          <w:szCs w:val="21"/>
          <w:u w:val="single"/>
        </w:rPr>
        <w:t>应建设单位提供的危大工程清单，补充相应的安全管理措施。（为减轻标书编制</w:t>
      </w:r>
      <w:r>
        <w:rPr>
          <w:rFonts w:hint="eastAsia" w:hAnsi="宋体" w:cs="宋体"/>
          <w:b/>
          <w:bCs/>
          <w:spacing w:val="-5"/>
          <w:sz w:val="21"/>
          <w:szCs w:val="21"/>
          <w:u w:val="single"/>
        </w:rPr>
        <w:t>的工作</w:t>
      </w:r>
      <w:r>
        <w:rPr>
          <w:rFonts w:hint="eastAsia" w:hAnsi="宋体" w:cs="宋体"/>
          <w:b/>
          <w:bCs/>
          <w:spacing w:val="-2"/>
          <w:sz w:val="21"/>
          <w:szCs w:val="21"/>
          <w:u w:val="single"/>
        </w:rPr>
        <w:t>量，投标单位回应的危大工程清单该部分的页数应控制在3页内）</w:t>
      </w:r>
    </w:p>
    <w:p w14:paraId="16AC2D15">
      <w:pPr>
        <w:pStyle w:val="8"/>
        <w:ind w:left="1" w:firstLine="478"/>
        <w:rPr>
          <w:rFonts w:hint="eastAsia" w:hAnsi="宋体" w:cs="宋体"/>
          <w:sz w:val="21"/>
          <w:szCs w:val="21"/>
        </w:rPr>
      </w:pPr>
      <w:r>
        <w:rPr>
          <w:rFonts w:hint="eastAsia" w:hAnsi="宋体" w:cs="宋体"/>
          <w:sz w:val="21"/>
          <w:szCs w:val="21"/>
        </w:rPr>
        <w:t>4.对于超过一定规模的危大工程，中标单位应当组织召开</w:t>
      </w:r>
      <w:r>
        <w:rPr>
          <w:rFonts w:hint="eastAsia" w:hAnsi="宋体" w:cs="宋体"/>
          <w:spacing w:val="-1"/>
          <w:sz w:val="21"/>
          <w:szCs w:val="21"/>
        </w:rPr>
        <w:t>专家论证会对专项施工</w:t>
      </w:r>
      <w:r>
        <w:rPr>
          <w:rFonts w:hint="eastAsia" w:hAnsi="宋体" w:cs="宋体"/>
          <w:spacing w:val="-2"/>
          <w:sz w:val="21"/>
          <w:szCs w:val="21"/>
        </w:rPr>
        <w:t>方案进行论证。实行施工总承包的，由施工总承包单位组织召开专家论证会。专家论证</w:t>
      </w:r>
      <w:r>
        <w:rPr>
          <w:rFonts w:hint="eastAsia" w:hAnsi="宋体" w:cs="宋体"/>
          <w:spacing w:val="-1"/>
          <w:sz w:val="21"/>
          <w:szCs w:val="21"/>
        </w:rPr>
        <w:t>前专项施工方案应当通过施工总承包单位审核和总监理工程师审查。</w:t>
      </w:r>
    </w:p>
    <w:p w14:paraId="664A4D74">
      <w:pPr>
        <w:pStyle w:val="8"/>
        <w:ind w:firstLine="484"/>
        <w:rPr>
          <w:rFonts w:hint="eastAsia" w:hAnsi="宋体" w:cs="宋体"/>
          <w:sz w:val="21"/>
          <w:szCs w:val="21"/>
        </w:rPr>
      </w:pPr>
      <w:r>
        <w:rPr>
          <w:rFonts w:hint="eastAsia" w:hAnsi="宋体" w:cs="宋体"/>
          <w:spacing w:val="2"/>
          <w:sz w:val="21"/>
          <w:szCs w:val="21"/>
        </w:rPr>
        <w:t>5.危险性较大的分部分项工程清单及超过一</w:t>
      </w:r>
      <w:r>
        <w:rPr>
          <w:rFonts w:hint="eastAsia" w:hAnsi="宋体" w:cs="宋体"/>
          <w:spacing w:val="1"/>
          <w:sz w:val="21"/>
          <w:szCs w:val="21"/>
        </w:rPr>
        <w:t>定规模的危险性较大的分部分项工程</w:t>
      </w:r>
      <w:r>
        <w:rPr>
          <w:rFonts w:hint="eastAsia" w:hAnsi="宋体" w:cs="宋体"/>
          <w:spacing w:val="-4"/>
          <w:sz w:val="21"/>
          <w:szCs w:val="21"/>
        </w:rPr>
        <w:t>清单：</w:t>
      </w:r>
    </w:p>
    <w:p w14:paraId="4B8A3847">
      <w:pPr>
        <w:rPr>
          <w:rFonts w:hint="eastAsia" w:hAnsi="宋体"/>
          <w:sz w:val="21"/>
          <w:szCs w:val="21"/>
        </w:rPr>
      </w:pPr>
    </w:p>
    <w:tbl>
      <w:tblPr>
        <w:tblStyle w:val="68"/>
        <w:tblW w:w="512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56"/>
        <w:gridCol w:w="1273"/>
        <w:gridCol w:w="1316"/>
        <w:gridCol w:w="1006"/>
        <w:gridCol w:w="24"/>
      </w:tblGrid>
      <w:tr w14:paraId="7A64D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jc w:val="center"/>
        </w:trPr>
        <w:tc>
          <w:tcPr>
            <w:tcW w:w="3005" w:type="pct"/>
          </w:tcPr>
          <w:p w14:paraId="109DCD2B">
            <w:pPr>
              <w:pStyle w:val="67"/>
              <w:spacing w:before="132"/>
              <w:rPr>
                <w:rFonts w:hint="eastAsia"/>
                <w:sz w:val="21"/>
                <w:szCs w:val="21"/>
                <w:lang w:eastAsia="zh-CN"/>
              </w:rPr>
            </w:pPr>
            <w:r>
              <w:rPr>
                <w:rFonts w:hint="eastAsia"/>
                <w:b/>
                <w:bCs/>
                <w:spacing w:val="-3"/>
                <w:sz w:val="21"/>
                <w:szCs w:val="21"/>
                <w:lang w:eastAsia="zh-CN"/>
              </w:rPr>
              <w:t>一、危险性较大的分部分项工程清单</w:t>
            </w:r>
          </w:p>
        </w:tc>
        <w:tc>
          <w:tcPr>
            <w:tcW w:w="701" w:type="pct"/>
            <w:vAlign w:val="center"/>
          </w:tcPr>
          <w:p w14:paraId="10D4A824">
            <w:pPr>
              <w:pStyle w:val="67"/>
              <w:spacing w:before="132"/>
              <w:jc w:val="center"/>
              <w:rPr>
                <w:rFonts w:hint="eastAsia"/>
                <w:sz w:val="21"/>
                <w:szCs w:val="21"/>
              </w:rPr>
            </w:pPr>
            <w:r>
              <w:rPr>
                <w:rFonts w:hint="eastAsia"/>
                <w:b/>
                <w:bCs/>
                <w:spacing w:val="-4"/>
                <w:sz w:val="21"/>
                <w:szCs w:val="21"/>
              </w:rPr>
              <w:t>建设单位</w:t>
            </w:r>
          </w:p>
        </w:tc>
        <w:tc>
          <w:tcPr>
            <w:tcW w:w="725" w:type="pct"/>
            <w:vAlign w:val="center"/>
          </w:tcPr>
          <w:p w14:paraId="4943256D">
            <w:pPr>
              <w:pStyle w:val="67"/>
              <w:spacing w:before="132"/>
              <w:jc w:val="center"/>
              <w:rPr>
                <w:rFonts w:hint="eastAsia"/>
                <w:sz w:val="21"/>
                <w:szCs w:val="21"/>
              </w:rPr>
            </w:pPr>
            <w:r>
              <w:rPr>
                <w:rFonts w:hint="eastAsia"/>
                <w:b/>
                <w:bCs/>
                <w:spacing w:val="-5"/>
                <w:sz w:val="21"/>
                <w:szCs w:val="21"/>
              </w:rPr>
              <w:t>投标单位</w:t>
            </w:r>
          </w:p>
        </w:tc>
        <w:tc>
          <w:tcPr>
            <w:tcW w:w="567" w:type="pct"/>
            <w:gridSpan w:val="2"/>
          </w:tcPr>
          <w:p w14:paraId="2FFF90DA">
            <w:pPr>
              <w:pStyle w:val="67"/>
              <w:spacing w:before="132"/>
              <w:jc w:val="center"/>
              <w:rPr>
                <w:rFonts w:hint="eastAsia"/>
                <w:b/>
                <w:bCs/>
                <w:spacing w:val="-5"/>
                <w:sz w:val="21"/>
                <w:szCs w:val="21"/>
              </w:rPr>
            </w:pPr>
            <w:r>
              <w:rPr>
                <w:rFonts w:hint="eastAsia"/>
                <w:b/>
                <w:bCs/>
                <w:spacing w:val="-5"/>
                <w:sz w:val="21"/>
                <w:szCs w:val="21"/>
              </w:rPr>
              <w:t>备注</w:t>
            </w:r>
          </w:p>
        </w:tc>
      </w:tr>
      <w:tr w14:paraId="2AC4E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005" w:type="pct"/>
          </w:tcPr>
          <w:p w14:paraId="09562B8F">
            <w:pPr>
              <w:pStyle w:val="67"/>
              <w:spacing w:before="130"/>
              <w:ind w:left="120"/>
              <w:rPr>
                <w:rFonts w:hint="eastAsia"/>
                <w:sz w:val="21"/>
                <w:szCs w:val="21"/>
              </w:rPr>
            </w:pPr>
            <w:r>
              <w:rPr>
                <w:rFonts w:hint="eastAsia"/>
                <w:spacing w:val="-3"/>
                <w:sz w:val="21"/>
                <w:szCs w:val="21"/>
              </w:rPr>
              <w:t>一、基坑支护</w:t>
            </w:r>
          </w:p>
        </w:tc>
        <w:tc>
          <w:tcPr>
            <w:tcW w:w="701" w:type="pct"/>
            <w:vAlign w:val="center"/>
          </w:tcPr>
          <w:p w14:paraId="49D1B3B0">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0CE73D42">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67" w:type="pct"/>
            <w:gridSpan w:val="2"/>
          </w:tcPr>
          <w:p w14:paraId="1E25CA0C">
            <w:pPr>
              <w:rPr>
                <w:rFonts w:hint="eastAsia" w:hAnsi="宋体"/>
                <w:sz w:val="21"/>
                <w:szCs w:val="21"/>
              </w:rPr>
            </w:pPr>
          </w:p>
        </w:tc>
      </w:tr>
      <w:tr w14:paraId="40852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jc w:val="center"/>
        </w:trPr>
        <w:tc>
          <w:tcPr>
            <w:tcW w:w="3005" w:type="pct"/>
          </w:tcPr>
          <w:p w14:paraId="5E4F3DF5">
            <w:pPr>
              <w:pStyle w:val="67"/>
              <w:spacing w:before="129"/>
              <w:ind w:left="135" w:right="68" w:hanging="8"/>
              <w:rPr>
                <w:rFonts w:hint="eastAsia"/>
                <w:sz w:val="21"/>
                <w:szCs w:val="21"/>
                <w:lang w:eastAsia="zh-CN"/>
              </w:rPr>
            </w:pPr>
            <w:r>
              <w:rPr>
                <w:rFonts w:hint="eastAsia"/>
                <w:spacing w:val="-4"/>
                <w:sz w:val="21"/>
                <w:szCs w:val="21"/>
                <w:lang w:eastAsia="zh-CN"/>
              </w:rPr>
              <w:t>（一）开挖深度超过</w:t>
            </w:r>
            <w:r>
              <w:rPr>
                <w:rFonts w:hint="eastAsia"/>
                <w:spacing w:val="-29"/>
                <w:sz w:val="21"/>
                <w:szCs w:val="21"/>
                <w:lang w:eastAsia="zh-CN"/>
              </w:rPr>
              <w:t xml:space="preserve"> </w:t>
            </w:r>
            <w:r>
              <w:rPr>
                <w:rFonts w:hint="eastAsia"/>
                <w:spacing w:val="-4"/>
                <w:sz w:val="21"/>
                <w:szCs w:val="21"/>
                <w:lang w:eastAsia="zh-CN"/>
              </w:rPr>
              <w:t>3m（含</w:t>
            </w:r>
            <w:r>
              <w:rPr>
                <w:rFonts w:hint="eastAsia"/>
                <w:spacing w:val="-46"/>
                <w:sz w:val="21"/>
                <w:szCs w:val="21"/>
                <w:lang w:eastAsia="zh-CN"/>
              </w:rPr>
              <w:t xml:space="preserve"> </w:t>
            </w:r>
            <w:r>
              <w:rPr>
                <w:rFonts w:hint="eastAsia"/>
                <w:spacing w:val="-4"/>
                <w:sz w:val="21"/>
                <w:szCs w:val="21"/>
                <w:lang w:eastAsia="zh-CN"/>
              </w:rPr>
              <w:t>3m）的基坑（槽）</w:t>
            </w:r>
            <w:r>
              <w:rPr>
                <w:rFonts w:hint="eastAsia"/>
                <w:spacing w:val="-3"/>
                <w:sz w:val="21"/>
                <w:szCs w:val="21"/>
                <w:lang w:eastAsia="zh-CN"/>
              </w:rPr>
              <w:t>的土方开挖、支护、降水工程。</w:t>
            </w:r>
          </w:p>
        </w:tc>
        <w:tc>
          <w:tcPr>
            <w:tcW w:w="701" w:type="pct"/>
            <w:vAlign w:val="center"/>
          </w:tcPr>
          <w:p w14:paraId="2108B7D2">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6680C8A1">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67" w:type="pct"/>
            <w:gridSpan w:val="2"/>
          </w:tcPr>
          <w:p w14:paraId="759DC46B">
            <w:pPr>
              <w:rPr>
                <w:rFonts w:hint="eastAsia" w:hAnsi="宋体"/>
                <w:sz w:val="21"/>
                <w:szCs w:val="21"/>
              </w:rPr>
            </w:pPr>
          </w:p>
        </w:tc>
      </w:tr>
      <w:tr w14:paraId="4A428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jc w:val="center"/>
        </w:trPr>
        <w:tc>
          <w:tcPr>
            <w:tcW w:w="3005" w:type="pct"/>
          </w:tcPr>
          <w:p w14:paraId="4F433927">
            <w:pPr>
              <w:pStyle w:val="67"/>
              <w:spacing w:before="129"/>
              <w:ind w:left="135" w:right="68" w:hanging="8"/>
              <w:rPr>
                <w:rFonts w:hint="eastAsia"/>
                <w:sz w:val="21"/>
                <w:szCs w:val="21"/>
                <w:lang w:eastAsia="zh-CN"/>
              </w:rPr>
            </w:pPr>
            <w:r>
              <w:rPr>
                <w:rFonts w:hint="eastAsia"/>
                <w:spacing w:val="-2"/>
                <w:sz w:val="21"/>
                <w:szCs w:val="21"/>
                <w:lang w:eastAsia="zh-CN"/>
              </w:rPr>
              <w:t>（二）开挖深度虽未超过3m，但地质条件、周围环境和地下管线复杂，或影响</w:t>
            </w:r>
            <w:r>
              <w:rPr>
                <w:rFonts w:hint="eastAsia"/>
                <w:spacing w:val="-3"/>
                <w:sz w:val="21"/>
                <w:szCs w:val="21"/>
                <w:lang w:eastAsia="zh-CN"/>
              </w:rPr>
              <w:t>毗邻</w:t>
            </w:r>
            <w:r>
              <w:rPr>
                <w:rFonts w:hint="eastAsia"/>
                <w:spacing w:val="-2"/>
                <w:sz w:val="21"/>
                <w:szCs w:val="21"/>
                <w:lang w:eastAsia="zh-CN"/>
              </w:rPr>
              <w:t>建、构筑</w:t>
            </w:r>
            <w:r>
              <w:rPr>
                <w:rFonts w:hint="eastAsia"/>
                <w:spacing w:val="-1"/>
                <w:sz w:val="21"/>
                <w:szCs w:val="21"/>
                <w:lang w:eastAsia="zh-CN"/>
              </w:rPr>
              <w:t>物安全的基坑（槽）的土方开挖、支护、降水</w:t>
            </w:r>
            <w:r>
              <w:rPr>
                <w:rFonts w:hint="eastAsia"/>
                <w:spacing w:val="-4"/>
                <w:sz w:val="21"/>
                <w:szCs w:val="21"/>
                <w:lang w:eastAsia="zh-CN"/>
              </w:rPr>
              <w:t>工程。</w:t>
            </w:r>
          </w:p>
        </w:tc>
        <w:tc>
          <w:tcPr>
            <w:tcW w:w="701" w:type="pct"/>
            <w:vAlign w:val="center"/>
          </w:tcPr>
          <w:p w14:paraId="60F4735E">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1CFAD410">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67" w:type="pct"/>
            <w:gridSpan w:val="2"/>
          </w:tcPr>
          <w:p w14:paraId="5DA62767">
            <w:pPr>
              <w:rPr>
                <w:rFonts w:hint="eastAsia" w:hAnsi="宋体"/>
                <w:sz w:val="21"/>
                <w:szCs w:val="21"/>
              </w:rPr>
            </w:pPr>
          </w:p>
        </w:tc>
      </w:tr>
      <w:tr w14:paraId="4E81C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tcPr>
          <w:p w14:paraId="74390536">
            <w:pPr>
              <w:pStyle w:val="67"/>
              <w:spacing w:before="127"/>
              <w:ind w:left="120"/>
              <w:rPr>
                <w:rFonts w:hint="eastAsia"/>
                <w:sz w:val="21"/>
                <w:szCs w:val="21"/>
                <w:lang w:eastAsia="zh-CN"/>
              </w:rPr>
            </w:pPr>
            <w:r>
              <w:rPr>
                <w:rFonts w:hint="eastAsia"/>
                <w:b/>
                <w:bCs/>
                <w:spacing w:val="-2"/>
                <w:sz w:val="21"/>
                <w:szCs w:val="21"/>
                <w:lang w:eastAsia="zh-CN"/>
              </w:rPr>
              <w:t>二、模板工程及支撑体系</w:t>
            </w:r>
          </w:p>
        </w:tc>
        <w:tc>
          <w:tcPr>
            <w:tcW w:w="701" w:type="pct"/>
            <w:vAlign w:val="center"/>
          </w:tcPr>
          <w:p w14:paraId="4A89E96B">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27CC9101">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6DE392C0">
            <w:pPr>
              <w:rPr>
                <w:rFonts w:hint="eastAsia" w:hAnsi="宋体"/>
                <w:sz w:val="21"/>
                <w:szCs w:val="21"/>
              </w:rPr>
            </w:pPr>
          </w:p>
        </w:tc>
      </w:tr>
      <w:tr w14:paraId="1ED11E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tcPr>
          <w:p w14:paraId="632AEB5F">
            <w:pPr>
              <w:pStyle w:val="67"/>
              <w:spacing w:before="128"/>
              <w:ind w:left="123" w:right="25" w:firstLine="4"/>
              <w:rPr>
                <w:rFonts w:hint="eastAsia"/>
                <w:sz w:val="21"/>
                <w:szCs w:val="21"/>
                <w:lang w:eastAsia="zh-CN"/>
              </w:rPr>
            </w:pPr>
            <w:r>
              <w:rPr>
                <w:rFonts w:hint="eastAsia"/>
                <w:spacing w:val="-6"/>
                <w:sz w:val="21"/>
                <w:szCs w:val="21"/>
                <w:lang w:eastAsia="zh-CN"/>
              </w:rPr>
              <w:t>（一）各类工具式模板工程：包括滑模、爬模、</w:t>
            </w:r>
            <w:r>
              <w:rPr>
                <w:rFonts w:hint="eastAsia"/>
                <w:spacing w:val="-2"/>
                <w:sz w:val="21"/>
                <w:szCs w:val="21"/>
                <w:lang w:eastAsia="zh-CN"/>
              </w:rPr>
              <w:t>飞模、隧道模等工程。</w:t>
            </w:r>
          </w:p>
        </w:tc>
        <w:tc>
          <w:tcPr>
            <w:tcW w:w="701" w:type="pct"/>
            <w:vAlign w:val="center"/>
          </w:tcPr>
          <w:p w14:paraId="009485EA">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5CE212C9">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67F78C60">
            <w:pPr>
              <w:rPr>
                <w:rFonts w:hint="eastAsia" w:hAnsi="宋体"/>
                <w:sz w:val="21"/>
                <w:szCs w:val="21"/>
              </w:rPr>
            </w:pPr>
          </w:p>
        </w:tc>
      </w:tr>
      <w:tr w14:paraId="0E09B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285" w:hRule="atLeast"/>
          <w:jc w:val="center"/>
        </w:trPr>
        <w:tc>
          <w:tcPr>
            <w:tcW w:w="3005" w:type="pct"/>
          </w:tcPr>
          <w:p w14:paraId="57910BEF">
            <w:pPr>
              <w:pStyle w:val="67"/>
              <w:spacing w:before="131"/>
              <w:ind w:left="115" w:right="105" w:firstLine="12"/>
              <w:rPr>
                <w:rFonts w:hint="eastAsia"/>
                <w:sz w:val="21"/>
                <w:szCs w:val="21"/>
                <w:lang w:eastAsia="zh-CN"/>
              </w:rPr>
            </w:pPr>
            <w:r>
              <w:rPr>
                <w:rFonts w:hint="eastAsia"/>
                <w:spacing w:val="-5"/>
                <w:sz w:val="21"/>
                <w:szCs w:val="21"/>
                <w:lang w:eastAsia="zh-CN"/>
              </w:rPr>
              <w:t>（二）混凝土模板支撑工程：搭设高度5m及以</w:t>
            </w:r>
            <w:r>
              <w:rPr>
                <w:rFonts w:hint="eastAsia"/>
                <w:spacing w:val="-10"/>
                <w:sz w:val="21"/>
                <w:szCs w:val="21"/>
                <w:lang w:eastAsia="zh-CN"/>
              </w:rPr>
              <w:t>上，或搭设跨度10m及以上，或施工总荷</w:t>
            </w:r>
            <w:r>
              <w:rPr>
                <w:rFonts w:hint="eastAsia"/>
                <w:spacing w:val="-11"/>
                <w:sz w:val="21"/>
                <w:szCs w:val="21"/>
                <w:lang w:eastAsia="zh-CN"/>
              </w:rPr>
              <w:t>载（荷</w:t>
            </w:r>
            <w:r>
              <w:rPr>
                <w:rFonts w:hint="eastAsia"/>
                <w:spacing w:val="-2"/>
                <w:sz w:val="21"/>
                <w:szCs w:val="21"/>
                <w:lang w:eastAsia="zh-CN"/>
              </w:rPr>
              <w:t>载效应基本组合的设计值，以下简称设计值）</w:t>
            </w:r>
            <w:r>
              <w:rPr>
                <w:rFonts w:hint="eastAsia"/>
                <w:spacing w:val="-14"/>
                <w:sz w:val="21"/>
                <w:szCs w:val="21"/>
                <w:lang w:eastAsia="zh-CN"/>
              </w:rPr>
              <w:t>10kN/m2及以上，或集中线荷载（设计值）15kN/m</w:t>
            </w:r>
            <w:r>
              <w:rPr>
                <w:rFonts w:hint="eastAsia"/>
                <w:spacing w:val="-1"/>
                <w:sz w:val="21"/>
                <w:szCs w:val="21"/>
                <w:lang w:eastAsia="zh-CN"/>
              </w:rPr>
              <w:t>及以上，或高度大于支撑水平投影宽度且相对独立无联系构件的混凝土模板支撑工程。</w:t>
            </w:r>
          </w:p>
        </w:tc>
        <w:tc>
          <w:tcPr>
            <w:tcW w:w="701" w:type="pct"/>
            <w:vAlign w:val="center"/>
          </w:tcPr>
          <w:p w14:paraId="7283BCEB">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42F36F31">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0FFD9354">
            <w:pPr>
              <w:rPr>
                <w:rFonts w:hint="eastAsia" w:hAnsi="宋体"/>
                <w:sz w:val="21"/>
                <w:szCs w:val="21"/>
              </w:rPr>
            </w:pPr>
          </w:p>
        </w:tc>
      </w:tr>
      <w:tr w14:paraId="0C715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0" w:hRule="atLeast"/>
          <w:jc w:val="center"/>
        </w:trPr>
        <w:tc>
          <w:tcPr>
            <w:tcW w:w="3005" w:type="pct"/>
          </w:tcPr>
          <w:p w14:paraId="2713D836">
            <w:pPr>
              <w:pStyle w:val="67"/>
              <w:spacing w:before="131"/>
              <w:ind w:left="117" w:right="168" w:firstLine="10"/>
              <w:rPr>
                <w:rFonts w:hint="eastAsia"/>
                <w:sz w:val="21"/>
                <w:szCs w:val="21"/>
                <w:lang w:eastAsia="zh-CN"/>
              </w:rPr>
            </w:pPr>
            <w:r>
              <w:rPr>
                <w:rFonts w:hint="eastAsia"/>
                <w:spacing w:val="-2"/>
                <w:sz w:val="21"/>
                <w:szCs w:val="21"/>
                <w:lang w:eastAsia="zh-CN"/>
              </w:rPr>
              <w:t>（三）承重支撑体系：用于钢结构安装等满堂</w:t>
            </w:r>
            <w:r>
              <w:rPr>
                <w:rFonts w:hint="eastAsia"/>
                <w:spacing w:val="-3"/>
                <w:sz w:val="21"/>
                <w:szCs w:val="21"/>
                <w:lang w:eastAsia="zh-CN"/>
              </w:rPr>
              <w:t>支撑体系。</w:t>
            </w:r>
          </w:p>
        </w:tc>
        <w:tc>
          <w:tcPr>
            <w:tcW w:w="701" w:type="pct"/>
            <w:vAlign w:val="center"/>
          </w:tcPr>
          <w:p w14:paraId="3F5A5A8C">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085078EA">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123B6A80">
            <w:pPr>
              <w:rPr>
                <w:rFonts w:hint="eastAsia" w:hAnsi="宋体"/>
                <w:sz w:val="21"/>
                <w:szCs w:val="21"/>
              </w:rPr>
            </w:pPr>
          </w:p>
        </w:tc>
      </w:tr>
      <w:tr w14:paraId="619E9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tcPr>
          <w:p w14:paraId="73AB0FC9">
            <w:pPr>
              <w:pStyle w:val="67"/>
              <w:spacing w:before="131"/>
              <w:rPr>
                <w:rFonts w:hint="eastAsia"/>
                <w:sz w:val="21"/>
                <w:szCs w:val="21"/>
                <w:lang w:eastAsia="zh-CN"/>
              </w:rPr>
            </w:pPr>
            <w:r>
              <w:rPr>
                <w:rFonts w:hint="eastAsia"/>
                <w:b/>
                <w:bCs/>
                <w:spacing w:val="-1"/>
                <w:sz w:val="21"/>
                <w:szCs w:val="21"/>
                <w:lang w:eastAsia="zh-CN"/>
              </w:rPr>
              <w:t>三、起重吊装及起重机械安装拆卸工程</w:t>
            </w:r>
          </w:p>
        </w:tc>
        <w:tc>
          <w:tcPr>
            <w:tcW w:w="701" w:type="pct"/>
            <w:vAlign w:val="center"/>
          </w:tcPr>
          <w:p w14:paraId="04897FF1">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29FE0603">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1139632E">
            <w:pPr>
              <w:rPr>
                <w:rFonts w:hint="eastAsia" w:hAnsi="宋体"/>
                <w:sz w:val="21"/>
                <w:szCs w:val="21"/>
              </w:rPr>
            </w:pPr>
          </w:p>
        </w:tc>
      </w:tr>
      <w:tr w14:paraId="2B4B3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tcPr>
          <w:p w14:paraId="1C18A867">
            <w:pPr>
              <w:pStyle w:val="67"/>
              <w:spacing w:before="130"/>
              <w:ind w:left="144" w:right="168" w:hanging="17"/>
              <w:rPr>
                <w:rFonts w:hint="eastAsia"/>
                <w:sz w:val="21"/>
                <w:szCs w:val="21"/>
                <w:lang w:eastAsia="zh-CN"/>
              </w:rPr>
            </w:pPr>
            <w:r>
              <w:rPr>
                <w:rFonts w:hint="eastAsia"/>
                <w:spacing w:val="-2"/>
                <w:sz w:val="21"/>
                <w:szCs w:val="21"/>
                <w:lang w:eastAsia="zh-CN"/>
              </w:rPr>
              <w:t>（一）采用非常规起重设备、方法，且单件起</w:t>
            </w:r>
            <w:r>
              <w:rPr>
                <w:rFonts w:hint="eastAsia"/>
                <w:spacing w:val="-4"/>
                <w:sz w:val="21"/>
                <w:szCs w:val="21"/>
                <w:lang w:eastAsia="zh-CN"/>
              </w:rPr>
              <w:t>吊重量在10kN及以上的起重吊装工程。</w:t>
            </w:r>
          </w:p>
        </w:tc>
        <w:tc>
          <w:tcPr>
            <w:tcW w:w="701" w:type="pct"/>
            <w:vAlign w:val="center"/>
          </w:tcPr>
          <w:p w14:paraId="790141F8">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404CBD08">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5AFCB226">
            <w:pPr>
              <w:rPr>
                <w:rFonts w:hint="eastAsia" w:hAnsi="宋体"/>
                <w:sz w:val="21"/>
                <w:szCs w:val="21"/>
              </w:rPr>
            </w:pPr>
          </w:p>
        </w:tc>
      </w:tr>
      <w:tr w14:paraId="6E82F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tcPr>
          <w:p w14:paraId="7FBA6815">
            <w:pPr>
              <w:pStyle w:val="67"/>
              <w:spacing w:before="131"/>
              <w:ind w:left="127"/>
              <w:rPr>
                <w:rFonts w:hint="eastAsia"/>
                <w:sz w:val="21"/>
                <w:szCs w:val="21"/>
                <w:lang w:eastAsia="zh-CN"/>
              </w:rPr>
            </w:pPr>
            <w:r>
              <w:rPr>
                <w:rFonts w:hint="eastAsia"/>
                <w:spacing w:val="-2"/>
                <w:sz w:val="21"/>
                <w:szCs w:val="21"/>
                <w:lang w:eastAsia="zh-CN"/>
              </w:rPr>
              <w:t>（二）采用起重机械进行安装的工程。</w:t>
            </w:r>
          </w:p>
        </w:tc>
        <w:tc>
          <w:tcPr>
            <w:tcW w:w="701" w:type="pct"/>
            <w:vAlign w:val="center"/>
          </w:tcPr>
          <w:p w14:paraId="2D37F699">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56FC26EB">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226DEF52">
            <w:pPr>
              <w:rPr>
                <w:rFonts w:hint="eastAsia" w:hAnsi="宋体"/>
                <w:sz w:val="21"/>
                <w:szCs w:val="21"/>
              </w:rPr>
            </w:pPr>
          </w:p>
        </w:tc>
      </w:tr>
      <w:tr w14:paraId="2B651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tcPr>
          <w:p w14:paraId="30509AC4">
            <w:pPr>
              <w:pStyle w:val="67"/>
              <w:spacing w:before="132"/>
              <w:ind w:left="127"/>
              <w:rPr>
                <w:rFonts w:hint="eastAsia"/>
                <w:sz w:val="21"/>
                <w:szCs w:val="21"/>
                <w:lang w:eastAsia="zh-CN"/>
              </w:rPr>
            </w:pPr>
            <w:r>
              <w:rPr>
                <w:rFonts w:hint="eastAsia"/>
                <w:spacing w:val="-2"/>
                <w:sz w:val="21"/>
                <w:szCs w:val="21"/>
                <w:lang w:eastAsia="zh-CN"/>
              </w:rPr>
              <w:t>（三）起重机械安装和拆卸工程。</w:t>
            </w:r>
          </w:p>
        </w:tc>
        <w:tc>
          <w:tcPr>
            <w:tcW w:w="701" w:type="pct"/>
            <w:vAlign w:val="center"/>
          </w:tcPr>
          <w:p w14:paraId="1F4E2340">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13AB241F">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279572E2">
            <w:pPr>
              <w:rPr>
                <w:rFonts w:hint="eastAsia" w:hAnsi="宋体"/>
                <w:sz w:val="21"/>
                <w:szCs w:val="21"/>
              </w:rPr>
            </w:pPr>
          </w:p>
        </w:tc>
      </w:tr>
      <w:tr w14:paraId="789AC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tcPr>
          <w:p w14:paraId="5FFF614D">
            <w:pPr>
              <w:pStyle w:val="67"/>
              <w:spacing w:before="132"/>
              <w:ind w:left="138"/>
              <w:rPr>
                <w:rFonts w:hint="eastAsia"/>
                <w:sz w:val="21"/>
                <w:szCs w:val="21"/>
              </w:rPr>
            </w:pPr>
            <w:r>
              <w:rPr>
                <w:rFonts w:hint="eastAsia"/>
                <w:b/>
                <w:bCs/>
                <w:spacing w:val="-5"/>
                <w:sz w:val="21"/>
                <w:szCs w:val="21"/>
              </w:rPr>
              <w:t>四、脚手架工程</w:t>
            </w:r>
          </w:p>
        </w:tc>
        <w:tc>
          <w:tcPr>
            <w:tcW w:w="701" w:type="pct"/>
            <w:vAlign w:val="center"/>
          </w:tcPr>
          <w:p w14:paraId="6344B3EB">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5DB71C41">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54C3DA4E">
            <w:pPr>
              <w:rPr>
                <w:rFonts w:hint="eastAsia" w:hAnsi="宋体"/>
                <w:sz w:val="21"/>
                <w:szCs w:val="21"/>
              </w:rPr>
            </w:pPr>
          </w:p>
        </w:tc>
      </w:tr>
      <w:tr w14:paraId="2754E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tcPr>
          <w:p w14:paraId="6445CF9A">
            <w:pPr>
              <w:pStyle w:val="67"/>
              <w:spacing w:before="133"/>
              <w:ind w:left="117" w:right="168" w:firstLine="10"/>
              <w:rPr>
                <w:rFonts w:hint="eastAsia"/>
                <w:sz w:val="21"/>
                <w:szCs w:val="21"/>
                <w:lang w:eastAsia="zh-CN"/>
              </w:rPr>
            </w:pPr>
            <w:r>
              <w:rPr>
                <w:rFonts w:hint="eastAsia"/>
                <w:spacing w:val="-2"/>
                <w:sz w:val="21"/>
                <w:szCs w:val="21"/>
                <w:lang w:eastAsia="zh-CN"/>
              </w:rPr>
              <w:t>（一）搭设高度24m及以上的落地式钢管脚手</w:t>
            </w:r>
            <w:r>
              <w:rPr>
                <w:rFonts w:hint="eastAsia"/>
                <w:spacing w:val="-1"/>
                <w:sz w:val="21"/>
                <w:szCs w:val="21"/>
                <w:lang w:eastAsia="zh-CN"/>
              </w:rPr>
              <w:t>架工程（包括采光井、电梯井脚手架）。</w:t>
            </w:r>
          </w:p>
        </w:tc>
        <w:tc>
          <w:tcPr>
            <w:tcW w:w="701" w:type="pct"/>
            <w:vAlign w:val="center"/>
          </w:tcPr>
          <w:p w14:paraId="653A3ADC">
            <w:pPr>
              <w:spacing w:before="130"/>
              <w:jc w:val="center"/>
              <w:rPr>
                <w:rFonts w:hint="eastAsia" w:hAnsi="宋体"/>
                <w:sz w:val="21"/>
                <w:szCs w:val="21"/>
              </w:rPr>
            </w:pPr>
            <w:r>
              <w:rPr>
                <w:rFonts w:hint="eastAsia" w:hAnsi="宋体"/>
                <w:spacing w:val="-19"/>
                <w:w w:val="94"/>
                <w:sz w:val="21"/>
                <w:szCs w:val="21"/>
              </w:rPr>
              <w:t>(       )</w:t>
            </w:r>
          </w:p>
        </w:tc>
        <w:tc>
          <w:tcPr>
            <w:tcW w:w="725" w:type="pct"/>
            <w:vAlign w:val="center"/>
          </w:tcPr>
          <w:p w14:paraId="05F0E3B1">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055BA1A5">
            <w:pPr>
              <w:rPr>
                <w:rFonts w:hint="eastAsia" w:hAnsi="宋体"/>
                <w:sz w:val="21"/>
                <w:szCs w:val="21"/>
              </w:rPr>
            </w:pPr>
          </w:p>
        </w:tc>
      </w:tr>
      <w:tr w14:paraId="0093C5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tcPr>
          <w:p w14:paraId="003EB636">
            <w:pPr>
              <w:pStyle w:val="67"/>
              <w:spacing w:before="133"/>
              <w:ind w:left="127"/>
              <w:rPr>
                <w:rFonts w:hint="eastAsia"/>
                <w:sz w:val="21"/>
                <w:szCs w:val="21"/>
                <w:lang w:eastAsia="zh-CN"/>
              </w:rPr>
            </w:pPr>
            <w:r>
              <w:rPr>
                <w:rFonts w:hint="eastAsia"/>
                <w:spacing w:val="-2"/>
                <w:sz w:val="21"/>
                <w:szCs w:val="21"/>
                <w:lang w:eastAsia="zh-CN"/>
              </w:rPr>
              <w:t>（二）附着式升降脚手架工程。</w:t>
            </w:r>
          </w:p>
        </w:tc>
        <w:tc>
          <w:tcPr>
            <w:tcW w:w="701" w:type="pct"/>
            <w:vAlign w:val="center"/>
          </w:tcPr>
          <w:p w14:paraId="00E0DE88">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4DC5C1A0">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6A20482">
            <w:pPr>
              <w:rPr>
                <w:rFonts w:hint="eastAsia" w:hAnsi="宋体"/>
                <w:sz w:val="21"/>
                <w:szCs w:val="21"/>
              </w:rPr>
            </w:pPr>
          </w:p>
        </w:tc>
      </w:tr>
      <w:tr w14:paraId="1BB34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tcPr>
          <w:p w14:paraId="3FFFE993">
            <w:pPr>
              <w:pStyle w:val="67"/>
              <w:spacing w:before="133"/>
              <w:ind w:left="127"/>
              <w:rPr>
                <w:rFonts w:hint="eastAsia"/>
                <w:sz w:val="21"/>
                <w:szCs w:val="21"/>
                <w:lang w:eastAsia="zh-CN"/>
              </w:rPr>
            </w:pPr>
            <w:r>
              <w:rPr>
                <w:rFonts w:hint="eastAsia"/>
                <w:spacing w:val="-2"/>
                <w:sz w:val="21"/>
                <w:szCs w:val="21"/>
                <w:lang w:eastAsia="zh-CN"/>
              </w:rPr>
              <w:t>（三）悬挑式脚手架工程。</w:t>
            </w:r>
          </w:p>
        </w:tc>
        <w:tc>
          <w:tcPr>
            <w:tcW w:w="701" w:type="pct"/>
            <w:vAlign w:val="center"/>
          </w:tcPr>
          <w:p w14:paraId="57B075E8">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5"/>
                <w:sz w:val="18"/>
                <w:szCs w:val="18"/>
              </w:rPr>
              <w:t xml:space="preserve">  </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27A831DB">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7A8D5999">
            <w:pPr>
              <w:rPr>
                <w:rFonts w:hint="eastAsia" w:hAnsi="宋体"/>
                <w:sz w:val="21"/>
                <w:szCs w:val="21"/>
              </w:rPr>
            </w:pPr>
          </w:p>
        </w:tc>
      </w:tr>
      <w:tr w14:paraId="56C7E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tcPr>
          <w:p w14:paraId="47D961F9">
            <w:pPr>
              <w:pStyle w:val="67"/>
              <w:spacing w:before="133"/>
              <w:ind w:left="127"/>
              <w:rPr>
                <w:rFonts w:hint="eastAsia"/>
                <w:sz w:val="21"/>
                <w:szCs w:val="21"/>
                <w:lang w:eastAsia="zh-CN"/>
              </w:rPr>
            </w:pPr>
            <w:r>
              <w:rPr>
                <w:rFonts w:hint="eastAsia"/>
                <w:spacing w:val="-3"/>
                <w:sz w:val="21"/>
                <w:szCs w:val="21"/>
                <w:lang w:eastAsia="zh-CN"/>
              </w:rPr>
              <w:t>（四）高处作业吊篮。</w:t>
            </w:r>
          </w:p>
        </w:tc>
        <w:tc>
          <w:tcPr>
            <w:tcW w:w="701" w:type="pct"/>
            <w:vAlign w:val="center"/>
          </w:tcPr>
          <w:p w14:paraId="7990621F">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33114935">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932392A">
            <w:pPr>
              <w:rPr>
                <w:rFonts w:hint="eastAsia" w:hAnsi="宋体"/>
                <w:sz w:val="21"/>
                <w:szCs w:val="21"/>
              </w:rPr>
            </w:pPr>
          </w:p>
        </w:tc>
      </w:tr>
      <w:tr w14:paraId="407D8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tcPr>
          <w:p w14:paraId="4D34952D">
            <w:pPr>
              <w:pStyle w:val="67"/>
              <w:spacing w:before="131"/>
              <w:ind w:left="127"/>
              <w:rPr>
                <w:rFonts w:hint="eastAsia"/>
                <w:sz w:val="21"/>
                <w:szCs w:val="21"/>
              </w:rPr>
            </w:pPr>
            <w:r>
              <w:rPr>
                <w:rFonts w:hint="eastAsia"/>
                <w:spacing w:val="-2"/>
                <w:sz w:val="21"/>
                <w:szCs w:val="21"/>
              </w:rPr>
              <w:t>（五）卸料平台、操作平台工程。</w:t>
            </w:r>
          </w:p>
        </w:tc>
        <w:tc>
          <w:tcPr>
            <w:tcW w:w="701" w:type="pct"/>
            <w:vAlign w:val="center"/>
          </w:tcPr>
          <w:p w14:paraId="754BAE05">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735FEB60">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41D5C1ED">
            <w:pPr>
              <w:rPr>
                <w:rFonts w:hint="eastAsia" w:hAnsi="宋体"/>
                <w:sz w:val="21"/>
                <w:szCs w:val="21"/>
              </w:rPr>
            </w:pPr>
          </w:p>
        </w:tc>
      </w:tr>
      <w:tr w14:paraId="5E09B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tcPr>
          <w:p w14:paraId="2B54BEAB">
            <w:pPr>
              <w:pStyle w:val="67"/>
              <w:spacing w:before="132"/>
              <w:ind w:left="127"/>
              <w:rPr>
                <w:rFonts w:hint="eastAsia"/>
                <w:sz w:val="21"/>
                <w:szCs w:val="21"/>
                <w:lang w:eastAsia="zh-CN"/>
              </w:rPr>
            </w:pPr>
            <w:r>
              <w:rPr>
                <w:rFonts w:hint="eastAsia"/>
                <w:spacing w:val="-2"/>
                <w:sz w:val="21"/>
                <w:szCs w:val="21"/>
                <w:lang w:eastAsia="zh-CN"/>
              </w:rPr>
              <w:t>（六）异型脚手架工程。</w:t>
            </w:r>
          </w:p>
        </w:tc>
        <w:tc>
          <w:tcPr>
            <w:tcW w:w="701" w:type="pct"/>
            <w:vAlign w:val="center"/>
          </w:tcPr>
          <w:p w14:paraId="6D236F79">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03786E7F">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E33A33A">
            <w:pPr>
              <w:rPr>
                <w:rFonts w:hint="eastAsia" w:hAnsi="宋体"/>
                <w:sz w:val="21"/>
                <w:szCs w:val="21"/>
              </w:rPr>
            </w:pPr>
          </w:p>
        </w:tc>
      </w:tr>
      <w:tr w14:paraId="522FD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53" w:hRule="atLeast"/>
          <w:jc w:val="center"/>
        </w:trPr>
        <w:tc>
          <w:tcPr>
            <w:tcW w:w="3005" w:type="pct"/>
          </w:tcPr>
          <w:p w14:paraId="36DF7F23">
            <w:pPr>
              <w:pStyle w:val="67"/>
              <w:spacing w:before="132"/>
              <w:ind w:left="120"/>
              <w:rPr>
                <w:rFonts w:hint="eastAsia"/>
                <w:sz w:val="21"/>
                <w:szCs w:val="21"/>
              </w:rPr>
            </w:pPr>
            <w:r>
              <w:rPr>
                <w:rFonts w:hint="eastAsia"/>
                <w:b/>
                <w:bCs/>
                <w:spacing w:val="-3"/>
                <w:sz w:val="21"/>
                <w:szCs w:val="21"/>
              </w:rPr>
              <w:t>五、拆除工程</w:t>
            </w:r>
          </w:p>
        </w:tc>
        <w:tc>
          <w:tcPr>
            <w:tcW w:w="701" w:type="pct"/>
            <w:vAlign w:val="center"/>
          </w:tcPr>
          <w:p w14:paraId="371D34BC">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767CF406">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2AA8151">
            <w:pPr>
              <w:rPr>
                <w:rFonts w:hint="eastAsia" w:hAnsi="宋体"/>
                <w:sz w:val="21"/>
                <w:szCs w:val="21"/>
              </w:rPr>
            </w:pPr>
          </w:p>
        </w:tc>
      </w:tr>
      <w:tr w14:paraId="0FD1D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500" w:hRule="atLeast"/>
          <w:jc w:val="center"/>
        </w:trPr>
        <w:tc>
          <w:tcPr>
            <w:tcW w:w="3005" w:type="pct"/>
          </w:tcPr>
          <w:p w14:paraId="0FC140CB">
            <w:pPr>
              <w:pStyle w:val="67"/>
              <w:spacing w:before="130"/>
              <w:ind w:left="117" w:right="168"/>
              <w:rPr>
                <w:rFonts w:hint="eastAsia"/>
                <w:spacing w:val="-3"/>
                <w:sz w:val="21"/>
                <w:szCs w:val="21"/>
                <w:lang w:eastAsia="zh-CN"/>
              </w:rPr>
            </w:pPr>
            <w:r>
              <w:rPr>
                <w:rFonts w:hint="eastAsia"/>
                <w:spacing w:val="-1"/>
                <w:sz w:val="21"/>
                <w:szCs w:val="21"/>
                <w:lang w:eastAsia="zh-CN"/>
              </w:rPr>
              <w:t>可能影响行人、交通、电力设施、通讯设施或其他建、构筑物安全的拆除工程。</w:t>
            </w:r>
          </w:p>
        </w:tc>
        <w:tc>
          <w:tcPr>
            <w:tcW w:w="701" w:type="pct"/>
            <w:vAlign w:val="center"/>
          </w:tcPr>
          <w:p w14:paraId="03DF6AC4">
            <w:pPr>
              <w:spacing w:before="130"/>
              <w:jc w:val="center"/>
              <w:rPr>
                <w:rFonts w:hint="eastAsia" w:hAnsi="宋体"/>
                <w:spacing w:val="-19"/>
                <w:w w:val="94"/>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2D0F8B77">
            <w:pPr>
              <w:spacing w:before="130"/>
              <w:jc w:val="center"/>
              <w:rPr>
                <w:rFonts w:hint="eastAsia" w:hAnsi="宋体"/>
                <w:spacing w:val="-19"/>
                <w:w w:val="94"/>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486618CA">
            <w:pPr>
              <w:rPr>
                <w:rFonts w:hint="eastAsia" w:hAnsi="宋体"/>
                <w:sz w:val="21"/>
                <w:szCs w:val="21"/>
              </w:rPr>
            </w:pPr>
          </w:p>
        </w:tc>
      </w:tr>
      <w:tr w14:paraId="0148C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36" w:hRule="atLeast"/>
          <w:jc w:val="center"/>
        </w:trPr>
        <w:tc>
          <w:tcPr>
            <w:tcW w:w="3005" w:type="pct"/>
          </w:tcPr>
          <w:p w14:paraId="01628A10">
            <w:pPr>
              <w:pStyle w:val="67"/>
              <w:spacing w:before="130"/>
              <w:ind w:left="117" w:right="168"/>
              <w:rPr>
                <w:rFonts w:hint="eastAsia"/>
                <w:spacing w:val="-1"/>
                <w:sz w:val="21"/>
                <w:szCs w:val="21"/>
                <w:lang w:eastAsia="zh-CN"/>
              </w:rPr>
            </w:pPr>
            <w:r>
              <w:rPr>
                <w:rFonts w:hint="eastAsia"/>
                <w:b/>
                <w:bCs/>
                <w:spacing w:val="-2"/>
                <w:sz w:val="21"/>
                <w:szCs w:val="21"/>
              </w:rPr>
              <w:t>六、暗挖工程</w:t>
            </w:r>
          </w:p>
        </w:tc>
        <w:tc>
          <w:tcPr>
            <w:tcW w:w="701" w:type="pct"/>
            <w:vAlign w:val="center"/>
          </w:tcPr>
          <w:p w14:paraId="3C57385E">
            <w:pPr>
              <w:spacing w:before="130"/>
              <w:jc w:val="center"/>
              <w:rPr>
                <w:rFonts w:hint="eastAsia" w:hAnsi="宋体"/>
                <w:spacing w:val="-19"/>
                <w:w w:val="94"/>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791A3C99">
            <w:pPr>
              <w:spacing w:before="130"/>
              <w:jc w:val="center"/>
              <w:rPr>
                <w:rFonts w:hint="eastAsia" w:hAnsi="宋体"/>
                <w:spacing w:val="-19"/>
                <w:w w:val="94"/>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7E93A5B3">
            <w:pPr>
              <w:rPr>
                <w:rFonts w:hint="eastAsia" w:hAnsi="宋体"/>
                <w:sz w:val="21"/>
                <w:szCs w:val="21"/>
              </w:rPr>
            </w:pPr>
          </w:p>
        </w:tc>
      </w:tr>
      <w:tr w14:paraId="1E03B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77" w:hRule="atLeast"/>
          <w:jc w:val="center"/>
        </w:trPr>
        <w:tc>
          <w:tcPr>
            <w:tcW w:w="3005" w:type="pct"/>
          </w:tcPr>
          <w:p w14:paraId="603DD5F0">
            <w:pPr>
              <w:pStyle w:val="67"/>
              <w:spacing w:before="125"/>
              <w:ind w:left="119" w:right="168" w:hanging="4"/>
              <w:rPr>
                <w:rFonts w:hint="eastAsia"/>
                <w:sz w:val="21"/>
                <w:szCs w:val="21"/>
                <w:lang w:eastAsia="zh-CN"/>
              </w:rPr>
            </w:pPr>
            <w:r>
              <w:rPr>
                <w:rFonts w:hint="eastAsia"/>
                <w:spacing w:val="-1"/>
                <w:sz w:val="21"/>
                <w:szCs w:val="21"/>
                <w:lang w:eastAsia="zh-CN"/>
              </w:rPr>
              <w:t>采用矿山法、盾构法、顶管法施工的隧道、洞</w:t>
            </w:r>
            <w:r>
              <w:rPr>
                <w:rFonts w:hint="eastAsia"/>
                <w:spacing w:val="-4"/>
                <w:sz w:val="21"/>
                <w:szCs w:val="21"/>
                <w:lang w:eastAsia="zh-CN"/>
              </w:rPr>
              <w:t>室工程。</w:t>
            </w:r>
          </w:p>
        </w:tc>
        <w:tc>
          <w:tcPr>
            <w:tcW w:w="701" w:type="pct"/>
            <w:vAlign w:val="center"/>
          </w:tcPr>
          <w:p w14:paraId="3F4537F3">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5D802976">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18C378F3">
            <w:pPr>
              <w:rPr>
                <w:rFonts w:hint="eastAsia" w:hAnsi="宋体"/>
                <w:sz w:val="21"/>
                <w:szCs w:val="21"/>
              </w:rPr>
            </w:pPr>
          </w:p>
        </w:tc>
      </w:tr>
      <w:tr w14:paraId="393D6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tcPr>
          <w:p w14:paraId="0F915C97">
            <w:pPr>
              <w:pStyle w:val="67"/>
              <w:spacing w:before="128"/>
              <w:ind w:left="115"/>
              <w:rPr>
                <w:rFonts w:hint="eastAsia"/>
                <w:sz w:val="21"/>
                <w:szCs w:val="21"/>
              </w:rPr>
            </w:pPr>
            <w:r>
              <w:rPr>
                <w:rFonts w:hint="eastAsia"/>
                <w:b/>
                <w:bCs/>
                <w:spacing w:val="-3"/>
                <w:sz w:val="21"/>
                <w:szCs w:val="21"/>
              </w:rPr>
              <w:t>七、</w:t>
            </w:r>
            <w:r>
              <w:rPr>
                <w:rFonts w:hint="eastAsia"/>
                <w:b/>
                <w:bCs/>
                <w:spacing w:val="-3"/>
                <w:sz w:val="21"/>
                <w:szCs w:val="21"/>
                <w:lang w:eastAsia="zh-CN"/>
              </w:rPr>
              <w:t>其他</w:t>
            </w:r>
          </w:p>
        </w:tc>
        <w:tc>
          <w:tcPr>
            <w:tcW w:w="701" w:type="pct"/>
            <w:vAlign w:val="center"/>
          </w:tcPr>
          <w:p w14:paraId="5699C68D">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6462E3D1">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40CAA58A">
            <w:pPr>
              <w:rPr>
                <w:rFonts w:hint="eastAsia" w:hAnsi="宋体"/>
                <w:sz w:val="21"/>
                <w:szCs w:val="21"/>
              </w:rPr>
            </w:pPr>
          </w:p>
        </w:tc>
      </w:tr>
      <w:tr w14:paraId="2DAFF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tcPr>
          <w:p w14:paraId="03825AB9">
            <w:pPr>
              <w:pStyle w:val="67"/>
              <w:spacing w:before="130"/>
              <w:ind w:left="127"/>
              <w:rPr>
                <w:rFonts w:hint="eastAsia"/>
                <w:sz w:val="21"/>
                <w:szCs w:val="21"/>
                <w:lang w:eastAsia="zh-CN"/>
              </w:rPr>
            </w:pPr>
            <w:r>
              <w:rPr>
                <w:rFonts w:hint="eastAsia"/>
                <w:spacing w:val="-2"/>
                <w:sz w:val="21"/>
                <w:szCs w:val="21"/>
                <w:lang w:eastAsia="zh-CN"/>
              </w:rPr>
              <w:t>（一）建筑幕墙安装工程。</w:t>
            </w:r>
          </w:p>
        </w:tc>
        <w:tc>
          <w:tcPr>
            <w:tcW w:w="701" w:type="pct"/>
            <w:vAlign w:val="center"/>
          </w:tcPr>
          <w:p w14:paraId="3ADF20EE">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1CFF2D5E">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047C4000">
            <w:pPr>
              <w:rPr>
                <w:rFonts w:hint="eastAsia" w:hAnsi="宋体"/>
                <w:sz w:val="21"/>
                <w:szCs w:val="21"/>
              </w:rPr>
            </w:pPr>
          </w:p>
        </w:tc>
      </w:tr>
      <w:tr w14:paraId="6CFD8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tcPr>
          <w:p w14:paraId="520E01A3">
            <w:pPr>
              <w:pStyle w:val="67"/>
              <w:spacing w:before="127"/>
              <w:ind w:left="127"/>
              <w:rPr>
                <w:rFonts w:hint="eastAsia"/>
                <w:sz w:val="21"/>
                <w:szCs w:val="21"/>
                <w:lang w:eastAsia="zh-CN"/>
              </w:rPr>
            </w:pPr>
            <w:r>
              <w:rPr>
                <w:rFonts w:hint="eastAsia"/>
                <w:spacing w:val="-2"/>
                <w:sz w:val="21"/>
                <w:szCs w:val="21"/>
                <w:lang w:eastAsia="zh-CN"/>
              </w:rPr>
              <w:t>（二）钢结构、网架和索膜结构安装工程。</w:t>
            </w:r>
          </w:p>
        </w:tc>
        <w:tc>
          <w:tcPr>
            <w:tcW w:w="701" w:type="pct"/>
            <w:vAlign w:val="center"/>
          </w:tcPr>
          <w:p w14:paraId="7E61B835">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05E4BBF9">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30BF688">
            <w:pPr>
              <w:rPr>
                <w:rFonts w:hint="eastAsia" w:hAnsi="宋体"/>
                <w:sz w:val="21"/>
                <w:szCs w:val="21"/>
              </w:rPr>
            </w:pPr>
          </w:p>
        </w:tc>
      </w:tr>
      <w:tr w14:paraId="1EBB4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tcPr>
          <w:p w14:paraId="55159847">
            <w:pPr>
              <w:pStyle w:val="67"/>
              <w:spacing w:before="128"/>
              <w:ind w:left="127"/>
              <w:rPr>
                <w:rFonts w:hint="eastAsia"/>
                <w:sz w:val="21"/>
                <w:szCs w:val="21"/>
                <w:lang w:eastAsia="zh-CN"/>
              </w:rPr>
            </w:pPr>
            <w:r>
              <w:rPr>
                <w:rFonts w:hint="eastAsia"/>
                <w:spacing w:val="-2"/>
                <w:sz w:val="21"/>
                <w:szCs w:val="21"/>
                <w:lang w:eastAsia="zh-CN"/>
              </w:rPr>
              <w:t>（三）人工挖孔桩工程。</w:t>
            </w:r>
          </w:p>
        </w:tc>
        <w:tc>
          <w:tcPr>
            <w:tcW w:w="701" w:type="pct"/>
            <w:vAlign w:val="center"/>
          </w:tcPr>
          <w:p w14:paraId="387FBC14">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175F0E67">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4B855AB">
            <w:pPr>
              <w:rPr>
                <w:rFonts w:hint="eastAsia" w:hAnsi="宋体"/>
                <w:sz w:val="21"/>
                <w:szCs w:val="21"/>
              </w:rPr>
            </w:pPr>
          </w:p>
        </w:tc>
      </w:tr>
      <w:tr w14:paraId="2A23E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tcPr>
          <w:p w14:paraId="11F41FB1">
            <w:pPr>
              <w:pStyle w:val="67"/>
              <w:spacing w:before="128"/>
              <w:ind w:left="127"/>
              <w:rPr>
                <w:rFonts w:hint="eastAsia"/>
                <w:sz w:val="21"/>
                <w:szCs w:val="21"/>
                <w:lang w:eastAsia="zh-CN"/>
              </w:rPr>
            </w:pPr>
            <w:r>
              <w:rPr>
                <w:rFonts w:hint="eastAsia"/>
                <w:spacing w:val="-3"/>
                <w:sz w:val="21"/>
                <w:szCs w:val="21"/>
                <w:lang w:eastAsia="zh-CN"/>
              </w:rPr>
              <w:t>（四）水下作业工程。</w:t>
            </w:r>
          </w:p>
        </w:tc>
        <w:tc>
          <w:tcPr>
            <w:tcW w:w="701" w:type="pct"/>
            <w:vAlign w:val="center"/>
          </w:tcPr>
          <w:p w14:paraId="5D708DEF">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4201F259">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5FBB2915">
            <w:pPr>
              <w:rPr>
                <w:rFonts w:hint="eastAsia" w:hAnsi="宋体"/>
                <w:sz w:val="21"/>
                <w:szCs w:val="21"/>
              </w:rPr>
            </w:pPr>
          </w:p>
        </w:tc>
      </w:tr>
      <w:tr w14:paraId="6059B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tcPr>
          <w:p w14:paraId="3D9EE5AA">
            <w:pPr>
              <w:pStyle w:val="67"/>
              <w:spacing w:before="129"/>
              <w:ind w:left="127"/>
              <w:rPr>
                <w:rFonts w:hint="eastAsia"/>
                <w:sz w:val="21"/>
                <w:szCs w:val="21"/>
                <w:lang w:eastAsia="zh-CN"/>
              </w:rPr>
            </w:pPr>
            <w:r>
              <w:rPr>
                <w:rFonts w:hint="eastAsia"/>
                <w:spacing w:val="-2"/>
                <w:sz w:val="21"/>
                <w:szCs w:val="21"/>
                <w:lang w:eastAsia="zh-CN"/>
              </w:rPr>
              <w:t>（五）装配式建筑混凝土预制构件安装工程。</w:t>
            </w:r>
          </w:p>
        </w:tc>
        <w:tc>
          <w:tcPr>
            <w:tcW w:w="701" w:type="pct"/>
            <w:vAlign w:val="center"/>
          </w:tcPr>
          <w:p w14:paraId="13DD76D0">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3223CB0D">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2231821F">
            <w:pPr>
              <w:rPr>
                <w:rFonts w:hint="eastAsia" w:hAnsi="宋体"/>
                <w:sz w:val="21"/>
                <w:szCs w:val="21"/>
              </w:rPr>
            </w:pPr>
          </w:p>
        </w:tc>
      </w:tr>
      <w:tr w14:paraId="4E34E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78" w:hRule="atLeast"/>
          <w:jc w:val="center"/>
        </w:trPr>
        <w:tc>
          <w:tcPr>
            <w:tcW w:w="3005" w:type="pct"/>
          </w:tcPr>
          <w:p w14:paraId="6C8C52B6">
            <w:pPr>
              <w:pStyle w:val="67"/>
              <w:spacing w:before="128"/>
              <w:ind w:left="117" w:right="168" w:firstLine="10"/>
              <w:rPr>
                <w:rFonts w:hint="eastAsia"/>
                <w:sz w:val="21"/>
                <w:szCs w:val="21"/>
                <w:lang w:eastAsia="zh-CN"/>
              </w:rPr>
            </w:pPr>
            <w:r>
              <w:rPr>
                <w:rFonts w:hint="eastAsia"/>
                <w:spacing w:val="-2"/>
                <w:sz w:val="21"/>
                <w:szCs w:val="21"/>
                <w:lang w:eastAsia="zh-CN"/>
              </w:rPr>
              <w:t>（六）采用新技术、新工艺、新材料、新设备</w:t>
            </w:r>
            <w:r>
              <w:rPr>
                <w:rFonts w:hint="eastAsia"/>
                <w:spacing w:val="-1"/>
                <w:sz w:val="21"/>
                <w:szCs w:val="21"/>
                <w:lang w:eastAsia="zh-CN"/>
              </w:rPr>
              <w:t>可能影响工程施工安全，尚无国家、行业及地方技术标准的分部分项工程。</w:t>
            </w:r>
          </w:p>
        </w:tc>
        <w:tc>
          <w:tcPr>
            <w:tcW w:w="701" w:type="pct"/>
            <w:vAlign w:val="center"/>
          </w:tcPr>
          <w:p w14:paraId="5E4DFBDD">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70C42EEA">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148BAD9">
            <w:pPr>
              <w:rPr>
                <w:rFonts w:hint="eastAsia" w:hAnsi="宋体"/>
                <w:sz w:val="21"/>
                <w:szCs w:val="21"/>
              </w:rPr>
            </w:pPr>
          </w:p>
        </w:tc>
      </w:tr>
      <w:tr w14:paraId="61450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71" w:hRule="atLeast"/>
          <w:jc w:val="center"/>
        </w:trPr>
        <w:tc>
          <w:tcPr>
            <w:tcW w:w="3005" w:type="pct"/>
          </w:tcPr>
          <w:p w14:paraId="5EF9540D">
            <w:pPr>
              <w:pStyle w:val="67"/>
              <w:spacing w:before="130"/>
              <w:ind w:left="115" w:right="108" w:firstLine="4"/>
              <w:rPr>
                <w:rFonts w:hint="eastAsia"/>
                <w:sz w:val="21"/>
                <w:szCs w:val="21"/>
                <w:lang w:eastAsia="zh-CN"/>
              </w:rPr>
            </w:pPr>
            <w:r>
              <w:rPr>
                <w:rFonts w:hint="eastAsia"/>
                <w:b/>
                <w:bCs/>
                <w:spacing w:val="-1"/>
                <w:sz w:val="21"/>
                <w:szCs w:val="21"/>
                <w:lang w:eastAsia="zh-CN"/>
              </w:rPr>
              <w:t>二、超过一定规模的危险性较大的分部分项工</w:t>
            </w:r>
            <w:r>
              <w:rPr>
                <w:rFonts w:hint="eastAsia"/>
                <w:b/>
                <w:bCs/>
                <w:spacing w:val="-5"/>
                <w:sz w:val="21"/>
                <w:szCs w:val="21"/>
                <w:lang w:eastAsia="zh-CN"/>
              </w:rPr>
              <w:t>程清单</w:t>
            </w:r>
          </w:p>
        </w:tc>
        <w:tc>
          <w:tcPr>
            <w:tcW w:w="701" w:type="pct"/>
            <w:vAlign w:val="center"/>
          </w:tcPr>
          <w:p w14:paraId="1E1A71FB">
            <w:pPr>
              <w:pStyle w:val="67"/>
              <w:spacing w:before="78"/>
              <w:jc w:val="center"/>
              <w:rPr>
                <w:rFonts w:hint="eastAsia"/>
                <w:sz w:val="21"/>
                <w:szCs w:val="21"/>
              </w:rPr>
            </w:pPr>
            <w:r>
              <w:rPr>
                <w:rFonts w:hint="eastAsia"/>
                <w:b/>
                <w:bCs/>
                <w:spacing w:val="-4"/>
                <w:sz w:val="21"/>
                <w:szCs w:val="21"/>
              </w:rPr>
              <w:t>建设单位</w:t>
            </w:r>
          </w:p>
        </w:tc>
        <w:tc>
          <w:tcPr>
            <w:tcW w:w="725" w:type="pct"/>
            <w:vAlign w:val="center"/>
          </w:tcPr>
          <w:p w14:paraId="77937C4D">
            <w:pPr>
              <w:pStyle w:val="67"/>
              <w:spacing w:before="78"/>
              <w:jc w:val="center"/>
              <w:rPr>
                <w:rFonts w:hint="eastAsia"/>
                <w:sz w:val="21"/>
                <w:szCs w:val="21"/>
              </w:rPr>
            </w:pPr>
            <w:r>
              <w:rPr>
                <w:rFonts w:hint="eastAsia"/>
                <w:b/>
                <w:bCs/>
                <w:spacing w:val="-5"/>
                <w:sz w:val="21"/>
                <w:szCs w:val="21"/>
              </w:rPr>
              <w:t>投标单位</w:t>
            </w:r>
          </w:p>
        </w:tc>
        <w:tc>
          <w:tcPr>
            <w:tcW w:w="554" w:type="pct"/>
            <w:vAlign w:val="center"/>
          </w:tcPr>
          <w:p w14:paraId="7014992B">
            <w:pPr>
              <w:pStyle w:val="67"/>
              <w:spacing w:before="78"/>
              <w:jc w:val="center"/>
              <w:rPr>
                <w:rFonts w:hint="eastAsia"/>
                <w:sz w:val="21"/>
                <w:szCs w:val="21"/>
              </w:rPr>
            </w:pPr>
            <w:r>
              <w:rPr>
                <w:rFonts w:hint="eastAsia"/>
                <w:b/>
                <w:bCs/>
                <w:spacing w:val="-5"/>
                <w:sz w:val="21"/>
                <w:szCs w:val="21"/>
              </w:rPr>
              <w:t>备注</w:t>
            </w:r>
          </w:p>
        </w:tc>
      </w:tr>
      <w:tr w14:paraId="43834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tcPr>
          <w:p w14:paraId="30741AC7">
            <w:pPr>
              <w:pStyle w:val="67"/>
              <w:spacing w:before="130"/>
              <w:ind w:left="120"/>
              <w:rPr>
                <w:rFonts w:hint="eastAsia"/>
                <w:sz w:val="21"/>
                <w:szCs w:val="21"/>
              </w:rPr>
            </w:pPr>
            <w:r>
              <w:rPr>
                <w:rFonts w:hint="eastAsia"/>
                <w:b/>
                <w:bCs/>
                <w:spacing w:val="-2"/>
                <w:sz w:val="21"/>
                <w:szCs w:val="21"/>
              </w:rPr>
              <w:t>一、深基坑工程</w:t>
            </w:r>
          </w:p>
        </w:tc>
        <w:tc>
          <w:tcPr>
            <w:tcW w:w="701" w:type="pct"/>
            <w:vAlign w:val="center"/>
          </w:tcPr>
          <w:p w14:paraId="71342459">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78636549">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1831A492">
            <w:pPr>
              <w:rPr>
                <w:rFonts w:hint="eastAsia" w:hAnsi="宋体"/>
                <w:sz w:val="21"/>
                <w:szCs w:val="21"/>
              </w:rPr>
            </w:pPr>
          </w:p>
        </w:tc>
      </w:tr>
      <w:tr w14:paraId="5AAFA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tcPr>
          <w:p w14:paraId="1DAFB3D9">
            <w:pPr>
              <w:pStyle w:val="67"/>
              <w:spacing w:before="131"/>
              <w:ind w:left="117" w:right="105"/>
              <w:rPr>
                <w:rFonts w:hint="eastAsia"/>
                <w:sz w:val="21"/>
                <w:szCs w:val="21"/>
                <w:lang w:eastAsia="zh-CN"/>
              </w:rPr>
            </w:pPr>
            <w:r>
              <w:rPr>
                <w:rFonts w:hint="eastAsia"/>
                <w:spacing w:val="-5"/>
                <w:sz w:val="21"/>
                <w:szCs w:val="21"/>
                <w:lang w:eastAsia="zh-CN"/>
              </w:rPr>
              <w:t>开挖深度超过</w:t>
            </w:r>
            <w:r>
              <w:rPr>
                <w:rFonts w:hint="eastAsia"/>
                <w:spacing w:val="-34"/>
                <w:sz w:val="21"/>
                <w:szCs w:val="21"/>
                <w:lang w:eastAsia="zh-CN"/>
              </w:rPr>
              <w:t xml:space="preserve"> </w:t>
            </w:r>
            <w:r>
              <w:rPr>
                <w:rFonts w:hint="eastAsia"/>
                <w:spacing w:val="-5"/>
                <w:sz w:val="21"/>
                <w:szCs w:val="21"/>
                <w:lang w:eastAsia="zh-CN"/>
              </w:rPr>
              <w:t>5m（含5m）的基坑（槽）的土方</w:t>
            </w:r>
            <w:r>
              <w:rPr>
                <w:rFonts w:hint="eastAsia"/>
                <w:spacing w:val="-1"/>
                <w:sz w:val="21"/>
                <w:szCs w:val="21"/>
                <w:lang w:eastAsia="zh-CN"/>
              </w:rPr>
              <w:t>开挖、支护、降水工程。</w:t>
            </w:r>
          </w:p>
        </w:tc>
        <w:tc>
          <w:tcPr>
            <w:tcW w:w="701" w:type="pct"/>
            <w:vAlign w:val="center"/>
          </w:tcPr>
          <w:p w14:paraId="78933DCE">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43B70DF5">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609F4F3C">
            <w:pPr>
              <w:rPr>
                <w:rFonts w:hint="eastAsia" w:hAnsi="宋体"/>
                <w:sz w:val="21"/>
                <w:szCs w:val="21"/>
              </w:rPr>
            </w:pPr>
          </w:p>
        </w:tc>
      </w:tr>
      <w:tr w14:paraId="226EC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tcPr>
          <w:p w14:paraId="205FC799">
            <w:pPr>
              <w:pStyle w:val="67"/>
              <w:spacing w:before="130"/>
              <w:ind w:left="120"/>
              <w:rPr>
                <w:rFonts w:hint="eastAsia"/>
                <w:sz w:val="21"/>
                <w:szCs w:val="21"/>
                <w:lang w:eastAsia="zh-CN"/>
              </w:rPr>
            </w:pPr>
            <w:r>
              <w:rPr>
                <w:rFonts w:hint="eastAsia"/>
                <w:b/>
                <w:bCs/>
                <w:spacing w:val="-2"/>
                <w:sz w:val="21"/>
                <w:szCs w:val="21"/>
                <w:lang w:eastAsia="zh-CN"/>
              </w:rPr>
              <w:t>二、模板工程及支撑体系</w:t>
            </w:r>
          </w:p>
        </w:tc>
        <w:tc>
          <w:tcPr>
            <w:tcW w:w="701" w:type="pct"/>
            <w:vAlign w:val="center"/>
          </w:tcPr>
          <w:p w14:paraId="1578FB6C">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5D52129C">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0A0C33D">
            <w:pPr>
              <w:rPr>
                <w:rFonts w:hint="eastAsia" w:hAnsi="宋体"/>
                <w:sz w:val="21"/>
                <w:szCs w:val="21"/>
              </w:rPr>
            </w:pPr>
          </w:p>
        </w:tc>
      </w:tr>
      <w:tr w14:paraId="5ADEE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tcPr>
          <w:p w14:paraId="0F338697">
            <w:pPr>
              <w:pStyle w:val="67"/>
              <w:spacing w:before="131"/>
              <w:ind w:left="123" w:right="25" w:firstLine="4"/>
              <w:rPr>
                <w:rFonts w:hint="eastAsia"/>
                <w:sz w:val="21"/>
                <w:szCs w:val="21"/>
                <w:lang w:eastAsia="zh-CN"/>
              </w:rPr>
            </w:pPr>
            <w:r>
              <w:rPr>
                <w:rFonts w:hint="eastAsia"/>
                <w:spacing w:val="-6"/>
                <w:sz w:val="21"/>
                <w:szCs w:val="21"/>
                <w:lang w:eastAsia="zh-CN"/>
              </w:rPr>
              <w:t>（一）各类工具式模板工程：包括滑模、爬模、</w:t>
            </w:r>
            <w:r>
              <w:rPr>
                <w:rFonts w:hint="eastAsia"/>
                <w:spacing w:val="-2"/>
                <w:sz w:val="21"/>
                <w:szCs w:val="21"/>
                <w:lang w:eastAsia="zh-CN"/>
              </w:rPr>
              <w:t>飞模、隧道模等工程。</w:t>
            </w:r>
          </w:p>
        </w:tc>
        <w:tc>
          <w:tcPr>
            <w:tcW w:w="701" w:type="pct"/>
            <w:vAlign w:val="center"/>
          </w:tcPr>
          <w:p w14:paraId="46BF16B6">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2BD72560">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77C1A4DF">
            <w:pPr>
              <w:rPr>
                <w:rFonts w:hint="eastAsia" w:hAnsi="宋体"/>
                <w:sz w:val="21"/>
                <w:szCs w:val="21"/>
              </w:rPr>
            </w:pPr>
          </w:p>
        </w:tc>
      </w:tr>
      <w:tr w14:paraId="13641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1302" w:hRule="atLeast"/>
          <w:jc w:val="center"/>
        </w:trPr>
        <w:tc>
          <w:tcPr>
            <w:tcW w:w="3005" w:type="pct"/>
          </w:tcPr>
          <w:p w14:paraId="343A3D76">
            <w:pPr>
              <w:pStyle w:val="67"/>
              <w:spacing w:before="132"/>
              <w:ind w:left="116" w:right="6" w:firstLine="11"/>
              <w:rPr>
                <w:rFonts w:hint="eastAsia"/>
                <w:sz w:val="21"/>
                <w:szCs w:val="21"/>
                <w:lang w:eastAsia="zh-CN"/>
              </w:rPr>
            </w:pPr>
            <w:r>
              <w:rPr>
                <w:rFonts w:hint="eastAsia"/>
                <w:spacing w:val="-2"/>
                <w:sz w:val="21"/>
                <w:szCs w:val="21"/>
                <w:lang w:eastAsia="zh-CN"/>
              </w:rPr>
              <w:t>（二）混凝土模板支撑工程：搭设高度8m及以</w:t>
            </w:r>
            <w:r>
              <w:rPr>
                <w:rFonts w:hint="eastAsia"/>
                <w:spacing w:val="-11"/>
                <w:sz w:val="21"/>
                <w:szCs w:val="21"/>
                <w:lang w:eastAsia="zh-CN"/>
              </w:rPr>
              <w:t>上，或搭设跨度18m及以上，或施工总荷载（设计值）15kN/m2及以上，或集中线荷载（设</w:t>
            </w:r>
            <w:r>
              <w:rPr>
                <w:rFonts w:hint="eastAsia"/>
                <w:spacing w:val="-12"/>
                <w:sz w:val="21"/>
                <w:szCs w:val="21"/>
                <w:lang w:eastAsia="zh-CN"/>
              </w:rPr>
              <w:t>计值）</w:t>
            </w:r>
            <w:r>
              <w:rPr>
                <w:rFonts w:hint="eastAsia"/>
                <w:spacing w:val="-2"/>
                <w:sz w:val="21"/>
                <w:szCs w:val="21"/>
                <w:lang w:eastAsia="zh-CN"/>
              </w:rPr>
              <w:t>20kN/m及以上。</w:t>
            </w:r>
          </w:p>
        </w:tc>
        <w:tc>
          <w:tcPr>
            <w:tcW w:w="701" w:type="pct"/>
            <w:vAlign w:val="center"/>
          </w:tcPr>
          <w:p w14:paraId="3954A040">
            <w:pPr>
              <w:spacing w:before="130"/>
              <w:jc w:val="center"/>
              <w:rPr>
                <w:rFonts w:hint="eastAsia" w:hAnsi="宋体"/>
                <w:sz w:val="21"/>
                <w:szCs w:val="21"/>
              </w:rPr>
            </w:pPr>
            <w:r>
              <w:rPr>
                <w:rFonts w:hint="eastAsia" w:hAnsi="宋体"/>
                <w:spacing w:val="-19"/>
                <w:w w:val="94"/>
                <w:sz w:val="21"/>
                <w:szCs w:val="21"/>
              </w:rPr>
              <w:t>(       )</w:t>
            </w:r>
          </w:p>
        </w:tc>
        <w:tc>
          <w:tcPr>
            <w:tcW w:w="725" w:type="pct"/>
            <w:vAlign w:val="center"/>
          </w:tcPr>
          <w:p w14:paraId="7E947C8E">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217B5477">
            <w:pPr>
              <w:rPr>
                <w:rFonts w:hint="eastAsia" w:hAnsi="宋体"/>
                <w:sz w:val="21"/>
                <w:szCs w:val="21"/>
              </w:rPr>
            </w:pPr>
          </w:p>
        </w:tc>
      </w:tr>
      <w:tr w14:paraId="7C147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6" w:hRule="atLeast"/>
          <w:jc w:val="center"/>
        </w:trPr>
        <w:tc>
          <w:tcPr>
            <w:tcW w:w="3005" w:type="pct"/>
          </w:tcPr>
          <w:p w14:paraId="02B5317F">
            <w:pPr>
              <w:pStyle w:val="67"/>
              <w:spacing w:before="131"/>
              <w:ind w:left="117" w:right="168" w:firstLine="10"/>
              <w:rPr>
                <w:rFonts w:hint="eastAsia"/>
                <w:sz w:val="21"/>
                <w:szCs w:val="21"/>
                <w:lang w:eastAsia="zh-CN"/>
              </w:rPr>
            </w:pPr>
            <w:r>
              <w:rPr>
                <w:rFonts w:hint="eastAsia"/>
                <w:spacing w:val="-2"/>
                <w:sz w:val="21"/>
                <w:szCs w:val="21"/>
                <w:lang w:eastAsia="zh-CN"/>
              </w:rPr>
              <w:t>（三）承重支撑体系：用于钢结构安装等满堂支撑体系，承受单点集中荷载7kN及以上。</w:t>
            </w:r>
          </w:p>
        </w:tc>
        <w:tc>
          <w:tcPr>
            <w:tcW w:w="701" w:type="pct"/>
            <w:vAlign w:val="center"/>
          </w:tcPr>
          <w:p w14:paraId="7C38805E">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1EA18EF0">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6F55040">
            <w:pPr>
              <w:rPr>
                <w:rFonts w:hint="eastAsia" w:hAnsi="宋体"/>
                <w:sz w:val="21"/>
                <w:szCs w:val="21"/>
              </w:rPr>
            </w:pPr>
          </w:p>
        </w:tc>
      </w:tr>
      <w:tr w14:paraId="62CAE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4" w:hRule="atLeast"/>
          <w:jc w:val="center"/>
        </w:trPr>
        <w:tc>
          <w:tcPr>
            <w:tcW w:w="3005" w:type="pct"/>
          </w:tcPr>
          <w:p w14:paraId="372DDD9C">
            <w:pPr>
              <w:pStyle w:val="67"/>
              <w:spacing w:before="132"/>
              <w:rPr>
                <w:rFonts w:hint="eastAsia"/>
                <w:sz w:val="21"/>
                <w:szCs w:val="21"/>
                <w:lang w:eastAsia="zh-CN"/>
              </w:rPr>
            </w:pPr>
            <w:r>
              <w:rPr>
                <w:rFonts w:hint="eastAsia"/>
                <w:b/>
                <w:bCs/>
                <w:spacing w:val="-1"/>
                <w:sz w:val="21"/>
                <w:szCs w:val="21"/>
                <w:lang w:eastAsia="zh-CN"/>
              </w:rPr>
              <w:t>三、起重吊装及起重机械安装拆卸工程</w:t>
            </w:r>
          </w:p>
        </w:tc>
        <w:tc>
          <w:tcPr>
            <w:tcW w:w="701" w:type="pct"/>
            <w:vAlign w:val="center"/>
          </w:tcPr>
          <w:p w14:paraId="759B792B">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68845C1B">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8CE70D2">
            <w:pPr>
              <w:rPr>
                <w:rFonts w:hint="eastAsia" w:hAnsi="宋体"/>
                <w:sz w:val="21"/>
                <w:szCs w:val="21"/>
              </w:rPr>
            </w:pPr>
          </w:p>
        </w:tc>
      </w:tr>
      <w:tr w14:paraId="0F462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tcPr>
          <w:p w14:paraId="1D6048BA">
            <w:pPr>
              <w:pStyle w:val="67"/>
              <w:spacing w:before="126"/>
              <w:ind w:left="144" w:right="168" w:hanging="17"/>
              <w:rPr>
                <w:rFonts w:hint="eastAsia"/>
                <w:sz w:val="21"/>
                <w:szCs w:val="21"/>
                <w:lang w:eastAsia="zh-CN"/>
              </w:rPr>
            </w:pPr>
            <w:r>
              <w:rPr>
                <w:rFonts w:hint="eastAsia"/>
                <w:spacing w:val="-2"/>
                <w:sz w:val="21"/>
                <w:szCs w:val="21"/>
                <w:lang w:eastAsia="zh-CN"/>
              </w:rPr>
              <w:t>（一）采用非常规起重设备、方法，且单件起</w:t>
            </w:r>
            <w:r>
              <w:rPr>
                <w:rFonts w:hint="eastAsia"/>
                <w:spacing w:val="-4"/>
                <w:sz w:val="21"/>
                <w:szCs w:val="21"/>
                <w:lang w:eastAsia="zh-CN"/>
              </w:rPr>
              <w:t>吊重量在100kN及以上的起重吊装工程。</w:t>
            </w:r>
          </w:p>
        </w:tc>
        <w:tc>
          <w:tcPr>
            <w:tcW w:w="701" w:type="pct"/>
            <w:vAlign w:val="center"/>
          </w:tcPr>
          <w:p w14:paraId="11D2D832">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60BCBAB9">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43542CC4">
            <w:pPr>
              <w:rPr>
                <w:rFonts w:hint="eastAsia" w:hAnsi="宋体"/>
                <w:sz w:val="21"/>
                <w:szCs w:val="21"/>
              </w:rPr>
            </w:pPr>
          </w:p>
        </w:tc>
      </w:tr>
      <w:tr w14:paraId="71B9B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78" w:hRule="atLeast"/>
          <w:jc w:val="center"/>
        </w:trPr>
        <w:tc>
          <w:tcPr>
            <w:tcW w:w="3005" w:type="pct"/>
          </w:tcPr>
          <w:p w14:paraId="10881A0A">
            <w:pPr>
              <w:pStyle w:val="67"/>
              <w:spacing w:before="128"/>
              <w:ind w:left="115" w:right="105" w:firstLine="12"/>
              <w:rPr>
                <w:rFonts w:hint="eastAsia"/>
                <w:sz w:val="21"/>
                <w:szCs w:val="21"/>
                <w:lang w:eastAsia="zh-CN"/>
              </w:rPr>
            </w:pPr>
            <w:r>
              <w:rPr>
                <w:rFonts w:hint="eastAsia"/>
                <w:spacing w:val="-12"/>
                <w:sz w:val="21"/>
                <w:szCs w:val="21"/>
                <w:lang w:eastAsia="zh-CN"/>
              </w:rPr>
              <w:t>（二）起重量300kN及以上，或搭设总高度200m</w:t>
            </w:r>
            <w:r>
              <w:rPr>
                <w:rFonts w:hint="eastAsia"/>
                <w:spacing w:val="-4"/>
                <w:sz w:val="21"/>
                <w:szCs w:val="21"/>
                <w:lang w:eastAsia="zh-CN"/>
              </w:rPr>
              <w:t>及以上，或搭设基础标高在200m及以上的起重</w:t>
            </w:r>
            <w:r>
              <w:rPr>
                <w:rFonts w:hint="eastAsia"/>
                <w:spacing w:val="-1"/>
                <w:sz w:val="21"/>
                <w:szCs w:val="21"/>
                <w:lang w:eastAsia="zh-CN"/>
              </w:rPr>
              <w:t>机械安装和拆卸工程。</w:t>
            </w:r>
          </w:p>
        </w:tc>
        <w:tc>
          <w:tcPr>
            <w:tcW w:w="701" w:type="pct"/>
            <w:vAlign w:val="center"/>
          </w:tcPr>
          <w:p w14:paraId="505B99B8">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65250880">
            <w:pPr>
              <w:spacing w:before="130"/>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58C3FC7A">
            <w:pPr>
              <w:rPr>
                <w:rFonts w:hint="eastAsia" w:hAnsi="宋体"/>
                <w:sz w:val="21"/>
                <w:szCs w:val="21"/>
              </w:rPr>
            </w:pPr>
          </w:p>
        </w:tc>
      </w:tr>
      <w:tr w14:paraId="10238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58" w:hRule="atLeast"/>
          <w:jc w:val="center"/>
        </w:trPr>
        <w:tc>
          <w:tcPr>
            <w:tcW w:w="3005" w:type="pct"/>
          </w:tcPr>
          <w:p w14:paraId="7C947E77">
            <w:pPr>
              <w:pStyle w:val="67"/>
              <w:spacing w:before="130"/>
              <w:ind w:left="138"/>
              <w:rPr>
                <w:rFonts w:hint="eastAsia"/>
                <w:sz w:val="21"/>
                <w:szCs w:val="21"/>
              </w:rPr>
            </w:pPr>
            <w:r>
              <w:rPr>
                <w:rFonts w:hint="eastAsia"/>
                <w:b/>
                <w:bCs/>
                <w:spacing w:val="-5"/>
                <w:sz w:val="21"/>
                <w:szCs w:val="21"/>
              </w:rPr>
              <w:t>四、脚手架工程</w:t>
            </w:r>
          </w:p>
        </w:tc>
        <w:tc>
          <w:tcPr>
            <w:tcW w:w="701" w:type="pct"/>
            <w:vAlign w:val="center"/>
          </w:tcPr>
          <w:p w14:paraId="67C4A638">
            <w:pPr>
              <w:spacing w:before="130"/>
              <w:ind w:left="252" w:firstLine="159" w:firstLineChars="100"/>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7E29B072">
            <w:pPr>
              <w:spacing w:before="130"/>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2062FA28">
            <w:pPr>
              <w:rPr>
                <w:rFonts w:hint="eastAsia" w:hAnsi="宋体"/>
                <w:sz w:val="21"/>
                <w:szCs w:val="21"/>
              </w:rPr>
            </w:pPr>
          </w:p>
        </w:tc>
      </w:tr>
      <w:tr w14:paraId="1E8AA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47" w:hRule="atLeast"/>
          <w:jc w:val="center"/>
        </w:trPr>
        <w:tc>
          <w:tcPr>
            <w:tcW w:w="3005" w:type="pct"/>
          </w:tcPr>
          <w:p w14:paraId="3D8C1266">
            <w:pPr>
              <w:pStyle w:val="67"/>
              <w:spacing w:before="129"/>
              <w:ind w:left="117" w:right="168" w:firstLine="10"/>
              <w:rPr>
                <w:rFonts w:hint="eastAsia"/>
                <w:sz w:val="21"/>
                <w:szCs w:val="21"/>
                <w:lang w:eastAsia="zh-CN"/>
              </w:rPr>
            </w:pPr>
            <w:r>
              <w:rPr>
                <w:rFonts w:hint="eastAsia"/>
                <w:spacing w:val="-3"/>
                <w:sz w:val="21"/>
                <w:szCs w:val="21"/>
                <w:lang w:eastAsia="zh-CN"/>
              </w:rPr>
              <w:t>（一）搭设高度50m及以上的落地式钢管脚手架工程。</w:t>
            </w:r>
          </w:p>
        </w:tc>
        <w:tc>
          <w:tcPr>
            <w:tcW w:w="701" w:type="pct"/>
            <w:vAlign w:val="center"/>
          </w:tcPr>
          <w:p w14:paraId="41AAAC72">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4BA65FA4">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48AFE255">
            <w:pPr>
              <w:rPr>
                <w:rFonts w:hint="eastAsia" w:hAnsi="宋体"/>
                <w:sz w:val="21"/>
                <w:szCs w:val="21"/>
              </w:rPr>
            </w:pPr>
          </w:p>
        </w:tc>
      </w:tr>
      <w:tr w14:paraId="00B535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45" w:hRule="atLeast"/>
          <w:jc w:val="center"/>
        </w:trPr>
        <w:tc>
          <w:tcPr>
            <w:tcW w:w="3005" w:type="pct"/>
          </w:tcPr>
          <w:p w14:paraId="47968C71">
            <w:pPr>
              <w:pStyle w:val="67"/>
              <w:spacing w:before="129"/>
              <w:ind w:left="116" w:right="105" w:firstLine="11"/>
              <w:rPr>
                <w:rFonts w:hint="eastAsia"/>
                <w:sz w:val="21"/>
                <w:szCs w:val="21"/>
                <w:lang w:eastAsia="zh-CN"/>
              </w:rPr>
            </w:pPr>
            <w:r>
              <w:rPr>
                <w:rFonts w:hint="eastAsia"/>
                <w:spacing w:val="-6"/>
                <w:sz w:val="21"/>
                <w:szCs w:val="21"/>
                <w:lang w:eastAsia="zh-CN"/>
              </w:rPr>
              <w:t>（二）提升高度在150m及以上的附着式升降脚</w:t>
            </w:r>
            <w:r>
              <w:rPr>
                <w:rFonts w:hint="eastAsia"/>
                <w:spacing w:val="-1"/>
                <w:sz w:val="21"/>
                <w:szCs w:val="21"/>
                <w:lang w:eastAsia="zh-CN"/>
              </w:rPr>
              <w:t>手架工程或附着式升降操作平台工程。</w:t>
            </w:r>
          </w:p>
        </w:tc>
        <w:tc>
          <w:tcPr>
            <w:tcW w:w="701" w:type="pct"/>
            <w:vAlign w:val="center"/>
          </w:tcPr>
          <w:p w14:paraId="75969F91">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2E7479AF">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456CF9BA">
            <w:pPr>
              <w:rPr>
                <w:rFonts w:hint="eastAsia" w:hAnsi="宋体"/>
                <w:sz w:val="21"/>
                <w:szCs w:val="21"/>
              </w:rPr>
            </w:pPr>
          </w:p>
        </w:tc>
      </w:tr>
      <w:tr w14:paraId="0D932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82" w:hRule="atLeast"/>
          <w:jc w:val="center"/>
        </w:trPr>
        <w:tc>
          <w:tcPr>
            <w:tcW w:w="3005" w:type="pct"/>
          </w:tcPr>
          <w:p w14:paraId="42D35788">
            <w:pPr>
              <w:pStyle w:val="67"/>
              <w:spacing w:before="129"/>
              <w:ind w:left="115" w:right="168" w:firstLine="12"/>
              <w:rPr>
                <w:rFonts w:hint="eastAsia"/>
                <w:sz w:val="21"/>
                <w:szCs w:val="21"/>
                <w:lang w:eastAsia="zh-CN"/>
              </w:rPr>
            </w:pPr>
            <w:r>
              <w:rPr>
                <w:rFonts w:hint="eastAsia"/>
                <w:spacing w:val="-2"/>
                <w:sz w:val="21"/>
                <w:szCs w:val="21"/>
                <w:lang w:eastAsia="zh-CN"/>
              </w:rPr>
              <w:t>（三）分段架体搭设高度20m及以上的悬挑式脚手架工程。</w:t>
            </w:r>
          </w:p>
        </w:tc>
        <w:tc>
          <w:tcPr>
            <w:tcW w:w="701" w:type="pct"/>
            <w:vAlign w:val="center"/>
          </w:tcPr>
          <w:p w14:paraId="40D1CDEE">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4BD5FA61">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6AF329B0">
            <w:pPr>
              <w:rPr>
                <w:rFonts w:hint="eastAsia" w:hAnsi="宋体"/>
                <w:sz w:val="21"/>
                <w:szCs w:val="21"/>
              </w:rPr>
            </w:pPr>
          </w:p>
        </w:tc>
      </w:tr>
      <w:tr w14:paraId="35070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81" w:hRule="atLeast"/>
          <w:jc w:val="center"/>
        </w:trPr>
        <w:tc>
          <w:tcPr>
            <w:tcW w:w="3005" w:type="pct"/>
          </w:tcPr>
          <w:p w14:paraId="61161E58">
            <w:pPr>
              <w:pStyle w:val="67"/>
              <w:spacing w:before="129"/>
              <w:ind w:left="120"/>
              <w:rPr>
                <w:rFonts w:hint="eastAsia"/>
                <w:sz w:val="21"/>
                <w:szCs w:val="21"/>
              </w:rPr>
            </w:pPr>
            <w:r>
              <w:rPr>
                <w:rFonts w:hint="eastAsia"/>
                <w:b/>
                <w:bCs/>
                <w:spacing w:val="-3"/>
                <w:sz w:val="21"/>
                <w:szCs w:val="21"/>
              </w:rPr>
              <w:t>五、拆除工程</w:t>
            </w:r>
          </w:p>
        </w:tc>
        <w:tc>
          <w:tcPr>
            <w:tcW w:w="701" w:type="pct"/>
            <w:vAlign w:val="center"/>
          </w:tcPr>
          <w:p w14:paraId="289705EA">
            <w:pPr>
              <w:spacing w:before="156"/>
              <w:ind w:left="19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44CAA3B8">
            <w:pPr>
              <w:spacing w:before="156"/>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2CF7AF26">
            <w:pPr>
              <w:rPr>
                <w:rFonts w:hint="eastAsia" w:hAnsi="宋体"/>
                <w:sz w:val="21"/>
                <w:szCs w:val="21"/>
              </w:rPr>
            </w:pPr>
          </w:p>
        </w:tc>
      </w:tr>
      <w:tr w14:paraId="52520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tcPr>
          <w:p w14:paraId="6AC28D8C">
            <w:pPr>
              <w:pStyle w:val="67"/>
              <w:spacing w:before="127"/>
              <w:ind w:left="115" w:right="168" w:firstLine="12"/>
              <w:rPr>
                <w:rFonts w:hint="eastAsia"/>
                <w:sz w:val="21"/>
                <w:szCs w:val="21"/>
                <w:lang w:eastAsia="zh-CN"/>
              </w:rPr>
            </w:pPr>
            <w:r>
              <w:rPr>
                <w:rFonts w:hint="eastAsia"/>
                <w:spacing w:val="-2"/>
                <w:sz w:val="21"/>
                <w:szCs w:val="21"/>
                <w:lang w:eastAsia="zh-CN"/>
              </w:rPr>
              <w:t>（一）码头、桥梁、高架、烟囱、水塔或拆除</w:t>
            </w:r>
            <w:r>
              <w:rPr>
                <w:rFonts w:hint="eastAsia"/>
                <w:spacing w:val="-1"/>
                <w:sz w:val="21"/>
                <w:szCs w:val="21"/>
                <w:lang w:eastAsia="zh-CN"/>
              </w:rPr>
              <w:t>中容易引起有毒有害气（液）体或粉尘扩散、易燃易爆事故发生的特殊建、构筑物的拆除工</w:t>
            </w:r>
            <w:r>
              <w:rPr>
                <w:rFonts w:hint="eastAsia"/>
                <w:spacing w:val="-5"/>
                <w:sz w:val="21"/>
                <w:szCs w:val="21"/>
                <w:lang w:eastAsia="zh-CN"/>
              </w:rPr>
              <w:t>程。</w:t>
            </w:r>
          </w:p>
        </w:tc>
        <w:tc>
          <w:tcPr>
            <w:tcW w:w="701" w:type="pct"/>
            <w:vAlign w:val="center"/>
          </w:tcPr>
          <w:p w14:paraId="44BD150B">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24DD1107">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4FE2FEB3">
            <w:pPr>
              <w:rPr>
                <w:rFonts w:hint="eastAsia" w:hAnsi="宋体"/>
                <w:sz w:val="21"/>
                <w:szCs w:val="21"/>
              </w:rPr>
            </w:pPr>
          </w:p>
        </w:tc>
      </w:tr>
      <w:tr w14:paraId="704A6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4" w:hRule="atLeast"/>
          <w:jc w:val="center"/>
        </w:trPr>
        <w:tc>
          <w:tcPr>
            <w:tcW w:w="3005" w:type="pct"/>
          </w:tcPr>
          <w:p w14:paraId="30A1F4FF">
            <w:pPr>
              <w:pStyle w:val="67"/>
              <w:spacing w:before="130"/>
              <w:ind w:left="117" w:right="168" w:firstLine="10"/>
              <w:rPr>
                <w:rFonts w:hint="eastAsia"/>
                <w:sz w:val="21"/>
                <w:szCs w:val="21"/>
                <w:lang w:eastAsia="zh-CN"/>
              </w:rPr>
            </w:pPr>
            <w:r>
              <w:rPr>
                <w:rFonts w:hint="eastAsia"/>
                <w:spacing w:val="-2"/>
                <w:sz w:val="21"/>
                <w:szCs w:val="21"/>
                <w:lang w:eastAsia="zh-CN"/>
              </w:rPr>
              <w:t>（二）文物保护建筑、优秀历史建筑或历史文</w:t>
            </w:r>
            <w:r>
              <w:rPr>
                <w:rFonts w:hint="eastAsia"/>
                <w:spacing w:val="-1"/>
                <w:sz w:val="21"/>
                <w:szCs w:val="21"/>
                <w:lang w:eastAsia="zh-CN"/>
              </w:rPr>
              <w:t>化风貌区影响范围内的拆除工程。</w:t>
            </w:r>
          </w:p>
        </w:tc>
        <w:tc>
          <w:tcPr>
            <w:tcW w:w="701" w:type="pct"/>
            <w:vAlign w:val="center"/>
          </w:tcPr>
          <w:p w14:paraId="5040B48D">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5D5B5DDD">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152CBC8E">
            <w:pPr>
              <w:rPr>
                <w:rFonts w:hint="eastAsia" w:hAnsi="宋体"/>
                <w:sz w:val="21"/>
                <w:szCs w:val="21"/>
              </w:rPr>
            </w:pPr>
          </w:p>
        </w:tc>
      </w:tr>
      <w:tr w14:paraId="0A108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35" w:hRule="atLeast"/>
          <w:jc w:val="center"/>
        </w:trPr>
        <w:tc>
          <w:tcPr>
            <w:tcW w:w="3005" w:type="pct"/>
          </w:tcPr>
          <w:p w14:paraId="70A593AA">
            <w:pPr>
              <w:pStyle w:val="67"/>
              <w:spacing w:before="130"/>
              <w:ind w:left="118"/>
              <w:rPr>
                <w:rFonts w:hint="eastAsia"/>
                <w:sz w:val="21"/>
                <w:szCs w:val="21"/>
              </w:rPr>
            </w:pPr>
            <w:r>
              <w:rPr>
                <w:rFonts w:hint="eastAsia"/>
                <w:b/>
                <w:bCs/>
                <w:spacing w:val="-2"/>
                <w:sz w:val="21"/>
                <w:szCs w:val="21"/>
              </w:rPr>
              <w:t>六、暗挖工程</w:t>
            </w:r>
          </w:p>
        </w:tc>
        <w:tc>
          <w:tcPr>
            <w:tcW w:w="701" w:type="pct"/>
            <w:vAlign w:val="center"/>
          </w:tcPr>
          <w:p w14:paraId="1B1EE4DC">
            <w:pPr>
              <w:spacing w:before="139"/>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0B3E8864">
            <w:pPr>
              <w:spacing w:before="139"/>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79032E34">
            <w:pPr>
              <w:rPr>
                <w:rFonts w:hint="eastAsia" w:hAnsi="宋体"/>
                <w:sz w:val="21"/>
                <w:szCs w:val="21"/>
              </w:rPr>
            </w:pPr>
          </w:p>
        </w:tc>
      </w:tr>
      <w:tr w14:paraId="4E5B0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4" w:hRule="atLeast"/>
          <w:jc w:val="center"/>
        </w:trPr>
        <w:tc>
          <w:tcPr>
            <w:tcW w:w="3005" w:type="pct"/>
          </w:tcPr>
          <w:p w14:paraId="36C50100">
            <w:pPr>
              <w:pStyle w:val="67"/>
              <w:spacing w:before="130"/>
              <w:ind w:left="119" w:right="168" w:hanging="4"/>
              <w:rPr>
                <w:rFonts w:hint="eastAsia"/>
                <w:sz w:val="21"/>
                <w:szCs w:val="21"/>
                <w:lang w:eastAsia="zh-CN"/>
              </w:rPr>
            </w:pPr>
            <w:r>
              <w:rPr>
                <w:rFonts w:hint="eastAsia"/>
                <w:spacing w:val="-1"/>
                <w:sz w:val="21"/>
                <w:szCs w:val="21"/>
                <w:lang w:eastAsia="zh-CN"/>
              </w:rPr>
              <w:t>采用矿山法、盾构法、顶管法施工的隧道、洞</w:t>
            </w:r>
            <w:r>
              <w:rPr>
                <w:rFonts w:hint="eastAsia"/>
                <w:spacing w:val="-4"/>
                <w:sz w:val="21"/>
                <w:szCs w:val="21"/>
                <w:lang w:eastAsia="zh-CN"/>
              </w:rPr>
              <w:t>室工程。</w:t>
            </w:r>
          </w:p>
        </w:tc>
        <w:tc>
          <w:tcPr>
            <w:tcW w:w="701" w:type="pct"/>
            <w:vAlign w:val="center"/>
          </w:tcPr>
          <w:p w14:paraId="3EC42F1F">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0750951A">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974BBF2">
            <w:pPr>
              <w:rPr>
                <w:rFonts w:hint="eastAsia" w:hAnsi="宋体"/>
                <w:sz w:val="21"/>
                <w:szCs w:val="21"/>
              </w:rPr>
            </w:pPr>
          </w:p>
        </w:tc>
      </w:tr>
      <w:tr w14:paraId="42153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93" w:hRule="atLeast"/>
          <w:jc w:val="center"/>
        </w:trPr>
        <w:tc>
          <w:tcPr>
            <w:tcW w:w="3005" w:type="pct"/>
          </w:tcPr>
          <w:p w14:paraId="143EEE39">
            <w:pPr>
              <w:pStyle w:val="67"/>
              <w:spacing w:before="130"/>
              <w:ind w:left="115"/>
              <w:rPr>
                <w:rFonts w:hint="eastAsia"/>
                <w:sz w:val="21"/>
                <w:szCs w:val="21"/>
              </w:rPr>
            </w:pPr>
            <w:r>
              <w:rPr>
                <w:rFonts w:hint="eastAsia"/>
                <w:b/>
                <w:bCs/>
                <w:spacing w:val="-3"/>
                <w:sz w:val="21"/>
                <w:szCs w:val="21"/>
              </w:rPr>
              <w:t>七、</w:t>
            </w:r>
            <w:r>
              <w:rPr>
                <w:rFonts w:hint="eastAsia"/>
                <w:b/>
                <w:bCs/>
                <w:spacing w:val="-3"/>
                <w:sz w:val="21"/>
                <w:szCs w:val="21"/>
                <w:lang w:eastAsia="zh-CN"/>
              </w:rPr>
              <w:t>其他</w:t>
            </w:r>
          </w:p>
        </w:tc>
        <w:tc>
          <w:tcPr>
            <w:tcW w:w="701" w:type="pct"/>
            <w:vAlign w:val="center"/>
          </w:tcPr>
          <w:p w14:paraId="4D45B2AF">
            <w:pPr>
              <w:spacing w:before="130"/>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05E4C356">
            <w:pPr>
              <w:spacing w:before="130"/>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42672F7">
            <w:pPr>
              <w:rPr>
                <w:rFonts w:hint="eastAsia" w:hAnsi="宋体"/>
                <w:sz w:val="21"/>
                <w:szCs w:val="21"/>
              </w:rPr>
            </w:pPr>
          </w:p>
        </w:tc>
      </w:tr>
      <w:tr w14:paraId="44FDC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tcPr>
          <w:p w14:paraId="428A7EB0">
            <w:pPr>
              <w:pStyle w:val="67"/>
              <w:spacing w:before="131"/>
              <w:ind w:left="115" w:right="168" w:firstLine="12"/>
              <w:rPr>
                <w:rFonts w:hint="eastAsia"/>
                <w:sz w:val="21"/>
                <w:szCs w:val="21"/>
                <w:lang w:eastAsia="zh-CN"/>
              </w:rPr>
            </w:pPr>
            <w:r>
              <w:rPr>
                <w:rFonts w:hint="eastAsia"/>
                <w:spacing w:val="-3"/>
                <w:sz w:val="21"/>
                <w:szCs w:val="21"/>
                <w:lang w:eastAsia="zh-CN"/>
              </w:rPr>
              <w:t>（一）施工高度50m及以上的建筑幕墙安装工</w:t>
            </w:r>
            <w:r>
              <w:rPr>
                <w:rFonts w:hint="eastAsia"/>
                <w:spacing w:val="-5"/>
                <w:sz w:val="21"/>
                <w:szCs w:val="21"/>
                <w:lang w:eastAsia="zh-CN"/>
              </w:rPr>
              <w:t>程。</w:t>
            </w:r>
          </w:p>
        </w:tc>
        <w:tc>
          <w:tcPr>
            <w:tcW w:w="701" w:type="pct"/>
            <w:vAlign w:val="center"/>
          </w:tcPr>
          <w:p w14:paraId="562B0E63">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4CD3CDBF">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7488F3CC">
            <w:pPr>
              <w:rPr>
                <w:rFonts w:hint="eastAsia" w:hAnsi="宋体"/>
                <w:sz w:val="21"/>
                <w:szCs w:val="21"/>
              </w:rPr>
            </w:pPr>
          </w:p>
        </w:tc>
      </w:tr>
      <w:tr w14:paraId="01786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9" w:hRule="atLeast"/>
          <w:jc w:val="center"/>
        </w:trPr>
        <w:tc>
          <w:tcPr>
            <w:tcW w:w="3005" w:type="pct"/>
          </w:tcPr>
          <w:p w14:paraId="573C3E31">
            <w:pPr>
              <w:pStyle w:val="67"/>
              <w:spacing w:before="133"/>
              <w:ind w:left="116" w:right="168" w:firstLine="11"/>
              <w:rPr>
                <w:rFonts w:hint="eastAsia"/>
                <w:sz w:val="21"/>
                <w:szCs w:val="21"/>
                <w:lang w:eastAsia="zh-CN"/>
              </w:rPr>
            </w:pPr>
            <w:r>
              <w:rPr>
                <w:rFonts w:hint="eastAsia"/>
                <w:spacing w:val="-3"/>
                <w:sz w:val="21"/>
                <w:szCs w:val="21"/>
                <w:lang w:eastAsia="zh-CN"/>
              </w:rPr>
              <w:t>（二）跨度</w:t>
            </w:r>
            <w:r>
              <w:rPr>
                <w:rFonts w:hint="eastAsia"/>
                <w:spacing w:val="-28"/>
                <w:sz w:val="21"/>
                <w:szCs w:val="21"/>
                <w:lang w:eastAsia="zh-CN"/>
              </w:rPr>
              <w:t xml:space="preserve"> </w:t>
            </w:r>
            <w:r>
              <w:rPr>
                <w:rFonts w:hint="eastAsia"/>
                <w:spacing w:val="-3"/>
                <w:sz w:val="21"/>
                <w:szCs w:val="21"/>
                <w:lang w:eastAsia="zh-CN"/>
              </w:rPr>
              <w:t>36m</w:t>
            </w:r>
            <w:r>
              <w:rPr>
                <w:rFonts w:hint="eastAsia"/>
                <w:spacing w:val="-51"/>
                <w:sz w:val="21"/>
                <w:szCs w:val="21"/>
                <w:lang w:eastAsia="zh-CN"/>
              </w:rPr>
              <w:t xml:space="preserve"> </w:t>
            </w:r>
            <w:r>
              <w:rPr>
                <w:rFonts w:hint="eastAsia"/>
                <w:spacing w:val="-3"/>
                <w:sz w:val="21"/>
                <w:szCs w:val="21"/>
                <w:lang w:eastAsia="zh-CN"/>
              </w:rPr>
              <w:t>及以上的钢结构安装工程，或</w:t>
            </w:r>
            <w:r>
              <w:rPr>
                <w:rFonts w:hint="eastAsia"/>
                <w:spacing w:val="-2"/>
                <w:sz w:val="21"/>
                <w:szCs w:val="21"/>
                <w:lang w:eastAsia="zh-CN"/>
              </w:rPr>
              <w:t>跨度60m及以上的网架和索膜结构安装工程。</w:t>
            </w:r>
          </w:p>
        </w:tc>
        <w:tc>
          <w:tcPr>
            <w:tcW w:w="701" w:type="pct"/>
            <w:vAlign w:val="center"/>
          </w:tcPr>
          <w:p w14:paraId="3D2ABADD">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2B4F7AB1">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232299F1">
            <w:pPr>
              <w:rPr>
                <w:rFonts w:hint="eastAsia" w:hAnsi="宋体"/>
                <w:sz w:val="21"/>
                <w:szCs w:val="21"/>
              </w:rPr>
            </w:pPr>
          </w:p>
        </w:tc>
      </w:tr>
      <w:tr w14:paraId="54CE3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68" w:hRule="atLeast"/>
          <w:jc w:val="center"/>
        </w:trPr>
        <w:tc>
          <w:tcPr>
            <w:tcW w:w="3005" w:type="pct"/>
          </w:tcPr>
          <w:p w14:paraId="039B6476">
            <w:pPr>
              <w:pStyle w:val="67"/>
              <w:spacing w:before="133"/>
              <w:ind w:left="116" w:right="168" w:firstLine="11"/>
              <w:rPr>
                <w:rFonts w:hint="eastAsia"/>
                <w:sz w:val="21"/>
                <w:szCs w:val="21"/>
                <w:lang w:eastAsia="zh-CN"/>
              </w:rPr>
            </w:pPr>
            <w:r>
              <w:rPr>
                <w:rFonts w:hint="eastAsia"/>
                <w:spacing w:val="-7"/>
                <w:sz w:val="21"/>
                <w:szCs w:val="21"/>
                <w:lang w:eastAsia="zh-CN"/>
              </w:rPr>
              <w:t>（三）开挖</w:t>
            </w:r>
            <w:r>
              <w:rPr>
                <w:rFonts w:hint="eastAsia"/>
                <w:spacing w:val="-3"/>
                <w:sz w:val="21"/>
                <w:szCs w:val="21"/>
                <w:lang w:eastAsia="zh-CN"/>
              </w:rPr>
              <w:t>深度</w:t>
            </w:r>
            <w:r>
              <w:rPr>
                <w:rFonts w:hint="eastAsia"/>
                <w:spacing w:val="-7"/>
                <w:sz w:val="21"/>
                <w:szCs w:val="21"/>
                <w:lang w:eastAsia="zh-CN"/>
              </w:rPr>
              <w:t>16m及以上的人工挖孔桩工程。</w:t>
            </w:r>
          </w:p>
        </w:tc>
        <w:tc>
          <w:tcPr>
            <w:tcW w:w="701" w:type="pct"/>
            <w:vAlign w:val="center"/>
          </w:tcPr>
          <w:p w14:paraId="7B69A4CF">
            <w:pPr>
              <w:spacing w:before="131"/>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1EE48967">
            <w:pPr>
              <w:spacing w:before="131"/>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4077F3BC">
            <w:pPr>
              <w:rPr>
                <w:rFonts w:hint="eastAsia" w:hAnsi="宋体"/>
                <w:sz w:val="21"/>
                <w:szCs w:val="21"/>
              </w:rPr>
            </w:pPr>
          </w:p>
        </w:tc>
      </w:tr>
      <w:tr w14:paraId="50BA5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68" w:hRule="atLeast"/>
          <w:jc w:val="center"/>
        </w:trPr>
        <w:tc>
          <w:tcPr>
            <w:tcW w:w="3005" w:type="pct"/>
          </w:tcPr>
          <w:p w14:paraId="067E0B67">
            <w:pPr>
              <w:pStyle w:val="67"/>
              <w:spacing w:before="127"/>
              <w:ind w:left="127"/>
              <w:rPr>
                <w:rFonts w:hint="eastAsia"/>
                <w:sz w:val="21"/>
                <w:szCs w:val="21"/>
                <w:lang w:eastAsia="zh-CN"/>
              </w:rPr>
            </w:pPr>
            <w:r>
              <w:rPr>
                <w:rFonts w:hint="eastAsia"/>
                <w:spacing w:val="-3"/>
                <w:sz w:val="21"/>
                <w:szCs w:val="21"/>
                <w:lang w:eastAsia="zh-CN"/>
              </w:rPr>
              <w:t>（四）水下作业工程。</w:t>
            </w:r>
          </w:p>
        </w:tc>
        <w:tc>
          <w:tcPr>
            <w:tcW w:w="701" w:type="pct"/>
            <w:vAlign w:val="center"/>
          </w:tcPr>
          <w:p w14:paraId="2C882B1D">
            <w:pPr>
              <w:spacing w:before="161"/>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7EEAAFF4">
            <w:pPr>
              <w:spacing w:before="161"/>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0C6D1B3B">
            <w:pPr>
              <w:rPr>
                <w:rFonts w:hint="eastAsia" w:hAnsi="宋体"/>
                <w:sz w:val="21"/>
                <w:szCs w:val="21"/>
              </w:rPr>
            </w:pPr>
          </w:p>
        </w:tc>
      </w:tr>
      <w:tr w14:paraId="0480B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559" w:hRule="atLeast"/>
          <w:jc w:val="center"/>
        </w:trPr>
        <w:tc>
          <w:tcPr>
            <w:tcW w:w="3005" w:type="pct"/>
          </w:tcPr>
          <w:p w14:paraId="1782980B">
            <w:pPr>
              <w:pStyle w:val="67"/>
              <w:spacing w:before="129"/>
              <w:ind w:left="115" w:right="25" w:firstLine="12"/>
              <w:rPr>
                <w:rFonts w:hint="eastAsia"/>
                <w:sz w:val="21"/>
                <w:szCs w:val="21"/>
                <w:lang w:eastAsia="zh-CN"/>
              </w:rPr>
            </w:pPr>
            <w:r>
              <w:rPr>
                <w:rFonts w:hint="eastAsia"/>
                <w:spacing w:val="-8"/>
                <w:sz w:val="21"/>
                <w:szCs w:val="21"/>
                <w:lang w:eastAsia="zh-CN"/>
              </w:rPr>
              <w:t>（五）重量</w:t>
            </w:r>
            <w:r>
              <w:rPr>
                <w:rFonts w:hint="eastAsia"/>
                <w:spacing w:val="-48"/>
                <w:sz w:val="21"/>
                <w:szCs w:val="21"/>
                <w:lang w:eastAsia="zh-CN"/>
              </w:rPr>
              <w:t xml:space="preserve"> </w:t>
            </w:r>
            <w:r>
              <w:rPr>
                <w:rFonts w:hint="eastAsia"/>
                <w:spacing w:val="-8"/>
                <w:sz w:val="21"/>
                <w:szCs w:val="21"/>
                <w:lang w:eastAsia="zh-CN"/>
              </w:rPr>
              <w:t>1000kN及以上的大型结构整体顶升、</w:t>
            </w:r>
            <w:r>
              <w:rPr>
                <w:rFonts w:hint="eastAsia"/>
                <w:spacing w:val="-1"/>
                <w:sz w:val="21"/>
                <w:szCs w:val="21"/>
                <w:lang w:eastAsia="zh-CN"/>
              </w:rPr>
              <w:t>平移、转体等施工工艺。</w:t>
            </w:r>
          </w:p>
        </w:tc>
        <w:tc>
          <w:tcPr>
            <w:tcW w:w="701" w:type="pct"/>
            <w:vAlign w:val="center"/>
          </w:tcPr>
          <w:p w14:paraId="080FA781">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5B99BA9B">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3398B5BC">
            <w:pPr>
              <w:rPr>
                <w:rFonts w:hint="eastAsia" w:hAnsi="宋体"/>
                <w:sz w:val="21"/>
                <w:szCs w:val="21"/>
              </w:rPr>
            </w:pPr>
          </w:p>
        </w:tc>
      </w:tr>
      <w:tr w14:paraId="57544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845" w:hRule="atLeast"/>
          <w:jc w:val="center"/>
        </w:trPr>
        <w:tc>
          <w:tcPr>
            <w:tcW w:w="3005" w:type="pct"/>
          </w:tcPr>
          <w:p w14:paraId="58E917F7">
            <w:pPr>
              <w:pStyle w:val="67"/>
              <w:spacing w:before="128"/>
              <w:ind w:left="117" w:right="168" w:firstLine="10"/>
              <w:rPr>
                <w:rFonts w:hint="eastAsia"/>
                <w:sz w:val="21"/>
                <w:szCs w:val="21"/>
                <w:lang w:eastAsia="zh-CN"/>
              </w:rPr>
            </w:pPr>
            <w:r>
              <w:rPr>
                <w:rFonts w:hint="eastAsia"/>
                <w:spacing w:val="-2"/>
                <w:sz w:val="21"/>
                <w:szCs w:val="21"/>
                <w:lang w:eastAsia="zh-CN"/>
              </w:rPr>
              <w:t>（六）采用新技术、新工艺、新材料、新设备</w:t>
            </w:r>
            <w:r>
              <w:rPr>
                <w:rFonts w:hint="eastAsia"/>
                <w:spacing w:val="-1"/>
                <w:sz w:val="21"/>
                <w:szCs w:val="21"/>
                <w:lang w:eastAsia="zh-CN"/>
              </w:rPr>
              <w:t>可能影响工程施工安全，尚无国家、行业及地方技术标准的分部分项工程。</w:t>
            </w:r>
          </w:p>
        </w:tc>
        <w:tc>
          <w:tcPr>
            <w:tcW w:w="701" w:type="pct"/>
            <w:vAlign w:val="center"/>
          </w:tcPr>
          <w:p w14:paraId="01495486">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725" w:type="pct"/>
            <w:vAlign w:val="center"/>
          </w:tcPr>
          <w:p w14:paraId="753C3A78">
            <w:pPr>
              <w:spacing w:before="78"/>
              <w:ind w:left="252"/>
              <w:jc w:val="center"/>
              <w:rPr>
                <w:rFonts w:hint="eastAsia" w:hAnsi="宋体"/>
                <w:sz w:val="21"/>
                <w:szCs w:val="21"/>
              </w:rPr>
            </w:pPr>
            <w:r>
              <w:rPr>
                <w:rFonts w:hint="eastAsia" w:hAnsi="宋体"/>
                <w:spacing w:val="-19"/>
                <w:w w:val="94"/>
                <w:sz w:val="21"/>
                <w:szCs w:val="21"/>
              </w:rPr>
              <w:t>(</w:t>
            </w:r>
            <w:r>
              <w:rPr>
                <w:rFonts w:hint="eastAsia" w:hAnsi="宋体"/>
                <w:spacing w:val="2"/>
                <w:sz w:val="21"/>
                <w:szCs w:val="21"/>
              </w:rPr>
              <w:t xml:space="preserve">    </w:t>
            </w:r>
            <w:r>
              <w:rPr>
                <w:rFonts w:hint="eastAsia" w:hAnsi="宋体"/>
                <w:spacing w:val="-19"/>
                <w:w w:val="94"/>
                <w:sz w:val="21"/>
                <w:szCs w:val="21"/>
              </w:rPr>
              <w:t>)</w:t>
            </w:r>
          </w:p>
        </w:tc>
        <w:tc>
          <w:tcPr>
            <w:tcW w:w="554" w:type="pct"/>
          </w:tcPr>
          <w:p w14:paraId="229C0ABA">
            <w:pPr>
              <w:rPr>
                <w:rFonts w:hint="eastAsia" w:hAnsi="宋体"/>
                <w:sz w:val="21"/>
                <w:szCs w:val="21"/>
              </w:rPr>
            </w:pPr>
          </w:p>
        </w:tc>
      </w:tr>
    </w:tbl>
    <w:p w14:paraId="5832B49C">
      <w:pPr>
        <w:pStyle w:val="8"/>
        <w:ind w:firstLine="13"/>
        <w:rPr>
          <w:rFonts w:hint="eastAsia" w:hAnsi="宋体" w:cs="宋体"/>
          <w:sz w:val="18"/>
          <w:szCs w:val="18"/>
        </w:rPr>
      </w:pPr>
      <w:r>
        <w:rPr>
          <w:rFonts w:hint="eastAsia" w:hAnsi="宋体" w:cs="宋体"/>
          <w:spacing w:val="10"/>
          <w:sz w:val="18"/>
          <w:szCs w:val="18"/>
        </w:rPr>
        <w:t>备注：1.根据《危险性较大的分部分项工程安全管理</w:t>
      </w:r>
      <w:r>
        <w:rPr>
          <w:rFonts w:hint="eastAsia" w:hAnsi="宋体" w:cs="宋体"/>
          <w:spacing w:val="9"/>
          <w:sz w:val="18"/>
          <w:szCs w:val="18"/>
        </w:rPr>
        <w:t>规定》，该《危险性较大的分部分项工程清单及超过一定规模的危险性较大的分部分项工程清单》应由</w:t>
      </w:r>
      <w:r>
        <w:rPr>
          <w:rFonts w:hint="eastAsia" w:hAnsi="宋体" w:cs="宋体"/>
          <w:b/>
          <w:bCs/>
          <w:spacing w:val="9"/>
          <w:sz w:val="18"/>
          <w:szCs w:val="18"/>
        </w:rPr>
        <w:t>建设单位</w:t>
      </w:r>
      <w:r>
        <w:rPr>
          <w:rFonts w:hint="eastAsia" w:hAnsi="宋体" w:cs="宋体"/>
          <w:spacing w:val="9"/>
          <w:sz w:val="18"/>
          <w:szCs w:val="18"/>
        </w:rPr>
        <w:t>组织勘察、设计等单位</w:t>
      </w:r>
      <w:r>
        <w:rPr>
          <w:rFonts w:hint="eastAsia" w:hAnsi="宋体" w:cs="宋体"/>
          <w:b/>
          <w:bCs/>
          <w:spacing w:val="9"/>
          <w:sz w:val="18"/>
          <w:szCs w:val="18"/>
        </w:rPr>
        <w:t>在招标文件</w:t>
      </w:r>
      <w:r>
        <w:rPr>
          <w:rFonts w:hint="eastAsia" w:hAnsi="宋体" w:cs="宋体"/>
          <w:spacing w:val="8"/>
          <w:sz w:val="18"/>
          <w:szCs w:val="18"/>
        </w:rPr>
        <w:t>中先行</w:t>
      </w:r>
      <w:r>
        <w:rPr>
          <w:rFonts w:hint="eastAsia" w:hAnsi="宋体" w:cs="宋体"/>
          <w:spacing w:val="5"/>
          <w:sz w:val="18"/>
          <w:szCs w:val="18"/>
        </w:rPr>
        <w:t>“勾选（对应项打‘√’标识）”危险性较大的分部分项工程。</w:t>
      </w:r>
    </w:p>
    <w:p w14:paraId="2C47BB6F">
      <w:pPr>
        <w:pStyle w:val="8"/>
        <w:ind w:left="11" w:firstLine="554"/>
        <w:rPr>
          <w:rFonts w:hint="eastAsia" w:hAnsi="宋体" w:cs="宋体"/>
          <w:sz w:val="18"/>
          <w:szCs w:val="18"/>
        </w:rPr>
      </w:pPr>
      <w:r>
        <w:rPr>
          <w:rFonts w:hint="eastAsia" w:hAnsi="宋体" w:cs="宋体"/>
          <w:spacing w:val="8"/>
          <w:sz w:val="18"/>
          <w:szCs w:val="18"/>
        </w:rPr>
        <w:t>2.该《危险性较大的分部分项工程清单及超过一定规模的危险性较</w:t>
      </w:r>
      <w:r>
        <w:rPr>
          <w:rFonts w:hint="eastAsia" w:hAnsi="宋体" w:cs="宋体"/>
          <w:spacing w:val="7"/>
          <w:sz w:val="18"/>
          <w:szCs w:val="18"/>
        </w:rPr>
        <w:t>大的分部分项工程清单》在办理</w:t>
      </w:r>
      <w:r>
        <w:rPr>
          <w:rFonts w:hint="eastAsia" w:hAnsi="宋体" w:cs="宋体"/>
          <w:spacing w:val="10"/>
          <w:sz w:val="18"/>
          <w:szCs w:val="18"/>
        </w:rPr>
        <w:t>建设项目施工许可时必须提供，且各地建设行政主管部门可按照《广东省建设工</w:t>
      </w:r>
      <w:r>
        <w:rPr>
          <w:rFonts w:hint="eastAsia" w:hAnsi="宋体" w:cs="宋体"/>
          <w:spacing w:val="9"/>
          <w:sz w:val="18"/>
          <w:szCs w:val="18"/>
        </w:rPr>
        <w:t>程项目招标中标后监督</w:t>
      </w:r>
      <w:r>
        <w:rPr>
          <w:rFonts w:hint="eastAsia" w:hAnsi="宋体" w:cs="宋体"/>
          <w:spacing w:val="8"/>
          <w:sz w:val="18"/>
          <w:szCs w:val="18"/>
        </w:rPr>
        <w:t>检查办法》相关规定开展检查。</w:t>
      </w:r>
    </w:p>
    <w:p w14:paraId="56EE6757">
      <w:pPr>
        <w:pStyle w:val="49"/>
        <w:keepNext w:val="0"/>
        <w:keepLines w:val="0"/>
        <w:widowControl w:val="0"/>
        <w:wordWrap w:val="0"/>
        <w:adjustRightInd w:val="0"/>
        <w:snapToGrid w:val="0"/>
        <w:spacing w:before="0" w:after="0"/>
        <w:ind w:left="2939" w:leftChars="238" w:hanging="2368" w:hangingChars="1196"/>
        <w:jc w:val="left"/>
        <w:outlineLvl w:val="9"/>
        <w:rPr>
          <w:rFonts w:hint="eastAsia" w:ascii="宋体" w:hAnsi="宋体" w:cs="宋体"/>
          <w:spacing w:val="8"/>
          <w:sz w:val="18"/>
          <w:szCs w:val="18"/>
        </w:rPr>
      </w:pPr>
      <w:bookmarkStart w:id="733" w:name="_Toc7813"/>
      <w:r>
        <w:rPr>
          <w:rFonts w:hint="eastAsia" w:ascii="宋体" w:hAnsi="宋体" w:cs="宋体"/>
          <w:spacing w:val="9"/>
          <w:sz w:val="18"/>
          <w:szCs w:val="18"/>
        </w:rPr>
        <w:t>3.如果需要（如需要通过计算编制专项方案，或者需要专家论证</w:t>
      </w:r>
      <w:r>
        <w:rPr>
          <w:rFonts w:hint="eastAsia" w:ascii="宋体" w:hAnsi="宋体" w:cs="宋体"/>
          <w:spacing w:val="15"/>
          <w:sz w:val="18"/>
          <w:szCs w:val="18"/>
        </w:rPr>
        <w:t>），</w:t>
      </w:r>
      <w:r>
        <w:rPr>
          <w:rFonts w:hint="eastAsia" w:ascii="宋体" w:hAnsi="宋体" w:cs="宋体"/>
          <w:spacing w:val="9"/>
          <w:sz w:val="18"/>
          <w:szCs w:val="18"/>
        </w:rPr>
        <w:t>可中</w:t>
      </w:r>
      <w:r>
        <w:rPr>
          <w:rFonts w:hint="eastAsia" w:ascii="宋体" w:hAnsi="宋体" w:cs="宋体"/>
          <w:spacing w:val="8"/>
          <w:sz w:val="18"/>
          <w:szCs w:val="18"/>
        </w:rPr>
        <w:t>标后提供详细版。</w:t>
      </w:r>
      <w:bookmarkEnd w:id="733"/>
      <w:bookmarkStart w:id="734" w:name="_Toc14473"/>
    </w:p>
    <w:p w14:paraId="12FF6287">
      <w:pPr>
        <w:pStyle w:val="5"/>
        <w:spacing w:line="360" w:lineRule="auto"/>
        <w:ind w:firstLine="0"/>
        <w:rPr>
          <w:rStyle w:val="63"/>
          <w:rFonts w:hint="eastAsia" w:ascii="宋体" w:hAnsi="宋体" w:eastAsia="宋体" w:cs="宋体"/>
          <w:b/>
          <w:bCs/>
          <w:sz w:val="21"/>
          <w:szCs w:val="21"/>
        </w:rPr>
      </w:pPr>
      <w:bookmarkStart w:id="735" w:name="_Toc9333"/>
      <w:r>
        <w:rPr>
          <w:rStyle w:val="63"/>
          <w:rFonts w:hint="eastAsia" w:ascii="宋体" w:hAnsi="宋体" w:eastAsia="宋体" w:cs="宋体"/>
          <w:b/>
          <w:bCs/>
          <w:sz w:val="21"/>
          <w:szCs w:val="21"/>
        </w:rPr>
        <w:t>格式十五 原件一览表</w:t>
      </w:r>
      <w:bookmarkEnd w:id="734"/>
    </w:p>
    <w:bookmarkEnd w:id="735"/>
    <w:tbl>
      <w:tblPr>
        <w:tblStyle w:val="19"/>
        <w:tblW w:w="9258"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51"/>
        <w:gridCol w:w="1506"/>
        <w:gridCol w:w="92"/>
        <w:gridCol w:w="1902"/>
        <w:gridCol w:w="1625"/>
        <w:gridCol w:w="754"/>
        <w:gridCol w:w="958"/>
        <w:gridCol w:w="1570"/>
      </w:tblGrid>
      <w:tr w14:paraId="6FF8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3" w:hRule="atLeast"/>
        </w:trPr>
        <w:tc>
          <w:tcPr>
            <w:tcW w:w="9258" w:type="dxa"/>
            <w:gridSpan w:val="8"/>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A739A6D">
            <w:pPr>
              <w:widowControl w:val="0"/>
              <w:jc w:val="center"/>
              <w:textAlignment w:val="auto"/>
              <w:rPr>
                <w:rFonts w:hint="eastAsia" w:hAnsi="宋体"/>
                <w:sz w:val="21"/>
                <w:szCs w:val="21"/>
              </w:rPr>
            </w:pPr>
            <w:r>
              <w:rPr>
                <w:rFonts w:hint="eastAsia" w:hAnsi="宋体"/>
                <w:b/>
                <w:sz w:val="21"/>
                <w:szCs w:val="21"/>
                <w:lang w:bidi="ar"/>
              </w:rPr>
              <w:t>原件一览表</w:t>
            </w:r>
          </w:p>
        </w:tc>
      </w:tr>
      <w:tr w14:paraId="7FDD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449" w:type="dxa"/>
            <w:gridSpan w:val="3"/>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E4CCA2C">
            <w:pPr>
              <w:widowControl w:val="0"/>
              <w:jc w:val="center"/>
              <w:textAlignment w:val="auto"/>
              <w:rPr>
                <w:rFonts w:hint="eastAsia" w:hAnsi="宋体"/>
                <w:sz w:val="21"/>
                <w:szCs w:val="21"/>
              </w:rPr>
            </w:pPr>
            <w:r>
              <w:rPr>
                <w:rFonts w:hint="eastAsia" w:hAnsi="宋体"/>
                <w:sz w:val="21"/>
                <w:szCs w:val="21"/>
                <w:lang w:bidi="ar"/>
              </w:rPr>
              <w:t>工程名称</w:t>
            </w:r>
          </w:p>
        </w:tc>
        <w:tc>
          <w:tcPr>
            <w:tcW w:w="6809" w:type="dxa"/>
            <w:gridSpan w:val="5"/>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2F4AEAA">
            <w:pPr>
              <w:widowControl w:val="0"/>
              <w:jc w:val="center"/>
              <w:textAlignment w:val="auto"/>
              <w:rPr>
                <w:rFonts w:hint="eastAsia" w:hAnsi="宋体"/>
                <w:sz w:val="21"/>
                <w:szCs w:val="21"/>
              </w:rPr>
            </w:pPr>
            <w:r>
              <w:rPr>
                <w:rFonts w:hint="eastAsia" w:hAnsi="宋体"/>
                <w:sz w:val="21"/>
                <w:szCs w:val="21"/>
                <w:lang w:bidi="ar"/>
              </w:rPr>
              <w:t xml:space="preserve"> </w:t>
            </w:r>
          </w:p>
        </w:tc>
      </w:tr>
      <w:tr w14:paraId="6320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449" w:type="dxa"/>
            <w:gridSpan w:val="3"/>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9717AC6">
            <w:pPr>
              <w:widowControl w:val="0"/>
              <w:jc w:val="center"/>
              <w:textAlignment w:val="auto"/>
              <w:rPr>
                <w:rFonts w:hint="eastAsia" w:hAnsi="宋体"/>
                <w:sz w:val="21"/>
                <w:szCs w:val="21"/>
              </w:rPr>
            </w:pPr>
            <w:r>
              <w:rPr>
                <w:rFonts w:hint="eastAsia" w:hAnsi="宋体"/>
                <w:sz w:val="21"/>
                <w:szCs w:val="21"/>
                <w:lang w:bidi="ar"/>
              </w:rPr>
              <w:t>投标人名称                （请务必填写单位全称）</w:t>
            </w:r>
          </w:p>
        </w:tc>
        <w:tc>
          <w:tcPr>
            <w:tcW w:w="6809" w:type="dxa"/>
            <w:gridSpan w:val="5"/>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17FE927">
            <w:pPr>
              <w:widowControl w:val="0"/>
              <w:jc w:val="center"/>
              <w:textAlignment w:val="auto"/>
              <w:rPr>
                <w:rFonts w:hint="eastAsia" w:hAnsi="宋体"/>
                <w:sz w:val="21"/>
                <w:szCs w:val="21"/>
              </w:rPr>
            </w:pPr>
          </w:p>
        </w:tc>
      </w:tr>
      <w:tr w14:paraId="10C6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449" w:type="dxa"/>
            <w:gridSpan w:val="3"/>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A4C5E2E">
            <w:pPr>
              <w:widowControl w:val="0"/>
              <w:jc w:val="center"/>
              <w:textAlignment w:val="auto"/>
              <w:rPr>
                <w:rFonts w:hint="eastAsia" w:hAnsi="宋体"/>
                <w:sz w:val="21"/>
                <w:szCs w:val="21"/>
              </w:rPr>
            </w:pPr>
            <w:r>
              <w:rPr>
                <w:rFonts w:hint="eastAsia" w:hAnsi="宋体"/>
                <w:sz w:val="21"/>
                <w:szCs w:val="21"/>
                <w:lang w:bidi="ar"/>
              </w:rPr>
              <w:t>投标人法定代表人或其委托代理人签名</w:t>
            </w:r>
          </w:p>
        </w:tc>
        <w:tc>
          <w:tcPr>
            <w:tcW w:w="3527"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EC6097E">
            <w:pPr>
              <w:widowControl w:val="0"/>
              <w:jc w:val="center"/>
              <w:textAlignment w:val="auto"/>
              <w:rPr>
                <w:rFonts w:hint="eastAsia" w:hAnsi="宋体"/>
                <w:sz w:val="21"/>
                <w:szCs w:val="21"/>
              </w:rPr>
            </w:pPr>
          </w:p>
        </w:tc>
        <w:tc>
          <w:tcPr>
            <w:tcW w:w="754"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E66E723">
            <w:pPr>
              <w:widowControl w:val="0"/>
              <w:jc w:val="center"/>
              <w:textAlignment w:val="auto"/>
              <w:rPr>
                <w:rFonts w:hint="eastAsia" w:hAnsi="宋体"/>
                <w:sz w:val="21"/>
                <w:szCs w:val="21"/>
              </w:rPr>
            </w:pPr>
            <w:r>
              <w:rPr>
                <w:rFonts w:hint="eastAsia" w:hAnsi="宋体"/>
                <w:sz w:val="21"/>
                <w:szCs w:val="21"/>
                <w:lang w:bidi="ar"/>
              </w:rPr>
              <w:t>手机号码</w:t>
            </w:r>
          </w:p>
        </w:tc>
        <w:tc>
          <w:tcPr>
            <w:tcW w:w="2528"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CBE04AE">
            <w:pPr>
              <w:widowControl w:val="0"/>
              <w:jc w:val="center"/>
              <w:textAlignment w:val="auto"/>
              <w:rPr>
                <w:rFonts w:hint="eastAsia" w:hAnsi="宋体"/>
                <w:sz w:val="21"/>
                <w:szCs w:val="21"/>
              </w:rPr>
            </w:pPr>
          </w:p>
        </w:tc>
      </w:tr>
      <w:tr w14:paraId="702CF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9258" w:type="dxa"/>
            <w:gridSpan w:val="8"/>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2B761BA">
            <w:pPr>
              <w:widowControl w:val="0"/>
              <w:jc w:val="center"/>
              <w:textAlignment w:val="auto"/>
              <w:rPr>
                <w:rFonts w:hint="eastAsia" w:hAnsi="宋体"/>
                <w:sz w:val="21"/>
                <w:szCs w:val="21"/>
              </w:rPr>
            </w:pPr>
            <w:r>
              <w:rPr>
                <w:rFonts w:hint="eastAsia" w:hAnsi="宋体"/>
                <w:sz w:val="21"/>
                <w:szCs w:val="21"/>
                <w:lang w:bidi="ar"/>
              </w:rPr>
              <w:t>递交的证明材料原件如下：</w:t>
            </w:r>
          </w:p>
        </w:tc>
      </w:tr>
      <w:tr w14:paraId="46F2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8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70FF62B">
            <w:pPr>
              <w:widowControl w:val="0"/>
              <w:jc w:val="center"/>
              <w:textAlignment w:val="auto"/>
              <w:rPr>
                <w:rFonts w:hint="eastAsia" w:hAnsi="宋体"/>
                <w:sz w:val="21"/>
                <w:szCs w:val="21"/>
              </w:rPr>
            </w:pPr>
            <w:r>
              <w:rPr>
                <w:rFonts w:hint="eastAsia" w:hAnsi="宋体"/>
                <w:sz w:val="21"/>
                <w:szCs w:val="21"/>
                <w:lang w:bidi="ar"/>
              </w:rPr>
              <w:t>序号</w:t>
            </w:r>
          </w:p>
        </w:tc>
        <w:tc>
          <w:tcPr>
            <w:tcW w:w="5125" w:type="dxa"/>
            <w:gridSpan w:val="4"/>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A637337">
            <w:pPr>
              <w:widowControl w:val="0"/>
              <w:jc w:val="center"/>
              <w:textAlignment w:val="auto"/>
              <w:rPr>
                <w:rFonts w:hint="eastAsia" w:hAnsi="宋体"/>
                <w:sz w:val="21"/>
                <w:szCs w:val="21"/>
              </w:rPr>
            </w:pPr>
            <w:r>
              <w:rPr>
                <w:rFonts w:hint="eastAsia" w:hAnsi="宋体"/>
                <w:sz w:val="21"/>
                <w:szCs w:val="21"/>
                <w:lang w:bidi="ar"/>
              </w:rPr>
              <w:t>证明材料原件名称</w:t>
            </w:r>
          </w:p>
        </w:tc>
        <w:tc>
          <w:tcPr>
            <w:tcW w:w="1712"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447C32C">
            <w:pPr>
              <w:widowControl w:val="0"/>
              <w:jc w:val="center"/>
              <w:textAlignment w:val="auto"/>
              <w:rPr>
                <w:rFonts w:hint="eastAsia" w:hAnsi="宋体"/>
                <w:sz w:val="21"/>
                <w:szCs w:val="21"/>
              </w:rPr>
            </w:pPr>
            <w:r>
              <w:rPr>
                <w:rFonts w:hint="eastAsia" w:hAnsi="宋体"/>
                <w:sz w:val="21"/>
                <w:szCs w:val="21"/>
                <w:lang w:bidi="ar"/>
              </w:rPr>
              <w:t>单位</w:t>
            </w:r>
          </w:p>
        </w:tc>
        <w:tc>
          <w:tcPr>
            <w:tcW w:w="157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0173FAE">
            <w:pPr>
              <w:widowControl w:val="0"/>
              <w:jc w:val="center"/>
              <w:textAlignment w:val="auto"/>
              <w:rPr>
                <w:rFonts w:hint="eastAsia" w:hAnsi="宋体"/>
                <w:sz w:val="21"/>
                <w:szCs w:val="21"/>
              </w:rPr>
            </w:pPr>
            <w:r>
              <w:rPr>
                <w:rFonts w:hint="eastAsia" w:hAnsi="宋体"/>
                <w:sz w:val="21"/>
                <w:szCs w:val="21"/>
                <w:lang w:bidi="ar"/>
              </w:rPr>
              <w:t>数量</w:t>
            </w:r>
          </w:p>
        </w:tc>
      </w:tr>
      <w:tr w14:paraId="378C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8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FBF0AE1">
            <w:pPr>
              <w:widowControl w:val="0"/>
              <w:jc w:val="center"/>
              <w:textAlignment w:val="auto"/>
              <w:rPr>
                <w:rFonts w:hint="eastAsia" w:hAnsi="宋体"/>
                <w:sz w:val="21"/>
                <w:szCs w:val="21"/>
              </w:rPr>
            </w:pPr>
            <w:r>
              <w:rPr>
                <w:rFonts w:hint="eastAsia" w:hAnsi="宋体"/>
                <w:sz w:val="21"/>
                <w:szCs w:val="21"/>
                <w:lang w:bidi="ar"/>
              </w:rPr>
              <w:t>1</w:t>
            </w:r>
          </w:p>
        </w:tc>
        <w:tc>
          <w:tcPr>
            <w:tcW w:w="5125" w:type="dxa"/>
            <w:gridSpan w:val="4"/>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F1146FD">
            <w:pPr>
              <w:widowControl w:val="0"/>
              <w:jc w:val="center"/>
              <w:textAlignment w:val="auto"/>
              <w:rPr>
                <w:rFonts w:hint="eastAsia" w:hAnsi="宋体"/>
                <w:sz w:val="21"/>
                <w:szCs w:val="21"/>
              </w:rPr>
            </w:pPr>
          </w:p>
        </w:tc>
        <w:tc>
          <w:tcPr>
            <w:tcW w:w="1712"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4DD0518">
            <w:pPr>
              <w:widowControl w:val="0"/>
              <w:jc w:val="center"/>
              <w:textAlignment w:val="auto"/>
              <w:rPr>
                <w:rFonts w:hint="eastAsia" w:hAnsi="宋体"/>
                <w:sz w:val="21"/>
                <w:szCs w:val="21"/>
              </w:rPr>
            </w:pPr>
          </w:p>
        </w:tc>
        <w:tc>
          <w:tcPr>
            <w:tcW w:w="157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E193180">
            <w:pPr>
              <w:widowControl w:val="0"/>
              <w:jc w:val="center"/>
              <w:textAlignment w:val="auto"/>
              <w:rPr>
                <w:rFonts w:hint="eastAsia" w:hAnsi="宋体"/>
                <w:sz w:val="21"/>
                <w:szCs w:val="21"/>
              </w:rPr>
            </w:pPr>
          </w:p>
        </w:tc>
      </w:tr>
      <w:tr w14:paraId="01F0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8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0F27B81">
            <w:pPr>
              <w:widowControl w:val="0"/>
              <w:jc w:val="center"/>
              <w:textAlignment w:val="auto"/>
              <w:rPr>
                <w:rFonts w:hint="eastAsia" w:hAnsi="宋体"/>
                <w:sz w:val="21"/>
                <w:szCs w:val="21"/>
              </w:rPr>
            </w:pPr>
            <w:r>
              <w:rPr>
                <w:rFonts w:hint="eastAsia" w:hAnsi="宋体"/>
                <w:sz w:val="21"/>
                <w:szCs w:val="21"/>
                <w:lang w:bidi="ar"/>
              </w:rPr>
              <w:t>2</w:t>
            </w:r>
          </w:p>
        </w:tc>
        <w:tc>
          <w:tcPr>
            <w:tcW w:w="5125" w:type="dxa"/>
            <w:gridSpan w:val="4"/>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178C486">
            <w:pPr>
              <w:widowControl w:val="0"/>
              <w:jc w:val="center"/>
              <w:textAlignment w:val="auto"/>
              <w:rPr>
                <w:rFonts w:hint="eastAsia" w:hAnsi="宋体"/>
                <w:sz w:val="21"/>
                <w:szCs w:val="21"/>
              </w:rPr>
            </w:pPr>
          </w:p>
        </w:tc>
        <w:tc>
          <w:tcPr>
            <w:tcW w:w="1712"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1183F83">
            <w:pPr>
              <w:widowControl w:val="0"/>
              <w:jc w:val="center"/>
              <w:textAlignment w:val="auto"/>
              <w:rPr>
                <w:rFonts w:hint="eastAsia" w:hAnsi="宋体"/>
                <w:sz w:val="21"/>
                <w:szCs w:val="21"/>
              </w:rPr>
            </w:pPr>
          </w:p>
        </w:tc>
        <w:tc>
          <w:tcPr>
            <w:tcW w:w="157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A4987F0">
            <w:pPr>
              <w:widowControl w:val="0"/>
              <w:jc w:val="center"/>
              <w:textAlignment w:val="auto"/>
              <w:rPr>
                <w:rFonts w:hint="eastAsia" w:hAnsi="宋体"/>
                <w:sz w:val="21"/>
                <w:szCs w:val="21"/>
              </w:rPr>
            </w:pPr>
          </w:p>
        </w:tc>
      </w:tr>
      <w:tr w14:paraId="229BB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8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29CEE8B">
            <w:pPr>
              <w:widowControl w:val="0"/>
              <w:jc w:val="center"/>
              <w:textAlignment w:val="auto"/>
              <w:rPr>
                <w:rFonts w:hint="eastAsia" w:hAnsi="宋体"/>
                <w:sz w:val="21"/>
                <w:szCs w:val="21"/>
              </w:rPr>
            </w:pPr>
            <w:r>
              <w:rPr>
                <w:rFonts w:hint="eastAsia" w:hAnsi="宋体"/>
                <w:sz w:val="21"/>
                <w:szCs w:val="21"/>
                <w:lang w:bidi="ar"/>
              </w:rPr>
              <w:t>3</w:t>
            </w:r>
          </w:p>
        </w:tc>
        <w:tc>
          <w:tcPr>
            <w:tcW w:w="5125" w:type="dxa"/>
            <w:gridSpan w:val="4"/>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977FDFA">
            <w:pPr>
              <w:widowControl w:val="0"/>
              <w:jc w:val="center"/>
              <w:textAlignment w:val="auto"/>
              <w:rPr>
                <w:rFonts w:hint="eastAsia" w:hAnsi="宋体"/>
                <w:sz w:val="21"/>
                <w:szCs w:val="21"/>
              </w:rPr>
            </w:pPr>
          </w:p>
        </w:tc>
        <w:tc>
          <w:tcPr>
            <w:tcW w:w="1712"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B572221">
            <w:pPr>
              <w:widowControl w:val="0"/>
              <w:jc w:val="center"/>
              <w:textAlignment w:val="auto"/>
              <w:rPr>
                <w:rFonts w:hint="eastAsia" w:hAnsi="宋体"/>
                <w:sz w:val="21"/>
                <w:szCs w:val="21"/>
              </w:rPr>
            </w:pPr>
          </w:p>
        </w:tc>
        <w:tc>
          <w:tcPr>
            <w:tcW w:w="157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8C542AC">
            <w:pPr>
              <w:widowControl w:val="0"/>
              <w:jc w:val="center"/>
              <w:textAlignment w:val="auto"/>
              <w:rPr>
                <w:rFonts w:hint="eastAsia" w:hAnsi="宋体"/>
                <w:sz w:val="21"/>
                <w:szCs w:val="21"/>
              </w:rPr>
            </w:pPr>
          </w:p>
        </w:tc>
      </w:tr>
      <w:tr w14:paraId="3728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8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A9E043B">
            <w:pPr>
              <w:widowControl w:val="0"/>
              <w:jc w:val="center"/>
              <w:textAlignment w:val="auto"/>
              <w:rPr>
                <w:rFonts w:hint="eastAsia" w:hAnsi="宋体"/>
                <w:sz w:val="21"/>
                <w:szCs w:val="21"/>
              </w:rPr>
            </w:pPr>
            <w:r>
              <w:rPr>
                <w:rFonts w:hint="eastAsia" w:hAnsi="宋体"/>
                <w:sz w:val="21"/>
                <w:szCs w:val="21"/>
                <w:lang w:bidi="ar"/>
              </w:rPr>
              <w:t>...</w:t>
            </w:r>
          </w:p>
        </w:tc>
        <w:tc>
          <w:tcPr>
            <w:tcW w:w="5125" w:type="dxa"/>
            <w:gridSpan w:val="4"/>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B1536CF">
            <w:pPr>
              <w:widowControl w:val="0"/>
              <w:jc w:val="center"/>
              <w:textAlignment w:val="auto"/>
              <w:rPr>
                <w:rFonts w:hint="eastAsia" w:hAnsi="宋体"/>
                <w:sz w:val="21"/>
                <w:szCs w:val="21"/>
              </w:rPr>
            </w:pPr>
          </w:p>
        </w:tc>
        <w:tc>
          <w:tcPr>
            <w:tcW w:w="1712"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7E461D6">
            <w:pPr>
              <w:widowControl w:val="0"/>
              <w:jc w:val="center"/>
              <w:textAlignment w:val="auto"/>
              <w:rPr>
                <w:rFonts w:hint="eastAsia" w:hAnsi="宋体"/>
                <w:sz w:val="21"/>
                <w:szCs w:val="21"/>
              </w:rPr>
            </w:pPr>
          </w:p>
        </w:tc>
        <w:tc>
          <w:tcPr>
            <w:tcW w:w="157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F8A4940">
            <w:pPr>
              <w:widowControl w:val="0"/>
              <w:jc w:val="center"/>
              <w:textAlignment w:val="auto"/>
              <w:rPr>
                <w:rFonts w:hint="eastAsia" w:hAnsi="宋体"/>
                <w:sz w:val="21"/>
                <w:szCs w:val="21"/>
              </w:rPr>
            </w:pPr>
            <w:r>
              <w:rPr>
                <w:rFonts w:hint="eastAsia" w:hAnsi="宋体"/>
                <w:sz w:val="21"/>
                <w:szCs w:val="21"/>
                <w:lang w:bidi="ar"/>
              </w:rPr>
              <w:t>　</w:t>
            </w:r>
          </w:p>
        </w:tc>
      </w:tr>
      <w:tr w14:paraId="3582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78" w:hRule="atLeast"/>
        </w:trPr>
        <w:tc>
          <w:tcPr>
            <w:tcW w:w="8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95BC331">
            <w:pPr>
              <w:widowControl w:val="0"/>
              <w:ind w:left="8" w:hanging="94"/>
              <w:jc w:val="center"/>
              <w:textAlignment w:val="auto"/>
              <w:rPr>
                <w:rFonts w:hint="eastAsia" w:hAnsi="宋体"/>
                <w:sz w:val="21"/>
                <w:szCs w:val="21"/>
              </w:rPr>
            </w:pPr>
            <w:r>
              <w:rPr>
                <w:rFonts w:hint="eastAsia" w:hAnsi="宋体"/>
                <w:sz w:val="21"/>
                <w:szCs w:val="21"/>
                <w:lang w:bidi="ar"/>
              </w:rPr>
              <w:t>注意：</w:t>
            </w:r>
          </w:p>
        </w:tc>
        <w:tc>
          <w:tcPr>
            <w:tcW w:w="8407" w:type="dxa"/>
            <w:gridSpan w:val="7"/>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05C06EB">
            <w:pPr>
              <w:widowControl w:val="0"/>
              <w:ind w:firstLine="480"/>
              <w:textAlignment w:val="auto"/>
              <w:rPr>
                <w:rFonts w:hint="eastAsia" w:hAnsi="宋体"/>
                <w:sz w:val="21"/>
                <w:szCs w:val="21"/>
              </w:rPr>
            </w:pPr>
            <w:r>
              <w:rPr>
                <w:rFonts w:hint="eastAsia" w:hAnsi="宋体"/>
                <w:sz w:val="21"/>
                <w:szCs w:val="21"/>
                <w:lang w:bidi="ar"/>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0BE1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53" w:hRule="atLeast"/>
        </w:trPr>
        <w:tc>
          <w:tcPr>
            <w:tcW w:w="2357"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E80E627">
            <w:pPr>
              <w:widowControl w:val="0"/>
              <w:jc w:val="center"/>
              <w:textAlignment w:val="auto"/>
              <w:rPr>
                <w:rFonts w:hint="eastAsia" w:hAnsi="宋体"/>
                <w:sz w:val="21"/>
                <w:szCs w:val="21"/>
              </w:rPr>
            </w:pPr>
          </w:p>
          <w:p w14:paraId="120A5225">
            <w:pPr>
              <w:widowControl w:val="0"/>
              <w:jc w:val="center"/>
              <w:textAlignment w:val="auto"/>
              <w:rPr>
                <w:rFonts w:hint="eastAsia" w:hAnsi="宋体"/>
                <w:sz w:val="21"/>
                <w:szCs w:val="21"/>
                <w:lang w:bidi="ar"/>
              </w:rPr>
            </w:pPr>
            <w:r>
              <w:rPr>
                <w:rFonts w:hint="eastAsia" w:hAnsi="宋体"/>
                <w:sz w:val="21"/>
                <w:szCs w:val="21"/>
                <w:lang w:bidi="ar"/>
              </w:rPr>
              <w:t>接收原件经办人</w:t>
            </w:r>
          </w:p>
          <w:p w14:paraId="30FDFF1A">
            <w:pPr>
              <w:widowControl w:val="0"/>
              <w:jc w:val="center"/>
              <w:textAlignment w:val="auto"/>
              <w:rPr>
                <w:rFonts w:hint="eastAsia" w:hAnsi="宋体"/>
                <w:sz w:val="21"/>
                <w:szCs w:val="21"/>
              </w:rPr>
            </w:pPr>
            <w:r>
              <w:rPr>
                <w:rFonts w:hint="eastAsia" w:hAnsi="宋体"/>
                <w:sz w:val="21"/>
                <w:szCs w:val="21"/>
                <w:lang w:bidi="ar"/>
              </w:rPr>
              <w:t>（招标代理）：</w:t>
            </w:r>
          </w:p>
        </w:tc>
        <w:tc>
          <w:tcPr>
            <w:tcW w:w="1994"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B3061FD">
            <w:pPr>
              <w:widowControl w:val="0"/>
              <w:jc w:val="center"/>
              <w:textAlignment w:val="auto"/>
              <w:rPr>
                <w:rFonts w:hint="eastAsia" w:hAnsi="宋体"/>
                <w:sz w:val="21"/>
                <w:szCs w:val="21"/>
              </w:rPr>
            </w:pPr>
          </w:p>
        </w:tc>
        <w:tc>
          <w:tcPr>
            <w:tcW w:w="1625"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A2BDCB6">
            <w:pPr>
              <w:widowControl w:val="0"/>
              <w:jc w:val="center"/>
              <w:textAlignment w:val="auto"/>
              <w:rPr>
                <w:rFonts w:hint="eastAsia" w:hAnsi="宋体"/>
                <w:sz w:val="21"/>
                <w:szCs w:val="21"/>
              </w:rPr>
            </w:pPr>
            <w:r>
              <w:rPr>
                <w:rFonts w:hint="eastAsia" w:hAnsi="宋体"/>
                <w:sz w:val="21"/>
                <w:szCs w:val="21"/>
                <w:lang w:bidi="ar"/>
              </w:rPr>
              <w:t>接收时间：</w:t>
            </w:r>
          </w:p>
        </w:tc>
        <w:tc>
          <w:tcPr>
            <w:tcW w:w="3282" w:type="dxa"/>
            <w:gridSpan w:val="3"/>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FBEF5A0">
            <w:pPr>
              <w:widowControl w:val="0"/>
              <w:ind w:firstLine="630" w:firstLineChars="300"/>
              <w:jc w:val="left"/>
              <w:textAlignment w:val="auto"/>
              <w:rPr>
                <w:rFonts w:hint="eastAsia" w:hAnsi="宋体"/>
                <w:sz w:val="21"/>
                <w:szCs w:val="21"/>
              </w:rPr>
            </w:pPr>
            <w:r>
              <w:rPr>
                <w:rFonts w:hint="eastAsia" w:hAnsi="宋体"/>
                <w:sz w:val="21"/>
                <w:szCs w:val="21"/>
                <w:lang w:bidi="ar"/>
              </w:rPr>
              <w:t>年   月   日   时  分</w:t>
            </w:r>
          </w:p>
        </w:tc>
      </w:tr>
      <w:tr w14:paraId="572B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90" w:hRule="atLeast"/>
        </w:trPr>
        <w:tc>
          <w:tcPr>
            <w:tcW w:w="2357"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57C8DD1">
            <w:pPr>
              <w:widowControl w:val="0"/>
              <w:jc w:val="center"/>
              <w:textAlignment w:val="auto"/>
              <w:rPr>
                <w:rFonts w:hint="eastAsia" w:hAnsi="宋体"/>
                <w:sz w:val="21"/>
                <w:szCs w:val="21"/>
                <w:lang w:bidi="ar"/>
              </w:rPr>
            </w:pPr>
            <w:r>
              <w:rPr>
                <w:rFonts w:hint="eastAsia" w:hAnsi="宋体"/>
                <w:sz w:val="21"/>
                <w:szCs w:val="21"/>
                <w:lang w:bidi="ar"/>
              </w:rPr>
              <w:t>退还原件接收人</w:t>
            </w:r>
          </w:p>
          <w:p w14:paraId="465982F6">
            <w:pPr>
              <w:widowControl w:val="0"/>
              <w:jc w:val="center"/>
              <w:textAlignment w:val="auto"/>
              <w:rPr>
                <w:rFonts w:hint="eastAsia" w:hAnsi="宋体"/>
                <w:sz w:val="21"/>
                <w:szCs w:val="21"/>
              </w:rPr>
            </w:pPr>
            <w:r>
              <w:rPr>
                <w:rFonts w:hint="eastAsia" w:hAnsi="宋体"/>
                <w:sz w:val="21"/>
                <w:szCs w:val="21"/>
                <w:lang w:bidi="ar"/>
              </w:rPr>
              <w:t>（投标人）：</w:t>
            </w:r>
          </w:p>
        </w:tc>
        <w:tc>
          <w:tcPr>
            <w:tcW w:w="1994"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301F0E7">
            <w:pPr>
              <w:widowControl w:val="0"/>
              <w:jc w:val="center"/>
              <w:textAlignment w:val="auto"/>
              <w:rPr>
                <w:rFonts w:hint="eastAsia" w:hAnsi="宋体"/>
                <w:sz w:val="21"/>
                <w:szCs w:val="21"/>
              </w:rPr>
            </w:pPr>
          </w:p>
        </w:tc>
        <w:tc>
          <w:tcPr>
            <w:tcW w:w="1625"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C83D072">
            <w:pPr>
              <w:widowControl w:val="0"/>
              <w:jc w:val="center"/>
              <w:textAlignment w:val="auto"/>
              <w:rPr>
                <w:rFonts w:hint="eastAsia" w:hAnsi="宋体"/>
                <w:sz w:val="21"/>
                <w:szCs w:val="21"/>
              </w:rPr>
            </w:pPr>
            <w:r>
              <w:rPr>
                <w:rFonts w:hint="eastAsia" w:hAnsi="宋体"/>
                <w:sz w:val="21"/>
                <w:szCs w:val="21"/>
                <w:lang w:bidi="ar"/>
              </w:rPr>
              <w:t>退还时间：</w:t>
            </w:r>
          </w:p>
        </w:tc>
        <w:tc>
          <w:tcPr>
            <w:tcW w:w="3282" w:type="dxa"/>
            <w:gridSpan w:val="3"/>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7E06913">
            <w:pPr>
              <w:widowControl w:val="0"/>
              <w:ind w:firstLine="630" w:firstLineChars="300"/>
              <w:jc w:val="left"/>
              <w:textAlignment w:val="auto"/>
              <w:rPr>
                <w:rFonts w:hint="eastAsia" w:hAnsi="宋体"/>
                <w:sz w:val="21"/>
                <w:szCs w:val="21"/>
              </w:rPr>
            </w:pPr>
            <w:r>
              <w:rPr>
                <w:rFonts w:hint="eastAsia" w:hAnsi="宋体"/>
                <w:sz w:val="21"/>
                <w:szCs w:val="21"/>
                <w:lang w:bidi="ar"/>
              </w:rPr>
              <w:t>年   月   日   时   分</w:t>
            </w:r>
          </w:p>
        </w:tc>
      </w:tr>
    </w:tbl>
    <w:p w14:paraId="48200446">
      <w:pPr>
        <w:pStyle w:val="2"/>
        <w:spacing w:before="0" w:after="0" w:line="360" w:lineRule="auto"/>
        <w:ind w:firstLine="720" w:firstLineChars="300"/>
        <w:rPr>
          <w:rFonts w:hint="eastAsia" w:ascii="宋体" w:hAnsi="宋体"/>
        </w:rPr>
      </w:pPr>
    </w:p>
    <w:p w14:paraId="0F50C3DB">
      <w:pPr>
        <w:rPr>
          <w:rStyle w:val="28"/>
          <w:rFonts w:hint="eastAsia" w:hAnsi="宋体"/>
          <w:b/>
          <w:bCs/>
          <w:kern w:val="0"/>
          <w:sz w:val="21"/>
          <w:szCs w:val="21"/>
        </w:rPr>
      </w:pPr>
      <w:bookmarkStart w:id="736" w:name="_Toc3970"/>
      <w:bookmarkStart w:id="737" w:name="_Toc31994"/>
      <w:r>
        <w:rPr>
          <w:rStyle w:val="28"/>
          <w:rFonts w:hint="eastAsia" w:hAnsi="宋体"/>
          <w:b/>
          <w:bCs/>
          <w:kern w:val="0"/>
          <w:sz w:val="21"/>
          <w:szCs w:val="21"/>
        </w:rPr>
        <w:br w:type="page"/>
      </w:r>
    </w:p>
    <w:bookmarkEnd w:id="736"/>
    <w:bookmarkEnd w:id="737"/>
    <w:p w14:paraId="2876548B">
      <w:pPr>
        <w:pStyle w:val="3"/>
        <w:spacing w:line="360" w:lineRule="auto"/>
        <w:jc w:val="center"/>
        <w:rPr>
          <w:rStyle w:val="28"/>
          <w:rFonts w:hint="eastAsia" w:hAnsi="宋体"/>
          <w:bCs/>
        </w:rPr>
      </w:pPr>
      <w:bookmarkStart w:id="738" w:name="_Toc21644"/>
      <w:bookmarkStart w:id="739" w:name="_Toc15707"/>
      <w:bookmarkStart w:id="740" w:name="_Toc26911"/>
      <w:bookmarkStart w:id="741" w:name="_Toc30092"/>
      <w:bookmarkStart w:id="742" w:name="_Toc9141"/>
      <w:bookmarkStart w:id="743" w:name="_Toc4456"/>
      <w:bookmarkStart w:id="744" w:name="_Toc11747"/>
      <w:bookmarkStart w:id="745" w:name="_Toc27446"/>
      <w:bookmarkStart w:id="746" w:name="_Toc31153"/>
      <w:bookmarkStart w:id="747" w:name="_Toc10942"/>
      <w:bookmarkStart w:id="748" w:name="_Toc16478"/>
      <w:bookmarkStart w:id="749" w:name="_Toc9142"/>
      <w:bookmarkStart w:id="750" w:name="_Toc23839"/>
      <w:bookmarkStart w:id="751" w:name="_Toc30888"/>
      <w:bookmarkStart w:id="752" w:name="_Toc14444"/>
      <w:r>
        <w:rPr>
          <w:rStyle w:val="28"/>
          <w:rFonts w:hint="eastAsia" w:hAnsi="宋体"/>
          <w:bCs/>
        </w:rPr>
        <w:t>第七章 定标文件格式</w:t>
      </w:r>
      <w:bookmarkEnd w:id="738"/>
      <w:bookmarkEnd w:id="739"/>
    </w:p>
    <w:p w14:paraId="5E9623DF">
      <w:pPr>
        <w:pStyle w:val="5"/>
        <w:spacing w:line="360" w:lineRule="auto"/>
        <w:ind w:firstLine="0"/>
        <w:rPr>
          <w:rStyle w:val="63"/>
          <w:rFonts w:hint="eastAsia" w:ascii="宋体" w:hAnsi="宋体" w:eastAsia="宋体" w:cs="宋体"/>
          <w:b/>
          <w:bCs/>
          <w:sz w:val="21"/>
          <w:szCs w:val="21"/>
        </w:rPr>
      </w:pPr>
      <w:bookmarkStart w:id="753" w:name="_Toc17946"/>
      <w:bookmarkStart w:id="754" w:name="_Toc25574"/>
      <w:r>
        <w:rPr>
          <w:rStyle w:val="63"/>
          <w:rFonts w:hint="eastAsia" w:ascii="宋体" w:hAnsi="宋体" w:eastAsia="宋体" w:cs="宋体"/>
          <w:b/>
          <w:bCs/>
          <w:sz w:val="21"/>
          <w:szCs w:val="21"/>
        </w:rPr>
        <w:t>格式十六 定标文件封面</w:t>
      </w:r>
      <w:bookmarkEnd w:id="740"/>
      <w:bookmarkEnd w:id="741"/>
    </w:p>
    <w:bookmarkEnd w:id="742"/>
    <w:bookmarkEnd w:id="743"/>
    <w:bookmarkEnd w:id="744"/>
    <w:bookmarkEnd w:id="753"/>
    <w:bookmarkEnd w:id="754"/>
    <w:p w14:paraId="40EB17E0">
      <w:pPr>
        <w:pStyle w:val="55"/>
        <w:snapToGrid w:val="0"/>
        <w:rPr>
          <w:rStyle w:val="28"/>
          <w:rFonts w:hint="eastAsia" w:hAnsi="宋体"/>
          <w:b/>
          <w:bCs/>
          <w:sz w:val="24"/>
          <w:szCs w:val="24"/>
        </w:rPr>
      </w:pPr>
    </w:p>
    <w:p w14:paraId="15FFBB81">
      <w:pPr>
        <w:pStyle w:val="55"/>
        <w:snapToGrid w:val="0"/>
        <w:rPr>
          <w:rStyle w:val="28"/>
          <w:rFonts w:hint="eastAsia" w:hAnsi="宋体"/>
          <w:b/>
          <w:bCs/>
          <w:sz w:val="24"/>
          <w:szCs w:val="24"/>
        </w:rPr>
      </w:pPr>
    </w:p>
    <w:p w14:paraId="0EC8F026">
      <w:pPr>
        <w:pStyle w:val="55"/>
        <w:snapToGrid w:val="0"/>
        <w:rPr>
          <w:rStyle w:val="28"/>
          <w:rFonts w:hint="eastAsia" w:hAnsi="宋体"/>
          <w:b/>
          <w:bCs/>
          <w:sz w:val="24"/>
          <w:szCs w:val="24"/>
        </w:rPr>
      </w:pPr>
    </w:p>
    <w:p w14:paraId="4DB1A2B1">
      <w:pPr>
        <w:pStyle w:val="55"/>
        <w:snapToGrid w:val="0"/>
        <w:ind w:firstLine="0"/>
        <w:jc w:val="center"/>
        <w:rPr>
          <w:rStyle w:val="28"/>
          <w:rFonts w:hint="eastAsia" w:hAnsi="宋体"/>
          <w:b/>
          <w:bCs/>
          <w:sz w:val="48"/>
          <w:szCs w:val="48"/>
        </w:rPr>
      </w:pPr>
      <w:r>
        <w:rPr>
          <w:rStyle w:val="28"/>
          <w:rFonts w:hint="eastAsia" w:hAnsi="宋体"/>
          <w:sz w:val="48"/>
          <w:szCs w:val="48"/>
          <w:u w:val="single"/>
        </w:rPr>
        <w:t xml:space="preserve">             </w:t>
      </w:r>
      <w:r>
        <w:rPr>
          <w:rStyle w:val="28"/>
          <w:rFonts w:hint="eastAsia" w:hAnsi="宋体"/>
          <w:b/>
          <w:bCs/>
          <w:sz w:val="48"/>
          <w:szCs w:val="48"/>
        </w:rPr>
        <w:t xml:space="preserve">（工程名称）招标 </w:t>
      </w:r>
    </w:p>
    <w:p w14:paraId="32BB45AE">
      <w:pPr>
        <w:pStyle w:val="55"/>
        <w:snapToGrid w:val="0"/>
        <w:ind w:firstLine="0"/>
        <w:jc w:val="center"/>
        <w:rPr>
          <w:rStyle w:val="28"/>
          <w:rFonts w:hint="eastAsia" w:hAnsi="宋体"/>
          <w:b/>
          <w:bCs/>
          <w:sz w:val="32"/>
          <w:szCs w:val="32"/>
        </w:rPr>
      </w:pPr>
    </w:p>
    <w:p w14:paraId="556CF4D5">
      <w:pPr>
        <w:pStyle w:val="55"/>
        <w:snapToGrid w:val="0"/>
        <w:ind w:firstLine="0"/>
        <w:jc w:val="center"/>
        <w:rPr>
          <w:rStyle w:val="28"/>
          <w:rFonts w:hint="eastAsia" w:hAnsi="宋体"/>
          <w:b/>
          <w:bCs/>
          <w:sz w:val="72"/>
          <w:szCs w:val="72"/>
        </w:rPr>
      </w:pPr>
      <w:r>
        <w:rPr>
          <w:rStyle w:val="28"/>
          <w:rFonts w:hint="eastAsia" w:hAnsi="宋体"/>
          <w:b/>
          <w:bCs/>
          <w:sz w:val="72"/>
          <w:szCs w:val="72"/>
        </w:rPr>
        <w:t>定  标  文  件</w:t>
      </w:r>
    </w:p>
    <w:p w14:paraId="4FF97A4D">
      <w:pPr>
        <w:pStyle w:val="55"/>
        <w:snapToGrid w:val="0"/>
        <w:ind w:firstLine="0"/>
        <w:jc w:val="center"/>
        <w:rPr>
          <w:rStyle w:val="28"/>
          <w:rFonts w:hint="eastAsia" w:hAnsi="宋体"/>
          <w:b/>
          <w:bCs/>
          <w:sz w:val="32"/>
          <w:szCs w:val="32"/>
        </w:rPr>
      </w:pPr>
    </w:p>
    <w:p w14:paraId="30D5BD88">
      <w:pPr>
        <w:pStyle w:val="55"/>
        <w:snapToGrid w:val="0"/>
        <w:ind w:firstLine="0"/>
        <w:rPr>
          <w:rStyle w:val="28"/>
          <w:rFonts w:hint="eastAsia" w:hAnsi="宋体"/>
          <w:b/>
          <w:bCs/>
          <w:sz w:val="32"/>
          <w:szCs w:val="32"/>
        </w:rPr>
      </w:pPr>
    </w:p>
    <w:p w14:paraId="12D4D0EB">
      <w:pPr>
        <w:pStyle w:val="55"/>
        <w:snapToGrid w:val="0"/>
        <w:rPr>
          <w:rStyle w:val="28"/>
          <w:rFonts w:hint="eastAsia" w:hAnsi="宋体"/>
          <w:b/>
          <w:bCs/>
          <w:sz w:val="32"/>
          <w:szCs w:val="32"/>
        </w:rPr>
      </w:pPr>
    </w:p>
    <w:p w14:paraId="095F77EE">
      <w:pPr>
        <w:pStyle w:val="55"/>
        <w:snapToGrid w:val="0"/>
        <w:rPr>
          <w:rStyle w:val="28"/>
          <w:rFonts w:hint="eastAsia" w:hAnsi="宋体"/>
          <w:b/>
          <w:bCs/>
          <w:sz w:val="32"/>
          <w:szCs w:val="32"/>
        </w:rPr>
      </w:pPr>
    </w:p>
    <w:p w14:paraId="2E888D8D">
      <w:pPr>
        <w:pStyle w:val="55"/>
        <w:snapToGrid w:val="0"/>
        <w:ind w:firstLine="0"/>
        <w:jc w:val="center"/>
        <w:rPr>
          <w:rStyle w:val="28"/>
          <w:rFonts w:hint="eastAsia" w:hAnsi="宋体"/>
          <w:sz w:val="32"/>
          <w:szCs w:val="32"/>
        </w:rPr>
      </w:pPr>
      <w:r>
        <w:rPr>
          <w:rStyle w:val="28"/>
          <w:rFonts w:hint="eastAsia" w:hAnsi="宋体"/>
          <w:sz w:val="32"/>
          <w:szCs w:val="32"/>
        </w:rPr>
        <w:t>投标人：</w:t>
      </w:r>
      <w:r>
        <w:rPr>
          <w:rStyle w:val="28"/>
          <w:rFonts w:hint="eastAsia" w:hAnsi="宋体"/>
          <w:sz w:val="32"/>
          <w:szCs w:val="32"/>
          <w:u w:val="single"/>
        </w:rPr>
        <w:t xml:space="preserve">                                   </w:t>
      </w:r>
      <w:r>
        <w:rPr>
          <w:rStyle w:val="28"/>
          <w:rFonts w:hint="eastAsia" w:hAnsi="宋体"/>
          <w:sz w:val="32"/>
          <w:szCs w:val="32"/>
        </w:rPr>
        <w:t>（盖单位章）</w:t>
      </w:r>
    </w:p>
    <w:p w14:paraId="47AB1484">
      <w:pPr>
        <w:pStyle w:val="55"/>
        <w:snapToGrid w:val="0"/>
        <w:ind w:firstLine="0"/>
        <w:jc w:val="center"/>
        <w:rPr>
          <w:rStyle w:val="28"/>
          <w:rFonts w:hint="eastAsia" w:hAnsi="宋体"/>
          <w:sz w:val="32"/>
          <w:szCs w:val="32"/>
        </w:rPr>
      </w:pPr>
    </w:p>
    <w:p w14:paraId="093EF1EF">
      <w:pPr>
        <w:pStyle w:val="55"/>
        <w:snapToGrid w:val="0"/>
        <w:ind w:firstLine="0"/>
        <w:jc w:val="center"/>
        <w:rPr>
          <w:rStyle w:val="28"/>
          <w:rFonts w:hint="eastAsia" w:hAnsi="宋体"/>
          <w:sz w:val="32"/>
          <w:szCs w:val="32"/>
        </w:rPr>
      </w:pPr>
    </w:p>
    <w:p w14:paraId="4ED41977">
      <w:pPr>
        <w:pStyle w:val="55"/>
        <w:snapToGrid w:val="0"/>
        <w:ind w:firstLine="0"/>
        <w:jc w:val="center"/>
        <w:rPr>
          <w:rStyle w:val="28"/>
          <w:rFonts w:hint="eastAsia" w:hAnsi="宋体"/>
          <w:sz w:val="32"/>
          <w:szCs w:val="32"/>
        </w:rPr>
      </w:pPr>
    </w:p>
    <w:p w14:paraId="39E1DA8C">
      <w:pPr>
        <w:pStyle w:val="55"/>
        <w:snapToGrid w:val="0"/>
        <w:ind w:firstLine="0"/>
        <w:jc w:val="center"/>
        <w:rPr>
          <w:rStyle w:val="28"/>
          <w:rFonts w:hint="eastAsia" w:hAnsi="宋体"/>
          <w:sz w:val="32"/>
          <w:szCs w:val="32"/>
        </w:rPr>
      </w:pPr>
      <w:r>
        <w:rPr>
          <w:rStyle w:val="28"/>
          <w:rFonts w:hint="eastAsia" w:hAnsi="宋体"/>
          <w:sz w:val="32"/>
          <w:szCs w:val="32"/>
        </w:rPr>
        <w:t>法定代表人或其委托代理人：</w:t>
      </w:r>
      <w:r>
        <w:rPr>
          <w:rStyle w:val="28"/>
          <w:rFonts w:hint="eastAsia" w:hAnsi="宋体"/>
          <w:sz w:val="32"/>
          <w:szCs w:val="32"/>
          <w:u w:val="single"/>
        </w:rPr>
        <w:t xml:space="preserve">               </w:t>
      </w:r>
      <w:r>
        <w:rPr>
          <w:rStyle w:val="28"/>
          <w:rFonts w:hint="eastAsia" w:hAnsi="宋体"/>
          <w:sz w:val="32"/>
          <w:szCs w:val="32"/>
        </w:rPr>
        <w:t>（签字或盖章）</w:t>
      </w:r>
    </w:p>
    <w:p w14:paraId="288A116A">
      <w:pPr>
        <w:pStyle w:val="55"/>
        <w:snapToGrid w:val="0"/>
        <w:ind w:firstLine="0"/>
        <w:jc w:val="center"/>
        <w:rPr>
          <w:rStyle w:val="28"/>
          <w:rFonts w:hint="eastAsia" w:hAnsi="宋体"/>
          <w:sz w:val="32"/>
          <w:szCs w:val="32"/>
        </w:rPr>
      </w:pPr>
    </w:p>
    <w:p w14:paraId="53CAE034">
      <w:pPr>
        <w:pStyle w:val="55"/>
        <w:snapToGrid w:val="0"/>
        <w:ind w:firstLine="0"/>
        <w:jc w:val="center"/>
        <w:rPr>
          <w:rStyle w:val="28"/>
          <w:rFonts w:hint="eastAsia" w:hAnsi="宋体"/>
          <w:sz w:val="32"/>
          <w:szCs w:val="32"/>
          <w:u w:val="single"/>
        </w:rPr>
      </w:pPr>
    </w:p>
    <w:p w14:paraId="29081CC9">
      <w:pPr>
        <w:pStyle w:val="55"/>
        <w:snapToGrid w:val="0"/>
        <w:ind w:firstLine="0"/>
        <w:jc w:val="center"/>
        <w:rPr>
          <w:rStyle w:val="28"/>
          <w:rFonts w:hint="eastAsia" w:hAnsi="宋体"/>
          <w:b/>
          <w:bCs/>
        </w:rPr>
      </w:pPr>
      <w:r>
        <w:rPr>
          <w:rStyle w:val="28"/>
          <w:rFonts w:hint="eastAsia" w:hAnsi="宋体"/>
          <w:sz w:val="32"/>
          <w:szCs w:val="32"/>
          <w:u w:val="single"/>
        </w:rPr>
        <w:t xml:space="preserve">         </w:t>
      </w:r>
      <w:r>
        <w:rPr>
          <w:rStyle w:val="28"/>
          <w:rFonts w:hint="eastAsia" w:hAnsi="宋体"/>
          <w:sz w:val="32"/>
          <w:szCs w:val="32"/>
        </w:rPr>
        <w:t>年</w:t>
      </w:r>
      <w:r>
        <w:rPr>
          <w:rStyle w:val="28"/>
          <w:rFonts w:hint="eastAsia" w:hAnsi="宋体"/>
          <w:sz w:val="32"/>
          <w:szCs w:val="32"/>
          <w:u w:val="single"/>
        </w:rPr>
        <w:t xml:space="preserve">      </w:t>
      </w:r>
      <w:r>
        <w:rPr>
          <w:rStyle w:val="28"/>
          <w:rFonts w:hint="eastAsia" w:hAnsi="宋体"/>
          <w:sz w:val="32"/>
          <w:szCs w:val="32"/>
        </w:rPr>
        <w:t>月</w:t>
      </w:r>
      <w:r>
        <w:rPr>
          <w:rStyle w:val="28"/>
          <w:rFonts w:hint="eastAsia" w:hAnsi="宋体"/>
          <w:sz w:val="32"/>
          <w:szCs w:val="32"/>
          <w:u w:val="single"/>
        </w:rPr>
        <w:t xml:space="preserve">      </w:t>
      </w:r>
      <w:r>
        <w:rPr>
          <w:rStyle w:val="28"/>
          <w:rFonts w:hint="eastAsia" w:hAnsi="宋体"/>
          <w:sz w:val="32"/>
          <w:szCs w:val="32"/>
        </w:rPr>
        <w:t>日</w:t>
      </w:r>
    </w:p>
    <w:p w14:paraId="37450218">
      <w:pPr>
        <w:pStyle w:val="5"/>
        <w:spacing w:line="360" w:lineRule="auto"/>
        <w:ind w:firstLine="0"/>
        <w:rPr>
          <w:rStyle w:val="63"/>
          <w:rFonts w:hint="eastAsia" w:ascii="宋体" w:hAnsi="宋体" w:eastAsia="宋体" w:cs="宋体"/>
          <w:b/>
          <w:bCs/>
          <w:sz w:val="21"/>
          <w:szCs w:val="21"/>
        </w:rPr>
      </w:pPr>
      <w:bookmarkStart w:id="755" w:name="_Toc8230"/>
      <w:bookmarkStart w:id="756" w:name="_Toc30525"/>
      <w:bookmarkStart w:id="757" w:name="_Toc3976"/>
      <w:bookmarkStart w:id="758" w:name="_Toc27570"/>
      <w:bookmarkStart w:id="759" w:name="_Toc9943"/>
      <w:r>
        <w:rPr>
          <w:rStyle w:val="63"/>
          <w:rFonts w:hint="eastAsia" w:ascii="宋体" w:hAnsi="宋体" w:eastAsia="宋体" w:cs="宋体"/>
          <w:b/>
          <w:bCs/>
          <w:sz w:val="21"/>
          <w:szCs w:val="21"/>
        </w:rPr>
        <w:t>格式十七 助力项目承诺书</w:t>
      </w:r>
    </w:p>
    <w:bookmarkEnd w:id="755"/>
    <w:bookmarkEnd w:id="756"/>
    <w:bookmarkEnd w:id="757"/>
    <w:bookmarkEnd w:id="758"/>
    <w:bookmarkEnd w:id="759"/>
    <w:p w14:paraId="6D6E1999">
      <w:pPr>
        <w:widowControl w:val="0"/>
        <w:jc w:val="center"/>
        <w:textAlignment w:val="auto"/>
        <w:rPr>
          <w:rFonts w:hint="eastAsia" w:hAnsi="宋体"/>
          <w:b/>
          <w:bCs/>
        </w:rPr>
      </w:pPr>
      <w:r>
        <w:rPr>
          <w:rFonts w:hint="eastAsia" w:hAnsi="宋体"/>
          <w:b/>
          <w:bCs/>
        </w:rPr>
        <w:t>助力项目承诺书</w:t>
      </w:r>
    </w:p>
    <w:p w14:paraId="33D8FC57">
      <w:pPr>
        <w:widowControl w:val="0"/>
        <w:textAlignment w:val="auto"/>
        <w:rPr>
          <w:rFonts w:hint="eastAsia" w:hAnsi="宋体"/>
          <w:sz w:val="21"/>
          <w:szCs w:val="21"/>
        </w:rPr>
      </w:pPr>
      <w:r>
        <w:rPr>
          <w:rFonts w:hint="eastAsia" w:hAnsi="宋体"/>
          <w:sz w:val="21"/>
          <w:szCs w:val="21"/>
        </w:rPr>
        <w:t>致：</w:t>
      </w:r>
      <w:r>
        <w:rPr>
          <w:rFonts w:hint="eastAsia" w:hAnsi="宋体"/>
          <w:sz w:val="21"/>
          <w:szCs w:val="21"/>
          <w:u w:val="single"/>
        </w:rPr>
        <w:t xml:space="preserve">                      （招标人）</w:t>
      </w:r>
    </w:p>
    <w:p w14:paraId="265575E4">
      <w:pPr>
        <w:widowControl w:val="0"/>
        <w:ind w:firstLine="420" w:firstLineChars="200"/>
        <w:textAlignment w:val="auto"/>
        <w:rPr>
          <w:rFonts w:hint="eastAsia" w:hAnsi="宋体"/>
          <w:sz w:val="21"/>
          <w:szCs w:val="21"/>
        </w:rPr>
      </w:pPr>
      <w:r>
        <w:rPr>
          <w:rFonts w:hint="eastAsia" w:hAnsi="宋体"/>
          <w:sz w:val="21"/>
          <w:szCs w:val="21"/>
        </w:rPr>
        <w:t>为落实省委、省政府关于实施“百县千镇万村高质量发展工程”（以下简称“百千万工程”）工作部署以及省“百千万工程”指挥部关于建筑业企业“微利＋公益”参与“百千万工程”建设方式和《广东省“百县千镇万村高质量发展工程”指挥部城镇建设专班办公室印发关于推动建筑业央企助力“百千万工程”工作指引的通知》（粤城镇建设</w:t>
      </w:r>
      <w:r>
        <w:rPr>
          <w:rFonts w:hint="eastAsia" w:hAnsi="宋体"/>
          <w:kern w:val="0"/>
          <w:sz w:val="21"/>
          <w:szCs w:val="21"/>
        </w:rPr>
        <w:t>〔2024〕11号</w:t>
      </w:r>
      <w:r>
        <w:rPr>
          <w:rFonts w:hint="eastAsia" w:hAnsi="宋体"/>
          <w:sz w:val="21"/>
          <w:szCs w:val="21"/>
        </w:rPr>
        <w:t>）等工作要求，我公司将按要求完成中标项目的同时，自愿利用本企业的合理利润，积极做好助力项目建设，就此我方承诺如下：</w:t>
      </w:r>
    </w:p>
    <w:p w14:paraId="37986EF7">
      <w:pPr>
        <w:widowControl w:val="0"/>
        <w:ind w:firstLine="420" w:firstLineChars="200"/>
        <w:textAlignment w:val="auto"/>
        <w:rPr>
          <w:rFonts w:hint="eastAsia" w:hAnsi="宋体"/>
          <w:sz w:val="21"/>
          <w:szCs w:val="21"/>
        </w:rPr>
      </w:pPr>
      <w:r>
        <w:rPr>
          <w:rFonts w:hint="eastAsia" w:hAnsi="宋体"/>
          <w:sz w:val="21"/>
          <w:szCs w:val="21"/>
        </w:rPr>
        <w:t>1.我方愿以本项目</w:t>
      </w:r>
      <w:r>
        <w:rPr>
          <w:rFonts w:hint="eastAsia" w:hAnsi="宋体"/>
          <w:sz w:val="21"/>
          <w:szCs w:val="21"/>
          <w:lang w:eastAsia="zh-CN"/>
        </w:rPr>
        <w:t>最高投标限价</w:t>
      </w:r>
      <w:r>
        <w:rPr>
          <w:rFonts w:hint="eastAsia" w:hAnsi="宋体"/>
          <w:sz w:val="21"/>
          <w:szCs w:val="21"/>
          <w:u w:val="single"/>
        </w:rPr>
        <w:t xml:space="preserve">     </w:t>
      </w:r>
      <w:r>
        <w:rPr>
          <w:rFonts w:hint="eastAsia" w:hAnsi="宋体"/>
          <w:sz w:val="21"/>
          <w:szCs w:val="21"/>
        </w:rPr>
        <w:t>%的资金，用于助力“百千万工程”中的公益性项目建设，具体实施助力项目从各级“百千万工程”指挥部提供的项目建设清单（项目库）中选取。</w:t>
      </w:r>
    </w:p>
    <w:p w14:paraId="6DE5C9FA">
      <w:pPr>
        <w:widowControl w:val="0"/>
        <w:ind w:firstLine="420" w:firstLineChars="200"/>
        <w:textAlignment w:val="auto"/>
        <w:rPr>
          <w:rFonts w:hint="eastAsia" w:hAnsi="宋体"/>
          <w:sz w:val="21"/>
          <w:szCs w:val="21"/>
        </w:rPr>
      </w:pPr>
      <w:r>
        <w:rPr>
          <w:rFonts w:hint="eastAsia" w:hAnsi="宋体"/>
          <w:sz w:val="21"/>
          <w:szCs w:val="21"/>
        </w:rPr>
        <w:t>2.如我方中标，承诺完成助力项目建设所用的资金是本企业的自有资金，不使用中标项目内的资金作为助力项目建设资金。</w:t>
      </w:r>
    </w:p>
    <w:p w14:paraId="23826A44">
      <w:pPr>
        <w:widowControl w:val="0"/>
        <w:ind w:firstLine="420" w:firstLineChars="200"/>
        <w:textAlignment w:val="auto"/>
        <w:rPr>
          <w:rFonts w:hint="eastAsia" w:hAnsi="宋体"/>
          <w:sz w:val="21"/>
          <w:szCs w:val="21"/>
        </w:rPr>
      </w:pPr>
      <w:r>
        <w:rPr>
          <w:rFonts w:hint="eastAsia" w:hAnsi="宋体"/>
          <w:sz w:val="21"/>
          <w:szCs w:val="21"/>
        </w:rPr>
        <w:t>3.如我方中标，在中标项目发出中标通知书之日起至签订中标项目承包合同前，我方将按要求与助力项目业主单位按招标文件要求签订助力协议书，确定具体助力项目、投资额度、工期进度和质量标准等内容（含折算助力项目投资金额中的预扣减或扣减额处理办法）。</w:t>
      </w:r>
    </w:p>
    <w:p w14:paraId="5D3382A6">
      <w:pPr>
        <w:widowControl w:val="0"/>
        <w:ind w:firstLine="420" w:firstLineChars="200"/>
        <w:textAlignment w:val="auto"/>
        <w:rPr>
          <w:rFonts w:hint="eastAsia" w:hAnsi="宋体"/>
          <w:sz w:val="21"/>
          <w:szCs w:val="21"/>
        </w:rPr>
      </w:pPr>
      <w:r>
        <w:rPr>
          <w:rFonts w:hint="eastAsia" w:hAnsi="宋体"/>
          <w:sz w:val="21"/>
          <w:szCs w:val="21"/>
        </w:rPr>
        <w:t>4.如我方中标，我方将按照协议书要求做好助力项目建设工作，按时保质保量完成“百千万工程”助力任务并移交整个工程，确保助力项目质量达到合格标准，并承诺本工程的保修期按有关规定及双方签署的协议要求执行。同时，按规定做好助力项目结算工作。</w:t>
      </w:r>
    </w:p>
    <w:p w14:paraId="1C28133E">
      <w:pPr>
        <w:widowControl w:val="0"/>
        <w:ind w:firstLine="420" w:firstLineChars="200"/>
        <w:textAlignment w:val="auto"/>
        <w:rPr>
          <w:rFonts w:hint="eastAsia" w:hAnsi="宋体"/>
          <w:sz w:val="21"/>
          <w:szCs w:val="21"/>
        </w:rPr>
      </w:pPr>
      <w:r>
        <w:rPr>
          <w:rFonts w:hint="eastAsia" w:hAnsi="宋体"/>
          <w:sz w:val="21"/>
          <w:szCs w:val="21"/>
        </w:rPr>
        <w:t>5.如我方中标，将严格履行助力协议。招标人或助力项目业主单位发现我方有未按协议书履行投标助力承诺行为的，愿接受有关部门对我方进行诚信扣分及将有关失信行为上传信用广东和信用中国等诚信平台；对于有严重违反投标承诺，影响助力项目建设质量、进度或损害公共利益的，我方将接受依法依规作出的处理。</w:t>
      </w:r>
    </w:p>
    <w:p w14:paraId="4876EB71">
      <w:pPr>
        <w:pStyle w:val="8"/>
        <w:widowControl w:val="0"/>
        <w:ind w:firstLine="420" w:firstLineChars="200"/>
        <w:textAlignment w:val="auto"/>
        <w:rPr>
          <w:rFonts w:hint="eastAsia" w:hAnsi="宋体" w:cs="宋体"/>
          <w:sz w:val="21"/>
          <w:szCs w:val="21"/>
        </w:rPr>
      </w:pPr>
      <w:r>
        <w:rPr>
          <w:rFonts w:hint="eastAsia" w:hAnsi="宋体" w:cs="宋体"/>
          <w:sz w:val="21"/>
          <w:szCs w:val="21"/>
        </w:rPr>
        <w:t>6.我方同意在投标人须知规定的投标有效期内严格遵守本企业投标文件的各项承诺，如有违约，愿承担相应违约责任。</w:t>
      </w:r>
    </w:p>
    <w:p w14:paraId="1533378E">
      <w:pPr>
        <w:widowControl w:val="0"/>
        <w:ind w:firstLine="2879" w:firstLineChars="1371"/>
        <w:textAlignment w:val="auto"/>
        <w:rPr>
          <w:rFonts w:hint="eastAsia" w:hAnsi="宋体"/>
          <w:sz w:val="21"/>
          <w:szCs w:val="21"/>
        </w:rPr>
      </w:pPr>
      <w:r>
        <w:rPr>
          <w:rFonts w:hint="eastAsia" w:hAnsi="宋体"/>
          <w:sz w:val="21"/>
          <w:szCs w:val="21"/>
        </w:rPr>
        <w:t>投标人 ：</w:t>
      </w:r>
      <w:r>
        <w:rPr>
          <w:rFonts w:hint="eastAsia" w:hAnsi="宋体"/>
          <w:sz w:val="21"/>
          <w:szCs w:val="21"/>
          <w:u w:val="single"/>
        </w:rPr>
        <w:t xml:space="preserve">                    （</w:t>
      </w:r>
      <w:r>
        <w:rPr>
          <w:rFonts w:hint="eastAsia" w:hAnsi="宋体"/>
          <w:sz w:val="21"/>
          <w:szCs w:val="21"/>
        </w:rPr>
        <w:t>盖章）</w:t>
      </w:r>
    </w:p>
    <w:p w14:paraId="68E6EC78">
      <w:pPr>
        <w:widowControl w:val="0"/>
        <w:ind w:firstLine="2879" w:firstLineChars="1371"/>
        <w:textAlignment w:val="auto"/>
        <w:rPr>
          <w:rFonts w:hint="eastAsia" w:hAnsi="宋体"/>
          <w:sz w:val="21"/>
          <w:szCs w:val="21"/>
        </w:rPr>
      </w:pPr>
    </w:p>
    <w:p w14:paraId="7E0AA609">
      <w:pPr>
        <w:widowControl w:val="0"/>
        <w:ind w:firstLine="2879" w:firstLineChars="1371"/>
        <w:textAlignment w:val="auto"/>
        <w:rPr>
          <w:rFonts w:hint="eastAsia" w:hAnsi="宋体"/>
          <w:sz w:val="21"/>
          <w:szCs w:val="21"/>
        </w:rPr>
      </w:pPr>
      <w:r>
        <w:rPr>
          <w:rFonts w:hint="eastAsia" w:hAnsi="宋体"/>
          <w:sz w:val="21"/>
          <w:szCs w:val="21"/>
        </w:rPr>
        <w:t>法定代表人：</w:t>
      </w:r>
      <w:r>
        <w:rPr>
          <w:rFonts w:hint="eastAsia" w:hAnsi="宋体"/>
          <w:sz w:val="21"/>
          <w:szCs w:val="21"/>
          <w:u w:val="single"/>
        </w:rPr>
        <w:t xml:space="preserve">                </w:t>
      </w:r>
      <w:r>
        <w:rPr>
          <w:rFonts w:hint="eastAsia" w:hAnsi="宋体"/>
          <w:sz w:val="21"/>
          <w:szCs w:val="21"/>
        </w:rPr>
        <w:t>（</w:t>
      </w:r>
      <w:r>
        <w:rPr>
          <w:rStyle w:val="28"/>
          <w:rFonts w:hint="eastAsia" w:hAnsi="宋体"/>
          <w:kern w:val="0"/>
          <w:sz w:val="21"/>
          <w:szCs w:val="21"/>
        </w:rPr>
        <w:t>签字或盖章</w:t>
      </w:r>
      <w:r>
        <w:rPr>
          <w:rFonts w:hint="eastAsia" w:hAnsi="宋体"/>
          <w:sz w:val="21"/>
          <w:szCs w:val="21"/>
        </w:rPr>
        <w:t>）</w:t>
      </w:r>
    </w:p>
    <w:p w14:paraId="79909D6E">
      <w:pPr>
        <w:widowControl w:val="0"/>
        <w:ind w:firstLine="2879" w:firstLineChars="1371"/>
        <w:textAlignment w:val="auto"/>
        <w:rPr>
          <w:rFonts w:hint="eastAsia" w:hAnsi="宋体"/>
          <w:sz w:val="21"/>
          <w:szCs w:val="21"/>
        </w:rPr>
      </w:pPr>
    </w:p>
    <w:p w14:paraId="3BF47009">
      <w:pPr>
        <w:widowControl w:val="0"/>
        <w:ind w:firstLine="2879" w:firstLineChars="1371"/>
        <w:textAlignment w:val="auto"/>
        <w:rPr>
          <w:rFonts w:hint="eastAsia" w:hAnsi="宋体"/>
          <w:sz w:val="21"/>
          <w:szCs w:val="21"/>
        </w:rPr>
      </w:pPr>
      <w:r>
        <w:rPr>
          <w:rFonts w:hint="eastAsia" w:hAnsi="宋体"/>
          <w:sz w:val="21"/>
          <w:szCs w:val="21"/>
        </w:rPr>
        <w:t>日期：</w:t>
      </w:r>
      <w:r>
        <w:rPr>
          <w:rFonts w:hint="eastAsia" w:hAnsi="宋体"/>
          <w:sz w:val="21"/>
          <w:szCs w:val="21"/>
          <w:u w:val="single"/>
        </w:rPr>
        <w:t xml:space="preserve">       </w:t>
      </w:r>
      <w:r>
        <w:rPr>
          <w:rFonts w:hint="eastAsia" w:hAnsi="宋体"/>
          <w:sz w:val="21"/>
          <w:szCs w:val="21"/>
        </w:rPr>
        <w:t>年</w:t>
      </w:r>
      <w:r>
        <w:rPr>
          <w:rFonts w:hint="eastAsia" w:hAnsi="宋体"/>
          <w:sz w:val="21"/>
          <w:szCs w:val="21"/>
          <w:u w:val="single"/>
        </w:rPr>
        <w:t xml:space="preserve">    </w:t>
      </w:r>
      <w:r>
        <w:rPr>
          <w:rFonts w:hint="eastAsia" w:hAnsi="宋体"/>
          <w:sz w:val="21"/>
          <w:szCs w:val="21"/>
        </w:rPr>
        <w:t>月</w:t>
      </w:r>
      <w:r>
        <w:rPr>
          <w:rFonts w:hint="eastAsia" w:hAnsi="宋体"/>
          <w:sz w:val="21"/>
          <w:szCs w:val="21"/>
          <w:u w:val="single"/>
        </w:rPr>
        <w:t xml:space="preserve">    </w:t>
      </w:r>
      <w:r>
        <w:rPr>
          <w:rFonts w:hint="eastAsia" w:hAnsi="宋体"/>
          <w:sz w:val="21"/>
          <w:szCs w:val="21"/>
        </w:rPr>
        <w:t>日</w:t>
      </w:r>
    </w:p>
    <w:p w14:paraId="2B7AD27A">
      <w:pPr>
        <w:widowControl w:val="0"/>
        <w:textAlignment w:val="auto"/>
        <w:rPr>
          <w:rFonts w:hint="eastAsia" w:hAnsi="宋体"/>
          <w:sz w:val="21"/>
          <w:szCs w:val="21"/>
        </w:rPr>
      </w:pPr>
    </w:p>
    <w:p w14:paraId="21E9578E">
      <w:pPr>
        <w:widowControl w:val="0"/>
        <w:textAlignment w:val="auto"/>
        <w:rPr>
          <w:rFonts w:hint="eastAsia" w:hAnsi="宋体"/>
          <w:sz w:val="21"/>
          <w:szCs w:val="21"/>
        </w:rPr>
      </w:pPr>
      <w:r>
        <w:rPr>
          <w:rFonts w:hint="eastAsia" w:hAnsi="宋体"/>
          <w:sz w:val="21"/>
          <w:szCs w:val="21"/>
        </w:rPr>
        <w:t>注：上述承诺书中的企业社会贡献下浮率要使用阿拉伯数字填报，但不得填报负值。企业社会贡献下浮率没有填报任何数字的按无企业社会贡献处理。</w:t>
      </w:r>
    </w:p>
    <w:p w14:paraId="0FD0B622">
      <w:pPr>
        <w:outlineLvl w:val="2"/>
        <w:rPr>
          <w:rStyle w:val="63"/>
          <w:rFonts w:hint="eastAsia" w:ascii="宋体" w:hAnsi="宋体" w:eastAsia="宋体" w:cs="宋体"/>
          <w:bCs/>
          <w:sz w:val="21"/>
          <w:szCs w:val="21"/>
        </w:rPr>
      </w:pPr>
      <w:bookmarkStart w:id="760" w:name="_Toc21740"/>
      <w:bookmarkStart w:id="761" w:name="_Toc22084"/>
      <w:bookmarkStart w:id="762" w:name="_Toc22500"/>
      <w:bookmarkStart w:id="763" w:name="_Toc6621"/>
      <w:bookmarkStart w:id="764" w:name="_Toc4331"/>
      <w:r>
        <w:rPr>
          <w:rStyle w:val="63"/>
          <w:rFonts w:hint="eastAsia" w:ascii="宋体" w:hAnsi="宋体" w:eastAsia="宋体" w:cs="宋体"/>
          <w:bCs/>
          <w:sz w:val="21"/>
          <w:szCs w:val="21"/>
        </w:rPr>
        <w:t>格式十八 定标因素评审资料</w:t>
      </w:r>
    </w:p>
    <w:bookmarkEnd w:id="760"/>
    <w:bookmarkEnd w:id="761"/>
    <w:bookmarkEnd w:id="762"/>
    <w:bookmarkEnd w:id="763"/>
    <w:bookmarkEnd w:id="764"/>
    <w:p w14:paraId="54E7FE22">
      <w:pPr>
        <w:jc w:val="left"/>
        <w:rPr>
          <w:rFonts w:hint="eastAsia" w:hAnsi="宋体"/>
        </w:rPr>
      </w:pPr>
    </w:p>
    <w:p w14:paraId="630D38A3">
      <w:pPr>
        <w:widowControl w:val="0"/>
        <w:jc w:val="center"/>
        <w:textAlignment w:val="auto"/>
        <w:rPr>
          <w:rStyle w:val="28"/>
          <w:rFonts w:hint="eastAsia" w:hAnsi="宋体"/>
          <w:b/>
          <w:bCs/>
        </w:rPr>
      </w:pPr>
      <w:r>
        <w:rPr>
          <w:rFonts w:hint="eastAsia" w:hAnsi="宋体"/>
          <w:sz w:val="21"/>
          <w:szCs w:val="21"/>
        </w:rPr>
        <w:t>投标人根据“第一章 第五节 定标规定及细则”载明的定标因素，提交评审资料。</w:t>
      </w:r>
    </w:p>
    <w:p w14:paraId="0D42C0B3">
      <w:pPr>
        <w:rPr>
          <w:rStyle w:val="28"/>
          <w:rFonts w:hint="eastAsia" w:hAnsi="宋体"/>
          <w:b/>
          <w:bCs/>
        </w:rPr>
      </w:pPr>
      <w:r>
        <w:rPr>
          <w:rStyle w:val="28"/>
          <w:rFonts w:hint="eastAsia" w:hAnsi="宋体"/>
          <w:b/>
          <w:bCs/>
        </w:rPr>
        <w:br w:type="page"/>
      </w:r>
    </w:p>
    <w:p w14:paraId="54E753B1">
      <w:pPr>
        <w:pStyle w:val="31"/>
        <w:snapToGrid w:val="0"/>
        <w:jc w:val="center"/>
        <w:outlineLvl w:val="0"/>
        <w:rPr>
          <w:rStyle w:val="28"/>
          <w:rFonts w:hint="eastAsia" w:hAnsi="宋体"/>
          <w:b/>
          <w:bCs/>
          <w:sz w:val="24"/>
          <w:szCs w:val="24"/>
        </w:rPr>
      </w:pPr>
      <w:bookmarkStart w:id="765" w:name="_Toc23978"/>
      <w:bookmarkStart w:id="766" w:name="_Toc5933"/>
      <w:bookmarkStart w:id="767" w:name="_Toc12219"/>
      <w:bookmarkStart w:id="768" w:name="_Toc24765"/>
      <w:r>
        <w:rPr>
          <w:rStyle w:val="28"/>
          <w:rFonts w:hint="eastAsia" w:hAnsi="宋体"/>
          <w:b/>
          <w:bCs/>
          <w:sz w:val="24"/>
          <w:szCs w:val="24"/>
        </w:rPr>
        <w:t>第八章 建设工程施工合同</w:t>
      </w:r>
      <w:bookmarkEnd w:id="732"/>
      <w:bookmarkEnd w:id="745"/>
      <w:bookmarkEnd w:id="746"/>
      <w:bookmarkEnd w:id="747"/>
      <w:bookmarkEnd w:id="748"/>
      <w:bookmarkEnd w:id="749"/>
      <w:bookmarkEnd w:id="750"/>
      <w:bookmarkEnd w:id="751"/>
      <w:bookmarkEnd w:id="752"/>
      <w:bookmarkEnd w:id="765"/>
      <w:bookmarkEnd w:id="766"/>
      <w:bookmarkEnd w:id="767"/>
      <w:bookmarkEnd w:id="768"/>
    </w:p>
    <w:p w14:paraId="49827DC6">
      <w:pPr>
        <w:snapToGrid w:val="0"/>
        <w:rPr>
          <w:rStyle w:val="28"/>
          <w:rFonts w:hint="eastAsia" w:hAnsi="宋体"/>
          <w:kern w:val="0"/>
        </w:rPr>
      </w:pPr>
    </w:p>
    <w:p w14:paraId="2E1FF1EB">
      <w:pPr>
        <w:snapToGrid w:val="0"/>
        <w:rPr>
          <w:rStyle w:val="28"/>
          <w:rFonts w:hint="eastAsia" w:hAnsi="宋体"/>
          <w:strike/>
          <w:kern w:val="0"/>
        </w:rPr>
      </w:pPr>
      <w:r>
        <w:rPr>
          <w:rStyle w:val="28"/>
          <w:rFonts w:hint="eastAsia" w:hAnsi="宋体"/>
          <w:kern w:val="0"/>
        </w:rPr>
        <w:t xml:space="preserve">    </w:t>
      </w:r>
      <w:r>
        <w:rPr>
          <w:rFonts w:hint="eastAsia" w:hAnsi="宋体"/>
          <w:snapToGrid w:val="0"/>
          <w:kern w:val="0"/>
        </w:rPr>
        <w:t>（略），按《广东省建设工程标准施工合同》（2009年版）执行。</w:t>
      </w:r>
    </w:p>
    <w:p w14:paraId="1A9087CF">
      <w:pPr>
        <w:pStyle w:val="30"/>
        <w:spacing w:line="360" w:lineRule="auto"/>
        <w:ind w:firstLine="480"/>
        <w:rPr>
          <w:rStyle w:val="28"/>
          <w:rFonts w:hint="eastAsia" w:hAnsi="宋体"/>
        </w:rPr>
      </w:pPr>
    </w:p>
    <w:p w14:paraId="35B6D5F5">
      <w:pPr>
        <w:rPr>
          <w:rFonts w:hint="eastAsia" w:hAnsi="宋体"/>
        </w:rPr>
      </w:pPr>
    </w:p>
    <w:p w14:paraId="423AF5F7"/>
    <w:sectPr>
      <w:endnotePr>
        <w:numFmt w:val="decimal"/>
      </w:endnotePr>
      <w:pgSz w:w="11906" w:h="16838"/>
      <w:pgMar w:top="1701" w:right="1531" w:bottom="1417" w:left="1531" w:header="850" w:footer="992" w:gutter="0"/>
      <w:cols w:space="72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C90CE">
    <w:pPr>
      <w:pStyle w:val="12"/>
      <w:rPr>
        <w:rStyle w:val="28"/>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B7AB43">
                          <w:pPr>
                            <w:pStyle w:val="12"/>
                            <w:rPr>
                              <w:rStyle w:val="28"/>
                            </w:rPr>
                          </w:pPr>
                        </w:p>
                        <w:p w14:paraId="2B31F193">
                          <w:pPr>
                            <w:rPr>
                              <w:rStyle w:val="28"/>
                              <w:rFonts w:cs="Times New Roman"/>
                            </w:rPr>
                          </w:pPr>
                        </w:p>
                      </w:txbxContent>
                    </wps:txbx>
                    <wps:bodyPr lIns="0" tIns="0" rIns="0" bIns="0" upright="1"/>
                  </wps:wsp>
                </a:graphicData>
              </a:graphic>
            </wp:anchor>
          </w:drawing>
        </mc:Choice>
        <mc:Fallback>
          <w:pict>
            <v:shape id="_x0000_s1026"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ZpPZA&#10;0gAAAAUBAAAPAAAAAAAAAAEAIAAAACIAAABkcnMvZG93bnJldi54bWxQSwECFAAUAAAACACHTuJA&#10;RCCDNrUBAABzAwAADgAAAAAAAAABACAAAAAhAQAAZHJzL2Uyb0RvYy54bWxQSwUGAAAAAAYABgBZ&#10;AQAASAUAAAAA&#10;">
              <v:fill on="f" focussize="0,0"/>
              <v:stroke on="f"/>
              <v:imagedata o:title=""/>
              <o:lock v:ext="edit" aspectratio="f"/>
              <v:textbox inset="0mm,0mm,0mm,0mm">
                <w:txbxContent>
                  <w:p w14:paraId="12B7AB43">
                    <w:pPr>
                      <w:pStyle w:val="12"/>
                      <w:rPr>
                        <w:rStyle w:val="28"/>
                      </w:rPr>
                    </w:pPr>
                  </w:p>
                  <w:p w14:paraId="2B31F193">
                    <w:pPr>
                      <w:rPr>
                        <w:rStyle w:val="28"/>
                        <w:rFonts w:cs="Times New Roma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6BA3B">
    <w:pPr>
      <w:pStyle w:val="12"/>
      <w:rPr>
        <w:rStyle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9523F">
    <w:pPr>
      <w:pStyle w:val="12"/>
      <w:rPr>
        <w:rStyle w:val="28"/>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20CDB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3720CDB0">
                    <w:pPr>
                      <w:pStyle w:val="12"/>
                    </w:pPr>
                    <w:r>
                      <w:fldChar w:fldCharType="begin"/>
                    </w:r>
                    <w:r>
                      <w:instrText xml:space="preserve"> PAGE  \* MERGEFORMAT </w:instrText>
                    </w:r>
                    <w:r>
                      <w:fldChar w:fldCharType="separate"/>
                    </w:r>
                    <w:r>
                      <w:t>1</w:t>
                    </w:r>
                    <w:r>
                      <w:fldChar w:fldCharType="end"/>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AB58A">
                          <w:pPr>
                            <w:pStyle w:val="12"/>
                          </w:pPr>
                        </w:p>
                        <w:p w14:paraId="76634393"/>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3A8AB58A">
                    <w:pPr>
                      <w:pStyle w:val="12"/>
                    </w:pPr>
                  </w:p>
                  <w:p w14:paraId="76634393"/>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F6B080"/>
    <w:multiLevelType w:val="singleLevel"/>
    <w:tmpl w:val="C0F6B080"/>
    <w:lvl w:ilvl="0" w:tentative="0">
      <w:start w:val="4"/>
      <w:numFmt w:val="decimal"/>
      <w:suff w:val="nothing"/>
      <w:lvlText w:val="（%1）"/>
      <w:lvlJc w:val="left"/>
    </w:lvl>
  </w:abstractNum>
  <w:abstractNum w:abstractNumId="1">
    <w:nsid w:val="FEA9B3E2"/>
    <w:multiLevelType w:val="singleLevel"/>
    <w:tmpl w:val="FEA9B3E2"/>
    <w:lvl w:ilvl="0" w:tentative="0">
      <w:start w:val="5"/>
      <w:numFmt w:val="decimal"/>
      <w:suff w:val="space"/>
      <w:lvlText w:val="%1."/>
      <w:lvlJc w:val="left"/>
    </w:lvl>
  </w:abstractNum>
  <w:abstractNum w:abstractNumId="2">
    <w:nsid w:val="31D7F990"/>
    <w:multiLevelType w:val="singleLevel"/>
    <w:tmpl w:val="31D7F990"/>
    <w:lvl w:ilvl="0" w:tentative="0">
      <w:start w:val="1"/>
      <w:numFmt w:val="decimal"/>
      <w:suff w:val="space"/>
      <w:lvlText w:val="%1."/>
      <w:lvlJc w:val="left"/>
    </w:lvl>
  </w:abstractNum>
  <w:abstractNum w:abstractNumId="3">
    <w:nsid w:val="6ACA208B"/>
    <w:multiLevelType w:val="singleLevel"/>
    <w:tmpl w:val="6ACA208B"/>
    <w:lvl w:ilvl="0" w:tentative="0">
      <w:start w:val="1"/>
      <w:numFmt w:val="decimal"/>
      <w:suff w:val="space"/>
      <w:lvlText w:val="%1."/>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lZjFiZmI5NjQxYzVjYjAzNWI4ODRjMWFkMTZhYWQifQ=="/>
    <w:docVar w:name="KSO_WPS_MARK_KEY" w:val="53da331a-9d95-40b9-9dcd-d93580efb637"/>
  </w:docVars>
  <w:rsids>
    <w:rsidRoot w:val="7F243486"/>
    <w:rsid w:val="00046CA0"/>
    <w:rsid w:val="000C1FF9"/>
    <w:rsid w:val="003D6C7D"/>
    <w:rsid w:val="00494FFB"/>
    <w:rsid w:val="00522102"/>
    <w:rsid w:val="00557C79"/>
    <w:rsid w:val="00584408"/>
    <w:rsid w:val="006D5272"/>
    <w:rsid w:val="006E4A62"/>
    <w:rsid w:val="00726300"/>
    <w:rsid w:val="00A3295D"/>
    <w:rsid w:val="00A362E4"/>
    <w:rsid w:val="00A42012"/>
    <w:rsid w:val="00A805D8"/>
    <w:rsid w:val="00A83AD0"/>
    <w:rsid w:val="00B0507A"/>
    <w:rsid w:val="00C34DAD"/>
    <w:rsid w:val="00C72F9C"/>
    <w:rsid w:val="00CB3C62"/>
    <w:rsid w:val="00D70859"/>
    <w:rsid w:val="00D816E8"/>
    <w:rsid w:val="010B2CAF"/>
    <w:rsid w:val="013369C0"/>
    <w:rsid w:val="013A1260"/>
    <w:rsid w:val="01487BAE"/>
    <w:rsid w:val="014A4B87"/>
    <w:rsid w:val="01570714"/>
    <w:rsid w:val="01635C49"/>
    <w:rsid w:val="016634ED"/>
    <w:rsid w:val="016A347B"/>
    <w:rsid w:val="016A7AEE"/>
    <w:rsid w:val="01747E56"/>
    <w:rsid w:val="0183453D"/>
    <w:rsid w:val="0198094A"/>
    <w:rsid w:val="019D0F20"/>
    <w:rsid w:val="01AA7D1B"/>
    <w:rsid w:val="01B711E2"/>
    <w:rsid w:val="01C74429"/>
    <w:rsid w:val="01FA184C"/>
    <w:rsid w:val="021555D4"/>
    <w:rsid w:val="0216715F"/>
    <w:rsid w:val="02225B04"/>
    <w:rsid w:val="022A6766"/>
    <w:rsid w:val="022C3206"/>
    <w:rsid w:val="022D1F39"/>
    <w:rsid w:val="02301FCF"/>
    <w:rsid w:val="0233386D"/>
    <w:rsid w:val="023C4E17"/>
    <w:rsid w:val="02427F54"/>
    <w:rsid w:val="024308C4"/>
    <w:rsid w:val="02641C78"/>
    <w:rsid w:val="02717BDA"/>
    <w:rsid w:val="02865E25"/>
    <w:rsid w:val="028E13EB"/>
    <w:rsid w:val="02A1111E"/>
    <w:rsid w:val="02E37041"/>
    <w:rsid w:val="031B2C7F"/>
    <w:rsid w:val="032558AB"/>
    <w:rsid w:val="032B1BE2"/>
    <w:rsid w:val="034B0667"/>
    <w:rsid w:val="03667C72"/>
    <w:rsid w:val="036A1510"/>
    <w:rsid w:val="036E75EB"/>
    <w:rsid w:val="037E70A0"/>
    <w:rsid w:val="03887BE8"/>
    <w:rsid w:val="03B64756"/>
    <w:rsid w:val="03BB6A24"/>
    <w:rsid w:val="03DB41BC"/>
    <w:rsid w:val="03E90D63"/>
    <w:rsid w:val="03F03CDA"/>
    <w:rsid w:val="03FD54C6"/>
    <w:rsid w:val="040E65FA"/>
    <w:rsid w:val="04155920"/>
    <w:rsid w:val="0418063B"/>
    <w:rsid w:val="045521C0"/>
    <w:rsid w:val="046C12B8"/>
    <w:rsid w:val="046E5030"/>
    <w:rsid w:val="0482288A"/>
    <w:rsid w:val="04891E6A"/>
    <w:rsid w:val="04A46E78"/>
    <w:rsid w:val="04A647CA"/>
    <w:rsid w:val="04C3537C"/>
    <w:rsid w:val="04CE3D21"/>
    <w:rsid w:val="04E1113F"/>
    <w:rsid w:val="04F80D9E"/>
    <w:rsid w:val="051536FE"/>
    <w:rsid w:val="05341DD6"/>
    <w:rsid w:val="055D335F"/>
    <w:rsid w:val="055F2BCB"/>
    <w:rsid w:val="056831D8"/>
    <w:rsid w:val="0579711A"/>
    <w:rsid w:val="05921402"/>
    <w:rsid w:val="05922BA0"/>
    <w:rsid w:val="05942874"/>
    <w:rsid w:val="059C7683"/>
    <w:rsid w:val="05A01219"/>
    <w:rsid w:val="05A537FD"/>
    <w:rsid w:val="05C17368"/>
    <w:rsid w:val="05C941C5"/>
    <w:rsid w:val="05CA7B12"/>
    <w:rsid w:val="05CF1AFF"/>
    <w:rsid w:val="05D2339D"/>
    <w:rsid w:val="05E03D0C"/>
    <w:rsid w:val="05F41A51"/>
    <w:rsid w:val="0616597F"/>
    <w:rsid w:val="06184A51"/>
    <w:rsid w:val="0620235A"/>
    <w:rsid w:val="06255BC2"/>
    <w:rsid w:val="0652413C"/>
    <w:rsid w:val="065B7836"/>
    <w:rsid w:val="067231FC"/>
    <w:rsid w:val="068B641C"/>
    <w:rsid w:val="068D4F99"/>
    <w:rsid w:val="06A967F3"/>
    <w:rsid w:val="06CB68CE"/>
    <w:rsid w:val="06D575E9"/>
    <w:rsid w:val="07100621"/>
    <w:rsid w:val="074234C0"/>
    <w:rsid w:val="07500A1D"/>
    <w:rsid w:val="075C1AB8"/>
    <w:rsid w:val="075C3866"/>
    <w:rsid w:val="076E018C"/>
    <w:rsid w:val="07724E37"/>
    <w:rsid w:val="07790AFB"/>
    <w:rsid w:val="077C4CE1"/>
    <w:rsid w:val="07F55256"/>
    <w:rsid w:val="080A32C2"/>
    <w:rsid w:val="081F4674"/>
    <w:rsid w:val="082425D6"/>
    <w:rsid w:val="0878022B"/>
    <w:rsid w:val="088E5CA1"/>
    <w:rsid w:val="089112ED"/>
    <w:rsid w:val="089F7EAE"/>
    <w:rsid w:val="08B66F9A"/>
    <w:rsid w:val="08DD6040"/>
    <w:rsid w:val="08E1449B"/>
    <w:rsid w:val="08E6788B"/>
    <w:rsid w:val="08F301FA"/>
    <w:rsid w:val="09026019"/>
    <w:rsid w:val="09047D11"/>
    <w:rsid w:val="090E0B90"/>
    <w:rsid w:val="09244C46"/>
    <w:rsid w:val="0963712E"/>
    <w:rsid w:val="097F70D9"/>
    <w:rsid w:val="099836F7"/>
    <w:rsid w:val="09A01E43"/>
    <w:rsid w:val="09E223DE"/>
    <w:rsid w:val="09EC7123"/>
    <w:rsid w:val="09FB17FB"/>
    <w:rsid w:val="09FF759F"/>
    <w:rsid w:val="0A23066B"/>
    <w:rsid w:val="0A7113D6"/>
    <w:rsid w:val="0A7749D7"/>
    <w:rsid w:val="0A786BA5"/>
    <w:rsid w:val="0A854E82"/>
    <w:rsid w:val="0A977BD6"/>
    <w:rsid w:val="0AB26674"/>
    <w:rsid w:val="0AD57BB7"/>
    <w:rsid w:val="0B112714"/>
    <w:rsid w:val="0B114967"/>
    <w:rsid w:val="0B1D4053"/>
    <w:rsid w:val="0B204BAA"/>
    <w:rsid w:val="0B24555E"/>
    <w:rsid w:val="0B332B30"/>
    <w:rsid w:val="0B550CF8"/>
    <w:rsid w:val="0B6A06C6"/>
    <w:rsid w:val="0B6B2112"/>
    <w:rsid w:val="0B753148"/>
    <w:rsid w:val="0B7C097A"/>
    <w:rsid w:val="0B901D30"/>
    <w:rsid w:val="0BB93035"/>
    <w:rsid w:val="0BB9501C"/>
    <w:rsid w:val="0BD240F7"/>
    <w:rsid w:val="0BEC2BDA"/>
    <w:rsid w:val="0C030754"/>
    <w:rsid w:val="0C172450"/>
    <w:rsid w:val="0C1C1816"/>
    <w:rsid w:val="0C2506CA"/>
    <w:rsid w:val="0C3C42C9"/>
    <w:rsid w:val="0C5E1E2E"/>
    <w:rsid w:val="0C762CD4"/>
    <w:rsid w:val="0C917B0E"/>
    <w:rsid w:val="0CA17E5F"/>
    <w:rsid w:val="0CDD0FA5"/>
    <w:rsid w:val="0CFF53BF"/>
    <w:rsid w:val="0D1041C6"/>
    <w:rsid w:val="0D505C1B"/>
    <w:rsid w:val="0D837D9E"/>
    <w:rsid w:val="0D8D3611"/>
    <w:rsid w:val="0DC25855"/>
    <w:rsid w:val="0E085920"/>
    <w:rsid w:val="0E1327A4"/>
    <w:rsid w:val="0E3E1F17"/>
    <w:rsid w:val="0E3E7B9F"/>
    <w:rsid w:val="0E464928"/>
    <w:rsid w:val="0E680D42"/>
    <w:rsid w:val="0E7B6CC7"/>
    <w:rsid w:val="0E902346"/>
    <w:rsid w:val="0E911679"/>
    <w:rsid w:val="0EB2020F"/>
    <w:rsid w:val="0EC0292C"/>
    <w:rsid w:val="0EC341CA"/>
    <w:rsid w:val="0EC966A2"/>
    <w:rsid w:val="0ECD76D9"/>
    <w:rsid w:val="0ED65CAC"/>
    <w:rsid w:val="0EDB7766"/>
    <w:rsid w:val="0EDD34DE"/>
    <w:rsid w:val="0EE139D9"/>
    <w:rsid w:val="0EF55242"/>
    <w:rsid w:val="0F052A35"/>
    <w:rsid w:val="0F0F3B80"/>
    <w:rsid w:val="0F2729AB"/>
    <w:rsid w:val="0F3666FF"/>
    <w:rsid w:val="0F580DB7"/>
    <w:rsid w:val="0F694D72"/>
    <w:rsid w:val="0F865924"/>
    <w:rsid w:val="0F8971C2"/>
    <w:rsid w:val="0FA364D6"/>
    <w:rsid w:val="0FA7589A"/>
    <w:rsid w:val="0FC03A4B"/>
    <w:rsid w:val="0FED3A67"/>
    <w:rsid w:val="10046849"/>
    <w:rsid w:val="100718C8"/>
    <w:rsid w:val="101747CE"/>
    <w:rsid w:val="102D5D9F"/>
    <w:rsid w:val="103233B6"/>
    <w:rsid w:val="10402F90"/>
    <w:rsid w:val="10415F09"/>
    <w:rsid w:val="106E30E4"/>
    <w:rsid w:val="106F0CA9"/>
    <w:rsid w:val="107E4744"/>
    <w:rsid w:val="107F7B59"/>
    <w:rsid w:val="108005C5"/>
    <w:rsid w:val="10C61D50"/>
    <w:rsid w:val="10C761F4"/>
    <w:rsid w:val="10D821AF"/>
    <w:rsid w:val="11020C70"/>
    <w:rsid w:val="11052878"/>
    <w:rsid w:val="11145D2D"/>
    <w:rsid w:val="11643A43"/>
    <w:rsid w:val="11765524"/>
    <w:rsid w:val="119A7465"/>
    <w:rsid w:val="11B0159E"/>
    <w:rsid w:val="11BC3619"/>
    <w:rsid w:val="11C12E04"/>
    <w:rsid w:val="11FF376C"/>
    <w:rsid w:val="1210249A"/>
    <w:rsid w:val="12130FC5"/>
    <w:rsid w:val="124617C4"/>
    <w:rsid w:val="12467C52"/>
    <w:rsid w:val="1249275A"/>
    <w:rsid w:val="125D0492"/>
    <w:rsid w:val="126D4B79"/>
    <w:rsid w:val="12862C54"/>
    <w:rsid w:val="12957D54"/>
    <w:rsid w:val="1299771C"/>
    <w:rsid w:val="12D616CB"/>
    <w:rsid w:val="12D6271E"/>
    <w:rsid w:val="12EC1224"/>
    <w:rsid w:val="12FD414F"/>
    <w:rsid w:val="130322F6"/>
    <w:rsid w:val="130C68E7"/>
    <w:rsid w:val="1324792E"/>
    <w:rsid w:val="134E2F04"/>
    <w:rsid w:val="138F165D"/>
    <w:rsid w:val="138F2576"/>
    <w:rsid w:val="13944CD2"/>
    <w:rsid w:val="13B3480E"/>
    <w:rsid w:val="13BF1404"/>
    <w:rsid w:val="13C602CC"/>
    <w:rsid w:val="13D529D6"/>
    <w:rsid w:val="13D94FEB"/>
    <w:rsid w:val="13DA4490"/>
    <w:rsid w:val="13E0137B"/>
    <w:rsid w:val="13E175CD"/>
    <w:rsid w:val="13E5543B"/>
    <w:rsid w:val="13E67EB4"/>
    <w:rsid w:val="13F82B68"/>
    <w:rsid w:val="13FF5CA5"/>
    <w:rsid w:val="14033D19"/>
    <w:rsid w:val="141D612B"/>
    <w:rsid w:val="14223741"/>
    <w:rsid w:val="14292D22"/>
    <w:rsid w:val="145E0C1D"/>
    <w:rsid w:val="146D1C11"/>
    <w:rsid w:val="146D70B2"/>
    <w:rsid w:val="14885C1E"/>
    <w:rsid w:val="14943583"/>
    <w:rsid w:val="14A64372"/>
    <w:rsid w:val="14A95C11"/>
    <w:rsid w:val="14B20F69"/>
    <w:rsid w:val="14D03633"/>
    <w:rsid w:val="14D26F15"/>
    <w:rsid w:val="14D51A49"/>
    <w:rsid w:val="14DA401C"/>
    <w:rsid w:val="150D44D8"/>
    <w:rsid w:val="151C4634"/>
    <w:rsid w:val="15205ED3"/>
    <w:rsid w:val="1525180F"/>
    <w:rsid w:val="152F25BA"/>
    <w:rsid w:val="15316332"/>
    <w:rsid w:val="1534197E"/>
    <w:rsid w:val="156B676E"/>
    <w:rsid w:val="15966195"/>
    <w:rsid w:val="159A3ED7"/>
    <w:rsid w:val="159D3D21"/>
    <w:rsid w:val="159E52FF"/>
    <w:rsid w:val="15AA1C40"/>
    <w:rsid w:val="15AE34DE"/>
    <w:rsid w:val="15AF54A9"/>
    <w:rsid w:val="15B069B4"/>
    <w:rsid w:val="15C54E34"/>
    <w:rsid w:val="15E74C42"/>
    <w:rsid w:val="15F829AC"/>
    <w:rsid w:val="16117F11"/>
    <w:rsid w:val="162437A1"/>
    <w:rsid w:val="1626576B"/>
    <w:rsid w:val="16274A2B"/>
    <w:rsid w:val="162B4B2F"/>
    <w:rsid w:val="163F05DA"/>
    <w:rsid w:val="16445BF1"/>
    <w:rsid w:val="16734728"/>
    <w:rsid w:val="16B97005"/>
    <w:rsid w:val="16D1700E"/>
    <w:rsid w:val="16EB42BE"/>
    <w:rsid w:val="16F13FCB"/>
    <w:rsid w:val="16F50DB6"/>
    <w:rsid w:val="16F74BD0"/>
    <w:rsid w:val="16FF3FF7"/>
    <w:rsid w:val="1706734A"/>
    <w:rsid w:val="171001C9"/>
    <w:rsid w:val="172634B4"/>
    <w:rsid w:val="172B6A88"/>
    <w:rsid w:val="17544559"/>
    <w:rsid w:val="17985C71"/>
    <w:rsid w:val="17A13033"/>
    <w:rsid w:val="17AF1790"/>
    <w:rsid w:val="17B172B6"/>
    <w:rsid w:val="17BB022D"/>
    <w:rsid w:val="17BE4AC6"/>
    <w:rsid w:val="17D336D0"/>
    <w:rsid w:val="17F13B56"/>
    <w:rsid w:val="17F751A5"/>
    <w:rsid w:val="180F24B9"/>
    <w:rsid w:val="18131D1F"/>
    <w:rsid w:val="181C0DF5"/>
    <w:rsid w:val="18225A6D"/>
    <w:rsid w:val="183323C1"/>
    <w:rsid w:val="18375D2F"/>
    <w:rsid w:val="18424965"/>
    <w:rsid w:val="185B5474"/>
    <w:rsid w:val="186B1B5B"/>
    <w:rsid w:val="18787DD4"/>
    <w:rsid w:val="18BC23B6"/>
    <w:rsid w:val="18BD1C8B"/>
    <w:rsid w:val="190F698A"/>
    <w:rsid w:val="19140D0C"/>
    <w:rsid w:val="19235F91"/>
    <w:rsid w:val="194B486F"/>
    <w:rsid w:val="19923117"/>
    <w:rsid w:val="199E1ABC"/>
    <w:rsid w:val="19AF5A77"/>
    <w:rsid w:val="19D76D7C"/>
    <w:rsid w:val="19DE635C"/>
    <w:rsid w:val="19DF6E25"/>
    <w:rsid w:val="19E00326"/>
    <w:rsid w:val="19E96131"/>
    <w:rsid w:val="1A045DC3"/>
    <w:rsid w:val="1A0758B3"/>
    <w:rsid w:val="1A562397"/>
    <w:rsid w:val="1A597FD2"/>
    <w:rsid w:val="1A5D1AAF"/>
    <w:rsid w:val="1A5D54D3"/>
    <w:rsid w:val="1A774239"/>
    <w:rsid w:val="1A7A2072"/>
    <w:rsid w:val="1A7F369B"/>
    <w:rsid w:val="1AA8585F"/>
    <w:rsid w:val="1ACD7171"/>
    <w:rsid w:val="1B11796B"/>
    <w:rsid w:val="1B177D78"/>
    <w:rsid w:val="1B1F6C2C"/>
    <w:rsid w:val="1B23671D"/>
    <w:rsid w:val="1B446361"/>
    <w:rsid w:val="1B4A1593"/>
    <w:rsid w:val="1B4D5F47"/>
    <w:rsid w:val="1B5508A0"/>
    <w:rsid w:val="1B79633D"/>
    <w:rsid w:val="1BA2692C"/>
    <w:rsid w:val="1BAA6346"/>
    <w:rsid w:val="1BB91F51"/>
    <w:rsid w:val="1BE35EAC"/>
    <w:rsid w:val="1C024584"/>
    <w:rsid w:val="1C117B40"/>
    <w:rsid w:val="1C7F5BD5"/>
    <w:rsid w:val="1C9D42AD"/>
    <w:rsid w:val="1CA11732"/>
    <w:rsid w:val="1CC82894"/>
    <w:rsid w:val="1CD656FC"/>
    <w:rsid w:val="1D01483C"/>
    <w:rsid w:val="1D102CD1"/>
    <w:rsid w:val="1D104A7F"/>
    <w:rsid w:val="1D16439E"/>
    <w:rsid w:val="1D2917D5"/>
    <w:rsid w:val="1D5E3A3C"/>
    <w:rsid w:val="1D7738EA"/>
    <w:rsid w:val="1D7D680A"/>
    <w:rsid w:val="1D807E78"/>
    <w:rsid w:val="1D880AB9"/>
    <w:rsid w:val="1D981B07"/>
    <w:rsid w:val="1DA8115B"/>
    <w:rsid w:val="1DAB5CE2"/>
    <w:rsid w:val="1DAD5F27"/>
    <w:rsid w:val="1DAD6772"/>
    <w:rsid w:val="1DB00010"/>
    <w:rsid w:val="1DB1080A"/>
    <w:rsid w:val="1DB16276"/>
    <w:rsid w:val="1DBC69B5"/>
    <w:rsid w:val="1DE008F5"/>
    <w:rsid w:val="1DF61EC7"/>
    <w:rsid w:val="1DF63C75"/>
    <w:rsid w:val="1DF8512E"/>
    <w:rsid w:val="1E1265D5"/>
    <w:rsid w:val="1E18008F"/>
    <w:rsid w:val="1E236A34"/>
    <w:rsid w:val="1E257757"/>
    <w:rsid w:val="1E262F5F"/>
    <w:rsid w:val="1E2D3F8D"/>
    <w:rsid w:val="1E360515"/>
    <w:rsid w:val="1E472722"/>
    <w:rsid w:val="1E543091"/>
    <w:rsid w:val="1E567848"/>
    <w:rsid w:val="1E7828DC"/>
    <w:rsid w:val="1E7A165B"/>
    <w:rsid w:val="1E894AE9"/>
    <w:rsid w:val="1E9A6CF6"/>
    <w:rsid w:val="1EAF02C7"/>
    <w:rsid w:val="1EC93137"/>
    <w:rsid w:val="1ECF44C6"/>
    <w:rsid w:val="1EDE0530"/>
    <w:rsid w:val="1F0979D8"/>
    <w:rsid w:val="1F2B5BA0"/>
    <w:rsid w:val="1F38645C"/>
    <w:rsid w:val="1F481CE3"/>
    <w:rsid w:val="1F49617B"/>
    <w:rsid w:val="1F4C6666"/>
    <w:rsid w:val="1F4D1FBA"/>
    <w:rsid w:val="1F5C2C77"/>
    <w:rsid w:val="1F6E1F30"/>
    <w:rsid w:val="1F745799"/>
    <w:rsid w:val="1F811C64"/>
    <w:rsid w:val="1F8B2AE2"/>
    <w:rsid w:val="1F90634B"/>
    <w:rsid w:val="1FAF3A62"/>
    <w:rsid w:val="1FBE07C2"/>
    <w:rsid w:val="1FD910B2"/>
    <w:rsid w:val="20137861"/>
    <w:rsid w:val="20176124"/>
    <w:rsid w:val="201C5787"/>
    <w:rsid w:val="20252963"/>
    <w:rsid w:val="2030319F"/>
    <w:rsid w:val="20340A84"/>
    <w:rsid w:val="20387CC7"/>
    <w:rsid w:val="20455517"/>
    <w:rsid w:val="205630F0"/>
    <w:rsid w:val="205B4263"/>
    <w:rsid w:val="208319DF"/>
    <w:rsid w:val="208D0D40"/>
    <w:rsid w:val="2099516D"/>
    <w:rsid w:val="20AA51EA"/>
    <w:rsid w:val="20AC4ABE"/>
    <w:rsid w:val="20C52926"/>
    <w:rsid w:val="20CC33B3"/>
    <w:rsid w:val="20CF4C51"/>
    <w:rsid w:val="20DE2847"/>
    <w:rsid w:val="2130749E"/>
    <w:rsid w:val="21537630"/>
    <w:rsid w:val="217001E2"/>
    <w:rsid w:val="217A2AC7"/>
    <w:rsid w:val="21821CC3"/>
    <w:rsid w:val="219121EB"/>
    <w:rsid w:val="21D46827"/>
    <w:rsid w:val="21F52495"/>
    <w:rsid w:val="21FC3824"/>
    <w:rsid w:val="21FC7CC7"/>
    <w:rsid w:val="220300C0"/>
    <w:rsid w:val="2217065D"/>
    <w:rsid w:val="221A3D42"/>
    <w:rsid w:val="222F0FA5"/>
    <w:rsid w:val="223206CC"/>
    <w:rsid w:val="224551CB"/>
    <w:rsid w:val="226715E5"/>
    <w:rsid w:val="229972C4"/>
    <w:rsid w:val="22AD4B1E"/>
    <w:rsid w:val="22BF31CF"/>
    <w:rsid w:val="22C2681B"/>
    <w:rsid w:val="22C47CF1"/>
    <w:rsid w:val="22C95DFC"/>
    <w:rsid w:val="22D327D6"/>
    <w:rsid w:val="22EA7B20"/>
    <w:rsid w:val="22F83DAF"/>
    <w:rsid w:val="23052DD1"/>
    <w:rsid w:val="23364499"/>
    <w:rsid w:val="23377209"/>
    <w:rsid w:val="23474F72"/>
    <w:rsid w:val="23483843"/>
    <w:rsid w:val="237822C1"/>
    <w:rsid w:val="23804366"/>
    <w:rsid w:val="238910E7"/>
    <w:rsid w:val="23A03014"/>
    <w:rsid w:val="23A44173"/>
    <w:rsid w:val="23B57EEF"/>
    <w:rsid w:val="23C27922"/>
    <w:rsid w:val="23DB6AD3"/>
    <w:rsid w:val="23E34C9B"/>
    <w:rsid w:val="23EC5768"/>
    <w:rsid w:val="24066BDB"/>
    <w:rsid w:val="2435110C"/>
    <w:rsid w:val="244D65B8"/>
    <w:rsid w:val="246E2785"/>
    <w:rsid w:val="24743B45"/>
    <w:rsid w:val="24844F95"/>
    <w:rsid w:val="248542E6"/>
    <w:rsid w:val="24877D1C"/>
    <w:rsid w:val="248D5FC1"/>
    <w:rsid w:val="249259F9"/>
    <w:rsid w:val="249E0BC2"/>
    <w:rsid w:val="24B2466D"/>
    <w:rsid w:val="24B77ED6"/>
    <w:rsid w:val="24E231A5"/>
    <w:rsid w:val="24F66C50"/>
    <w:rsid w:val="250B4908"/>
    <w:rsid w:val="254F6EC6"/>
    <w:rsid w:val="25714529"/>
    <w:rsid w:val="2584004C"/>
    <w:rsid w:val="25973F8F"/>
    <w:rsid w:val="259A4E5C"/>
    <w:rsid w:val="25B20DC9"/>
    <w:rsid w:val="25C12DBA"/>
    <w:rsid w:val="25C36459"/>
    <w:rsid w:val="25CC1E99"/>
    <w:rsid w:val="25D074A1"/>
    <w:rsid w:val="25DF6C24"/>
    <w:rsid w:val="25E1345C"/>
    <w:rsid w:val="25E167D1"/>
    <w:rsid w:val="25FF1B34"/>
    <w:rsid w:val="260B2287"/>
    <w:rsid w:val="261C6242"/>
    <w:rsid w:val="263E265D"/>
    <w:rsid w:val="264B4D7A"/>
    <w:rsid w:val="26540AA3"/>
    <w:rsid w:val="26690388"/>
    <w:rsid w:val="2672502A"/>
    <w:rsid w:val="2681079B"/>
    <w:rsid w:val="2692142B"/>
    <w:rsid w:val="269A360B"/>
    <w:rsid w:val="269C7383"/>
    <w:rsid w:val="26B91CE3"/>
    <w:rsid w:val="27135897"/>
    <w:rsid w:val="27167136"/>
    <w:rsid w:val="272C4BAB"/>
    <w:rsid w:val="27363334"/>
    <w:rsid w:val="273E668C"/>
    <w:rsid w:val="27435A51"/>
    <w:rsid w:val="2765396F"/>
    <w:rsid w:val="278D5424"/>
    <w:rsid w:val="27A44741"/>
    <w:rsid w:val="27AB7378"/>
    <w:rsid w:val="27B77192"/>
    <w:rsid w:val="27E2526A"/>
    <w:rsid w:val="27FC457D"/>
    <w:rsid w:val="28017DE6"/>
    <w:rsid w:val="280519ED"/>
    <w:rsid w:val="280831E3"/>
    <w:rsid w:val="281F64BE"/>
    <w:rsid w:val="282121A5"/>
    <w:rsid w:val="28320B45"/>
    <w:rsid w:val="28340993"/>
    <w:rsid w:val="285919D0"/>
    <w:rsid w:val="286D2DB0"/>
    <w:rsid w:val="287C121A"/>
    <w:rsid w:val="28975D35"/>
    <w:rsid w:val="28984110"/>
    <w:rsid w:val="28AA49EB"/>
    <w:rsid w:val="28AF15F0"/>
    <w:rsid w:val="28C332ED"/>
    <w:rsid w:val="28F72F97"/>
    <w:rsid w:val="29081BE4"/>
    <w:rsid w:val="290D3372"/>
    <w:rsid w:val="291624C7"/>
    <w:rsid w:val="293715E5"/>
    <w:rsid w:val="294F4B81"/>
    <w:rsid w:val="29675768"/>
    <w:rsid w:val="296C02F7"/>
    <w:rsid w:val="298011DE"/>
    <w:rsid w:val="298836FC"/>
    <w:rsid w:val="298C1931"/>
    <w:rsid w:val="29986528"/>
    <w:rsid w:val="29C0782D"/>
    <w:rsid w:val="29C15A7E"/>
    <w:rsid w:val="29C84A8A"/>
    <w:rsid w:val="29D321EA"/>
    <w:rsid w:val="29E74DB9"/>
    <w:rsid w:val="29F11AD6"/>
    <w:rsid w:val="29F23E8A"/>
    <w:rsid w:val="29FF65A7"/>
    <w:rsid w:val="2A021BF3"/>
    <w:rsid w:val="2A1F00A4"/>
    <w:rsid w:val="2A3C5105"/>
    <w:rsid w:val="2A3F69A3"/>
    <w:rsid w:val="2A5057BD"/>
    <w:rsid w:val="2A876662"/>
    <w:rsid w:val="2A9F5694"/>
    <w:rsid w:val="2ABD4ACF"/>
    <w:rsid w:val="2AC60E73"/>
    <w:rsid w:val="2AD46A97"/>
    <w:rsid w:val="2AD73080"/>
    <w:rsid w:val="2AE5754B"/>
    <w:rsid w:val="2B013C59"/>
    <w:rsid w:val="2B1240B8"/>
    <w:rsid w:val="2B2344CB"/>
    <w:rsid w:val="2B3F7ED0"/>
    <w:rsid w:val="2B4F70BA"/>
    <w:rsid w:val="2B77216D"/>
    <w:rsid w:val="2B807273"/>
    <w:rsid w:val="2B904171"/>
    <w:rsid w:val="2BA50A88"/>
    <w:rsid w:val="2BB138D1"/>
    <w:rsid w:val="2BCB541E"/>
    <w:rsid w:val="2BE23A8A"/>
    <w:rsid w:val="2BE25001"/>
    <w:rsid w:val="2C027C88"/>
    <w:rsid w:val="2C1E7018"/>
    <w:rsid w:val="2C2C1183"/>
    <w:rsid w:val="2C310814"/>
    <w:rsid w:val="2C33078A"/>
    <w:rsid w:val="2C444501"/>
    <w:rsid w:val="2C4A5124"/>
    <w:rsid w:val="2C504E98"/>
    <w:rsid w:val="2C5571FB"/>
    <w:rsid w:val="2C5B48AD"/>
    <w:rsid w:val="2C672743"/>
    <w:rsid w:val="2CA74EC0"/>
    <w:rsid w:val="2CAB6572"/>
    <w:rsid w:val="2CB30EE7"/>
    <w:rsid w:val="2CB76CC5"/>
    <w:rsid w:val="2CBB6F02"/>
    <w:rsid w:val="2CC413E2"/>
    <w:rsid w:val="2CDF621C"/>
    <w:rsid w:val="2CE04CCC"/>
    <w:rsid w:val="2CEB4BC0"/>
    <w:rsid w:val="2CF021D7"/>
    <w:rsid w:val="2D1C7470"/>
    <w:rsid w:val="2D2B320F"/>
    <w:rsid w:val="2D2F39D1"/>
    <w:rsid w:val="2D2F4DAB"/>
    <w:rsid w:val="2D420825"/>
    <w:rsid w:val="2D595FCE"/>
    <w:rsid w:val="2D597D7C"/>
    <w:rsid w:val="2D856A36"/>
    <w:rsid w:val="2D8F4899"/>
    <w:rsid w:val="2D917516"/>
    <w:rsid w:val="2D933910"/>
    <w:rsid w:val="2D9C5EBB"/>
    <w:rsid w:val="2DA853C9"/>
    <w:rsid w:val="2DD02422"/>
    <w:rsid w:val="2DD35D80"/>
    <w:rsid w:val="2E07419A"/>
    <w:rsid w:val="2E0B0203"/>
    <w:rsid w:val="2E110657"/>
    <w:rsid w:val="2E112405"/>
    <w:rsid w:val="2E3D769E"/>
    <w:rsid w:val="2E59418C"/>
    <w:rsid w:val="2E8F7418"/>
    <w:rsid w:val="2E903C71"/>
    <w:rsid w:val="2EB711FE"/>
    <w:rsid w:val="2EBB4691"/>
    <w:rsid w:val="2ECD0A22"/>
    <w:rsid w:val="2EE61AE3"/>
    <w:rsid w:val="2EE87609"/>
    <w:rsid w:val="2F0401BB"/>
    <w:rsid w:val="2F0D60FE"/>
    <w:rsid w:val="2F146650"/>
    <w:rsid w:val="2F1C5505"/>
    <w:rsid w:val="2F391C13"/>
    <w:rsid w:val="2F487DBF"/>
    <w:rsid w:val="2F4A3E20"/>
    <w:rsid w:val="2F5051AF"/>
    <w:rsid w:val="2F8D062D"/>
    <w:rsid w:val="2F8F3F29"/>
    <w:rsid w:val="2F911A4F"/>
    <w:rsid w:val="2FAB0637"/>
    <w:rsid w:val="2FAC6889"/>
    <w:rsid w:val="2FC71915"/>
    <w:rsid w:val="2FE204FD"/>
    <w:rsid w:val="2FE6008D"/>
    <w:rsid w:val="2FEA5603"/>
    <w:rsid w:val="2FEC4ED7"/>
    <w:rsid w:val="2FFB15BE"/>
    <w:rsid w:val="3016332F"/>
    <w:rsid w:val="30224D9D"/>
    <w:rsid w:val="30357A05"/>
    <w:rsid w:val="30387211"/>
    <w:rsid w:val="304445D6"/>
    <w:rsid w:val="305558AE"/>
    <w:rsid w:val="305D4027"/>
    <w:rsid w:val="306A22A0"/>
    <w:rsid w:val="306E7B96"/>
    <w:rsid w:val="30716B1B"/>
    <w:rsid w:val="30751371"/>
    <w:rsid w:val="308C66BA"/>
    <w:rsid w:val="30915A7F"/>
    <w:rsid w:val="30A13F14"/>
    <w:rsid w:val="30AD76C2"/>
    <w:rsid w:val="30E738F1"/>
    <w:rsid w:val="310048D1"/>
    <w:rsid w:val="310F6C24"/>
    <w:rsid w:val="31132938"/>
    <w:rsid w:val="31162FEA"/>
    <w:rsid w:val="313E1763"/>
    <w:rsid w:val="318B6972"/>
    <w:rsid w:val="31B23EFF"/>
    <w:rsid w:val="31C24264"/>
    <w:rsid w:val="31C83722"/>
    <w:rsid w:val="320822B0"/>
    <w:rsid w:val="323D1A1A"/>
    <w:rsid w:val="325F6749"/>
    <w:rsid w:val="32747406"/>
    <w:rsid w:val="328238D1"/>
    <w:rsid w:val="32BE37B1"/>
    <w:rsid w:val="32C0264B"/>
    <w:rsid w:val="32D560F7"/>
    <w:rsid w:val="32E10EB6"/>
    <w:rsid w:val="32EC51EE"/>
    <w:rsid w:val="32EE03BD"/>
    <w:rsid w:val="32F12805"/>
    <w:rsid w:val="32FC18D5"/>
    <w:rsid w:val="330E2C52"/>
    <w:rsid w:val="33185FE3"/>
    <w:rsid w:val="333170A5"/>
    <w:rsid w:val="33380434"/>
    <w:rsid w:val="333A0650"/>
    <w:rsid w:val="333A41AC"/>
    <w:rsid w:val="336B25B7"/>
    <w:rsid w:val="3371251D"/>
    <w:rsid w:val="337771AE"/>
    <w:rsid w:val="338462EC"/>
    <w:rsid w:val="33AD32D9"/>
    <w:rsid w:val="33C44F4E"/>
    <w:rsid w:val="33DF40AC"/>
    <w:rsid w:val="33E52369"/>
    <w:rsid w:val="33F46A50"/>
    <w:rsid w:val="33F702EF"/>
    <w:rsid w:val="33FC5905"/>
    <w:rsid w:val="340D366E"/>
    <w:rsid w:val="341242DD"/>
    <w:rsid w:val="341B222F"/>
    <w:rsid w:val="343E5C30"/>
    <w:rsid w:val="344918B1"/>
    <w:rsid w:val="34525525"/>
    <w:rsid w:val="34533777"/>
    <w:rsid w:val="345C19E7"/>
    <w:rsid w:val="34654DCE"/>
    <w:rsid w:val="347D25A2"/>
    <w:rsid w:val="34820207"/>
    <w:rsid w:val="34A246FE"/>
    <w:rsid w:val="34D92754"/>
    <w:rsid w:val="34F30EFF"/>
    <w:rsid w:val="350031D3"/>
    <w:rsid w:val="350D491F"/>
    <w:rsid w:val="351E4A37"/>
    <w:rsid w:val="35344915"/>
    <w:rsid w:val="353510CF"/>
    <w:rsid w:val="35487054"/>
    <w:rsid w:val="359D0A22"/>
    <w:rsid w:val="35AE3A2E"/>
    <w:rsid w:val="35B00755"/>
    <w:rsid w:val="35BA15D4"/>
    <w:rsid w:val="35C236B1"/>
    <w:rsid w:val="35CD57AB"/>
    <w:rsid w:val="35D23B5A"/>
    <w:rsid w:val="35DD12FF"/>
    <w:rsid w:val="35DD45AB"/>
    <w:rsid w:val="35ED3757"/>
    <w:rsid w:val="35EF44A1"/>
    <w:rsid w:val="35F66AB0"/>
    <w:rsid w:val="360B1E2F"/>
    <w:rsid w:val="362A675A"/>
    <w:rsid w:val="364A1E0C"/>
    <w:rsid w:val="364F61C0"/>
    <w:rsid w:val="365D3C4B"/>
    <w:rsid w:val="36681030"/>
    <w:rsid w:val="368A369C"/>
    <w:rsid w:val="369D6F2B"/>
    <w:rsid w:val="36B424C7"/>
    <w:rsid w:val="36B96CD0"/>
    <w:rsid w:val="36BA5D07"/>
    <w:rsid w:val="36CC15BF"/>
    <w:rsid w:val="36D23C54"/>
    <w:rsid w:val="372431A9"/>
    <w:rsid w:val="37353608"/>
    <w:rsid w:val="373A5C4D"/>
    <w:rsid w:val="374750E9"/>
    <w:rsid w:val="374C2700"/>
    <w:rsid w:val="375F0685"/>
    <w:rsid w:val="377A0327"/>
    <w:rsid w:val="378620B5"/>
    <w:rsid w:val="378B76CC"/>
    <w:rsid w:val="3797463F"/>
    <w:rsid w:val="37BD7AF3"/>
    <w:rsid w:val="37C9368D"/>
    <w:rsid w:val="383C09C6"/>
    <w:rsid w:val="38455ACD"/>
    <w:rsid w:val="3851621F"/>
    <w:rsid w:val="38706043"/>
    <w:rsid w:val="38911993"/>
    <w:rsid w:val="389B1DC8"/>
    <w:rsid w:val="38AF1198"/>
    <w:rsid w:val="38BF6239"/>
    <w:rsid w:val="38E726E0"/>
    <w:rsid w:val="39262192"/>
    <w:rsid w:val="39290F4A"/>
    <w:rsid w:val="39445D84"/>
    <w:rsid w:val="39987E7E"/>
    <w:rsid w:val="39FC665F"/>
    <w:rsid w:val="3A1E7F2F"/>
    <w:rsid w:val="3A485400"/>
    <w:rsid w:val="3A5F274A"/>
    <w:rsid w:val="3A652B67"/>
    <w:rsid w:val="3A777A93"/>
    <w:rsid w:val="3A81569E"/>
    <w:rsid w:val="3A856654"/>
    <w:rsid w:val="3A8F1220"/>
    <w:rsid w:val="3AB72586"/>
    <w:rsid w:val="3ACC6031"/>
    <w:rsid w:val="3ACD3B57"/>
    <w:rsid w:val="3ACE5C2C"/>
    <w:rsid w:val="3ADF21C2"/>
    <w:rsid w:val="3AEC66D3"/>
    <w:rsid w:val="3AF91894"/>
    <w:rsid w:val="3AFB5B22"/>
    <w:rsid w:val="3B0D21A6"/>
    <w:rsid w:val="3B1946E1"/>
    <w:rsid w:val="3B1B48C3"/>
    <w:rsid w:val="3B1D4ADF"/>
    <w:rsid w:val="3B7D557D"/>
    <w:rsid w:val="3B88345B"/>
    <w:rsid w:val="3B8B7C9A"/>
    <w:rsid w:val="3BC60CD2"/>
    <w:rsid w:val="3BC62A80"/>
    <w:rsid w:val="3BC75E7D"/>
    <w:rsid w:val="3BC907C3"/>
    <w:rsid w:val="3BCC2061"/>
    <w:rsid w:val="3BE42FED"/>
    <w:rsid w:val="3BEE1FD7"/>
    <w:rsid w:val="3C02360F"/>
    <w:rsid w:val="3C0E5615"/>
    <w:rsid w:val="3C28373B"/>
    <w:rsid w:val="3C485B8B"/>
    <w:rsid w:val="3C503BF3"/>
    <w:rsid w:val="3C6B7ACC"/>
    <w:rsid w:val="3C722C08"/>
    <w:rsid w:val="3C7C5835"/>
    <w:rsid w:val="3C88242C"/>
    <w:rsid w:val="3CC25EAD"/>
    <w:rsid w:val="3CCD1F75"/>
    <w:rsid w:val="3CFB2BFE"/>
    <w:rsid w:val="3D125759"/>
    <w:rsid w:val="3D1F7F06"/>
    <w:rsid w:val="3D2D6B2F"/>
    <w:rsid w:val="3D383B12"/>
    <w:rsid w:val="3D485ED8"/>
    <w:rsid w:val="3D4F4CF8"/>
    <w:rsid w:val="3D5B544A"/>
    <w:rsid w:val="3D65276D"/>
    <w:rsid w:val="3D864BBD"/>
    <w:rsid w:val="3DA645EE"/>
    <w:rsid w:val="3DB64D77"/>
    <w:rsid w:val="3DBB238D"/>
    <w:rsid w:val="3DBD6105"/>
    <w:rsid w:val="3DE1502A"/>
    <w:rsid w:val="3DE418E4"/>
    <w:rsid w:val="3E021D6A"/>
    <w:rsid w:val="3E045AE2"/>
    <w:rsid w:val="3E102D20"/>
    <w:rsid w:val="3E23240C"/>
    <w:rsid w:val="3E3A7756"/>
    <w:rsid w:val="3E726EF0"/>
    <w:rsid w:val="3EB017C6"/>
    <w:rsid w:val="3EC139D3"/>
    <w:rsid w:val="3ED96F6F"/>
    <w:rsid w:val="3F03731C"/>
    <w:rsid w:val="3F1D6B61"/>
    <w:rsid w:val="3F272DF1"/>
    <w:rsid w:val="3F4E544F"/>
    <w:rsid w:val="3F586511"/>
    <w:rsid w:val="3F5D6B08"/>
    <w:rsid w:val="3F6444D4"/>
    <w:rsid w:val="3F713CF6"/>
    <w:rsid w:val="3F7722E4"/>
    <w:rsid w:val="3F80563C"/>
    <w:rsid w:val="3F856B22"/>
    <w:rsid w:val="3FB5717E"/>
    <w:rsid w:val="3FB62E0C"/>
    <w:rsid w:val="3FD55988"/>
    <w:rsid w:val="400224F5"/>
    <w:rsid w:val="40095632"/>
    <w:rsid w:val="401A15ED"/>
    <w:rsid w:val="402835CE"/>
    <w:rsid w:val="403F72A5"/>
    <w:rsid w:val="40872AE3"/>
    <w:rsid w:val="409D0420"/>
    <w:rsid w:val="40BA692C"/>
    <w:rsid w:val="40C33A32"/>
    <w:rsid w:val="40CC37CF"/>
    <w:rsid w:val="40DB1852"/>
    <w:rsid w:val="40F005A0"/>
    <w:rsid w:val="40F63E08"/>
    <w:rsid w:val="41173D7E"/>
    <w:rsid w:val="4120702C"/>
    <w:rsid w:val="415A08CA"/>
    <w:rsid w:val="415D5C35"/>
    <w:rsid w:val="417B60BB"/>
    <w:rsid w:val="418B1335"/>
    <w:rsid w:val="41BA3087"/>
    <w:rsid w:val="41DB2FFE"/>
    <w:rsid w:val="41DD49F4"/>
    <w:rsid w:val="41DD4E57"/>
    <w:rsid w:val="4203151C"/>
    <w:rsid w:val="42283963"/>
    <w:rsid w:val="42383FAC"/>
    <w:rsid w:val="425A2175"/>
    <w:rsid w:val="425D7EB7"/>
    <w:rsid w:val="42666D6B"/>
    <w:rsid w:val="426E79CE"/>
    <w:rsid w:val="42786A9F"/>
    <w:rsid w:val="42957651"/>
    <w:rsid w:val="429E4757"/>
    <w:rsid w:val="42A94EAA"/>
    <w:rsid w:val="42C66AE7"/>
    <w:rsid w:val="43016A94"/>
    <w:rsid w:val="430640AA"/>
    <w:rsid w:val="431C38CE"/>
    <w:rsid w:val="432D3ED6"/>
    <w:rsid w:val="432E3976"/>
    <w:rsid w:val="43395887"/>
    <w:rsid w:val="433F4264"/>
    <w:rsid w:val="435847F9"/>
    <w:rsid w:val="43584CC6"/>
    <w:rsid w:val="43875283"/>
    <w:rsid w:val="43997AE2"/>
    <w:rsid w:val="43B835F7"/>
    <w:rsid w:val="43BD1647"/>
    <w:rsid w:val="43CC52F4"/>
    <w:rsid w:val="43CF6B92"/>
    <w:rsid w:val="43D321DE"/>
    <w:rsid w:val="43E4263E"/>
    <w:rsid w:val="44185E43"/>
    <w:rsid w:val="44267A0F"/>
    <w:rsid w:val="44416C10"/>
    <w:rsid w:val="44446C38"/>
    <w:rsid w:val="445552E9"/>
    <w:rsid w:val="445D419E"/>
    <w:rsid w:val="44625310"/>
    <w:rsid w:val="44683056"/>
    <w:rsid w:val="447C0AC8"/>
    <w:rsid w:val="448674F1"/>
    <w:rsid w:val="44AC2A30"/>
    <w:rsid w:val="44AE0556"/>
    <w:rsid w:val="44C43833"/>
    <w:rsid w:val="44D206E8"/>
    <w:rsid w:val="44DE1833"/>
    <w:rsid w:val="45016A25"/>
    <w:rsid w:val="451A3E3D"/>
    <w:rsid w:val="452B604A"/>
    <w:rsid w:val="455235D7"/>
    <w:rsid w:val="456F5F37"/>
    <w:rsid w:val="457572C5"/>
    <w:rsid w:val="458012DF"/>
    <w:rsid w:val="45837C34"/>
    <w:rsid w:val="458D2861"/>
    <w:rsid w:val="45955F1A"/>
    <w:rsid w:val="45A55DFD"/>
    <w:rsid w:val="45B44292"/>
    <w:rsid w:val="45BC4EF4"/>
    <w:rsid w:val="45C30031"/>
    <w:rsid w:val="45CD0EAF"/>
    <w:rsid w:val="45DD7344"/>
    <w:rsid w:val="45F908D1"/>
    <w:rsid w:val="45FD1795"/>
    <w:rsid w:val="46220201"/>
    <w:rsid w:val="46431172"/>
    <w:rsid w:val="46433849"/>
    <w:rsid w:val="466F2016"/>
    <w:rsid w:val="469043B7"/>
    <w:rsid w:val="46AF7568"/>
    <w:rsid w:val="46CC73B9"/>
    <w:rsid w:val="46D02A05"/>
    <w:rsid w:val="46F5246C"/>
    <w:rsid w:val="47140701"/>
    <w:rsid w:val="471548BC"/>
    <w:rsid w:val="47156F84"/>
    <w:rsid w:val="472B2331"/>
    <w:rsid w:val="472D60AA"/>
    <w:rsid w:val="473D549D"/>
    <w:rsid w:val="475D0075"/>
    <w:rsid w:val="475E1B07"/>
    <w:rsid w:val="47631E5E"/>
    <w:rsid w:val="47975C19"/>
    <w:rsid w:val="47B57E4D"/>
    <w:rsid w:val="47D77DC3"/>
    <w:rsid w:val="47E32E09"/>
    <w:rsid w:val="47F941DE"/>
    <w:rsid w:val="481608EC"/>
    <w:rsid w:val="48335942"/>
    <w:rsid w:val="48401E0D"/>
    <w:rsid w:val="48547666"/>
    <w:rsid w:val="48594C7C"/>
    <w:rsid w:val="48691363"/>
    <w:rsid w:val="486E1F78"/>
    <w:rsid w:val="48967C7F"/>
    <w:rsid w:val="48AF3319"/>
    <w:rsid w:val="48BF1820"/>
    <w:rsid w:val="48D507A7"/>
    <w:rsid w:val="48E704DA"/>
    <w:rsid w:val="48EA1849"/>
    <w:rsid w:val="48EC789E"/>
    <w:rsid w:val="48ED5F3D"/>
    <w:rsid w:val="49061A89"/>
    <w:rsid w:val="49071871"/>
    <w:rsid w:val="49174FFB"/>
    <w:rsid w:val="49380D36"/>
    <w:rsid w:val="493C4382"/>
    <w:rsid w:val="49574649"/>
    <w:rsid w:val="495C6406"/>
    <w:rsid w:val="496930A0"/>
    <w:rsid w:val="499A5A39"/>
    <w:rsid w:val="49B74350"/>
    <w:rsid w:val="49C34AA3"/>
    <w:rsid w:val="49D942C7"/>
    <w:rsid w:val="49E8275C"/>
    <w:rsid w:val="49F27137"/>
    <w:rsid w:val="49FB423D"/>
    <w:rsid w:val="4A024DA0"/>
    <w:rsid w:val="4A0B0B6D"/>
    <w:rsid w:val="4A192915"/>
    <w:rsid w:val="4A38723F"/>
    <w:rsid w:val="4A4312FC"/>
    <w:rsid w:val="4A4A6F73"/>
    <w:rsid w:val="4A534079"/>
    <w:rsid w:val="4A6F2395"/>
    <w:rsid w:val="4A76098F"/>
    <w:rsid w:val="4AA30431"/>
    <w:rsid w:val="4AA523FB"/>
    <w:rsid w:val="4AA76173"/>
    <w:rsid w:val="4AC04E8A"/>
    <w:rsid w:val="4AC42881"/>
    <w:rsid w:val="4AC51E5D"/>
    <w:rsid w:val="4AD36F68"/>
    <w:rsid w:val="4B425E9C"/>
    <w:rsid w:val="4B5F6A4E"/>
    <w:rsid w:val="4B661C60"/>
    <w:rsid w:val="4B6978CC"/>
    <w:rsid w:val="4B6D55C8"/>
    <w:rsid w:val="4B85737C"/>
    <w:rsid w:val="4B8D5369"/>
    <w:rsid w:val="4B9B0F5F"/>
    <w:rsid w:val="4BCB7C3F"/>
    <w:rsid w:val="4BCD1C09"/>
    <w:rsid w:val="4BD413DA"/>
    <w:rsid w:val="4BD5286C"/>
    <w:rsid w:val="4BE331DB"/>
    <w:rsid w:val="4BEDCA36"/>
    <w:rsid w:val="4C1C493F"/>
    <w:rsid w:val="4C235CCD"/>
    <w:rsid w:val="4C2A6DF6"/>
    <w:rsid w:val="4C371778"/>
    <w:rsid w:val="4C39550D"/>
    <w:rsid w:val="4C5109B1"/>
    <w:rsid w:val="4C561BFF"/>
    <w:rsid w:val="4C6726C0"/>
    <w:rsid w:val="4C8F6EBF"/>
    <w:rsid w:val="4C9E35A6"/>
    <w:rsid w:val="4CF11B51"/>
    <w:rsid w:val="4D072EF9"/>
    <w:rsid w:val="4D1A0E7E"/>
    <w:rsid w:val="4D1D44CA"/>
    <w:rsid w:val="4D267823"/>
    <w:rsid w:val="4D2C295F"/>
    <w:rsid w:val="4D333CEE"/>
    <w:rsid w:val="4D706CF0"/>
    <w:rsid w:val="4D7D140D"/>
    <w:rsid w:val="4D92310A"/>
    <w:rsid w:val="4D9D385D"/>
    <w:rsid w:val="4DA46784"/>
    <w:rsid w:val="4DBF26D1"/>
    <w:rsid w:val="4DFF0074"/>
    <w:rsid w:val="4E013DEC"/>
    <w:rsid w:val="4E047438"/>
    <w:rsid w:val="4E1E2F1E"/>
    <w:rsid w:val="4E207D4E"/>
    <w:rsid w:val="4E3301FD"/>
    <w:rsid w:val="4E6600F3"/>
    <w:rsid w:val="4E781F0A"/>
    <w:rsid w:val="4E8642F1"/>
    <w:rsid w:val="4E962473"/>
    <w:rsid w:val="4ECF3EEA"/>
    <w:rsid w:val="4ED41501"/>
    <w:rsid w:val="4EF64E9F"/>
    <w:rsid w:val="4EF703D2"/>
    <w:rsid w:val="4F2953A8"/>
    <w:rsid w:val="4F5368C9"/>
    <w:rsid w:val="4F756840"/>
    <w:rsid w:val="4F766114"/>
    <w:rsid w:val="4F7D56F4"/>
    <w:rsid w:val="4F8151E4"/>
    <w:rsid w:val="4F893200"/>
    <w:rsid w:val="4F9A487B"/>
    <w:rsid w:val="4F9D72CF"/>
    <w:rsid w:val="4F9D7B44"/>
    <w:rsid w:val="4FC450D1"/>
    <w:rsid w:val="4FCB02ED"/>
    <w:rsid w:val="4FD5491B"/>
    <w:rsid w:val="4FE37C4D"/>
    <w:rsid w:val="500537DC"/>
    <w:rsid w:val="500F1BA4"/>
    <w:rsid w:val="502E76ED"/>
    <w:rsid w:val="502F2E92"/>
    <w:rsid w:val="503A35E5"/>
    <w:rsid w:val="50744D49"/>
    <w:rsid w:val="5076286F"/>
    <w:rsid w:val="50970A38"/>
    <w:rsid w:val="50AC51A4"/>
    <w:rsid w:val="50C57353"/>
    <w:rsid w:val="50CD1D3A"/>
    <w:rsid w:val="50CD6207"/>
    <w:rsid w:val="515F7488"/>
    <w:rsid w:val="516C3C72"/>
    <w:rsid w:val="5178776B"/>
    <w:rsid w:val="518014CC"/>
    <w:rsid w:val="51A21442"/>
    <w:rsid w:val="51AF05D7"/>
    <w:rsid w:val="51B56C43"/>
    <w:rsid w:val="51D04F1B"/>
    <w:rsid w:val="51D3784E"/>
    <w:rsid w:val="51DE0059"/>
    <w:rsid w:val="51E657D3"/>
    <w:rsid w:val="51E7154B"/>
    <w:rsid w:val="51EB103B"/>
    <w:rsid w:val="51FF0643"/>
    <w:rsid w:val="52021EE1"/>
    <w:rsid w:val="522602C5"/>
    <w:rsid w:val="52922A78"/>
    <w:rsid w:val="529F2AD5"/>
    <w:rsid w:val="52B21B59"/>
    <w:rsid w:val="52B96A43"/>
    <w:rsid w:val="52CC5870"/>
    <w:rsid w:val="52DB2E5E"/>
    <w:rsid w:val="52E066C6"/>
    <w:rsid w:val="52EF06B7"/>
    <w:rsid w:val="52F65EE9"/>
    <w:rsid w:val="52FB3500"/>
    <w:rsid w:val="53105341"/>
    <w:rsid w:val="531C2867"/>
    <w:rsid w:val="535449BE"/>
    <w:rsid w:val="53566988"/>
    <w:rsid w:val="535B3F9E"/>
    <w:rsid w:val="53650979"/>
    <w:rsid w:val="53795E99"/>
    <w:rsid w:val="5386726D"/>
    <w:rsid w:val="539B38E9"/>
    <w:rsid w:val="53AA2830"/>
    <w:rsid w:val="53DD2C05"/>
    <w:rsid w:val="53FF2B7C"/>
    <w:rsid w:val="5419780A"/>
    <w:rsid w:val="54547A6F"/>
    <w:rsid w:val="545729B8"/>
    <w:rsid w:val="54677920"/>
    <w:rsid w:val="546B0211"/>
    <w:rsid w:val="54707474"/>
    <w:rsid w:val="547215A0"/>
    <w:rsid w:val="54733500"/>
    <w:rsid w:val="54747292"/>
    <w:rsid w:val="54762ACB"/>
    <w:rsid w:val="548D0188"/>
    <w:rsid w:val="54947768"/>
    <w:rsid w:val="549D52AF"/>
    <w:rsid w:val="54B0031A"/>
    <w:rsid w:val="54D9161F"/>
    <w:rsid w:val="550A5C7C"/>
    <w:rsid w:val="551068BB"/>
    <w:rsid w:val="55110DB9"/>
    <w:rsid w:val="5523289A"/>
    <w:rsid w:val="55253A96"/>
    <w:rsid w:val="553700F3"/>
    <w:rsid w:val="555076EA"/>
    <w:rsid w:val="555571D9"/>
    <w:rsid w:val="555D2250"/>
    <w:rsid w:val="556C2493"/>
    <w:rsid w:val="557B26D6"/>
    <w:rsid w:val="55896F47"/>
    <w:rsid w:val="558C6691"/>
    <w:rsid w:val="55943798"/>
    <w:rsid w:val="559E35BC"/>
    <w:rsid w:val="55A20309"/>
    <w:rsid w:val="55AA58ED"/>
    <w:rsid w:val="55AE2AAB"/>
    <w:rsid w:val="55BD4A9D"/>
    <w:rsid w:val="55C93441"/>
    <w:rsid w:val="55CA0F67"/>
    <w:rsid w:val="55CE0A58"/>
    <w:rsid w:val="55D87B28"/>
    <w:rsid w:val="55E71B19"/>
    <w:rsid w:val="55F36710"/>
    <w:rsid w:val="560721BC"/>
    <w:rsid w:val="56085601"/>
    <w:rsid w:val="563D4C8A"/>
    <w:rsid w:val="56431446"/>
    <w:rsid w:val="56764C4B"/>
    <w:rsid w:val="567C6706"/>
    <w:rsid w:val="568630E0"/>
    <w:rsid w:val="56AB0D99"/>
    <w:rsid w:val="56AD4B11"/>
    <w:rsid w:val="56B55774"/>
    <w:rsid w:val="56B85264"/>
    <w:rsid w:val="56CB6124"/>
    <w:rsid w:val="56CD6F61"/>
    <w:rsid w:val="56DE52EB"/>
    <w:rsid w:val="56E21670"/>
    <w:rsid w:val="56F20776"/>
    <w:rsid w:val="56F40992"/>
    <w:rsid w:val="56FA1C3F"/>
    <w:rsid w:val="573568B4"/>
    <w:rsid w:val="57376AD1"/>
    <w:rsid w:val="57392849"/>
    <w:rsid w:val="574014E1"/>
    <w:rsid w:val="574A1D91"/>
    <w:rsid w:val="576722F4"/>
    <w:rsid w:val="57807393"/>
    <w:rsid w:val="57C503E8"/>
    <w:rsid w:val="57C57C38"/>
    <w:rsid w:val="57CE2F91"/>
    <w:rsid w:val="57E04A72"/>
    <w:rsid w:val="57FB365A"/>
    <w:rsid w:val="58044C05"/>
    <w:rsid w:val="580C3AB9"/>
    <w:rsid w:val="580F5357"/>
    <w:rsid w:val="580F7106"/>
    <w:rsid w:val="58212FBD"/>
    <w:rsid w:val="583C0653"/>
    <w:rsid w:val="583C5EC8"/>
    <w:rsid w:val="583D1EC5"/>
    <w:rsid w:val="584F18E4"/>
    <w:rsid w:val="585A2A77"/>
    <w:rsid w:val="586025AF"/>
    <w:rsid w:val="5875340D"/>
    <w:rsid w:val="5883051A"/>
    <w:rsid w:val="58935F89"/>
    <w:rsid w:val="589D1FCF"/>
    <w:rsid w:val="58BD4E0B"/>
    <w:rsid w:val="58D464E9"/>
    <w:rsid w:val="58FC58DC"/>
    <w:rsid w:val="59030A18"/>
    <w:rsid w:val="590742C0"/>
    <w:rsid w:val="591250FF"/>
    <w:rsid w:val="59153B14"/>
    <w:rsid w:val="591B0458"/>
    <w:rsid w:val="592F5CB1"/>
    <w:rsid w:val="59367040"/>
    <w:rsid w:val="595C0E4C"/>
    <w:rsid w:val="5972443C"/>
    <w:rsid w:val="59A55F73"/>
    <w:rsid w:val="59E36E2E"/>
    <w:rsid w:val="59F64A21"/>
    <w:rsid w:val="5A105AE3"/>
    <w:rsid w:val="5A2A6479"/>
    <w:rsid w:val="5A354B99"/>
    <w:rsid w:val="5A3E3CD2"/>
    <w:rsid w:val="5A44034B"/>
    <w:rsid w:val="5A464294"/>
    <w:rsid w:val="5A4F5EDF"/>
    <w:rsid w:val="5A7D0C9E"/>
    <w:rsid w:val="5A805435"/>
    <w:rsid w:val="5A807CB1"/>
    <w:rsid w:val="5A8B5169"/>
    <w:rsid w:val="5AA24501"/>
    <w:rsid w:val="5AA35C89"/>
    <w:rsid w:val="5AA601F5"/>
    <w:rsid w:val="5AB02E22"/>
    <w:rsid w:val="5ABA3CA0"/>
    <w:rsid w:val="5ABA77FD"/>
    <w:rsid w:val="5AC95C92"/>
    <w:rsid w:val="5ACB1A0A"/>
    <w:rsid w:val="5ACE5056"/>
    <w:rsid w:val="5AD30D74"/>
    <w:rsid w:val="5AD84127"/>
    <w:rsid w:val="5AE604B3"/>
    <w:rsid w:val="5AFA6F68"/>
    <w:rsid w:val="5B135BFF"/>
    <w:rsid w:val="5B184523"/>
    <w:rsid w:val="5B1C32AC"/>
    <w:rsid w:val="5B1C4013"/>
    <w:rsid w:val="5B345801"/>
    <w:rsid w:val="5B3A534D"/>
    <w:rsid w:val="5B446DDF"/>
    <w:rsid w:val="5B5F03A4"/>
    <w:rsid w:val="5B8147BE"/>
    <w:rsid w:val="5B8878FB"/>
    <w:rsid w:val="5B9E2069"/>
    <w:rsid w:val="5BC546AB"/>
    <w:rsid w:val="5BC63DB8"/>
    <w:rsid w:val="5BCF1086"/>
    <w:rsid w:val="5BE30FD5"/>
    <w:rsid w:val="5BF31218"/>
    <w:rsid w:val="5BF3746A"/>
    <w:rsid w:val="5BFD3E45"/>
    <w:rsid w:val="5C076A71"/>
    <w:rsid w:val="5C103962"/>
    <w:rsid w:val="5C115B42"/>
    <w:rsid w:val="5C1D6295"/>
    <w:rsid w:val="5C225659"/>
    <w:rsid w:val="5C226115"/>
    <w:rsid w:val="5C2C472A"/>
    <w:rsid w:val="5C2F3D9C"/>
    <w:rsid w:val="5C301652"/>
    <w:rsid w:val="5C3830CF"/>
    <w:rsid w:val="5C3E620B"/>
    <w:rsid w:val="5C4F3C4A"/>
    <w:rsid w:val="5C545A2F"/>
    <w:rsid w:val="5C653798"/>
    <w:rsid w:val="5CBF734C"/>
    <w:rsid w:val="5CCB7CBA"/>
    <w:rsid w:val="5CEC790F"/>
    <w:rsid w:val="5CFD1C22"/>
    <w:rsid w:val="5D017965"/>
    <w:rsid w:val="5D043BDE"/>
    <w:rsid w:val="5D066D29"/>
    <w:rsid w:val="5D1A0A26"/>
    <w:rsid w:val="5D313752"/>
    <w:rsid w:val="5D4579C6"/>
    <w:rsid w:val="5D4E6EAC"/>
    <w:rsid w:val="5D5E2925"/>
    <w:rsid w:val="5D5F6DFB"/>
    <w:rsid w:val="5D730178"/>
    <w:rsid w:val="5D972330"/>
    <w:rsid w:val="5DC56241"/>
    <w:rsid w:val="5DEF376E"/>
    <w:rsid w:val="5DF94AE0"/>
    <w:rsid w:val="5E47584B"/>
    <w:rsid w:val="5E653C31"/>
    <w:rsid w:val="5E6F08FE"/>
    <w:rsid w:val="5EA22A81"/>
    <w:rsid w:val="5EA44A4C"/>
    <w:rsid w:val="5EBA601D"/>
    <w:rsid w:val="5EBB1D95"/>
    <w:rsid w:val="5EC554ED"/>
    <w:rsid w:val="5EC944B2"/>
    <w:rsid w:val="5EE7005F"/>
    <w:rsid w:val="5EEA72F8"/>
    <w:rsid w:val="5EF05EE3"/>
    <w:rsid w:val="5EF07C91"/>
    <w:rsid w:val="5F0674B4"/>
    <w:rsid w:val="5F2B735B"/>
    <w:rsid w:val="5F357D99"/>
    <w:rsid w:val="5F37766E"/>
    <w:rsid w:val="5F3C5A50"/>
    <w:rsid w:val="5F3F6522"/>
    <w:rsid w:val="5F447FDD"/>
    <w:rsid w:val="5F5C7600"/>
    <w:rsid w:val="5FB15643"/>
    <w:rsid w:val="5FBC5DC5"/>
    <w:rsid w:val="5FBE08A4"/>
    <w:rsid w:val="5FCD57DA"/>
    <w:rsid w:val="5FE5531C"/>
    <w:rsid w:val="5FEC48FC"/>
    <w:rsid w:val="5FF3AFD7"/>
    <w:rsid w:val="60017C7C"/>
    <w:rsid w:val="60097D62"/>
    <w:rsid w:val="601E6EE1"/>
    <w:rsid w:val="60340051"/>
    <w:rsid w:val="60345DE4"/>
    <w:rsid w:val="60434EB8"/>
    <w:rsid w:val="607830DB"/>
    <w:rsid w:val="6098413C"/>
    <w:rsid w:val="60BE791B"/>
    <w:rsid w:val="60E3062F"/>
    <w:rsid w:val="60E71ECF"/>
    <w:rsid w:val="61031C6B"/>
    <w:rsid w:val="61113EEE"/>
    <w:rsid w:val="612042F6"/>
    <w:rsid w:val="6126799A"/>
    <w:rsid w:val="613A1697"/>
    <w:rsid w:val="61442516"/>
    <w:rsid w:val="614813F8"/>
    <w:rsid w:val="614D13CA"/>
    <w:rsid w:val="61525AC6"/>
    <w:rsid w:val="6166248C"/>
    <w:rsid w:val="61785D1C"/>
    <w:rsid w:val="61B9755A"/>
    <w:rsid w:val="61D218D0"/>
    <w:rsid w:val="61D92C5E"/>
    <w:rsid w:val="61DA0784"/>
    <w:rsid w:val="61E635CD"/>
    <w:rsid w:val="61F73D25"/>
    <w:rsid w:val="61FA2BD4"/>
    <w:rsid w:val="620422EE"/>
    <w:rsid w:val="620A72BB"/>
    <w:rsid w:val="62206ADF"/>
    <w:rsid w:val="623A1223"/>
    <w:rsid w:val="624668D5"/>
    <w:rsid w:val="625247BE"/>
    <w:rsid w:val="625B18C5"/>
    <w:rsid w:val="626C3AD2"/>
    <w:rsid w:val="62833632"/>
    <w:rsid w:val="629152E7"/>
    <w:rsid w:val="629B40CC"/>
    <w:rsid w:val="62B15989"/>
    <w:rsid w:val="62B72874"/>
    <w:rsid w:val="62BB2AEA"/>
    <w:rsid w:val="62CF5E0F"/>
    <w:rsid w:val="62E56F5D"/>
    <w:rsid w:val="62FF0CEC"/>
    <w:rsid w:val="63051831"/>
    <w:rsid w:val="63155F18"/>
    <w:rsid w:val="632C14B3"/>
    <w:rsid w:val="634405AB"/>
    <w:rsid w:val="63471E49"/>
    <w:rsid w:val="635E2806"/>
    <w:rsid w:val="63615FA1"/>
    <w:rsid w:val="6383324E"/>
    <w:rsid w:val="63A92B04"/>
    <w:rsid w:val="63AC7EFE"/>
    <w:rsid w:val="63B1561C"/>
    <w:rsid w:val="63B374DF"/>
    <w:rsid w:val="63C62EBC"/>
    <w:rsid w:val="63E1404C"/>
    <w:rsid w:val="63E53A7D"/>
    <w:rsid w:val="63F0603D"/>
    <w:rsid w:val="642503DD"/>
    <w:rsid w:val="643248A8"/>
    <w:rsid w:val="64355C74"/>
    <w:rsid w:val="644C5248"/>
    <w:rsid w:val="644D16E1"/>
    <w:rsid w:val="644F5459"/>
    <w:rsid w:val="64517F09"/>
    <w:rsid w:val="64520832"/>
    <w:rsid w:val="645D22AF"/>
    <w:rsid w:val="64656A2B"/>
    <w:rsid w:val="64754794"/>
    <w:rsid w:val="64882719"/>
    <w:rsid w:val="649F02AC"/>
    <w:rsid w:val="64C319A4"/>
    <w:rsid w:val="64EA5182"/>
    <w:rsid w:val="64EC4A56"/>
    <w:rsid w:val="64ED2F42"/>
    <w:rsid w:val="651E6BDA"/>
    <w:rsid w:val="652C579B"/>
    <w:rsid w:val="65411462"/>
    <w:rsid w:val="654301AA"/>
    <w:rsid w:val="65534AD5"/>
    <w:rsid w:val="655D7702"/>
    <w:rsid w:val="655E16AA"/>
    <w:rsid w:val="657DCD21"/>
    <w:rsid w:val="658137B1"/>
    <w:rsid w:val="658B24C1"/>
    <w:rsid w:val="65911242"/>
    <w:rsid w:val="659155FE"/>
    <w:rsid w:val="659A0956"/>
    <w:rsid w:val="65AB4911"/>
    <w:rsid w:val="65E14D38"/>
    <w:rsid w:val="65F20792"/>
    <w:rsid w:val="6609788A"/>
    <w:rsid w:val="664803B2"/>
    <w:rsid w:val="664B4F83"/>
    <w:rsid w:val="666A657B"/>
    <w:rsid w:val="668C4743"/>
    <w:rsid w:val="668D4017"/>
    <w:rsid w:val="66967370"/>
    <w:rsid w:val="66A001EE"/>
    <w:rsid w:val="66B07D06"/>
    <w:rsid w:val="66B477F6"/>
    <w:rsid w:val="66C7589F"/>
    <w:rsid w:val="66CA31C0"/>
    <w:rsid w:val="66D93700"/>
    <w:rsid w:val="66FE4F15"/>
    <w:rsid w:val="672C2F24"/>
    <w:rsid w:val="67334BBF"/>
    <w:rsid w:val="67346B89"/>
    <w:rsid w:val="67424634"/>
    <w:rsid w:val="676668FB"/>
    <w:rsid w:val="677D22DE"/>
    <w:rsid w:val="678E6299"/>
    <w:rsid w:val="679310D4"/>
    <w:rsid w:val="679F1299"/>
    <w:rsid w:val="67A02450"/>
    <w:rsid w:val="67B35CFF"/>
    <w:rsid w:val="67B51CB7"/>
    <w:rsid w:val="67B74362"/>
    <w:rsid w:val="67BF28F6"/>
    <w:rsid w:val="67CA5DAF"/>
    <w:rsid w:val="67DA7730"/>
    <w:rsid w:val="67E57DB5"/>
    <w:rsid w:val="67F43681"/>
    <w:rsid w:val="67FA3A56"/>
    <w:rsid w:val="6804655B"/>
    <w:rsid w:val="68143268"/>
    <w:rsid w:val="68183DB4"/>
    <w:rsid w:val="683E1A6D"/>
    <w:rsid w:val="683E3FD1"/>
    <w:rsid w:val="68442DFB"/>
    <w:rsid w:val="684F56B9"/>
    <w:rsid w:val="685B0487"/>
    <w:rsid w:val="68637725"/>
    <w:rsid w:val="6868111E"/>
    <w:rsid w:val="686A5F1F"/>
    <w:rsid w:val="68725BBA"/>
    <w:rsid w:val="68727968"/>
    <w:rsid w:val="68776D2D"/>
    <w:rsid w:val="687C4343"/>
    <w:rsid w:val="688A18E7"/>
    <w:rsid w:val="688D47A2"/>
    <w:rsid w:val="68993147"/>
    <w:rsid w:val="689A2A1B"/>
    <w:rsid w:val="68B66B55"/>
    <w:rsid w:val="68BC6E36"/>
    <w:rsid w:val="68F346FB"/>
    <w:rsid w:val="68F4269F"/>
    <w:rsid w:val="68FE11FC"/>
    <w:rsid w:val="69196036"/>
    <w:rsid w:val="692549DB"/>
    <w:rsid w:val="6931512E"/>
    <w:rsid w:val="694E2184"/>
    <w:rsid w:val="69553CA8"/>
    <w:rsid w:val="69627373"/>
    <w:rsid w:val="696618AC"/>
    <w:rsid w:val="69765236"/>
    <w:rsid w:val="69967687"/>
    <w:rsid w:val="69A16AA6"/>
    <w:rsid w:val="69AA3132"/>
    <w:rsid w:val="69BB70ED"/>
    <w:rsid w:val="69CE0BCF"/>
    <w:rsid w:val="69D54B36"/>
    <w:rsid w:val="69E06B54"/>
    <w:rsid w:val="69E836AE"/>
    <w:rsid w:val="6A0E546F"/>
    <w:rsid w:val="6A462E5B"/>
    <w:rsid w:val="6AA162E3"/>
    <w:rsid w:val="6AA933EA"/>
    <w:rsid w:val="6AB460AC"/>
    <w:rsid w:val="6ACA12F5"/>
    <w:rsid w:val="6AF01018"/>
    <w:rsid w:val="6B19056F"/>
    <w:rsid w:val="6B2313EE"/>
    <w:rsid w:val="6B2D5DC9"/>
    <w:rsid w:val="6B52582F"/>
    <w:rsid w:val="6B56531F"/>
    <w:rsid w:val="6B6537B4"/>
    <w:rsid w:val="6B655563"/>
    <w:rsid w:val="6B6D4417"/>
    <w:rsid w:val="6B724E0D"/>
    <w:rsid w:val="6B754769"/>
    <w:rsid w:val="6B826114"/>
    <w:rsid w:val="6B8451F3"/>
    <w:rsid w:val="6B910106"/>
    <w:rsid w:val="6B99520C"/>
    <w:rsid w:val="6BC71D79"/>
    <w:rsid w:val="6BD149A6"/>
    <w:rsid w:val="6BEE7306"/>
    <w:rsid w:val="6C027255"/>
    <w:rsid w:val="6C3E0983"/>
    <w:rsid w:val="6C4414B1"/>
    <w:rsid w:val="6C570096"/>
    <w:rsid w:val="6C6C7A54"/>
    <w:rsid w:val="6C7041BF"/>
    <w:rsid w:val="6C8639E2"/>
    <w:rsid w:val="6C8D4A90"/>
    <w:rsid w:val="6C9679CC"/>
    <w:rsid w:val="6CAC5DDF"/>
    <w:rsid w:val="6CCB3AEB"/>
    <w:rsid w:val="6CDF30F3"/>
    <w:rsid w:val="6CED49FE"/>
    <w:rsid w:val="6CF272CA"/>
    <w:rsid w:val="6CFC7C54"/>
    <w:rsid w:val="6D0D5EB2"/>
    <w:rsid w:val="6D107750"/>
    <w:rsid w:val="6D433682"/>
    <w:rsid w:val="6D4453E3"/>
    <w:rsid w:val="6D657A9C"/>
    <w:rsid w:val="6D702546"/>
    <w:rsid w:val="6D7A3A23"/>
    <w:rsid w:val="6D837F22"/>
    <w:rsid w:val="6D8D7308"/>
    <w:rsid w:val="6DAA54AF"/>
    <w:rsid w:val="6DD358C1"/>
    <w:rsid w:val="6DEA61F3"/>
    <w:rsid w:val="6DF2033E"/>
    <w:rsid w:val="6E1F40EF"/>
    <w:rsid w:val="6E405E13"/>
    <w:rsid w:val="6E807286"/>
    <w:rsid w:val="6E985C4F"/>
    <w:rsid w:val="6EA2087C"/>
    <w:rsid w:val="6EB02F99"/>
    <w:rsid w:val="6EBE69E2"/>
    <w:rsid w:val="6EC66318"/>
    <w:rsid w:val="6ECF78C3"/>
    <w:rsid w:val="6ED4144E"/>
    <w:rsid w:val="6ED547AD"/>
    <w:rsid w:val="6EFA2466"/>
    <w:rsid w:val="6F07403E"/>
    <w:rsid w:val="6F12155D"/>
    <w:rsid w:val="6F1277AF"/>
    <w:rsid w:val="6F265009"/>
    <w:rsid w:val="6F3F0D79"/>
    <w:rsid w:val="6F516715"/>
    <w:rsid w:val="6F567302"/>
    <w:rsid w:val="6F5A2F04"/>
    <w:rsid w:val="6F5A6A88"/>
    <w:rsid w:val="6F6D49E6"/>
    <w:rsid w:val="6FA04DBB"/>
    <w:rsid w:val="6FA10B33"/>
    <w:rsid w:val="6FC80DB9"/>
    <w:rsid w:val="6FCC5BB0"/>
    <w:rsid w:val="6FDD600F"/>
    <w:rsid w:val="6FE50A20"/>
    <w:rsid w:val="6FE514DB"/>
    <w:rsid w:val="6FE5312D"/>
    <w:rsid w:val="6FE84555"/>
    <w:rsid w:val="6FFA526E"/>
    <w:rsid w:val="70027824"/>
    <w:rsid w:val="701B6B38"/>
    <w:rsid w:val="701D01BA"/>
    <w:rsid w:val="70221C74"/>
    <w:rsid w:val="705931BC"/>
    <w:rsid w:val="705B5186"/>
    <w:rsid w:val="706D4A75"/>
    <w:rsid w:val="707629C1"/>
    <w:rsid w:val="708727AC"/>
    <w:rsid w:val="708F2B0E"/>
    <w:rsid w:val="70A94143"/>
    <w:rsid w:val="70B54896"/>
    <w:rsid w:val="70EB650A"/>
    <w:rsid w:val="70EF010C"/>
    <w:rsid w:val="710D46D2"/>
    <w:rsid w:val="71155816"/>
    <w:rsid w:val="711E1809"/>
    <w:rsid w:val="71327C95"/>
    <w:rsid w:val="713D7332"/>
    <w:rsid w:val="71431EA2"/>
    <w:rsid w:val="715F0166"/>
    <w:rsid w:val="716B0B2F"/>
    <w:rsid w:val="71773CEE"/>
    <w:rsid w:val="71796EC1"/>
    <w:rsid w:val="71970440"/>
    <w:rsid w:val="71C50B09"/>
    <w:rsid w:val="71D23226"/>
    <w:rsid w:val="71DD0CA3"/>
    <w:rsid w:val="7207394C"/>
    <w:rsid w:val="721816B3"/>
    <w:rsid w:val="722649E0"/>
    <w:rsid w:val="724F2AC9"/>
    <w:rsid w:val="7275252F"/>
    <w:rsid w:val="727A6476"/>
    <w:rsid w:val="72895FDA"/>
    <w:rsid w:val="72A615BC"/>
    <w:rsid w:val="72AC3A77"/>
    <w:rsid w:val="72D27981"/>
    <w:rsid w:val="72F9062C"/>
    <w:rsid w:val="72FC2A76"/>
    <w:rsid w:val="730076A1"/>
    <w:rsid w:val="73075151"/>
    <w:rsid w:val="731C29AB"/>
    <w:rsid w:val="73335F46"/>
    <w:rsid w:val="733F3BA6"/>
    <w:rsid w:val="733F6699"/>
    <w:rsid w:val="73463ECB"/>
    <w:rsid w:val="73506AF8"/>
    <w:rsid w:val="73697BBA"/>
    <w:rsid w:val="738D38A8"/>
    <w:rsid w:val="73A96070"/>
    <w:rsid w:val="73D2575F"/>
    <w:rsid w:val="73F244A2"/>
    <w:rsid w:val="74031DBD"/>
    <w:rsid w:val="740C0C71"/>
    <w:rsid w:val="740D2C3B"/>
    <w:rsid w:val="74181387"/>
    <w:rsid w:val="74730CF0"/>
    <w:rsid w:val="74746816"/>
    <w:rsid w:val="747E1443"/>
    <w:rsid w:val="74886692"/>
    <w:rsid w:val="74896327"/>
    <w:rsid w:val="74BC6ADF"/>
    <w:rsid w:val="74EE65C9"/>
    <w:rsid w:val="74F17E67"/>
    <w:rsid w:val="74F3598D"/>
    <w:rsid w:val="750162FC"/>
    <w:rsid w:val="750D1A10"/>
    <w:rsid w:val="7519750B"/>
    <w:rsid w:val="75271ADB"/>
    <w:rsid w:val="7537556F"/>
    <w:rsid w:val="7553467E"/>
    <w:rsid w:val="755A1EB0"/>
    <w:rsid w:val="755D72AA"/>
    <w:rsid w:val="7581743D"/>
    <w:rsid w:val="758B3E18"/>
    <w:rsid w:val="759A22AD"/>
    <w:rsid w:val="759D2199"/>
    <w:rsid w:val="75B06C8E"/>
    <w:rsid w:val="75B229AC"/>
    <w:rsid w:val="75B232D5"/>
    <w:rsid w:val="75C8506C"/>
    <w:rsid w:val="75CB06B8"/>
    <w:rsid w:val="75D0271D"/>
    <w:rsid w:val="75D91027"/>
    <w:rsid w:val="75DA1EAA"/>
    <w:rsid w:val="75E33C54"/>
    <w:rsid w:val="75FD5E70"/>
    <w:rsid w:val="76014400"/>
    <w:rsid w:val="76065377"/>
    <w:rsid w:val="760A11E0"/>
    <w:rsid w:val="76210E85"/>
    <w:rsid w:val="763E1C7A"/>
    <w:rsid w:val="765C57B4"/>
    <w:rsid w:val="766E39D9"/>
    <w:rsid w:val="76C53359"/>
    <w:rsid w:val="76DE403B"/>
    <w:rsid w:val="76E41A31"/>
    <w:rsid w:val="76EE465E"/>
    <w:rsid w:val="77065E4C"/>
    <w:rsid w:val="771D5C89"/>
    <w:rsid w:val="772B7660"/>
    <w:rsid w:val="77383B2B"/>
    <w:rsid w:val="773B361B"/>
    <w:rsid w:val="77446974"/>
    <w:rsid w:val="776E2E3C"/>
    <w:rsid w:val="776F38A5"/>
    <w:rsid w:val="777F175A"/>
    <w:rsid w:val="77811976"/>
    <w:rsid w:val="77933457"/>
    <w:rsid w:val="779A6594"/>
    <w:rsid w:val="77BE04D4"/>
    <w:rsid w:val="77C41863"/>
    <w:rsid w:val="77D221D2"/>
    <w:rsid w:val="77D34C9D"/>
    <w:rsid w:val="78017594"/>
    <w:rsid w:val="78190F2E"/>
    <w:rsid w:val="781A76D5"/>
    <w:rsid w:val="7820118F"/>
    <w:rsid w:val="78266A6D"/>
    <w:rsid w:val="782B3690"/>
    <w:rsid w:val="782F4F2E"/>
    <w:rsid w:val="783C589D"/>
    <w:rsid w:val="7840713B"/>
    <w:rsid w:val="788259A6"/>
    <w:rsid w:val="789631FF"/>
    <w:rsid w:val="78BB0EB8"/>
    <w:rsid w:val="78CA10FB"/>
    <w:rsid w:val="78D05504"/>
    <w:rsid w:val="78D41F79"/>
    <w:rsid w:val="78D802CB"/>
    <w:rsid w:val="78DD67F1"/>
    <w:rsid w:val="78E201F2"/>
    <w:rsid w:val="78EA00BA"/>
    <w:rsid w:val="78EA52F9"/>
    <w:rsid w:val="78EC6ABE"/>
    <w:rsid w:val="78F846CC"/>
    <w:rsid w:val="79052133"/>
    <w:rsid w:val="79065C5A"/>
    <w:rsid w:val="79297BCF"/>
    <w:rsid w:val="79386064"/>
    <w:rsid w:val="795409C4"/>
    <w:rsid w:val="79586707"/>
    <w:rsid w:val="79587293"/>
    <w:rsid w:val="795E233C"/>
    <w:rsid w:val="797D7F1B"/>
    <w:rsid w:val="7997722F"/>
    <w:rsid w:val="79986B03"/>
    <w:rsid w:val="79A436FA"/>
    <w:rsid w:val="79AB2CDA"/>
    <w:rsid w:val="79C67B14"/>
    <w:rsid w:val="79D55FA9"/>
    <w:rsid w:val="79D57CAB"/>
    <w:rsid w:val="79DC2E94"/>
    <w:rsid w:val="79E24ADD"/>
    <w:rsid w:val="79E96D1D"/>
    <w:rsid w:val="79ED13A1"/>
    <w:rsid w:val="79F006ED"/>
    <w:rsid w:val="7A1F11F7"/>
    <w:rsid w:val="7A5A025C"/>
    <w:rsid w:val="7A777060"/>
    <w:rsid w:val="7A7C4677"/>
    <w:rsid w:val="7AA54450"/>
    <w:rsid w:val="7AAC0AB8"/>
    <w:rsid w:val="7AB21E46"/>
    <w:rsid w:val="7AB4796D"/>
    <w:rsid w:val="7ABE6A3D"/>
    <w:rsid w:val="7ACF0C4A"/>
    <w:rsid w:val="7ACF47A6"/>
    <w:rsid w:val="7AE83ABA"/>
    <w:rsid w:val="7AF81F4F"/>
    <w:rsid w:val="7AFE3D7E"/>
    <w:rsid w:val="7B03673F"/>
    <w:rsid w:val="7B041F22"/>
    <w:rsid w:val="7B3075F6"/>
    <w:rsid w:val="7B551150"/>
    <w:rsid w:val="7B65510B"/>
    <w:rsid w:val="7B661E49"/>
    <w:rsid w:val="7B6A4472"/>
    <w:rsid w:val="7BD858DD"/>
    <w:rsid w:val="7BDF5BB2"/>
    <w:rsid w:val="7BE91898"/>
    <w:rsid w:val="7C084414"/>
    <w:rsid w:val="7C4B255E"/>
    <w:rsid w:val="7C570EF7"/>
    <w:rsid w:val="7C612C3E"/>
    <w:rsid w:val="7C7D2C72"/>
    <w:rsid w:val="7CBE56A6"/>
    <w:rsid w:val="7CE107C1"/>
    <w:rsid w:val="7CF93D5D"/>
    <w:rsid w:val="7D0E0B09"/>
    <w:rsid w:val="7D1B0177"/>
    <w:rsid w:val="7D412D30"/>
    <w:rsid w:val="7D4C0330"/>
    <w:rsid w:val="7D782ED3"/>
    <w:rsid w:val="7D880A1A"/>
    <w:rsid w:val="7D8E01D6"/>
    <w:rsid w:val="7DCA74A7"/>
    <w:rsid w:val="7DD56578"/>
    <w:rsid w:val="7DF74740"/>
    <w:rsid w:val="7DF804B8"/>
    <w:rsid w:val="7DFD162B"/>
    <w:rsid w:val="7E186464"/>
    <w:rsid w:val="7E297C37"/>
    <w:rsid w:val="7E2D37B3"/>
    <w:rsid w:val="7E372D8F"/>
    <w:rsid w:val="7E412766"/>
    <w:rsid w:val="7E521976"/>
    <w:rsid w:val="7E553215"/>
    <w:rsid w:val="7E5E733A"/>
    <w:rsid w:val="7E922582"/>
    <w:rsid w:val="7E971A7F"/>
    <w:rsid w:val="7EB048EF"/>
    <w:rsid w:val="7EB3338E"/>
    <w:rsid w:val="7EC26C3D"/>
    <w:rsid w:val="7EC87E8B"/>
    <w:rsid w:val="7ED370B5"/>
    <w:rsid w:val="7EE747B5"/>
    <w:rsid w:val="7EFE1AFE"/>
    <w:rsid w:val="7F04132C"/>
    <w:rsid w:val="7F211349"/>
    <w:rsid w:val="7F224044"/>
    <w:rsid w:val="7F237D65"/>
    <w:rsid w:val="7F243486"/>
    <w:rsid w:val="7F2C0419"/>
    <w:rsid w:val="7F4A08A0"/>
    <w:rsid w:val="7F60187B"/>
    <w:rsid w:val="7F707033"/>
    <w:rsid w:val="7F753A92"/>
    <w:rsid w:val="7F7A15D3"/>
    <w:rsid w:val="7F8E06CB"/>
    <w:rsid w:val="7F9B734D"/>
    <w:rsid w:val="7FA11DD5"/>
    <w:rsid w:val="7FD840FD"/>
    <w:rsid w:val="7FDF548C"/>
    <w:rsid w:val="7FF5C601"/>
    <w:rsid w:val="7FF61C15"/>
    <w:rsid w:val="A8BF01C8"/>
    <w:rsid w:val="BD6C0A75"/>
    <w:rsid w:val="BFFF4AC0"/>
    <w:rsid w:val="CC755E78"/>
    <w:rsid w:val="D7F6E559"/>
    <w:rsid w:val="DF4F2A6A"/>
    <w:rsid w:val="DF7721A6"/>
    <w:rsid w:val="E167DA68"/>
    <w:rsid w:val="EB678524"/>
    <w:rsid w:val="EE9F18E7"/>
    <w:rsid w:val="F5FFB81F"/>
    <w:rsid w:val="F6FBC1D9"/>
    <w:rsid w:val="F8DAE6BF"/>
    <w:rsid w:val="FBFF624C"/>
    <w:rsid w:val="FFFFB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jc w:val="both"/>
      <w:textAlignment w:val="baseline"/>
    </w:pPr>
    <w:rPr>
      <w:rFonts w:ascii="宋体" w:hAnsi="Times New Roman" w:eastAsia="宋体" w:cs="宋体"/>
      <w:kern w:val="2"/>
      <w:sz w:val="24"/>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link w:val="69"/>
    <w:qFormat/>
    <w:uiPriority w:val="0"/>
    <w:pPr>
      <w:keepNext/>
      <w:keepLines/>
      <w:spacing w:before="260" w:after="260" w:line="413" w:lineRule="auto"/>
      <w:outlineLvl w:val="1"/>
    </w:pPr>
    <w:rPr>
      <w:rFonts w:ascii="Arial" w:hAnsi="Arial" w:eastAsia="黑体" w:cs="Times New Roman"/>
      <w:b/>
      <w:kern w:val="0"/>
      <w:sz w:val="32"/>
      <w:szCs w:val="20"/>
    </w:rPr>
  </w:style>
  <w:style w:type="paragraph" w:styleId="5">
    <w:name w:val="heading 3"/>
    <w:basedOn w:val="6"/>
    <w:next w:val="6"/>
    <w:qFormat/>
    <w:uiPriority w:val="0"/>
    <w:pPr>
      <w:keepNext/>
      <w:keepLines/>
      <w:spacing w:before="260" w:after="260" w:line="413" w:lineRule="auto"/>
      <w:outlineLvl w:val="2"/>
    </w:pPr>
    <w:rPr>
      <w:rFonts w:ascii="Times New Roman" w:cs="Times New Roman"/>
      <w:b/>
      <w:sz w:val="32"/>
      <w:szCs w:val="20"/>
    </w:rPr>
  </w:style>
  <w:style w:type="paragraph" w:styleId="2">
    <w:name w:val="heading 4"/>
    <w:basedOn w:val="1"/>
    <w:next w:val="1"/>
    <w:qFormat/>
    <w:uiPriority w:val="0"/>
    <w:pPr>
      <w:keepNext/>
      <w:keepLines/>
      <w:spacing w:before="280" w:after="290" w:line="374" w:lineRule="auto"/>
      <w:outlineLvl w:val="3"/>
    </w:pPr>
    <w:rPr>
      <w:rFonts w:ascii="Arial" w:hAnsi="Arial"/>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jc w:val="left"/>
    </w:pPr>
    <w:rPr>
      <w:kern w:val="0"/>
      <w:sz w:val="20"/>
    </w:rPr>
  </w:style>
  <w:style w:type="paragraph" w:styleId="7">
    <w:name w:val="annotation text"/>
    <w:basedOn w:val="1"/>
    <w:next w:val="1"/>
    <w:qFormat/>
    <w:uiPriority w:val="99"/>
    <w:pPr>
      <w:adjustRightInd w:val="0"/>
      <w:spacing w:line="360" w:lineRule="atLeast"/>
      <w:jc w:val="left"/>
    </w:pPr>
    <w:rPr>
      <w:rFonts w:cs="Times New Roman"/>
      <w:kern w:val="0"/>
    </w:rPr>
  </w:style>
  <w:style w:type="paragraph" w:styleId="8">
    <w:name w:val="Body Text"/>
    <w:basedOn w:val="1"/>
    <w:next w:val="1"/>
    <w:qFormat/>
    <w:uiPriority w:val="99"/>
    <w:rPr>
      <w:rFonts w:cs="Times New Roman"/>
      <w:kern w:val="0"/>
    </w:rPr>
  </w:style>
  <w:style w:type="paragraph" w:styleId="9">
    <w:name w:val="Body Text Indent"/>
    <w:basedOn w:val="1"/>
    <w:next w:val="10"/>
    <w:qFormat/>
    <w:uiPriority w:val="0"/>
    <w:pPr>
      <w:ind w:firstLine="560" w:firstLineChars="200"/>
    </w:pPr>
  </w:style>
  <w:style w:type="paragraph" w:styleId="10">
    <w:name w:val="envelope return"/>
    <w:basedOn w:val="1"/>
    <w:qFormat/>
    <w:uiPriority w:val="99"/>
    <w:pPr>
      <w:snapToGrid w:val="0"/>
    </w:pPr>
    <w:rPr>
      <w:rFonts w:ascii="Arial" w:hAnsi="Arial"/>
    </w:rPr>
  </w:style>
  <w:style w:type="paragraph" w:styleId="11">
    <w:name w:val="Body Text Indent 2"/>
    <w:basedOn w:val="1"/>
    <w:qFormat/>
    <w:uiPriority w:val="0"/>
    <w:pPr>
      <w:spacing w:line="480" w:lineRule="auto"/>
      <w:ind w:firstLine="561"/>
    </w:pPr>
  </w:style>
  <w:style w:type="paragraph" w:styleId="12">
    <w:name w:val="footer"/>
    <w:basedOn w:val="1"/>
    <w:qFormat/>
    <w:uiPriority w:val="99"/>
    <w:pPr>
      <w:tabs>
        <w:tab w:val="center" w:pos="4153"/>
        <w:tab w:val="right" w:pos="8306"/>
      </w:tabs>
      <w:snapToGrid w:val="0"/>
      <w:jc w:val="left"/>
    </w:pPr>
    <w:rPr>
      <w:rFonts w:cs="Times New Roman"/>
      <w:kern w:val="0"/>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4">
    <w:name w:val="toc 1"/>
    <w:basedOn w:val="1"/>
    <w:next w:val="1"/>
    <w:qFormat/>
    <w:uiPriority w:val="99"/>
  </w:style>
  <w:style w:type="paragraph" w:styleId="15">
    <w:name w:val="toc 2"/>
    <w:basedOn w:val="1"/>
    <w:next w:val="1"/>
    <w:qFormat/>
    <w:uiPriority w:val="99"/>
    <w:pPr>
      <w:ind w:left="420" w:leftChars="200"/>
    </w:pPr>
  </w:style>
  <w:style w:type="paragraph" w:styleId="16">
    <w:name w:val="Body Text 2"/>
    <w:basedOn w:val="1"/>
    <w:next w:val="8"/>
    <w:qFormat/>
    <w:uiPriority w:val="0"/>
    <w:pPr>
      <w:spacing w:line="500" w:lineRule="exact"/>
    </w:pPr>
    <w:rPr>
      <w:rFonts w:eastAsia="Times New Roman"/>
    </w:rPr>
  </w:style>
  <w:style w:type="paragraph" w:styleId="17">
    <w:name w:val="Normal (Web)"/>
    <w:basedOn w:val="1"/>
    <w:unhideWhenUsed/>
    <w:qFormat/>
    <w:uiPriority w:val="99"/>
    <w:pPr>
      <w:spacing w:before="100" w:beforeAutospacing="1" w:after="100" w:afterAutospacing="1" w:line="240" w:lineRule="auto"/>
      <w:jc w:val="left"/>
    </w:pPr>
    <w:rPr>
      <w:rFonts w:hAnsi="宋体"/>
      <w:kern w:val="0"/>
    </w:rPr>
  </w:style>
  <w:style w:type="paragraph" w:styleId="18">
    <w:name w:val="Body Text First Indent"/>
    <w:basedOn w:val="8"/>
    <w:qFormat/>
    <w:uiPriority w:val="99"/>
    <w:pPr>
      <w:spacing w:line="240" w:lineRule="auto"/>
      <w:ind w:firstLine="420" w:firstLineChars="100"/>
    </w:pPr>
    <w:rPr>
      <w:rFonts w:ascii="Times New Roman"/>
      <w:sz w:val="20"/>
      <w:szCs w:val="20"/>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99"/>
    <w:rPr>
      <w:b/>
      <w:bCs/>
    </w:rPr>
  </w:style>
  <w:style w:type="character" w:styleId="23">
    <w:name w:val="Emphasis"/>
    <w:basedOn w:val="21"/>
    <w:qFormat/>
    <w:uiPriority w:val="0"/>
    <w:rPr>
      <w:i/>
    </w:rPr>
  </w:style>
  <w:style w:type="character" w:styleId="24">
    <w:name w:val="Hyperlink"/>
    <w:basedOn w:val="21"/>
    <w:qFormat/>
    <w:uiPriority w:val="0"/>
    <w:rPr>
      <w:color w:val="0000FF"/>
      <w:u w:val="single"/>
    </w:rPr>
  </w:style>
  <w:style w:type="paragraph" w:customStyle="1" w:styleId="25">
    <w:name w:val="样式 宋体 行距: 1.5 倍行距"/>
    <w:basedOn w:val="26"/>
    <w:next w:val="1"/>
    <w:qFormat/>
    <w:uiPriority w:val="99"/>
    <w:pPr>
      <w:jc w:val="center"/>
    </w:pPr>
    <w:rPr>
      <w:rFonts w:ascii="Times New Roman" w:cs="Times New Roman"/>
      <w:b/>
      <w:bCs/>
    </w:rPr>
  </w:style>
  <w:style w:type="paragraph" w:customStyle="1" w:styleId="2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5"/>
    <w:qFormat/>
    <w:uiPriority w:val="0"/>
    <w:pPr>
      <w:widowControl w:val="0"/>
      <w:jc w:val="both"/>
    </w:pPr>
    <w:rPr>
      <w:rFonts w:ascii="Calibri" w:hAnsi="Calibri" w:eastAsia="宋体" w:cs="黑体"/>
      <w:kern w:val="2"/>
      <w:sz w:val="21"/>
      <w:szCs w:val="24"/>
      <w:lang w:val="en-US" w:eastAsia="zh-CN" w:bidi="ar-SA"/>
    </w:rPr>
  </w:style>
  <w:style w:type="paragraph" w:customStyle="1" w:styleId="27">
    <w:name w:val="UserStyle_95"/>
    <w:qFormat/>
    <w:uiPriority w:val="99"/>
    <w:pPr>
      <w:jc w:val="both"/>
      <w:textAlignment w:val="baseline"/>
    </w:pPr>
    <w:rPr>
      <w:rFonts w:ascii="Times New Roman" w:hAnsi="Times New Roman" w:eastAsia="楷体_GB2312" w:cs="Times New Roman"/>
      <w:kern w:val="2"/>
      <w:sz w:val="21"/>
      <w:szCs w:val="21"/>
      <w:lang w:val="en-US" w:eastAsia="zh-CN" w:bidi="ar-SA"/>
    </w:rPr>
  </w:style>
  <w:style w:type="character" w:customStyle="1" w:styleId="28">
    <w:name w:val="NormalCharacter"/>
    <w:qFormat/>
    <w:uiPriority w:val="99"/>
  </w:style>
  <w:style w:type="paragraph" w:customStyle="1" w:styleId="29">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30">
    <w:name w:val="AnnotationText"/>
    <w:basedOn w:val="1"/>
    <w:qFormat/>
    <w:uiPriority w:val="99"/>
    <w:pPr>
      <w:spacing w:line="360" w:lineRule="atLeast"/>
      <w:jc w:val="left"/>
    </w:pPr>
    <w:rPr>
      <w:kern w:val="0"/>
    </w:rPr>
  </w:style>
  <w:style w:type="paragraph" w:customStyle="1" w:styleId="31">
    <w:name w:val="Heading1"/>
    <w:basedOn w:val="1"/>
    <w:next w:val="1"/>
    <w:qFormat/>
    <w:uiPriority w:val="99"/>
    <w:pPr>
      <w:jc w:val="left"/>
    </w:pPr>
    <w:rPr>
      <w:kern w:val="0"/>
      <w:sz w:val="30"/>
      <w:szCs w:val="30"/>
    </w:rPr>
  </w:style>
  <w:style w:type="paragraph" w:customStyle="1" w:styleId="32">
    <w:name w:val="Heading2"/>
    <w:basedOn w:val="1"/>
    <w:next w:val="1"/>
    <w:qFormat/>
    <w:uiPriority w:val="99"/>
    <w:pPr>
      <w:jc w:val="left"/>
    </w:pPr>
    <w:rPr>
      <w:kern w:val="0"/>
    </w:rPr>
  </w:style>
  <w:style w:type="paragraph" w:customStyle="1" w:styleId="33">
    <w:name w:val="正文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4">
    <w:name w:val="正文 New New New"/>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35">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6">
    <w:name w:val="UserStyle_62"/>
    <w:basedOn w:val="1"/>
    <w:next w:val="1"/>
    <w:qFormat/>
    <w:uiPriority w:val="99"/>
    <w:pPr>
      <w:jc w:val="center"/>
    </w:pPr>
    <w:rPr>
      <w:rFonts w:ascii="Times New Roman" w:cs="Times New Roman"/>
      <w:b/>
      <w:bCs/>
    </w:rPr>
  </w:style>
  <w:style w:type="paragraph" w:customStyle="1" w:styleId="37">
    <w:name w:val="正文缩进1"/>
    <w:basedOn w:val="1"/>
    <w:qFormat/>
    <w:uiPriority w:val="0"/>
    <w:pPr>
      <w:ind w:firstLine="420"/>
      <w:jc w:val="left"/>
    </w:pPr>
    <w:rPr>
      <w:rFonts w:cs="Times New Roman"/>
      <w:kern w:val="0"/>
      <w:sz w:val="20"/>
      <w:szCs w:val="20"/>
    </w:rPr>
  </w:style>
  <w:style w:type="paragraph" w:customStyle="1" w:styleId="38">
    <w:name w:val="BodyTextIndent"/>
    <w:basedOn w:val="1"/>
    <w:qFormat/>
    <w:uiPriority w:val="99"/>
    <w:pPr>
      <w:ind w:firstLine="560" w:firstLineChars="200"/>
    </w:pPr>
    <w:rPr>
      <w:rFonts w:cs="Times New Roman"/>
    </w:rPr>
  </w:style>
  <w:style w:type="paragraph" w:customStyle="1" w:styleId="39">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25"/>
    <w:qFormat/>
    <w:uiPriority w:val="0"/>
    <w:pPr>
      <w:widowControl w:val="0"/>
      <w:jc w:val="both"/>
    </w:pPr>
    <w:rPr>
      <w:rFonts w:ascii="Calibri" w:hAnsi="Calibri" w:eastAsia="宋体" w:cs="黑体"/>
      <w:kern w:val="2"/>
      <w:sz w:val="21"/>
      <w:szCs w:val="24"/>
      <w:lang w:val="en-US" w:eastAsia="zh-CN" w:bidi="ar-SA"/>
    </w:rPr>
  </w:style>
  <w:style w:type="paragraph" w:customStyle="1" w:styleId="40">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1">
    <w:name w:val="正文1"/>
    <w:basedOn w:val="1"/>
    <w:qFormat/>
    <w:uiPriority w:val="0"/>
    <w:rPr>
      <w:rFonts w:cs="Times New Roman"/>
    </w:rPr>
  </w:style>
  <w:style w:type="character" w:customStyle="1" w:styleId="42">
    <w:name w:val="正文文本 (2) + 间距 0 pt3"/>
    <w:qFormat/>
    <w:uiPriority w:val="99"/>
    <w:rPr>
      <w:rFonts w:ascii="MingLiU" w:eastAsia="MingLiU" w:cs="MingLiU"/>
      <w:spacing w:val="0"/>
      <w:sz w:val="22"/>
      <w:szCs w:val="22"/>
      <w:u w:val="none"/>
    </w:rPr>
  </w:style>
  <w:style w:type="paragraph" w:customStyle="1" w:styleId="43">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4">
    <w:name w:val="UserStyle_44"/>
    <w:basedOn w:val="45"/>
    <w:qFormat/>
    <w:uiPriority w:val="99"/>
    <w:rPr>
      <w:sz w:val="24"/>
      <w:szCs w:val="24"/>
    </w:rPr>
  </w:style>
  <w:style w:type="paragraph" w:customStyle="1" w:styleId="45">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46">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7">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8">
    <w:name w:val="_Style 1"/>
    <w:basedOn w:val="1"/>
    <w:qFormat/>
    <w:uiPriority w:val="0"/>
    <w:pPr>
      <w:spacing w:line="240" w:lineRule="auto"/>
      <w:ind w:firstLine="420" w:firstLineChars="200"/>
    </w:pPr>
    <w:rPr>
      <w:rFonts w:ascii="Calibri" w:hAnsi="Calibri"/>
      <w:sz w:val="21"/>
      <w:szCs w:val="22"/>
    </w:rPr>
  </w:style>
  <w:style w:type="paragraph" w:customStyle="1" w:styleId="49">
    <w:name w:val="标题 3 New New"/>
    <w:basedOn w:val="50"/>
    <w:next w:val="50"/>
    <w:qFormat/>
    <w:uiPriority w:val="0"/>
    <w:pPr>
      <w:keepNext/>
      <w:keepLines/>
      <w:spacing w:before="120" w:after="120"/>
      <w:jc w:val="center"/>
      <w:outlineLvl w:val="2"/>
    </w:pPr>
    <w:rPr>
      <w:sz w:val="24"/>
    </w:rPr>
  </w:style>
  <w:style w:type="paragraph" w:customStyle="1" w:styleId="50">
    <w:name w:val="正文缩进 New"/>
    <w:basedOn w:val="51"/>
    <w:qFormat/>
    <w:uiPriority w:val="0"/>
    <w:pPr>
      <w:widowControl/>
      <w:ind w:firstLine="420"/>
      <w:jc w:val="left"/>
    </w:pPr>
    <w:rPr>
      <w:rFonts w:ascii="Times New Roman"/>
      <w:kern w:val="0"/>
      <w:sz w:val="20"/>
    </w:rPr>
  </w:style>
  <w:style w:type="paragraph" w:customStyle="1" w:styleId="51">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2">
    <w:name w:val="UserStyle_90"/>
    <w:basedOn w:val="1"/>
    <w:qFormat/>
    <w:uiPriority w:val="99"/>
    <w:pPr>
      <w:topLinePunct/>
      <w:ind w:firstLine="420" w:firstLineChars="200"/>
    </w:pPr>
    <w:rPr>
      <w:rFonts w:hAnsi="宋体"/>
    </w:rPr>
  </w:style>
  <w:style w:type="paragraph" w:customStyle="1" w:styleId="53">
    <w:name w:val="Heading3"/>
    <w:basedOn w:val="54"/>
    <w:next w:val="54"/>
    <w:qFormat/>
    <w:uiPriority w:val="99"/>
    <w:pPr>
      <w:keepNext/>
      <w:keepLines/>
      <w:spacing w:before="120" w:after="120"/>
      <w:jc w:val="center"/>
    </w:pPr>
    <w:rPr>
      <w:sz w:val="24"/>
      <w:szCs w:val="24"/>
    </w:rPr>
  </w:style>
  <w:style w:type="paragraph" w:customStyle="1" w:styleId="54">
    <w:name w:val="NormalIndent"/>
    <w:basedOn w:val="1"/>
    <w:qFormat/>
    <w:uiPriority w:val="99"/>
    <w:pPr>
      <w:ind w:firstLine="420"/>
      <w:jc w:val="left"/>
    </w:pPr>
    <w:rPr>
      <w:kern w:val="0"/>
      <w:sz w:val="20"/>
      <w:szCs w:val="20"/>
    </w:rPr>
  </w:style>
  <w:style w:type="paragraph" w:customStyle="1" w:styleId="55">
    <w:name w:val="UserStyle_76"/>
    <w:basedOn w:val="56"/>
    <w:qFormat/>
    <w:uiPriority w:val="99"/>
    <w:pPr>
      <w:ind w:firstLine="420"/>
      <w:jc w:val="left"/>
    </w:pPr>
    <w:rPr>
      <w:kern w:val="0"/>
      <w:sz w:val="20"/>
      <w:szCs w:val="20"/>
    </w:rPr>
  </w:style>
  <w:style w:type="paragraph" w:customStyle="1" w:styleId="56">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57">
    <w:name w:val="标题 2 New"/>
    <w:basedOn w:val="34"/>
    <w:qFormat/>
    <w:uiPriority w:val="0"/>
    <w:pPr>
      <w:widowControl/>
      <w:spacing w:before="100" w:beforeAutospacing="1" w:after="100" w:afterAutospacing="1"/>
      <w:jc w:val="left"/>
      <w:outlineLvl w:val="1"/>
    </w:pPr>
    <w:rPr>
      <w:rFonts w:ascii="宋体" w:hAnsi="宋体"/>
      <w:b/>
      <w:bCs/>
      <w:kern w:val="0"/>
      <w:sz w:val="24"/>
      <w:szCs w:val="36"/>
    </w:rPr>
  </w:style>
  <w:style w:type="paragraph" w:customStyle="1" w:styleId="58">
    <w:name w:val="正文文本缩进 New"/>
    <w:basedOn w:val="51"/>
    <w:qFormat/>
    <w:uiPriority w:val="0"/>
    <w:pPr>
      <w:ind w:firstLine="560" w:firstLineChars="200"/>
    </w:pPr>
  </w:style>
  <w:style w:type="paragraph" w:customStyle="1" w:styleId="59">
    <w:name w:val="正文 New"/>
    <w:qFormat/>
    <w:uiPriority w:val="0"/>
    <w:pPr>
      <w:widowControl w:val="0"/>
      <w:spacing w:line="360" w:lineRule="auto"/>
      <w:jc w:val="both"/>
    </w:pPr>
    <w:rPr>
      <w:rFonts w:ascii="宋体" w:hAnsi="Calibri" w:eastAsia="微软雅黑" w:cs="Times New Roman"/>
      <w:kern w:val="2"/>
      <w:sz w:val="24"/>
      <w:lang w:val="en-US" w:eastAsia="zh-CN" w:bidi="ar-SA"/>
    </w:rPr>
  </w:style>
  <w:style w:type="paragraph" w:customStyle="1" w:styleId="60">
    <w:name w:val="BodyText"/>
    <w:basedOn w:val="1"/>
    <w:qFormat/>
    <w:uiPriority w:val="99"/>
    <w:pPr>
      <w:spacing w:after="120"/>
    </w:pPr>
  </w:style>
  <w:style w:type="paragraph" w:customStyle="1" w:styleId="61">
    <w:name w:val="UserStyle_60"/>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62">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3">
    <w:name w:val="标题 2 Char"/>
    <w:qFormat/>
    <w:uiPriority w:val="0"/>
    <w:rPr>
      <w:rFonts w:ascii="Arial" w:hAnsi="Arial" w:eastAsia="黑体" w:cs="Times New Roman"/>
      <w:b/>
      <w:kern w:val="0"/>
      <w:sz w:val="32"/>
      <w:szCs w:val="20"/>
    </w:rPr>
  </w:style>
  <w:style w:type="paragraph" w:customStyle="1" w:styleId="64">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5">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6">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7">
    <w:name w:val="Table Text"/>
    <w:basedOn w:val="1"/>
    <w:semiHidden/>
    <w:qFormat/>
    <w:uiPriority w:val="0"/>
    <w:rPr>
      <w:rFonts w:hAnsi="宋体"/>
      <w:sz w:val="19"/>
      <w:szCs w:val="19"/>
      <w:lang w:eastAsia="en-US"/>
    </w:rPr>
  </w:style>
  <w:style w:type="table" w:customStyle="1" w:styleId="68">
    <w:name w:val="Table Normal"/>
    <w:unhideWhenUsed/>
    <w:qFormat/>
    <w:uiPriority w:val="0"/>
    <w:tblPr>
      <w:tblCellMar>
        <w:top w:w="0" w:type="dxa"/>
        <w:left w:w="0" w:type="dxa"/>
        <w:bottom w:w="0" w:type="dxa"/>
        <w:right w:w="0" w:type="dxa"/>
      </w:tblCellMar>
    </w:tblPr>
  </w:style>
  <w:style w:type="character" w:customStyle="1" w:styleId="69">
    <w:name w:val="标题 2 字符"/>
    <w:link w:val="4"/>
    <w:qFormat/>
    <w:uiPriority w:val="0"/>
    <w:rPr>
      <w:rFonts w:ascii="Arial" w:hAnsi="Arial" w:eastAsia="黑体"/>
      <w:b/>
      <w:sz w:val="32"/>
    </w:rPr>
  </w:style>
  <w:style w:type="paragraph" w:customStyle="1" w:styleId="70">
    <w:name w:val="正文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1">
    <w:name w:val="内嵌文档标题2"/>
    <w:next w:val="1"/>
    <w:qFormat/>
    <w:uiPriority w:val="0"/>
    <w:pPr>
      <w:widowControl w:val="0"/>
      <w:shd w:val="clear" w:color="auto" w:fill="FFFFFF"/>
      <w:spacing w:before="240" w:after="240" w:line="360" w:lineRule="auto"/>
      <w:jc w:val="center"/>
      <w:outlineLvl w:val="0"/>
    </w:pPr>
    <w:rPr>
      <w:rFonts w:ascii="宋体" w:hAnsi="宋体" w:eastAsia="宋体" w:cs="宋体"/>
      <w:b/>
      <w:bCs/>
      <w:sz w:val="24"/>
      <w:szCs w:val="30"/>
      <w:lang w:val="en-US" w:eastAsia="zh-CN" w:bidi="ar-SA"/>
    </w:rPr>
  </w:style>
  <w:style w:type="paragraph" w:customStyle="1" w:styleId="72">
    <w:name w:val="强调标题"/>
    <w:next w:val="1"/>
    <w:qFormat/>
    <w:uiPriority w:val="0"/>
    <w:pPr>
      <w:spacing w:line="360" w:lineRule="auto"/>
    </w:pPr>
    <w:rPr>
      <w:rFonts w:ascii="宋体" w:hAnsi="宋体" w:eastAsia="宋体" w:cs="宋体"/>
      <w:kern w:val="2"/>
      <w:sz w:val="21"/>
      <w:szCs w:val="21"/>
      <w:lang w:val="en-US" w:eastAsia="zh-CN" w:bidi="ar-SA"/>
    </w:rPr>
  </w:style>
  <w:style w:type="paragraph" w:customStyle="1" w:styleId="73">
    <w:name w:val="正文文本缩进 New New"/>
    <w:basedOn w:val="59"/>
    <w:qFormat/>
    <w:uiPriority w:val="0"/>
    <w:pPr>
      <w:ind w:firstLine="560" w:firstLineChars="200"/>
    </w:pPr>
  </w:style>
  <w:style w:type="paragraph" w:customStyle="1" w:styleId="74">
    <w:name w:val="正文 New New New New New New New New New New New New New New New New New New New New New New New New New New New New New New New New New New New New New New New New New New New New New New New New New New New New New New New New New New New New New New Ne2"/>
    <w:qFormat/>
    <w:uiPriority w:val="0"/>
    <w:pPr>
      <w:widowControl w:val="0"/>
      <w:jc w:val="both"/>
    </w:pPr>
    <w:rPr>
      <w:rFonts w:ascii="宋体" w:hAnsi="宋体" w:eastAsia="宋体" w:cs="Times New Roman"/>
      <w:kern w:val="16"/>
      <w:sz w:val="21"/>
      <w:szCs w:val="24"/>
      <w:lang w:val="en-US" w:eastAsia="zh-CN" w:bidi="ar-SA"/>
    </w:rPr>
  </w:style>
  <w:style w:type="paragraph" w:customStyle="1" w:styleId="75">
    <w:name w:val="正文缩进2"/>
    <w:basedOn w:val="1"/>
    <w:qFormat/>
    <w:uiPriority w:val="0"/>
    <w:pPr>
      <w:ind w:firstLine="420"/>
      <w:jc w:val="left"/>
    </w:pPr>
    <w:rPr>
      <w:rFonts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14.png"/><Relationship Id="rId33" Type="http://schemas.openxmlformats.org/officeDocument/2006/relationships/image" Target="media/image13.wmf"/><Relationship Id="rId32" Type="http://schemas.openxmlformats.org/officeDocument/2006/relationships/oleObject" Target="embeddings/oleObject12.bin"/><Relationship Id="rId31" Type="http://schemas.openxmlformats.org/officeDocument/2006/relationships/image" Target="media/image12.wmf"/><Relationship Id="rId30" Type="http://schemas.openxmlformats.org/officeDocument/2006/relationships/oleObject" Target="embeddings/oleObject11.bin"/><Relationship Id="rId3" Type="http://schemas.openxmlformats.org/officeDocument/2006/relationships/footnotes" Target="footnotes.xml"/><Relationship Id="rId29" Type="http://schemas.openxmlformats.org/officeDocument/2006/relationships/image" Target="media/image11.wmf"/><Relationship Id="rId28" Type="http://schemas.openxmlformats.org/officeDocument/2006/relationships/oleObject" Target="embeddings/oleObject10.bin"/><Relationship Id="rId27" Type="http://schemas.openxmlformats.org/officeDocument/2006/relationships/image" Target="media/image10.wmf"/><Relationship Id="rId26" Type="http://schemas.openxmlformats.org/officeDocument/2006/relationships/oleObject" Target="embeddings/oleObject9.bin"/><Relationship Id="rId25" Type="http://schemas.openxmlformats.org/officeDocument/2006/relationships/image" Target="media/image9.wmf"/><Relationship Id="rId24" Type="http://schemas.openxmlformats.org/officeDocument/2006/relationships/oleObject" Target="embeddings/oleObject8.bin"/><Relationship Id="rId23" Type="http://schemas.openxmlformats.org/officeDocument/2006/relationships/image" Target="media/image8.wmf"/><Relationship Id="rId22" Type="http://schemas.openxmlformats.org/officeDocument/2006/relationships/oleObject" Target="embeddings/oleObject7.bin"/><Relationship Id="rId21" Type="http://schemas.openxmlformats.org/officeDocument/2006/relationships/image" Target="media/image7.w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5.bin"/><Relationship Id="rId17" Type="http://schemas.openxmlformats.org/officeDocument/2006/relationships/image" Target="media/image5.wmf"/><Relationship Id="rId16" Type="http://schemas.openxmlformats.org/officeDocument/2006/relationships/oleObject" Target="embeddings/oleObject4.bin"/><Relationship Id="rId15" Type="http://schemas.openxmlformats.org/officeDocument/2006/relationships/image" Target="media/image4.wmf"/><Relationship Id="rId14" Type="http://schemas.openxmlformats.org/officeDocument/2006/relationships/oleObject" Target="embeddings/oleObject3.bin"/><Relationship Id="rId13" Type="http://schemas.openxmlformats.org/officeDocument/2006/relationships/image" Target="media/image3.wmf"/><Relationship Id="rId12" Type="http://schemas.openxmlformats.org/officeDocument/2006/relationships/oleObject" Target="embeddings/oleObject2.bin"/><Relationship Id="rId11" Type="http://schemas.openxmlformats.org/officeDocument/2006/relationships/image" Target="media/image2.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25e3ee0c-77a8-4b77-9046-dd4321293ab5</errorID>
      <errorWord>证</errorWord>
      <group>L1_Word</group>
      <groupName>字词问题</groupName>
      <ability>L2_Typo</ability>
      <abilityName>字词错误</abilityName>
      <candidateList>
        <item>证金</item>
      </candidateList>
      <explain/>
      <paraID>18C9CE4A</paraID>
      <start>24</start>
      <end>25</end>
      <status>unmodified</status>
      <modifiedWord/>
      <trackRevisions>false</trackRevisions>
    </reviewItem>
    <reviewItem>
      <errorID>118aa1dd-5636-4031-b79f-acacf4f2e563</errorID>
      <errorWord>。</errorWord>
      <group>L1_Grammar</group>
      <groupName>语法问题</groupName>
      <ability>L2_Missing</ability>
      <abilityName>成分残缺</abilityName>
      <candidateList>
        <item>金。</item>
      </candidateList>
      <explain>句子中可能存在主谓宾、修饰语或者必要的词语残缺。</explain>
      <paraID>18C9CE4A</paraID>
      <start>25</start>
      <end>26</end>
      <status>unmodified</status>
      <modifiedWord/>
      <trackRevisions>false</trackRevisions>
    </reviewItem>
    <reviewItem>
      <errorID>d9154087-3d48-42a2-9c3e-d218bbbc973e</errorID>
      <errorWord>保证缴</errorWord>
      <group>L1_Word</group>
      <groupName>字词问题</groupName>
      <ability>L2_Typo</ability>
      <abilityName>字词错误</abilityName>
      <candidateList>
        <item>保证金</item>
      </candidateList>
      <explain/>
      <paraID>65D8F937</paraID>
      <start>2</start>
      <end>5</end>
      <status>unmodified</status>
      <modifiedWord/>
      <trackRevisions>false</trackRevisions>
    </reviewItem>
    <reviewItem>
      <errorID>2bc5e9f7-7656-4b7e-8430-e8c9c43d3ba5</errorID>
      <errorWord>纳</errorWord>
      <group>L1_Word</group>
      <groupName>字词问题</groupName>
      <ability>L2_Typo</ability>
      <abilityName>字词错误</abilityName>
      <candidateList>
        <item>的</item>
      </candidateList>
      <explain/>
      <paraID>735D2D02</paraID>
      <start>0</start>
      <end>1</end>
      <status>unmodified</status>
      <modifiedWord/>
      <trackRevisions>false</trackRevisions>
    </reviewItem>
    <reviewItem>
      <errorID>2b961d00-d417-48ab-bd6e-afab2f428496</errorID>
      <errorWord>证</errorWord>
      <group>L1_Word</group>
      <groupName>字词问题</groupName>
      <ability>L2_Typo</ability>
      <abilityName>字词错误</abilityName>
      <candidateList>
        <item>证金</item>
      </candidateList>
      <explain/>
      <paraID>3CAE0150</paraID>
      <start>27</start>
      <end>28</end>
      <status>unmodified</status>
      <modifiedWord/>
      <trackRevisions>false</trackRevisions>
    </reviewItem>
    <reviewItem>
      <errorID>ba4647b5-84ad-4013-95a2-61b59f6c803a</errorID>
      <errorWord>证</errorWord>
      <group>L1_Word</group>
      <groupName>字词问题</groupName>
      <ability>L2_Typo</ability>
      <abilityName>字词错误</abilityName>
      <candidateList>
        <item>证金</item>
      </candidateList>
      <explain/>
      <paraID>7DF63541</paraID>
      <start>34</start>
      <end>35</end>
      <status>unmodified</status>
      <modifiedWord/>
      <trackRevisions>false</trackRevisions>
    </reviewItem>
    <reviewItem>
      <errorID>4b5c1843-eb07-46da-892a-a03471a7d30f</errorID>
      <errorWord>证</errorWord>
      <group>L1_Word</group>
      <groupName>字词问题</groupName>
      <ability>L2_Typo</ability>
      <abilityName>字词错误</abilityName>
      <candidateList>
        <item>证金</item>
      </candidateList>
      <explain/>
      <paraID>26C03FD7</paraID>
      <start>6</start>
      <end>7</end>
      <status>unmodified</status>
      <modifiedWord/>
      <trackRevisions>false</trackRevisions>
    </reviewItem>
    <reviewItem>
      <errorID>ee2dfec6-6b40-4cb9-b1ff-dd02e0e1d1cc</errorID>
      <errorWord>（</errorWord>
      <group>L1_Punc</group>
      <groupName>标点问题</groupName>
      <ability>L2_Punc_CN</ability>
      <abilityName>标点符号问题</abilityName>
      <candidateList/>
      <explain>同一形式括号套用。</explain>
      <paraID>25982497</paraID>
      <start>111</start>
      <end>112</end>
      <status>unmodified</status>
      <modifiedWord/>
      <trackRevisions>false</trackRevisions>
    </reviewItem>
    <reviewItem>
      <errorID>3df68f54-d81b-4c9a-bab3-33eb71ed354e</errorID>
      <errorWord>）</errorWord>
      <group>L1_Punc</group>
      <groupName>标点问题</groupName>
      <ability>L2_Punc_CN</ability>
      <abilityName>标点符号问题</abilityName>
      <candidateList/>
      <explain>同一形式括号套用。</explain>
      <paraID>25982497</paraID>
      <start>114</start>
      <end>115</end>
      <status>unmodified</status>
      <modifiedWord/>
      <trackRevisions>false</trackRevisions>
    </reviewItem>
    <reviewItem>
      <errorID>54eb66c2-c525-4976-9a64-74fa7ceac105</errorID>
      <errorWord>组织设计的编制</errorWord>
      <group>L1_Word</group>
      <groupName>字词问题</groupName>
      <ability>L2_Typo</ability>
      <abilityName>字词错误</abilityName>
      <candidateList>
        <item>组织设计编制</item>
      </candidateList>
      <explain/>
      <paraID>4958387B</paraID>
      <start>7</start>
      <end>14</end>
      <status>unmodified</status>
      <modifiedWord/>
      <trackRevisions>false</trackRevisions>
    </reviewItem>
    <reviewItem>
      <errorID>71c6720c-c3e1-4a8a-a361-f9a189b9d7f3</errorID>
      <errorWord>证</errorWord>
      <group>L1_Word</group>
      <groupName>字词问题</groupName>
      <ability>L2_Typo</ability>
      <abilityName>字词错误</abilityName>
      <candidateList>
        <item>证金</item>
      </candidateList>
      <explain/>
      <paraID>  99CF6F</paraID>
      <start>31</start>
      <end>32</end>
      <status>unmodified</status>
      <modifiedWord/>
      <trackRevisions>false</trackRevisions>
    </reviewItem>
    <reviewItem>
      <errorID>acc3af3a-f683-4cfd-819d-4263a7419aa7</errorID>
      <errorWord>证</errorWord>
      <group>L1_Word</group>
      <groupName>字词问题</groupName>
      <ability>L2_Typo</ability>
      <abilityName>字词错误</abilityName>
      <candidateList>
        <item>证金</item>
      </candidateList>
      <explain/>
      <paraID>44F5E49F</paraID>
      <start>31</start>
      <end>32</end>
      <status>unmodified</status>
      <modifiedWord/>
      <trackRevisions>false</trackRevisions>
    </reviewItem>
    <reviewItem>
      <errorID>d3349d6f-2192-4e90-bea7-9b363714562b</errorID>
      <errorWord>证</errorWord>
      <group>L1_Word</group>
      <groupName>字词问题</groupName>
      <ability>L2_Typo</ability>
      <abilityName>字词错误</abilityName>
      <candidateList>
        <item>证金</item>
      </candidateList>
      <explain/>
      <paraID>44F5E49F</paraID>
      <start>94</start>
      <end>95</end>
      <status>unmodified</status>
      <modifiedWord/>
      <trackRevisions>false</trackRevisions>
    </reviewItem>
    <reviewItem>
      <errorID>dd6b2691-e8fb-48b2-8966-f427d09632c6</errorID>
      <errorWord>证</errorWord>
      <group>L1_Word</group>
      <groupName>字词问题</groupName>
      <ability>L2_Typo</ability>
      <abilityName>字词错误</abilityName>
      <candidateList>
        <item>证金</item>
      </candidateList>
      <explain/>
      <paraID>18421808</paraID>
      <start>55</start>
      <end>56</end>
      <status>unmodified</status>
      <modifiedWord/>
      <trackRevisions>false</trackRevisions>
    </reviewItem>
    <reviewItem>
      <errorID>2dcbdebc-44e3-44e3-92b4-b1a75c09582e</errorID>
      <errorWord>年度</errorWord>
      <group>L1_Word</group>
      <groupName>字词问题</groupName>
      <ability>L2_Typo</ability>
      <abilityName>字词错误</abilityName>
      <candidateList>
        <item>年</item>
      </candidateList>
      <explain/>
      <paraID>353C3A9C</paraID>
      <start>6</start>
      <end>8</end>
      <status>unmodified</status>
      <modifiedWord/>
      <trackRevisions>false</trackRevisions>
    </reviewItem>
    <reviewItem>
      <errorID>0fc069ea-d6b6-43f8-84ba-0a057f5a4926</errorID>
      <errorWord>证</errorWord>
      <group>L1_Word</group>
      <groupName>字词问题</groupName>
      <ability>L2_Typo</ability>
      <abilityName>字词错误</abilityName>
      <candidateList>
        <item>证金</item>
      </candidateList>
      <explain/>
      <paraID>19E0988C</paraID>
      <start>30</start>
      <end>31</end>
      <status>unmodified</status>
      <modifiedWord/>
      <trackRevisions>false</trackRevisions>
    </reviewItem>
    <reviewItem>
      <errorID>88f7a5da-a2bb-484a-b9a7-dddfe44b8fd5</errorID>
      <errorWord>证</errorWord>
      <group>L1_Word</group>
      <groupName>字词问题</groupName>
      <ability>L2_Typo</ability>
      <abilityName>字词错误</abilityName>
      <candidateList>
        <item>证金</item>
      </candidateList>
      <explain/>
      <paraID>2C91BABA</paraID>
      <start>51</start>
      <end>52</end>
      <status>unmodified</status>
      <modifiedWord/>
      <trackRevisions>false</trackRevisions>
    </reviewItem>
    <reviewItem>
      <errorID>218353d4-0ec2-4865-b7f1-e87857b20e0d</errorID>
      <errorWord>证</errorWord>
      <group>L1_Word</group>
      <groupName>字词问题</groupName>
      <ability>L2_Typo</ability>
      <abilityName>字词错误</abilityName>
      <candidateList>
        <item>证金</item>
      </candidateList>
      <explain/>
      <paraID>2C91BABA</paraID>
      <start>82</start>
      <end>83</end>
      <status>unmodified</status>
      <modifiedWord/>
      <trackRevisions>false</trackRevisions>
    </reviewItem>
    <reviewItem>
      <errorID>3fd1cd84-b90c-4da5-bf8f-5ba36fa8605a</errorID>
      <errorWord>房</errorWord>
      <group>L1_Word</group>
      <groupName>字词问题</groupName>
      <ability>L2_Typo</ability>
      <abilityName>字词错误</abilityName>
      <candidateList>
        <item>房和</item>
      </candidateList>
      <explain/>
      <paraID>6B648323</paraID>
      <start>44</start>
      <end>45</end>
      <status>unmodified</status>
      <modifiedWord/>
      <trackRevisions>false</trackRevisions>
    </reviewItem>
    <reviewItem>
      <errorID>f90119fa-21a0-4daa-a18c-e6d7d12b4d3f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6B648323</paraID>
      <start>189</start>
      <end>190</end>
      <status>unmodified</status>
      <modifiedWord/>
      <trackRevisions>false</trackRevisions>
    </reviewItem>
    <reviewItem>
      <errorID>31cc35cb-af09-442f-9a6c-40f274b7677b</errorID>
      <errorWord>（</errorWord>
      <group>L1_Punc</group>
      <groupName>标点问题</groupName>
      <ability>L2_Punc_CN</ability>
      <abilityName>标点符号问题</abilityName>
      <candidateList/>
      <explain>同一形式括号套用。</explain>
      <paraID>17199FD3</paraID>
      <start>47</start>
      <end>48</end>
      <status>unmodified</status>
      <modifiedWord/>
      <trackRevisions>false</trackRevisions>
    </reviewItem>
    <reviewItem>
      <errorID>33742fb4-6344-4a8c-8a4f-08e7920c3196</errorID>
      <errorWord>）</errorWord>
      <group>L1_Punc</group>
      <groupName>标点问题</groupName>
      <ability>L2_Punc_CN</ability>
      <abilityName>标点符号问题</abilityName>
      <candidateList/>
      <explain>同一形式括号套用。</explain>
      <paraID>17199FD3</paraID>
      <start>50</start>
      <end>51</end>
      <status>unmodified</status>
      <modifiedWord/>
      <trackRevisions>false</trackRevisions>
    </reviewItem>
    <reviewItem>
      <errorID>cedc0eb5-69a0-433c-acd4-9574e2590fb4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B83BA04</paraID>
      <start>155</start>
      <end>156</end>
      <status>unmodified</status>
      <modifiedWord/>
      <trackRevisions>false</trackRevisions>
    </reviewItem>
    <reviewItem>
      <errorID>accf79e4-2665-4b3d-a811-8a0fd6ed54ad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4B974983</paraID>
      <start>252</start>
      <end>253</end>
      <status>unmodified</status>
      <modifiedWord/>
      <trackRevisions>false</trackRevisions>
    </reviewItem>
    <reviewItem>
      <errorID>b3b49266-a79d-4e4c-bc46-831a9bffb5df</errorID>
      <errorWord>（</errorWord>
      <group>L1_Punc</group>
      <groupName>标点问题</groupName>
      <ability>L2_Punc_CN</ability>
      <abilityName>标点符号问题</abilityName>
      <candidateList/>
      <explain>同一形式括号套用。</explain>
      <paraID> 5DB32D4</paraID>
      <start>23</start>
      <end>24</end>
      <status>unmodified</status>
      <modifiedWord/>
      <trackRevisions>false</trackRevisions>
    </reviewItem>
    <reviewItem>
      <errorID>d00ab925-a021-43c4-aa07-289df7c13296</errorID>
      <errorWord>）</errorWord>
      <group>L1_Punc</group>
      <groupName>标点问题</groupName>
      <ability>L2_Punc_CN</ability>
      <abilityName>标点符号问题</abilityName>
      <candidateList/>
      <explain>同一形式括号套用。</explain>
      <paraID> 5DB32D4</paraID>
      <start>26</start>
      <end>27</end>
      <status>unmodified</status>
      <modifiedWord/>
      <trackRevisions>false</trackRevisions>
    </reviewItem>
    <reviewItem>
      <errorID>dfc0bee0-cb7b-4ca7-8421-3adedc14ed8c</errorID>
      <errorWord>(</errorWord>
      <group>L1_Format</group>
      <groupName>格式问题</groupName>
      <ability>L2_HalfPunc_CN</ability>
      <abilityName>全半角问题</abilityName>
      <candidateList>
        <item>（</item>
      </candidateList>
      <explain>文本全半角错误。</explain>
      <paraID>2DE7DF0B</paraID>
      <start>21</start>
      <end>23</end>
      <status>modified</status>
      <modifiedWord>（</modifiedWord>
      <trackRevisions>true</trackRevisions>
    </reviewItem>
    <reviewItem>
      <errorID>a4c9e033-e3ca-453b-a88d-2bd77ea9f759</errorID>
      <errorWord>)</errorWord>
      <group>L1_Format</group>
      <groupName>格式问题</groupName>
      <ability>L2_HalfPunc_CN</ability>
      <abilityName>全半角问题</abilityName>
      <candidateList>
        <item>）</item>
      </candidateList>
      <explain>文本全半角错误。</explain>
      <paraID>2DE7DF0B</paraID>
      <start>32</start>
      <end>34</end>
      <status>modified</status>
      <modifiedWord>）</modifiedWord>
      <trackRevisions>true</trackRevisions>
    </reviewItem>
    <reviewItem>
      <errorID>bd181735-61cd-4de1-810a-90755ca4b97b</errorID>
      <errorWord>(</errorWord>
      <group>L1_Format</group>
      <groupName>格式问题</groupName>
      <ability>L2_HalfPunc_CN</ability>
      <abilityName>全半角问题</abilityName>
      <candidateList>
        <item>（</item>
      </candidateList>
      <explain>文本全半角错误。</explain>
      <paraID>7B1D4C09</paraID>
      <start>7</start>
      <end>9</end>
      <status>modified</status>
      <modifiedWord>（</modifiedWord>
      <trackRevisions>true</trackRevisions>
    </reviewItem>
    <reviewItem>
      <errorID>7b69ac2b-50e8-4638-995a-4aebaa788287</errorID>
      <errorWord>)</errorWord>
      <group>L1_Format</group>
      <groupName>格式问题</groupName>
      <ability>L2_HalfPunc_CN</ability>
      <abilityName>全半角问题</abilityName>
      <candidateList>
        <item>）</item>
      </candidateList>
      <explain>文本全半角错误。</explain>
      <paraID>7B1D4C09</paraID>
      <start>13</start>
      <end>15</end>
      <status>modified</status>
      <modifiedWord>）</modifiedWord>
      <trackRevisions>true</trackRevisions>
    </reviewItem>
    <reviewItem>
      <errorID>1d657f68-d056-4b26-b304-004920b2e51c</errorID>
      <errorWord>(</errorWord>
      <group>L1_Format</group>
      <groupName>格式问题</groupName>
      <ability>L2_HalfPunc_CN</ability>
      <abilityName>全半角问题</abilityName>
      <candidateList>
        <item>（</item>
      </candidateList>
      <explain>文本全半角错误。</explain>
      <paraID>538C735E</paraID>
      <start>7</start>
      <end>9</end>
      <status>modified</status>
      <modifiedWord>（</modifiedWord>
      <trackRevisions>true</trackRevisions>
    </reviewItem>
    <reviewItem>
      <errorID>af3e23e6-1282-4663-a835-c95bf6a86b97</errorID>
      <errorWord>)</errorWord>
      <group>L1_Format</group>
      <groupName>格式问题</groupName>
      <ability>L2_HalfPunc_CN</ability>
      <abilityName>全半角问题</abilityName>
      <candidateList>
        <item>）</item>
      </candidateList>
      <explain>文本全半角错误。</explain>
      <paraID>538C735E</paraID>
      <start>12</start>
      <end>14</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3A5ABB-F9DA-4D44-A28A-359B76631B46}">
  <ds:schemaRefs/>
</ds:datastoreItem>
</file>

<file path=docProps/app.xml><?xml version="1.0" encoding="utf-8"?>
<Properties xmlns="http://schemas.openxmlformats.org/officeDocument/2006/extended-properties" xmlns:vt="http://schemas.openxmlformats.org/officeDocument/2006/docPropsVTypes">
  <Template>Normal</Template>
  <Pages>123</Pages>
  <Words>21163</Words>
  <Characters>23061</Characters>
  <Lines>639</Lines>
  <Paragraphs>180</Paragraphs>
  <TotalTime>0</TotalTime>
  <ScaleCrop>false</ScaleCrop>
  <LinksUpToDate>false</LinksUpToDate>
  <CharactersWithSpaces>23314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2023-09-03T07:49:00Z</dcterms:created>
  <dc:creator>韶关市国之信工程咨询有限公司</dc:creator>
  <cp:lastModifiedBy>1</cp:lastModifiedBy>
  <cp:lastPrinted>2026-03-17T09:24:00Z</cp:lastPrinted>
  <dcterms:modified xsi:type="dcterms:W3CDTF">2026-10-14T03:41:02Z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4E1BE5A9B9C14563AD1335444A65990A_13</vt:lpwstr>
  </property>
  <property fmtid="{D5CDD505-2E9C-101B-9397-08002B2CF9AE}" pid="4" name="KSOTemplateDocerSaveRecord">
    <vt:lpwstr>eyJoZGlkIjoiZjczYzhmOTA2NGJlY2QwOWMyNzEyZTIwYjNmYjIwNTEiLCJ1c2VySWQiOiIxNTA1OTQ0ODM3In0=</vt:lpwstr>
  </property>
</Properties>
</file>