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3863017">
      <w:pPr>
        <w:jc w:val="center"/>
        <w:rPr>
          <w:rFonts w:hint="eastAsia" w:ascii="宋体" w:hAnsi="宋体" w:eastAsia="宋体" w:cs="宋体"/>
          <w:b/>
          <w:color w:val="000000" w:themeColor="text1"/>
          <w:kern w:val="0"/>
          <w:sz w:val="72"/>
          <w:szCs w:val="72"/>
          <w:highlight w:val="none"/>
          <w:shd w:val="clear" w:color="auto" w:fill="FFFFFF"/>
          <w:lang w:eastAsia="zh-CN"/>
          <w14:textFill>
            <w14:solidFill>
              <w14:schemeClr w14:val="tx1"/>
            </w14:solidFill>
          </w14:textFill>
        </w:rPr>
        <w:sectPr>
          <w:footerReference r:id="rId5" w:type="first"/>
          <w:headerReference r:id="rId3" w:type="default"/>
          <w:footerReference r:id="rId4" w:type="default"/>
          <w:pgSz w:w="11910" w:h="16840"/>
          <w:pgMar w:top="941" w:right="720" w:bottom="1179" w:left="980" w:header="707" w:footer="998" w:gutter="0"/>
          <w:pgNumType w:start="1"/>
          <w:cols w:space="720" w:num="1"/>
        </w:sectPr>
      </w:pPr>
      <w:r>
        <w:rPr>
          <w:rFonts w:hint="eastAsia" w:ascii="宋体" w:hAnsi="宋体" w:eastAsia="宋体" w:cs="宋体"/>
          <w:b/>
          <w:color w:val="000000" w:themeColor="text1"/>
          <w:kern w:val="0"/>
          <w:sz w:val="72"/>
          <w:szCs w:val="72"/>
          <w:highlight w:val="none"/>
          <w:shd w:val="clear" w:color="auto" w:fill="FFFFFF"/>
          <w:lang w:eastAsia="zh-CN"/>
          <w14:textFill>
            <w14:solidFill>
              <w14:schemeClr w14:val="tx1"/>
            </w14:solidFill>
          </w14:textFill>
        </w:rPr>
        <w:drawing>
          <wp:inline distT="0" distB="0" distL="114300" distR="114300">
            <wp:extent cx="6477000" cy="9164955"/>
            <wp:effectExtent l="0" t="0" r="0" b="17145"/>
            <wp:docPr id="2" name="图片 2" descr="招文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文封面_01"/>
                    <pic:cNvPicPr>
                      <a:picLocks noChangeAspect="1"/>
                    </pic:cNvPicPr>
                  </pic:nvPicPr>
                  <pic:blipFill>
                    <a:blip r:embed="rId21"/>
                    <a:stretch>
                      <a:fillRect/>
                    </a:stretch>
                  </pic:blipFill>
                  <pic:spPr>
                    <a:xfrm>
                      <a:off x="0" y="0"/>
                      <a:ext cx="6477000" cy="9164955"/>
                    </a:xfrm>
                    <a:prstGeom prst="rect">
                      <a:avLst/>
                    </a:prstGeom>
                  </pic:spPr>
                </pic:pic>
              </a:graphicData>
            </a:graphic>
          </wp:inline>
        </w:drawing>
      </w:r>
    </w:p>
    <w:p w14:paraId="59705F23">
      <w:pPr>
        <w:bidi w:val="0"/>
        <w:rPr>
          <w:rFonts w:hint="eastAsia"/>
          <w:lang w:eastAsia="zh-CN"/>
        </w:rPr>
        <w:sectPr>
          <w:pgSz w:w="11910" w:h="16840"/>
          <w:pgMar w:top="941" w:right="720" w:bottom="1179" w:left="980" w:header="707" w:footer="998" w:gutter="0"/>
          <w:pgNumType w:start="1"/>
          <w:cols w:space="720" w:num="1"/>
        </w:sectPr>
      </w:pPr>
      <w:bookmarkStart w:id="1773" w:name="_GoBack"/>
      <w:bookmarkEnd w:id="1773"/>
    </w:p>
    <w:p w14:paraId="3F9D5C99">
      <w:pPr>
        <w:rPr>
          <w:rFonts w:hint="eastAsia"/>
          <w:lang w:eastAsia="zh-CN"/>
        </w:rPr>
      </w:pPr>
    </w:p>
    <w:p w14:paraId="1C5ACC86">
      <w:pP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br w:type="page"/>
      </w:r>
    </w:p>
    <w:p w14:paraId="5D069355">
      <w:pPr>
        <w:spacing w:line="600" w:lineRule="auto"/>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目      录</w:t>
      </w:r>
    </w:p>
    <w:p w14:paraId="6D34B35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fldChar w:fldCharType="begin"/>
      </w:r>
      <w:r>
        <w:rPr>
          <w:rFonts w:hint="eastAsia" w:ascii="宋体" w:hAnsi="宋体" w:cs="宋体"/>
          <w:color w:val="000000" w:themeColor="text1"/>
          <w:sz w:val="24"/>
          <w:highlight w:val="none"/>
          <w:u w:val="single"/>
          <w14:textFill>
            <w14:solidFill>
              <w14:schemeClr w14:val="tx1"/>
            </w14:solidFill>
          </w14:textFill>
        </w:rPr>
        <w:instrText xml:space="preserve">TOC \o "1-4" \h \u </w:instrText>
      </w:r>
      <w:r>
        <w:rPr>
          <w:rFonts w:hint="eastAsia" w:ascii="宋体" w:hAnsi="宋体" w:cs="宋体"/>
          <w:color w:val="000000" w:themeColor="text1"/>
          <w:sz w:val="24"/>
          <w:highlight w:val="none"/>
          <w:u w:val="single"/>
          <w14:textFill>
            <w14:solidFill>
              <w14:schemeClr w14:val="tx1"/>
            </w14:solidFill>
          </w14:textFill>
        </w:rPr>
        <w:fldChar w:fldCharType="separate"/>
      </w: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_Toc26235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lang w:val="en-US" w:eastAsia="zh-CN"/>
          <w14:textFill>
            <w14:solidFill>
              <w14:schemeClr w14:val="tx1"/>
            </w14:solidFill>
          </w14:textFill>
        </w:rPr>
        <w:t xml:space="preserve">第一章 </w:t>
      </w:r>
      <w:r>
        <w:rPr>
          <w:rFonts w:ascii="宋体" w:hAnsi="宋体"/>
          <w:color w:val="000000" w:themeColor="text1"/>
          <w:highlight w:val="none"/>
          <w14:textFill>
            <w14:solidFill>
              <w14:schemeClr w14:val="tx1"/>
            </w14:solidFill>
          </w14:textFill>
        </w:rPr>
        <w:t>招标公告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D2EC27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_Toc7234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黑体"/>
          <w:bCs w:val="0"/>
          <w:color w:val="000000" w:themeColor="text1"/>
          <w:szCs w:val="28"/>
          <w:highlight w:val="none"/>
          <w14:textFill>
            <w14:solidFill>
              <w14:schemeClr w14:val="tx1"/>
            </w14:solidFill>
          </w14:textFill>
        </w:rPr>
        <w:t>1.招标条件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B4EC56B">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_Toc1590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黑体"/>
          <w:bCs w:val="0"/>
          <w:color w:val="000000" w:themeColor="text1"/>
          <w:szCs w:val="28"/>
          <w:highlight w:val="none"/>
          <w14:textFill>
            <w14:solidFill>
              <w14:schemeClr w14:val="tx1"/>
            </w14:solidFill>
          </w14:textFill>
        </w:rPr>
        <w:t>2.项目概况与招标范围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96CC467">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_Toc9334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黑体"/>
          <w:bCs w:val="0"/>
          <w:color w:val="000000" w:themeColor="text1"/>
          <w:szCs w:val="28"/>
          <w:highlight w:val="none"/>
          <w14:textFill>
            <w14:solidFill>
              <w14:schemeClr w14:val="tx1"/>
            </w14:solidFill>
          </w14:textFill>
        </w:rPr>
        <w:t>3.投标人资格要求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81BDEB0">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_Toc31634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黑体"/>
          <w:bCs w:val="0"/>
          <w:color w:val="000000" w:themeColor="text1"/>
          <w:szCs w:val="28"/>
          <w:highlight w:val="none"/>
          <w14:textFill>
            <w14:solidFill>
              <w14:schemeClr w14:val="tx1"/>
            </w14:solidFill>
          </w14:textFill>
        </w:rPr>
        <w:t>4.招标文件的获取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_Toc31634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82DF8A5">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_Toc19992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黑体"/>
          <w:color w:val="000000" w:themeColor="text1"/>
          <w:szCs w:val="28"/>
          <w:highlight w:val="none"/>
          <w14:textFill>
            <w14:solidFill>
              <w14:schemeClr w14:val="tx1"/>
            </w14:solidFill>
          </w14:textFill>
        </w:rPr>
        <w:t>5.</w:t>
      </w:r>
      <w:r>
        <w:rPr>
          <w:rFonts w:hint="eastAsia" w:ascii="宋体" w:hAnsi="宋体" w:cs="宋体"/>
          <w:color w:val="000000" w:themeColor="text1"/>
          <w:szCs w:val="28"/>
          <w:highlight w:val="none"/>
          <w14:textFill>
            <w14:solidFill>
              <w14:schemeClr w14:val="tx1"/>
            </w14:solidFill>
          </w14:textFill>
        </w:rPr>
        <w:t>电子投标及相关事宜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_Toc19992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9BE4FB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_Toc18087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黑体"/>
          <w:bCs w:val="0"/>
          <w:color w:val="000000" w:themeColor="text1"/>
          <w:szCs w:val="28"/>
          <w:highlight w:val="none"/>
          <w14:textFill>
            <w14:solidFill>
              <w14:schemeClr w14:val="tx1"/>
            </w14:solidFill>
          </w14:textFill>
        </w:rPr>
        <w:t>6.发布公告的媒介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_Toc18087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D4143B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_Toc25990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黑体"/>
          <w:bCs w:val="0"/>
          <w:color w:val="000000" w:themeColor="text1"/>
          <w:szCs w:val="28"/>
          <w:highlight w:val="none"/>
          <w14:textFill>
            <w14:solidFill>
              <w14:schemeClr w14:val="tx1"/>
            </w14:solidFill>
          </w14:textFill>
        </w:rPr>
        <w:t>7.联系方式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_Toc25990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C980FD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_Toc9333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eastAsia="宋体" w:cs="黑体"/>
          <w:color w:val="000000" w:themeColor="text1"/>
          <w:szCs w:val="30"/>
          <w14:textFill>
            <w14:solidFill>
              <w14:schemeClr w14:val="tx1"/>
            </w14:solidFill>
          </w14:textFill>
        </w:rPr>
        <w:t xml:space="preserve">8． </w:t>
      </w:r>
      <w:r>
        <w:rPr>
          <w:rFonts w:hint="eastAsia" w:ascii="宋体" w:hAnsi="宋体" w:eastAsia="宋体" w:cs="黑体"/>
          <w:color w:val="000000" w:themeColor="text1"/>
          <w:szCs w:val="30"/>
          <w:highlight w:val="none"/>
          <w14:textFill>
            <w14:solidFill>
              <w14:schemeClr w14:val="tx1"/>
            </w14:solidFill>
          </w14:textFill>
        </w:rPr>
        <w:t>重要事项时间地点一览表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_Toc9333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CAB5A6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_Toc13680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第二章  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B499A3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_Toc30680 </w:instrText>
      </w:r>
      <w:r>
        <w:rPr>
          <w:rFonts w:hint="eastAsia" w:ascii="宋体" w:hAnsi="宋体" w:cs="宋体"/>
          <w:color w:val="000000" w:themeColor="text1"/>
          <w:highlight w:val="none"/>
          <w14:textFill>
            <w14:solidFill>
              <w14:schemeClr w14:val="tx1"/>
            </w14:solidFill>
          </w14:textFill>
        </w:rPr>
        <w:fldChar w:fldCharType="separate"/>
      </w:r>
      <w:r>
        <w:rPr>
          <w:bCs w:val="0"/>
          <w:color w:val="000000" w:themeColor="text1"/>
          <w:szCs w:val="28"/>
          <w:highlight w:val="none"/>
          <w14:textFill>
            <w14:solidFill>
              <w14:schemeClr w14:val="tx1"/>
            </w14:solidFill>
          </w14:textFill>
        </w:rPr>
        <w:t>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_Toc30680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9523A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_Toc29831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附录1   资格审查条件(资质最低条件)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3D2761C">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_Toc1782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附录2   资格审查条件(财务最低要求)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FE1797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_Toc31145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附录3   资格审查条件</w:t>
      </w:r>
      <w:r>
        <w:rPr>
          <w:rFonts w:hint="eastAsia"/>
          <w:color w:val="000000" w:themeColor="text1"/>
          <w:szCs w:val="36"/>
          <w:highlight w:val="none"/>
          <w:lang w:eastAsia="zh-CN"/>
          <w14:textFill>
            <w14:solidFill>
              <w14:schemeClr w14:val="tx1"/>
            </w14:solidFill>
          </w14:textFill>
        </w:rPr>
        <w:t>（</w:t>
      </w:r>
      <w:r>
        <w:rPr>
          <w:rFonts w:hint="eastAsia"/>
          <w:color w:val="000000" w:themeColor="text1"/>
          <w:szCs w:val="36"/>
          <w:highlight w:val="none"/>
          <w14:textFill>
            <w14:solidFill>
              <w14:schemeClr w14:val="tx1"/>
            </w14:solidFill>
          </w14:textFill>
        </w:rPr>
        <w:t>业绩最低要求</w:t>
      </w:r>
      <w:r>
        <w:rPr>
          <w:rFonts w:hint="eastAsia"/>
          <w:color w:val="000000" w:themeColor="text1"/>
          <w:szCs w:val="36"/>
          <w:highlight w:val="none"/>
          <w:lang w:eastAsia="zh-CN"/>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_Toc31145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FFE4FB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_Toc6458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附录4   资格审查条件(信誉最低要求)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_Toc6458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C0CB92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_Toc12920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附录5   资格审查条件(项目经理和项目总工最低要求)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613304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_Toc8736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附录6  资格审查条件</w:t>
      </w:r>
      <w:r>
        <w:rPr>
          <w:rFonts w:hint="eastAsia"/>
          <w:color w:val="000000" w:themeColor="text1"/>
          <w:szCs w:val="36"/>
          <w:highlight w:val="none"/>
          <w:lang w:eastAsia="zh-CN"/>
          <w14:textFill>
            <w14:solidFill>
              <w14:schemeClr w14:val="tx1"/>
            </w14:solidFill>
          </w14:textFill>
        </w:rPr>
        <w:t>（</w:t>
      </w:r>
      <w:r>
        <w:rPr>
          <w:rFonts w:hint="eastAsia"/>
          <w:color w:val="000000" w:themeColor="text1"/>
          <w:szCs w:val="36"/>
          <w:highlight w:val="none"/>
          <w14:textFill>
            <w14:solidFill>
              <w14:schemeClr w14:val="tx1"/>
            </w14:solidFill>
          </w14:textFill>
        </w:rPr>
        <w:t>其他管理人员和技术人员最低要求</w:t>
      </w:r>
      <w:r>
        <w:rPr>
          <w:rFonts w:hint="eastAsia"/>
          <w:color w:val="000000" w:themeColor="text1"/>
          <w:szCs w:val="36"/>
          <w:highlight w:val="none"/>
          <w:lang w:eastAsia="zh-CN"/>
          <w14:textFill>
            <w14:solidFill>
              <w14:schemeClr w14:val="tx1"/>
            </w14:solidFill>
          </w14:textFill>
        </w:rPr>
        <w: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_Toc8736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AE56CA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_Toc30576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黑体"/>
          <w:color w:val="000000" w:themeColor="text1"/>
          <w:szCs w:val="30"/>
          <w:highlight w:val="none"/>
          <w14:textFill>
            <w14:solidFill>
              <w14:schemeClr w14:val="tx1"/>
            </w14:solidFill>
          </w14:textFill>
        </w:rPr>
        <w:t>附录</w:t>
      </w:r>
      <w:r>
        <w:rPr>
          <w:rFonts w:ascii="宋体" w:hAnsi="宋体" w:cs="黑体"/>
          <w:color w:val="000000" w:themeColor="text1"/>
          <w:szCs w:val="30"/>
          <w:highlight w:val="none"/>
          <w14:textFill>
            <w14:solidFill>
              <w14:schemeClr w14:val="tx1"/>
            </w14:solidFill>
          </w14:textFill>
        </w:rPr>
        <w:t xml:space="preserve">7  </w:t>
      </w:r>
      <w:r>
        <w:rPr>
          <w:rFonts w:hint="eastAsia" w:ascii="宋体" w:hAnsi="宋体" w:cs="黑体"/>
          <w:color w:val="000000" w:themeColor="text1"/>
          <w:szCs w:val="30"/>
          <w:highlight w:val="none"/>
          <w14:textFill>
            <w14:solidFill>
              <w14:schemeClr w14:val="tx1"/>
            </w14:solidFill>
          </w14:textFill>
        </w:rPr>
        <w:t>资格审查条件（主要设备最低要求）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DB24855">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_Toc18265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1. </w:t>
      </w:r>
      <w:r>
        <w:rPr>
          <w:rFonts w:hint="eastAsia"/>
          <w:color w:val="000000" w:themeColor="text1"/>
          <w:highlight w:val="none"/>
          <w14:textFill>
            <w14:solidFill>
              <w14:schemeClr w14:val="tx1"/>
            </w14:solidFill>
          </w14:textFill>
        </w:rPr>
        <w:t>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_Toc18265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4A19B3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_Toc29185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1.1 </w:t>
      </w:r>
      <w:r>
        <w:rPr>
          <w:rFonts w:hint="eastAsia"/>
          <w:color w:val="000000" w:themeColor="text1"/>
          <w:highlight w:val="none"/>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_Toc29185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FC9052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_Toc17679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1.2 </w:t>
      </w:r>
      <w:r>
        <w:rPr>
          <w:rFonts w:hint="eastAsia"/>
          <w:color w:val="000000" w:themeColor="text1"/>
          <w:highlight w:val="none"/>
          <w14:textFill>
            <w14:solidFill>
              <w14:schemeClr w14:val="tx1"/>
            </w14:solidFill>
          </w14:textFill>
        </w:rPr>
        <w:t>招标项目的资金来源和落实情况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_Toc17679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922430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_Toc11326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1.3 </w:t>
      </w:r>
      <w:r>
        <w:rPr>
          <w:rFonts w:hint="eastAsia"/>
          <w:color w:val="000000" w:themeColor="text1"/>
          <w:highlight w:val="none"/>
          <w14:textFill>
            <w14:solidFill>
              <w14:schemeClr w14:val="tx1"/>
            </w14:solidFill>
          </w14:textFill>
        </w:rPr>
        <w:t>招标范围、计划工期、质量要求和安全目标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034B59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_Toc2390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1.4 </w:t>
      </w:r>
      <w:r>
        <w:rPr>
          <w:rFonts w:hint="eastAsia"/>
          <w:color w:val="000000" w:themeColor="text1"/>
          <w:highlight w:val="none"/>
          <w14:textFill>
            <w14:solidFill>
              <w14:schemeClr w14:val="tx1"/>
            </w14:solidFill>
          </w14:textFill>
        </w:rPr>
        <w:t>投标人资格要求（适用于未进行资格预审的）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F189A8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_Toc24338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1.5 </w:t>
      </w:r>
      <w:r>
        <w:rPr>
          <w:rFonts w:hint="eastAsia"/>
          <w:color w:val="000000" w:themeColor="text1"/>
          <w:highlight w:val="none"/>
          <w14:textFill>
            <w14:solidFill>
              <w14:schemeClr w14:val="tx1"/>
            </w14:solidFill>
          </w14:textFill>
        </w:rPr>
        <w:t>费用承担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_Toc24338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74FF9B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_Toc26630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1.6 </w:t>
      </w:r>
      <w:r>
        <w:rPr>
          <w:rFonts w:hint="eastAsia"/>
          <w:color w:val="000000" w:themeColor="text1"/>
          <w:highlight w:val="none"/>
          <w14:textFill>
            <w14:solidFill>
              <w14:schemeClr w14:val="tx1"/>
            </w14:solidFill>
          </w14:textFill>
        </w:rPr>
        <w:t>保密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4435B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_Toc31522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1.7 </w:t>
      </w:r>
      <w:r>
        <w:rPr>
          <w:rFonts w:hint="eastAsia"/>
          <w:color w:val="000000" w:themeColor="text1"/>
          <w:highlight w:val="none"/>
          <w14:textFill>
            <w14:solidFill>
              <w14:schemeClr w14:val="tx1"/>
            </w14:solidFill>
          </w14:textFill>
        </w:rPr>
        <w:t>语言文字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_Toc31522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806941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_Toc4759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1.8 </w:t>
      </w:r>
      <w:r>
        <w:rPr>
          <w:rFonts w:hint="eastAsia"/>
          <w:color w:val="000000" w:themeColor="text1"/>
          <w:highlight w:val="none"/>
          <w14:textFill>
            <w14:solidFill>
              <w14:schemeClr w14:val="tx1"/>
            </w14:solidFill>
          </w14:textFill>
        </w:rPr>
        <w:t>计量单位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_Toc4759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C647D8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_Toc2504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1.9 </w:t>
      </w:r>
      <w:r>
        <w:rPr>
          <w:rFonts w:hint="eastAsia"/>
          <w:color w:val="000000" w:themeColor="text1"/>
          <w:highlight w:val="none"/>
          <w14:textFill>
            <w14:solidFill>
              <w14:schemeClr w14:val="tx1"/>
            </w14:solidFill>
          </w14:textFill>
        </w:rPr>
        <w:t>踏勘现场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49C1FA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_Toc7099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1.10 </w:t>
      </w:r>
      <w:r>
        <w:rPr>
          <w:rFonts w:hint="eastAsia"/>
          <w:color w:val="000000" w:themeColor="text1"/>
          <w:highlight w:val="none"/>
          <w14:textFill>
            <w14:solidFill>
              <w14:schemeClr w14:val="tx1"/>
            </w14:solidFill>
          </w14:textFill>
        </w:rPr>
        <w:t>投标预备会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_Toc7099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F62ECF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_Toc11969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1.11 </w:t>
      </w:r>
      <w:r>
        <w:rPr>
          <w:rFonts w:hint="eastAsia"/>
          <w:color w:val="000000" w:themeColor="text1"/>
          <w:highlight w:val="none"/>
          <w14:textFill>
            <w14:solidFill>
              <w14:schemeClr w14:val="tx1"/>
            </w14:solidFill>
          </w14:textFill>
        </w:rPr>
        <w:t>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_Toc11969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A7A91F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_Toc19645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1.12 </w:t>
      </w:r>
      <w:r>
        <w:rPr>
          <w:rFonts w:hint="eastAsia"/>
          <w:color w:val="000000" w:themeColor="text1"/>
          <w:highlight w:val="none"/>
          <w14:textFill>
            <w14:solidFill>
              <w14:schemeClr w14:val="tx1"/>
            </w14:solidFill>
          </w14:textFill>
        </w:rPr>
        <w:t>响应和偏差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_Toc19645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6E95B2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_Toc757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2. </w:t>
      </w:r>
      <w:r>
        <w:rPr>
          <w:rFonts w:hint="eastAsia"/>
          <w:color w:val="000000" w:themeColor="text1"/>
          <w:highlight w:val="none"/>
          <w14:textFill>
            <w14:solidFill>
              <w14:schemeClr w14:val="tx1"/>
            </w14:solidFill>
          </w14:textFill>
        </w:rPr>
        <w:t>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23BA95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_Toc23707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2.1 </w:t>
      </w:r>
      <w:r>
        <w:rPr>
          <w:rFonts w:hint="eastAsia"/>
          <w:color w:val="000000" w:themeColor="text1"/>
          <w:highlight w:val="none"/>
          <w14:textFill>
            <w14:solidFill>
              <w14:schemeClr w14:val="tx1"/>
            </w14:solidFill>
          </w14:textFill>
        </w:rPr>
        <w:t>招标文件的组成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2793E7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_Toc15830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2.2 </w:t>
      </w:r>
      <w:r>
        <w:rPr>
          <w:rFonts w:hint="eastAsia"/>
          <w:color w:val="000000" w:themeColor="text1"/>
          <w:highlight w:val="none"/>
          <w14:textFill>
            <w14:solidFill>
              <w14:schemeClr w14:val="tx1"/>
            </w14:solidFill>
          </w14:textFill>
        </w:rPr>
        <w:t>招标文件的澄清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_Toc15830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9BEBF9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_Toc25998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2.3 </w:t>
      </w:r>
      <w:r>
        <w:rPr>
          <w:rFonts w:hint="eastAsia"/>
          <w:color w:val="000000" w:themeColor="text1"/>
          <w:highlight w:val="none"/>
          <w14:textFill>
            <w14:solidFill>
              <w14:schemeClr w14:val="tx1"/>
            </w14:solidFill>
          </w14:textFill>
        </w:rPr>
        <w:t>招标文件的修改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_Toc25998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350737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_Toc2649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2.4 </w:t>
      </w:r>
      <w:r>
        <w:rPr>
          <w:rFonts w:hint="eastAsia"/>
          <w:color w:val="000000" w:themeColor="text1"/>
          <w:highlight w:val="none"/>
          <w14:textFill>
            <w14:solidFill>
              <w14:schemeClr w14:val="tx1"/>
            </w14:solidFill>
          </w14:textFill>
        </w:rPr>
        <w:t>招标文件的异议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D71A3B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_Toc3472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3. </w:t>
      </w:r>
      <w:r>
        <w:rPr>
          <w:rFonts w:hint="eastAsia"/>
          <w:color w:val="000000" w:themeColor="text1"/>
          <w:highlight w:val="none"/>
          <w14:textFill>
            <w14:solidFill>
              <w14:schemeClr w14:val="tx1"/>
            </w14:solidFill>
          </w14:textFill>
        </w:rPr>
        <w:t>投标文件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_Toc3472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1B101D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_Toc7892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3.1 </w:t>
      </w:r>
      <w:r>
        <w:rPr>
          <w:rFonts w:hint="eastAsia"/>
          <w:color w:val="000000" w:themeColor="text1"/>
          <w:highlight w:val="none"/>
          <w14:textFill>
            <w14:solidFill>
              <w14:schemeClr w14:val="tx1"/>
            </w14:solidFill>
          </w14:textFill>
        </w:rPr>
        <w:t>投标文件的组成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_Toc7892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886174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_Toc2880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3.2 </w:t>
      </w:r>
      <w:r>
        <w:rPr>
          <w:rFonts w:hint="eastAsia"/>
          <w:color w:val="000000" w:themeColor="text1"/>
          <w:highlight w:val="none"/>
          <w14:textFill>
            <w14:solidFill>
              <w14:schemeClr w14:val="tx1"/>
            </w14:solidFill>
          </w14:textFill>
        </w:rPr>
        <w:t>投标报价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570090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_Toc21121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3.3 </w:t>
      </w:r>
      <w:r>
        <w:rPr>
          <w:rFonts w:hint="eastAsia"/>
          <w:color w:val="000000" w:themeColor="text1"/>
          <w:highlight w:val="none"/>
          <w14:textFill>
            <w14:solidFill>
              <w14:schemeClr w14:val="tx1"/>
            </w14:solidFill>
          </w14:textFill>
        </w:rPr>
        <w:t>投标有效期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_Toc21121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34520B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_Toc20386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3.4 </w:t>
      </w:r>
      <w:r>
        <w:rPr>
          <w:rFonts w:hint="eastAsia"/>
          <w:color w:val="000000" w:themeColor="text1"/>
          <w:highlight w:val="none"/>
          <w14:textFill>
            <w14:solidFill>
              <w14:schemeClr w14:val="tx1"/>
            </w14:solidFill>
          </w14:textFill>
        </w:rPr>
        <w:t>投标保证金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_Toc20386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F03FC3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_Toc13887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3.5 </w:t>
      </w:r>
      <w:r>
        <w:rPr>
          <w:rFonts w:hint="eastAsia"/>
          <w:color w:val="000000" w:themeColor="text1"/>
          <w:highlight w:val="none"/>
          <w14:textFill>
            <w14:solidFill>
              <w14:schemeClr w14:val="tx1"/>
            </w14:solidFill>
          </w14:textFill>
        </w:rPr>
        <w:t>资格审查资料（适用于未进行资格预审的）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_Toc13887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DACF7F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_Toc9310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3.6 </w:t>
      </w:r>
      <w:r>
        <w:rPr>
          <w:rFonts w:hint="eastAsia"/>
          <w:color w:val="000000" w:themeColor="text1"/>
          <w:highlight w:val="none"/>
          <w14:textFill>
            <w14:solidFill>
              <w14:schemeClr w14:val="tx1"/>
            </w14:solidFill>
          </w14:textFill>
        </w:rPr>
        <w:t>备选投标方案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380689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3.7 </w:t>
      </w:r>
      <w:r>
        <w:rPr>
          <w:rFonts w:hint="eastAsia"/>
          <w:color w:val="000000" w:themeColor="text1"/>
          <w:highlight w:val="none"/>
          <w14:textFill>
            <w14:solidFill>
              <w14:schemeClr w14:val="tx1"/>
            </w14:solidFill>
          </w14:textFill>
        </w:rPr>
        <w:t>投标文件的编制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8D44DD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_Toc5372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4. </w:t>
      </w:r>
      <w:r>
        <w:rPr>
          <w:rFonts w:hint="eastAsia"/>
          <w:color w:val="000000" w:themeColor="text1"/>
          <w:highlight w:val="none"/>
          <w14:textFill>
            <w14:solidFill>
              <w14:schemeClr w14:val="tx1"/>
            </w14:solidFill>
          </w14:textFill>
        </w:rPr>
        <w:t>投标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_Toc5372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A5AF8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_Toc19238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4.1 </w:t>
      </w:r>
      <w:r>
        <w:rPr>
          <w:rFonts w:hint="eastAsia"/>
          <w:color w:val="000000" w:themeColor="text1"/>
          <w:highlight w:val="none"/>
          <w14:textFill>
            <w14:solidFill>
              <w14:schemeClr w14:val="tx1"/>
            </w14:solidFill>
          </w14:textFill>
        </w:rPr>
        <w:t>投标文件的密封和标识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B19CF7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_Toc17157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4.2 </w:t>
      </w:r>
      <w:r>
        <w:rPr>
          <w:rFonts w:hint="eastAsia"/>
          <w:color w:val="000000" w:themeColor="text1"/>
          <w:highlight w:val="none"/>
          <w14:textFill>
            <w14:solidFill>
              <w14:schemeClr w14:val="tx1"/>
            </w14:solidFill>
          </w14:textFill>
        </w:rPr>
        <w:t>投标文件的递交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_Toc17157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B55525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_Toc26497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14:textFill>
            <w14:solidFill>
              <w14:schemeClr w14:val="tx1"/>
            </w14:solidFill>
          </w14:textFill>
        </w:rPr>
        <w:t xml:space="preserve">4.3 </w:t>
      </w:r>
      <w:r>
        <w:rPr>
          <w:rFonts w:hint="eastAsia"/>
          <w:color w:val="000000" w:themeColor="text1"/>
          <w:highlight w:val="none"/>
          <w14:textFill>
            <w14:solidFill>
              <w14:schemeClr w14:val="tx1"/>
            </w14:solidFill>
          </w14:textFill>
        </w:rPr>
        <w:t>投标文件的修改与撤回</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8D947AD">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5. </w:t>
      </w:r>
      <w:r>
        <w:rPr>
          <w:rFonts w:hint="eastAsia"/>
          <w:color w:val="000000" w:themeColor="text1"/>
          <w:highlight w:val="none"/>
          <w14:textFill>
            <w14:solidFill>
              <w14:schemeClr w14:val="tx1"/>
            </w14:solidFill>
          </w14:textFill>
        </w:rPr>
        <w:t>开标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285E37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_Toc17499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 开标时间和地点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_Toc17499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4A9C0C">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_Toc25365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5.1 开标时间和地点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07857F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_Toc17285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5.2 开标程序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_Toc17285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4368BD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_Toc7629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5.2 开标程序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D41EB20">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_Toc18400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6. </w:t>
      </w:r>
      <w:r>
        <w:rPr>
          <w:rFonts w:hint="eastAsia"/>
          <w:color w:val="000000" w:themeColor="text1"/>
          <w:highlight w:val="none"/>
          <w14:textFill>
            <w14:solidFill>
              <w14:schemeClr w14:val="tx1"/>
            </w14:solidFill>
          </w14:textFill>
        </w:rPr>
        <w:t>评标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8C46E5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_Toc23512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6.1 评标委员会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268E89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_Toc29326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6.2 评标原则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_Toc29326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60FE15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_Toc23296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6.3 评标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5FE3B97">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_Toc28316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7. </w:t>
      </w:r>
      <w:r>
        <w:rPr>
          <w:rFonts w:hint="eastAsia"/>
          <w:color w:val="000000" w:themeColor="text1"/>
          <w:highlight w:val="none"/>
          <w14:textFill>
            <w14:solidFill>
              <w14:schemeClr w14:val="tx1"/>
            </w14:solidFill>
          </w14:textFill>
        </w:rPr>
        <w:t>合同授予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790AE6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_Toc5348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7.1中标候选人公示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_Toc5348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56A83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_Toc26343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7.2评标结果异议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_Toc26343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723A69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_Toc10683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7.3中标候选人履约能力审查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6DF68E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_Toc24658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7.4定标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_Toc24658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07FE93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_Toc578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7.5中标通知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205871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_Toc17032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7.6中标结果公告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_Toc17032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7D10DB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_Toc27115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7.7履约保证金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_Toc27115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3158FB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_Toc27604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7.8签订合同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_Toc27604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FA7A13">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_Toc11215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8. </w:t>
      </w:r>
      <w:r>
        <w:rPr>
          <w:rFonts w:hint="eastAsia"/>
          <w:color w:val="000000" w:themeColor="text1"/>
          <w:highlight w:val="none"/>
          <w14:textFill>
            <w14:solidFill>
              <w14:schemeClr w14:val="tx1"/>
            </w14:solidFill>
          </w14:textFill>
        </w:rPr>
        <w:t>纪律和监督</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3C8447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_Toc20711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8.1对招标人的纪律要求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_Toc20711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FE973A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_Toc20471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8.2对投标人的纪律要求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_Toc20471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90BB13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_Toc28532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8.3对评标委员会成员的纪律要求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_Toc28532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F9445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_Toc17379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8.4对与评标活动有关的工作人员的纪律要求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_Toc17379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68624D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_Toc21264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8.5投诉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_Toc21264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4943824">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_Toc20620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9. </w:t>
      </w:r>
      <w:r>
        <w:rPr>
          <w:rFonts w:hint="eastAsia"/>
          <w:color w:val="000000" w:themeColor="text1"/>
          <w:highlight w:val="none"/>
          <w14:textFill>
            <w14:solidFill>
              <w14:schemeClr w14:val="tx1"/>
            </w14:solidFill>
          </w14:textFill>
        </w:rPr>
        <w:t>是否采用电子招标投标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EF453F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_Toc9660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 xml:space="preserve">10. </w:t>
      </w:r>
      <w:r>
        <w:rPr>
          <w:rFonts w:hint="eastAsia" w:ascii="宋体" w:hAnsi="宋体" w:cs="宋体"/>
          <w:color w:val="000000" w:themeColor="text1"/>
          <w:highlight w:val="none"/>
          <w14:textFill>
            <w14:solidFill>
              <w14:schemeClr w14:val="tx1"/>
            </w14:solidFill>
          </w14:textFill>
        </w:rPr>
        <w:t>需要补充的其他内容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_Toc9660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990D76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_Toc4401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附件一：开标记录表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_Toc4401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15781D7">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_Toc20984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附件二：问题澄清通知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_Toc20984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8CDF09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_Toc31136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附件三：问题的澄清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_Toc31136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136936B">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_Toc10847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附件四：中标通知书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D86591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_Toc12270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附件五：中标结果通知书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_Toc12270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947C53B">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_Toc27406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附表六：确认通知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_Toc27406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62584C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_Toc23729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第三章评标办法（双信封的技术评分最低标价法）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37EB55D">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_Toc19310 </w:instrText>
      </w:r>
      <w:r>
        <w:rPr>
          <w:rFonts w:hint="eastAsia" w:ascii="宋体" w:hAnsi="宋体" w:cs="宋体"/>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评标办法前附表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_Toc19310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77900CD">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_Toc28214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 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C56B0A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_Toc19220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 评审标准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1C4404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_Toc28238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2.1 初步评审标准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752D85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_Toc31439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2.2 分值构成与评分标准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7590125">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_Toc32473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 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CD3CD5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_Toc29676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3.1第一个信封初步评审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714C83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_Toc17503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3.2第一个信封详细评审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_Toc17503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FF1E5D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_Toc25655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3.3 第二个信封开标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_Toc25655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7AF558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_Toc12427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3.4 第二个信封初步评审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_Toc12427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2F4F1F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_Toc27048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3.5 第二个信封详细评审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_Toc27048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11C125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_Toc16116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3.6 投标文件相关信息的核查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BB3166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_Toc27738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3.7 投标文件的澄清和说明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_Toc27738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773E67C">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_Toc3768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3.8 不得否决投标的情形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121D13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_Toc20631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highlight w:val="none"/>
          <w14:textFill>
            <w14:solidFill>
              <w14:schemeClr w14:val="tx1"/>
            </w14:solidFill>
          </w14:textFill>
        </w:rPr>
        <w:t>3.9 评标结果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9CDBF6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_Toc22017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第四章合同条款及格式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_Toc22017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3B409F5">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_Toc21217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44"/>
          <w:highlight w:val="none"/>
          <w14:textFill>
            <w14:solidFill>
              <w14:schemeClr w14:val="tx1"/>
            </w14:solidFill>
          </w14:textFill>
        </w:rPr>
        <w:t>第一节通用合同条款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_Toc21217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3871DD3">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_Toc10837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 一般约定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912464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_Toc6510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1.1 词语定义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_Toc6510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FCE69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_Toc3256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1.2 语言文字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D84CDC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_Toc20041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1.3 法律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_Toc20041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0241BE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_Toc24503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1.4 合同文件的优先顺序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_Toc24503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7B8CA2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_Toc28600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1.5 合同协议书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_Toc28600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3653A5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_Toc24262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1.6 图纸和承包人文件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_Toc24262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60018F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_Toc12440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1.7 联络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_Toc12440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42A599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_Toc10653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1.8 转让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1005D3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_Toc20683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1.9 严禁贿赂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_Toc20683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40C97D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_Toc19323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1.10 化石、文物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_Toc19323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226FD3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_Toc22001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1.11 专利技术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_Toc22001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84776F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_Toc9585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1.12 图纸和文件的保密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_Toc9585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CC5F4A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_Toc3835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2. 发包人义务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_Toc3835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4F4C1C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_Toc7211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2.1 遵守法律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_Toc7211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33A96E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_Toc24932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2.2 发出开工通知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_Toc24932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3CE0D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_Toc11467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2.3 提供施工场地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2E36FC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_Toc5389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2.4 协助承包人办理证件和批件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_Toc5389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3F2B84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_Toc27092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2.5 组织设计交底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_Toc27092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C20343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_Toc15370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2.6 支付合同价款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_Toc15370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CE469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_Toc10295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2.7 组织竣工验收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AF13C2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_Toc32239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2.8 其他义务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_Toc32239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6B658B8">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_Toc9728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3. 监理人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_Toc9728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4FD3D4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_Toc2642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3.1 监理人的职责和权力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D12AC2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_Toc32568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3.2 总监理工程师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481CA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_Toc21670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3.3 监理人员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_Toc21670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ABA0A4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_Toc10989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3.4 监理人的指示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6933EB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_Toc18829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bCs/>
          <w:color w:val="000000" w:themeColor="text1"/>
          <w:szCs w:val="24"/>
          <w:highlight w:val="none"/>
          <w14:textFill>
            <w14:solidFill>
              <w14:schemeClr w14:val="tx1"/>
            </w14:solidFill>
          </w14:textFill>
        </w:rPr>
        <w:t>3.5 商定或确定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1A46644">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_Toc4231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4. 承包人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871848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_Toc5868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4.1 承包人的一般义务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F3A612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_Toc6130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4.2 履约担保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_Toc6130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2CBD82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_Toc9650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4.3 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_Toc9650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BFFE57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_Toc8618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4.4 联合体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_Toc8618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8C67C0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_Toc30471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4.5 承包人项目经理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_Toc30471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302E3FC">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_Toc12373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4.6 承包人人员的管理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_Toc12373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EEE6C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_Toc22698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4.7 撤换承包人项目经理和其他人员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C1B1D7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_Toc8604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4.8 保障承包人人员的合法权益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093B41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_Toc1254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4.9 工程价款应专款专用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_Toc1254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9A6F08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_Toc21720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4.10 承包人现场查勘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_Toc21720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C591ED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_Toc6908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4.11 不利物质条件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_Toc6908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8B8A418">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_Toc31828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5. 材料和工程设备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_Toc31828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D26381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_Toc31732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5.1 承包人提供的材料和工程设备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_Toc31732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EBD192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_Toc5455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5.2 发包人提供的材料和工程设备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_Toc5455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CED410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_Toc14076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5.3 材料和工程设备专用于合同工程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C5FE65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_Toc9576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5.4 禁止使用不合格的材料和工程设备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5181DE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_Toc18877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6. 施工设备和临时设施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C656A7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_Toc4126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6.1 承包人提供的施工设备和临时设施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FDD62D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_Toc23627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6.2 发包人提供的施工设备和临时设施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_Toc23627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3F9184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_Toc11649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6.3 要求承包人增加或更换施工设备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FC0B32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_Toc7578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6.4 施工设备和临时设施专用于合同工程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_Toc7578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79EDADC">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_Toc21327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7. 交通运输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_Toc21327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BE0BCC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_Toc19617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7.1 道路通行权和场外设施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_Toc19617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57D9CC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_Toc19469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7.2 场内施工道路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_Toc19469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6D520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_Toc7057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7.3 场外交通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_Toc7057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35A8CA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_Toc21473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7.4 超大件和超重件的运输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_Toc21473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5A13D0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_Toc17866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7.5 道路和桥梁的损坏责任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C5E508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_Toc12595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7.6 水路和航空运输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_Toc12595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88753A7">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_Toc13943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8. 测量放线</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_Toc13943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28E71A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_Toc28514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8.1 施工控制网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_Toc28514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FDD0FE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_Toc19695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8.2 施工测量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_Toc19695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F2D172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_Toc13324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8.3 基准资料错误的责任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_Toc13324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84C7EC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_Toc30039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8.4 监理人使用施工控制网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_Toc30039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B99F30">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_Toc11200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9. 施工安全、治安保卫和环境保护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F72E66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_Toc16151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9.1 发包人的施工安全责任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AED34F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_Toc12560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9.2 承包人的施工安全责任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_Toc12560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8D466A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_Toc10264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9.3 治安保卫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462A77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_Toc10588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9.4 环境保护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_Toc10588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5E3D3C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_Toc19181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9.5 事故处理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6694AC9">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_Toc11470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10. 进度计划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_Toc11470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F74A8B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_Toc20313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10.1 合同进度计划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_Toc20313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7D3A24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_Toc31584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10.2 合同进度计划的修订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_Toc31584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34B0BB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_Toc14276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11. 开工和竣工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D2C477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_Toc3809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11.1 开工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_Toc3809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68650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_Toc15264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11.2 竣工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5D14A2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_Toc23123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11.3 发包人的工期延误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_Toc23123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579500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_Toc7640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11.4 异常恶劣的气候条件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DE6B18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_Toc2335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11.5 承包人的工期延误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1D5D37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_Toc10164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11.6 工期提前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_Toc10164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A8C221B">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_Toc25834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12. 暂停施工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6AD166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_Toc29655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12.1 承包人暂停施工的责任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43F312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_Toc32531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12.2 发包人暂停施工的责任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_Toc32531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320E2C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_Toc21063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12.3 监理人暂停施工指示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_Toc21063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0751F3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_Toc25377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12.4 暂停施工后的复工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253753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_Toc5536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12.5 暂停施工持续56天以上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_Toc5536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F3432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_Toc430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13. 工程质量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A372EA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_Toc23256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13.1 工程质量要求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4E7D3C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_Toc16267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13.2 承包人的质量管理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08E903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_Toc10314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13.3 承包人的质量检查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_Toc10314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593397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_Toc13113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13.4 监理人的质量检查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_Toc13113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A72D5E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_Toc26072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13.5 工程隐蔽部位覆盖前的检查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_Toc26072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B77251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_Toc10982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13.6 清除不合格工程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_Toc10982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684CAA4">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_Toc32616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14. 试验和检验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_Toc32616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C0CE5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_Toc10126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14.1 材料、工程设备和工程的试验和检验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_Toc10126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00A0B4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_Toc19468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14.2 现场材料试验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_Toc19468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A316B9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_Toc7667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14.3 现场工艺试验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0FE7374">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_Toc26507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15. 变更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0B8771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_Toc5256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15.1 变更的范围和内容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_Toc5256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042C97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_Toc22834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15.2 变更权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_Toc22834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B814D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_Toc11653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15.3 变更程序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32F39A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_Toc31241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15.4 变更的估价原则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F09206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_Toc26296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15.5 承包人的合理化建议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278F47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_Toc24039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15.6 暂列金额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0B3542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_Toc25815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15.7 计日工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812220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_Toc24061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15.8 暂估价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_Toc24061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F54B3C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_Toc3673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16. 价格调整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7401F9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_Toc6344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16.1 物价波动引起的价格调整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D971E9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_Toc6690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16.2 法律变化引起的价格调整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FF3D13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_Toc6799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17. 计量与支付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_Toc6799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ADBE18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_Toc6278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17.1 计量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71D393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_Toc15064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17.2 预付款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_Toc15064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BB7427D">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_Toc29039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17.3 工程进度付款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BDC7109">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_Toc24182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17.4 质量保证金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3034B1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_Toc26795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17.5 竣工结算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_Toc26795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741689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_Toc2850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17.6 最终结清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3C4A28C">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_Toc426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18. 竣工验收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C90662C">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_Toc24763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18.1 竣工验收的含义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_Toc24763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A91B67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_Toc9786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18.2 竣工验收申请报告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_Toc9786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34EDDD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_Toc28063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18.3 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83E1E8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_Toc20473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18.4 单位工程验收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_Toc20473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3BDE4F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_Toc16063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18.5 施工期运行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3013B0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_Toc12959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18.6 试运行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_Toc12959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29BE77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_Toc20825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18.7 竣工清场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_Toc20825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1D6B53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_Toc5452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18.8 施工队伍的撤离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_Toc5452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D7B65D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_Toc31615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19. 缺陷责任与保修责任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_Toc31615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2AE95C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_Toc15221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19.1 缺陷责任期的起算时间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AACA3D2">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_Toc18897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19.2 缺陷责任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B6C44C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19.3 缺陷责任期的延长</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64D5FC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_Toc1047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19.4 进一步试验和试运行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_Toc1047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F254A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_Toc15610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19.5 承包人的进入权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_Toc15610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30ED07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_Toc22430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19.6 缺陷责任期终止证书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13A275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_Toc29944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19.7 保修责任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_Toc29944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0752D4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_Toc23941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20. 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_Toc23941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DF72A2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_Toc2240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20.1 工程保险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EEA82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_Toc9304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20.2 人员工伤事故的保险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7CEA21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_Toc21990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20.3 人身意外伤害险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9C8B22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_Toc24496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20.4 第三者责任险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8270EFF">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_Toc9382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20.5 其他保险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CAB67A6">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_Toc13748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20.6 对各项保险的一般要求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_Toc13748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C189A0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_Toc3559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21. 不可抗力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_Toc3559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44C20D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_Toc8617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21.1 不可抗力的确认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C899007">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_Toc5639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21.2 不可抗力的通知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_Toc5639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624DDAB">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_Toc23536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21.3 不可抗力后果及其处理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D77D38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_Toc19286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22. 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_Toc19286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631CD5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_Toc31536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22.1 承包人违约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9D079A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_Toc27953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22.2 发包人违约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6C397B3">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_Toc24434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22.3 第三人造成的违约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B946AC9">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_Toc2322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23. 索赔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0809F78">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_Toc16250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23.1 承包人索赔的提出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738A38E">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_Toc9497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23.2 承包人索赔处理程序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_Toc9497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D4EF871">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_Toc12716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23.3 承包人提出索赔的期限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_Toc12716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CD5DBC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_Toc3026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23.4 发包人的索赔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_Toc3026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CA5800B">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_Toc5425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24. 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_Toc5425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1C40905">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_Toc11085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24.324.1 争议的解决方式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_Toc11085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4C313A0">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_Toc9538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24.2 友好解决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FBFF94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_Toc18873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eastAsia="宋体"/>
          <w:color w:val="000000" w:themeColor="text1"/>
          <w:szCs w:val="24"/>
          <w:highlight w:val="none"/>
          <w14:textFill>
            <w14:solidFill>
              <w14:schemeClr w14:val="tx1"/>
            </w14:solidFill>
          </w14:textFill>
        </w:rPr>
        <w:t>24.3 争议评审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_Toc18873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DD0E52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_Toc4029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第二节 专用合同条款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AE0925E">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_Toc9257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1.一般约定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_Toc9257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C766CA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_Toc28715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1.1词语定义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332BA8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_Toc28098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1.4合同文件的优先顺序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DFA649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_Toc16206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1.5合同协议书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_Toc16206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C024AF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_Toc1189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1.6图纸和承包人文件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_Toc1189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22CC3C3">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_Toc31710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1.9严禁贿赂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_Toc31710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77B8C3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_Toc8425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2.发包人义务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_Toc8425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D164C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_Toc12368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2.3提供施工场地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_Toc12368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F80040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_Toc27251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3.监理人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_Toc27251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9DC02D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_Toc5940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3.1监理人的职责和权力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_Toc5940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343A7FE">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_Toc740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3.5商定或确定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8BB68F">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_Toc8111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4.承包人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_Toc8111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6DE157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_Toc18604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4.1承包工的一般义务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2E2BFB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_Toc13000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4.2</w:t>
      </w:r>
      <w:r>
        <w:rPr>
          <w:rFonts w:hint="eastAsia" w:ascii="宋体" w:hAnsi="宋体" w:cs="宋体"/>
          <w:color w:val="000000" w:themeColor="text1"/>
          <w:szCs w:val="24"/>
          <w:highlight w:val="none"/>
          <w:lang w:val="zh-CN"/>
          <w14:textFill>
            <w14:solidFill>
              <w14:schemeClr w14:val="tx1"/>
            </w14:solidFill>
          </w14:textFill>
        </w:rPr>
        <w:t>履约保证金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_Toc13000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0D1A9B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_Toc23468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4.3 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_Toc23468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DC002A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_Toc10249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4.4联合体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096C26F">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_Toc14278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4.6承包人人员的管理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_Toc14278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217DD2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_Toc3142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4.7撤换承包人项目经理和其他人员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AA7172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_Toc7437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4.9工程价款应专款专用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_Toc7437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26A06B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_Toc13197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4.10承包人现场查勘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0C2B1E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_Toc31360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4.11不利物质条件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_Toc31360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91C24A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_Toc6017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4.12投标文件的完备性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_Toc6017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E2736E">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_Toc30565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4.13</w:t>
      </w:r>
      <w:r>
        <w:rPr>
          <w:rFonts w:hint="eastAsia" w:ascii="宋体" w:hAnsi="宋体" w:cs="宋体"/>
          <w:color w:val="000000" w:themeColor="text1"/>
          <w:szCs w:val="24"/>
          <w:highlight w:val="none"/>
          <w:lang w:val="zh-CN"/>
          <w14:textFill>
            <w14:solidFill>
              <w14:schemeClr w14:val="tx1"/>
            </w14:solidFill>
          </w14:textFill>
        </w:rPr>
        <w:t>开展党建工作要求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_Toc30565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6AD7F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_Toc19891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5.材料和工程设备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0E80E7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_Toc22727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5.2发包人提供的材料和工程设备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_Toc22727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E125B1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_Toc32191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6.施工设备和临时设施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_Toc32191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6CF46E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_Toc11177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6.2承包人提供的施工设备和临时设施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_Toc11177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262886F">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_Toc15658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6.3要求承包人增加或更换施工设备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_Toc15658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99F2AEA">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_Toc8667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7.交通运输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ED871A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_Toc10071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7.1道路通行权和场外设施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448BB0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_Toc16040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8.测量放线</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_Toc16040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074D9BC">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_Toc31250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8.4监理人使用施工控制网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552A13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_Toc6574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9.施工安全、治安保卫和环境保护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_Toc6574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C4AF072">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_Toc895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9.2承包人的施工安全责任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_Toc895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F17926F">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_Toc29076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9.4环境保护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_Toc29076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EC3C55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_Toc21612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10.进度计划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FF4ABF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_Toc21901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10.1合同进度计划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48601A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_Toc607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10.2合同进度计划的修订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187F973">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_Toc9150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10.3年度施工计划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16CD901">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_Toc24271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10.4合同用款计划</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_Toc24271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F36B6C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_Toc30058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11.开工和交工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_Toc30058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FF2357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11.1开工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D34DA1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_Toc29020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11.3发包人的工期延误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6C1393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_Toc7160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11.4异常恶劣的气候条件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0E974E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_Toc18925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11.5承包人的工期延误</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_Toc18925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F73ED1">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_Toc9506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11.6工期提前</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_Toc9506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01A3D6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_Toc22772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11.7工作时间的限制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_Toc22772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EDA242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_Toc20256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12.暂停施工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_Toc20256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F8687A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_Toc20968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12.1承包人暂停施工的责任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_Toc20968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736127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13.工程质量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BE961C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_Toc1704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13.1工程质量要求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31A7AC3">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_Toc7060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13.2承包人的质量管理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678F179">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_Toc3870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13.4监理人的质量检查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_Toc3870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088F03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13.5工程隐蔽部位覆盖前的检查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14224B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_Toc21360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13.6清除不合格工程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_Toc21360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369525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_Toc26810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14.试验和检验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_Toc26810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02AB579">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_Toc13416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14.4试验和检验费用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_Toc13416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576CC2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_Toc30253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15.变更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_Toc30253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B29A372">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_Toc11296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15.1变更的范围和内容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F708A52">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_Toc7019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15.3变更程序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A676A4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_Toc20814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15.4变更的估价原则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_Toc20814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24680A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_Toc16074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15.5承包人的合理化建议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C2FA7F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_Toc14745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15.6暂列金额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_Toc14745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7DAA4F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_Toc27989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16.价格调整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_Toc27989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63D4A6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_Toc20629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16.1物价波动引起的价格调整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_Toc20629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D22C409">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_Toc22844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17.计量与支付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_Toc22844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55EED6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_Toc21406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17.1计量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_Toc21406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94E7BE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17.2预付款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5AC8C1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_Toc31115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17.3工程进度付款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_Toc31115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805EFF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_Toc31141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17.4质量保证金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_Toc31141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64D520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_Toc14538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17.5交工结算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_Toc14538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92F1D93">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_Toc16687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17.6最终结清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_Toc16687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B33EB4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_Toc2543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18.交工验收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_Toc2543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D0B7EE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_Toc12181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18.2交工验收申请报告</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_Toc12181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0C6DBF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_Toc3551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18.3 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23DA8F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_Toc22655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18.9竣工文件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_Toc22655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92CE92">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_Toc3730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19.缺陷责任与保修责任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_Toc3730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01AAE3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_Toc5935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19.2缺陷责任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_Toc5935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858455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_Toc30407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19.5承包人的进入权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_Toc30407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E1EEF7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_Toc15844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19.7保修责任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_Toc15844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25A194E">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_Toc82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20.保险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0A2D2A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_Toc21864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20.1工程保险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_Toc21864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7F2546F">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_Toc5621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20.4第三者责任险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_Toc5621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9A0D311">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_Toc5649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20.5其他保险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_Toc5649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169E1F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_Toc3297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20.6对各项保险的一般要求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A692F1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_Toc19897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21.不可抗力</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7C8A261">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_Toc15180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21.1不可抗力的确认</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_Toc15180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CB1F78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_Toc17012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21.3不可抗力后果及其处理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B3AEB53">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_Toc23752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22.违约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_Toc23752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612926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_Toc24598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22.1承包人违约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_Toc24598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95494F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_Toc31292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22.2发包人违约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_Toc31292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98DB48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_Toc11974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23.索赔</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_Toc11974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AFBDCC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_Toc31403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23.1承包人索赔的提出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_Toc31403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F06D27D">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_Toc17188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23.2承包人索赔处理程序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_Toc17188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72D5608">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_Toc27438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t>24.争议的解决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_Toc27438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46D8059">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_Toc7392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24.3争议评审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_Toc7392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3CE4A0B">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_Toc16334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24.4仲裁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_Toc16334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484796C">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_Toc20135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s="宋体"/>
          <w:color w:val="000000" w:themeColor="text1"/>
          <w:szCs w:val="24"/>
          <w:highlight w:val="none"/>
          <w14:textFill>
            <w14:solidFill>
              <w14:schemeClr w14:val="tx1"/>
            </w14:solidFill>
          </w14:textFill>
        </w:rPr>
        <w:t>24.5仲裁的执行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_Toc20135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6837FD3">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_Toc7202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B.项目专用合同条款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FD5EFE4">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_Toc25296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项目专用条款数据表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_Toc25296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95260A5">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_Toc27096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color w:val="000000" w:themeColor="text1"/>
          <w:highlight w:val="none"/>
          <w14:textFill>
            <w14:solidFill>
              <w14:schemeClr w14:val="tx1"/>
            </w14:solidFill>
          </w14:textFill>
        </w:rPr>
        <w:t>第三节合同附件格式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_Toc27096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4B4AF00">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_Toc19001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color w:val="000000" w:themeColor="text1"/>
          <w:szCs w:val="24"/>
          <w:highlight w:val="none"/>
          <w14:textFill>
            <w14:solidFill>
              <w14:schemeClr w14:val="tx1"/>
            </w14:solidFill>
          </w14:textFill>
        </w:rPr>
        <w:t>附件一</w:t>
      </w:r>
      <w:r>
        <w:rPr>
          <w:rFonts w:hint="eastAsia" w:ascii="宋体" w:hAnsi="宋体"/>
          <w:color w:val="000000" w:themeColor="text1"/>
          <w:szCs w:val="24"/>
          <w:highlight w:val="none"/>
          <w14:textFill>
            <w14:solidFill>
              <w14:schemeClr w14:val="tx1"/>
            </w14:solidFill>
          </w14:textFill>
        </w:rPr>
        <w:t xml:space="preserve">  </w:t>
      </w:r>
      <w:r>
        <w:rPr>
          <w:rFonts w:ascii="宋体" w:hAnsi="宋体"/>
          <w:color w:val="000000" w:themeColor="text1"/>
          <w:szCs w:val="24"/>
          <w:highlight w:val="none"/>
          <w14:textFill>
            <w14:solidFill>
              <w14:schemeClr w14:val="tx1"/>
            </w14:solidFill>
          </w14:textFill>
        </w:rPr>
        <w:t>合同协议书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_Toc19001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9906948">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_Toc29846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附件二   廉政合同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_Toc29846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52A7A25">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_Toc20268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附件三   安全生产合同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_Toc20268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EE3AB53">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_Toc4266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附件四   其他管理人员和技术人员最低要求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C9EFF22">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_Toc10150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附件五   主要设备最低要求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_Toc10150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6825C74">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_Toc23685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24"/>
          <w:highlight w:val="none"/>
          <w14:textFill>
            <w14:solidFill>
              <w14:schemeClr w14:val="tx1"/>
            </w14:solidFill>
          </w14:textFill>
        </w:rPr>
        <w:t>附件六  项目经理委托书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_Toc23685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620486A">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_Toc13604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color w:val="000000" w:themeColor="text1"/>
          <w:szCs w:val="24"/>
          <w:highlight w:val="none"/>
          <w14:textFill>
            <w14:solidFill>
              <w14:schemeClr w14:val="tx1"/>
            </w14:solidFill>
          </w14:textFill>
        </w:rPr>
        <w:t>附件</w:t>
      </w:r>
      <w:r>
        <w:rPr>
          <w:rFonts w:hint="eastAsia" w:ascii="宋体" w:hAnsi="宋体"/>
          <w:color w:val="000000" w:themeColor="text1"/>
          <w:szCs w:val="24"/>
          <w:highlight w:val="none"/>
          <w14:textFill>
            <w14:solidFill>
              <w14:schemeClr w14:val="tx1"/>
            </w14:solidFill>
          </w14:textFill>
        </w:rPr>
        <w:t xml:space="preserve">七   </w:t>
      </w:r>
      <w:r>
        <w:rPr>
          <w:rFonts w:ascii="宋体" w:hAnsi="宋体"/>
          <w:color w:val="000000" w:themeColor="text1"/>
          <w:szCs w:val="24"/>
          <w:highlight w:val="none"/>
          <w14:textFill>
            <w14:solidFill>
              <w14:schemeClr w14:val="tx1"/>
            </w14:solidFill>
          </w14:textFill>
        </w:rPr>
        <w:t>履约担保格式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_Toc13604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202</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D0901C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_Toc22403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color w:val="000000" w:themeColor="text1"/>
          <w:szCs w:val="24"/>
          <w:highlight w:val="none"/>
          <w14:textFill>
            <w14:solidFill>
              <w14:schemeClr w14:val="tx1"/>
            </w14:solidFill>
          </w14:textFill>
        </w:rPr>
        <w:t>附件</w:t>
      </w:r>
      <w:r>
        <w:rPr>
          <w:rFonts w:hint="eastAsia" w:ascii="宋体" w:hAnsi="宋体"/>
          <w:color w:val="000000" w:themeColor="text1"/>
          <w:szCs w:val="24"/>
          <w:highlight w:val="none"/>
          <w14:textFill>
            <w14:solidFill>
              <w14:schemeClr w14:val="tx1"/>
            </w14:solidFill>
          </w14:textFill>
        </w:rPr>
        <w:t>八   工程资金监管协议</w:t>
      </w:r>
      <w:r>
        <w:rPr>
          <w:rFonts w:ascii="宋体" w:hAnsi="宋体"/>
          <w:color w:val="000000" w:themeColor="text1"/>
          <w:szCs w:val="24"/>
          <w:highlight w:val="none"/>
          <w14:textFill>
            <w14:solidFill>
              <w14:schemeClr w14:val="tx1"/>
            </w14:solidFill>
          </w14:textFill>
        </w:rPr>
        <w:t>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_Toc22403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203</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C38E7E7">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_Toc11210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附件九  特殊材料设备供应一览表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_Toc11210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34322A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_Toc12982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附件十  统一采购供应材料一览表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_Toc12982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E8DD98E">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_Toc20717 </w:instrText>
      </w:r>
      <w:r>
        <w:rPr>
          <w:rFonts w:hint="eastAsia" w:ascii="宋体" w:hAnsi="宋体" w:cs="宋体"/>
          <w:color w:val="000000" w:themeColor="text1"/>
          <w:highlight w:val="none"/>
          <w14:textFill>
            <w14:solidFill>
              <w14:schemeClr w14:val="tx1"/>
            </w14:solidFill>
          </w14:textFill>
        </w:rPr>
        <w:fldChar w:fldCharType="separate"/>
      </w:r>
      <w:r>
        <w:rPr>
          <w:rFonts w:hint="eastAsia" w:ascii="宋体" w:hAnsi="宋体"/>
          <w:color w:val="000000" w:themeColor="text1"/>
          <w:szCs w:val="24"/>
          <w:highlight w:val="none"/>
          <w14:textFill>
            <w14:solidFill>
              <w14:schemeClr w14:val="tx1"/>
            </w14:solidFill>
          </w14:textFill>
        </w:rPr>
        <w:t>附件十一  承包人违约金一览表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_Toc20717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5E0732F">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_Toc5763 </w:instrText>
      </w:r>
      <w:r>
        <w:rPr>
          <w:rFonts w:hint="eastAsia" w:ascii="宋体" w:hAnsi="宋体" w:cs="宋体"/>
          <w:color w:val="000000" w:themeColor="text1"/>
          <w:highlight w:val="none"/>
          <w14:textFill>
            <w14:solidFill>
              <w14:schemeClr w14:val="tx1"/>
            </w14:solidFill>
          </w14:textFill>
        </w:rPr>
        <w:fldChar w:fldCharType="separate"/>
      </w:r>
      <w:r>
        <w:rPr>
          <w:rFonts w:hint="eastAsia"/>
          <w:bCs w:val="0"/>
          <w:color w:val="000000" w:themeColor="text1"/>
          <w:szCs w:val="24"/>
          <w:highlight w:val="none"/>
          <w14:textFill>
            <w14:solidFill>
              <w14:schemeClr w14:val="tx1"/>
            </w14:solidFill>
          </w14:textFill>
        </w:rPr>
        <w:t>附件十二  工程质量、安全及文明施工处罚项目一览表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_Toc5763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F33FB16">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_Toc31105 </w:instrText>
      </w:r>
      <w:r>
        <w:rPr>
          <w:rFonts w:hint="eastAsia" w:ascii="宋体" w:hAnsi="宋体" w:cs="宋体"/>
          <w:color w:val="000000" w:themeColor="text1"/>
          <w:highlight w:val="none"/>
          <w14:textFill>
            <w14:solidFill>
              <w14:schemeClr w14:val="tx1"/>
            </w14:solidFill>
          </w14:textFill>
        </w:rPr>
        <w:fldChar w:fldCharType="separate"/>
      </w:r>
      <w:r>
        <w:rPr>
          <w:rFonts w:hint="eastAsia"/>
          <w:bCs w:val="0"/>
          <w:color w:val="000000" w:themeColor="text1"/>
          <w:szCs w:val="24"/>
          <w:highlight w:val="none"/>
          <w14:textFill>
            <w14:solidFill>
              <w14:schemeClr w14:val="tx1"/>
            </w14:solidFill>
          </w14:textFill>
        </w:rPr>
        <w:t>附件十三  建设工程农民工工资支付保证书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_Toc31105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ABCC9B3">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_Toc14324 </w:instrText>
      </w:r>
      <w:r>
        <w:rPr>
          <w:rFonts w:hint="eastAsia" w:ascii="宋体" w:hAnsi="宋体" w:cs="宋体"/>
          <w:color w:val="000000" w:themeColor="text1"/>
          <w:highlight w:val="none"/>
          <w14:textFill>
            <w14:solidFill>
              <w14:schemeClr w14:val="tx1"/>
            </w14:solidFill>
          </w14:textFill>
        </w:rPr>
        <w:fldChar w:fldCharType="separate"/>
      </w:r>
      <w:r>
        <w:rPr>
          <w:rFonts w:hint="eastAsia"/>
          <w:bCs w:val="0"/>
          <w:color w:val="000000" w:themeColor="text1"/>
          <w:szCs w:val="24"/>
          <w:highlight w:val="none"/>
          <w14:textFill>
            <w14:solidFill>
              <w14:schemeClr w14:val="tx1"/>
            </w14:solidFill>
          </w14:textFill>
        </w:rPr>
        <w:t>附件十四  工程结算协议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_Toc14324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468DF13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_Toc32324 </w:instrText>
      </w:r>
      <w:r>
        <w:rPr>
          <w:rFonts w:hint="eastAsia" w:ascii="宋体" w:hAnsi="宋体" w:cs="宋体"/>
          <w:color w:val="000000" w:themeColor="text1"/>
          <w:highlight w:val="none"/>
          <w14:textFill>
            <w14:solidFill>
              <w14:schemeClr w14:val="tx1"/>
            </w14:solidFill>
          </w14:textFill>
        </w:rPr>
        <w:fldChar w:fldCharType="separate"/>
      </w:r>
      <w:r>
        <w:rPr>
          <w:rFonts w:ascii="宋体" w:hAnsi="宋体"/>
          <w:color w:val="000000" w:themeColor="text1"/>
          <w:szCs w:val="36"/>
          <w:highlight w:val="none"/>
          <w14:textFill>
            <w14:solidFill>
              <w14:schemeClr w14:val="tx1"/>
            </w14:solidFill>
          </w14:textFill>
        </w:rPr>
        <w:t>第五章  工程量清单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_Toc32324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593C97F3">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_Toc16012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工程量清单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244</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B0B0544">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_Toc15231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84"/>
          <w:highlight w:val="none"/>
          <w14:textFill>
            <w14:solidFill>
              <w14:schemeClr w14:val="tx1"/>
            </w14:solidFill>
          </w14:textFill>
        </w:rPr>
        <w:t>第二卷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_Toc15231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245</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04107DC0">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_Toc25845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第六章图纸（另册）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642635A">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_Toc14996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84"/>
          <w:highlight w:val="none"/>
          <w14:textFill>
            <w14:solidFill>
              <w14:schemeClr w14:val="tx1"/>
            </w14:solidFill>
          </w14:textFill>
        </w:rPr>
        <w:t>第三卷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_Toc14996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247</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76C5FF7F">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_Toc27366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第七章技术规范（自行收集）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248</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6883AD6">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_Toc4305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第八章  工程量清单计量规则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_Toc4305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249</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1B633667">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_Toc23325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84"/>
          <w:highlight w:val="none"/>
          <w14:textFill>
            <w14:solidFill>
              <w14:schemeClr w14:val="tx1"/>
            </w14:solidFill>
          </w14:textFill>
        </w:rPr>
        <w:t>第四卷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_Toc23325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6BF8A02">
      <w:pPr>
        <w:pStyle w:val="30"/>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_Toc26111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第九章投标文件格式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_Toc26111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251</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3654F9A5">
      <w:pPr>
        <w:pStyle w:val="35"/>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_Toc28220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14:textFill>
            <w14:solidFill>
              <w14:schemeClr w14:val="tx1"/>
            </w14:solidFill>
          </w14:textFill>
        </w:rPr>
        <w:t>四、资格审查资料（适用于未进行资格预审的）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_Toc28220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260</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2011A86A">
      <w:pPr>
        <w:pStyle w:val="21"/>
        <w:tabs>
          <w:tab w:val="right" w:leader="dot" w:pos="10210"/>
        </w:tabs>
        <w:rPr>
          <w:color w:val="000000" w:themeColor="text1"/>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begin"/>
      </w:r>
      <w:r>
        <w:rPr>
          <w:rFonts w:hint="eastAsia" w:ascii="宋体" w:hAnsi="宋体" w:cs="宋体"/>
          <w:color w:val="000000" w:themeColor="text1"/>
          <w:highlight w:val="none"/>
          <w14:textFill>
            <w14:solidFill>
              <w14:schemeClr w14:val="tx1"/>
            </w14:solidFill>
          </w14:textFill>
        </w:rPr>
        <w:instrText xml:space="preserve"> HYPERLINK \l _Toc26694 </w:instrText>
      </w:r>
      <w:r>
        <w:rPr>
          <w:rFonts w:hint="eastAsia" w:ascii="宋体" w:hAnsi="宋体" w:cs="宋体"/>
          <w:color w:val="000000" w:themeColor="text1"/>
          <w:highlight w:val="none"/>
          <w14:textFill>
            <w14:solidFill>
              <w14:schemeClr w14:val="tx1"/>
            </w14:solidFill>
          </w14:textFill>
        </w:rPr>
        <w:fldChar w:fldCharType="separate"/>
      </w:r>
      <w:r>
        <w:rPr>
          <w:rFonts w:hint="eastAsia"/>
          <w:color w:val="000000" w:themeColor="text1"/>
          <w:szCs w:val="36"/>
          <w:highlight w:val="none"/>
          <w:lang w:val="en-US" w:eastAsia="zh-CN"/>
          <w14:textFill>
            <w14:solidFill>
              <w14:schemeClr w14:val="tx1"/>
            </w14:solidFill>
          </w14:textFill>
        </w:rPr>
        <w:t>八</w:t>
      </w:r>
      <w:r>
        <w:rPr>
          <w:color w:val="000000" w:themeColor="text1"/>
          <w:szCs w:val="36"/>
          <w:highlight w:val="none"/>
          <w14:textFill>
            <w14:solidFill>
              <w14:schemeClr w14:val="tx1"/>
            </w14:solidFill>
          </w14:textFill>
        </w:rPr>
        <w:t>-2、投标人拟投入的关键设备承诺表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_Toc26694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276</w:t>
      </w:r>
      <w:r>
        <w:rPr>
          <w:color w:val="000000" w:themeColor="text1"/>
          <w14:textFill>
            <w14:solidFill>
              <w14:schemeClr w14:val="tx1"/>
            </w14:solidFill>
          </w14:textFill>
        </w:rPr>
        <w:fldChar w:fldCharType="end"/>
      </w:r>
      <w:r>
        <w:rPr>
          <w:rFonts w:hint="eastAsia" w:ascii="宋体" w:hAnsi="宋体" w:cs="宋体"/>
          <w:color w:val="000000" w:themeColor="text1"/>
          <w:highlight w:val="none"/>
          <w:u w:val="single"/>
          <w14:textFill>
            <w14:solidFill>
              <w14:schemeClr w14:val="tx1"/>
            </w14:solidFill>
          </w14:textFill>
        </w:rPr>
        <w:fldChar w:fldCharType="end"/>
      </w:r>
    </w:p>
    <w:p w14:paraId="637059B5">
      <w:pPr>
        <w:spacing w:line="250" w:lineRule="exact"/>
        <w:ind w:firstLine="1058" w:firstLineChars="504"/>
        <w:rPr>
          <w:rFonts w:ascii="宋体" w:hAnsi="宋体"/>
          <w:color w:val="000000" w:themeColor="text1"/>
          <w:sz w:val="32"/>
          <w:szCs w:val="32"/>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fldChar w:fldCharType="end"/>
      </w:r>
    </w:p>
    <w:p w14:paraId="5C81347C">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32"/>
          <w:szCs w:val="32"/>
          <w:highlight w:val="none"/>
          <w:u w:val="single"/>
          <w14:textFill>
            <w14:solidFill>
              <w14:schemeClr w14:val="tx1"/>
            </w14:solidFill>
          </w14:textFill>
        </w:rPr>
        <w:br w:type="page"/>
      </w:r>
    </w:p>
    <w:p w14:paraId="2717EED2">
      <w:pPr>
        <w:jc w:val="center"/>
        <w:rPr>
          <w:rFonts w:ascii="宋体" w:hAnsi="宋体"/>
          <w:color w:val="000000" w:themeColor="text1"/>
          <w:sz w:val="72"/>
          <w:szCs w:val="72"/>
          <w:highlight w:val="none"/>
          <w:u w:val="single"/>
          <w14:textFill>
            <w14:solidFill>
              <w14:schemeClr w14:val="tx1"/>
            </w14:solidFill>
          </w14:textFill>
        </w:rPr>
      </w:pPr>
    </w:p>
    <w:p w14:paraId="6EAE8717">
      <w:pPr>
        <w:jc w:val="center"/>
        <w:rPr>
          <w:rFonts w:ascii="宋体" w:hAnsi="宋体"/>
          <w:color w:val="000000" w:themeColor="text1"/>
          <w:sz w:val="72"/>
          <w:szCs w:val="72"/>
          <w:highlight w:val="none"/>
          <w:u w:val="single"/>
          <w14:textFill>
            <w14:solidFill>
              <w14:schemeClr w14:val="tx1"/>
            </w14:solidFill>
          </w14:textFill>
        </w:rPr>
      </w:pPr>
    </w:p>
    <w:p w14:paraId="56EE097F">
      <w:pPr>
        <w:jc w:val="center"/>
        <w:rPr>
          <w:rFonts w:ascii="宋体" w:hAnsi="宋体"/>
          <w:color w:val="000000" w:themeColor="text1"/>
          <w:sz w:val="72"/>
          <w:szCs w:val="72"/>
          <w:highlight w:val="none"/>
          <w:u w:val="single"/>
          <w14:textFill>
            <w14:solidFill>
              <w14:schemeClr w14:val="tx1"/>
            </w14:solidFill>
          </w14:textFill>
        </w:rPr>
      </w:pPr>
    </w:p>
    <w:p w14:paraId="2D1C348C">
      <w:pPr>
        <w:jc w:val="center"/>
        <w:rPr>
          <w:rFonts w:ascii="宋体" w:hAnsi="宋体"/>
          <w:color w:val="000000" w:themeColor="text1"/>
          <w:sz w:val="72"/>
          <w:szCs w:val="72"/>
          <w:highlight w:val="none"/>
          <w:u w:val="single"/>
          <w14:textFill>
            <w14:solidFill>
              <w14:schemeClr w14:val="tx1"/>
            </w14:solidFill>
          </w14:textFill>
        </w:rPr>
      </w:pPr>
    </w:p>
    <w:p w14:paraId="7F75458B">
      <w:pPr>
        <w:jc w:val="center"/>
        <w:rPr>
          <w:rFonts w:ascii="宋体" w:hAnsi="宋体"/>
          <w:color w:val="000000" w:themeColor="text1"/>
          <w:sz w:val="72"/>
          <w:szCs w:val="72"/>
          <w:highlight w:val="none"/>
          <w:u w:val="single"/>
          <w14:textFill>
            <w14:solidFill>
              <w14:schemeClr w14:val="tx1"/>
            </w14:solidFill>
          </w14:textFill>
        </w:rPr>
      </w:pPr>
    </w:p>
    <w:p w14:paraId="437330BC">
      <w:pPr>
        <w:jc w:val="center"/>
        <w:rPr>
          <w:rFonts w:ascii="宋体" w:hAnsi="宋体"/>
          <w:color w:val="000000" w:themeColor="text1"/>
          <w:sz w:val="72"/>
          <w:szCs w:val="72"/>
          <w:highlight w:val="none"/>
          <w:u w:val="single"/>
          <w14:textFill>
            <w14:solidFill>
              <w14:schemeClr w14:val="tx1"/>
            </w14:solidFill>
          </w14:textFill>
        </w:rPr>
      </w:pPr>
    </w:p>
    <w:p w14:paraId="5279D5D7">
      <w:pPr>
        <w:jc w:val="center"/>
        <w:rPr>
          <w:rFonts w:ascii="宋体" w:hAnsi="宋体"/>
          <w:color w:val="000000" w:themeColor="text1"/>
          <w:sz w:val="72"/>
          <w:szCs w:val="72"/>
          <w:highlight w:val="none"/>
          <w14:textFill>
            <w14:solidFill>
              <w14:schemeClr w14:val="tx1"/>
            </w14:solidFill>
          </w14:textFill>
        </w:rPr>
      </w:pPr>
      <w:r>
        <w:rPr>
          <w:rFonts w:hint="eastAsia" w:ascii="宋体" w:hAnsi="宋体"/>
          <w:color w:val="000000" w:themeColor="text1"/>
          <w:sz w:val="72"/>
          <w:szCs w:val="72"/>
          <w:highlight w:val="none"/>
          <w14:textFill>
            <w14:solidFill>
              <w14:schemeClr w14:val="tx1"/>
            </w14:solidFill>
          </w14:textFill>
        </w:rPr>
        <w:t>第  一  卷</w:t>
      </w:r>
    </w:p>
    <w:p w14:paraId="5712AFB1">
      <w:pPr>
        <w:jc w:val="center"/>
        <w:rPr>
          <w:rFonts w:ascii="宋体" w:hAnsi="宋体"/>
          <w:color w:val="000000" w:themeColor="text1"/>
          <w:sz w:val="72"/>
          <w:szCs w:val="72"/>
          <w:highlight w:val="none"/>
          <w14:textFill>
            <w14:solidFill>
              <w14:schemeClr w14:val="tx1"/>
            </w14:solidFill>
          </w14:textFill>
        </w:rPr>
      </w:pPr>
    </w:p>
    <w:p w14:paraId="218F4DD1">
      <w:pPr>
        <w:jc w:val="center"/>
        <w:rPr>
          <w:rFonts w:ascii="宋体" w:hAnsi="宋体"/>
          <w:color w:val="000000" w:themeColor="text1"/>
          <w:sz w:val="72"/>
          <w:szCs w:val="72"/>
          <w:highlight w:val="none"/>
          <w14:textFill>
            <w14:solidFill>
              <w14:schemeClr w14:val="tx1"/>
            </w14:solidFill>
          </w14:textFill>
        </w:rPr>
      </w:pPr>
    </w:p>
    <w:p w14:paraId="4033C979">
      <w:pPr>
        <w:jc w:val="center"/>
        <w:rPr>
          <w:rFonts w:ascii="宋体" w:hAnsi="宋体"/>
          <w:color w:val="000000" w:themeColor="text1"/>
          <w:sz w:val="72"/>
          <w:szCs w:val="72"/>
          <w:highlight w:val="none"/>
          <w14:textFill>
            <w14:solidFill>
              <w14:schemeClr w14:val="tx1"/>
            </w14:solidFill>
          </w14:textFill>
        </w:rPr>
      </w:pPr>
    </w:p>
    <w:p w14:paraId="785D038F">
      <w:pPr>
        <w:jc w:val="center"/>
        <w:rPr>
          <w:rFonts w:ascii="宋体" w:hAnsi="宋体"/>
          <w:color w:val="000000" w:themeColor="text1"/>
          <w:sz w:val="72"/>
          <w:szCs w:val="72"/>
          <w:highlight w:val="none"/>
          <w14:textFill>
            <w14:solidFill>
              <w14:schemeClr w14:val="tx1"/>
            </w14:solidFill>
          </w14:textFill>
        </w:rPr>
      </w:pPr>
    </w:p>
    <w:p w14:paraId="710D5FF1">
      <w:pPr>
        <w:jc w:val="center"/>
        <w:rPr>
          <w:rFonts w:ascii="宋体" w:hAnsi="宋体"/>
          <w:color w:val="000000" w:themeColor="text1"/>
          <w:sz w:val="72"/>
          <w:szCs w:val="72"/>
          <w:highlight w:val="none"/>
          <w14:textFill>
            <w14:solidFill>
              <w14:schemeClr w14:val="tx1"/>
            </w14:solidFill>
          </w14:textFill>
        </w:rPr>
      </w:pPr>
    </w:p>
    <w:p w14:paraId="6EA6FD18">
      <w:pPr>
        <w:jc w:val="center"/>
        <w:rPr>
          <w:rFonts w:ascii="宋体" w:hAnsi="宋体"/>
          <w:color w:val="000000" w:themeColor="text1"/>
          <w:sz w:val="72"/>
          <w:szCs w:val="72"/>
          <w:highlight w:val="none"/>
          <w14:textFill>
            <w14:solidFill>
              <w14:schemeClr w14:val="tx1"/>
            </w14:solidFill>
          </w14:textFill>
        </w:rPr>
      </w:pPr>
    </w:p>
    <w:p w14:paraId="67DD679E">
      <w:pPr>
        <w:jc w:val="center"/>
        <w:rPr>
          <w:rFonts w:ascii="宋体" w:hAnsi="宋体"/>
          <w:color w:val="000000" w:themeColor="text1"/>
          <w:sz w:val="72"/>
          <w:szCs w:val="72"/>
          <w:highlight w:val="none"/>
          <w14:textFill>
            <w14:solidFill>
              <w14:schemeClr w14:val="tx1"/>
            </w14:solidFill>
          </w14:textFill>
        </w:rPr>
      </w:pPr>
    </w:p>
    <w:p w14:paraId="1BD58FA3">
      <w:pPr>
        <w:jc w:val="center"/>
        <w:rPr>
          <w:rFonts w:ascii="宋体" w:hAnsi="宋体"/>
          <w:color w:val="000000" w:themeColor="text1"/>
          <w:sz w:val="72"/>
          <w:szCs w:val="72"/>
          <w:highlight w:val="none"/>
          <w:u w:val="single"/>
          <w14:textFill>
            <w14:solidFill>
              <w14:schemeClr w14:val="tx1"/>
            </w14:solidFill>
          </w14:textFill>
        </w:rPr>
      </w:pPr>
    </w:p>
    <w:p w14:paraId="7511D01C">
      <w:pPr>
        <w:jc w:val="center"/>
        <w:rPr>
          <w:rFonts w:ascii="宋体" w:hAnsi="宋体"/>
          <w:color w:val="000000" w:themeColor="text1"/>
          <w:sz w:val="72"/>
          <w:szCs w:val="72"/>
          <w:highlight w:val="none"/>
          <w:u w:val="single"/>
          <w14:textFill>
            <w14:solidFill>
              <w14:schemeClr w14:val="tx1"/>
            </w14:solidFill>
          </w14:textFill>
        </w:rPr>
      </w:pPr>
    </w:p>
    <w:p w14:paraId="4BE4887B">
      <w:pPr>
        <w:jc w:val="center"/>
        <w:rPr>
          <w:rFonts w:ascii="宋体" w:hAnsi="宋体"/>
          <w:color w:val="000000" w:themeColor="text1"/>
          <w:sz w:val="72"/>
          <w:szCs w:val="72"/>
          <w:highlight w:val="none"/>
          <w:u w:val="single"/>
          <w14:textFill>
            <w14:solidFill>
              <w14:schemeClr w14:val="tx1"/>
            </w14:solidFill>
          </w14:textFill>
        </w:rPr>
      </w:pPr>
    </w:p>
    <w:p w14:paraId="35FB9257">
      <w:pPr>
        <w:jc w:val="center"/>
        <w:rPr>
          <w:rFonts w:ascii="宋体" w:hAnsi="宋体"/>
          <w:color w:val="000000" w:themeColor="text1"/>
          <w:sz w:val="72"/>
          <w:szCs w:val="72"/>
          <w:highlight w:val="none"/>
          <w:u w:val="single"/>
          <w14:textFill>
            <w14:solidFill>
              <w14:schemeClr w14:val="tx1"/>
            </w14:solidFill>
          </w14:textFill>
        </w:rPr>
      </w:pPr>
    </w:p>
    <w:p w14:paraId="372E6A58">
      <w:pPr>
        <w:jc w:val="center"/>
        <w:rPr>
          <w:rFonts w:ascii="宋体" w:hAnsi="宋体"/>
          <w:color w:val="000000" w:themeColor="text1"/>
          <w:sz w:val="72"/>
          <w:szCs w:val="72"/>
          <w:highlight w:val="none"/>
          <w:u w:val="single"/>
          <w14:textFill>
            <w14:solidFill>
              <w14:schemeClr w14:val="tx1"/>
            </w14:solidFill>
          </w14:textFill>
        </w:rPr>
      </w:pPr>
    </w:p>
    <w:p w14:paraId="505A29EE">
      <w:pPr>
        <w:jc w:val="center"/>
        <w:rPr>
          <w:rFonts w:ascii="宋体" w:hAnsi="宋体"/>
          <w:color w:val="000000" w:themeColor="text1"/>
          <w:sz w:val="72"/>
          <w:szCs w:val="72"/>
          <w:highlight w:val="none"/>
          <w:u w:val="single"/>
          <w14:textFill>
            <w14:solidFill>
              <w14:schemeClr w14:val="tx1"/>
            </w14:solidFill>
          </w14:textFill>
        </w:rPr>
      </w:pPr>
    </w:p>
    <w:p w14:paraId="370B3BEA">
      <w:pPr>
        <w:jc w:val="center"/>
        <w:rPr>
          <w:rFonts w:ascii="宋体" w:hAnsi="宋体"/>
          <w:color w:val="000000" w:themeColor="text1"/>
          <w:sz w:val="72"/>
          <w:szCs w:val="72"/>
          <w:highlight w:val="none"/>
          <w:u w:val="single"/>
          <w14:textFill>
            <w14:solidFill>
              <w14:schemeClr w14:val="tx1"/>
            </w14:solidFill>
          </w14:textFill>
        </w:rPr>
      </w:pPr>
    </w:p>
    <w:p w14:paraId="257134A1">
      <w:pPr>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第一章  招标公告</w:t>
      </w:r>
    </w:p>
    <w:p w14:paraId="0F4F9922">
      <w:pPr>
        <w:jc w:val="center"/>
        <w:rPr>
          <w:rFonts w:ascii="宋体" w:hAnsi="宋体"/>
          <w:color w:val="000000" w:themeColor="text1"/>
          <w:sz w:val="72"/>
          <w:szCs w:val="72"/>
          <w:highlight w:val="none"/>
          <w14:textFill>
            <w14:solidFill>
              <w14:schemeClr w14:val="tx1"/>
            </w14:solidFill>
          </w14:textFill>
        </w:rPr>
      </w:pPr>
    </w:p>
    <w:p w14:paraId="4B7264F6">
      <w:pPr>
        <w:jc w:val="center"/>
        <w:rPr>
          <w:rFonts w:ascii="宋体" w:hAnsi="宋体"/>
          <w:color w:val="000000" w:themeColor="text1"/>
          <w:sz w:val="72"/>
          <w:szCs w:val="72"/>
          <w:highlight w:val="none"/>
          <w14:textFill>
            <w14:solidFill>
              <w14:schemeClr w14:val="tx1"/>
            </w14:solidFill>
          </w14:textFill>
        </w:rPr>
      </w:pPr>
    </w:p>
    <w:p w14:paraId="414DC2E5">
      <w:pPr>
        <w:jc w:val="center"/>
        <w:rPr>
          <w:rFonts w:ascii="宋体" w:hAnsi="宋体"/>
          <w:color w:val="000000" w:themeColor="text1"/>
          <w:sz w:val="72"/>
          <w:szCs w:val="72"/>
          <w:highlight w:val="none"/>
          <w14:textFill>
            <w14:solidFill>
              <w14:schemeClr w14:val="tx1"/>
            </w14:solidFill>
          </w14:textFill>
        </w:rPr>
      </w:pPr>
    </w:p>
    <w:p w14:paraId="0ED9489B">
      <w:pPr>
        <w:jc w:val="center"/>
        <w:rPr>
          <w:rFonts w:ascii="宋体" w:hAnsi="宋体"/>
          <w:color w:val="000000" w:themeColor="text1"/>
          <w:sz w:val="72"/>
          <w:szCs w:val="72"/>
          <w:highlight w:val="none"/>
          <w14:textFill>
            <w14:solidFill>
              <w14:schemeClr w14:val="tx1"/>
            </w14:solidFill>
          </w14:textFill>
        </w:rPr>
      </w:pPr>
    </w:p>
    <w:p w14:paraId="0FE96E6E">
      <w:pPr>
        <w:jc w:val="center"/>
        <w:rPr>
          <w:rFonts w:ascii="宋体" w:hAnsi="宋体"/>
          <w:color w:val="000000" w:themeColor="text1"/>
          <w:sz w:val="72"/>
          <w:szCs w:val="72"/>
          <w:highlight w:val="none"/>
          <w14:textFill>
            <w14:solidFill>
              <w14:schemeClr w14:val="tx1"/>
            </w14:solidFill>
          </w14:textFill>
        </w:rPr>
      </w:pPr>
    </w:p>
    <w:p w14:paraId="49D594CA">
      <w:pPr>
        <w:jc w:val="center"/>
        <w:rPr>
          <w:rFonts w:ascii="宋体" w:hAnsi="宋体"/>
          <w:color w:val="000000" w:themeColor="text1"/>
          <w:sz w:val="72"/>
          <w:szCs w:val="72"/>
          <w:highlight w:val="none"/>
          <w14:textFill>
            <w14:solidFill>
              <w14:schemeClr w14:val="tx1"/>
            </w14:solidFill>
          </w14:textFill>
        </w:rPr>
      </w:pPr>
    </w:p>
    <w:p w14:paraId="30FFB150">
      <w:pPr>
        <w:jc w:val="center"/>
        <w:rPr>
          <w:rFonts w:ascii="宋体" w:hAnsi="宋体"/>
          <w:color w:val="000000" w:themeColor="text1"/>
          <w:sz w:val="72"/>
          <w:szCs w:val="72"/>
          <w:highlight w:val="none"/>
          <w14:textFill>
            <w14:solidFill>
              <w14:schemeClr w14:val="tx1"/>
            </w14:solidFill>
          </w14:textFill>
        </w:rPr>
      </w:pPr>
    </w:p>
    <w:p w14:paraId="2FBFAA7E">
      <w:pPr>
        <w:pStyle w:val="3"/>
        <w:numPr>
          <w:ilvl w:val="0"/>
          <w:numId w:val="2"/>
        </w:numPr>
        <w:adjustRightInd w:val="0"/>
        <w:snapToGrid w:val="0"/>
        <w:spacing w:before="120" w:line="240" w:lineRule="auto"/>
        <w:jc w:val="center"/>
        <w:rPr>
          <w:rFonts w:ascii="宋体" w:hAnsi="宋体"/>
          <w:color w:val="000000" w:themeColor="text1"/>
          <w:sz w:val="36"/>
          <w:highlight w:val="none"/>
          <w14:textFill>
            <w14:solidFill>
              <w14:schemeClr w14:val="tx1"/>
            </w14:solidFill>
          </w14:textFill>
        </w:rPr>
        <w:sectPr>
          <w:pgSz w:w="11910" w:h="16840"/>
          <w:pgMar w:top="941" w:right="720" w:bottom="1179" w:left="980" w:header="707" w:footer="998" w:gutter="0"/>
          <w:pgNumType w:start="1"/>
          <w:cols w:space="720" w:num="1"/>
        </w:sectPr>
      </w:pPr>
    </w:p>
    <w:p w14:paraId="28BE018F">
      <w:pPr>
        <w:pStyle w:val="76"/>
        <w:outlineLvl w:val="0"/>
        <w:rPr>
          <w:rFonts w:ascii="宋体" w:hAnsi="宋体"/>
          <w:color w:val="000000" w:themeColor="text1"/>
          <w:sz w:val="36"/>
          <w:highlight w:val="none"/>
          <w14:textFill>
            <w14:solidFill>
              <w14:schemeClr w14:val="tx1"/>
            </w14:solidFill>
          </w14:textFill>
        </w:rPr>
      </w:pPr>
      <w:bookmarkStart w:id="0" w:name="_Toc11768"/>
      <w:bookmarkEnd w:id="0"/>
      <w:bookmarkStart w:id="1" w:name="_Toc10454"/>
      <w:bookmarkStart w:id="2" w:name="_Toc26235"/>
      <w:bookmarkStart w:id="3" w:name="_Toc234382586"/>
      <w:bookmarkStart w:id="4" w:name="_Toc9236"/>
      <w:r>
        <w:rPr>
          <w:rFonts w:hint="eastAsia"/>
          <w:color w:val="000000" w:themeColor="text1"/>
          <w:sz w:val="36"/>
          <w:highlight w:val="none"/>
          <w:lang w:val="en-US" w:eastAsia="zh-CN"/>
          <w14:textFill>
            <w14:solidFill>
              <w14:schemeClr w14:val="tx1"/>
            </w14:solidFill>
          </w14:textFill>
        </w:rPr>
        <w:t xml:space="preserve">第一章 </w:t>
      </w:r>
      <w:r>
        <w:rPr>
          <w:rFonts w:ascii="宋体" w:hAnsi="宋体"/>
          <w:color w:val="000000" w:themeColor="text1"/>
          <w:sz w:val="36"/>
          <w:highlight w:val="none"/>
          <w14:textFill>
            <w14:solidFill>
              <w14:schemeClr w14:val="tx1"/>
            </w14:solidFill>
          </w14:textFill>
        </w:rPr>
        <w:t>招标公告</w:t>
      </w:r>
      <w:bookmarkEnd w:id="1"/>
      <w:bookmarkEnd w:id="2"/>
      <w:bookmarkStart w:id="5" w:name="_Toc424739344"/>
    </w:p>
    <w:p w14:paraId="0006DD62">
      <w:pPr>
        <w:pStyle w:val="76"/>
        <w:rPr>
          <w:rFonts w:cs="宋体"/>
          <w:color w:val="000000" w:themeColor="text1"/>
          <w:szCs w:val="28"/>
          <w:highlight w:val="none"/>
          <w14:textFill>
            <w14:solidFill>
              <w14:schemeClr w14:val="tx1"/>
            </w14:solidFill>
          </w14:textFill>
        </w:rPr>
      </w:pPr>
      <w:r>
        <w:rPr>
          <w:rFonts w:hint="eastAsia" w:cs="宋体"/>
          <w:color w:val="000000" w:themeColor="text1"/>
          <w:szCs w:val="28"/>
          <w:highlight w:val="none"/>
          <w:lang w:eastAsia="zh-CN"/>
          <w14:textFill>
            <w14:solidFill>
              <w14:schemeClr w14:val="tx1"/>
            </w14:solidFill>
          </w14:textFill>
        </w:rPr>
        <w:t>始兴县X395线花山水库至大坪县道网升级联结工程施工</w:t>
      </w:r>
      <w:r>
        <w:rPr>
          <w:rFonts w:hint="eastAsia" w:cs="宋体"/>
          <w:color w:val="000000" w:themeColor="text1"/>
          <w:szCs w:val="28"/>
          <w:highlight w:val="none"/>
          <w14:textFill>
            <w14:solidFill>
              <w14:schemeClr w14:val="tx1"/>
            </w14:solidFill>
          </w14:textFill>
        </w:rPr>
        <w:t>招标公告</w:t>
      </w:r>
    </w:p>
    <w:p w14:paraId="2BBEB29F">
      <w:pPr>
        <w:pStyle w:val="4"/>
        <w:spacing w:line="400" w:lineRule="atLeast"/>
        <w:rPr>
          <w:rFonts w:ascii="宋体" w:hAnsi="宋体" w:eastAsia="宋体" w:cs="黑体"/>
          <w:bCs w:val="0"/>
          <w:color w:val="000000" w:themeColor="text1"/>
          <w:sz w:val="28"/>
          <w:szCs w:val="28"/>
          <w:highlight w:val="none"/>
          <w14:textFill>
            <w14:solidFill>
              <w14:schemeClr w14:val="tx1"/>
            </w14:solidFill>
          </w14:textFill>
        </w:rPr>
      </w:pPr>
      <w:bookmarkStart w:id="6" w:name="_Toc18249"/>
      <w:bookmarkStart w:id="7" w:name="_Toc30127"/>
      <w:bookmarkStart w:id="8" w:name="_Toc7234"/>
      <w:r>
        <w:rPr>
          <w:rFonts w:hint="eastAsia" w:ascii="宋体" w:hAnsi="宋体" w:eastAsia="宋体" w:cs="黑体"/>
          <w:bCs w:val="0"/>
          <w:color w:val="000000" w:themeColor="text1"/>
          <w:sz w:val="28"/>
          <w:szCs w:val="28"/>
          <w:highlight w:val="none"/>
          <w14:textFill>
            <w14:solidFill>
              <w14:schemeClr w14:val="tx1"/>
            </w14:solidFill>
          </w14:textFill>
        </w:rPr>
        <w:t>1.招标条件</w:t>
      </w:r>
      <w:bookmarkEnd w:id="5"/>
      <w:bookmarkEnd w:id="6"/>
      <w:bookmarkEnd w:id="7"/>
      <w:bookmarkEnd w:id="8"/>
    </w:p>
    <w:p w14:paraId="485B6684">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bookmarkStart w:id="9" w:name="_Toc424739345"/>
      <w:bookmarkStart w:id="10" w:name="_Toc544"/>
      <w:r>
        <w:rPr>
          <w:rFonts w:hint="eastAsia" w:ascii="宋体" w:hAnsi="宋体" w:eastAsia="宋体" w:cs="宋体"/>
          <w:color w:val="000000" w:themeColor="text1"/>
          <w:sz w:val="24"/>
          <w:highlight w:val="none"/>
          <w14:textFill>
            <w14:solidFill>
              <w14:schemeClr w14:val="tx1"/>
            </w14:solidFill>
          </w14:textFill>
        </w:rPr>
        <w:t>本招标项目</w:t>
      </w:r>
      <w:r>
        <w:rPr>
          <w:rFonts w:hint="eastAsia" w:ascii="宋体" w:hAnsi="宋体" w:cs="宋体"/>
          <w:color w:val="000000" w:themeColor="text1"/>
          <w:sz w:val="24"/>
          <w:highlight w:val="none"/>
          <w:u w:val="single"/>
          <w:lang w:eastAsia="zh-CN"/>
          <w14:textFill>
            <w14:solidFill>
              <w14:schemeClr w14:val="tx1"/>
            </w14:solidFill>
          </w14:textFill>
        </w:rPr>
        <w:t>始兴县X395线花山水库至大坪县道网升级联结工程</w:t>
      </w:r>
      <w:r>
        <w:rPr>
          <w:rFonts w:hint="eastAsia" w:ascii="宋体" w:hAnsi="宋体" w:eastAsia="宋体" w:cs="宋体"/>
          <w:color w:val="000000" w:themeColor="text1"/>
          <w:sz w:val="24"/>
          <w:highlight w:val="none"/>
          <w14:textFill>
            <w14:solidFill>
              <w14:schemeClr w14:val="tx1"/>
            </w14:solidFill>
          </w14:textFill>
        </w:rPr>
        <w:t>已由</w:t>
      </w:r>
      <w:r>
        <w:rPr>
          <w:rFonts w:hint="eastAsia" w:ascii="宋体" w:hAnsi="宋体" w:eastAsia="宋体" w:cs="宋体"/>
          <w:color w:val="000000" w:themeColor="text1"/>
          <w:sz w:val="24"/>
          <w:highlight w:val="none"/>
          <w:u w:val="single"/>
          <w14:textFill>
            <w14:solidFill>
              <w14:schemeClr w14:val="tx1"/>
            </w14:solidFill>
          </w14:textFill>
        </w:rPr>
        <w:t>始兴县人民政府</w:t>
      </w:r>
      <w:r>
        <w:rPr>
          <w:rFonts w:hint="eastAsia" w:ascii="宋体" w:hAnsi="宋体" w:eastAsia="宋体" w:cs="宋体"/>
          <w:color w:val="000000" w:themeColor="text1"/>
          <w:spacing w:val="9"/>
          <w:sz w:val="24"/>
          <w:highlight w:val="none"/>
          <w14:textFill>
            <w14:solidFill>
              <w14:schemeClr w14:val="tx1"/>
            </w14:solidFill>
          </w14:textFill>
        </w:rPr>
        <w:t>以</w:t>
      </w:r>
      <w:r>
        <w:rPr>
          <w:rFonts w:hint="eastAsia" w:ascii="宋体" w:hAnsi="宋体" w:cs="宋体"/>
          <w:color w:val="000000" w:themeColor="text1"/>
          <w:spacing w:val="9"/>
          <w:sz w:val="24"/>
          <w:highlight w:val="none"/>
          <w:u w:val="single"/>
          <w:lang w:eastAsia="zh-CN"/>
          <w14:textFill>
            <w14:solidFill>
              <w14:schemeClr w14:val="tx1"/>
            </w14:solidFill>
          </w14:textFill>
        </w:rPr>
        <w:t>《</w:t>
      </w:r>
      <w:r>
        <w:rPr>
          <w:rFonts w:hint="eastAsia" w:ascii="宋体" w:hAnsi="宋体" w:eastAsia="宋体" w:cs="宋体"/>
          <w:color w:val="000000" w:themeColor="text1"/>
          <w:sz w:val="24"/>
          <w:highlight w:val="none"/>
          <w:u w:val="single"/>
          <w:lang w:eastAsia="zh-CN"/>
          <w14:textFill>
            <w14:solidFill>
              <w14:schemeClr w14:val="tx1"/>
            </w14:solidFill>
          </w14:textFill>
        </w:rPr>
        <w:t>始兴县人民政府关于将县道</w:t>
      </w:r>
      <w:r>
        <w:rPr>
          <w:rFonts w:hint="eastAsia" w:ascii="宋体" w:hAnsi="宋体" w:eastAsia="宋体" w:cs="宋体"/>
          <w:color w:val="000000" w:themeColor="text1"/>
          <w:sz w:val="24"/>
          <w:highlight w:val="none"/>
          <w:u w:val="single"/>
          <w:lang w:val="en-US" w:eastAsia="zh-CN"/>
          <w14:textFill>
            <w14:solidFill>
              <w14:schemeClr w14:val="tx1"/>
            </w14:solidFill>
          </w14:textFill>
        </w:rPr>
        <w:t>X</w:t>
      </w:r>
      <w:r>
        <w:rPr>
          <w:rFonts w:hint="eastAsia" w:ascii="宋体" w:hAnsi="宋体" w:eastAsia="宋体" w:cs="宋体"/>
          <w:color w:val="000000" w:themeColor="text1"/>
          <w:sz w:val="24"/>
          <w:highlight w:val="none"/>
          <w:u w:val="single"/>
          <w:lang w:eastAsia="zh-CN"/>
          <w14:textFill>
            <w14:solidFill>
              <w14:schemeClr w14:val="tx1"/>
            </w14:solidFill>
          </w14:textFill>
        </w:rPr>
        <w:t>793线河北村至总甫村县道网升级联结工程等6个项目</w:t>
      </w:r>
      <w:r>
        <w:rPr>
          <w:rFonts w:hint="eastAsia" w:ascii="宋体" w:hAnsi="宋体" w:cs="宋体"/>
          <w:color w:val="000000" w:themeColor="text1"/>
          <w:spacing w:val="9"/>
          <w:sz w:val="24"/>
          <w:highlight w:val="none"/>
          <w:u w:val="single"/>
          <w:lang w:eastAsia="zh-CN"/>
          <w14:textFill>
            <w14:solidFill>
              <w14:schemeClr w14:val="tx1"/>
            </w14:solidFill>
          </w14:textFill>
        </w:rPr>
        <w:t>》</w:t>
      </w:r>
      <w:r>
        <w:rPr>
          <w:rFonts w:hint="eastAsia" w:ascii="宋体" w:hAnsi="宋体" w:eastAsia="宋体" w:cs="宋体"/>
          <w:color w:val="000000" w:themeColor="text1"/>
          <w:sz w:val="24"/>
          <w:highlight w:val="none"/>
          <w:u w:val="single"/>
          <w:lang w:eastAsia="zh-CN"/>
          <w14:textFill>
            <w14:solidFill>
              <w14:schemeClr w14:val="tx1"/>
            </w14:solidFill>
          </w14:textFill>
        </w:rPr>
        <w:t>纳</w:t>
      </w:r>
      <w:r>
        <w:rPr>
          <w:rFonts w:hint="eastAsia" w:ascii="宋体" w:hAnsi="宋体" w:cs="宋体"/>
          <w:color w:val="000000" w:themeColor="text1"/>
          <w:sz w:val="24"/>
          <w:highlight w:val="none"/>
          <w:u w:val="single"/>
          <w:lang w:val="en-US" w:eastAsia="zh-CN"/>
          <w14:textFill>
            <w14:solidFill>
              <w14:schemeClr w14:val="tx1"/>
            </w14:solidFill>
          </w14:textFill>
        </w:rPr>
        <w:t>入</w:t>
      </w:r>
      <w:r>
        <w:rPr>
          <w:rFonts w:hint="eastAsia" w:ascii="宋体" w:hAnsi="宋体" w:eastAsia="宋体" w:cs="宋体"/>
          <w:color w:val="000000" w:themeColor="text1"/>
          <w:sz w:val="24"/>
          <w:highlight w:val="none"/>
          <w:u w:val="single"/>
          <w:lang w:eastAsia="zh-CN"/>
          <w14:textFill>
            <w14:solidFill>
              <w14:schemeClr w14:val="tx1"/>
            </w14:solidFill>
          </w14:textFill>
        </w:rPr>
        <w:t>《2025年度始兴县“四好农村路</w:t>
      </w:r>
      <w:r>
        <w:rPr>
          <w:rFonts w:hint="eastAsia" w:ascii="宋体" w:hAnsi="宋体" w:cs="宋体"/>
          <w:color w:val="000000" w:themeColor="text1"/>
          <w:sz w:val="24"/>
          <w:highlight w:val="none"/>
          <w:u w:val="single"/>
          <w:lang w:eastAsia="zh-CN"/>
          <w14:textFill>
            <w14:solidFill>
              <w14:schemeClr w14:val="tx1"/>
            </w14:solidFill>
          </w14:textFill>
        </w:rPr>
        <w:t>”</w:t>
      </w:r>
      <w:r>
        <w:rPr>
          <w:rFonts w:hint="eastAsia" w:ascii="宋体" w:hAnsi="宋体" w:eastAsia="宋体" w:cs="宋体"/>
          <w:color w:val="000000" w:themeColor="text1"/>
          <w:sz w:val="24"/>
          <w:highlight w:val="none"/>
          <w:u w:val="single"/>
          <w:lang w:eastAsia="zh-CN"/>
          <w14:textFill>
            <w14:solidFill>
              <w14:schemeClr w14:val="tx1"/>
            </w14:solidFill>
          </w14:textFill>
        </w:rPr>
        <w:t>建设项目库》的批复（</w:t>
      </w:r>
      <w:r>
        <w:rPr>
          <w:rFonts w:hint="eastAsia" w:ascii="宋体" w:hAnsi="宋体" w:eastAsia="宋体" w:cs="宋体"/>
          <w:color w:val="000000" w:themeColor="text1"/>
          <w:sz w:val="24"/>
          <w:highlight w:val="none"/>
          <w:u w:val="single"/>
          <w:lang w:val="en-US" w:eastAsia="zh-CN"/>
          <w14:textFill>
            <w14:solidFill>
              <w14:schemeClr w14:val="tx1"/>
            </w14:solidFill>
          </w14:textFill>
        </w:rPr>
        <w:t>始府函【2025】25号</w:t>
      </w:r>
      <w:r>
        <w:rPr>
          <w:rFonts w:hint="eastAsia" w:ascii="宋体" w:hAnsi="宋体" w:eastAsia="宋体" w:cs="宋体"/>
          <w:color w:val="000000" w:themeColor="text1"/>
          <w:sz w:val="24"/>
          <w:highlight w:val="none"/>
          <w:u w:val="singl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批准建设，施工图设计已由</w:t>
      </w:r>
      <w:r>
        <w:rPr>
          <w:rFonts w:hint="eastAsia" w:ascii="宋体" w:hAnsi="宋体" w:eastAsia="宋体" w:cs="宋体"/>
          <w:color w:val="000000" w:themeColor="text1"/>
          <w:sz w:val="24"/>
          <w:highlight w:val="none"/>
          <w:u w:val="single"/>
          <w:lang w:val="en-US" w:eastAsia="zh-CN"/>
          <w14:textFill>
            <w14:solidFill>
              <w14:schemeClr w14:val="tx1"/>
            </w14:solidFill>
          </w14:textFill>
        </w:rPr>
        <w:t>始兴县交通运输局</w:t>
      </w:r>
      <w:r>
        <w:rPr>
          <w:rFonts w:hint="eastAsia" w:ascii="宋体" w:hAnsi="宋体" w:eastAsia="宋体" w:cs="宋体"/>
          <w:color w:val="000000" w:themeColor="text1"/>
          <w:sz w:val="24"/>
          <w:highlight w:val="none"/>
          <w14:textFill>
            <w14:solidFill>
              <w14:schemeClr w14:val="tx1"/>
            </w14:solidFill>
          </w14:textFill>
        </w:rPr>
        <w:t>以</w:t>
      </w:r>
      <w:r>
        <w:rPr>
          <w:rFonts w:hint="eastAsia" w:ascii="宋体" w:hAnsi="宋体" w:eastAsia="宋体" w:cs="宋体"/>
          <w:color w:val="000000" w:themeColor="text1"/>
          <w:sz w:val="24"/>
          <w:highlight w:val="none"/>
          <w:u w:val="single"/>
          <w14:textFill>
            <w14:solidFill>
              <w14:schemeClr w14:val="tx1"/>
            </w14:solidFill>
          </w14:textFill>
        </w:rPr>
        <w:t>《关于《</w:t>
      </w:r>
      <w:r>
        <w:rPr>
          <w:rFonts w:hint="eastAsia" w:ascii="宋体" w:hAnsi="宋体" w:cs="宋体"/>
          <w:color w:val="000000" w:themeColor="text1"/>
          <w:sz w:val="24"/>
          <w:highlight w:val="none"/>
          <w:u w:val="single"/>
          <w:lang w:eastAsia="zh-CN"/>
          <w14:textFill>
            <w14:solidFill>
              <w14:schemeClr w14:val="tx1"/>
            </w14:solidFill>
          </w14:textFill>
        </w:rPr>
        <w:t>X395线花山水库至大坪县道网升级联结工程</w:t>
      </w:r>
      <w:r>
        <w:rPr>
          <w:rFonts w:hint="eastAsia" w:ascii="宋体" w:hAnsi="宋体" w:eastAsia="宋体" w:cs="宋体"/>
          <w:color w:val="000000" w:themeColor="text1"/>
          <w:sz w:val="24"/>
          <w:highlight w:val="none"/>
          <w:u w:val="single"/>
          <w14:textFill>
            <w14:solidFill>
              <w14:schemeClr w14:val="tx1"/>
            </w14:solidFill>
          </w14:textFill>
        </w:rPr>
        <w:t>》施工图设计的批复》（</w:t>
      </w:r>
      <w:r>
        <w:rPr>
          <w:rFonts w:hint="eastAsia" w:ascii="宋体" w:hAnsi="宋体" w:eastAsia="宋体" w:cs="宋体"/>
          <w:color w:val="000000" w:themeColor="text1"/>
          <w:sz w:val="24"/>
          <w:highlight w:val="none"/>
          <w:u w:val="single"/>
          <w:lang w:val="en-US" w:eastAsia="zh-CN"/>
          <w14:textFill>
            <w14:solidFill>
              <w14:schemeClr w14:val="tx1"/>
            </w14:solidFill>
          </w14:textFill>
        </w:rPr>
        <w:t>始交发【2025】</w:t>
      </w:r>
      <w:r>
        <w:rPr>
          <w:rFonts w:hint="eastAsia" w:ascii="宋体" w:hAnsi="宋体" w:cs="宋体"/>
          <w:color w:val="000000" w:themeColor="text1"/>
          <w:sz w:val="24"/>
          <w:highlight w:val="none"/>
          <w:u w:val="single"/>
          <w:lang w:val="en-US" w:eastAsia="zh-CN"/>
          <w14:textFill>
            <w14:solidFill>
              <w14:schemeClr w14:val="tx1"/>
            </w14:solidFill>
          </w14:textFill>
        </w:rPr>
        <w:t>10</w:t>
      </w:r>
      <w:r>
        <w:rPr>
          <w:rFonts w:hint="eastAsia" w:ascii="宋体" w:hAnsi="宋体" w:eastAsia="宋体" w:cs="宋体"/>
          <w:color w:val="000000" w:themeColor="text1"/>
          <w:sz w:val="24"/>
          <w:highlight w:val="none"/>
          <w:u w:val="single"/>
          <w:lang w:val="en-US" w:eastAsia="zh-CN"/>
          <w14:textFill>
            <w14:solidFill>
              <w14:schemeClr w14:val="tx1"/>
            </w14:solidFill>
          </w14:textFill>
        </w:rPr>
        <w:t>号</w:t>
      </w:r>
      <w:r>
        <w:rPr>
          <w:rFonts w:hint="eastAsia" w:ascii="宋体" w:hAnsi="宋体" w:eastAsia="宋体" w:cs="宋体"/>
          <w:color w:val="000000" w:themeColor="text1"/>
          <w:sz w:val="24"/>
          <w:highlight w:val="none"/>
          <w:u w:val="singl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批复，投资项目统一代码为</w:t>
      </w:r>
      <w:r>
        <w:rPr>
          <w:rFonts w:hint="eastAsia" w:ascii="宋体" w:hAnsi="宋体" w:eastAsia="宋体" w:cs="宋体"/>
          <w:color w:val="000000" w:themeColor="text1"/>
          <w:sz w:val="24"/>
          <w:highlight w:val="none"/>
          <w:u w:val="single"/>
          <w:lang w:val="en-US" w:eastAsia="zh-CN"/>
          <w14:textFill>
            <w14:solidFill>
              <w14:schemeClr w14:val="tx1"/>
            </w14:solidFill>
          </w14:textFill>
        </w:rPr>
        <w:t>2503-440222-04-01-535529</w:t>
      </w:r>
      <w:r>
        <w:rPr>
          <w:rFonts w:hint="eastAsia" w:ascii="宋体" w:hAnsi="宋体" w:eastAsia="宋体" w:cs="宋体"/>
          <w:color w:val="000000" w:themeColor="text1"/>
          <w:sz w:val="24"/>
          <w:highlight w:val="none"/>
          <w14:textFill>
            <w14:solidFill>
              <w14:schemeClr w14:val="tx1"/>
            </w14:solidFill>
          </w14:textFill>
        </w:rPr>
        <w:t>；项目业主为</w:t>
      </w:r>
      <w:r>
        <w:rPr>
          <w:rFonts w:hint="eastAsia" w:ascii="宋体" w:hAnsi="宋体" w:eastAsia="宋体" w:cs="宋体"/>
          <w:color w:val="000000" w:themeColor="text1"/>
          <w:sz w:val="24"/>
          <w:highlight w:val="none"/>
          <w:u w:val="single"/>
          <w:lang w:eastAsia="zh-CN"/>
          <w14:textFill>
            <w14:solidFill>
              <w14:schemeClr w14:val="tx1"/>
            </w14:solidFill>
          </w14:textFill>
        </w:rPr>
        <w:t>始兴县地方公路事务中心</w:t>
      </w:r>
      <w:r>
        <w:rPr>
          <w:rFonts w:hint="eastAsia" w:ascii="宋体" w:hAnsi="宋体" w:eastAsia="宋体" w:cs="宋体"/>
          <w:color w:val="000000" w:themeColor="text1"/>
          <w:sz w:val="24"/>
          <w:highlight w:val="none"/>
          <w14:textFill>
            <w14:solidFill>
              <w14:schemeClr w14:val="tx1"/>
            </w14:solidFill>
          </w14:textFill>
        </w:rPr>
        <w:t>，建设资金来自</w:t>
      </w:r>
      <w:r>
        <w:rPr>
          <w:rFonts w:hint="eastAsia" w:ascii="宋体" w:hAnsi="宋体" w:eastAsia="宋体" w:cs="宋体"/>
          <w:color w:val="000000" w:themeColor="text1"/>
          <w:sz w:val="24"/>
          <w:highlight w:val="none"/>
          <w:u w:val="single"/>
          <w:lang w:eastAsia="zh-CN"/>
          <w14:textFill>
            <w14:solidFill>
              <w14:schemeClr w14:val="tx1"/>
            </w14:solidFill>
          </w14:textFill>
        </w:rPr>
        <w:t>除上级补助资金外，不足部分由县财政统筹安排</w:t>
      </w:r>
      <w:r>
        <w:rPr>
          <w:rFonts w:hint="eastAsia" w:ascii="宋体" w:hAnsi="宋体" w:eastAsia="宋体" w:cs="宋体"/>
          <w:color w:val="000000" w:themeColor="text1"/>
          <w:sz w:val="24"/>
          <w:highlight w:val="none"/>
          <w:lang w:eastAsia="zh-CN"/>
          <w14:textFill>
            <w14:solidFill>
              <w14:schemeClr w14:val="tx1"/>
            </w14:solidFill>
          </w14:textFill>
        </w:rPr>
        <w:t>，项目出资比例为</w:t>
      </w:r>
      <w:r>
        <w:rPr>
          <w:rFonts w:hint="eastAsia" w:ascii="宋体" w:hAnsi="宋体" w:eastAsia="宋体" w:cs="宋体"/>
          <w:color w:val="000000" w:themeColor="text1"/>
          <w:sz w:val="24"/>
          <w:highlight w:val="none"/>
          <w:u w:val="single"/>
          <w:lang w:val="en-US" w:eastAsia="zh-CN"/>
          <w14:textFill>
            <w14:solidFill>
              <w14:schemeClr w14:val="tx1"/>
            </w14:solidFill>
          </w14:textFill>
        </w:rPr>
        <w:t>100%</w:t>
      </w:r>
      <w:r>
        <w:rPr>
          <w:rFonts w:hint="eastAsia" w:ascii="宋体" w:hAnsi="宋体" w:eastAsia="宋体" w:cs="宋体"/>
          <w:color w:val="000000" w:themeColor="text1"/>
          <w:sz w:val="24"/>
          <w:highlight w:val="none"/>
          <w14:textFill>
            <w14:solidFill>
              <w14:schemeClr w14:val="tx1"/>
            </w14:solidFill>
          </w14:textFill>
        </w:rPr>
        <w:t>。招标人为</w:t>
      </w:r>
      <w:r>
        <w:rPr>
          <w:rFonts w:hint="eastAsia" w:ascii="宋体" w:hAnsi="宋体" w:eastAsia="宋体" w:cs="宋体"/>
          <w:color w:val="000000" w:themeColor="text1"/>
          <w:sz w:val="24"/>
          <w:highlight w:val="none"/>
          <w:u w:val="single"/>
          <w:lang w:eastAsia="zh-CN"/>
          <w14:textFill>
            <w14:solidFill>
              <w14:schemeClr w14:val="tx1"/>
            </w14:solidFill>
          </w14:textFill>
        </w:rPr>
        <w:t>始兴县地方公路事务中心</w:t>
      </w:r>
      <w:r>
        <w:rPr>
          <w:rFonts w:hint="eastAsia" w:ascii="宋体" w:hAnsi="宋体" w:eastAsia="宋体" w:cs="宋体"/>
          <w:color w:val="000000" w:themeColor="text1"/>
          <w:sz w:val="24"/>
          <w:highlight w:val="none"/>
          <w14:textFill>
            <w14:solidFill>
              <w14:schemeClr w14:val="tx1"/>
            </w14:solidFill>
          </w14:textFill>
        </w:rPr>
        <w:t>，现对该项目的</w:t>
      </w:r>
      <w:r>
        <w:rPr>
          <w:rFonts w:hint="eastAsia" w:ascii="宋体" w:hAnsi="宋体" w:eastAsia="宋体" w:cs="宋体"/>
          <w:color w:val="000000" w:themeColor="text1"/>
          <w:sz w:val="24"/>
          <w:highlight w:val="none"/>
          <w:u w:val="single"/>
          <w14:textFill>
            <w14:solidFill>
              <w14:schemeClr w14:val="tx1"/>
            </w14:solidFill>
          </w14:textFill>
        </w:rPr>
        <w:t>施工</w:t>
      </w:r>
      <w:r>
        <w:rPr>
          <w:rFonts w:hint="eastAsia" w:ascii="宋体" w:hAnsi="宋体" w:eastAsia="宋体" w:cs="宋体"/>
          <w:color w:val="000000" w:themeColor="text1"/>
          <w:sz w:val="24"/>
          <w:highlight w:val="none"/>
          <w14:textFill>
            <w14:solidFill>
              <w14:schemeClr w14:val="tx1"/>
            </w14:solidFill>
          </w14:textFill>
        </w:rPr>
        <w:t>采用资格后审方式进行公开招标。</w:t>
      </w:r>
    </w:p>
    <w:p w14:paraId="08725AC4">
      <w:pPr>
        <w:keepNext/>
        <w:keepLines/>
        <w:pageBreakBefore w:val="0"/>
        <w:widowControl w:val="0"/>
        <w:kinsoku/>
        <w:wordWrap/>
        <w:overflowPunct/>
        <w:topLinePunct w:val="0"/>
        <w:autoSpaceDE/>
        <w:autoSpaceDN/>
        <w:bidi w:val="0"/>
        <w:adjustRightInd/>
        <w:snapToGrid/>
        <w:spacing w:line="240" w:lineRule="exact"/>
        <w:textAlignment w:val="auto"/>
        <w:outlineLvl w:val="9"/>
        <w:rPr>
          <w:rFonts w:ascii="宋体" w:hAnsi="宋体" w:eastAsia="宋体" w:cs="黑体"/>
          <w:bCs w:val="0"/>
          <w:color w:val="000000" w:themeColor="text1"/>
          <w:sz w:val="28"/>
          <w:szCs w:val="28"/>
          <w:highlight w:val="none"/>
          <w14:textFill>
            <w14:solidFill>
              <w14:schemeClr w14:val="tx1"/>
            </w14:solidFill>
          </w14:textFill>
        </w:rPr>
      </w:pPr>
      <w:bookmarkStart w:id="11" w:name="_Toc27864"/>
    </w:p>
    <w:p w14:paraId="653069CF">
      <w:pPr>
        <w:pStyle w:val="4"/>
        <w:spacing w:line="400" w:lineRule="atLeast"/>
        <w:rPr>
          <w:rFonts w:ascii="宋体" w:hAnsi="宋体" w:eastAsia="宋体" w:cs="黑体"/>
          <w:bCs w:val="0"/>
          <w:color w:val="000000" w:themeColor="text1"/>
          <w:sz w:val="28"/>
          <w:szCs w:val="28"/>
          <w:highlight w:val="none"/>
          <w14:textFill>
            <w14:solidFill>
              <w14:schemeClr w14:val="tx1"/>
            </w14:solidFill>
          </w14:textFill>
        </w:rPr>
      </w:pPr>
      <w:bookmarkStart w:id="12" w:name="_Toc1590"/>
      <w:r>
        <w:rPr>
          <w:rFonts w:hint="eastAsia" w:ascii="宋体" w:hAnsi="宋体" w:eastAsia="宋体" w:cs="黑体"/>
          <w:bCs w:val="0"/>
          <w:color w:val="000000" w:themeColor="text1"/>
          <w:sz w:val="28"/>
          <w:szCs w:val="28"/>
          <w:highlight w:val="none"/>
          <w14:textFill>
            <w14:solidFill>
              <w14:schemeClr w14:val="tx1"/>
            </w14:solidFill>
          </w14:textFill>
        </w:rPr>
        <w:t>2.项目概况与招标范围</w:t>
      </w:r>
      <w:bookmarkEnd w:id="9"/>
      <w:bookmarkEnd w:id="10"/>
      <w:bookmarkEnd w:id="11"/>
      <w:bookmarkEnd w:id="12"/>
    </w:p>
    <w:p w14:paraId="2C58818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2.1 </w:t>
      </w:r>
      <w:r>
        <w:rPr>
          <w:rFonts w:ascii="宋体" w:hAnsi="宋体"/>
          <w:color w:val="000000" w:themeColor="text1"/>
          <w:sz w:val="24"/>
          <w:highlight w:val="none"/>
          <w14:textFill>
            <w14:solidFill>
              <w14:schemeClr w14:val="tx1"/>
            </w14:solidFill>
          </w14:textFill>
        </w:rPr>
        <w:t>项目概况与招标</w:t>
      </w:r>
      <w:r>
        <w:rPr>
          <w:rFonts w:hint="eastAsia" w:ascii="宋体" w:hAnsi="宋体"/>
          <w:color w:val="000000" w:themeColor="text1"/>
          <w:sz w:val="24"/>
          <w:highlight w:val="none"/>
          <w14:textFill>
            <w14:solidFill>
              <w14:schemeClr w14:val="tx1"/>
            </w14:solidFill>
          </w14:textFill>
        </w:rPr>
        <w:t>范围</w:t>
      </w:r>
    </w:p>
    <w:p w14:paraId="0FB8BDD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2.1.1 建设地点：</w:t>
      </w:r>
      <w:r>
        <w:rPr>
          <w:rFonts w:hint="eastAsia" w:ascii="宋体" w:hAnsi="宋体"/>
          <w:color w:val="000000" w:themeColor="text1"/>
          <w:sz w:val="24"/>
          <w:highlight w:val="none"/>
          <w:u w:val="single"/>
          <w:lang w:eastAsia="zh-CN"/>
          <w14:textFill>
            <w14:solidFill>
              <w14:schemeClr w14:val="tx1"/>
            </w14:solidFill>
          </w14:textFill>
        </w:rPr>
        <w:t>韶关始兴县</w:t>
      </w:r>
      <w:r>
        <w:rPr>
          <w:rFonts w:hint="eastAsia" w:ascii="宋体" w:hAnsi="宋体"/>
          <w:color w:val="000000" w:themeColor="text1"/>
          <w:sz w:val="24"/>
          <w:highlight w:val="none"/>
          <w14:textFill>
            <w14:solidFill>
              <w14:schemeClr w14:val="tx1"/>
            </w14:solidFill>
          </w14:textFill>
        </w:rPr>
        <w:t>。</w:t>
      </w:r>
    </w:p>
    <w:p w14:paraId="571631BB">
      <w:pPr>
        <w:spacing w:line="540" w:lineRule="exact"/>
        <w:ind w:firstLine="480" w:firstLineChars="200"/>
        <w:jc w:val="both"/>
        <w:rPr>
          <w:rFonts w:hint="eastAsia" w:ascii="宋体" w:hAnsi="宋体"/>
          <w:color w:val="000000" w:themeColor="text1"/>
          <w:sz w:val="24"/>
          <w:highlight w:val="none"/>
          <w:u w:val="single"/>
          <w:lang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2.1.2 建设内容及规模：</w:t>
      </w:r>
      <w:r>
        <w:rPr>
          <w:rFonts w:hint="eastAsia" w:ascii="宋体" w:hAnsi="宋体"/>
          <w:color w:val="000000" w:themeColor="text1"/>
          <w:sz w:val="24"/>
          <w:highlight w:val="none"/>
          <w:u w:val="single"/>
          <w:lang w:eastAsia="zh-CN"/>
          <w14:textFill>
            <w14:solidFill>
              <w14:schemeClr w14:val="tx1"/>
            </w14:solidFill>
          </w14:textFill>
        </w:rPr>
        <w:t>起点位于花山村委会，终点位于花山村大坪组。总里程约3.8公里，总投资约850万元。</w:t>
      </w:r>
    </w:p>
    <w:p w14:paraId="2BCBCE7F">
      <w:pPr>
        <w:spacing w:line="400" w:lineRule="atLeast"/>
        <w:ind w:firstLine="480" w:firstLineChars="200"/>
        <w:rPr>
          <w:rFonts w:ascii="宋体" w:hAnsi="宋体" w:cs="Arial"/>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2.1.3 招标范</w:t>
      </w:r>
      <w:r>
        <w:rPr>
          <w:rFonts w:hint="eastAsia" w:ascii="宋体" w:hAnsi="宋体" w:cs="Arial"/>
          <w:color w:val="000000" w:themeColor="text1"/>
          <w:sz w:val="24"/>
          <w:highlight w:val="none"/>
          <w14:textFill>
            <w14:solidFill>
              <w14:schemeClr w14:val="tx1"/>
            </w14:solidFill>
          </w14:textFill>
        </w:rPr>
        <w:t>围</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本项目施工图设计和工程量清单范围内的工程施工</w:t>
      </w:r>
      <w:r>
        <w:rPr>
          <w:rFonts w:hint="eastAsia" w:ascii="宋体" w:hAnsi="宋体"/>
          <w:color w:val="000000" w:themeColor="text1"/>
          <w:sz w:val="24"/>
          <w:highlight w:val="none"/>
          <w14:textFill>
            <w14:solidFill>
              <w14:schemeClr w14:val="tx1"/>
            </w14:solidFill>
          </w14:textFill>
        </w:rPr>
        <w:t>。</w:t>
      </w:r>
    </w:p>
    <w:p w14:paraId="5601FCD8">
      <w:pPr>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2.1.4 </w:t>
      </w:r>
      <w:r>
        <w:rPr>
          <w:rFonts w:hint="eastAsia" w:ascii="宋体" w:hAnsi="宋体" w:cs="Arial"/>
          <w:color w:val="000000" w:themeColor="text1"/>
          <w:sz w:val="24"/>
          <w:highlight w:val="none"/>
          <w14:textFill>
            <w14:solidFill>
              <w14:schemeClr w14:val="tx1"/>
            </w14:solidFill>
          </w14:textFill>
        </w:rPr>
        <w:t>计划工期：</w:t>
      </w:r>
      <w:r>
        <w:rPr>
          <w:rFonts w:hint="eastAsia" w:ascii="宋体" w:hAnsi="宋体"/>
          <w:color w:val="000000" w:themeColor="text1"/>
          <w:kern w:val="0"/>
          <w:sz w:val="24"/>
          <w:highlight w:val="none"/>
          <w:u w:val="single"/>
          <w:lang w:val="en-US" w:eastAsia="zh-CN"/>
          <w14:textFill>
            <w14:solidFill>
              <w14:schemeClr w14:val="tx1"/>
            </w14:solidFill>
          </w14:textFill>
        </w:rPr>
        <w:t>150日历天；</w:t>
      </w:r>
      <w:r>
        <w:rPr>
          <w:rFonts w:hint="eastAsia" w:ascii="宋体" w:hAnsi="宋体"/>
          <w:color w:val="000000" w:themeColor="text1"/>
          <w:kern w:val="0"/>
          <w:sz w:val="24"/>
          <w:highlight w:val="none"/>
          <w:u w:val="none"/>
          <w:lang w:val="en-US" w:eastAsia="zh-CN"/>
          <w14:textFill>
            <w14:solidFill>
              <w14:schemeClr w14:val="tx1"/>
            </w14:solidFill>
          </w14:textFill>
        </w:rPr>
        <w:t>实际开工时间以监理签发开工令为准。</w:t>
      </w:r>
    </w:p>
    <w:p w14:paraId="29ED11FA">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2.1.5 </w:t>
      </w:r>
      <w:bookmarkStart w:id="13" w:name="OLE_LINK3"/>
      <w:r>
        <w:rPr>
          <w:rFonts w:hint="eastAsia" w:ascii="宋体" w:hAnsi="宋体" w:cs="宋体"/>
          <w:color w:val="000000" w:themeColor="text1"/>
          <w:sz w:val="24"/>
          <w:highlight w:val="none"/>
          <w14:textFill>
            <w14:solidFill>
              <w14:schemeClr w14:val="tx1"/>
            </w14:solidFill>
          </w14:textFill>
        </w:rPr>
        <w:t>工程投资：</w:t>
      </w:r>
      <w:r>
        <w:rPr>
          <w:rFonts w:hint="eastAsia" w:ascii="宋体" w:hAnsi="宋体" w:cs="宋体"/>
          <w:color w:val="000000" w:themeColor="text1"/>
          <w:sz w:val="24"/>
          <w:highlight w:val="none"/>
          <w:u w:val="none"/>
          <w:lang w:val="en-US" w:eastAsia="zh-CN"/>
          <w14:textFill>
            <w14:solidFill>
              <w14:schemeClr w14:val="tx1"/>
            </w14:solidFill>
          </w14:textFill>
        </w:rPr>
        <w:t>本项目总投资约</w:t>
      </w:r>
      <w:r>
        <w:rPr>
          <w:rFonts w:hint="eastAsia" w:ascii="宋体" w:hAnsi="宋体" w:cs="宋体"/>
          <w:color w:val="000000" w:themeColor="text1"/>
          <w:sz w:val="24"/>
          <w:highlight w:val="none"/>
          <w:u w:val="single"/>
          <w:lang w:val="en-US" w:eastAsia="zh-CN"/>
          <w14:textFill>
            <w14:solidFill>
              <w14:schemeClr w14:val="tx1"/>
            </w14:solidFill>
          </w14:textFill>
        </w:rPr>
        <w:t>850</w:t>
      </w:r>
      <w:r>
        <w:rPr>
          <w:rFonts w:hint="eastAsia" w:ascii="宋体" w:hAnsi="宋体" w:cs="宋体"/>
          <w:color w:val="000000" w:themeColor="text1"/>
          <w:sz w:val="24"/>
          <w:highlight w:val="none"/>
          <w:u w:val="none"/>
          <w:lang w:val="en-US" w:eastAsia="zh-CN"/>
          <w14:textFill>
            <w14:solidFill>
              <w14:schemeClr w14:val="tx1"/>
            </w14:solidFill>
          </w14:textFill>
        </w:rPr>
        <w:t>万元，</w:t>
      </w:r>
      <w:r>
        <w:rPr>
          <w:rFonts w:hint="eastAsia" w:ascii="宋体" w:hAnsi="宋体" w:cs="宋体"/>
          <w:color w:val="000000" w:themeColor="text1"/>
          <w:sz w:val="24"/>
          <w:highlight w:val="none"/>
          <w:lang w:val="en-US" w:eastAsia="zh-CN"/>
          <w14:textFill>
            <w14:solidFill>
              <w14:schemeClr w14:val="tx1"/>
            </w14:solidFill>
          </w14:textFill>
        </w:rPr>
        <w:t>建安费576.4909万元。</w:t>
      </w:r>
      <w:bookmarkEnd w:id="13"/>
    </w:p>
    <w:p w14:paraId="412D99A7">
      <w:pPr>
        <w:spacing w:line="400" w:lineRule="atLeast"/>
        <w:ind w:firstLine="480" w:firstLineChars="200"/>
        <w:rPr>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2.2 标段划分：本次施工招标只设一个标段。</w:t>
      </w:r>
    </w:p>
    <w:tbl>
      <w:tblPr>
        <w:tblStyle w:val="43"/>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859"/>
        <w:gridCol w:w="1136"/>
        <w:gridCol w:w="985"/>
        <w:gridCol w:w="928"/>
        <w:gridCol w:w="3046"/>
        <w:gridCol w:w="1445"/>
      </w:tblGrid>
      <w:tr w14:paraId="7731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37" w:type="dxa"/>
            <w:vAlign w:val="center"/>
          </w:tcPr>
          <w:p w14:paraId="4F702897">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bookmarkStart w:id="14" w:name="_Toc424739346"/>
            <w:bookmarkStart w:id="15" w:name="_Toc20608"/>
            <w:r>
              <w:rPr>
                <w:rFonts w:hint="eastAsia" w:ascii="宋体" w:hAnsi="宋体" w:cs="宋体"/>
                <w:color w:val="000000" w:themeColor="text1"/>
                <w:sz w:val="24"/>
                <w:highlight w:val="none"/>
                <w14:textFill>
                  <w14:solidFill>
                    <w14:schemeClr w14:val="tx1"/>
                  </w14:solidFill>
                </w14:textFill>
              </w:rPr>
              <w:t>标段类别</w:t>
            </w:r>
          </w:p>
        </w:tc>
        <w:tc>
          <w:tcPr>
            <w:tcW w:w="859" w:type="dxa"/>
            <w:vAlign w:val="center"/>
          </w:tcPr>
          <w:p w14:paraId="3E57AA84">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标段</w:t>
            </w:r>
          </w:p>
        </w:tc>
        <w:tc>
          <w:tcPr>
            <w:tcW w:w="1136" w:type="dxa"/>
            <w:vAlign w:val="center"/>
          </w:tcPr>
          <w:p w14:paraId="3BB17594">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起讫桩号</w:t>
            </w:r>
          </w:p>
        </w:tc>
        <w:tc>
          <w:tcPr>
            <w:tcW w:w="985" w:type="dxa"/>
            <w:vAlign w:val="center"/>
          </w:tcPr>
          <w:p w14:paraId="633CDDF4">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长度（km）</w:t>
            </w:r>
          </w:p>
        </w:tc>
        <w:tc>
          <w:tcPr>
            <w:tcW w:w="928" w:type="dxa"/>
            <w:vAlign w:val="center"/>
          </w:tcPr>
          <w:p w14:paraId="50CB2678">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主要工程项目</w:t>
            </w:r>
          </w:p>
        </w:tc>
        <w:tc>
          <w:tcPr>
            <w:tcW w:w="3046" w:type="dxa"/>
            <w:vAlign w:val="center"/>
          </w:tcPr>
          <w:p w14:paraId="14905156">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对投标人资质要求</w:t>
            </w:r>
          </w:p>
        </w:tc>
        <w:tc>
          <w:tcPr>
            <w:tcW w:w="1445" w:type="dxa"/>
            <w:vAlign w:val="center"/>
          </w:tcPr>
          <w:p w14:paraId="38D6A11F">
            <w:pPr>
              <w:keepNext w:val="0"/>
              <w:keepLines w:val="0"/>
              <w:suppressLineNumbers w:val="0"/>
              <w:adjustRightInd w:val="0"/>
              <w:snapToGrid w:val="0"/>
              <w:spacing w:before="0" w:beforeAutospacing="0" w:after="0" w:afterAutospacing="0" w:line="400" w:lineRule="atLeas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14:paraId="1DE3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5345" w:type="dxa"/>
            <w:gridSpan w:val="5"/>
            <w:shd w:val="clear" w:color="auto" w:fill="auto"/>
            <w:vAlign w:val="center"/>
          </w:tcPr>
          <w:p w14:paraId="5D5F54BA">
            <w:pPr>
              <w:keepNext w:val="0"/>
              <w:keepLines w:val="0"/>
              <w:suppressLineNumbers w:val="0"/>
              <w:adjustRightInd w:val="0"/>
              <w:snapToGrid w:val="0"/>
              <w:spacing w:before="0" w:beforeAutospacing="0" w:after="0" w:afterAutospacing="0" w:line="400" w:lineRule="atLeas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标段的划分及主要工程项目情况详见本招标公告2.1及2.2条</w:t>
            </w:r>
          </w:p>
        </w:tc>
        <w:tc>
          <w:tcPr>
            <w:tcW w:w="3046" w:type="dxa"/>
            <w:shd w:val="clear" w:color="auto" w:fill="auto"/>
            <w:vAlign w:val="center"/>
          </w:tcPr>
          <w:p w14:paraId="3EE1DE4B">
            <w:pPr>
              <w:keepNext w:val="0"/>
              <w:keepLines w:val="0"/>
              <w:numPr>
                <w:ilvl w:val="0"/>
                <w:numId w:val="0"/>
              </w:numPr>
              <w:suppressLineNumbers w:val="0"/>
              <w:topLinePunct/>
              <w:adjustRightInd w:val="0"/>
              <w:spacing w:before="0" w:beforeLines="30" w:beforeAutospacing="0" w:after="0" w:afterAutospacing="0" w:line="460" w:lineRule="exact"/>
              <w:ind w:left="0" w:leftChars="0" w:right="0" w:hanging="8" w:firstLineChars="0"/>
              <w:rPr>
                <w:rFonts w:hint="default" w:ascii="宋体" w:hAnsi="宋体" w:cs="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具备《建筑业企业资质标准》(建市[2014]159 号)规定的公路工程施工总承包三级以上(含三级)资质或公路工程施工总承包乙级以上(含乙级)资质。</w:t>
            </w:r>
          </w:p>
        </w:tc>
        <w:tc>
          <w:tcPr>
            <w:tcW w:w="1445" w:type="dxa"/>
            <w:shd w:val="clear" w:color="auto" w:fill="auto"/>
            <w:vAlign w:val="center"/>
          </w:tcPr>
          <w:p w14:paraId="1C32891B">
            <w:pPr>
              <w:keepNext w:val="0"/>
              <w:keepLines w:val="0"/>
              <w:suppressLineNumbers w:val="0"/>
              <w:adjustRightInd w:val="0"/>
              <w:snapToGrid w:val="0"/>
              <w:spacing w:before="0" w:beforeAutospacing="0" w:after="0" w:afterAutospacing="0" w:line="400" w:lineRule="atLeas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资格审查条件见招标文件附录1至附录7</w:t>
            </w:r>
          </w:p>
        </w:tc>
      </w:tr>
    </w:tbl>
    <w:p w14:paraId="1D19FC7D">
      <w:pPr>
        <w:pStyle w:val="4"/>
        <w:spacing w:line="400" w:lineRule="atLeast"/>
        <w:rPr>
          <w:rFonts w:ascii="宋体" w:hAnsi="宋体" w:eastAsia="宋体" w:cs="黑体"/>
          <w:bCs w:val="0"/>
          <w:color w:val="000000" w:themeColor="text1"/>
          <w:sz w:val="28"/>
          <w:szCs w:val="28"/>
          <w:highlight w:val="none"/>
          <w14:textFill>
            <w14:solidFill>
              <w14:schemeClr w14:val="tx1"/>
            </w14:solidFill>
          </w14:textFill>
        </w:rPr>
      </w:pPr>
      <w:bookmarkStart w:id="16" w:name="_Toc9334"/>
      <w:bookmarkStart w:id="17" w:name="_Toc32609"/>
      <w:r>
        <w:rPr>
          <w:rFonts w:hint="eastAsia" w:ascii="宋体" w:hAnsi="宋体" w:eastAsia="宋体" w:cs="黑体"/>
          <w:bCs w:val="0"/>
          <w:color w:val="000000" w:themeColor="text1"/>
          <w:sz w:val="28"/>
          <w:szCs w:val="28"/>
          <w:highlight w:val="none"/>
          <w14:textFill>
            <w14:solidFill>
              <w14:schemeClr w14:val="tx1"/>
            </w14:solidFill>
          </w14:textFill>
        </w:rPr>
        <w:t>3.投标人资格要求</w:t>
      </w:r>
      <w:bookmarkEnd w:id="14"/>
      <w:bookmarkEnd w:id="15"/>
      <w:bookmarkEnd w:id="16"/>
      <w:bookmarkEnd w:id="17"/>
    </w:p>
    <w:p w14:paraId="555140EF">
      <w:pPr>
        <w:pStyle w:val="16"/>
        <w:spacing w:line="400" w:lineRule="atLeast"/>
        <w:ind w:firstLine="480" w:firstLineChars="20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3.1 </w:t>
      </w:r>
      <w:r>
        <w:rPr>
          <w:rFonts w:hint="eastAsia" w:ascii="宋体" w:hAnsi="宋体" w:cs="宋体"/>
          <w:color w:val="000000" w:themeColor="text1"/>
          <w:sz w:val="24"/>
          <w:highlight w:val="none"/>
          <w14:textFill>
            <w14:solidFill>
              <w14:schemeClr w14:val="tx1"/>
            </w14:solidFill>
          </w14:textFill>
        </w:rPr>
        <w:t>本次招标要求投标人须具备</w:t>
      </w:r>
      <w:r>
        <w:rPr>
          <w:rFonts w:hint="eastAsia" w:ascii="宋体" w:hAnsi="宋体" w:cs="宋体"/>
          <w:color w:val="000000" w:themeColor="text1"/>
          <w:sz w:val="24"/>
          <w:highlight w:val="none"/>
          <w:u w:val="single"/>
          <w14:textFill>
            <w14:solidFill>
              <w14:schemeClr w14:val="tx1"/>
            </w14:solidFill>
          </w14:textFill>
        </w:rPr>
        <w:t>上述第2.2款表中所列相应</w:t>
      </w:r>
      <w:r>
        <w:rPr>
          <w:rFonts w:hint="eastAsia" w:ascii="宋体" w:hAnsi="宋体" w:cs="宋体"/>
          <w:color w:val="000000" w:themeColor="text1"/>
          <w:kern w:val="0"/>
          <w:sz w:val="24"/>
          <w:highlight w:val="none"/>
          <w14:textFill>
            <w14:solidFill>
              <w14:schemeClr w14:val="tx1"/>
            </w14:solidFill>
          </w14:textFill>
        </w:rPr>
        <w:t>资质、</w:t>
      </w:r>
      <w:r>
        <w:rPr>
          <w:rFonts w:hint="eastAsia" w:ascii="宋体" w:hAnsi="宋体" w:cs="宋体"/>
          <w:color w:val="000000" w:themeColor="text1"/>
          <w:sz w:val="24"/>
          <w:highlight w:val="none"/>
          <w:u w:val="single"/>
          <w14:textFill>
            <w14:solidFill>
              <w14:schemeClr w14:val="tx1"/>
            </w14:solidFill>
          </w14:textFill>
        </w:rPr>
        <w:t>类似工程</w:t>
      </w:r>
      <w:r>
        <w:rPr>
          <w:rFonts w:hint="eastAsia" w:ascii="宋体" w:hAnsi="宋体" w:cs="宋体"/>
          <w:color w:val="000000" w:themeColor="text1"/>
          <w:sz w:val="24"/>
          <w:highlight w:val="none"/>
          <w14:textFill>
            <w14:solidFill>
              <w14:schemeClr w14:val="tx1"/>
            </w14:solidFill>
          </w14:textFill>
        </w:rPr>
        <w:t>业绩，并在</w:t>
      </w:r>
      <w:r>
        <w:rPr>
          <w:rFonts w:hint="eastAsia" w:ascii="宋体" w:hAnsi="宋体" w:cs="宋体"/>
          <w:color w:val="000000" w:themeColor="text1"/>
          <w:sz w:val="24"/>
          <w:highlight w:val="none"/>
          <w:u w:val="single"/>
          <w14:textFill>
            <w14:solidFill>
              <w14:schemeClr w14:val="tx1"/>
            </w14:solidFill>
          </w14:textFill>
        </w:rPr>
        <w:t>人员、设备、资金</w:t>
      </w:r>
      <w:r>
        <w:rPr>
          <w:rFonts w:hint="eastAsia" w:ascii="宋体" w:hAnsi="宋体" w:cs="宋体"/>
          <w:color w:val="000000" w:themeColor="text1"/>
          <w:sz w:val="24"/>
          <w:highlight w:val="none"/>
          <w14:textFill>
            <w14:solidFill>
              <w14:schemeClr w14:val="tx1"/>
            </w14:solidFill>
          </w14:textFill>
        </w:rPr>
        <w:t>等方面具有相应的施工能力。</w:t>
      </w:r>
    </w:p>
    <w:p w14:paraId="021C7DF4">
      <w:pPr>
        <w:wordWrap w:val="0"/>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投标人应进入交通运输部“全国公路建设市场监督管理系统（https://hwdms.mot.gov.cn/BMWebSite/）”中的公路工程施工资质企业名录，且投标人名称和资质与该名录中的相应企业名称和资质完全一致。</w:t>
      </w:r>
    </w:p>
    <w:p w14:paraId="02054B4C">
      <w:pPr>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 本次招标</w:t>
      </w:r>
      <w:r>
        <w:rPr>
          <w:rFonts w:hint="eastAsia" w:ascii="宋体" w:hAnsi="宋体"/>
          <w:color w:val="000000" w:themeColor="text1"/>
          <w:sz w:val="24"/>
          <w:highlight w:val="none"/>
          <w:u w:val="single"/>
          <w14:textFill>
            <w14:solidFill>
              <w14:schemeClr w14:val="tx1"/>
            </w14:solidFill>
          </w14:textFill>
        </w:rPr>
        <w:t>不接受</w:t>
      </w:r>
      <w:r>
        <w:rPr>
          <w:rFonts w:hint="eastAsia" w:ascii="宋体" w:hAnsi="宋体"/>
          <w:color w:val="000000" w:themeColor="text1"/>
          <w:sz w:val="24"/>
          <w:highlight w:val="none"/>
          <w14:textFill>
            <w14:solidFill>
              <w14:schemeClr w14:val="tx1"/>
            </w14:solidFill>
          </w14:textFill>
        </w:rPr>
        <w:t>联合体投标。</w:t>
      </w:r>
    </w:p>
    <w:p w14:paraId="32D66040">
      <w:pPr>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3.3 在本次招标中，每个投标人可对</w:t>
      </w:r>
      <w:r>
        <w:rPr>
          <w:rFonts w:hint="eastAsia" w:ascii="宋体" w:hAnsi="宋体"/>
          <w:color w:val="000000" w:themeColor="text1"/>
          <w:sz w:val="24"/>
          <w:highlight w:val="none"/>
          <w:u w:val="single"/>
          <w14:textFill>
            <w14:solidFill>
              <w14:schemeClr w14:val="tx1"/>
            </w14:solidFill>
          </w14:textFill>
        </w:rPr>
        <w:t xml:space="preserve"> 1 </w:t>
      </w:r>
      <w:r>
        <w:rPr>
          <w:rFonts w:hint="eastAsia" w:ascii="宋体" w:hAnsi="宋体"/>
          <w:color w:val="000000" w:themeColor="text1"/>
          <w:sz w:val="24"/>
          <w:highlight w:val="none"/>
          <w14:textFill>
            <w14:solidFill>
              <w14:schemeClr w14:val="tx1"/>
            </w14:solidFill>
          </w14:textFill>
        </w:rPr>
        <w:t>个标段投标，且只允许中</w:t>
      </w:r>
      <w:r>
        <w:rPr>
          <w:rFonts w:hint="eastAsia" w:ascii="宋体" w:hAnsi="宋体"/>
          <w:color w:val="000000" w:themeColor="text1"/>
          <w:sz w:val="24"/>
          <w:highlight w:val="none"/>
          <w:u w:val="single"/>
          <w14:textFill>
            <w14:solidFill>
              <w14:schemeClr w14:val="tx1"/>
            </w14:solidFill>
          </w14:textFill>
        </w:rPr>
        <w:t xml:space="preserve"> 1</w:t>
      </w:r>
      <w:r>
        <w:rPr>
          <w:rFonts w:hint="eastAsia" w:ascii="宋体" w:hAnsi="宋体"/>
          <w:color w:val="000000" w:themeColor="text1"/>
          <w:sz w:val="24"/>
          <w:highlight w:val="none"/>
          <w14:textFill>
            <w14:solidFill>
              <w14:schemeClr w14:val="tx1"/>
            </w14:solidFill>
          </w14:textFill>
        </w:rPr>
        <w:t>个标。</w:t>
      </w:r>
    </w:p>
    <w:p w14:paraId="244D5A97">
      <w:pPr>
        <w:pStyle w:val="16"/>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3.4 与招标人存在利害关系可能影响招标公正性的法人，不得参加投标；若单位负责人为同一人、或者存在控股、管理关系的不同单位，不得参加同一标段投标或者未划分标段的同一招标项目投标，否则按否决其投标处理。</w:t>
      </w:r>
    </w:p>
    <w:p w14:paraId="66187FB7">
      <w:pPr>
        <w:pStyle w:val="16"/>
        <w:spacing w:line="400" w:lineRule="atLeas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注：①单位负责人是指：单位的法定代表人或者法律、行政法规规定代表单位行使职权的主要负责人；</w:t>
      </w:r>
    </w:p>
    <w:p w14:paraId="2A151E5F">
      <w:pPr>
        <w:pStyle w:val="16"/>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②控股是指：控股是指：出资额占有限责任公司资本总额 50%以上或者其持有的股份占股份有限公司股本总额 50%以上的，以及出资额或者持有股份的比例虽然不足 50%，但依其出资额或者持有的股份所享有的表决权已足以对股东会、股东大会的决议产生重大影响的；</w:t>
      </w:r>
    </w:p>
    <w:p w14:paraId="501E8D4E">
      <w:pPr>
        <w:pStyle w:val="16"/>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③管理关系是指：不具有出资持股关系的其它单位之间存在的管理与被管理关系。</w:t>
      </w:r>
    </w:p>
    <w:p w14:paraId="4A03BA6F">
      <w:pPr>
        <w:pStyle w:val="16"/>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3.5 在“信用中国”网站（https://www.creditchina.gov.cn/）中被列入失信被执行人名单的投标人、在“国家企业信用信息公示系统” (https://www.gsxt.gov.cn) 中被列入严重违法失信企业名单的投标人，均按否决投标处理。</w:t>
      </w:r>
    </w:p>
    <w:p w14:paraId="2E8F433E">
      <w:pPr>
        <w:pStyle w:val="16"/>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3.6 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ascii="宋体" w:hAnsi="宋体"/>
          <w:color w:val="000000" w:themeColor="text1"/>
          <w:sz w:val="24"/>
          <w:highlight w:val="none"/>
          <w14:textFill>
            <w14:solidFill>
              <w14:schemeClr w14:val="tx1"/>
            </w14:solidFill>
          </w14:textFill>
        </w:rPr>
        <w:t>。</w:t>
      </w:r>
    </w:p>
    <w:p w14:paraId="3FA3B5E6">
      <w:pPr>
        <w:keepNext/>
        <w:keepLines/>
        <w:pageBreakBefore w:val="0"/>
        <w:widowControl w:val="0"/>
        <w:kinsoku/>
        <w:wordWrap/>
        <w:overflowPunct/>
        <w:topLinePunct w:val="0"/>
        <w:autoSpaceDE/>
        <w:autoSpaceDN/>
        <w:bidi w:val="0"/>
        <w:adjustRightInd/>
        <w:snapToGrid/>
        <w:spacing w:line="240" w:lineRule="exact"/>
        <w:textAlignment w:val="auto"/>
        <w:outlineLvl w:val="9"/>
        <w:rPr>
          <w:rFonts w:ascii="宋体" w:hAnsi="宋体" w:eastAsia="宋体" w:cs="黑体"/>
          <w:bCs w:val="0"/>
          <w:color w:val="000000" w:themeColor="text1"/>
          <w:sz w:val="28"/>
          <w:szCs w:val="28"/>
          <w:highlight w:val="none"/>
          <w14:textFill>
            <w14:solidFill>
              <w14:schemeClr w14:val="tx1"/>
            </w14:solidFill>
          </w14:textFill>
        </w:rPr>
      </w:pPr>
      <w:bookmarkStart w:id="18" w:name="_Toc424739347"/>
      <w:bookmarkStart w:id="19" w:name="_Toc27732"/>
      <w:bookmarkStart w:id="20" w:name="_Toc28412"/>
    </w:p>
    <w:p w14:paraId="5350258D">
      <w:pPr>
        <w:pStyle w:val="4"/>
        <w:spacing w:line="400" w:lineRule="atLeast"/>
        <w:rPr>
          <w:rFonts w:ascii="宋体" w:hAnsi="宋体" w:eastAsia="宋体" w:cs="黑体"/>
          <w:bCs w:val="0"/>
          <w:color w:val="000000" w:themeColor="text1"/>
          <w:sz w:val="28"/>
          <w:szCs w:val="28"/>
          <w:highlight w:val="none"/>
          <w14:textFill>
            <w14:solidFill>
              <w14:schemeClr w14:val="tx1"/>
            </w14:solidFill>
          </w14:textFill>
        </w:rPr>
      </w:pPr>
      <w:bookmarkStart w:id="21" w:name="_Toc31634"/>
      <w:r>
        <w:rPr>
          <w:rFonts w:hint="eastAsia" w:ascii="宋体" w:hAnsi="宋体" w:eastAsia="宋体" w:cs="黑体"/>
          <w:bCs w:val="0"/>
          <w:color w:val="000000" w:themeColor="text1"/>
          <w:sz w:val="28"/>
          <w:szCs w:val="28"/>
          <w:highlight w:val="none"/>
          <w14:textFill>
            <w14:solidFill>
              <w14:schemeClr w14:val="tx1"/>
            </w14:solidFill>
          </w14:textFill>
        </w:rPr>
        <w:t>4.</w:t>
      </w:r>
      <w:bookmarkEnd w:id="18"/>
      <w:r>
        <w:rPr>
          <w:rFonts w:hint="eastAsia" w:ascii="宋体" w:hAnsi="宋体" w:eastAsia="宋体" w:cs="黑体"/>
          <w:bCs w:val="0"/>
          <w:color w:val="000000" w:themeColor="text1"/>
          <w:sz w:val="28"/>
          <w:szCs w:val="28"/>
          <w:highlight w:val="none"/>
          <w14:textFill>
            <w14:solidFill>
              <w14:schemeClr w14:val="tx1"/>
            </w14:solidFill>
          </w14:textFill>
        </w:rPr>
        <w:t>招标文件的获取</w:t>
      </w:r>
      <w:bookmarkEnd w:id="19"/>
      <w:bookmarkEnd w:id="20"/>
      <w:bookmarkEnd w:id="21"/>
    </w:p>
    <w:p w14:paraId="41787150">
      <w:pPr>
        <w:pStyle w:val="74"/>
        <w:widowControl/>
        <w:snapToGrid w:val="0"/>
        <w:spacing w:line="400" w:lineRule="atLeast"/>
        <w:ind w:firstLine="480"/>
        <w:rPr>
          <w:rFonts w:hAnsi="宋体" w:cs="Tahoma"/>
          <w:color w:val="000000" w:themeColor="text1"/>
          <w:kern w:val="0"/>
          <w:highlight w:val="none"/>
          <w14:textFill>
            <w14:solidFill>
              <w14:schemeClr w14:val="tx1"/>
            </w14:solidFill>
          </w14:textFill>
        </w:rPr>
      </w:pPr>
      <w:r>
        <w:rPr>
          <w:rFonts w:hint="eastAsia" w:hAnsi="宋体" w:cs="Tahoma"/>
          <w:color w:val="000000" w:themeColor="text1"/>
          <w:kern w:val="0"/>
          <w:highlight w:val="none"/>
          <w14:textFill>
            <w14:solidFill>
              <w14:schemeClr w14:val="tx1"/>
            </w14:solidFill>
          </w14:textFill>
        </w:rPr>
        <w:t>4.1 本次招标实行电子投标。本项目招标文件随招标公告一并在全国公共资源交易平台（广东省·韶关市）（https://ygp.gdzwfw.gov.cn/ggzy-portal/#/440200/index）网站发布。招标文件一经在交易平台发布，视为发送投标人，招标文件及相关附件由投标人自行在交易平台网站下载。招标文件获取期间（见本章第二节“重要事项时间地点一览表”，招标文件获取期间与招标公告发布时间一致），投标人须登录全国公共资源交易平台（广东省·韶关市）（https://ygp.gdzwfw.gov.cn/ggzy-portal/#/440200/index）下载招标文件及相关附件，并于电子投标截止时间（见本章第二节“重要事项时间地点一览表”）前完成电子投标。投标人可登录全国公共资源交易平台（广东省·韶关市）（https://ygp.gdzwfw.gov.cn/ggzy-portal/#/440200/index），在【服务指南】栏目中下载《韶关市公共资源交易平台-投标人操作指南（电子评标）》，了解网上获取招标文件操作流程。技术咨询电话：18819797080/0751-8379671 伍先生，业务咨询电话：0751-8633211、8379023。</w:t>
      </w:r>
    </w:p>
    <w:p w14:paraId="588E4398">
      <w:pPr>
        <w:pStyle w:val="74"/>
        <w:widowControl/>
        <w:snapToGrid w:val="0"/>
        <w:spacing w:line="400" w:lineRule="atLeast"/>
        <w:ind w:firstLine="480"/>
        <w:jc w:val="left"/>
        <w:rPr>
          <w:rFonts w:hAnsi="宋体" w:cs="Tahoma"/>
          <w:color w:val="000000" w:themeColor="text1"/>
          <w:kern w:val="0"/>
          <w:highlight w:val="none"/>
          <w14:textFill>
            <w14:solidFill>
              <w14:schemeClr w14:val="tx1"/>
            </w14:solidFill>
          </w14:textFill>
        </w:rPr>
      </w:pPr>
      <w:r>
        <w:rPr>
          <w:rFonts w:hint="eastAsia" w:hAnsi="宋体" w:cs="Tahoma"/>
          <w:color w:val="000000" w:themeColor="text1"/>
          <w:kern w:val="0"/>
          <w:highlight w:val="none"/>
          <w14:textFill>
            <w14:solidFill>
              <w14:schemeClr w14:val="tx1"/>
            </w14:solidFill>
          </w14:textFill>
        </w:rPr>
        <w:t>4.2 只有申领了数字证书（CA）、“粤企签”或GDCA/SZCA/NETCA等符合法律法规规定的电子印章，并在交易平台中完成企业信息数据入库的投标人，方可在交易平台获取招标文件和电子投标。</w:t>
      </w:r>
    </w:p>
    <w:p w14:paraId="4625B553">
      <w:pPr>
        <w:pStyle w:val="74"/>
        <w:widowControl/>
        <w:snapToGrid w:val="0"/>
        <w:spacing w:line="400" w:lineRule="atLeast"/>
        <w:ind w:firstLine="480"/>
        <w:jc w:val="left"/>
        <w:rPr>
          <w:rFonts w:hAnsi="宋体" w:cs="Tahoma"/>
          <w:color w:val="000000" w:themeColor="text1"/>
          <w:kern w:val="0"/>
          <w:highlight w:val="none"/>
          <w14:textFill>
            <w14:solidFill>
              <w14:schemeClr w14:val="tx1"/>
            </w14:solidFill>
          </w14:textFill>
        </w:rPr>
      </w:pPr>
      <w:r>
        <w:rPr>
          <w:rFonts w:hint="eastAsia" w:hAnsi="宋体" w:cs="Tahoma"/>
          <w:color w:val="000000" w:themeColor="text1"/>
          <w:kern w:val="0"/>
          <w:highlight w:val="none"/>
          <w14:textFill>
            <w14:solidFill>
              <w14:schemeClr w14:val="tx1"/>
            </w14:solidFill>
          </w14:textFill>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6BB5193A">
      <w:pPr>
        <w:pStyle w:val="74"/>
        <w:widowControl/>
        <w:snapToGrid w:val="0"/>
        <w:spacing w:line="400" w:lineRule="atLeast"/>
        <w:ind w:firstLine="480"/>
        <w:jc w:val="left"/>
        <w:rPr>
          <w:rFonts w:hAnsi="宋体" w:cs="Tahoma"/>
          <w:color w:val="000000" w:themeColor="text1"/>
          <w:kern w:val="0"/>
          <w:highlight w:val="none"/>
          <w14:textFill>
            <w14:solidFill>
              <w14:schemeClr w14:val="tx1"/>
            </w14:solidFill>
          </w14:textFill>
        </w:rPr>
      </w:pPr>
      <w:r>
        <w:rPr>
          <w:rFonts w:hint="eastAsia" w:hAnsi="宋体" w:cs="Tahoma"/>
          <w:color w:val="000000" w:themeColor="text1"/>
          <w:kern w:val="0"/>
          <w:highlight w:val="none"/>
          <w14:textFill>
            <w14:solidFill>
              <w14:schemeClr w14:val="tx1"/>
            </w14:solidFill>
          </w14:textFill>
        </w:rPr>
        <w:t>已入库企业有关信息（如单位名称、基本账号、资质、人员等）发生变化的，须及时在交易平台进行相应变更。投标人未及时变更信息而造成的损失和后果，由投标人自行承担。</w:t>
      </w:r>
    </w:p>
    <w:p w14:paraId="29418D43">
      <w:pPr>
        <w:pStyle w:val="74"/>
        <w:widowControl/>
        <w:snapToGrid w:val="0"/>
        <w:spacing w:line="400" w:lineRule="atLeast"/>
        <w:ind w:firstLine="480"/>
        <w:jc w:val="left"/>
        <w:rPr>
          <w:rFonts w:hAnsi="宋体" w:cs="Tahoma"/>
          <w:color w:val="000000" w:themeColor="text1"/>
          <w:kern w:val="0"/>
          <w:highlight w:val="none"/>
          <w14:textFill>
            <w14:solidFill>
              <w14:schemeClr w14:val="tx1"/>
            </w14:solidFill>
          </w14:textFill>
        </w:rPr>
      </w:pPr>
      <w:r>
        <w:rPr>
          <w:rFonts w:hint="eastAsia" w:hAnsi="宋体" w:cs="Tahoma"/>
          <w:color w:val="000000" w:themeColor="text1"/>
          <w:kern w:val="0"/>
          <w:highlight w:val="none"/>
          <w14:textFill>
            <w14:solidFill>
              <w14:schemeClr w14:val="tx1"/>
            </w14:solidFill>
          </w14:textFill>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05DCF92F">
      <w:pPr>
        <w:pStyle w:val="59"/>
        <w:spacing w:line="440" w:lineRule="exact"/>
        <w:rPr>
          <w:rFonts w:ascii="宋体" w:hAnsi="宋体" w:cs="宋体"/>
          <w:bCs/>
          <w:color w:val="000000" w:themeColor="text1"/>
          <w:highlight w:val="none"/>
          <w14:textFill>
            <w14:solidFill>
              <w14:schemeClr w14:val="tx1"/>
            </w14:solidFill>
          </w14:textFill>
        </w:rPr>
      </w:pPr>
      <w:bookmarkStart w:id="22" w:name="OLE_LINK4"/>
      <w:bookmarkStart w:id="23" w:name="_Toc26909"/>
      <w:r>
        <w:rPr>
          <w:rFonts w:hint="eastAsia" w:ascii="宋体" w:hAnsi="宋体" w:cs="宋体"/>
          <w:bCs/>
          <w:color w:val="000000" w:themeColor="text1"/>
          <w:highlight w:val="none"/>
          <w14:textFill>
            <w14:solidFill>
              <w14:schemeClr w14:val="tx1"/>
            </w14:solidFill>
          </w14:textFill>
        </w:rPr>
        <w:t>4.3 投标保证金</w:t>
      </w:r>
    </w:p>
    <w:p w14:paraId="3C821B84">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4.3.1 投标人须缴纳金额为人民币</w:t>
      </w:r>
      <w:r>
        <w:rPr>
          <w:rFonts w:hint="eastAsia" w:ascii="宋体" w:hAnsi="宋体" w:cs="宋体"/>
          <w:color w:val="000000" w:themeColor="text1"/>
          <w:sz w:val="24"/>
          <w:szCs w:val="24"/>
          <w:highlight w:val="none"/>
          <w:u w:val="single"/>
          <w:lang w:val="en-US" w:eastAsia="zh-CN"/>
          <w14:textFill>
            <w14:solidFill>
              <w14:schemeClr w14:val="tx1"/>
            </w14:solidFill>
          </w14:textFill>
        </w:rPr>
        <w:t>10</w:t>
      </w:r>
      <w:r>
        <w:rPr>
          <w:rFonts w:hint="eastAsia" w:ascii="宋体" w:hAnsi="宋体" w:cs="宋体"/>
          <w:color w:val="000000" w:themeColor="text1"/>
          <w:sz w:val="24"/>
          <w:szCs w:val="24"/>
          <w:highlight w:val="none"/>
          <w:u w:val="single"/>
          <w14:textFill>
            <w14:solidFill>
              <w14:schemeClr w14:val="tx1"/>
            </w14:solidFill>
          </w14:textFill>
        </w:rPr>
        <w:t>万元</w:t>
      </w:r>
      <w:r>
        <w:rPr>
          <w:rFonts w:hint="eastAsia" w:ascii="宋体" w:hAnsi="宋体" w:cs="宋体"/>
          <w:bCs/>
          <w:color w:val="000000" w:themeColor="text1"/>
          <w:highlight w:val="none"/>
          <w14:textFill>
            <w14:solidFill>
              <w14:schemeClr w14:val="tx1"/>
            </w14:solidFill>
          </w14:textFill>
        </w:rPr>
        <w:t>的投标保证。</w:t>
      </w:r>
    </w:p>
    <w:p w14:paraId="2AFD2E1C">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4.3.2 投标保证的形式包括投标保证金、投标保证担保、投标保证保险三种，由投标人自主选择。</w:t>
      </w:r>
    </w:p>
    <w:p w14:paraId="7EB76F28">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1）采用投标保证金的，投标人在交易平台获取招标文件后，即可在交易平台申请缴纳投标保证金，获取本次招标投标保证金缴纳账号。投标人须于投标保证金到账截止时间（见本章第二节“重要事项时间地点一览表”）前，从其基本账户将投标保证金转账到指定的缴纳账号。逾期到账的、从非投标人基本账户转出的，其投标无效。</w:t>
      </w:r>
    </w:p>
    <w:p w14:paraId="21DB579F">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采用投标保证担保的，投标人应提交有效的电子保函，电子保函的有效期不得短于投标有效期。投标人必须在投标保证担保截止时间（详见“重要事项时间地点一览表”）前，在交易平台完成网上办理电子保函。</w:t>
      </w:r>
    </w:p>
    <w:p w14:paraId="678F1A51">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采用投标保证保险的，投标人须在投标保证保险投保截止时间（见本章第二节“重要事项时间地点一览表”）前，在交易平台完成网上投保。投标人可在交易平台选择保险机构、录入投保信息、支付保费、打印电子保单，电子保单的有效期不得短于投标有效期。逾期投保的，其投标无效。</w:t>
      </w:r>
    </w:p>
    <w:p w14:paraId="30CF6430">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温馨提醒：投标人采用投标保证担保或投标保证保险的，为避免在评标过程中因有效期发生争议，建议投标人将电子保函或电子保单有效期设置为较招标文件规定的投标有效期延长不少于20个日历天。</w:t>
      </w:r>
    </w:p>
    <w:p w14:paraId="3B81ABEF">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4.3.3若投标人因自身原因未能正确完成网上获取招标文件、电子投标、缴纳投标保证的，其投标无效。</w:t>
      </w:r>
    </w:p>
    <w:p w14:paraId="300106C9">
      <w:pPr>
        <w:pStyle w:val="59"/>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 xml:space="preserve">4.4 </w:t>
      </w:r>
      <w:r>
        <w:rPr>
          <w:rFonts w:hint="eastAsia" w:ascii="宋体" w:hAnsi="宋体"/>
          <w:color w:val="000000" w:themeColor="text1"/>
          <w:highlight w:val="none"/>
          <w14:textFill>
            <w14:solidFill>
              <w14:schemeClr w14:val="tx1"/>
            </w14:solidFill>
          </w14:textFill>
        </w:rPr>
        <w:t>获取招标文件等资料的方式：已经在</w:t>
      </w:r>
      <w:r>
        <w:rPr>
          <w:rFonts w:hint="eastAsia" w:ascii="宋体" w:hAnsi="宋体" w:cs="宋体"/>
          <w:color w:val="000000" w:themeColor="text1"/>
          <w:highlight w:val="none"/>
          <w14:textFill>
            <w14:solidFill>
              <w14:schemeClr w14:val="tx1"/>
            </w14:solidFill>
          </w14:textFill>
        </w:rPr>
        <w:t>全国公共资源交易平台 （广东省·韶关市）</w:t>
      </w:r>
      <w:r>
        <w:rPr>
          <w:rFonts w:hint="eastAsia" w:ascii="宋体" w:hAnsi="宋体"/>
          <w:color w:val="000000" w:themeColor="text1"/>
          <w:highlight w:val="none"/>
          <w14:textFill>
            <w14:solidFill>
              <w14:schemeClr w14:val="tx1"/>
            </w14:solidFill>
          </w14:textFill>
        </w:rPr>
        <w:t>报名的投标人可直接在平台中获取招标文件</w:t>
      </w:r>
      <w:r>
        <w:rPr>
          <w:rFonts w:hint="eastAsia" w:ascii="宋体" w:hAnsi="宋体" w:cs="宋体"/>
          <w:bCs/>
          <w:color w:val="000000" w:themeColor="text1"/>
          <w:highlight w:val="none"/>
          <w14:textFill>
            <w14:solidFill>
              <w14:schemeClr w14:val="tx1"/>
            </w14:solidFill>
          </w14:textFill>
        </w:rPr>
        <w:t>、工程量清单、图纸等相关资料。</w:t>
      </w:r>
      <w:bookmarkEnd w:id="22"/>
    </w:p>
    <w:p w14:paraId="02CE56F2">
      <w:pPr>
        <w:pStyle w:val="59"/>
        <w:keepNext w:val="0"/>
        <w:keepLines w:val="0"/>
        <w:pageBreakBefore w:val="0"/>
        <w:widowControl w:val="0"/>
        <w:kinsoku/>
        <w:wordWrap/>
        <w:overflowPunct/>
        <w:topLinePunct w:val="0"/>
        <w:autoSpaceDE w:val="0"/>
        <w:autoSpaceDN w:val="0"/>
        <w:bidi w:val="0"/>
        <w:adjustRightInd w:val="0"/>
        <w:snapToGrid/>
        <w:spacing w:line="240" w:lineRule="exact"/>
        <w:textAlignment w:val="auto"/>
        <w:rPr>
          <w:rFonts w:ascii="宋体" w:hAnsi="宋体" w:cs="宋体"/>
          <w:bCs/>
          <w:color w:val="000000" w:themeColor="text1"/>
          <w:highlight w:val="none"/>
          <w14:textFill>
            <w14:solidFill>
              <w14:schemeClr w14:val="tx1"/>
            </w14:solidFill>
          </w14:textFill>
        </w:rPr>
      </w:pPr>
    </w:p>
    <w:p w14:paraId="53F97CB1">
      <w:pPr>
        <w:spacing w:line="440" w:lineRule="exact"/>
        <w:outlineLvl w:val="1"/>
        <w:rPr>
          <w:rFonts w:ascii="宋体" w:hAnsi="宋体" w:cs="宋体"/>
          <w:b/>
          <w:color w:val="000000" w:themeColor="text1"/>
          <w:sz w:val="28"/>
          <w:szCs w:val="28"/>
          <w:highlight w:val="none"/>
          <w14:textFill>
            <w14:solidFill>
              <w14:schemeClr w14:val="tx1"/>
            </w14:solidFill>
          </w14:textFill>
        </w:rPr>
      </w:pPr>
      <w:bookmarkStart w:id="24" w:name="_Toc19992"/>
      <w:bookmarkStart w:id="25" w:name="_Toc27968"/>
      <w:r>
        <w:rPr>
          <w:rFonts w:hint="eastAsia" w:ascii="宋体" w:hAnsi="宋体" w:cs="黑体"/>
          <w:color w:val="000000" w:themeColor="text1"/>
          <w:sz w:val="28"/>
          <w:szCs w:val="28"/>
          <w:highlight w:val="none"/>
          <w14:textFill>
            <w14:solidFill>
              <w14:schemeClr w14:val="tx1"/>
            </w14:solidFill>
          </w14:textFill>
        </w:rPr>
        <w:t>5.</w:t>
      </w:r>
      <w:bookmarkEnd w:id="23"/>
      <w:bookmarkStart w:id="26" w:name="_Toc5243"/>
      <w:r>
        <w:rPr>
          <w:rFonts w:hint="eastAsia" w:ascii="宋体" w:hAnsi="宋体" w:cs="宋体"/>
          <w:b/>
          <w:color w:val="000000" w:themeColor="text1"/>
          <w:sz w:val="28"/>
          <w:szCs w:val="28"/>
          <w:highlight w:val="none"/>
          <w14:textFill>
            <w14:solidFill>
              <w14:schemeClr w14:val="tx1"/>
            </w14:solidFill>
          </w14:textFill>
        </w:rPr>
        <w:t>电子投标及相关事宜</w:t>
      </w:r>
      <w:bookmarkEnd w:id="24"/>
      <w:bookmarkEnd w:id="25"/>
    </w:p>
    <w:p w14:paraId="20448F24">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 投标人若对招标文件、工程量清单等资料有疑问，应在提问截止时间（见“重要事项时间地点一览表”）前使用交易平台提出问题。未在指定时间前、未采用指定方式提出的，招标人不予受理。</w:t>
      </w:r>
    </w:p>
    <w:p w14:paraId="20D158C2">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 招标人在提问截止时间（见“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4C4949AC">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5.3 招标人对招标文件所作的答疑（或修改）公告，构成招标文件的组成部分。</w:t>
      </w:r>
    </w:p>
    <w:p w14:paraId="6B3781C9">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5.4投标人必须在规定的截止时间前使用交易平台完成网上获取招标文件、缴纳投标保证和全流程电子投标。只有满足以上所有条件，方为有效投标。</w:t>
      </w:r>
    </w:p>
    <w:p w14:paraId="33F1C560">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5.5根据《关于全面启用全流程电子化招标投标的通知》（韶交易发〔2022〕24 号）文件，自2022年11月28日起，进入交易平台以招标方式进行交易的项目将全面启用全流程电子化招标投标。投标人可通过交易平台在线办理电子保函、保证保险和投标及下载中标通知书等业务。全流程电子化招标投标项目不再接收纸质投标文件，也不接收纸质保函等单证资料。</w:t>
      </w:r>
    </w:p>
    <w:p w14:paraId="6755CF9F">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5.6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37A834CC">
      <w:pPr>
        <w:spacing w:line="400" w:lineRule="atLeas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5.7 开标时间和地点：见“重要事项时间地点一览表”。投标人无须进行现场签到（需要提交评审原件时，投标人可在规定的地点、时间内递交至开标现场，无原件的不作要求），可登录交易平台及时观看开标实况、提出异议或进行澄清、确认等操作，具体详见招标文件和系统操作手册为准。</w:t>
      </w:r>
    </w:p>
    <w:p w14:paraId="7AEFC112">
      <w:pPr>
        <w:keepNext/>
        <w:keepLines/>
        <w:pageBreakBefore w:val="0"/>
        <w:widowControl w:val="0"/>
        <w:kinsoku/>
        <w:wordWrap/>
        <w:overflowPunct/>
        <w:topLinePunct w:val="0"/>
        <w:autoSpaceDE/>
        <w:autoSpaceDN/>
        <w:bidi w:val="0"/>
        <w:adjustRightInd/>
        <w:snapToGrid/>
        <w:spacing w:line="240" w:lineRule="exact"/>
        <w:textAlignment w:val="auto"/>
        <w:outlineLvl w:val="9"/>
        <w:rPr>
          <w:rFonts w:ascii="宋体" w:hAnsi="宋体" w:eastAsia="宋体" w:cs="黑体"/>
          <w:bCs w:val="0"/>
          <w:color w:val="000000" w:themeColor="text1"/>
          <w:sz w:val="28"/>
          <w:szCs w:val="28"/>
          <w:highlight w:val="none"/>
          <w14:textFill>
            <w14:solidFill>
              <w14:schemeClr w14:val="tx1"/>
            </w14:solidFill>
          </w14:textFill>
        </w:rPr>
      </w:pPr>
      <w:bookmarkStart w:id="27" w:name="_Toc13025"/>
    </w:p>
    <w:p w14:paraId="5FC20CC2">
      <w:pPr>
        <w:pStyle w:val="4"/>
        <w:spacing w:line="400" w:lineRule="atLeast"/>
        <w:jc w:val="left"/>
        <w:rPr>
          <w:rFonts w:ascii="宋体" w:hAnsi="宋体" w:eastAsia="宋体" w:cs="黑体"/>
          <w:bCs w:val="0"/>
          <w:color w:val="000000" w:themeColor="text1"/>
          <w:sz w:val="28"/>
          <w:szCs w:val="28"/>
          <w:highlight w:val="none"/>
          <w14:textFill>
            <w14:solidFill>
              <w14:schemeClr w14:val="tx1"/>
            </w14:solidFill>
          </w14:textFill>
        </w:rPr>
      </w:pPr>
      <w:bookmarkStart w:id="28" w:name="_Toc18087"/>
      <w:r>
        <w:rPr>
          <w:rFonts w:hint="eastAsia" w:ascii="宋体" w:hAnsi="宋体" w:eastAsia="宋体" w:cs="黑体"/>
          <w:bCs w:val="0"/>
          <w:color w:val="000000" w:themeColor="text1"/>
          <w:sz w:val="28"/>
          <w:szCs w:val="28"/>
          <w:highlight w:val="none"/>
          <w14:textFill>
            <w14:solidFill>
              <w14:schemeClr w14:val="tx1"/>
            </w14:solidFill>
          </w14:textFill>
        </w:rPr>
        <w:t>6.发布公告的媒介</w:t>
      </w:r>
      <w:bookmarkEnd w:id="26"/>
      <w:bookmarkEnd w:id="27"/>
      <w:bookmarkEnd w:id="28"/>
    </w:p>
    <w:p w14:paraId="36C03312">
      <w:pPr>
        <w:adjustRightInd w:val="0"/>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bookmarkStart w:id="29" w:name="_Toc19457"/>
      <w:r>
        <w:rPr>
          <w:rFonts w:hint="eastAsia" w:ascii="宋体" w:hAnsi="宋体" w:cs="宋体"/>
          <w:color w:val="000000" w:themeColor="text1"/>
          <w:kern w:val="0"/>
          <w:sz w:val="24"/>
          <w:highlight w:val="none"/>
          <w14:textFill>
            <w14:solidFill>
              <w14:schemeClr w14:val="tx1"/>
            </w14:solidFill>
          </w14:textFill>
        </w:rPr>
        <w:t>本次招标公告同时在①广东省招标投标监管网（http://zbtb.gd.gov.cn/）、②</w:t>
      </w:r>
      <w:r>
        <w:rPr>
          <w:rFonts w:hint="eastAsia" w:ascii="宋体" w:hAnsi="宋体" w:cs="宋体"/>
          <w:color w:val="000000" w:themeColor="text1"/>
          <w:sz w:val="24"/>
          <w:highlight w:val="none"/>
          <w14:textFill>
            <w14:solidFill>
              <w14:schemeClr w14:val="tx1"/>
            </w14:solidFill>
          </w14:textFill>
        </w:rPr>
        <w:t>全国公共资源交易平台（广东省·韶关</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（https://ygp.gdzwfw.gov.cn/ggzy-portal/#/440200/index）</w:t>
      </w:r>
      <w:r>
        <w:rPr>
          <w:rFonts w:hint="eastAsia" w:ascii="宋体" w:hAnsi="宋体" w:cs="宋体"/>
          <w:color w:val="000000" w:themeColor="text1"/>
          <w:kern w:val="0"/>
          <w:sz w:val="24"/>
          <w:highlight w:val="none"/>
          <w14:textFill>
            <w14:solidFill>
              <w14:schemeClr w14:val="tx1"/>
            </w14:solidFill>
          </w14:textFill>
        </w:rPr>
        <w:t>上发布。如公告详细内容不一致者，以</w:t>
      </w:r>
      <w:r>
        <w:rPr>
          <w:rFonts w:hint="eastAsia" w:ascii="宋体" w:hAnsi="宋体" w:cs="宋体"/>
          <w:color w:val="000000" w:themeColor="text1"/>
          <w:sz w:val="24"/>
          <w:highlight w:val="none"/>
          <w14:textFill>
            <w14:solidFill>
              <w14:schemeClr w14:val="tx1"/>
            </w14:solidFill>
          </w14:textFill>
        </w:rPr>
        <w:t>全国公共资源交易平台 （广东省·韶关市）</w:t>
      </w:r>
      <w:r>
        <w:rPr>
          <w:rFonts w:hint="eastAsia" w:ascii="宋体" w:hAnsi="宋体" w:cs="宋体"/>
          <w:color w:val="000000" w:themeColor="text1"/>
          <w:kern w:val="0"/>
          <w:sz w:val="24"/>
          <w:highlight w:val="none"/>
          <w14:textFill>
            <w14:solidFill>
              <w14:schemeClr w14:val="tx1"/>
            </w14:solidFill>
          </w14:textFill>
        </w:rPr>
        <w:t>公告为准。</w:t>
      </w:r>
    </w:p>
    <w:p w14:paraId="60D68408">
      <w:pPr>
        <w:spacing w:after="136" w:line="360" w:lineRule="auto"/>
        <w:ind w:firstLine="600" w:firstLineChars="2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在规定的报名期间，如本项目报名的投标人不足3家时，招标人依法有权选择以下任一方式：（1）在</w:t>
      </w:r>
      <w:r>
        <w:rPr>
          <w:rFonts w:hint="eastAsia" w:ascii="宋体" w:hAnsi="宋体" w:cs="宋体"/>
          <w:color w:val="000000" w:themeColor="text1"/>
          <w:sz w:val="24"/>
          <w:highlight w:val="none"/>
          <w14:textFill>
            <w14:solidFill>
              <w14:schemeClr w14:val="tx1"/>
            </w14:solidFill>
          </w14:textFill>
        </w:rPr>
        <w:t>全国公共资源交易平台 （广东省·韶关市）</w:t>
      </w:r>
      <w:r>
        <w:rPr>
          <w:rFonts w:hint="eastAsia" w:ascii="宋体" w:hAnsi="宋体" w:cs="宋体"/>
          <w:color w:val="000000" w:themeColor="text1"/>
          <w:kern w:val="0"/>
          <w:sz w:val="24"/>
          <w:highlight w:val="none"/>
          <w14:textFill>
            <w14:solidFill>
              <w14:schemeClr w14:val="tx1"/>
            </w14:solidFill>
          </w14:textFill>
        </w:rPr>
        <w:t>发布公告延长报名时间，在延期报名时间内，已报名投标人的资料仍有效并可自行补充资料，未报名的投标人可根据公告的约定进行报名；（2）依法重新组织招标。</w:t>
      </w:r>
    </w:p>
    <w:p w14:paraId="4308F540">
      <w:pPr>
        <w:spacing w:after="136"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保证金缴纳截止时间到期后，若交易平台显示成功缴纳投标保证金的投标人数量少于3家时，招标人将取消于次日召开的项目开标会，发布公告延长报名时间或依法重新组织招标。投标人可在投标保证金缴纳截止时间起至电子投标截止时间前自行登录全国公共资源交易平台 （广东省·韶关市）（https://ygp.gdzwfw.gov.cn/ggzy-portal/#/440200/index）查询是否发布了取消项目开标会的相关信息。</w:t>
      </w:r>
    </w:p>
    <w:p w14:paraId="7661141E">
      <w:pPr>
        <w:keepNext/>
        <w:keepLines/>
        <w:pageBreakBefore w:val="0"/>
        <w:widowControl w:val="0"/>
        <w:kinsoku/>
        <w:wordWrap/>
        <w:overflowPunct/>
        <w:topLinePunct w:val="0"/>
        <w:autoSpaceDE/>
        <w:autoSpaceDN/>
        <w:bidi w:val="0"/>
        <w:adjustRightInd/>
        <w:snapToGrid/>
        <w:spacing w:line="240" w:lineRule="exact"/>
        <w:textAlignment w:val="auto"/>
        <w:outlineLvl w:val="9"/>
        <w:rPr>
          <w:rFonts w:ascii="宋体" w:hAnsi="宋体" w:eastAsia="宋体" w:cs="黑体"/>
          <w:bCs w:val="0"/>
          <w:color w:val="000000" w:themeColor="text1"/>
          <w:sz w:val="28"/>
          <w:szCs w:val="28"/>
          <w:highlight w:val="none"/>
          <w14:textFill>
            <w14:solidFill>
              <w14:schemeClr w14:val="tx1"/>
            </w14:solidFill>
          </w14:textFill>
        </w:rPr>
      </w:pPr>
      <w:bookmarkStart w:id="30" w:name="_Toc27075"/>
    </w:p>
    <w:p w14:paraId="7C468A10">
      <w:pPr>
        <w:pStyle w:val="4"/>
        <w:spacing w:line="400" w:lineRule="atLeast"/>
        <w:rPr>
          <w:rFonts w:ascii="宋体" w:hAnsi="宋体" w:eastAsia="宋体" w:cs="黑体"/>
          <w:bCs w:val="0"/>
          <w:color w:val="000000" w:themeColor="text1"/>
          <w:sz w:val="28"/>
          <w:szCs w:val="28"/>
          <w:highlight w:val="none"/>
          <w14:textFill>
            <w14:solidFill>
              <w14:schemeClr w14:val="tx1"/>
            </w14:solidFill>
          </w14:textFill>
        </w:rPr>
      </w:pPr>
      <w:bookmarkStart w:id="31" w:name="_Toc25990"/>
      <w:r>
        <w:rPr>
          <w:rFonts w:hint="eastAsia" w:ascii="宋体" w:hAnsi="宋体" w:eastAsia="宋体" w:cs="黑体"/>
          <w:bCs w:val="0"/>
          <w:color w:val="000000" w:themeColor="text1"/>
          <w:sz w:val="28"/>
          <w:szCs w:val="28"/>
          <w:highlight w:val="none"/>
          <w14:textFill>
            <w14:solidFill>
              <w14:schemeClr w14:val="tx1"/>
            </w14:solidFill>
          </w14:textFill>
        </w:rPr>
        <w:t>7.</w:t>
      </w:r>
      <w:bookmarkStart w:id="32" w:name="_Toc13961"/>
      <w:bookmarkStart w:id="33" w:name="_Toc328560386"/>
      <w:bookmarkStart w:id="34" w:name="_Toc435045826"/>
      <w:r>
        <w:rPr>
          <w:rFonts w:hint="eastAsia" w:ascii="宋体" w:hAnsi="宋体" w:eastAsia="宋体" w:cs="黑体"/>
          <w:bCs w:val="0"/>
          <w:color w:val="000000" w:themeColor="text1"/>
          <w:sz w:val="28"/>
          <w:szCs w:val="28"/>
          <w:highlight w:val="none"/>
          <w14:textFill>
            <w14:solidFill>
              <w14:schemeClr w14:val="tx1"/>
            </w14:solidFill>
          </w14:textFill>
        </w:rPr>
        <w:t>联系方式</w:t>
      </w:r>
      <w:bookmarkEnd w:id="29"/>
      <w:bookmarkEnd w:id="30"/>
      <w:bookmarkEnd w:id="31"/>
      <w:bookmarkEnd w:id="32"/>
    </w:p>
    <w:bookmarkEnd w:id="33"/>
    <w:bookmarkEnd w:id="34"/>
    <w:tbl>
      <w:tblPr>
        <w:tblStyle w:val="44"/>
        <w:tblW w:w="98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6"/>
        <w:gridCol w:w="4926"/>
      </w:tblGrid>
      <w:tr w14:paraId="1C37C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4926" w:type="dxa"/>
            <w:tcBorders>
              <w:tl2br w:val="nil"/>
              <w:tr2bl w:val="nil"/>
            </w:tcBorders>
          </w:tcPr>
          <w:p w14:paraId="14108B24">
            <w:pPr>
              <w:keepNext w:val="0"/>
              <w:keepLines w:val="0"/>
              <w:suppressLineNumbers w:val="0"/>
              <w:spacing w:before="0" w:beforeAutospacing="0" w:after="0" w:afterAutospacing="0" w:line="42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招标人：</w:t>
            </w:r>
            <w:r>
              <w:rPr>
                <w:rFonts w:hint="eastAsia" w:ascii="宋体" w:hAnsi="宋体"/>
                <w:color w:val="000000" w:themeColor="text1"/>
                <w:sz w:val="24"/>
                <w:highlight w:val="none"/>
                <w:lang w:eastAsia="zh-CN"/>
                <w14:textFill>
                  <w14:solidFill>
                    <w14:schemeClr w14:val="tx1"/>
                  </w14:solidFill>
                </w14:textFill>
              </w:rPr>
              <w:t>始兴县地方公路事务中心</w:t>
            </w:r>
          </w:p>
          <w:p w14:paraId="07AA217A">
            <w:pPr>
              <w:keepNext w:val="0"/>
              <w:keepLines w:val="0"/>
              <w:suppressLineNumbers w:val="0"/>
              <w:spacing w:before="0" w:beforeAutospacing="0" w:after="0" w:afterAutospacing="0" w:line="42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地  址：</w:t>
            </w:r>
            <w:r>
              <w:rPr>
                <w:rFonts w:hint="eastAsia" w:ascii="宋体" w:hAnsi="宋体" w:cs="宋体"/>
                <w:color w:val="000000" w:themeColor="text1"/>
                <w:kern w:val="0"/>
                <w:sz w:val="24"/>
                <w:highlight w:val="none"/>
                <w:lang w:eastAsia="zh-CN"/>
                <w14:textFill>
                  <w14:solidFill>
                    <w14:schemeClr w14:val="tx1"/>
                  </w14:solidFill>
                </w14:textFill>
              </w:rPr>
              <w:t>始兴县太平镇北门路420号</w:t>
            </w:r>
          </w:p>
          <w:p w14:paraId="633EFC5B">
            <w:pPr>
              <w:keepNext w:val="0"/>
              <w:keepLines w:val="0"/>
              <w:suppressLineNumbers w:val="0"/>
              <w:spacing w:before="0" w:beforeAutospacing="0" w:after="0" w:afterAutospacing="0" w:line="42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邮政编码：</w:t>
            </w:r>
            <w:r>
              <w:rPr>
                <w:rFonts w:hint="eastAsia" w:ascii="宋体" w:hAnsi="宋体" w:cs="宋体"/>
                <w:color w:val="000000" w:themeColor="text1"/>
                <w:sz w:val="24"/>
                <w:highlight w:val="none"/>
                <w:lang w:eastAsia="zh-CN"/>
                <w14:textFill>
                  <w14:solidFill>
                    <w14:schemeClr w14:val="tx1"/>
                  </w14:solidFill>
                </w14:textFill>
              </w:rPr>
              <w:t>512500</w:t>
            </w:r>
          </w:p>
          <w:p w14:paraId="7A24C205">
            <w:pPr>
              <w:keepNext w:val="0"/>
              <w:keepLines w:val="0"/>
              <w:suppressLineNumbers w:val="0"/>
              <w:spacing w:before="0" w:beforeAutospacing="0" w:after="0" w:afterAutospacing="0" w:line="42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联系人：</w:t>
            </w:r>
            <w:r>
              <w:rPr>
                <w:rFonts w:hint="eastAsia" w:ascii="宋体" w:hAnsi="宋体" w:cs="宋体"/>
                <w:color w:val="000000" w:themeColor="text1"/>
                <w:kern w:val="0"/>
                <w:sz w:val="24"/>
                <w:highlight w:val="none"/>
                <w:lang w:eastAsia="zh-CN"/>
                <w14:textFill>
                  <w14:solidFill>
                    <w14:schemeClr w14:val="tx1"/>
                  </w14:solidFill>
                </w14:textFill>
              </w:rPr>
              <w:t>刘工</w:t>
            </w:r>
          </w:p>
          <w:p w14:paraId="606EA026">
            <w:pPr>
              <w:keepNext w:val="0"/>
              <w:keepLines w:val="0"/>
              <w:suppressLineNumbers w:val="0"/>
              <w:spacing w:before="0" w:beforeAutospacing="0" w:after="0" w:afterAutospacing="0" w:line="42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电  话：</w:t>
            </w:r>
            <w:r>
              <w:rPr>
                <w:rFonts w:hint="eastAsia" w:ascii="宋体" w:hAnsi="宋体" w:cs="宋体"/>
                <w:color w:val="000000" w:themeColor="text1"/>
                <w:kern w:val="0"/>
                <w:sz w:val="24"/>
                <w:highlight w:val="none"/>
                <w:lang w:val="en-US" w:eastAsia="zh-CN"/>
                <w14:textFill>
                  <w14:solidFill>
                    <w14:schemeClr w14:val="tx1"/>
                  </w14:solidFill>
                </w14:textFill>
              </w:rPr>
              <w:t>0751-6927330</w:t>
            </w:r>
          </w:p>
        </w:tc>
        <w:tc>
          <w:tcPr>
            <w:tcW w:w="4926" w:type="dxa"/>
            <w:tcBorders>
              <w:tl2br w:val="nil"/>
              <w:tr2bl w:val="nil"/>
            </w:tcBorders>
          </w:tcPr>
          <w:p w14:paraId="4655E09B">
            <w:pPr>
              <w:keepNext w:val="0"/>
              <w:keepLines w:val="0"/>
              <w:suppressLineNumbers w:val="0"/>
              <w:spacing w:before="0" w:beforeAutospacing="0" w:after="0" w:afterAutospacing="0" w:line="420" w:lineRule="exact"/>
              <w:ind w:left="0" w:right="0"/>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default" w:ascii="宋体" w:hAnsi="宋体" w:cs="宋体"/>
                <w:color w:val="000000" w:themeColor="text1"/>
                <w:kern w:val="0"/>
                <w:sz w:val="24"/>
                <w:highlight w:val="none"/>
                <w14:textFill>
                  <w14:solidFill>
                    <w14:schemeClr w14:val="tx1"/>
                  </w14:solidFill>
                </w14:textFill>
              </w:rPr>
              <w:t>单位名称：</w:t>
            </w:r>
            <w:r>
              <w:rPr>
                <w:rFonts w:hint="eastAsia" w:ascii="宋体" w:hAnsi="宋体" w:cs="宋体"/>
                <w:color w:val="000000" w:themeColor="text1"/>
                <w:kern w:val="0"/>
                <w:sz w:val="24"/>
                <w:highlight w:val="none"/>
                <w:lang w:eastAsia="zh-CN"/>
                <w14:textFill>
                  <w14:solidFill>
                    <w14:schemeClr w14:val="tx1"/>
                  </w14:solidFill>
                </w14:textFill>
              </w:rPr>
              <w:t>广东隽晨项目管理有限公司</w:t>
            </w:r>
          </w:p>
          <w:p w14:paraId="123781B6">
            <w:pPr>
              <w:keepNext w:val="0"/>
              <w:keepLines w:val="0"/>
              <w:suppressLineNumbers w:val="0"/>
              <w:spacing w:before="0" w:beforeAutospacing="0" w:after="0" w:afterAutospacing="0" w:line="420" w:lineRule="exact"/>
              <w:ind w:left="1200" w:right="0" w:hanging="1200" w:hangingChars="500"/>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地    址：</w:t>
            </w:r>
            <w:r>
              <w:rPr>
                <w:rFonts w:hint="eastAsia" w:ascii="宋体" w:hAnsi="宋体" w:cs="宋体"/>
                <w:color w:val="000000" w:themeColor="text1"/>
                <w:kern w:val="0"/>
                <w:sz w:val="24"/>
                <w:highlight w:val="none"/>
                <w:lang w:eastAsia="zh-CN"/>
                <w14:textFill>
                  <w14:solidFill>
                    <w14:schemeClr w14:val="tx1"/>
                  </w14:solidFill>
                </w14:textFill>
              </w:rPr>
              <w:t>韶关市曲江区马坝镇城南移民新村H幢首层门店</w:t>
            </w:r>
          </w:p>
          <w:p w14:paraId="5C7C6523">
            <w:pPr>
              <w:keepNext w:val="0"/>
              <w:keepLines w:val="0"/>
              <w:suppressLineNumbers w:val="0"/>
              <w:spacing w:before="0" w:beforeAutospacing="0" w:after="0" w:afterAutospacing="0" w:line="420" w:lineRule="exact"/>
              <w:ind w:left="0" w:right="0"/>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 系 人：</w:t>
            </w:r>
            <w:r>
              <w:rPr>
                <w:rFonts w:hint="eastAsia" w:ascii="宋体" w:hAnsi="宋体" w:cs="宋体"/>
                <w:color w:val="000000" w:themeColor="text1"/>
                <w:kern w:val="0"/>
                <w:sz w:val="24"/>
                <w:highlight w:val="none"/>
                <w:lang w:eastAsia="zh-CN"/>
                <w14:textFill>
                  <w14:solidFill>
                    <w14:schemeClr w14:val="tx1"/>
                  </w14:solidFill>
                </w14:textFill>
              </w:rPr>
              <w:t>陈工</w:t>
            </w:r>
          </w:p>
          <w:p w14:paraId="46961BFE">
            <w:pPr>
              <w:keepNext w:val="0"/>
              <w:keepLines w:val="0"/>
              <w:suppressLineNumbers w:val="0"/>
              <w:spacing w:before="0" w:beforeAutospacing="0" w:after="0" w:afterAutospacing="0" w:line="420" w:lineRule="exact"/>
              <w:ind w:left="0" w:right="0"/>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联系电话：</w:t>
            </w:r>
            <w:r>
              <w:rPr>
                <w:rFonts w:hint="eastAsia" w:ascii="宋体" w:hAnsi="宋体" w:cs="宋体"/>
                <w:color w:val="000000" w:themeColor="text1"/>
                <w:kern w:val="0"/>
                <w:sz w:val="24"/>
                <w:highlight w:val="none"/>
                <w:lang w:val="en-US" w:eastAsia="zh-CN"/>
                <w14:textFill>
                  <w14:solidFill>
                    <w14:schemeClr w14:val="tx1"/>
                  </w14:solidFill>
                </w14:textFill>
              </w:rPr>
              <w:t>13602832036</w:t>
            </w:r>
          </w:p>
        </w:tc>
      </w:tr>
    </w:tbl>
    <w:p w14:paraId="63607A24">
      <w:pPr>
        <w:pStyle w:val="4"/>
        <w:numPr>
          <w:ilvl w:val="0"/>
          <w:numId w:val="4"/>
        </w:numPr>
        <w:spacing w:before="140" w:after="140" w:line="240" w:lineRule="auto"/>
        <w:rPr>
          <w:rFonts w:ascii="宋体" w:hAnsi="宋体" w:eastAsia="宋体" w:cs="黑体"/>
          <w:color w:val="000000" w:themeColor="text1"/>
          <w:sz w:val="30"/>
          <w:szCs w:val="30"/>
          <w:highlight w:val="none"/>
          <w14:textFill>
            <w14:solidFill>
              <w14:schemeClr w14:val="tx1"/>
            </w14:solidFill>
          </w14:textFill>
        </w:rPr>
      </w:pPr>
      <w:r>
        <w:rPr>
          <w:rFonts w:hint="eastAsia" w:ascii="宋体" w:hAnsi="宋体" w:eastAsia="宋体" w:cs="黑体"/>
          <w:b w:val="0"/>
          <w:bCs w:val="0"/>
          <w:color w:val="000000" w:themeColor="text1"/>
          <w:sz w:val="30"/>
          <w:szCs w:val="30"/>
          <w:highlight w:val="none"/>
          <w14:textFill>
            <w14:solidFill>
              <w14:schemeClr w14:val="tx1"/>
            </w14:solidFill>
          </w14:textFill>
        </w:rPr>
        <w:br w:type="page"/>
      </w:r>
      <w:bookmarkStart w:id="35" w:name="_Toc9333"/>
      <w:bookmarkStart w:id="36" w:name="_Toc19197"/>
      <w:r>
        <w:rPr>
          <w:rFonts w:hint="eastAsia" w:ascii="宋体" w:hAnsi="宋体" w:eastAsia="宋体" w:cs="黑体"/>
          <w:color w:val="000000" w:themeColor="text1"/>
          <w:sz w:val="30"/>
          <w:szCs w:val="30"/>
          <w:highlight w:val="none"/>
          <w14:textFill>
            <w14:solidFill>
              <w14:schemeClr w14:val="tx1"/>
            </w14:solidFill>
          </w14:textFill>
        </w:rPr>
        <w:t>重要事项时间地点一览表</w:t>
      </w:r>
      <w:bookmarkEnd w:id="35"/>
      <w:bookmarkEnd w:id="36"/>
    </w:p>
    <w:p w14:paraId="76B083AE">
      <w:pPr>
        <w:pStyle w:val="56"/>
        <w:ind w:left="0" w:leftChars="0" w:firstLine="0" w:firstLineChars="0"/>
        <w:rPr>
          <w:color w:val="000000" w:themeColor="text1"/>
          <w:highlight w:val="none"/>
          <w14:textFill>
            <w14:solidFill>
              <w14:schemeClr w14:val="tx1"/>
            </w14:solidFill>
          </w14:textFill>
        </w:rPr>
      </w:pPr>
    </w:p>
    <w:tbl>
      <w:tblPr>
        <w:tblStyle w:val="43"/>
        <w:tblW w:w="969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4"/>
        <w:gridCol w:w="1610"/>
        <w:gridCol w:w="7585"/>
      </w:tblGrid>
      <w:tr w14:paraId="3CDC9D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2"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71CF835A">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1</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4C02AC0B">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招标公告</w:t>
            </w:r>
          </w:p>
          <w:p w14:paraId="1FA5C3D1">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发布时间 </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120F05AC">
            <w:pPr>
              <w:pStyle w:val="74"/>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3E3BBA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3443C996">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2</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77AD356C">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获取招标文件截止时间 </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5530A8BB">
            <w:pPr>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4B8D45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0"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6232B410">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3</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7DD32F11">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网上提问</w:t>
            </w:r>
          </w:p>
          <w:p w14:paraId="7B21BCE2">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截止时间 </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62E8AE41">
            <w:pPr>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28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177B22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0"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17257FF2">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4</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6017F1CD">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网上答疑</w:t>
            </w:r>
          </w:p>
          <w:p w14:paraId="5E4B7EE9">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时间</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78EAE26F">
            <w:pPr>
              <w:pStyle w:val="74"/>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28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30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分至</w:t>
            </w: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31</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4E1D7F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94"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066FF71D">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5</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63CAEBB8">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投标保证缴</w:t>
            </w:r>
          </w:p>
          <w:p w14:paraId="07460EEB">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纳截止时间</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69779D18">
            <w:pPr>
              <w:pStyle w:val="74"/>
              <w:keepNext w:val="0"/>
              <w:keepLines w:val="0"/>
              <w:suppressLineNumbers w:val="0"/>
              <w:wordWrap w:val="0"/>
              <w:adjustRightInd w:val="0"/>
              <w:snapToGrid w:val="0"/>
              <w:spacing w:before="0" w:beforeAutospacing="0" w:after="0" w:afterAutospacing="0" w:line="400" w:lineRule="exact"/>
              <w:ind w:left="0" w:right="0" w:firstLine="240" w:firstLineChars="100"/>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投标保证金到账截止时间：</w:t>
            </w: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p w14:paraId="247F9C40">
            <w:pPr>
              <w:pStyle w:val="74"/>
              <w:keepNext w:val="0"/>
              <w:keepLines w:val="0"/>
              <w:suppressLineNumbers w:val="0"/>
              <w:wordWrap w:val="0"/>
              <w:adjustRightInd w:val="0"/>
              <w:snapToGrid w:val="0"/>
              <w:spacing w:before="0" w:beforeAutospacing="0" w:after="0" w:afterAutospacing="0" w:line="400" w:lineRule="exact"/>
              <w:ind w:left="0" w:right="0" w:firstLine="240" w:firstLineChars="100"/>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投标保证担保上传截止时间：</w:t>
            </w: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p w14:paraId="0EEAFFE8">
            <w:pPr>
              <w:pStyle w:val="17"/>
              <w:keepNext w:val="0"/>
              <w:keepLines w:val="0"/>
              <w:suppressLineNumbers w:val="0"/>
              <w:wordWrap w:val="0"/>
              <w:adjustRightInd w:val="0"/>
              <w:snapToGrid w:val="0"/>
              <w:spacing w:before="0" w:beforeAutospacing="0" w:after="0" w:afterAutospacing="0" w:line="400" w:lineRule="exact"/>
              <w:ind w:left="0" w:right="0" w:firstLine="240" w:firstLineChars="100"/>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投标保证保险投保截止时间：</w:t>
            </w: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6</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r>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w:t>
            </w:r>
          </w:p>
        </w:tc>
      </w:tr>
      <w:tr w14:paraId="12EE16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8"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4801B32B">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6</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297C5F51">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电子投标</w:t>
            </w:r>
          </w:p>
          <w:p w14:paraId="635D1276">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trike/>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截止时间 </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3613C295">
            <w:pPr>
              <w:pStyle w:val="17"/>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285218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93"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40D8AD68">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7</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5C0C0350">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投标相关资料（如有）递交时间</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3DDBFA77">
            <w:pPr>
              <w:pStyle w:val="17"/>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9</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30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r>
              <w:rPr>
                <w:rFonts w:hint="default"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至</w:t>
            </w: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61C47C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3"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573908DA">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8</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1C4761C5">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投标相关资料（如有）递交地点</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4D274844">
            <w:pPr>
              <w:keepNext w:val="0"/>
              <w:keepLines w:val="0"/>
              <w:suppressLineNumbers w:val="0"/>
              <w:wordWrap w:val="0"/>
              <w:adjustRightInd w:val="0"/>
              <w:snapToGrid w:val="0"/>
              <w:spacing w:before="0" w:beforeAutospacing="0" w:after="0" w:afterAutospacing="0" w:line="400" w:lineRule="exact"/>
              <w:ind w:left="105" w:leftChars="50" w:right="0" w:firstLine="240" w:firstLineChars="100"/>
              <w:jc w:val="left"/>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pPr>
            <w:r>
              <w:rPr>
                <w:rFonts w:hint="eastAsia" w:ascii="宋体" w:hAnsi="宋体" w:eastAsia="宋体" w:cs="宋体"/>
                <w:strike w:val="0"/>
                <w:dstrike w:val="0"/>
                <w:snapToGrid w:val="0"/>
                <w:color w:val="000000" w:themeColor="text1"/>
                <w:kern w:val="0"/>
                <w:sz w:val="24"/>
                <w:szCs w:val="24"/>
                <w:highlight w:val="none"/>
                <w:u w:val="none"/>
                <w14:textFill>
                  <w14:solidFill>
                    <w14:schemeClr w14:val="tx1"/>
                  </w14:solidFill>
                </w14:textFill>
              </w:rPr>
              <w:t>递交场所：韶关市公共资源交易中心</w:t>
            </w:r>
            <w:r>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t>始兴分中心</w:t>
            </w:r>
          </w:p>
          <w:p w14:paraId="48B6242F">
            <w:pPr>
              <w:pStyle w:val="74"/>
              <w:keepNext w:val="0"/>
              <w:keepLines w:val="0"/>
              <w:suppressLineNumbers w:val="0"/>
              <w:wordWrap w:val="0"/>
              <w:adjustRightInd w:val="0"/>
              <w:snapToGrid w:val="0"/>
              <w:spacing w:before="0" w:beforeAutospacing="0" w:after="0" w:afterAutospacing="0" w:line="360" w:lineRule="auto"/>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宋体" w:hAnsi="宋体" w:eastAsia="宋体" w:cs="宋体"/>
                <w:strike w:val="0"/>
                <w:dstrike w:val="0"/>
                <w:snapToGrid w:val="0"/>
                <w:color w:val="000000" w:themeColor="text1"/>
                <w:kern w:val="0"/>
                <w:sz w:val="24"/>
                <w:szCs w:val="24"/>
                <w:highlight w:val="none"/>
                <w:u w:val="none"/>
                <w:lang w:val="en-US" w:eastAsia="zh-CN"/>
                <w14:textFill>
                  <w14:solidFill>
                    <w14:schemeClr w14:val="tx1"/>
                  </w14:solidFill>
                </w14:textFill>
              </w:rPr>
              <w:t xml:space="preserve"> </w:t>
            </w:r>
            <w:r>
              <w:rPr>
                <w:rFonts w:hint="eastAsia" w:ascii="宋体" w:hAnsi="宋体" w:eastAsia="宋体" w:cs="宋体"/>
                <w:strike w:val="0"/>
                <w:dstrike w:val="0"/>
                <w:snapToGrid w:val="0"/>
                <w:color w:val="000000" w:themeColor="text1"/>
                <w:kern w:val="0"/>
                <w:sz w:val="24"/>
                <w:szCs w:val="24"/>
                <w:highlight w:val="none"/>
                <w:u w:val="none"/>
                <w14:textFill>
                  <w14:solidFill>
                    <w14:schemeClr w14:val="tx1"/>
                  </w14:solidFill>
                </w14:textFill>
              </w:rPr>
              <w:t>地址：</w:t>
            </w:r>
            <w:r>
              <w:rPr>
                <w:rFonts w:hint="eastAsia" w:ascii="宋体" w:hAnsi="宋体" w:eastAsia="宋体" w:cs="宋体"/>
                <w:strike w:val="0"/>
                <w:dstrike w:val="0"/>
                <w:snapToGrid w:val="0"/>
                <w:color w:val="000000" w:themeColor="text1"/>
                <w:kern w:val="0"/>
                <w:sz w:val="24"/>
                <w:szCs w:val="24"/>
                <w:highlight w:val="none"/>
                <w:u w:val="none"/>
                <w:lang w:eastAsia="zh-CN"/>
                <w14:textFill>
                  <w14:solidFill>
                    <w14:schemeClr w14:val="tx1"/>
                  </w14:solidFill>
                </w14:textFill>
              </w:rPr>
              <w:t>始兴县太平镇永安大道中79号行政服务大楼四楼开标室，具体房间号以当日现场通知为准</w:t>
            </w:r>
            <w:r>
              <w:rPr>
                <w:rFonts w:hint="eastAsia" w:ascii="宋体" w:hAnsi="宋体" w:eastAsia="宋体" w:cs="宋体"/>
                <w:strike w:val="0"/>
                <w:dstrike w:val="0"/>
                <w:snapToGrid w:val="0"/>
                <w:color w:val="000000" w:themeColor="text1"/>
                <w:kern w:val="0"/>
                <w:sz w:val="24"/>
                <w:szCs w:val="24"/>
                <w:highlight w:val="none"/>
                <w:u w:val="none"/>
                <w14:textFill>
                  <w14:solidFill>
                    <w14:schemeClr w14:val="tx1"/>
                  </w14:solidFill>
                </w14:textFill>
              </w:rPr>
              <w:t>。</w:t>
            </w:r>
          </w:p>
        </w:tc>
      </w:tr>
      <w:tr w14:paraId="6B712A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3"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06559661">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9</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06272943">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开标时间 </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134944A7">
            <w:pPr>
              <w:pStyle w:val="17"/>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u w:val="none"/>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highlight w:val="none"/>
                <w:u w:val="none"/>
                <w:lang w:val="en-US" w:eastAsia="zh-CN"/>
                <w14:textFill>
                  <w14:solidFill>
                    <w14:schemeClr w14:val="tx1"/>
                  </w14:solidFill>
                </w14:textFill>
              </w:rPr>
              <w:t>5</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8</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7</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szCs w:val="24"/>
                <w:highlight w:val="none"/>
                <w:u w:val="non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szCs w:val="24"/>
                <w:highlight w:val="none"/>
                <w:u w:val="none"/>
                <w14:textFill>
                  <w14:solidFill>
                    <w14:schemeClr w14:val="tx1"/>
                  </w14:solidFill>
                </w14:textFill>
              </w:rPr>
              <w:t>分</w:t>
            </w:r>
          </w:p>
        </w:tc>
      </w:tr>
      <w:tr w14:paraId="1AB364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97"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0446BC3B">
            <w:pPr>
              <w:pStyle w:val="74"/>
              <w:keepNext w:val="0"/>
              <w:keepLines w:val="0"/>
              <w:suppressLineNumbers w:val="0"/>
              <w:wordWrap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10</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28DD8308">
            <w:pPr>
              <w:pStyle w:val="74"/>
              <w:keepNext w:val="0"/>
              <w:keepLines w:val="0"/>
              <w:suppressLineNumbers w:val="0"/>
              <w:wordWrap w:val="0"/>
              <w:adjustRightInd w:val="0"/>
              <w:snapToGrid w:val="0"/>
              <w:spacing w:before="0" w:beforeAutospacing="0" w:after="0" w:afterAutospacing="0" w:line="360" w:lineRule="exact"/>
              <w:ind w:left="0" w:right="0"/>
              <w:jc w:val="center"/>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 xml:space="preserve">开标地点 </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67B3E26A">
            <w:pPr>
              <w:pStyle w:val="17"/>
              <w:keepNext w:val="0"/>
              <w:keepLines w:val="0"/>
              <w:suppressLineNumbers w:val="0"/>
              <w:wordWrap w:val="0"/>
              <w:adjustRightInd w:val="0"/>
              <w:snapToGrid w:val="0"/>
              <w:spacing w:before="0" w:beforeAutospacing="0" w:after="0" w:afterAutospacing="0" w:line="400" w:lineRule="exact"/>
              <w:ind w:left="0" w:right="0" w:firstLine="240" w:firstLineChars="100"/>
              <w:jc w:val="left"/>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开标场所：韶关市公共资源交易中心</w:t>
            </w:r>
            <w:r>
              <w:rPr>
                <w:rFonts w:hint="eastAsia" w:ascii="宋体" w:hAnsi="宋体" w:cs="宋体"/>
                <w:color w:val="000000" w:themeColor="text1"/>
                <w:sz w:val="24"/>
                <w:szCs w:val="24"/>
                <w:highlight w:val="none"/>
                <w:lang w:eastAsia="zh-CN"/>
                <w14:textFill>
                  <w14:solidFill>
                    <w14:schemeClr w14:val="tx1"/>
                  </w14:solidFill>
                </w14:textFill>
              </w:rPr>
              <w:t>始兴分中心</w:t>
            </w:r>
          </w:p>
          <w:p w14:paraId="16F39703">
            <w:pPr>
              <w:pStyle w:val="74"/>
              <w:keepNext w:val="0"/>
              <w:keepLines w:val="0"/>
              <w:suppressLineNumbers w:val="0"/>
              <w:wordWrap w:val="0"/>
              <w:adjustRightInd w:val="0"/>
              <w:snapToGrid w:val="0"/>
              <w:spacing w:before="0" w:beforeAutospacing="0" w:after="0" w:afterAutospacing="0" w:line="360" w:lineRule="auto"/>
              <w:ind w:left="0" w:right="0"/>
              <w:jc w:val="left"/>
              <w:rPr>
                <w:rFonts w:hint="default"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地址：</w:t>
            </w:r>
            <w:r>
              <w:rPr>
                <w:rFonts w:hint="eastAsia" w:ascii="宋体" w:hAnsi="宋体" w:cs="宋体"/>
                <w:color w:val="000000" w:themeColor="text1"/>
                <w:sz w:val="24"/>
                <w:szCs w:val="24"/>
                <w:highlight w:val="none"/>
                <w:lang w:eastAsia="zh-CN"/>
                <w14:textFill>
                  <w14:solidFill>
                    <w14:schemeClr w14:val="tx1"/>
                  </w14:solidFill>
                </w14:textFill>
              </w:rPr>
              <w:t>始兴县太平镇永安大道中79号行政服务大楼四楼开标室，具体房间号以当日现场通知为准</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p>
        </w:tc>
      </w:tr>
      <w:tr w14:paraId="62C1A3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31" w:hRule="exact"/>
          <w:jc w:val="center"/>
        </w:trPr>
        <w:tc>
          <w:tcPr>
            <w:tcW w:w="504" w:type="dxa"/>
            <w:tcBorders>
              <w:top w:val="single" w:color="080000" w:sz="4" w:space="0"/>
              <w:left w:val="single" w:color="080000" w:sz="4" w:space="0"/>
              <w:bottom w:val="single" w:color="080000" w:sz="4" w:space="0"/>
              <w:right w:val="single" w:color="080000" w:sz="4" w:space="0"/>
            </w:tcBorders>
            <w:noWrap/>
            <w:vAlign w:val="center"/>
          </w:tcPr>
          <w:p w14:paraId="33F30117">
            <w:pPr>
              <w:pStyle w:val="74"/>
              <w:keepNext w:val="0"/>
              <w:keepLines w:val="0"/>
              <w:widowControl/>
              <w:suppressLineNumbers w:val="0"/>
              <w:snapToGrid w:val="0"/>
              <w:spacing w:before="0" w:beforeAutospacing="0" w:after="0" w:afterAutospacing="0" w:line="360" w:lineRule="auto"/>
              <w:ind w:left="0" w:right="0"/>
              <w:jc w:val="center"/>
              <w:rPr>
                <w:rFonts w:hint="default"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highlight w:val="none"/>
                <w14:textFill>
                  <w14:solidFill>
                    <w14:schemeClr w14:val="tx1"/>
                  </w14:solidFill>
                </w14:textFill>
              </w:rPr>
              <w:t>11</w:t>
            </w:r>
          </w:p>
        </w:tc>
        <w:tc>
          <w:tcPr>
            <w:tcW w:w="1610" w:type="dxa"/>
            <w:tcBorders>
              <w:top w:val="single" w:color="080000" w:sz="4" w:space="0"/>
              <w:left w:val="single" w:color="080000" w:sz="4" w:space="0"/>
              <w:bottom w:val="single" w:color="080000" w:sz="4" w:space="0"/>
              <w:right w:val="single" w:color="080000" w:sz="4" w:space="0"/>
            </w:tcBorders>
            <w:noWrap/>
            <w:vAlign w:val="center"/>
          </w:tcPr>
          <w:p w14:paraId="2857A96E">
            <w:pPr>
              <w:keepNext w:val="0"/>
              <w:keepLines w:val="0"/>
              <w:suppressLineNumbers w:val="0"/>
              <w:adjustRightInd w:val="0"/>
              <w:snapToGrid w:val="0"/>
              <w:spacing w:before="0" w:beforeAutospacing="0" w:after="0" w:afterAutospacing="0" w:line="360" w:lineRule="auto"/>
              <w:ind w:left="0" w:right="0"/>
              <w:jc w:val="center"/>
              <w:rPr>
                <w:rFonts w:hint="default"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default" w:asciiTheme="minorEastAsia" w:hAnsiTheme="minorEastAsia" w:eastAsiaTheme="minorEastAsia" w:cstheme="minorEastAsia"/>
                <w:color w:val="000000" w:themeColor="text1"/>
                <w:sz w:val="24"/>
                <w:szCs w:val="24"/>
                <w:highlight w:val="none"/>
                <w14:textFill>
                  <w14:solidFill>
                    <w14:schemeClr w14:val="tx1"/>
                  </w14:solidFill>
                </w14:textFill>
              </w:rPr>
              <w:t>备注</w:t>
            </w:r>
          </w:p>
        </w:tc>
        <w:tc>
          <w:tcPr>
            <w:tcW w:w="7585" w:type="dxa"/>
            <w:tcBorders>
              <w:top w:val="single" w:color="080000" w:sz="4" w:space="0"/>
              <w:left w:val="single" w:color="080000" w:sz="4" w:space="0"/>
              <w:bottom w:val="single" w:color="080000" w:sz="4" w:space="0"/>
              <w:right w:val="single" w:color="080000" w:sz="4" w:space="0"/>
            </w:tcBorders>
            <w:noWrap/>
            <w:vAlign w:val="center"/>
          </w:tcPr>
          <w:p w14:paraId="209A0AC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default" w:asciiTheme="minorEastAsia" w:hAnsiTheme="minorEastAsia" w:eastAsiaTheme="minorEastAsia" w:cstheme="minorEastAsia"/>
                <w:color w:val="000000" w:themeColor="text1"/>
                <w:sz w:val="24"/>
                <w:szCs w:val="24"/>
                <w:highlight w:val="none"/>
                <w14:textFill>
                  <w14:solidFill>
                    <w14:schemeClr w14:val="tx1"/>
                  </w14:solidFill>
                </w14:textFill>
              </w:rPr>
              <w:t>投标人应按有关要求办理数字证书（CA）和企业入库、获取招标文件、资料文件及招标答疑书等。若由于投标人自身原因未能及时取得上述资料的，由此发生的任何责任由投标人自行承担。</w:t>
            </w:r>
          </w:p>
        </w:tc>
      </w:tr>
    </w:tbl>
    <w:p w14:paraId="6BABC540">
      <w:pPr>
        <w:adjustRightInd w:val="0"/>
        <w:snapToGrid w:val="0"/>
        <w:spacing w:before="120" w:after="90"/>
        <w:jc w:val="center"/>
        <w:rPr>
          <w:rFonts w:ascii="宋体" w:hAnsi="宋体"/>
          <w:b/>
          <w:bCs/>
          <w:color w:val="000000" w:themeColor="text1"/>
          <w:sz w:val="44"/>
          <w:szCs w:val="44"/>
          <w:highlight w:val="none"/>
          <w14:textFill>
            <w14:solidFill>
              <w14:schemeClr w14:val="tx1"/>
            </w14:solidFill>
          </w14:textFill>
        </w:rPr>
      </w:pPr>
    </w:p>
    <w:p w14:paraId="5CF226C5">
      <w:pPr>
        <w:pStyle w:val="56"/>
        <w:rPr>
          <w:color w:val="000000" w:themeColor="text1"/>
          <w:highlight w:val="none"/>
          <w14:textFill>
            <w14:solidFill>
              <w14:schemeClr w14:val="tx1"/>
            </w14:solidFill>
          </w14:textFill>
        </w:rPr>
      </w:pPr>
    </w:p>
    <w:p w14:paraId="232A1DF2">
      <w:pPr>
        <w:pStyle w:val="56"/>
        <w:rPr>
          <w:color w:val="000000" w:themeColor="text1"/>
          <w:highlight w:val="none"/>
          <w14:textFill>
            <w14:solidFill>
              <w14:schemeClr w14:val="tx1"/>
            </w14:solidFill>
          </w14:textFill>
        </w:rPr>
      </w:pPr>
    </w:p>
    <w:p w14:paraId="5D464E64">
      <w:pPr>
        <w:pStyle w:val="56"/>
        <w:rPr>
          <w:color w:val="000000" w:themeColor="text1"/>
          <w:highlight w:val="none"/>
          <w14:textFill>
            <w14:solidFill>
              <w14:schemeClr w14:val="tx1"/>
            </w14:solidFill>
          </w14:textFill>
        </w:rPr>
      </w:pPr>
    </w:p>
    <w:p w14:paraId="179B4531">
      <w:pPr>
        <w:pStyle w:val="56"/>
        <w:rPr>
          <w:color w:val="000000" w:themeColor="text1"/>
          <w:highlight w:val="none"/>
          <w14:textFill>
            <w14:solidFill>
              <w14:schemeClr w14:val="tx1"/>
            </w14:solidFill>
          </w14:textFill>
        </w:rPr>
      </w:pPr>
    </w:p>
    <w:p w14:paraId="74E18966">
      <w:pPr>
        <w:pStyle w:val="56"/>
        <w:rPr>
          <w:color w:val="000000" w:themeColor="text1"/>
          <w:highlight w:val="none"/>
          <w14:textFill>
            <w14:solidFill>
              <w14:schemeClr w14:val="tx1"/>
            </w14:solidFill>
          </w14:textFill>
        </w:rPr>
      </w:pPr>
    </w:p>
    <w:p w14:paraId="045F43BD">
      <w:pPr>
        <w:pStyle w:val="56"/>
        <w:rPr>
          <w:color w:val="000000" w:themeColor="text1"/>
          <w:highlight w:val="none"/>
          <w14:textFill>
            <w14:solidFill>
              <w14:schemeClr w14:val="tx1"/>
            </w14:solidFill>
          </w14:textFill>
        </w:rPr>
      </w:pPr>
    </w:p>
    <w:p w14:paraId="14B564B9">
      <w:pPr>
        <w:pStyle w:val="56"/>
        <w:rPr>
          <w:color w:val="000000" w:themeColor="text1"/>
          <w:highlight w:val="none"/>
          <w14:textFill>
            <w14:solidFill>
              <w14:schemeClr w14:val="tx1"/>
            </w14:solidFill>
          </w14:textFill>
        </w:rPr>
      </w:pPr>
    </w:p>
    <w:p w14:paraId="7DE47413">
      <w:pPr>
        <w:pStyle w:val="56"/>
        <w:rPr>
          <w:color w:val="000000" w:themeColor="text1"/>
          <w:highlight w:val="none"/>
          <w14:textFill>
            <w14:solidFill>
              <w14:schemeClr w14:val="tx1"/>
            </w14:solidFill>
          </w14:textFill>
        </w:rPr>
      </w:pPr>
    </w:p>
    <w:p w14:paraId="5DDC0AB1">
      <w:pPr>
        <w:pStyle w:val="56"/>
        <w:rPr>
          <w:color w:val="000000" w:themeColor="text1"/>
          <w:highlight w:val="none"/>
          <w14:textFill>
            <w14:solidFill>
              <w14:schemeClr w14:val="tx1"/>
            </w14:solidFill>
          </w14:textFill>
        </w:rPr>
      </w:pPr>
    </w:p>
    <w:p w14:paraId="27171BBB">
      <w:pPr>
        <w:pStyle w:val="56"/>
        <w:rPr>
          <w:color w:val="000000" w:themeColor="text1"/>
          <w:highlight w:val="none"/>
          <w14:textFill>
            <w14:solidFill>
              <w14:schemeClr w14:val="tx1"/>
            </w14:solidFill>
          </w14:textFill>
        </w:rPr>
      </w:pPr>
    </w:p>
    <w:p w14:paraId="369D9CE2">
      <w:pPr>
        <w:pStyle w:val="56"/>
        <w:rPr>
          <w:color w:val="000000" w:themeColor="text1"/>
          <w:highlight w:val="none"/>
          <w14:textFill>
            <w14:solidFill>
              <w14:schemeClr w14:val="tx1"/>
            </w14:solidFill>
          </w14:textFill>
        </w:rPr>
      </w:pPr>
    </w:p>
    <w:p w14:paraId="7F7D3CC4">
      <w:pPr>
        <w:adjustRightInd w:val="0"/>
        <w:snapToGrid w:val="0"/>
        <w:spacing w:before="120" w:after="90"/>
        <w:jc w:val="center"/>
        <w:rPr>
          <w:rFonts w:ascii="宋体" w:hAnsi="宋体"/>
          <w:b/>
          <w:bCs/>
          <w:color w:val="000000" w:themeColor="text1"/>
          <w:sz w:val="44"/>
          <w:szCs w:val="44"/>
          <w:highlight w:val="none"/>
          <w14:textFill>
            <w14:solidFill>
              <w14:schemeClr w14:val="tx1"/>
            </w14:solidFill>
          </w14:textFill>
        </w:rPr>
      </w:pPr>
      <w:r>
        <w:rPr>
          <w:rFonts w:ascii="宋体" w:hAnsi="宋体"/>
          <w:b/>
          <w:bCs/>
          <w:color w:val="000000" w:themeColor="text1"/>
          <w:sz w:val="44"/>
          <w:szCs w:val="44"/>
          <w:highlight w:val="none"/>
          <w14:textFill>
            <w14:solidFill>
              <w14:schemeClr w14:val="tx1"/>
            </w14:solidFill>
          </w14:textFill>
        </w:rPr>
        <w:t>第二章  投标人须知</w:t>
      </w:r>
    </w:p>
    <w:p w14:paraId="573FFCD6">
      <w:pPr>
        <w:pStyle w:val="3"/>
        <w:adjustRightInd w:val="0"/>
        <w:snapToGrid w:val="0"/>
        <w:spacing w:before="120" w:after="90" w:line="240" w:lineRule="auto"/>
        <w:jc w:val="center"/>
        <w:rPr>
          <w:rFonts w:ascii="宋体" w:hAnsi="宋体"/>
          <w:b w:val="0"/>
          <w:bCs w:val="0"/>
          <w:color w:val="000000" w:themeColor="text1"/>
          <w:sz w:val="36"/>
          <w:highlight w:val="none"/>
          <w14:textFill>
            <w14:solidFill>
              <w14:schemeClr w14:val="tx1"/>
            </w14:solidFill>
          </w14:textFill>
        </w:rPr>
        <w:sectPr>
          <w:pgSz w:w="11906" w:h="16838"/>
          <w:pgMar w:top="1134" w:right="1134" w:bottom="1134" w:left="1134" w:header="851" w:footer="992" w:gutter="0"/>
          <w:cols w:space="720" w:num="1"/>
          <w:docGrid w:type="lines" w:linePitch="312" w:charSpace="0"/>
        </w:sectPr>
      </w:pPr>
    </w:p>
    <w:bookmarkEnd w:id="3"/>
    <w:bookmarkEnd w:id="4"/>
    <w:p w14:paraId="3A0C86F3">
      <w:pPr>
        <w:pStyle w:val="3"/>
        <w:adjustRightInd w:val="0"/>
        <w:snapToGrid w:val="0"/>
        <w:spacing w:before="120" w:after="90" w:line="240" w:lineRule="auto"/>
        <w:jc w:val="center"/>
        <w:rPr>
          <w:rFonts w:ascii="宋体" w:hAnsi="宋体"/>
          <w:color w:val="000000" w:themeColor="text1"/>
          <w:sz w:val="36"/>
          <w:highlight w:val="none"/>
          <w14:textFill>
            <w14:solidFill>
              <w14:schemeClr w14:val="tx1"/>
            </w14:solidFill>
          </w14:textFill>
        </w:rPr>
      </w:pPr>
      <w:bookmarkStart w:id="37" w:name="_Toc13680"/>
      <w:r>
        <w:rPr>
          <w:rFonts w:ascii="宋体" w:hAnsi="宋体"/>
          <w:color w:val="000000" w:themeColor="text1"/>
          <w:sz w:val="36"/>
          <w:highlight w:val="none"/>
          <w14:textFill>
            <w14:solidFill>
              <w14:schemeClr w14:val="tx1"/>
            </w14:solidFill>
          </w14:textFill>
        </w:rPr>
        <w:t>第二章  投标人须知</w:t>
      </w:r>
      <w:bookmarkEnd w:id="37"/>
    </w:p>
    <w:p w14:paraId="24D24670">
      <w:pPr>
        <w:pStyle w:val="4"/>
        <w:rPr>
          <w:b w:val="0"/>
          <w:bCs w:val="0"/>
          <w:color w:val="000000" w:themeColor="text1"/>
          <w:sz w:val="28"/>
          <w:szCs w:val="28"/>
          <w:highlight w:val="none"/>
          <w14:textFill>
            <w14:solidFill>
              <w14:schemeClr w14:val="tx1"/>
            </w14:solidFill>
          </w14:textFill>
        </w:rPr>
      </w:pPr>
      <w:bookmarkStart w:id="38" w:name="_Toc30680"/>
      <w:r>
        <w:rPr>
          <w:b w:val="0"/>
          <w:bCs w:val="0"/>
          <w:color w:val="000000" w:themeColor="text1"/>
          <w:sz w:val="28"/>
          <w:szCs w:val="28"/>
          <w:highlight w:val="none"/>
          <w14:textFill>
            <w14:solidFill>
              <w14:schemeClr w14:val="tx1"/>
            </w14:solidFill>
          </w14:textFill>
        </w:rPr>
        <w:t>投标人须知前附表</w:t>
      </w:r>
      <w:bookmarkEnd w:id="38"/>
    </w:p>
    <w:tbl>
      <w:tblPr>
        <w:tblStyle w:val="43"/>
        <w:tblW w:w="10100"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0" w:type="dxa"/>
          <w:bottom w:w="0" w:type="dxa"/>
          <w:right w:w="0" w:type="dxa"/>
        </w:tblCellMar>
      </w:tblPr>
      <w:tblGrid>
        <w:gridCol w:w="968"/>
        <w:gridCol w:w="2344"/>
        <w:gridCol w:w="6788"/>
      </w:tblGrid>
      <w:tr w14:paraId="498DA01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blHeader/>
        </w:trPr>
        <w:tc>
          <w:tcPr>
            <w:tcW w:w="968" w:type="dxa"/>
            <w:vAlign w:val="center"/>
          </w:tcPr>
          <w:p w14:paraId="52DB6B68">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2344" w:type="dxa"/>
            <w:vAlign w:val="center"/>
          </w:tcPr>
          <w:p w14:paraId="67375000">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 款 名 称</w:t>
            </w:r>
          </w:p>
        </w:tc>
        <w:tc>
          <w:tcPr>
            <w:tcW w:w="6788" w:type="dxa"/>
            <w:vAlign w:val="center"/>
          </w:tcPr>
          <w:p w14:paraId="7AA1F329">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编 列 内 容</w:t>
            </w:r>
          </w:p>
        </w:tc>
      </w:tr>
      <w:tr w14:paraId="7AD43B3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1CD4A8C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w:t>
            </w:r>
          </w:p>
        </w:tc>
        <w:tc>
          <w:tcPr>
            <w:tcW w:w="2344" w:type="dxa"/>
            <w:vAlign w:val="center"/>
          </w:tcPr>
          <w:p w14:paraId="3BBE1F1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w:t>
            </w:r>
          </w:p>
        </w:tc>
        <w:tc>
          <w:tcPr>
            <w:tcW w:w="6788" w:type="dxa"/>
            <w:vAlign w:val="center"/>
          </w:tcPr>
          <w:p w14:paraId="7ADCF970">
            <w:pPr>
              <w:keepNext w:val="0"/>
              <w:keepLines w:val="0"/>
              <w:suppressLineNumbers w:val="0"/>
              <w:spacing w:before="0" w:beforeAutospacing="0" w:after="0" w:afterAutospacing="0"/>
              <w:ind w:left="0" w:right="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w:t>
            </w:r>
            <w:r>
              <w:rPr>
                <w:rFonts w:hint="eastAsia" w:ascii="宋体" w:hAnsi="宋体" w:cs="宋体"/>
                <w:color w:val="000000" w:themeColor="text1"/>
                <w:szCs w:val="21"/>
                <w:highlight w:val="none"/>
                <w:lang w:eastAsia="zh-CN"/>
                <w14:textFill>
                  <w14:solidFill>
                    <w14:schemeClr w14:val="tx1"/>
                  </w14:solidFill>
                </w14:textFill>
              </w:rPr>
              <w:t>始兴县地方公路事务中心</w:t>
            </w:r>
          </w:p>
          <w:p w14:paraId="3BD674C2">
            <w:pPr>
              <w:keepNext w:val="0"/>
              <w:keepLines w:val="0"/>
              <w:suppressLineNumbers w:val="0"/>
              <w:spacing w:before="0" w:beforeAutospacing="0" w:after="0" w:afterAutospacing="0"/>
              <w:ind w:left="0" w:right="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始兴县太平镇北门路420号</w:t>
            </w:r>
          </w:p>
          <w:p w14:paraId="7C7D5914">
            <w:pPr>
              <w:keepNext w:val="0"/>
              <w:keepLines w:val="0"/>
              <w:suppressLineNumbers w:val="0"/>
              <w:spacing w:before="0" w:beforeAutospacing="0" w:after="0" w:afterAutospacing="0"/>
              <w:ind w:left="0" w:right="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w:t>
            </w:r>
            <w:r>
              <w:rPr>
                <w:rFonts w:hint="eastAsia" w:ascii="宋体" w:hAnsi="宋体" w:cs="宋体"/>
                <w:color w:val="000000" w:themeColor="text1"/>
                <w:szCs w:val="21"/>
                <w:highlight w:val="none"/>
                <w:lang w:eastAsia="zh-CN"/>
                <w14:textFill>
                  <w14:solidFill>
                    <w14:schemeClr w14:val="tx1"/>
                  </w14:solidFill>
                </w14:textFill>
              </w:rPr>
              <w:t>刘工</w:t>
            </w:r>
          </w:p>
          <w:p w14:paraId="740C13F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  话：</w:t>
            </w:r>
            <w:r>
              <w:rPr>
                <w:rFonts w:hint="eastAsia" w:ascii="宋体" w:hAnsi="宋体" w:cs="宋体"/>
                <w:color w:val="000000" w:themeColor="text1"/>
                <w:szCs w:val="21"/>
                <w:highlight w:val="none"/>
                <w:lang w:val="en-US" w:eastAsia="zh-CN"/>
                <w14:textFill>
                  <w14:solidFill>
                    <w14:schemeClr w14:val="tx1"/>
                  </w14:solidFill>
                </w14:textFill>
              </w:rPr>
              <w:t>0751-6927330</w:t>
            </w:r>
          </w:p>
        </w:tc>
      </w:tr>
      <w:tr w14:paraId="4A84F98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44CB868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w:t>
            </w:r>
          </w:p>
        </w:tc>
        <w:tc>
          <w:tcPr>
            <w:tcW w:w="2344" w:type="dxa"/>
            <w:vAlign w:val="center"/>
          </w:tcPr>
          <w:p w14:paraId="0AEA23D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招标代理机构</w:t>
            </w:r>
          </w:p>
        </w:tc>
        <w:tc>
          <w:tcPr>
            <w:tcW w:w="6788" w:type="dxa"/>
            <w:vAlign w:val="center"/>
          </w:tcPr>
          <w:p w14:paraId="4C0C7BA2">
            <w:pPr>
              <w:keepNext w:val="0"/>
              <w:keepLines w:val="0"/>
              <w:suppressLineNumbers w:val="0"/>
              <w:spacing w:before="0" w:beforeAutospacing="0" w:after="0" w:afterAutospacing="0"/>
              <w:ind w:left="0" w:right="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单位名称：</w:t>
            </w:r>
            <w:r>
              <w:rPr>
                <w:rFonts w:hint="eastAsia" w:ascii="宋体" w:hAnsi="宋体" w:cs="宋体"/>
                <w:color w:val="000000" w:themeColor="text1"/>
                <w:szCs w:val="21"/>
                <w:highlight w:val="none"/>
                <w:lang w:eastAsia="zh-CN"/>
                <w14:textFill>
                  <w14:solidFill>
                    <w14:schemeClr w14:val="tx1"/>
                  </w14:solidFill>
                </w14:textFill>
              </w:rPr>
              <w:t>广东隽晨项目管理有限公司</w:t>
            </w:r>
          </w:p>
          <w:p w14:paraId="4DC3EA5F">
            <w:pPr>
              <w:keepNext w:val="0"/>
              <w:keepLines w:val="0"/>
              <w:suppressLineNumbers w:val="0"/>
              <w:spacing w:before="0" w:beforeAutospacing="0" w:after="0" w:afterAutospacing="0"/>
              <w:ind w:left="0" w:right="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办公地址：</w:t>
            </w:r>
            <w:r>
              <w:rPr>
                <w:rFonts w:hint="eastAsia" w:ascii="宋体" w:hAnsi="宋体" w:cs="宋体"/>
                <w:color w:val="000000" w:themeColor="text1"/>
                <w:szCs w:val="21"/>
                <w:highlight w:val="none"/>
                <w:lang w:eastAsia="zh-CN"/>
                <w14:textFill>
                  <w14:solidFill>
                    <w14:schemeClr w14:val="tx1"/>
                  </w14:solidFill>
                </w14:textFill>
              </w:rPr>
              <w:t>韶关市曲江区马坝镇城南移民新村H幢首层门店</w:t>
            </w:r>
          </w:p>
          <w:p w14:paraId="00701D60">
            <w:pPr>
              <w:keepNext w:val="0"/>
              <w:keepLines w:val="0"/>
              <w:suppressLineNumbers w:val="0"/>
              <w:spacing w:before="0" w:beforeAutospacing="0" w:after="0" w:afterAutospacing="0"/>
              <w:ind w:left="0" w:right="0"/>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 系 人：</w:t>
            </w:r>
            <w:r>
              <w:rPr>
                <w:rFonts w:hint="eastAsia" w:ascii="宋体" w:hAnsi="宋体" w:cs="宋体"/>
                <w:color w:val="000000" w:themeColor="text1"/>
                <w:szCs w:val="21"/>
                <w:highlight w:val="none"/>
                <w:lang w:eastAsia="zh-CN"/>
                <w14:textFill>
                  <w14:solidFill>
                    <w14:schemeClr w14:val="tx1"/>
                  </w14:solidFill>
                </w14:textFill>
              </w:rPr>
              <w:t>陈工</w:t>
            </w:r>
          </w:p>
          <w:p w14:paraId="7B2EA87C">
            <w:pPr>
              <w:keepNext w:val="0"/>
              <w:keepLines w:val="0"/>
              <w:suppressLineNumbers w:val="0"/>
              <w:spacing w:before="0" w:beforeAutospacing="0" w:after="0" w:afterAutospacing="0"/>
              <w:ind w:left="0" w:right="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w:t>
            </w:r>
            <w:r>
              <w:rPr>
                <w:rStyle w:val="114"/>
                <w:rFonts w:hint="eastAsia" w:ascii="宋体" w:hAnsi="宋体" w:cs="宋体"/>
                <w:color w:val="000000" w:themeColor="text1"/>
                <w:kern w:val="0"/>
                <w:highlight w:val="none"/>
                <w:lang w:val="en-US" w:eastAsia="zh-CN"/>
                <w14:textFill>
                  <w14:solidFill>
                    <w14:schemeClr w14:val="tx1"/>
                  </w14:solidFill>
                </w14:textFill>
              </w:rPr>
              <w:t>13602832036</w:t>
            </w:r>
          </w:p>
        </w:tc>
      </w:tr>
      <w:tr w14:paraId="3B74725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3D3F33E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1.1.4</w:t>
            </w:r>
          </w:p>
        </w:tc>
        <w:tc>
          <w:tcPr>
            <w:tcW w:w="2344" w:type="dxa"/>
            <w:vAlign w:val="center"/>
          </w:tcPr>
          <w:p w14:paraId="462CADA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招标项目名称</w:t>
            </w:r>
          </w:p>
        </w:tc>
        <w:tc>
          <w:tcPr>
            <w:tcW w:w="6788" w:type="dxa"/>
            <w:vAlign w:val="center"/>
          </w:tcPr>
          <w:p w14:paraId="6B8AF8B1">
            <w:pPr>
              <w:keepNext w:val="0"/>
              <w:keepLines w:val="0"/>
              <w:suppressLineNumbers w:val="0"/>
              <w:spacing w:before="0" w:beforeAutospacing="0" w:after="0" w:afterAutospacing="0"/>
              <w:ind w:left="0" w:right="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始兴县X395线花山水库至大坪县道网升级联结工程施工</w:t>
            </w:r>
          </w:p>
        </w:tc>
      </w:tr>
      <w:tr w14:paraId="16E96AA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422CB74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1.1.5</w:t>
            </w:r>
          </w:p>
        </w:tc>
        <w:tc>
          <w:tcPr>
            <w:tcW w:w="2344" w:type="dxa"/>
            <w:vAlign w:val="center"/>
          </w:tcPr>
          <w:p w14:paraId="5E452B9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标段建设地点</w:t>
            </w:r>
          </w:p>
        </w:tc>
        <w:tc>
          <w:tcPr>
            <w:tcW w:w="6788" w:type="dxa"/>
            <w:vAlign w:val="center"/>
          </w:tcPr>
          <w:p w14:paraId="19500F7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韶关市</w:t>
            </w:r>
            <w:r>
              <w:rPr>
                <w:rFonts w:hint="eastAsia" w:ascii="宋体" w:hAnsi="宋体" w:cs="宋体"/>
                <w:color w:val="000000" w:themeColor="text1"/>
                <w:szCs w:val="21"/>
                <w:highlight w:val="none"/>
                <w:lang w:eastAsia="zh-CN"/>
                <w14:textFill>
                  <w14:solidFill>
                    <w14:schemeClr w14:val="tx1"/>
                  </w14:solidFill>
                </w14:textFill>
              </w:rPr>
              <w:t>始兴县</w:t>
            </w:r>
          </w:p>
        </w:tc>
      </w:tr>
      <w:tr w14:paraId="3768358E">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45F15FD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p>
        </w:tc>
        <w:tc>
          <w:tcPr>
            <w:tcW w:w="2344" w:type="dxa"/>
            <w:vAlign w:val="center"/>
          </w:tcPr>
          <w:p w14:paraId="123AFAF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资金来源及比例</w:t>
            </w:r>
          </w:p>
        </w:tc>
        <w:tc>
          <w:tcPr>
            <w:tcW w:w="6788" w:type="dxa"/>
            <w:vAlign w:val="center"/>
          </w:tcPr>
          <w:p w14:paraId="719FCE0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除上级补助资金外，不足部分由县财政统筹安排，</w:t>
            </w:r>
            <w:r>
              <w:rPr>
                <w:rFonts w:hint="eastAsia" w:ascii="宋体" w:hAnsi="宋体" w:cs="宋体"/>
                <w:color w:val="000000" w:themeColor="text1"/>
                <w:szCs w:val="21"/>
                <w:highlight w:val="none"/>
                <w:lang w:val="en-US" w:eastAsia="zh-CN"/>
                <w14:textFill>
                  <w14:solidFill>
                    <w14:schemeClr w14:val="tx1"/>
                  </w14:solidFill>
                </w14:textFill>
              </w:rPr>
              <w:t>100%</w:t>
            </w:r>
            <w:r>
              <w:rPr>
                <w:rFonts w:hint="eastAsia" w:ascii="宋体" w:hAnsi="宋体" w:cs="宋体"/>
                <w:color w:val="000000" w:themeColor="text1"/>
                <w:szCs w:val="21"/>
                <w:highlight w:val="none"/>
                <w14:textFill>
                  <w14:solidFill>
                    <w14:schemeClr w14:val="tx1"/>
                  </w14:solidFill>
                </w14:textFill>
              </w:rPr>
              <w:t>。</w:t>
            </w:r>
          </w:p>
        </w:tc>
      </w:tr>
      <w:tr w14:paraId="10114AC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722B2D8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w:t>
            </w:r>
          </w:p>
        </w:tc>
        <w:tc>
          <w:tcPr>
            <w:tcW w:w="2344" w:type="dxa"/>
            <w:vAlign w:val="center"/>
          </w:tcPr>
          <w:p w14:paraId="076AF68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资金落实情况</w:t>
            </w:r>
          </w:p>
        </w:tc>
        <w:tc>
          <w:tcPr>
            <w:tcW w:w="6788" w:type="dxa"/>
            <w:vAlign w:val="center"/>
          </w:tcPr>
          <w:p w14:paraId="59F81D0E">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已落实</w:t>
            </w:r>
          </w:p>
        </w:tc>
      </w:tr>
      <w:tr w14:paraId="4E38FDEE">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32DA9F4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w:t>
            </w:r>
          </w:p>
        </w:tc>
        <w:tc>
          <w:tcPr>
            <w:tcW w:w="2344" w:type="dxa"/>
            <w:vAlign w:val="center"/>
          </w:tcPr>
          <w:p w14:paraId="5856F47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招标范围</w:t>
            </w:r>
          </w:p>
        </w:tc>
        <w:tc>
          <w:tcPr>
            <w:tcW w:w="6788" w:type="dxa"/>
            <w:vAlign w:val="center"/>
          </w:tcPr>
          <w:p w14:paraId="24F0F819">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本项目施工图设计和工程量清单范围内的工程施工。</w:t>
            </w:r>
          </w:p>
        </w:tc>
      </w:tr>
      <w:tr w14:paraId="22814BF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3DE482B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1.3.2</w:t>
            </w:r>
          </w:p>
        </w:tc>
        <w:tc>
          <w:tcPr>
            <w:tcW w:w="2344" w:type="dxa"/>
            <w:vAlign w:val="center"/>
          </w:tcPr>
          <w:p w14:paraId="20BFF4C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计划工期</w:t>
            </w:r>
          </w:p>
        </w:tc>
        <w:tc>
          <w:tcPr>
            <w:tcW w:w="6788" w:type="dxa"/>
            <w:vAlign w:val="center"/>
          </w:tcPr>
          <w:p w14:paraId="6F2B7EA3">
            <w:pPr>
              <w:keepNext w:val="0"/>
              <w:keepLines w:val="0"/>
              <w:suppressLineNumbers w:val="0"/>
              <w:spacing w:before="0" w:beforeAutospacing="0" w:after="0" w:afterAutospacing="0" w:line="320" w:lineRule="exact"/>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计划工期：</w:t>
            </w:r>
            <w:r>
              <w:rPr>
                <w:rFonts w:hint="eastAsia" w:ascii="宋体" w:hAnsi="宋体" w:cs="宋体"/>
                <w:color w:val="000000" w:themeColor="text1"/>
                <w:szCs w:val="21"/>
                <w:highlight w:val="none"/>
                <w:u w:val="single"/>
                <w:lang w:val="en-US" w:eastAsia="zh-CN"/>
                <w14:textFill>
                  <w14:solidFill>
                    <w14:schemeClr w14:val="tx1"/>
                  </w14:solidFill>
                </w14:textFill>
              </w:rPr>
              <w:t>150</w:t>
            </w:r>
            <w:r>
              <w:rPr>
                <w:rFonts w:hint="eastAsia" w:ascii="宋体" w:hAnsi="宋体" w:cs="宋体"/>
                <w:color w:val="000000" w:themeColor="text1"/>
                <w:szCs w:val="21"/>
                <w:highlight w:val="none"/>
                <w:u w:val="single"/>
                <w14:textFill>
                  <w14:solidFill>
                    <w14:schemeClr w14:val="tx1"/>
                  </w14:solidFill>
                </w14:textFill>
              </w:rPr>
              <w:t>日历天</w:t>
            </w:r>
            <w:r>
              <w:rPr>
                <w:rFonts w:hint="eastAsia" w:ascii="宋体" w:hAnsi="宋体" w:cs="宋体"/>
                <w:color w:val="000000" w:themeColor="text1"/>
                <w:szCs w:val="21"/>
                <w:highlight w:val="none"/>
                <w14:textFill>
                  <w14:solidFill>
                    <w14:schemeClr w14:val="tx1"/>
                  </w14:solidFill>
                </w14:textFill>
              </w:rPr>
              <w:t>；(实际开工时间以监理签发开工令为准）</w:t>
            </w:r>
          </w:p>
          <w:p w14:paraId="01235BBD">
            <w:pPr>
              <w:keepNext w:val="0"/>
              <w:keepLines w:val="0"/>
              <w:suppressLineNumbers w:val="0"/>
              <w:spacing w:before="0" w:beforeAutospacing="0" w:after="0" w:afterAutospacing="0" w:line="320" w:lineRule="exact"/>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计划开工日期：</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年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月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日</w:t>
            </w:r>
            <w:r>
              <w:rPr>
                <w:rFonts w:hint="eastAsia" w:ascii="宋体" w:hAnsi="宋体" w:cs="宋体"/>
                <w:color w:val="000000" w:themeColor="text1"/>
                <w:szCs w:val="21"/>
                <w:highlight w:val="none"/>
                <w14:textFill>
                  <w14:solidFill>
                    <w14:schemeClr w14:val="tx1"/>
                  </w14:solidFill>
                </w14:textFill>
              </w:rPr>
              <w:t>；</w:t>
            </w:r>
          </w:p>
          <w:p w14:paraId="18146A71">
            <w:pPr>
              <w:keepNext w:val="0"/>
              <w:keepLines w:val="0"/>
              <w:suppressLineNumbers w:val="0"/>
              <w:spacing w:before="0" w:beforeAutospacing="0" w:after="0" w:afterAutospacing="0" w:line="280" w:lineRule="exact"/>
              <w:ind w:left="0" w:right="0" w:firstLine="105" w:firstLineChars="5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计划交工日期：</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年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月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日。</w:t>
            </w:r>
          </w:p>
        </w:tc>
      </w:tr>
      <w:tr w14:paraId="1D9DC9D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7FD394F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1.3.3</w:t>
            </w:r>
          </w:p>
        </w:tc>
        <w:tc>
          <w:tcPr>
            <w:tcW w:w="2344" w:type="dxa"/>
            <w:vAlign w:val="center"/>
          </w:tcPr>
          <w:p w14:paraId="2FBCCFD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质量要求</w:t>
            </w:r>
          </w:p>
        </w:tc>
        <w:tc>
          <w:tcPr>
            <w:tcW w:w="6788" w:type="dxa"/>
            <w:vAlign w:val="center"/>
          </w:tcPr>
          <w:p w14:paraId="6A45C1A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标段工程交工验收的质量评定：质量评分：≥</w:t>
            </w:r>
            <w:r>
              <w:rPr>
                <w:rFonts w:hint="eastAsia" w:ascii="宋体" w:hAnsi="宋体" w:cs="宋体"/>
                <w:color w:val="000000" w:themeColor="text1"/>
                <w:szCs w:val="21"/>
                <w:highlight w:val="none"/>
                <w:lang w:val="en-US" w:eastAsia="zh-CN"/>
                <w14:textFill>
                  <w14:solidFill>
                    <w14:schemeClr w14:val="tx1"/>
                  </w14:solidFill>
                </w14:textFill>
              </w:rPr>
              <w:t>75</w:t>
            </w:r>
            <w:r>
              <w:rPr>
                <w:rFonts w:hint="eastAsia" w:ascii="宋体" w:hAnsi="宋体" w:cs="宋体"/>
                <w:color w:val="000000" w:themeColor="text1"/>
                <w:szCs w:val="21"/>
                <w:highlight w:val="none"/>
                <w14:textFill>
                  <w14:solidFill>
                    <w14:schemeClr w14:val="tx1"/>
                  </w14:solidFill>
                </w14:textFill>
              </w:rPr>
              <w:t>；质量等级：合格。</w:t>
            </w:r>
          </w:p>
          <w:p w14:paraId="486D526B">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竣工验收的质量评定：质量评分：≥</w:t>
            </w:r>
            <w:r>
              <w:rPr>
                <w:rFonts w:hint="eastAsia" w:ascii="宋体" w:hAnsi="宋体" w:cs="宋体"/>
                <w:color w:val="000000" w:themeColor="text1"/>
                <w:szCs w:val="21"/>
                <w:highlight w:val="none"/>
                <w:lang w:val="en-US" w:eastAsia="zh-CN"/>
                <w14:textFill>
                  <w14:solidFill>
                    <w14:schemeClr w14:val="tx1"/>
                  </w14:solidFill>
                </w14:textFill>
              </w:rPr>
              <w:t>75</w:t>
            </w:r>
            <w:r>
              <w:rPr>
                <w:rFonts w:hint="eastAsia" w:ascii="宋体" w:hAnsi="宋体" w:cs="宋体"/>
                <w:color w:val="000000" w:themeColor="text1"/>
                <w:szCs w:val="21"/>
                <w:highlight w:val="none"/>
                <w14:textFill>
                  <w14:solidFill>
                    <w14:schemeClr w14:val="tx1"/>
                  </w14:solidFill>
                </w14:textFill>
              </w:rPr>
              <w:t>；质量等级：合格。</w:t>
            </w:r>
          </w:p>
        </w:tc>
      </w:tr>
      <w:tr w14:paraId="09DFCAE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vAlign w:val="center"/>
          </w:tcPr>
          <w:p w14:paraId="6D6F883D">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1.3.4</w:t>
            </w:r>
          </w:p>
        </w:tc>
        <w:tc>
          <w:tcPr>
            <w:tcW w:w="2344" w:type="dxa"/>
            <w:vAlign w:val="center"/>
          </w:tcPr>
          <w:p w14:paraId="056E628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安全目标</w:t>
            </w:r>
          </w:p>
        </w:tc>
        <w:tc>
          <w:tcPr>
            <w:tcW w:w="6788" w:type="dxa"/>
            <w:vAlign w:val="center"/>
          </w:tcPr>
          <w:p w14:paraId="2A00B9F2">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严格执行有关安全生产的法律法规和规章制度，确保项目建设期内</w:t>
            </w:r>
            <w:r>
              <w:rPr>
                <w:rFonts w:hint="eastAsia" w:ascii="宋体" w:hAnsi="宋体" w:cs="宋体"/>
                <w:color w:val="000000" w:themeColor="text1"/>
                <w:szCs w:val="21"/>
                <w:highlight w:val="none"/>
                <w:u w:val="single"/>
                <w14:textFill>
                  <w14:solidFill>
                    <w14:schemeClr w14:val="tx1"/>
                  </w14:solidFill>
                </w14:textFill>
              </w:rPr>
              <w:t>无安全生产责任事故发生。</w:t>
            </w:r>
          </w:p>
        </w:tc>
      </w:tr>
      <w:tr w14:paraId="4C295BC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bottom w:val="single" w:color="000000" w:sz="6" w:space="0"/>
            </w:tcBorders>
            <w:vAlign w:val="center"/>
          </w:tcPr>
          <w:p w14:paraId="2384959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1.4.1</w:t>
            </w:r>
          </w:p>
        </w:tc>
        <w:tc>
          <w:tcPr>
            <w:tcW w:w="2344" w:type="dxa"/>
            <w:tcBorders>
              <w:bottom w:val="single" w:color="000000" w:sz="6" w:space="0"/>
            </w:tcBorders>
            <w:vAlign w:val="center"/>
          </w:tcPr>
          <w:p w14:paraId="1EBB9D8F">
            <w:pPr>
              <w:pStyle w:val="15"/>
              <w:keepNext w:val="0"/>
              <w:keepLines w:val="0"/>
              <w:suppressLineNumbers w:val="0"/>
              <w:topLinePunct/>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投标人资质条件、能力和信誉</w:t>
            </w:r>
          </w:p>
        </w:tc>
        <w:tc>
          <w:tcPr>
            <w:tcW w:w="6788" w:type="dxa"/>
            <w:tcBorders>
              <w:bottom w:val="single" w:color="000000" w:sz="6" w:space="0"/>
            </w:tcBorders>
            <w:vAlign w:val="center"/>
          </w:tcPr>
          <w:p w14:paraId="2B75A7A8">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资质条件：见附录1</w:t>
            </w:r>
          </w:p>
          <w:p w14:paraId="39FB8DA5">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财务要求：见附录2</w:t>
            </w:r>
          </w:p>
          <w:p w14:paraId="7E198A3C">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业绩要求：见附录3</w:t>
            </w:r>
          </w:p>
          <w:p w14:paraId="696C73F2">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信誉要求：见附录4</w:t>
            </w:r>
          </w:p>
          <w:p w14:paraId="23F53EFF">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项目经理和项目总工资格要求：见附录5</w:t>
            </w:r>
          </w:p>
          <w:p w14:paraId="750DF50A">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其他要求：见附录6、7</w:t>
            </w:r>
          </w:p>
        </w:tc>
      </w:tr>
      <w:tr w14:paraId="7C87FA1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bottom w:val="single" w:color="000000" w:sz="6" w:space="0"/>
            </w:tcBorders>
            <w:vAlign w:val="center"/>
          </w:tcPr>
          <w:p w14:paraId="320A19F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1.4.2</w:t>
            </w:r>
          </w:p>
        </w:tc>
        <w:tc>
          <w:tcPr>
            <w:tcW w:w="2344" w:type="dxa"/>
            <w:tcBorders>
              <w:bottom w:val="single" w:color="000000" w:sz="6" w:space="0"/>
            </w:tcBorders>
            <w:vAlign w:val="center"/>
          </w:tcPr>
          <w:p w14:paraId="1F86C087">
            <w:pPr>
              <w:pStyle w:val="15"/>
              <w:keepNext w:val="0"/>
              <w:keepLines w:val="0"/>
              <w:suppressLineNumbers w:val="0"/>
              <w:topLinePunct/>
              <w:spacing w:before="0" w:beforeAutospacing="0" w:after="0" w:afterAutospacing="0"/>
              <w:ind w:left="0" w:right="0"/>
              <w:jc w:val="center"/>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是否接受联合体投标</w:t>
            </w:r>
          </w:p>
        </w:tc>
        <w:tc>
          <w:tcPr>
            <w:tcW w:w="6788" w:type="dxa"/>
            <w:tcBorders>
              <w:bottom w:val="single" w:color="000000" w:sz="6" w:space="0"/>
            </w:tcBorders>
            <w:vAlign w:val="center"/>
          </w:tcPr>
          <w:p w14:paraId="0F26E0C0">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☑不接受</w:t>
            </w:r>
          </w:p>
          <w:p w14:paraId="28DCFDB9">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□接受，还应满足下列要求：</w:t>
            </w:r>
          </w:p>
          <w:p w14:paraId="0EE0D9D0">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u w:val="singl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（1）联合体所有成员数量不得超过</w:t>
            </w:r>
            <w:r>
              <w:rPr>
                <w:rFonts w:hint="eastAsia" w:hAnsi="宋体" w:cs="宋体"/>
                <w:color w:val="000000" w:themeColor="text1"/>
                <w:sz w:val="21"/>
                <w:szCs w:val="21"/>
                <w:highlight w:val="none"/>
                <w:u w:val="single"/>
                <w14:textFill>
                  <w14:solidFill>
                    <w14:schemeClr w14:val="tx1"/>
                  </w14:solidFill>
                </w14:textFill>
              </w:rPr>
              <w:t xml:space="preserve"> / </w:t>
            </w:r>
            <w:r>
              <w:rPr>
                <w:rFonts w:hint="eastAsia" w:hAnsi="宋体" w:cs="宋体"/>
                <w:color w:val="000000" w:themeColor="text1"/>
                <w:sz w:val="21"/>
                <w:szCs w:val="21"/>
                <w:highlight w:val="none"/>
                <w14:textFill>
                  <w14:solidFill>
                    <w14:schemeClr w14:val="tx1"/>
                  </w14:solidFill>
                </w14:textFill>
              </w:rPr>
              <w:t>家；</w:t>
            </w:r>
          </w:p>
          <w:p w14:paraId="2B73C841">
            <w:pPr>
              <w:pStyle w:val="15"/>
              <w:keepNext w:val="0"/>
              <w:keepLines w:val="0"/>
              <w:suppressLineNumbers w:val="0"/>
              <w:topLinePunct/>
              <w:adjustRightInd w:val="0"/>
              <w:snapToGrid w:val="0"/>
              <w:spacing w:before="0" w:beforeAutospacing="0" w:after="0" w:afterAutospacing="0"/>
              <w:ind w:left="0" w:right="0"/>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（2）联合体牵头人应具有</w:t>
            </w:r>
            <w:r>
              <w:rPr>
                <w:rFonts w:hint="eastAsia" w:hAnsi="宋体" w:cs="宋体"/>
                <w:color w:val="000000" w:themeColor="text1"/>
                <w:sz w:val="21"/>
                <w:szCs w:val="21"/>
                <w:highlight w:val="none"/>
                <w:u w:val="single"/>
                <w14:textFill>
                  <w14:solidFill>
                    <w14:schemeClr w14:val="tx1"/>
                  </w14:solidFill>
                </w14:textFill>
              </w:rPr>
              <w:t xml:space="preserve"> / </w:t>
            </w:r>
            <w:r>
              <w:rPr>
                <w:rFonts w:hint="eastAsia" w:hAnsi="宋体" w:cs="宋体"/>
                <w:color w:val="000000" w:themeColor="text1"/>
                <w:sz w:val="21"/>
                <w:szCs w:val="21"/>
                <w:highlight w:val="none"/>
                <w14:textFill>
                  <w14:solidFill>
                    <w14:schemeClr w14:val="tx1"/>
                  </w14:solidFill>
                </w14:textFill>
              </w:rPr>
              <w:t>资质；</w:t>
            </w:r>
          </w:p>
        </w:tc>
      </w:tr>
      <w:tr w14:paraId="48C7528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bottom w:val="single" w:color="000000" w:sz="6" w:space="0"/>
            </w:tcBorders>
            <w:vAlign w:val="center"/>
          </w:tcPr>
          <w:p w14:paraId="57C0ECB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1.4.3</w:t>
            </w:r>
          </w:p>
        </w:tc>
        <w:tc>
          <w:tcPr>
            <w:tcW w:w="2344" w:type="dxa"/>
            <w:tcBorders>
              <w:bottom w:val="single" w:color="000000" w:sz="6" w:space="0"/>
            </w:tcBorders>
            <w:vAlign w:val="center"/>
          </w:tcPr>
          <w:p w14:paraId="4C465E8D">
            <w:pPr>
              <w:pStyle w:val="15"/>
              <w:keepNext w:val="0"/>
              <w:keepLines w:val="0"/>
              <w:suppressLineNumbers w:val="0"/>
              <w:topLinePunct/>
              <w:spacing w:before="0" w:beforeAutospacing="0" w:after="0" w:afterAutospacing="0"/>
              <w:ind w:left="0" w:right="0"/>
              <w:jc w:val="center"/>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投标人不得存在的其他关联情形</w:t>
            </w:r>
          </w:p>
        </w:tc>
        <w:tc>
          <w:tcPr>
            <w:tcW w:w="6788" w:type="dxa"/>
            <w:tcBorders>
              <w:bottom w:val="single" w:color="000000" w:sz="6" w:space="0"/>
            </w:tcBorders>
            <w:vAlign w:val="center"/>
          </w:tcPr>
          <w:p w14:paraId="18DA475D">
            <w:pPr>
              <w:pStyle w:val="15"/>
              <w:keepNext w:val="0"/>
              <w:keepLines w:val="0"/>
              <w:suppressLineNumbers w:val="0"/>
              <w:topLinePunct/>
              <w:adjustRightInd w:val="0"/>
              <w:snapToGrid w:val="0"/>
              <w:spacing w:before="0" w:beforeAutospacing="0" w:after="0" w:afterAutospacing="0"/>
              <w:ind w:left="0" w:right="0"/>
              <w:jc w:val="center"/>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w:t>
            </w:r>
          </w:p>
        </w:tc>
      </w:tr>
      <w:tr w14:paraId="4B3A6187">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6" w:space="0"/>
            </w:tcBorders>
            <w:vAlign w:val="center"/>
          </w:tcPr>
          <w:p w14:paraId="2474563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1.4.4</w:t>
            </w:r>
          </w:p>
        </w:tc>
        <w:tc>
          <w:tcPr>
            <w:tcW w:w="2344" w:type="dxa"/>
            <w:tcBorders>
              <w:top w:val="single" w:color="000000" w:sz="6" w:space="0"/>
            </w:tcBorders>
            <w:vAlign w:val="center"/>
          </w:tcPr>
          <w:p w14:paraId="5A1412B2">
            <w:pPr>
              <w:pStyle w:val="15"/>
              <w:keepNext w:val="0"/>
              <w:keepLines w:val="0"/>
              <w:suppressLineNumbers w:val="0"/>
              <w:topLinePunct/>
              <w:spacing w:before="0" w:beforeAutospacing="0" w:after="0" w:afterAutospacing="0"/>
              <w:ind w:left="0" w:right="0"/>
              <w:jc w:val="center"/>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投标人不得存在的其他不良状况或不良信用</w:t>
            </w:r>
          </w:p>
        </w:tc>
        <w:tc>
          <w:tcPr>
            <w:tcW w:w="6788" w:type="dxa"/>
            <w:tcBorders>
              <w:top w:val="single" w:color="000000" w:sz="6" w:space="0"/>
            </w:tcBorders>
            <w:vAlign w:val="center"/>
          </w:tcPr>
          <w:p w14:paraId="6682BBDD">
            <w:pPr>
              <w:pStyle w:val="15"/>
              <w:keepNext w:val="0"/>
              <w:keepLines w:val="0"/>
              <w:suppressLineNumbers w:val="0"/>
              <w:topLinePunct/>
              <w:adjustRightInd w:val="0"/>
              <w:snapToGrid w:val="0"/>
              <w:spacing w:before="0" w:beforeAutospacing="0" w:after="0" w:afterAutospacing="0"/>
              <w:ind w:left="0" w:right="0"/>
              <w:jc w:val="center"/>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w:t>
            </w:r>
          </w:p>
        </w:tc>
      </w:tr>
      <w:tr w14:paraId="242C5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restart"/>
            <w:vAlign w:val="center"/>
          </w:tcPr>
          <w:p w14:paraId="5D58531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1.10.2</w:t>
            </w:r>
          </w:p>
        </w:tc>
        <w:tc>
          <w:tcPr>
            <w:tcW w:w="2344" w:type="dxa"/>
            <w:vMerge w:val="restart"/>
            <w:vAlign w:val="center"/>
          </w:tcPr>
          <w:p w14:paraId="0FB72C4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投标人在投标预备会前提出问题</w:t>
            </w:r>
          </w:p>
        </w:tc>
        <w:tc>
          <w:tcPr>
            <w:tcW w:w="6788" w:type="dxa"/>
            <w:vAlign w:val="center"/>
          </w:tcPr>
          <w:p w14:paraId="22C4E90B">
            <w:pPr>
              <w:keepNext w:val="0"/>
              <w:keepLines w:val="0"/>
              <w:suppressLineNumbers w:val="0"/>
              <w:spacing w:before="0" w:beforeAutospacing="0" w:after="0" w:afterAutospacing="0"/>
              <w:ind w:left="105" w:leftChars="5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招标人不组织投标预备会。</w:t>
            </w:r>
          </w:p>
        </w:tc>
      </w:tr>
      <w:tr w14:paraId="35DE5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continue"/>
            <w:vAlign w:val="center"/>
          </w:tcPr>
          <w:p w14:paraId="312AB1A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2344" w:type="dxa"/>
            <w:vMerge w:val="continue"/>
            <w:vAlign w:val="center"/>
          </w:tcPr>
          <w:p w14:paraId="2E099A4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6788" w:type="dxa"/>
            <w:vAlign w:val="center"/>
          </w:tcPr>
          <w:p w14:paraId="4F7CA422">
            <w:pPr>
              <w:keepNext w:val="0"/>
              <w:keepLines w:val="0"/>
              <w:suppressLineNumbers w:val="0"/>
              <w:spacing w:before="0" w:beforeAutospacing="0" w:after="0" w:afterAutospacing="0"/>
              <w:ind w:left="105" w:leftChars="5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形式：</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77445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669C76F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1.11.1</w:t>
            </w:r>
          </w:p>
        </w:tc>
        <w:tc>
          <w:tcPr>
            <w:tcW w:w="2344" w:type="dxa"/>
            <w:vAlign w:val="center"/>
          </w:tcPr>
          <w:p w14:paraId="3399C6D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  包</w:t>
            </w:r>
          </w:p>
        </w:tc>
        <w:tc>
          <w:tcPr>
            <w:tcW w:w="6788" w:type="dxa"/>
            <w:vAlign w:val="center"/>
          </w:tcPr>
          <w:p w14:paraId="1B026AC6">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不允许</w:t>
            </w:r>
          </w:p>
          <w:p w14:paraId="081334E9">
            <w:pPr>
              <w:keepNext w:val="0"/>
              <w:keepLines w:val="0"/>
              <w:suppressLineNumbers w:val="0"/>
              <w:spacing w:before="0" w:beforeAutospacing="0" w:after="0" w:afterAutospacing="0"/>
              <w:ind w:left="0" w:right="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允许，允许分包的专项工程：</w:t>
            </w:r>
            <w:r>
              <w:rPr>
                <w:rFonts w:hint="eastAsia" w:ascii="宋体" w:hAnsi="宋体" w:cs="宋体"/>
                <w:color w:val="000000" w:themeColor="text1"/>
                <w:szCs w:val="21"/>
                <w:highlight w:val="none"/>
                <w:u w:val="single"/>
                <w:lang w:val="en-US" w:eastAsia="zh-CN"/>
                <w14:textFill>
                  <w14:solidFill>
                    <w14:schemeClr w14:val="tx1"/>
                  </w14:solidFill>
                </w14:textFill>
              </w:rPr>
              <w:t>/</w:t>
            </w:r>
          </w:p>
          <w:p w14:paraId="5BAB059D">
            <w:pPr>
              <w:keepNext w:val="0"/>
              <w:keepLines w:val="0"/>
              <w:suppressLineNumbers w:val="0"/>
              <w:spacing w:before="0" w:beforeAutospacing="0" w:after="0" w:afterAutospacing="0"/>
              <w:ind w:left="0" w:right="0"/>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对分包人的资格要求：</w:t>
            </w:r>
            <w:r>
              <w:rPr>
                <w:rFonts w:hint="eastAsia" w:ascii="宋体" w:hAnsi="宋体" w:cs="宋体"/>
                <w:color w:val="000000" w:themeColor="text1"/>
                <w:szCs w:val="21"/>
                <w:highlight w:val="none"/>
                <w:u w:val="single"/>
                <w:lang w:val="en-US" w:eastAsia="zh-CN"/>
                <w14:textFill>
                  <w14:solidFill>
                    <w14:schemeClr w14:val="tx1"/>
                  </w14:solidFill>
                </w14:textFill>
              </w:rPr>
              <w:t>/</w:t>
            </w:r>
          </w:p>
          <w:p w14:paraId="0FF26E73">
            <w:pPr>
              <w:keepNext w:val="0"/>
              <w:keepLines w:val="0"/>
              <w:suppressLineNumbers w:val="0"/>
              <w:spacing w:before="0" w:beforeAutospacing="0" w:after="0" w:afterAutospacing="0"/>
              <w:ind w:left="105" w:leftChars="5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注：投标人如不具备某专项工程(包括但不限于项目专用合同条款 4.3中所涉及的工程等)相应资质的且允许分包的，应按照第九章“投标文件格式”的要求填写“拟分包项目情况表”。如投标人不具备相 应资质而未按要求填写的，视为未对招标文件的实质性要求和条件做出响应，按否决其投标处理。</w:t>
            </w:r>
          </w:p>
        </w:tc>
      </w:tr>
      <w:tr w14:paraId="43FC1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3F5DEE5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2344" w:type="dxa"/>
            <w:vAlign w:val="center"/>
          </w:tcPr>
          <w:p w14:paraId="789E3CC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构成招标文件的其他资料</w:t>
            </w:r>
          </w:p>
        </w:tc>
        <w:tc>
          <w:tcPr>
            <w:tcW w:w="6788" w:type="dxa"/>
            <w:vAlign w:val="center"/>
          </w:tcPr>
          <w:p w14:paraId="1FEDA060">
            <w:pPr>
              <w:keepNext w:val="0"/>
              <w:keepLines w:val="0"/>
              <w:suppressLineNumbers w:val="0"/>
              <w:spacing w:before="0" w:beforeAutospacing="0" w:after="0" w:afterAutospacing="0"/>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招标文件所附的其他资料</w:t>
            </w:r>
          </w:p>
        </w:tc>
      </w:tr>
      <w:tr w14:paraId="4EEB6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restart"/>
            <w:vAlign w:val="center"/>
          </w:tcPr>
          <w:p w14:paraId="29483CA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w:t>
            </w:r>
          </w:p>
        </w:tc>
        <w:tc>
          <w:tcPr>
            <w:tcW w:w="2344" w:type="dxa"/>
            <w:vMerge w:val="restart"/>
            <w:vAlign w:val="center"/>
          </w:tcPr>
          <w:p w14:paraId="6B69D190">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投标人要求澄清</w:t>
            </w:r>
          </w:p>
          <w:p w14:paraId="50CE8D4E">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招标文件</w:t>
            </w:r>
          </w:p>
        </w:tc>
        <w:tc>
          <w:tcPr>
            <w:tcW w:w="6788" w:type="dxa"/>
            <w:vAlign w:val="center"/>
          </w:tcPr>
          <w:p w14:paraId="48974617">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w:t>
            </w:r>
            <w:r>
              <w:rPr>
                <w:rFonts w:hint="eastAsia" w:ascii="宋体" w:hAnsi="宋体" w:cs="宋体"/>
                <w:color w:val="000000" w:themeColor="text1"/>
                <w:kern w:val="0"/>
                <w:szCs w:val="21"/>
                <w:highlight w:val="none"/>
                <w:u w:val="single"/>
                <w14:textFill>
                  <w14:solidFill>
                    <w14:schemeClr w14:val="tx1"/>
                  </w14:solidFill>
                </w14:textFill>
              </w:rPr>
              <w:t>递交投标文件截止之日1</w:t>
            </w:r>
            <w:r>
              <w:rPr>
                <w:rFonts w:hint="eastAsia" w:ascii="宋体" w:hAnsi="宋体" w:cs="宋体"/>
                <w:color w:val="000000" w:themeColor="text1"/>
                <w:kern w:val="0"/>
                <w:szCs w:val="21"/>
                <w:highlight w:val="none"/>
                <w:u w:val="single"/>
                <w:lang w:val="en-US" w:eastAsia="zh-CN"/>
                <w14:textFill>
                  <w14:solidFill>
                    <w14:schemeClr w14:val="tx1"/>
                  </w14:solidFill>
                </w14:textFill>
              </w:rPr>
              <w:t>0</w:t>
            </w:r>
            <w:r>
              <w:rPr>
                <w:rFonts w:hint="eastAsia" w:ascii="宋体" w:hAnsi="宋体" w:cs="宋体"/>
                <w:color w:val="000000" w:themeColor="text1"/>
                <w:kern w:val="0"/>
                <w:szCs w:val="21"/>
                <w:highlight w:val="none"/>
                <w:u w:val="single"/>
                <w14:textFill>
                  <w14:solidFill>
                    <w14:schemeClr w14:val="tx1"/>
                  </w14:solidFill>
                </w14:textFill>
              </w:rPr>
              <w:t>天前</w:t>
            </w:r>
          </w:p>
        </w:tc>
      </w:tr>
      <w:tr w14:paraId="49D21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continue"/>
            <w:vAlign w:val="center"/>
          </w:tcPr>
          <w:p w14:paraId="5EFAE14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2344" w:type="dxa"/>
            <w:vMerge w:val="continue"/>
            <w:vAlign w:val="center"/>
          </w:tcPr>
          <w:p w14:paraId="5ABE883D">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6788" w:type="dxa"/>
            <w:vAlign w:val="center"/>
          </w:tcPr>
          <w:p w14:paraId="35E27F69">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形式：投标人在全国公共资源交易平台 （广东省·韶关市）（https://ygp.gdzwfw.gov.cn/ggzy-portal/#/440200/index）</w:t>
            </w:r>
            <w:r>
              <w:rPr>
                <w:rFonts w:hint="eastAsia" w:ascii="宋体" w:hAnsi="宋体" w:cs="宋体"/>
                <w:color w:val="000000" w:themeColor="text1"/>
                <w:szCs w:val="21"/>
                <w:highlight w:val="none"/>
                <w:u w:val="single"/>
                <w14:textFill>
                  <w14:solidFill>
                    <w14:schemeClr w14:val="tx1"/>
                  </w14:solidFill>
                </w14:textFill>
              </w:rPr>
              <w:t>招标答疑栏以不记名方式提出。</w:t>
            </w:r>
          </w:p>
        </w:tc>
      </w:tr>
      <w:tr w14:paraId="2DCAA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2DDD318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2.2.2</w:t>
            </w:r>
          </w:p>
        </w:tc>
        <w:tc>
          <w:tcPr>
            <w:tcW w:w="2344" w:type="dxa"/>
            <w:vAlign w:val="center"/>
          </w:tcPr>
          <w:p w14:paraId="1EE7EA51">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招标文件澄清发出的形式</w:t>
            </w:r>
          </w:p>
        </w:tc>
        <w:tc>
          <w:tcPr>
            <w:tcW w:w="6788" w:type="dxa"/>
            <w:vAlign w:val="center"/>
          </w:tcPr>
          <w:p w14:paraId="151B8139">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网站公告：全国公共资源交易平台 （广东省·韶关市）（https://ygp.gdzwfw.gov.cn/ggzy-portal/#/440200/index）</w:t>
            </w:r>
            <w:r>
              <w:rPr>
                <w:rFonts w:hint="eastAsia" w:ascii="宋体" w:hAnsi="宋体" w:cs="宋体"/>
                <w:color w:val="000000" w:themeColor="text1"/>
                <w:szCs w:val="21"/>
                <w:highlight w:val="none"/>
                <w14:textFill>
                  <w14:solidFill>
                    <w14:schemeClr w14:val="tx1"/>
                  </w14:solidFill>
                </w14:textFill>
              </w:rPr>
              <w:t>发布。</w:t>
            </w:r>
          </w:p>
        </w:tc>
      </w:tr>
      <w:tr w14:paraId="45DEB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restart"/>
            <w:vAlign w:val="center"/>
          </w:tcPr>
          <w:p w14:paraId="10DEDD9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w:t>
            </w:r>
          </w:p>
        </w:tc>
        <w:tc>
          <w:tcPr>
            <w:tcW w:w="2344" w:type="dxa"/>
            <w:vMerge w:val="restart"/>
            <w:vAlign w:val="center"/>
          </w:tcPr>
          <w:p w14:paraId="6A2E70C8">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投标人确认收到招标文件澄清</w:t>
            </w:r>
          </w:p>
        </w:tc>
        <w:tc>
          <w:tcPr>
            <w:tcW w:w="6788" w:type="dxa"/>
            <w:vAlign w:val="center"/>
          </w:tcPr>
          <w:p w14:paraId="40F2943B">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时间：以全国公共资源交易平台 （广东省·韶关市）（https://ygp.gdzwfw.gov.cn/ggzy-portal/#/440200/index）</w:t>
            </w:r>
            <w:r>
              <w:rPr>
                <w:rFonts w:hint="eastAsia" w:ascii="宋体" w:hAnsi="宋体" w:cs="宋体"/>
                <w:color w:val="000000" w:themeColor="text1"/>
                <w:szCs w:val="21"/>
                <w:highlight w:val="none"/>
                <w14:textFill>
                  <w14:solidFill>
                    <w14:schemeClr w14:val="tx1"/>
                  </w14:solidFill>
                </w14:textFill>
              </w:rPr>
              <w:t>发布时间为准。</w:t>
            </w:r>
          </w:p>
        </w:tc>
      </w:tr>
      <w:tr w14:paraId="25F12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continue"/>
            <w:vAlign w:val="center"/>
          </w:tcPr>
          <w:p w14:paraId="6DF35CA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2344" w:type="dxa"/>
            <w:vMerge w:val="continue"/>
            <w:vAlign w:val="center"/>
          </w:tcPr>
          <w:p w14:paraId="524C68F3">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6788" w:type="dxa"/>
            <w:vAlign w:val="center"/>
          </w:tcPr>
          <w:p w14:paraId="770D642F">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形式：</w:t>
            </w:r>
            <w:r>
              <w:rPr>
                <w:rFonts w:hint="eastAsia" w:ascii="宋体" w:hAnsi="宋体" w:cs="宋体"/>
                <w:color w:val="000000" w:themeColor="text1"/>
                <w:szCs w:val="21"/>
                <w:highlight w:val="none"/>
                <w14:textFill>
                  <w14:solidFill>
                    <w14:schemeClr w14:val="tx1"/>
                  </w14:solidFill>
                </w14:textFill>
              </w:rPr>
              <w:t>投标人应及时留意浏览网上发出的澄清公告，因投标人自身原因未及时获知澄清内容而导致的任何后果将由投标人自行承担。</w:t>
            </w:r>
          </w:p>
        </w:tc>
      </w:tr>
      <w:tr w14:paraId="20856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0724202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2.3.1</w:t>
            </w:r>
          </w:p>
        </w:tc>
        <w:tc>
          <w:tcPr>
            <w:tcW w:w="2344" w:type="dxa"/>
            <w:vAlign w:val="center"/>
          </w:tcPr>
          <w:p w14:paraId="1208AD6D">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招标文件修改发出的形式</w:t>
            </w:r>
          </w:p>
        </w:tc>
        <w:tc>
          <w:tcPr>
            <w:tcW w:w="6788" w:type="dxa"/>
            <w:vAlign w:val="center"/>
          </w:tcPr>
          <w:p w14:paraId="3CB1B98C">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在全国公共资源交易平台 （广东省·韶关市）（https://ygp.gdzwfw.gov.cn/ggzy-portal/#/440200/index）公布。</w:t>
            </w:r>
          </w:p>
        </w:tc>
      </w:tr>
      <w:tr w14:paraId="51C7A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restart"/>
            <w:vAlign w:val="center"/>
          </w:tcPr>
          <w:p w14:paraId="5FC5E3F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2.3.2</w:t>
            </w:r>
          </w:p>
        </w:tc>
        <w:tc>
          <w:tcPr>
            <w:tcW w:w="2344" w:type="dxa"/>
            <w:vMerge w:val="restart"/>
            <w:vAlign w:val="center"/>
          </w:tcPr>
          <w:p w14:paraId="48BB0D5D">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投标人确认收到招标文件修改</w:t>
            </w:r>
          </w:p>
        </w:tc>
        <w:tc>
          <w:tcPr>
            <w:tcW w:w="6788" w:type="dxa"/>
            <w:vAlign w:val="center"/>
          </w:tcPr>
          <w:p w14:paraId="5CC82214">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时间：以全国公共资源交易平台 （广东省·韶关市）（https://ygp.gdzwfw.gov.cn/ggzy-portal/#/440200/index）</w:t>
            </w:r>
            <w:r>
              <w:rPr>
                <w:rFonts w:hint="eastAsia" w:ascii="宋体" w:hAnsi="宋体" w:cs="宋体"/>
                <w:color w:val="000000" w:themeColor="text1"/>
                <w:szCs w:val="21"/>
                <w:highlight w:val="none"/>
                <w14:textFill>
                  <w14:solidFill>
                    <w14:schemeClr w14:val="tx1"/>
                  </w14:solidFill>
                </w14:textFill>
              </w:rPr>
              <w:t>发布时间为准</w:t>
            </w:r>
          </w:p>
        </w:tc>
      </w:tr>
      <w:tr w14:paraId="3FA62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Merge w:val="continue"/>
            <w:vAlign w:val="center"/>
          </w:tcPr>
          <w:p w14:paraId="6F6C34D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2344" w:type="dxa"/>
            <w:vMerge w:val="continue"/>
            <w:vAlign w:val="center"/>
          </w:tcPr>
          <w:p w14:paraId="0A7CE5D1">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6788" w:type="dxa"/>
            <w:vAlign w:val="center"/>
          </w:tcPr>
          <w:p w14:paraId="26B0567F">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形式：</w:t>
            </w:r>
            <w:r>
              <w:rPr>
                <w:rFonts w:hint="eastAsia" w:ascii="宋体" w:hAnsi="宋体" w:cs="宋体"/>
                <w:color w:val="000000" w:themeColor="text1"/>
                <w:szCs w:val="21"/>
                <w:highlight w:val="none"/>
                <w14:textFill>
                  <w14:solidFill>
                    <w14:schemeClr w14:val="tx1"/>
                  </w14:solidFill>
                </w14:textFill>
              </w:rPr>
              <w:t>投标人应及时留意浏览网上发出的修改公告，因投标人自身原因未及时获知修改内容而导致的任何后果将由投标人自行承担。</w:t>
            </w:r>
          </w:p>
        </w:tc>
      </w:tr>
      <w:tr w14:paraId="399F8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1042DBF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3.1.1</w:t>
            </w:r>
          </w:p>
        </w:tc>
        <w:tc>
          <w:tcPr>
            <w:tcW w:w="2344" w:type="dxa"/>
            <w:vAlign w:val="center"/>
          </w:tcPr>
          <w:p w14:paraId="7E89312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投标文件密封形式</w:t>
            </w:r>
          </w:p>
        </w:tc>
        <w:tc>
          <w:tcPr>
            <w:tcW w:w="6788" w:type="dxa"/>
            <w:vAlign w:val="center"/>
          </w:tcPr>
          <w:p w14:paraId="741636F7">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☑双信封</w:t>
            </w:r>
          </w:p>
          <w:p w14:paraId="5CA0FB73">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□单信封</w:t>
            </w:r>
          </w:p>
        </w:tc>
      </w:tr>
      <w:tr w14:paraId="7A7D6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5E8943CC">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3.1.1</w:t>
            </w:r>
          </w:p>
        </w:tc>
        <w:tc>
          <w:tcPr>
            <w:tcW w:w="2344" w:type="dxa"/>
            <w:vAlign w:val="center"/>
          </w:tcPr>
          <w:p w14:paraId="74AC67D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构成投标文件的其他资料</w:t>
            </w:r>
          </w:p>
        </w:tc>
        <w:tc>
          <w:tcPr>
            <w:tcW w:w="6788" w:type="dxa"/>
            <w:vAlign w:val="center"/>
          </w:tcPr>
          <w:p w14:paraId="5C2681DC">
            <w:pPr>
              <w:keepNext w:val="0"/>
              <w:keepLines w:val="0"/>
              <w:suppressLineNumbers w:val="0"/>
              <w:spacing w:before="0" w:beforeAutospacing="0" w:after="0" w:afterAutospacing="0"/>
              <w:ind w:left="105" w:leftChars="50" w:right="113"/>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14:paraId="4AA53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5367F6A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3.2.1</w:t>
            </w:r>
          </w:p>
        </w:tc>
        <w:tc>
          <w:tcPr>
            <w:tcW w:w="2344" w:type="dxa"/>
            <w:vAlign w:val="center"/>
          </w:tcPr>
          <w:p w14:paraId="7B0AFA7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增值税税金计算方法</w:t>
            </w:r>
          </w:p>
        </w:tc>
        <w:tc>
          <w:tcPr>
            <w:tcW w:w="6788" w:type="dxa"/>
            <w:vAlign w:val="center"/>
          </w:tcPr>
          <w:p w14:paraId="7461BDD0">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按国家、省、市现行规定执行</w:t>
            </w:r>
          </w:p>
        </w:tc>
      </w:tr>
      <w:tr w14:paraId="2511E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30AF580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3.2.1</w:t>
            </w:r>
          </w:p>
        </w:tc>
        <w:tc>
          <w:tcPr>
            <w:tcW w:w="2344" w:type="dxa"/>
            <w:vAlign w:val="center"/>
          </w:tcPr>
          <w:p w14:paraId="5C3D590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工程量清单的填写方式</w:t>
            </w:r>
          </w:p>
        </w:tc>
        <w:tc>
          <w:tcPr>
            <w:tcW w:w="6788" w:type="dxa"/>
            <w:vAlign w:val="center"/>
          </w:tcPr>
          <w:p w14:paraId="04D380A5">
            <w:pPr>
              <w:pStyle w:val="81"/>
              <w:keepNext w:val="0"/>
              <w:keepLines w:val="0"/>
              <w:suppressLineNumbers w:val="0"/>
              <w:spacing w:before="0" w:beforeAutospacing="0" w:after="0" w:afterAutospacing="0" w:line="359" w:lineRule="exact"/>
              <w:ind w:left="107"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eq \o\ac(□)</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投标人按照招标人</w:t>
            </w:r>
            <w:r>
              <w:rPr>
                <w:rFonts w:hint="eastAsia" w:ascii="宋体" w:hAnsi="宋体" w:cs="宋体"/>
                <w:color w:val="000000" w:themeColor="text1"/>
                <w:spacing w:val="2"/>
                <w:szCs w:val="21"/>
                <w:highlight w:val="none"/>
                <w14:textFill>
                  <w14:solidFill>
                    <w14:schemeClr w14:val="tx1"/>
                  </w14:solidFill>
                </w14:textFill>
              </w:rPr>
              <w:t>提</w:t>
            </w:r>
            <w:r>
              <w:rPr>
                <w:rFonts w:hint="eastAsia" w:ascii="宋体" w:hAnsi="宋体" w:cs="宋体"/>
                <w:color w:val="000000" w:themeColor="text1"/>
                <w:szCs w:val="21"/>
                <w:highlight w:val="none"/>
                <w14:textFill>
                  <w14:solidFill>
                    <w14:schemeClr w14:val="tx1"/>
                  </w14:solidFill>
                </w14:textFill>
              </w:rPr>
              <w:t>供的工程</w:t>
            </w:r>
            <w:r>
              <w:rPr>
                <w:rFonts w:hint="eastAsia" w:ascii="宋体" w:hAnsi="宋体" w:cs="宋体"/>
                <w:color w:val="000000" w:themeColor="text1"/>
                <w:spacing w:val="2"/>
                <w:szCs w:val="21"/>
                <w:highlight w:val="none"/>
                <w14:textFill>
                  <w14:solidFill>
                    <w14:schemeClr w14:val="tx1"/>
                  </w14:solidFill>
                </w14:textFill>
              </w:rPr>
              <w:t>量</w:t>
            </w:r>
            <w:r>
              <w:rPr>
                <w:rFonts w:hint="eastAsia" w:ascii="宋体" w:hAnsi="宋体" w:cs="宋体"/>
                <w:color w:val="000000" w:themeColor="text1"/>
                <w:szCs w:val="21"/>
                <w:highlight w:val="none"/>
                <w14:textFill>
                  <w14:solidFill>
                    <w14:schemeClr w14:val="tx1"/>
                  </w14:solidFill>
                </w14:textFill>
              </w:rPr>
              <w:t>固化清单</w:t>
            </w:r>
            <w:r>
              <w:rPr>
                <w:rFonts w:hint="eastAsia" w:ascii="宋体" w:hAnsi="宋体" w:cs="宋体"/>
                <w:color w:val="000000" w:themeColor="text1"/>
                <w:spacing w:val="2"/>
                <w:szCs w:val="21"/>
                <w:highlight w:val="none"/>
                <w14:textFill>
                  <w14:solidFill>
                    <w14:schemeClr w14:val="tx1"/>
                  </w14:solidFill>
                </w14:textFill>
              </w:rPr>
              <w:t>电</w:t>
            </w:r>
            <w:r>
              <w:rPr>
                <w:rFonts w:hint="eastAsia" w:ascii="宋体" w:hAnsi="宋体" w:cs="宋体"/>
                <w:color w:val="000000" w:themeColor="text1"/>
                <w:szCs w:val="21"/>
                <w:highlight w:val="none"/>
                <w14:textFill>
                  <w14:solidFill>
                    <w14:schemeClr w14:val="tx1"/>
                  </w14:solidFill>
                </w14:textFill>
              </w:rPr>
              <w:t>子文件填写工程量清单，下</w:t>
            </w:r>
            <w:r>
              <w:rPr>
                <w:rFonts w:hint="eastAsia" w:ascii="宋体" w:hAnsi="宋体" w:cs="宋体"/>
                <w:color w:val="000000" w:themeColor="text1"/>
                <w:spacing w:val="-3"/>
                <w:szCs w:val="21"/>
                <w:highlight w:val="none"/>
                <w14:textFill>
                  <w14:solidFill>
                    <w14:schemeClr w14:val="tx1"/>
                  </w14:solidFill>
                </w14:textFill>
              </w:rPr>
              <w:t>载</w:t>
            </w:r>
            <w:r>
              <w:rPr>
                <w:rFonts w:hint="eastAsia" w:ascii="宋体" w:hAnsi="宋体" w:cs="宋体"/>
                <w:color w:val="000000" w:themeColor="text1"/>
                <w:szCs w:val="21"/>
                <w:highlight w:val="none"/>
                <w14:textFill>
                  <w14:solidFill>
                    <w14:schemeClr w14:val="tx1"/>
                  </w14:solidFill>
                </w14:textFill>
              </w:rPr>
              <w:t>网站</w:t>
            </w:r>
            <w:r>
              <w:rPr>
                <w:rFonts w:hint="eastAsia" w:ascii="宋体" w:hAnsi="宋体" w:cs="宋体"/>
                <w:color w:val="000000" w:themeColor="text1"/>
                <w:spacing w:val="-3"/>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全国公共资源交易平台 （广东省·韶关市）。</w:t>
            </w:r>
          </w:p>
          <w:p w14:paraId="70B1D736">
            <w:pPr>
              <w:keepNext w:val="0"/>
              <w:keepLines w:val="0"/>
              <w:suppressLineNumbers w:val="0"/>
              <w:adjustRightInd w:val="0"/>
              <w:snapToGrid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☑投标人按照招标人提供的书面工程量清单填写工程量清单，下</w:t>
            </w:r>
            <w:r>
              <w:rPr>
                <w:rFonts w:hint="eastAsia" w:ascii="宋体" w:hAnsi="宋体" w:cs="宋体"/>
                <w:color w:val="000000" w:themeColor="text1"/>
                <w:spacing w:val="-3"/>
                <w:szCs w:val="21"/>
                <w:highlight w:val="none"/>
                <w14:textFill>
                  <w14:solidFill>
                    <w14:schemeClr w14:val="tx1"/>
                  </w14:solidFill>
                </w14:textFill>
              </w:rPr>
              <w:t>载</w:t>
            </w:r>
            <w:r>
              <w:rPr>
                <w:rFonts w:hint="eastAsia" w:ascii="宋体" w:hAnsi="宋体" w:cs="宋体"/>
                <w:color w:val="000000" w:themeColor="text1"/>
                <w:szCs w:val="21"/>
                <w:highlight w:val="none"/>
                <w14:textFill>
                  <w14:solidFill>
                    <w14:schemeClr w14:val="tx1"/>
                  </w14:solidFill>
                </w14:textFill>
              </w:rPr>
              <w:t>网站</w:t>
            </w:r>
            <w:r>
              <w:rPr>
                <w:rFonts w:hint="eastAsia" w:ascii="宋体" w:hAnsi="宋体" w:cs="宋体"/>
                <w:color w:val="000000" w:themeColor="text1"/>
                <w:spacing w:val="-3"/>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全国公共资源交易平台 （广东省·韶关市）。</w:t>
            </w:r>
          </w:p>
        </w:tc>
      </w:tr>
      <w:tr w14:paraId="16773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035C8E2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3.2.3</w:t>
            </w:r>
          </w:p>
        </w:tc>
        <w:tc>
          <w:tcPr>
            <w:tcW w:w="2344" w:type="dxa"/>
            <w:vAlign w:val="center"/>
          </w:tcPr>
          <w:p w14:paraId="38FEEB3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报价方式</w:t>
            </w:r>
          </w:p>
        </w:tc>
        <w:tc>
          <w:tcPr>
            <w:tcW w:w="6788" w:type="dxa"/>
            <w:vAlign w:val="center"/>
          </w:tcPr>
          <w:p w14:paraId="0F9AE964">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□单价</w:t>
            </w:r>
          </w:p>
          <w:p w14:paraId="4574B09F">
            <w:pPr>
              <w:keepNext w:val="0"/>
              <w:keepLines w:val="0"/>
              <w:suppressLineNumbers w:val="0"/>
              <w:spacing w:before="0" w:beforeAutospacing="0" w:after="0" w:afterAutospacing="0"/>
              <w:ind w:left="113"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☑总价</w:t>
            </w:r>
          </w:p>
        </w:tc>
      </w:tr>
      <w:tr w14:paraId="43C43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56DB0AC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3.2.6</w:t>
            </w:r>
          </w:p>
        </w:tc>
        <w:tc>
          <w:tcPr>
            <w:tcW w:w="2344" w:type="dxa"/>
            <w:vAlign w:val="center"/>
          </w:tcPr>
          <w:p w14:paraId="14A9D3F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是否接受调价函</w:t>
            </w:r>
          </w:p>
        </w:tc>
        <w:tc>
          <w:tcPr>
            <w:tcW w:w="6788" w:type="dxa"/>
            <w:vAlign w:val="center"/>
          </w:tcPr>
          <w:p w14:paraId="3C92C190">
            <w:pPr>
              <w:keepNext w:val="0"/>
              <w:keepLines w:val="0"/>
              <w:suppressLineNumbers w:val="0"/>
              <w:adjustRightInd w:val="0"/>
              <w:snapToGrid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w:t>
            </w:r>
          </w:p>
          <w:p w14:paraId="55281CBB">
            <w:pPr>
              <w:keepNext w:val="0"/>
              <w:keepLines w:val="0"/>
              <w:suppressLineNumbers w:val="0"/>
              <w:adjustRightInd w:val="0"/>
              <w:snapToGrid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☑否</w:t>
            </w:r>
          </w:p>
        </w:tc>
      </w:tr>
      <w:tr w14:paraId="0B20D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7B760C4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3.2.8</w:t>
            </w:r>
          </w:p>
        </w:tc>
        <w:tc>
          <w:tcPr>
            <w:tcW w:w="2344" w:type="dxa"/>
            <w:vAlign w:val="center"/>
          </w:tcPr>
          <w:p w14:paraId="741F1A7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最高投标限价</w:t>
            </w:r>
          </w:p>
        </w:tc>
        <w:tc>
          <w:tcPr>
            <w:tcW w:w="6788" w:type="dxa"/>
            <w:vAlign w:val="center"/>
          </w:tcPr>
          <w:p w14:paraId="5718CD2A">
            <w:pPr>
              <w:keepNext w:val="0"/>
              <w:keepLines w:val="0"/>
              <w:suppressLineNumbers w:val="0"/>
              <w:adjustRightInd w:val="0"/>
              <w:snapToGrid w:val="0"/>
              <w:spacing w:before="0" w:beforeAutospacing="0" w:after="0" w:afterAutospacing="0"/>
              <w:ind w:left="105" w:leftChars="50" w:right="113"/>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cs="宋体"/>
                <w:color w:val="000000" w:themeColor="text1"/>
                <w:sz w:val="18"/>
                <w:szCs w:val="18"/>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无</w:t>
            </w:r>
          </w:p>
          <w:p w14:paraId="100728FC">
            <w:pPr>
              <w:pStyle w:val="81"/>
              <w:keepNext w:val="0"/>
              <w:keepLines w:val="0"/>
              <w:suppressLineNumbers w:val="0"/>
              <w:spacing w:before="0" w:beforeAutospacing="0" w:after="0" w:afterAutospacing="0" w:line="359" w:lineRule="exact"/>
              <w:ind w:left="107" w:right="0"/>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18"/>
                <w:szCs w:val="18"/>
                <w:highlight w:val="none"/>
                <w:lang w:eastAsia="zh-CN"/>
                <w14:textFill>
                  <w14:solidFill>
                    <w14:schemeClr w14:val="tx1"/>
                  </w14:solidFill>
                </w14:textFill>
              </w:rPr>
              <w:t>☑</w:t>
            </w:r>
            <w:r>
              <w:rPr>
                <w:rFonts w:hint="eastAsia" w:ascii="宋体" w:hAnsi="宋体" w:cs="宋体"/>
                <w:color w:val="000000" w:themeColor="text1"/>
                <w:sz w:val="18"/>
                <w:szCs w:val="18"/>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有</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本项目最高投标限价为：伍佰</w:t>
            </w:r>
            <w:r>
              <w:rPr>
                <w:rFonts w:hint="eastAsia" w:ascii="宋体" w:hAnsi="宋体" w:cs="宋体"/>
                <w:color w:val="000000" w:themeColor="text1"/>
                <w:szCs w:val="21"/>
                <w:highlight w:val="none"/>
                <w:lang w:val="en-US" w:eastAsia="zh-CN"/>
                <w14:textFill>
                  <w14:solidFill>
                    <w14:schemeClr w14:val="tx1"/>
                  </w14:solidFill>
                </w14:textFill>
              </w:rPr>
              <w:t>柒拾陆万肆仟玖佰零玖元</w:t>
            </w:r>
            <w:r>
              <w:rPr>
                <w:rFonts w:hint="eastAsia" w:ascii="宋体" w:hAnsi="宋体" w:cs="宋体"/>
                <w:color w:val="000000" w:themeColor="text1"/>
                <w:szCs w:val="21"/>
                <w:highlight w:val="none"/>
                <w14:textFill>
                  <w14:solidFill>
                    <w14:schemeClr w14:val="tx1"/>
                  </w14:solidFill>
                </w14:textFill>
              </w:rPr>
              <w:t>整（</w:t>
            </w:r>
            <w:r>
              <w:rPr>
                <w:rFonts w:hint="eastAsia" w:ascii="宋体" w:hAnsi="宋体" w:cs="宋体"/>
                <w:color w:val="000000" w:themeColor="text1"/>
                <w:szCs w:val="21"/>
                <w:highlight w:val="none"/>
                <w:lang w:val="en-US" w:eastAsia="zh-CN"/>
                <w14:textFill>
                  <w14:solidFill>
                    <w14:schemeClr w14:val="tx1"/>
                  </w14:solidFill>
                </w14:textFill>
              </w:rPr>
              <w:t>5764909</w:t>
            </w:r>
            <w:r>
              <w:rPr>
                <w:rFonts w:hint="eastAsia" w:ascii="宋体" w:hAnsi="宋体" w:cs="宋体"/>
                <w:color w:val="000000" w:themeColor="text1"/>
                <w:szCs w:val="21"/>
                <w:highlight w:val="none"/>
                <w14:textFill>
                  <w14:solidFill>
                    <w14:schemeClr w14:val="tx1"/>
                  </w14:solidFill>
                </w14:textFill>
              </w:rPr>
              <w:t>.00元），</w:t>
            </w:r>
            <w:r>
              <w:rPr>
                <w:rFonts w:hint="eastAsia" w:ascii="宋体" w:hAnsi="宋体" w:cs="宋体"/>
                <w:color w:val="000000" w:themeColor="text1"/>
                <w:szCs w:val="21"/>
                <w:highlight w:val="none"/>
                <w:lang w:val="en-US" w:eastAsia="zh-CN"/>
                <w14:textFill>
                  <w14:solidFill>
                    <w14:schemeClr w14:val="tx1"/>
                  </w14:solidFill>
                </w14:textFill>
              </w:rPr>
              <w:t>暂列金额：167910.00元，</w:t>
            </w:r>
            <w:r>
              <w:rPr>
                <w:rFonts w:hint="eastAsia" w:ascii="宋体" w:hAnsi="宋体" w:cs="宋体"/>
                <w:color w:val="000000" w:themeColor="text1"/>
                <w:szCs w:val="21"/>
                <w:highlight w:val="none"/>
                <w14:textFill>
                  <w14:solidFill>
                    <w14:schemeClr w14:val="tx1"/>
                  </w14:solidFill>
                </w14:textFill>
              </w:rPr>
              <w:t>安全生产费：</w:t>
            </w:r>
            <w:r>
              <w:rPr>
                <w:rFonts w:hint="eastAsia" w:ascii="宋体" w:hAnsi="宋体" w:cs="宋体"/>
                <w:color w:val="000000" w:themeColor="text1"/>
                <w:szCs w:val="21"/>
                <w:highlight w:val="none"/>
                <w:lang w:val="en-US" w:eastAsia="zh-CN"/>
                <w14:textFill>
                  <w14:solidFill>
                    <w14:schemeClr w14:val="tx1"/>
                  </w14:solidFill>
                </w14:textFill>
              </w:rPr>
              <w:t>82385</w:t>
            </w:r>
            <w:r>
              <w:rPr>
                <w:rFonts w:hint="eastAsia" w:ascii="宋体" w:hAnsi="宋体" w:cs="宋体"/>
                <w:color w:val="000000" w:themeColor="text1"/>
                <w:szCs w:val="21"/>
                <w:highlight w:val="none"/>
                <w14:textFill>
                  <w14:solidFill>
                    <w14:schemeClr w14:val="tx1"/>
                  </w14:solidFill>
                </w14:textFill>
              </w:rPr>
              <w:t>.00元（统一报价）。（注：保险费按工程量清单第100章（不含建筑工程一切险及第三者责任险的保险费）至700章的合计金额的4‰计算，由中标单位进场后购买，无需列入报价内。）</w:t>
            </w:r>
          </w:p>
        </w:tc>
      </w:tr>
      <w:tr w14:paraId="1E77E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44E0FB0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3.2.9</w:t>
            </w:r>
          </w:p>
        </w:tc>
        <w:tc>
          <w:tcPr>
            <w:tcW w:w="2344" w:type="dxa"/>
            <w:vAlign w:val="center"/>
          </w:tcPr>
          <w:p w14:paraId="7F7BB51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投标报价其他要求</w:t>
            </w:r>
          </w:p>
        </w:tc>
        <w:tc>
          <w:tcPr>
            <w:tcW w:w="6788" w:type="dxa"/>
            <w:vAlign w:val="center"/>
          </w:tcPr>
          <w:p w14:paraId="5C13E031">
            <w:pPr>
              <w:keepNext w:val="0"/>
              <w:keepLines w:val="0"/>
              <w:suppressLineNumbers w:val="0"/>
              <w:spacing w:before="0" w:beforeAutospacing="0" w:after="0" w:afterAutospacing="0"/>
              <w:ind w:left="113" w:right="113"/>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14:paraId="0575F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vAlign w:val="center"/>
          </w:tcPr>
          <w:p w14:paraId="333DE2D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3.3.1</w:t>
            </w:r>
          </w:p>
        </w:tc>
        <w:tc>
          <w:tcPr>
            <w:tcW w:w="2344" w:type="dxa"/>
            <w:vAlign w:val="center"/>
          </w:tcPr>
          <w:p w14:paraId="4987408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投标有效期</w:t>
            </w:r>
          </w:p>
        </w:tc>
        <w:tc>
          <w:tcPr>
            <w:tcW w:w="6788" w:type="dxa"/>
            <w:vAlign w:val="center"/>
          </w:tcPr>
          <w:p w14:paraId="00350ABE">
            <w:pPr>
              <w:keepNext w:val="0"/>
              <w:keepLines w:val="0"/>
              <w:suppressLineNumbers w:val="0"/>
              <w:spacing w:before="0" w:beforeAutospacing="0" w:after="0" w:afterAutospacing="0"/>
              <w:ind w:left="113"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自投标人提交投标文件截止之日起计算90日</w:t>
            </w:r>
          </w:p>
        </w:tc>
      </w:tr>
      <w:tr w14:paraId="4F4CA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5C8600F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3.4.1</w:t>
            </w:r>
          </w:p>
        </w:tc>
        <w:tc>
          <w:tcPr>
            <w:tcW w:w="2344" w:type="dxa"/>
            <w:tcBorders>
              <w:top w:val="single" w:color="000000" w:sz="4" w:space="0"/>
              <w:left w:val="single" w:color="000000" w:sz="4" w:space="0"/>
              <w:bottom w:val="single" w:color="000000" w:sz="4" w:space="0"/>
              <w:right w:val="single" w:color="000000" w:sz="4" w:space="0"/>
            </w:tcBorders>
            <w:vAlign w:val="center"/>
          </w:tcPr>
          <w:p w14:paraId="16FE8BA4">
            <w:pPr>
              <w:pStyle w:val="58"/>
              <w:keepNext w:val="0"/>
              <w:keepLines w:val="0"/>
              <w:suppressLineNumbers w:val="0"/>
              <w:spacing w:before="0" w:beforeAutospacing="0" w:after="0" w:afterAutospacing="0"/>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投标保证金</w:t>
            </w:r>
          </w:p>
        </w:tc>
        <w:tc>
          <w:tcPr>
            <w:tcW w:w="6788" w:type="dxa"/>
            <w:tcBorders>
              <w:top w:val="single" w:color="000000" w:sz="4" w:space="0"/>
              <w:left w:val="single" w:color="000000" w:sz="4" w:space="0"/>
              <w:bottom w:val="single" w:color="000000" w:sz="4" w:space="0"/>
              <w:right w:val="single" w:color="000000" w:sz="12" w:space="0"/>
            </w:tcBorders>
            <w:vAlign w:val="center"/>
          </w:tcPr>
          <w:p w14:paraId="4BBEC49D">
            <w:pPr>
              <w:pStyle w:val="8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105" w:firstLineChars="5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是否要求投标人递交投标保证金：</w:t>
            </w:r>
          </w:p>
          <w:p w14:paraId="77DE9AE0">
            <w:pPr>
              <w:pStyle w:val="58"/>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105" w:firstLineChars="50"/>
              <w:jc w:val="left"/>
              <w:textAlignment w:val="auto"/>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要求，投标保证金为人民币：</w:t>
            </w:r>
            <w:r>
              <w:rPr>
                <w:rFonts w:hint="eastAsia" w:ascii="宋体" w:hAnsi="宋体" w:cs="宋体"/>
                <w:color w:val="000000" w:themeColor="text1"/>
                <w:sz w:val="21"/>
                <w:szCs w:val="21"/>
                <w:highlight w:val="none"/>
                <w:u w:val="single"/>
                <w:lang w:val="en-US" w:eastAsia="zh-CN"/>
                <w14:textFill>
                  <w14:solidFill>
                    <w14:schemeClr w14:val="tx1"/>
                  </w14:solidFill>
                </w14:textFill>
              </w:rPr>
              <w:t>10</w:t>
            </w:r>
            <w:r>
              <w:rPr>
                <w:rFonts w:hint="eastAsia" w:ascii="宋体" w:hAnsi="宋体" w:cs="宋体"/>
                <w:color w:val="000000" w:themeColor="text1"/>
                <w:sz w:val="21"/>
                <w:szCs w:val="21"/>
                <w:highlight w:val="none"/>
                <w:u w:val="single"/>
                <w14:textFill>
                  <w14:solidFill>
                    <w14:schemeClr w14:val="tx1"/>
                  </w14:solidFill>
                </w14:textFill>
              </w:rPr>
              <w:t>万元</w:t>
            </w:r>
            <w:r>
              <w:rPr>
                <w:rFonts w:hint="eastAsia" w:ascii="宋体" w:hAnsi="宋体" w:cs="宋体"/>
                <w:color w:val="000000" w:themeColor="text1"/>
                <w:sz w:val="21"/>
                <w:szCs w:val="21"/>
                <w:highlight w:val="none"/>
                <w14:textFill>
                  <w14:solidFill>
                    <w14:schemeClr w14:val="tx1"/>
                  </w14:solidFill>
                </w14:textFill>
              </w:rPr>
              <w:t>。</w:t>
            </w:r>
          </w:p>
          <w:p w14:paraId="63271DAB">
            <w:pPr>
              <w:pStyle w:val="58"/>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105" w:firstLineChars="50"/>
              <w:jc w:val="left"/>
              <w:textAlignment w:val="auto"/>
              <w:rPr>
                <w:rFonts w:hint="default"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投标保证金的有关说明： </w:t>
            </w:r>
          </w:p>
          <w:p w14:paraId="54CF03AF">
            <w:pPr>
              <w:pStyle w:val="8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136"/>
              <w:textAlignment w:val="auto"/>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1、投标保证的形式包括投标保证金、投标保证担保、投标保证保险三种，由投标人自主选择。</w:t>
            </w:r>
          </w:p>
          <w:p w14:paraId="1B3D572C">
            <w:pPr>
              <w:pStyle w:val="8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136"/>
              <w:textAlignment w:val="auto"/>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采用投标保证金的，投标人在交易平台获取招标文件后，即可在交易平台申请缴纳投标保证金，获取本次招标投标保证金缴纳账号。投标人须于投标保证金到账截止时间（见“重要事项时间地点一览表””）前，从其基本账户将投标保证金转账到指定的缴纳账号。逾期到账的、从非投标人基本账户转出的，其投标无效。</w:t>
            </w:r>
          </w:p>
          <w:p w14:paraId="106A9C13">
            <w:pPr>
              <w:pStyle w:val="8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136"/>
              <w:textAlignment w:val="auto"/>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采用投标保证担保的，投标人应提交有效的银行保函，银行保函的有效期不得短于投标有效期。投标人必须在投标保证担保截止时间（见“重要事项时间地点一览表””）前，在交易平台完成网上办理电子保函。</w:t>
            </w:r>
          </w:p>
          <w:p w14:paraId="19E8FCBD">
            <w:pPr>
              <w:pStyle w:val="8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136"/>
              <w:textAlignment w:val="auto"/>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采用投标保证保险的，投标人须在投标保证保险投保截止时间（见“重要事项时间地点一览表””）前，在交易平台完成网上投保。投标人可在交易平台选择保险机构、录入投保信息、支付保费、打印电子保单，电子保单的有效期不得短于投标有效期。</w:t>
            </w:r>
          </w:p>
          <w:p w14:paraId="1E3C1968">
            <w:pPr>
              <w:pStyle w:val="8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136"/>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61A6F502">
            <w:pPr>
              <w:pStyle w:val="56"/>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textAlignment w:val="auto"/>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□不要求</w:t>
            </w:r>
          </w:p>
        </w:tc>
      </w:tr>
      <w:tr w14:paraId="5BD9A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5DE2435C">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3.4.3</w:t>
            </w:r>
          </w:p>
        </w:tc>
        <w:tc>
          <w:tcPr>
            <w:tcW w:w="2344" w:type="dxa"/>
            <w:tcBorders>
              <w:top w:val="single" w:color="000000" w:sz="4" w:space="0"/>
              <w:left w:val="single" w:color="000000" w:sz="4" w:space="0"/>
              <w:bottom w:val="single" w:color="000000" w:sz="4" w:space="0"/>
              <w:right w:val="single" w:color="000000" w:sz="4" w:space="0"/>
            </w:tcBorders>
            <w:vAlign w:val="center"/>
          </w:tcPr>
          <w:p w14:paraId="7D5E9912">
            <w:pPr>
              <w:pStyle w:val="81"/>
              <w:keepNext w:val="0"/>
              <w:keepLines w:val="0"/>
              <w:suppressLineNumbers w:val="0"/>
              <w:spacing w:before="0" w:beforeAutospacing="0" w:after="0" w:afterAutospacing="0"/>
              <w:ind w:left="1"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投标保证金的利息计算原则</w:t>
            </w:r>
          </w:p>
        </w:tc>
        <w:tc>
          <w:tcPr>
            <w:tcW w:w="6788" w:type="dxa"/>
            <w:tcBorders>
              <w:top w:val="single" w:color="000000" w:sz="4" w:space="0"/>
              <w:left w:val="single" w:color="000000" w:sz="4" w:space="0"/>
              <w:bottom w:val="single" w:color="000000" w:sz="4" w:space="0"/>
              <w:right w:val="single" w:color="000000" w:sz="12" w:space="0"/>
            </w:tcBorders>
            <w:vAlign w:val="center"/>
          </w:tcPr>
          <w:p w14:paraId="7BC30A65">
            <w:pPr>
              <w:pStyle w:val="81"/>
              <w:keepNext w:val="0"/>
              <w:keepLines w:val="0"/>
              <w:suppressLineNumbers w:val="0"/>
              <w:spacing w:before="0" w:beforeAutospacing="0" w:after="0" w:afterAutospacing="0"/>
              <w:ind w:left="1"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利息退还方式按韶关市公共资源交易中心相关规定办理。</w:t>
            </w:r>
          </w:p>
        </w:tc>
      </w:tr>
      <w:tr w14:paraId="65475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2DE97D3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3.4.4</w:t>
            </w:r>
          </w:p>
        </w:tc>
        <w:tc>
          <w:tcPr>
            <w:tcW w:w="2344" w:type="dxa"/>
            <w:tcBorders>
              <w:top w:val="single" w:color="000000" w:sz="4" w:space="0"/>
              <w:left w:val="single" w:color="000000" w:sz="4" w:space="0"/>
              <w:bottom w:val="single" w:color="000000" w:sz="4" w:space="0"/>
              <w:right w:val="single" w:color="000000" w:sz="4" w:space="0"/>
            </w:tcBorders>
            <w:vAlign w:val="center"/>
          </w:tcPr>
          <w:p w14:paraId="49DA0B2E">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其他可以不予退还投标保证金的情形</w:t>
            </w:r>
          </w:p>
        </w:tc>
        <w:tc>
          <w:tcPr>
            <w:tcW w:w="6788" w:type="dxa"/>
            <w:tcBorders>
              <w:top w:val="single" w:color="000000" w:sz="4" w:space="0"/>
              <w:left w:val="single" w:color="000000" w:sz="4" w:space="0"/>
              <w:bottom w:val="single" w:color="000000" w:sz="4" w:space="0"/>
              <w:right w:val="single" w:color="000000" w:sz="12" w:space="0"/>
            </w:tcBorders>
            <w:vAlign w:val="center"/>
          </w:tcPr>
          <w:p w14:paraId="335105DE">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（4）串通投标；或</w:t>
            </w:r>
          </w:p>
          <w:p w14:paraId="2E54ACB9">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（5）评标、中标候选人公示、签订合同前等环节因作假而被取消中标资格；或</w:t>
            </w:r>
          </w:p>
          <w:p w14:paraId="7A7974C9">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（6）因投诉属实取消投标资格的；或</w:t>
            </w:r>
          </w:p>
          <w:p w14:paraId="439DE7BA">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（7）其他违反规定、妨碍公平竞争准则的行为；或</w:t>
            </w:r>
          </w:p>
          <w:p w14:paraId="6747C9C9">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p>
        </w:tc>
      </w:tr>
      <w:tr w14:paraId="172E7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3480B68D">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2344" w:type="dxa"/>
            <w:tcBorders>
              <w:top w:val="single" w:color="000000" w:sz="4" w:space="0"/>
              <w:left w:val="single" w:color="000000" w:sz="4" w:space="0"/>
              <w:bottom w:val="single" w:color="000000" w:sz="4" w:space="0"/>
              <w:right w:val="single" w:color="000000" w:sz="4" w:space="0"/>
            </w:tcBorders>
            <w:vAlign w:val="center"/>
          </w:tcPr>
          <w:p w14:paraId="1D32F44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资格审查资料的特殊要求</w:t>
            </w:r>
          </w:p>
        </w:tc>
        <w:tc>
          <w:tcPr>
            <w:tcW w:w="6788" w:type="dxa"/>
            <w:tcBorders>
              <w:top w:val="single" w:color="000000" w:sz="4" w:space="0"/>
              <w:left w:val="single" w:color="000000" w:sz="4" w:space="0"/>
              <w:bottom w:val="single" w:color="000000" w:sz="4" w:space="0"/>
              <w:right w:val="single" w:color="000000" w:sz="12" w:space="0"/>
            </w:tcBorders>
            <w:vAlign w:val="center"/>
          </w:tcPr>
          <w:p w14:paraId="59DF62E4">
            <w:pPr>
              <w:keepNext w:val="0"/>
              <w:keepLines w:val="0"/>
              <w:suppressLineNumbers w:val="0"/>
              <w:spacing w:before="0" w:beforeAutospacing="0" w:after="0" w:afterAutospacing="0" w:line="36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p w14:paraId="716C47EB">
            <w:pPr>
              <w:keepNext w:val="0"/>
              <w:keepLines w:val="0"/>
              <w:suppressLineNumbers w:val="0"/>
              <w:spacing w:before="0" w:beforeAutospacing="0" w:after="0" w:afterAutospacing="0"/>
              <w:ind w:left="0" w:right="113"/>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☑有，具体要求：投标人提供的各类证照复印件均指彩色扫描件或彩色复印件，其他资料的复印件可为黑白扫描或黑白复印件。</w:t>
            </w:r>
          </w:p>
        </w:tc>
      </w:tr>
      <w:tr w14:paraId="695614D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2492B8E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3.5.2</w:t>
            </w:r>
          </w:p>
        </w:tc>
        <w:tc>
          <w:tcPr>
            <w:tcW w:w="2344" w:type="dxa"/>
            <w:tcBorders>
              <w:top w:val="single" w:color="000000" w:sz="4" w:space="0"/>
              <w:left w:val="single" w:color="000000" w:sz="4" w:space="0"/>
              <w:bottom w:val="single" w:color="000000" w:sz="4" w:space="0"/>
              <w:right w:val="single" w:color="000000" w:sz="4" w:space="0"/>
            </w:tcBorders>
            <w:vAlign w:val="center"/>
          </w:tcPr>
          <w:p w14:paraId="3E6CB9C8">
            <w:pPr>
              <w:keepNext w:val="0"/>
              <w:keepLines w:val="0"/>
              <w:suppressLineNumbers w:val="0"/>
              <w:adjustRightInd w:val="0"/>
              <w:snapToGrid w:val="0"/>
              <w:spacing w:before="0" w:beforeAutospacing="0" w:after="0" w:afterAutospacing="0"/>
              <w:ind w:left="0" w:right="113"/>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近年财务状况的年份要求</w:t>
            </w:r>
          </w:p>
        </w:tc>
        <w:tc>
          <w:tcPr>
            <w:tcW w:w="6788" w:type="dxa"/>
            <w:tcBorders>
              <w:top w:val="single" w:color="000000" w:sz="4" w:space="0"/>
              <w:left w:val="single" w:color="000000" w:sz="4" w:space="0"/>
              <w:bottom w:val="single" w:color="000000" w:sz="4" w:space="0"/>
              <w:right w:val="single" w:color="000000" w:sz="12" w:space="0"/>
            </w:tcBorders>
            <w:vAlign w:val="center"/>
          </w:tcPr>
          <w:p w14:paraId="17DED892">
            <w:pPr>
              <w:keepNext w:val="0"/>
              <w:keepLines w:val="0"/>
              <w:suppressLineNumbers w:val="0"/>
              <w:adjustRightInd w:val="0"/>
              <w:snapToGrid w:val="0"/>
              <w:spacing w:before="0" w:beforeAutospacing="0" w:after="0" w:afterAutospacing="0"/>
              <w:ind w:left="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202</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年～202</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年（近三个年度）</w:t>
            </w:r>
          </w:p>
        </w:tc>
      </w:tr>
      <w:tr w14:paraId="6F89FF50">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3E212CE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3.5.3</w:t>
            </w:r>
          </w:p>
        </w:tc>
        <w:tc>
          <w:tcPr>
            <w:tcW w:w="2344" w:type="dxa"/>
            <w:tcBorders>
              <w:top w:val="single" w:color="000000" w:sz="4" w:space="0"/>
              <w:left w:val="single" w:color="000000" w:sz="4" w:space="0"/>
              <w:bottom w:val="single" w:color="000000" w:sz="4" w:space="0"/>
              <w:right w:val="single" w:color="000000" w:sz="4" w:space="0"/>
            </w:tcBorders>
            <w:vAlign w:val="center"/>
          </w:tcPr>
          <w:p w14:paraId="4CB59CE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近年完成的类似项目情况的时间要求</w:t>
            </w:r>
          </w:p>
        </w:tc>
        <w:tc>
          <w:tcPr>
            <w:tcW w:w="6788" w:type="dxa"/>
            <w:tcBorders>
              <w:top w:val="single" w:color="000000" w:sz="4" w:space="0"/>
              <w:left w:val="single" w:color="000000" w:sz="4" w:space="0"/>
              <w:bottom w:val="single" w:color="000000" w:sz="4" w:space="0"/>
              <w:right w:val="single" w:color="000000" w:sz="12" w:space="0"/>
            </w:tcBorders>
            <w:vAlign w:val="center"/>
          </w:tcPr>
          <w:p w14:paraId="15FD77EA">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lang w:val="en-US" w:eastAsia="zh-CN"/>
                <w14:textFill>
                  <w14:solidFill>
                    <w14:schemeClr w14:val="tx1"/>
                  </w14:solidFill>
                </w14:textFill>
              </w:rPr>
              <w:t>2020</w:t>
            </w:r>
            <w:r>
              <w:rPr>
                <w:rFonts w:hint="eastAsia"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月1日</w:t>
            </w:r>
            <w:r>
              <w:rPr>
                <w:rFonts w:hint="eastAsia" w:ascii="宋体" w:hAnsi="宋体" w:cs="宋体"/>
                <w:color w:val="000000" w:themeColor="text1"/>
                <w:kern w:val="0"/>
                <w:szCs w:val="21"/>
                <w:highlight w:val="none"/>
                <w14:textFill>
                  <w14:solidFill>
                    <w14:schemeClr w14:val="tx1"/>
                  </w14:solidFill>
                </w14:textFill>
              </w:rPr>
              <w:t>至</w:t>
            </w:r>
            <w:r>
              <w:rPr>
                <w:rFonts w:hint="eastAsia" w:ascii="宋体" w:hAnsi="宋体" w:cs="宋体"/>
                <w:color w:val="000000" w:themeColor="text1"/>
                <w:szCs w:val="21"/>
                <w:highlight w:val="none"/>
                <w14:textFill>
                  <w14:solidFill>
                    <w14:schemeClr w14:val="tx1"/>
                  </w14:solidFill>
                </w14:textFill>
              </w:rPr>
              <w:t>投标文件递交截止之日止（近五年）以“全国公路建设市场监督管理系统”上的交工验收或未交工验收一次性竣工验收的时间为准。</w:t>
            </w:r>
          </w:p>
        </w:tc>
      </w:tr>
      <w:tr w14:paraId="6608E5E7">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64CAC3B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3.6.1</w:t>
            </w:r>
          </w:p>
        </w:tc>
        <w:tc>
          <w:tcPr>
            <w:tcW w:w="2344" w:type="dxa"/>
            <w:tcBorders>
              <w:top w:val="single" w:color="000000" w:sz="4" w:space="0"/>
              <w:left w:val="single" w:color="000000" w:sz="4" w:space="0"/>
              <w:bottom w:val="single" w:color="000000" w:sz="4" w:space="0"/>
              <w:right w:val="single" w:color="000000" w:sz="4" w:space="0"/>
            </w:tcBorders>
            <w:vAlign w:val="center"/>
          </w:tcPr>
          <w:p w14:paraId="72FE6AC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是否允许递交备选投标方案</w:t>
            </w:r>
          </w:p>
        </w:tc>
        <w:tc>
          <w:tcPr>
            <w:tcW w:w="6788" w:type="dxa"/>
            <w:tcBorders>
              <w:top w:val="single" w:color="000000" w:sz="4" w:space="0"/>
              <w:left w:val="single" w:color="000000" w:sz="4" w:space="0"/>
              <w:bottom w:val="single" w:color="000000" w:sz="4" w:space="0"/>
              <w:right w:val="single" w:color="000000" w:sz="12" w:space="0"/>
            </w:tcBorders>
            <w:vAlign w:val="center"/>
          </w:tcPr>
          <w:p w14:paraId="28E14771">
            <w:pPr>
              <w:keepNext w:val="0"/>
              <w:keepLines w:val="0"/>
              <w:suppressLineNumbers w:val="0"/>
              <w:spacing w:before="0" w:beforeAutospacing="0" w:after="0" w:afterAutospacing="0"/>
              <w:ind w:left="113"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eq \o\ac(</w:instrText>
            </w:r>
            <w:r>
              <w:rPr>
                <w:rFonts w:hint="eastAsia" w:ascii="宋体" w:hAnsi="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不允许</w:t>
            </w:r>
          </w:p>
          <w:p w14:paraId="53F0A693">
            <w:pPr>
              <w:keepNext w:val="0"/>
              <w:keepLines w:val="0"/>
              <w:suppressLineNumbers w:val="0"/>
              <w:spacing w:before="0" w:beforeAutospacing="0" w:after="0" w:afterAutospacing="0"/>
              <w:ind w:left="0" w:right="113" w:firstLine="12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□允许</w:t>
            </w:r>
          </w:p>
        </w:tc>
      </w:tr>
      <w:tr w14:paraId="7EDAEA4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2C3ADB4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3.7.4</w:t>
            </w:r>
          </w:p>
        </w:tc>
        <w:tc>
          <w:tcPr>
            <w:tcW w:w="2344" w:type="dxa"/>
            <w:tcBorders>
              <w:top w:val="single" w:color="000000" w:sz="4" w:space="0"/>
              <w:left w:val="single" w:color="000000" w:sz="4" w:space="0"/>
              <w:bottom w:val="single" w:color="000000" w:sz="4" w:space="0"/>
              <w:right w:val="single" w:color="000000" w:sz="4" w:space="0"/>
            </w:tcBorders>
            <w:vAlign w:val="center"/>
          </w:tcPr>
          <w:p w14:paraId="2D8609E7">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投标文件副本份数及其他要求</w:t>
            </w:r>
          </w:p>
        </w:tc>
        <w:tc>
          <w:tcPr>
            <w:tcW w:w="6788" w:type="dxa"/>
            <w:tcBorders>
              <w:top w:val="single" w:color="000000" w:sz="4" w:space="0"/>
              <w:left w:val="single" w:color="000000" w:sz="4" w:space="0"/>
              <w:bottom w:val="single" w:color="000000" w:sz="4" w:space="0"/>
              <w:right w:val="single" w:color="000000" w:sz="12" w:space="0"/>
            </w:tcBorders>
            <w:vAlign w:val="center"/>
          </w:tcPr>
          <w:p w14:paraId="3B13115B">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本项目采用全流程电子投标，不需要提交纸质版的投标文件。</w:t>
            </w:r>
          </w:p>
        </w:tc>
      </w:tr>
      <w:tr w14:paraId="09D16BD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1F9B54A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3.7.5</w:t>
            </w:r>
          </w:p>
        </w:tc>
        <w:tc>
          <w:tcPr>
            <w:tcW w:w="2344" w:type="dxa"/>
            <w:tcBorders>
              <w:top w:val="single" w:color="000000" w:sz="4" w:space="0"/>
              <w:left w:val="single" w:color="000000" w:sz="4" w:space="0"/>
              <w:bottom w:val="single" w:color="000000" w:sz="4" w:space="0"/>
              <w:right w:val="single" w:color="000000" w:sz="4" w:space="0"/>
            </w:tcBorders>
            <w:vAlign w:val="center"/>
          </w:tcPr>
          <w:p w14:paraId="03AFCAB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装订的其他要求</w:t>
            </w:r>
          </w:p>
        </w:tc>
        <w:tc>
          <w:tcPr>
            <w:tcW w:w="6788" w:type="dxa"/>
            <w:tcBorders>
              <w:top w:val="single" w:color="000000" w:sz="4" w:space="0"/>
              <w:left w:val="single" w:color="000000" w:sz="4" w:space="0"/>
              <w:bottom w:val="single" w:color="000000" w:sz="4" w:space="0"/>
              <w:right w:val="single" w:color="000000" w:sz="12" w:space="0"/>
            </w:tcBorders>
            <w:vAlign w:val="center"/>
          </w:tcPr>
          <w:p w14:paraId="2FBF0ADA">
            <w:pPr>
              <w:pStyle w:val="58"/>
              <w:keepNext w:val="0"/>
              <w:keepLines w:val="0"/>
              <w:suppressLineNumbers w:val="0"/>
              <w:spacing w:before="0" w:beforeAutospacing="0" w:after="0" w:afterAutospacing="0"/>
              <w:ind w:left="0" w:right="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w:t>
            </w:r>
          </w:p>
        </w:tc>
      </w:tr>
      <w:tr w14:paraId="48E3E45B">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0" w:hRule="atLeast"/>
        </w:trPr>
        <w:tc>
          <w:tcPr>
            <w:tcW w:w="968" w:type="dxa"/>
            <w:tcBorders>
              <w:top w:val="single" w:color="000000" w:sz="4" w:space="0"/>
              <w:left w:val="single" w:color="000000" w:sz="12" w:space="0"/>
              <w:bottom w:val="single" w:color="000000" w:sz="4" w:space="0"/>
              <w:right w:val="single" w:color="000000" w:sz="4" w:space="0"/>
            </w:tcBorders>
            <w:vAlign w:val="center"/>
          </w:tcPr>
          <w:p w14:paraId="1543DE0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4.1.2</w:t>
            </w:r>
          </w:p>
        </w:tc>
        <w:tc>
          <w:tcPr>
            <w:tcW w:w="2344" w:type="dxa"/>
            <w:tcBorders>
              <w:top w:val="single" w:color="000000" w:sz="4" w:space="0"/>
              <w:left w:val="single" w:color="000000" w:sz="4" w:space="0"/>
              <w:bottom w:val="single" w:color="000000" w:sz="4" w:space="0"/>
              <w:right w:val="single" w:color="000000" w:sz="4" w:space="0"/>
            </w:tcBorders>
            <w:vAlign w:val="center"/>
          </w:tcPr>
          <w:p w14:paraId="336B2399">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封套上应载明的信息</w:t>
            </w:r>
          </w:p>
        </w:tc>
        <w:tc>
          <w:tcPr>
            <w:tcW w:w="6788" w:type="dxa"/>
            <w:tcBorders>
              <w:top w:val="single" w:color="000000" w:sz="4" w:space="0"/>
              <w:left w:val="single" w:color="000000" w:sz="4" w:space="0"/>
              <w:bottom w:val="single" w:color="000000" w:sz="4" w:space="0"/>
              <w:right w:val="single" w:color="000000" w:sz="12" w:space="0"/>
            </w:tcBorders>
            <w:vAlign w:val="center"/>
          </w:tcPr>
          <w:p w14:paraId="5427F47D">
            <w:pPr>
              <w:pStyle w:val="81"/>
              <w:keepNext w:val="0"/>
              <w:keepLines w:val="0"/>
              <w:suppressLineNumbers w:val="0"/>
              <w:tabs>
                <w:tab w:val="left" w:pos="733"/>
                <w:tab w:val="left" w:pos="2587"/>
              </w:tabs>
              <w:spacing w:before="85" w:beforeAutospacing="0" w:after="0" w:afterAutospacing="0" w:line="314" w:lineRule="auto"/>
              <w:ind w:left="0" w:right="101"/>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本项目采用全流程电子投标，不需要提交纸质版的投标文件。</w:t>
            </w:r>
          </w:p>
        </w:tc>
      </w:tr>
      <w:tr w14:paraId="1FE98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3388641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w:t>
            </w:r>
          </w:p>
        </w:tc>
        <w:tc>
          <w:tcPr>
            <w:tcW w:w="2344" w:type="dxa"/>
            <w:tcBorders>
              <w:top w:val="single" w:color="auto" w:sz="4" w:space="0"/>
              <w:left w:val="single" w:color="auto" w:sz="4" w:space="0"/>
              <w:bottom w:val="single" w:color="auto" w:sz="4" w:space="0"/>
              <w:right w:val="single" w:color="auto" w:sz="4" w:space="0"/>
            </w:tcBorders>
            <w:vAlign w:val="center"/>
          </w:tcPr>
          <w:p w14:paraId="03C1A06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是否退还投标文件</w:t>
            </w:r>
          </w:p>
        </w:tc>
        <w:tc>
          <w:tcPr>
            <w:tcW w:w="6788" w:type="dxa"/>
            <w:tcBorders>
              <w:top w:val="single" w:color="auto" w:sz="4" w:space="0"/>
              <w:left w:val="single" w:color="auto" w:sz="4" w:space="0"/>
              <w:bottom w:val="single" w:color="auto" w:sz="4" w:space="0"/>
              <w:right w:val="single" w:color="auto" w:sz="12" w:space="0"/>
            </w:tcBorders>
            <w:vAlign w:val="center"/>
          </w:tcPr>
          <w:p w14:paraId="25BFADFB">
            <w:pPr>
              <w:keepNext w:val="0"/>
              <w:keepLines w:val="0"/>
              <w:suppressLineNumbers w:val="0"/>
              <w:spacing w:before="0" w:beforeAutospacing="0" w:after="0" w:afterAutospacing="0" w:line="276" w:lineRule="auto"/>
              <w:ind w:left="0" w:right="118" w:rightChars="56"/>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eq \o\ac(</w:instrText>
            </w:r>
            <w:r>
              <w:rPr>
                <w:rFonts w:hint="eastAsia" w:ascii="宋体" w:hAnsi="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否</w:t>
            </w:r>
          </w:p>
          <w:p w14:paraId="31100600">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□是，退还时间：</w:t>
            </w:r>
          </w:p>
        </w:tc>
      </w:tr>
      <w:tr w14:paraId="7C90D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70F77B58">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2344" w:type="dxa"/>
            <w:tcBorders>
              <w:top w:val="single" w:color="auto" w:sz="4" w:space="0"/>
              <w:left w:val="single" w:color="auto" w:sz="4" w:space="0"/>
              <w:bottom w:val="single" w:color="auto" w:sz="4" w:space="0"/>
              <w:right w:val="single" w:color="auto" w:sz="4" w:space="0"/>
            </w:tcBorders>
            <w:vAlign w:val="center"/>
          </w:tcPr>
          <w:p w14:paraId="2596285D">
            <w:pPr>
              <w:keepNext w:val="0"/>
              <w:keepLines w:val="0"/>
              <w:suppressLineNumbers w:val="0"/>
              <w:autoSpaceDE w:val="0"/>
              <w:autoSpaceDN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开标时间和地点</w:t>
            </w:r>
          </w:p>
        </w:tc>
        <w:tc>
          <w:tcPr>
            <w:tcW w:w="6788" w:type="dxa"/>
            <w:tcBorders>
              <w:top w:val="single" w:color="auto" w:sz="4" w:space="0"/>
              <w:left w:val="single" w:color="auto" w:sz="4" w:space="0"/>
              <w:bottom w:val="single" w:color="auto" w:sz="4" w:space="0"/>
              <w:right w:val="single" w:color="auto" w:sz="12" w:space="0"/>
            </w:tcBorders>
            <w:vAlign w:val="center"/>
          </w:tcPr>
          <w:p w14:paraId="2302B4F6">
            <w:pPr>
              <w:keepNext w:val="0"/>
              <w:keepLines w:val="0"/>
              <w:suppressLineNumbers w:val="0"/>
              <w:autoSpaceDE w:val="0"/>
              <w:autoSpaceDN w:val="0"/>
              <w:spacing w:before="0" w:beforeAutospacing="0" w:after="0" w:afterAutospacing="0" w:line="360" w:lineRule="exact"/>
              <w:ind w:left="0" w:right="0"/>
              <w:jc w:val="left"/>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投标文件第一信封（商务及技术文件）</w:t>
            </w:r>
            <w:r>
              <w:rPr>
                <w:rFonts w:hint="eastAsia" w:ascii="宋体" w:hAnsi="宋体" w:cs="宋体"/>
                <w:color w:val="000000" w:themeColor="text1"/>
                <w:kern w:val="0"/>
                <w:szCs w:val="21"/>
                <w:highlight w:val="none"/>
                <w14:textFill>
                  <w14:solidFill>
                    <w14:schemeClr w14:val="tx1"/>
                  </w14:solidFill>
                </w14:textFill>
              </w:rPr>
              <w:t>开标时间：同投标截止时间</w:t>
            </w:r>
          </w:p>
          <w:p w14:paraId="026294C1">
            <w:pPr>
              <w:keepNext w:val="0"/>
              <w:keepLines w:val="0"/>
              <w:suppressLineNumbers w:val="0"/>
              <w:autoSpaceDE w:val="0"/>
              <w:autoSpaceDN w:val="0"/>
              <w:spacing w:before="0" w:beforeAutospacing="0" w:after="0" w:afterAutospacing="0" w:line="360" w:lineRule="exact"/>
              <w:ind w:left="0" w:right="0"/>
              <w:jc w:val="left"/>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开标地点：韶关市公共资源交易中心始兴分中心（</w:t>
            </w:r>
            <w:r>
              <w:rPr>
                <w:rFonts w:hint="eastAsia" w:ascii="宋体" w:hAnsi="宋体" w:cs="宋体"/>
                <w:color w:val="000000" w:themeColor="text1"/>
                <w:kern w:val="0"/>
                <w:szCs w:val="21"/>
                <w:highlight w:val="none"/>
                <w:lang w:eastAsia="zh-CN"/>
                <w14:textFill>
                  <w14:solidFill>
                    <w14:schemeClr w14:val="tx1"/>
                  </w14:solidFill>
                </w14:textFill>
              </w:rPr>
              <w:t>始兴县太平镇永安大道中79号行政服务大楼四楼开标室</w:t>
            </w:r>
            <w:r>
              <w:rPr>
                <w:rFonts w:hint="eastAsia" w:ascii="宋体" w:hAnsi="宋体" w:cs="宋体"/>
                <w:color w:val="000000" w:themeColor="text1"/>
                <w:kern w:val="0"/>
                <w:szCs w:val="21"/>
                <w:highlight w:val="none"/>
                <w14:textFill>
                  <w14:solidFill>
                    <w14:schemeClr w14:val="tx1"/>
                  </w14:solidFill>
                </w14:textFill>
              </w:rPr>
              <w:t>），具体开标室以当日现场通知为准。</w:t>
            </w:r>
          </w:p>
          <w:p w14:paraId="5DB0AF41">
            <w:pPr>
              <w:keepNext w:val="0"/>
              <w:keepLines w:val="0"/>
              <w:suppressLineNumbers w:val="0"/>
              <w:autoSpaceDE w:val="0"/>
              <w:autoSpaceDN w:val="0"/>
              <w:spacing w:before="0" w:beforeAutospacing="0" w:after="0" w:afterAutospacing="0" w:line="360" w:lineRule="exact"/>
              <w:ind w:left="0" w:right="0"/>
              <w:jc w:val="left"/>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投标文件第二信封（报价文件）开标时间</w:t>
            </w:r>
            <w:r>
              <w:rPr>
                <w:rFonts w:hint="eastAsia" w:ascii="宋体" w:hAnsi="宋体" w:cs="宋体"/>
                <w:color w:val="000000" w:themeColor="text1"/>
                <w:kern w:val="0"/>
                <w:szCs w:val="21"/>
                <w:highlight w:val="none"/>
                <w14:textFill>
                  <w14:solidFill>
                    <w14:schemeClr w14:val="tx1"/>
                  </w14:solidFill>
                </w14:textFill>
              </w:rPr>
              <w:t>：同投标截止时间，且在宣布通过商务文件和技术文件的投标人名单后。</w:t>
            </w:r>
          </w:p>
          <w:p w14:paraId="290AA4E1">
            <w:pPr>
              <w:keepNext w:val="0"/>
              <w:keepLines w:val="0"/>
              <w:suppressLineNumbers w:val="0"/>
              <w:autoSpaceDE w:val="0"/>
              <w:autoSpaceDN w:val="0"/>
              <w:spacing w:before="0" w:beforeAutospacing="0" w:after="0" w:afterAutospacing="0" w:line="360" w:lineRule="exact"/>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开标地点：韶关市公共资源交易中心始兴分中心（</w:t>
            </w:r>
            <w:r>
              <w:rPr>
                <w:rFonts w:hint="eastAsia" w:ascii="宋体" w:hAnsi="宋体" w:cs="宋体"/>
                <w:color w:val="000000" w:themeColor="text1"/>
                <w:kern w:val="0"/>
                <w:szCs w:val="21"/>
                <w:highlight w:val="none"/>
                <w:lang w:eastAsia="zh-CN"/>
                <w14:textFill>
                  <w14:solidFill>
                    <w14:schemeClr w14:val="tx1"/>
                  </w14:solidFill>
                </w14:textFill>
              </w:rPr>
              <w:t>始兴县太平镇永安大道中79号行政服务大楼四楼开标室</w:t>
            </w:r>
            <w:r>
              <w:rPr>
                <w:rFonts w:hint="eastAsia" w:ascii="宋体" w:hAnsi="宋体" w:cs="宋体"/>
                <w:color w:val="000000" w:themeColor="text1"/>
                <w:kern w:val="0"/>
                <w:szCs w:val="21"/>
                <w:highlight w:val="none"/>
                <w14:textFill>
                  <w14:solidFill>
                    <w14:schemeClr w14:val="tx1"/>
                  </w14:solidFill>
                </w14:textFill>
              </w:rPr>
              <w:t>），具体开标室以当日现场通知为准。</w:t>
            </w:r>
          </w:p>
        </w:tc>
      </w:tr>
      <w:tr w14:paraId="79D84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3C73738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5.2.1</w:t>
            </w:r>
          </w:p>
        </w:tc>
        <w:tc>
          <w:tcPr>
            <w:tcW w:w="2344" w:type="dxa"/>
            <w:tcBorders>
              <w:top w:val="single" w:color="auto" w:sz="4" w:space="0"/>
              <w:left w:val="single" w:color="auto" w:sz="4" w:space="0"/>
              <w:bottom w:val="single" w:color="auto" w:sz="4" w:space="0"/>
              <w:right w:val="single" w:color="auto" w:sz="4" w:space="0"/>
            </w:tcBorders>
            <w:vAlign w:val="center"/>
          </w:tcPr>
          <w:p w14:paraId="0BCA1B5F">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第一个信封（商务及技术文件）开标程序</w:t>
            </w:r>
          </w:p>
        </w:tc>
        <w:tc>
          <w:tcPr>
            <w:tcW w:w="6788" w:type="dxa"/>
            <w:tcBorders>
              <w:top w:val="single" w:color="auto" w:sz="4" w:space="0"/>
              <w:left w:val="single" w:color="auto" w:sz="4" w:space="0"/>
              <w:bottom w:val="single" w:color="auto" w:sz="4" w:space="0"/>
              <w:right w:val="single" w:color="auto" w:sz="12" w:space="0"/>
            </w:tcBorders>
            <w:vAlign w:val="center"/>
          </w:tcPr>
          <w:p w14:paraId="3CBDEF99">
            <w:pPr>
              <w:keepNext w:val="0"/>
              <w:keepLines w:val="0"/>
              <w:suppressLineNumbers w:val="0"/>
              <w:autoSpaceDE w:val="0"/>
              <w:autoSpaceDN w:val="0"/>
              <w:spacing w:before="0" w:beforeAutospacing="0" w:after="0" w:afterAutospacing="0" w:line="360" w:lineRule="exact"/>
              <w:ind w:left="0" w:right="0"/>
              <w:rPr>
                <w:rFonts w:hint="default"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（4）密封情况检查：</w:t>
            </w:r>
            <w:r>
              <w:rPr>
                <w:rFonts w:hint="eastAsia" w:ascii="宋体" w:hAnsi="宋体" w:cs="宋体"/>
                <w:color w:val="000000" w:themeColor="text1"/>
                <w:kern w:val="0"/>
                <w:szCs w:val="21"/>
                <w:highlight w:val="none"/>
                <w:u w:val="single"/>
                <w14:textFill>
                  <w14:solidFill>
                    <w14:schemeClr w14:val="tx1"/>
                  </w14:solidFill>
                </w14:textFill>
              </w:rPr>
              <w:t>本项目采用全流程电子投标，不需检查密封情况。</w:t>
            </w:r>
          </w:p>
          <w:p w14:paraId="44EBCD1B">
            <w:pPr>
              <w:keepNext w:val="0"/>
              <w:keepLines w:val="0"/>
              <w:suppressLineNumbers w:val="0"/>
              <w:autoSpaceDE w:val="0"/>
              <w:autoSpaceDN w:val="0"/>
              <w:spacing w:before="0" w:beforeAutospacing="0" w:after="0" w:afterAutospacing="0" w:line="36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（5）开标顺序：</w:t>
            </w:r>
            <w:r>
              <w:rPr>
                <w:rFonts w:hint="eastAsia" w:ascii="宋体" w:hAnsi="宋体" w:cs="宋体"/>
                <w:color w:val="000000" w:themeColor="text1"/>
                <w:kern w:val="0"/>
                <w:szCs w:val="21"/>
                <w:highlight w:val="none"/>
                <w:u w:val="single"/>
                <w14:textFill>
                  <w14:solidFill>
                    <w14:schemeClr w14:val="tx1"/>
                  </w14:solidFill>
                </w14:textFill>
              </w:rPr>
              <w:t>对投标截止时间前上传的电子投标文件随机开标，先对投标文件第一信封（商务及技术文件）进行开标，并检查投标保证。</w:t>
            </w:r>
          </w:p>
        </w:tc>
      </w:tr>
      <w:tr w14:paraId="54635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713BC9BD">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5.2.3</w:t>
            </w:r>
          </w:p>
        </w:tc>
        <w:tc>
          <w:tcPr>
            <w:tcW w:w="2344" w:type="dxa"/>
            <w:tcBorders>
              <w:top w:val="single" w:color="auto" w:sz="4" w:space="0"/>
              <w:left w:val="single" w:color="auto" w:sz="4" w:space="0"/>
              <w:bottom w:val="single" w:color="auto" w:sz="4" w:space="0"/>
              <w:right w:val="single" w:color="auto" w:sz="4" w:space="0"/>
            </w:tcBorders>
            <w:vAlign w:val="center"/>
          </w:tcPr>
          <w:p w14:paraId="4305E11F">
            <w:pPr>
              <w:keepNext w:val="0"/>
              <w:keepLines w:val="0"/>
              <w:suppressLineNumbers w:val="0"/>
              <w:autoSpaceDE w:val="0"/>
              <w:autoSpaceDN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第二个信封（报价文件）开标程序</w:t>
            </w:r>
          </w:p>
        </w:tc>
        <w:tc>
          <w:tcPr>
            <w:tcW w:w="6788" w:type="dxa"/>
            <w:tcBorders>
              <w:top w:val="single" w:color="auto" w:sz="4" w:space="0"/>
              <w:left w:val="single" w:color="auto" w:sz="4" w:space="0"/>
              <w:bottom w:val="single" w:color="auto" w:sz="4" w:space="0"/>
              <w:right w:val="single" w:color="auto" w:sz="12" w:space="0"/>
            </w:tcBorders>
            <w:vAlign w:val="center"/>
          </w:tcPr>
          <w:p w14:paraId="5F668DF5">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（4）密封情况检查：</w:t>
            </w:r>
            <w:r>
              <w:rPr>
                <w:rFonts w:hint="eastAsia" w:ascii="宋体" w:hAnsi="宋体" w:cs="宋体"/>
                <w:color w:val="000000" w:themeColor="text1"/>
                <w:kern w:val="0"/>
                <w:szCs w:val="21"/>
                <w:highlight w:val="none"/>
                <w:u w:val="single"/>
                <w14:textFill>
                  <w14:solidFill>
                    <w14:schemeClr w14:val="tx1"/>
                  </w14:solidFill>
                </w14:textFill>
              </w:rPr>
              <w:t>本项目采用全流程电子投标，不需检查密封情况。</w:t>
            </w:r>
          </w:p>
          <w:p w14:paraId="45E38C52">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（5）开标顺序：</w:t>
            </w:r>
            <w:r>
              <w:rPr>
                <w:rFonts w:hint="eastAsia" w:ascii="宋体" w:hAnsi="宋体" w:cs="宋体"/>
                <w:color w:val="000000" w:themeColor="text1"/>
                <w:kern w:val="0"/>
                <w:szCs w:val="21"/>
                <w:highlight w:val="none"/>
                <w:u w:val="single"/>
                <w14:textFill>
                  <w14:solidFill>
                    <w14:schemeClr w14:val="tx1"/>
                  </w14:solidFill>
                </w14:textFill>
              </w:rPr>
              <w:t>对通过了投标文件第一信封（商务及技术文件）评审（是指第一信封（商务及技术文件）通过了评标办法规定的资格审查和初步评审，未出现废标情况）的投标人的电子投标文件第二信封（报价文件）进行随机开标。</w:t>
            </w:r>
          </w:p>
        </w:tc>
      </w:tr>
      <w:tr w14:paraId="438F3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061CED84">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6.1.1</w:t>
            </w:r>
          </w:p>
        </w:tc>
        <w:tc>
          <w:tcPr>
            <w:tcW w:w="2344" w:type="dxa"/>
            <w:tcBorders>
              <w:top w:val="single" w:color="auto" w:sz="4" w:space="0"/>
              <w:left w:val="single" w:color="auto" w:sz="4" w:space="0"/>
              <w:bottom w:val="single" w:color="auto" w:sz="4" w:space="0"/>
              <w:right w:val="single" w:color="auto" w:sz="4" w:space="0"/>
            </w:tcBorders>
            <w:vAlign w:val="center"/>
          </w:tcPr>
          <w:p w14:paraId="6F19BAA0">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评标委员会的组建</w:t>
            </w:r>
          </w:p>
        </w:tc>
        <w:tc>
          <w:tcPr>
            <w:tcW w:w="6788" w:type="dxa"/>
            <w:tcBorders>
              <w:top w:val="single" w:color="auto" w:sz="4" w:space="0"/>
              <w:left w:val="single" w:color="auto" w:sz="4" w:space="0"/>
              <w:bottom w:val="single" w:color="auto" w:sz="4" w:space="0"/>
              <w:right w:val="single" w:color="auto" w:sz="12" w:space="0"/>
            </w:tcBorders>
            <w:vAlign w:val="center"/>
          </w:tcPr>
          <w:p w14:paraId="41C37D39">
            <w:pPr>
              <w:keepNext w:val="0"/>
              <w:keepLines w:val="0"/>
              <w:suppressLineNumbers w:val="0"/>
              <w:spacing w:before="0" w:beforeAutospacing="0" w:after="0" w:afterAutospacing="0"/>
              <w:ind w:left="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评标委员会构成：</w:t>
            </w:r>
            <w:r>
              <w:rPr>
                <w:rFonts w:hint="eastAsia" w:ascii="宋体" w:hAnsi="宋体" w:cs="宋体"/>
                <w:color w:val="000000" w:themeColor="text1"/>
                <w:szCs w:val="21"/>
                <w:highlight w:val="none"/>
                <w:u w:val="single"/>
                <w14:textFill>
                  <w14:solidFill>
                    <w14:schemeClr w14:val="tx1"/>
                  </w14:solidFill>
                </w14:textFill>
              </w:rPr>
              <w:t>9人</w:t>
            </w:r>
            <w:r>
              <w:rPr>
                <w:rFonts w:hint="eastAsia" w:ascii="宋体" w:hAnsi="宋体" w:cs="宋体"/>
                <w:color w:val="000000" w:themeColor="text1"/>
                <w:szCs w:val="21"/>
                <w:highlight w:val="none"/>
                <w14:textFill>
                  <w14:solidFill>
                    <w14:schemeClr w14:val="tx1"/>
                  </w14:solidFill>
                </w14:textFill>
              </w:rPr>
              <w:t>，其中招标人代表</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人，专家</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人；</w:t>
            </w:r>
          </w:p>
          <w:p w14:paraId="19FEFB3B">
            <w:pPr>
              <w:keepNext w:val="0"/>
              <w:keepLines w:val="0"/>
              <w:suppressLineNumbers w:val="0"/>
              <w:spacing w:before="0" w:beforeAutospacing="0" w:after="0" w:afterAutospacing="0"/>
              <w:ind w:left="0" w:right="113"/>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专家确定方式：从广东省综合评标评审专家库--韶关市区域中随机抽取。</w:t>
            </w:r>
          </w:p>
        </w:tc>
      </w:tr>
      <w:tr w14:paraId="722E1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57F3086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6.3.2</w:t>
            </w:r>
          </w:p>
        </w:tc>
        <w:tc>
          <w:tcPr>
            <w:tcW w:w="2344" w:type="dxa"/>
            <w:tcBorders>
              <w:top w:val="single" w:color="auto" w:sz="4" w:space="0"/>
              <w:left w:val="single" w:color="auto" w:sz="4" w:space="0"/>
              <w:bottom w:val="single" w:color="auto" w:sz="4" w:space="0"/>
              <w:right w:val="single" w:color="auto" w:sz="4" w:space="0"/>
            </w:tcBorders>
            <w:vAlign w:val="center"/>
          </w:tcPr>
          <w:p w14:paraId="3D23FDE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评标委员会推荐中标候选人的人数</w:t>
            </w:r>
          </w:p>
        </w:tc>
        <w:tc>
          <w:tcPr>
            <w:tcW w:w="6788" w:type="dxa"/>
            <w:tcBorders>
              <w:top w:val="single" w:color="auto" w:sz="4" w:space="0"/>
              <w:left w:val="single" w:color="auto" w:sz="4" w:space="0"/>
              <w:bottom w:val="single" w:color="auto" w:sz="4" w:space="0"/>
              <w:right w:val="single" w:color="auto" w:sz="12" w:space="0"/>
            </w:tcBorders>
            <w:vAlign w:val="center"/>
          </w:tcPr>
          <w:p w14:paraId="1894D780">
            <w:pPr>
              <w:keepNext w:val="0"/>
              <w:keepLines w:val="0"/>
              <w:suppressLineNumbers w:val="0"/>
              <w:spacing w:before="0" w:beforeAutospacing="0" w:after="0" w:afterAutospacing="0"/>
              <w:ind w:left="147" w:leftChars="7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3 个</w:t>
            </w:r>
          </w:p>
        </w:tc>
      </w:tr>
      <w:tr w14:paraId="1E96C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2292CB1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7.1</w:t>
            </w:r>
          </w:p>
        </w:tc>
        <w:tc>
          <w:tcPr>
            <w:tcW w:w="2344" w:type="dxa"/>
            <w:tcBorders>
              <w:top w:val="single" w:color="auto" w:sz="4" w:space="0"/>
              <w:left w:val="single" w:color="auto" w:sz="4" w:space="0"/>
              <w:bottom w:val="single" w:color="auto" w:sz="4" w:space="0"/>
              <w:right w:val="single" w:color="auto" w:sz="4" w:space="0"/>
            </w:tcBorders>
            <w:vAlign w:val="center"/>
          </w:tcPr>
          <w:p w14:paraId="6E2C398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中标候选人公示媒介</w:t>
            </w:r>
          </w:p>
          <w:p w14:paraId="49A28C4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及期限</w:t>
            </w:r>
          </w:p>
        </w:tc>
        <w:tc>
          <w:tcPr>
            <w:tcW w:w="6788" w:type="dxa"/>
            <w:tcBorders>
              <w:top w:val="single" w:color="auto" w:sz="4" w:space="0"/>
              <w:left w:val="single" w:color="auto" w:sz="4" w:space="0"/>
              <w:bottom w:val="single" w:color="auto" w:sz="4" w:space="0"/>
              <w:right w:val="single" w:color="auto" w:sz="12" w:space="0"/>
            </w:tcBorders>
            <w:vAlign w:val="center"/>
          </w:tcPr>
          <w:p w14:paraId="59704B0A">
            <w:pPr>
              <w:keepNext w:val="0"/>
              <w:keepLines w:val="0"/>
              <w:suppressLineNumbers w:val="0"/>
              <w:wordWrap w:val="0"/>
              <w:spacing w:before="0" w:beforeAutospacing="0" w:after="0" w:afterAutospacing="0" w:line="276" w:lineRule="auto"/>
              <w:ind w:left="147" w:leftChars="7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公示媒介：</w:t>
            </w:r>
            <w:r>
              <w:rPr>
                <w:rFonts w:hint="eastAsia" w:ascii="宋体" w:hAnsi="宋体" w:cs="宋体"/>
                <w:color w:val="000000" w:themeColor="text1"/>
                <w:szCs w:val="21"/>
                <w:highlight w:val="none"/>
                <w:u w:val="single"/>
                <w14:textFill>
                  <w14:solidFill>
                    <w14:schemeClr w14:val="tx1"/>
                  </w14:solidFill>
                </w14:textFill>
              </w:rPr>
              <w:t>广 东 省 招 标 投 标 监 管 网 、全国公共资源交易平台 （广东省·韶关市）</w:t>
            </w:r>
          </w:p>
          <w:p w14:paraId="4DFB78A3">
            <w:pPr>
              <w:keepNext w:val="0"/>
              <w:keepLines w:val="0"/>
              <w:suppressLineNumbers w:val="0"/>
              <w:spacing w:before="0" w:beforeAutospacing="0" w:after="0" w:afterAutospacing="0" w:line="276" w:lineRule="auto"/>
              <w:ind w:left="147" w:leftChars="7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公示期限：</w:t>
            </w:r>
            <w:r>
              <w:rPr>
                <w:rFonts w:hint="eastAsia" w:ascii="宋体" w:hAnsi="宋体" w:cs="宋体"/>
                <w:color w:val="000000" w:themeColor="text1"/>
                <w:szCs w:val="21"/>
                <w:highlight w:val="none"/>
                <w:u w:val="single"/>
                <w14:textFill>
                  <w14:solidFill>
                    <w14:schemeClr w14:val="tx1"/>
                  </w14:solidFill>
                </w14:textFill>
              </w:rPr>
              <w:t xml:space="preserve"> 3 日</w:t>
            </w:r>
          </w:p>
          <w:p w14:paraId="130C4586">
            <w:pPr>
              <w:keepNext w:val="0"/>
              <w:keepLines w:val="0"/>
              <w:suppressLineNumbers w:val="0"/>
              <w:spacing w:before="0" w:beforeAutospacing="0" w:after="0" w:afterAutospacing="0"/>
              <w:ind w:left="145" w:leftChars="69"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公示的其他内容：</w:t>
            </w:r>
            <w:r>
              <w:rPr>
                <w:rFonts w:hint="eastAsia" w:ascii="宋体" w:hAnsi="宋体" w:cs="宋体"/>
                <w:color w:val="000000" w:themeColor="text1"/>
                <w:szCs w:val="21"/>
                <w:highlight w:val="none"/>
                <w:u w:val="thick"/>
                <w14:textFill>
                  <w14:solidFill>
                    <w14:schemeClr w14:val="tx1"/>
                  </w14:solidFill>
                </w14:textFill>
              </w:rPr>
              <w:t>最新年度信用等级使用情况及所有承诺使用最新年度 AA、A 级投标人的年度信用等级使用情况。</w:t>
            </w:r>
          </w:p>
        </w:tc>
      </w:tr>
      <w:tr w14:paraId="106F4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321988B8">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w:t>
            </w:r>
          </w:p>
        </w:tc>
        <w:tc>
          <w:tcPr>
            <w:tcW w:w="2344" w:type="dxa"/>
            <w:tcBorders>
              <w:top w:val="single" w:color="auto" w:sz="4" w:space="0"/>
              <w:left w:val="single" w:color="auto" w:sz="4" w:space="0"/>
              <w:bottom w:val="single" w:color="auto" w:sz="4" w:space="0"/>
              <w:right w:val="single" w:color="auto" w:sz="4" w:space="0"/>
            </w:tcBorders>
            <w:vAlign w:val="center"/>
          </w:tcPr>
          <w:p w14:paraId="182EE4DC">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是否授权评标委员会确定中标人</w:t>
            </w:r>
          </w:p>
        </w:tc>
        <w:tc>
          <w:tcPr>
            <w:tcW w:w="6788" w:type="dxa"/>
            <w:tcBorders>
              <w:top w:val="single" w:color="auto" w:sz="4" w:space="0"/>
              <w:left w:val="single" w:color="auto" w:sz="4" w:space="0"/>
              <w:bottom w:val="single" w:color="auto" w:sz="4" w:space="0"/>
              <w:right w:val="single" w:color="auto" w:sz="12" w:space="0"/>
            </w:tcBorders>
            <w:vAlign w:val="center"/>
          </w:tcPr>
          <w:p w14:paraId="0AFD64AB">
            <w:pPr>
              <w:keepNext w:val="0"/>
              <w:keepLines w:val="0"/>
              <w:suppressLineNumbers w:val="0"/>
              <w:spacing w:before="0" w:beforeAutospacing="0" w:after="0" w:afterAutospacing="0" w:line="44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w:t>
            </w:r>
          </w:p>
          <w:p w14:paraId="355D660D">
            <w:pPr>
              <w:keepNext w:val="0"/>
              <w:keepLines w:val="0"/>
              <w:suppressLineNumbers w:val="0"/>
              <w:spacing w:before="0" w:beforeAutospacing="0" w:after="0" w:afterAutospacing="0" w:line="44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eq \o\ac(</w:instrText>
            </w:r>
            <w:r>
              <w:rPr>
                <w:rFonts w:hint="eastAsia" w:ascii="宋体" w:hAnsi="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否</w:t>
            </w:r>
          </w:p>
        </w:tc>
      </w:tr>
      <w:tr w14:paraId="37F93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1973CB1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7.5</w:t>
            </w:r>
          </w:p>
        </w:tc>
        <w:tc>
          <w:tcPr>
            <w:tcW w:w="2344" w:type="dxa"/>
            <w:tcBorders>
              <w:top w:val="single" w:color="auto" w:sz="4" w:space="0"/>
              <w:left w:val="single" w:color="auto" w:sz="4" w:space="0"/>
              <w:bottom w:val="single" w:color="auto" w:sz="4" w:space="0"/>
              <w:right w:val="single" w:color="auto" w:sz="4" w:space="0"/>
            </w:tcBorders>
            <w:vAlign w:val="center"/>
          </w:tcPr>
          <w:p w14:paraId="35778F0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中标通知书和中标结果通知发出的形式</w:t>
            </w:r>
          </w:p>
        </w:tc>
        <w:tc>
          <w:tcPr>
            <w:tcW w:w="6788" w:type="dxa"/>
            <w:tcBorders>
              <w:top w:val="single" w:color="auto" w:sz="4" w:space="0"/>
              <w:left w:val="single" w:color="auto" w:sz="4" w:space="0"/>
              <w:bottom w:val="single" w:color="auto" w:sz="4" w:space="0"/>
              <w:right w:val="single" w:color="auto" w:sz="12" w:space="0"/>
            </w:tcBorders>
            <w:vAlign w:val="center"/>
          </w:tcPr>
          <w:p w14:paraId="260659DC">
            <w:pPr>
              <w:keepNext w:val="0"/>
              <w:keepLines w:val="0"/>
              <w:suppressLineNumbers w:val="0"/>
              <w:spacing w:before="0" w:beforeAutospacing="0" w:after="0" w:afterAutospacing="0" w:line="44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书面形式</w:t>
            </w:r>
          </w:p>
        </w:tc>
      </w:tr>
      <w:tr w14:paraId="3B3CD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5374769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7.6</w:t>
            </w:r>
          </w:p>
        </w:tc>
        <w:tc>
          <w:tcPr>
            <w:tcW w:w="2344" w:type="dxa"/>
            <w:tcBorders>
              <w:top w:val="single" w:color="auto" w:sz="4" w:space="0"/>
              <w:left w:val="single" w:color="auto" w:sz="4" w:space="0"/>
              <w:bottom w:val="single" w:color="auto" w:sz="4" w:space="0"/>
              <w:right w:val="single" w:color="auto" w:sz="4" w:space="0"/>
            </w:tcBorders>
            <w:vAlign w:val="center"/>
          </w:tcPr>
          <w:p w14:paraId="36AC2DE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中标结果公告媒介</w:t>
            </w:r>
          </w:p>
        </w:tc>
        <w:tc>
          <w:tcPr>
            <w:tcW w:w="6788" w:type="dxa"/>
            <w:tcBorders>
              <w:top w:val="single" w:color="auto" w:sz="4" w:space="0"/>
              <w:left w:val="single" w:color="auto" w:sz="4" w:space="0"/>
              <w:bottom w:val="single" w:color="auto" w:sz="4" w:space="0"/>
              <w:right w:val="single" w:color="auto" w:sz="12" w:space="0"/>
            </w:tcBorders>
            <w:vAlign w:val="center"/>
          </w:tcPr>
          <w:p w14:paraId="737A5AD8">
            <w:pPr>
              <w:pStyle w:val="81"/>
              <w:keepNext w:val="0"/>
              <w:keepLines w:val="0"/>
              <w:suppressLineNumbers w:val="0"/>
              <w:spacing w:before="78" w:beforeAutospacing="0" w:after="0" w:afterAutospacing="0"/>
              <w:ind w:left="107"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公示媒介：</w:t>
            </w:r>
            <w:r>
              <w:rPr>
                <w:rFonts w:hint="eastAsia" w:ascii="宋体" w:hAnsi="宋体" w:cs="宋体"/>
                <w:color w:val="000000" w:themeColor="text1"/>
                <w:szCs w:val="21"/>
                <w:highlight w:val="none"/>
                <w:u w:val="single"/>
                <w14:textFill>
                  <w14:solidFill>
                    <w14:schemeClr w14:val="tx1"/>
                  </w14:solidFill>
                </w14:textFill>
              </w:rPr>
              <w:t>广 东 省 招 标 投 标 监 管 网 、全国公共资源交易平台 （广东省·韶关市）</w:t>
            </w:r>
            <w:r>
              <w:rPr>
                <w:rFonts w:hint="eastAsia" w:ascii="宋体" w:hAnsi="宋体" w:cs="宋体"/>
                <w:color w:val="000000" w:themeColor="text1"/>
                <w:szCs w:val="21"/>
                <w:highlight w:val="none"/>
                <w14:textFill>
                  <w14:solidFill>
                    <w14:schemeClr w14:val="tx1"/>
                  </w14:solidFill>
                </w14:textFill>
              </w:rPr>
              <w:t>。</w:t>
            </w:r>
          </w:p>
        </w:tc>
      </w:tr>
      <w:tr w14:paraId="27103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6B2F82A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7.7.1</w:t>
            </w:r>
          </w:p>
        </w:tc>
        <w:tc>
          <w:tcPr>
            <w:tcW w:w="2344" w:type="dxa"/>
            <w:tcBorders>
              <w:top w:val="single" w:color="auto" w:sz="4" w:space="0"/>
              <w:left w:val="single" w:color="auto" w:sz="4" w:space="0"/>
              <w:bottom w:val="single" w:color="auto" w:sz="4" w:space="0"/>
              <w:right w:val="single" w:color="auto" w:sz="4" w:space="0"/>
            </w:tcBorders>
            <w:vAlign w:val="center"/>
          </w:tcPr>
          <w:p w14:paraId="04E421F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w:t>
            </w:r>
          </w:p>
        </w:tc>
        <w:tc>
          <w:tcPr>
            <w:tcW w:w="6788" w:type="dxa"/>
            <w:tcBorders>
              <w:top w:val="single" w:color="auto" w:sz="4" w:space="0"/>
              <w:left w:val="single" w:color="auto" w:sz="4" w:space="0"/>
              <w:bottom w:val="single" w:color="auto" w:sz="4" w:space="0"/>
              <w:right w:val="single" w:color="auto" w:sz="12" w:space="0"/>
            </w:tcBorders>
            <w:vAlign w:val="center"/>
          </w:tcPr>
          <w:p w14:paraId="55FC7B36">
            <w:pPr>
              <w:keepNext w:val="0"/>
              <w:keepLines w:val="0"/>
              <w:suppressLineNumbers w:val="0"/>
              <w:spacing w:before="0" w:beforeAutospacing="0" w:after="0" w:afterAutospacing="0"/>
              <w:ind w:left="0" w:right="113"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是否要求中标人提交履约保证金：</w:t>
            </w:r>
          </w:p>
          <w:p w14:paraId="259EAA39">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eq \o\ac(□,√)</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要求，履约担保形式：</w:t>
            </w:r>
            <w:r>
              <w:rPr>
                <w:rFonts w:hint="eastAsia" w:ascii="宋体" w:hAnsi="宋体" w:cs="宋体"/>
                <w:color w:val="000000" w:themeColor="text1"/>
                <w:szCs w:val="21"/>
                <w:highlight w:val="none"/>
                <w:u w:val="single"/>
                <w14:textFill>
                  <w14:solidFill>
                    <w14:schemeClr w14:val="tx1"/>
                  </w14:solidFill>
                </w14:textFill>
              </w:rPr>
              <w:t>由投标人自主选择采用现金（或支票）、或银行保函或其他合法形式。</w:t>
            </w:r>
          </w:p>
          <w:p w14:paraId="51701AFB">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履约担保金额：</w:t>
            </w:r>
            <w:r>
              <w:rPr>
                <w:rFonts w:hint="eastAsia" w:ascii="宋体" w:hAnsi="宋体" w:cs="宋体"/>
                <w:color w:val="000000" w:themeColor="text1"/>
                <w:szCs w:val="21"/>
                <w:highlight w:val="none"/>
                <w:u w:val="single"/>
                <w14:textFill>
                  <w14:solidFill>
                    <w14:schemeClr w14:val="tx1"/>
                  </w14:solidFill>
                </w14:textFill>
              </w:rPr>
              <w:t>中标合同额的</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w:t>
            </w:r>
          </w:p>
          <w:p w14:paraId="23911520">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采用银行保函时，</w:t>
            </w:r>
            <w:r>
              <w:rPr>
                <w:rFonts w:hint="eastAsia" w:ascii="宋体" w:hAnsi="宋体" w:cs="宋体"/>
                <w:color w:val="000000" w:themeColor="text1"/>
                <w:szCs w:val="21"/>
                <w:highlight w:val="none"/>
                <w:u w:val="single"/>
                <w14:textFill>
                  <w14:solidFill>
                    <w14:schemeClr w14:val="tx1"/>
                  </w14:solidFill>
                </w14:textFill>
              </w:rPr>
              <w:t>出具履约担保的银行级别：投标人公司注册所在地的全国性国有商业银行或股份制商业银行的分支机构。</w:t>
            </w:r>
          </w:p>
          <w:p w14:paraId="52863E53">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p>
          <w:p w14:paraId="349BEEBD">
            <w:pPr>
              <w:keepNext w:val="0"/>
              <w:keepLines w:val="0"/>
              <w:suppressLineNumbers w:val="0"/>
              <w:spacing w:before="0" w:beforeAutospacing="0" w:after="0" w:afterAutospacing="0"/>
              <w:ind w:left="105" w:leftChars="50"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□不要求</w:t>
            </w:r>
          </w:p>
        </w:tc>
      </w:tr>
      <w:tr w14:paraId="2C396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4" w:space="0"/>
            </w:tcBorders>
            <w:vAlign w:val="center"/>
          </w:tcPr>
          <w:p w14:paraId="4E12451C">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8.5.1</w:t>
            </w:r>
          </w:p>
        </w:tc>
        <w:tc>
          <w:tcPr>
            <w:tcW w:w="2344" w:type="dxa"/>
            <w:tcBorders>
              <w:top w:val="single" w:color="auto" w:sz="4" w:space="0"/>
              <w:left w:val="single" w:color="auto" w:sz="4" w:space="0"/>
              <w:bottom w:val="single" w:color="auto" w:sz="4" w:space="0"/>
              <w:right w:val="single" w:color="auto" w:sz="4" w:space="0"/>
            </w:tcBorders>
            <w:vAlign w:val="center"/>
          </w:tcPr>
          <w:p w14:paraId="0B15024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监督部门</w:t>
            </w:r>
          </w:p>
        </w:tc>
        <w:tc>
          <w:tcPr>
            <w:tcW w:w="6788" w:type="dxa"/>
            <w:tcBorders>
              <w:top w:val="single" w:color="auto" w:sz="4" w:space="0"/>
              <w:left w:val="single" w:color="auto" w:sz="4" w:space="0"/>
              <w:bottom w:val="single" w:color="auto" w:sz="4" w:space="0"/>
              <w:right w:val="single" w:color="auto" w:sz="12" w:space="0"/>
            </w:tcBorders>
            <w:vAlign w:val="center"/>
          </w:tcPr>
          <w:p w14:paraId="5D52A891">
            <w:pPr>
              <w:keepNext w:val="0"/>
              <w:keepLines w:val="0"/>
              <w:suppressLineNumbers w:val="0"/>
              <w:spacing w:before="0" w:beforeAutospacing="0" w:after="0" w:afterAutospacing="0"/>
              <w:ind w:left="113" w:right="113"/>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监督部门：始兴县交通运输局 </w:t>
            </w:r>
          </w:p>
          <w:p w14:paraId="3F344566">
            <w:pPr>
              <w:keepNext w:val="0"/>
              <w:keepLines w:val="0"/>
              <w:suppressLineNumbers w:val="0"/>
              <w:spacing w:before="0" w:beforeAutospacing="0" w:after="0" w:afterAutospacing="0"/>
              <w:ind w:left="113" w:right="113"/>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址：始兴县太平镇北门路420号</w:t>
            </w:r>
          </w:p>
          <w:p w14:paraId="2177B251">
            <w:pPr>
              <w:keepNext w:val="0"/>
              <w:keepLines w:val="0"/>
              <w:suppressLineNumbers w:val="0"/>
              <w:spacing w:before="0" w:beforeAutospacing="0" w:after="0" w:afterAutospacing="0"/>
              <w:ind w:left="113" w:right="113"/>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    话：0751-</w:t>
            </w:r>
            <w:r>
              <w:rPr>
                <w:rFonts w:hint="eastAsia" w:ascii="宋体" w:hAnsi="宋体" w:eastAsia="宋体" w:cs="宋体"/>
                <w:color w:val="000000" w:themeColor="text1"/>
                <w:szCs w:val="21"/>
                <w:highlight w:val="none"/>
                <w:lang w:val="en-US" w:eastAsia="zh-CN"/>
                <w14:textFill>
                  <w14:solidFill>
                    <w14:schemeClr w14:val="tx1"/>
                  </w14:solidFill>
                </w14:textFill>
              </w:rPr>
              <w:t>6973193</w:t>
            </w:r>
          </w:p>
          <w:p w14:paraId="44477CD8">
            <w:pPr>
              <w:keepNext w:val="0"/>
              <w:keepLines w:val="0"/>
              <w:suppressLineNumbers w:val="0"/>
              <w:spacing w:before="0" w:beforeAutospacing="0" w:after="0" w:afterAutospacing="0"/>
              <w:ind w:left="113" w:right="113"/>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上级主管部门：</w:t>
            </w:r>
          </w:p>
          <w:p w14:paraId="010CDC58">
            <w:pPr>
              <w:keepNext w:val="0"/>
              <w:keepLines w:val="0"/>
              <w:suppressLineNumbers w:val="0"/>
              <w:spacing w:before="0" w:beforeAutospacing="0" w:after="0" w:afterAutospacing="0"/>
              <w:ind w:left="113" w:right="113"/>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韶关市交通运输局，韶关市交通运输服务中心、韶关市公路事务中心</w:t>
            </w:r>
          </w:p>
        </w:tc>
      </w:tr>
      <w:tr w14:paraId="08F82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85" w:hRule="atLeast"/>
        </w:trPr>
        <w:tc>
          <w:tcPr>
            <w:tcW w:w="968" w:type="dxa"/>
            <w:tcBorders>
              <w:top w:val="single" w:color="auto" w:sz="4" w:space="0"/>
              <w:left w:val="single" w:color="auto" w:sz="12" w:space="0"/>
              <w:bottom w:val="single" w:color="auto" w:sz="4" w:space="0"/>
              <w:right w:val="single" w:color="auto" w:sz="4" w:space="0"/>
            </w:tcBorders>
            <w:vAlign w:val="center"/>
          </w:tcPr>
          <w:p w14:paraId="5DE9380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2344" w:type="dxa"/>
            <w:tcBorders>
              <w:top w:val="single" w:color="auto" w:sz="4" w:space="0"/>
              <w:left w:val="single" w:color="auto" w:sz="4" w:space="0"/>
              <w:bottom w:val="single" w:color="auto" w:sz="4" w:space="0"/>
              <w:right w:val="single" w:color="auto" w:sz="4" w:space="0"/>
            </w:tcBorders>
            <w:vAlign w:val="center"/>
          </w:tcPr>
          <w:p w14:paraId="5A43DC8B">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是否采用电子招标投标</w:t>
            </w:r>
          </w:p>
        </w:tc>
        <w:tc>
          <w:tcPr>
            <w:tcW w:w="6788" w:type="dxa"/>
            <w:tcBorders>
              <w:top w:val="single" w:color="auto" w:sz="4" w:space="0"/>
              <w:left w:val="single" w:color="auto" w:sz="4" w:space="0"/>
              <w:bottom w:val="single" w:color="auto" w:sz="4" w:space="0"/>
              <w:right w:val="single" w:color="auto" w:sz="12" w:space="0"/>
            </w:tcBorders>
            <w:vAlign w:val="center"/>
          </w:tcPr>
          <w:p w14:paraId="4D4A6644">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□否</w:t>
            </w:r>
          </w:p>
          <w:p w14:paraId="07D7EACF">
            <w:pPr>
              <w:keepNext w:val="0"/>
              <w:keepLines w:val="0"/>
              <w:suppressLineNumbers w:val="0"/>
              <w:autoSpaceDE w:val="0"/>
              <w:autoSpaceDN w:val="0"/>
              <w:spacing w:before="0" w:beforeAutospacing="0" w:after="0" w:afterAutospacing="0"/>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fldChar w:fldCharType="begin"/>
            </w:r>
            <w:r>
              <w:rPr>
                <w:rFonts w:hint="eastAsia" w:ascii="宋体" w:hAnsi="宋体" w:cs="宋体"/>
                <w:color w:val="000000" w:themeColor="text1"/>
                <w:kern w:val="0"/>
                <w:szCs w:val="21"/>
                <w:highlight w:val="none"/>
                <w14:textFill>
                  <w14:solidFill>
                    <w14:schemeClr w14:val="tx1"/>
                  </w14:solidFill>
                </w14:textFill>
              </w:rPr>
              <w:instrText xml:space="preserve">eq \o\ac(</w:instrText>
            </w:r>
            <w:r>
              <w:rPr>
                <w:rFonts w:hint="eastAsia" w:ascii="宋体" w:hAnsi="宋体" w:cs="宋体"/>
                <w:color w:val="000000" w:themeColor="text1"/>
                <w:kern w:val="0"/>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kern w:val="0"/>
                <w:szCs w:val="21"/>
                <w:highlight w:val="none"/>
                <w14:textFill>
                  <w14:solidFill>
                    <w14:schemeClr w14:val="tx1"/>
                  </w14:solidFill>
                </w14:textFill>
              </w:rPr>
              <w:instrText xml:space="preserve">,√)</w:instrText>
            </w:r>
            <w:r>
              <w:rPr>
                <w:rFonts w:hint="eastAsia" w:ascii="宋体" w:hAnsi="宋体" w:cs="宋体"/>
                <w:color w:val="000000" w:themeColor="text1"/>
                <w:kern w:val="0"/>
                <w:szCs w:val="21"/>
                <w:highlight w:val="none"/>
                <w14:textFill>
                  <w14:solidFill>
                    <w14:schemeClr w14:val="tx1"/>
                  </w14:solidFill>
                </w14:textFill>
              </w:rPr>
              <w:fldChar w:fldCharType="end"/>
            </w:r>
            <w:r>
              <w:rPr>
                <w:rFonts w:hint="eastAsia" w:ascii="宋体" w:hAnsi="宋体" w:cs="宋体"/>
                <w:color w:val="000000" w:themeColor="text1"/>
                <w:kern w:val="0"/>
                <w:szCs w:val="21"/>
                <w:highlight w:val="none"/>
                <w14:textFill>
                  <w14:solidFill>
                    <w14:schemeClr w14:val="tx1"/>
                  </w14:solidFill>
                </w14:textFill>
              </w:rPr>
              <w:t>是，具体要求：</w:t>
            </w:r>
          </w:p>
          <w:p w14:paraId="59CCDE1E">
            <w:pPr>
              <w:pStyle w:val="83"/>
              <w:keepNext w:val="0"/>
              <w:keepLines w:val="0"/>
              <w:suppressLineNumbers w:val="0"/>
              <w:spacing w:before="0" w:beforeAutospacing="0" w:after="0" w:afterAutospacing="0"/>
              <w:ind w:left="0" w:right="0" w:firstLine="422"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u w:val="single"/>
                <w14:textFill>
                  <w14:solidFill>
                    <w14:schemeClr w14:val="tx1"/>
                  </w14:solidFill>
                </w14:textFill>
              </w:rPr>
              <w:t>投标人必须在规定的截止时间前使用建设工程交易平台完成电子投标(包括缴纳投标保证金)。</w:t>
            </w:r>
          </w:p>
        </w:tc>
      </w:tr>
      <w:tr w14:paraId="1ECFB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100" w:type="dxa"/>
            <w:gridSpan w:val="3"/>
            <w:tcBorders>
              <w:top w:val="single" w:color="auto" w:sz="4" w:space="0"/>
              <w:left w:val="single" w:color="auto" w:sz="12" w:space="0"/>
              <w:bottom w:val="single" w:color="auto" w:sz="4" w:space="0"/>
              <w:right w:val="single" w:color="auto" w:sz="12" w:space="0"/>
            </w:tcBorders>
            <w:vAlign w:val="center"/>
          </w:tcPr>
          <w:p w14:paraId="69A0EADC">
            <w:pPr>
              <w:keepNext w:val="0"/>
              <w:keepLines w:val="0"/>
              <w:suppressLineNumbers w:val="0"/>
              <w:spacing w:before="0" w:beforeAutospacing="0" w:after="0" w:afterAutospacing="0" w:line="38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需补充的其他内容</w:t>
            </w:r>
          </w:p>
        </w:tc>
      </w:tr>
      <w:tr w14:paraId="67957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0232B905">
            <w:pPr>
              <w:keepNext w:val="0"/>
              <w:keepLines w:val="0"/>
              <w:suppressLineNumbers w:val="0"/>
              <w:autoSpaceDE w:val="0"/>
              <w:autoSpaceDN w:val="0"/>
              <w:spacing w:before="0" w:beforeAutospacing="0" w:after="0" w:afterAutospacing="0" w:line="480" w:lineRule="auto"/>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1.4.4</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083F3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投标人须知正文</w:t>
            </w:r>
          </w:p>
          <w:p w14:paraId="2CC19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第 1.4.4 项中（1）目中的“招标项目所在地”指“广东省”。</w:t>
            </w:r>
          </w:p>
          <w:p w14:paraId="02F0B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第 1.4.4（6）目内容细化如下：</w:t>
            </w:r>
          </w:p>
          <w:p w14:paraId="64CF1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（6）投标人及其法定代表人、拟委任的项目经理（含备选，如有）、项目总工（含备选，如有）在近三年内有行贿犯罪行为的（以投标人投标函中的承诺为准）。</w:t>
            </w:r>
          </w:p>
        </w:tc>
      </w:tr>
      <w:tr w14:paraId="77838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49AB3272">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4C4C4C0E">
            <w:pPr>
              <w:pStyle w:val="58"/>
              <w:keepNext w:val="0"/>
              <w:keepLines w:val="0"/>
              <w:suppressLineNumbers w:val="0"/>
              <w:spacing w:before="0" w:beforeAutospacing="0" w:after="0" w:afterAutospacing="0" w:line="380" w:lineRule="exact"/>
              <w:ind w:left="0" w:right="0"/>
              <w:jc w:val="both"/>
              <w:rPr>
                <w:rFonts w:hint="default" w:ascii="宋体" w:hAnsi="宋体" w:cs="宋体"/>
                <w:b/>
                <w:bCs/>
                <w:color w:val="000000" w:themeColor="text1"/>
                <w:kern w:val="2"/>
                <w:sz w:val="21"/>
                <w:szCs w:val="21"/>
                <w:highlight w:val="none"/>
                <w14:textFill>
                  <w14:solidFill>
                    <w14:schemeClr w14:val="tx1"/>
                  </w14:solidFill>
                </w14:textFill>
              </w:rPr>
            </w:pPr>
            <w:r>
              <w:rPr>
                <w:rFonts w:hint="eastAsia" w:ascii="宋体" w:hAnsi="宋体" w:cs="宋体"/>
                <w:b/>
                <w:bCs/>
                <w:color w:val="000000" w:themeColor="text1"/>
                <w:kern w:val="2"/>
                <w:sz w:val="21"/>
                <w:szCs w:val="21"/>
                <w:highlight w:val="none"/>
                <w14:textFill>
                  <w14:solidFill>
                    <w14:schemeClr w14:val="tx1"/>
                  </w14:solidFill>
                </w14:textFill>
              </w:rPr>
              <w:t>在投标人须知范本原文增加内容如下：</w:t>
            </w:r>
          </w:p>
          <w:p w14:paraId="32D65341">
            <w:pPr>
              <w:keepNext w:val="0"/>
              <w:keepLines w:val="0"/>
              <w:suppressLineNumbers w:val="0"/>
              <w:spacing w:before="0" w:beforeAutospacing="0" w:after="0" w:afterAutospacing="0" w:line="38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2.2.5 澄清和修改内容将以编号的补遗书形式在全国公共资源交易平台 （广东省·韶关市）（https://ygp.gdzwfw.gov.cn/ggzy-portal/#/440200/index）建设工程栏目的公告公示上发布。补遗书作为招标文件的组成部分，对所有投标人均具有约束力。</w:t>
            </w:r>
          </w:p>
        </w:tc>
      </w:tr>
      <w:tr w14:paraId="460C0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6F2A2242">
            <w:pPr>
              <w:keepNext w:val="0"/>
              <w:keepLines w:val="0"/>
              <w:suppressLineNumbers w:val="0"/>
              <w:autoSpaceDE w:val="0"/>
              <w:autoSpaceDN w:val="0"/>
              <w:spacing w:before="0" w:beforeAutospacing="0" w:after="0" w:afterAutospacing="0" w:line="48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2.3</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1CAB6438">
            <w:pPr>
              <w:keepNext w:val="0"/>
              <w:keepLines w:val="0"/>
              <w:pageBreakBefore w:val="0"/>
              <w:widowControl w:val="0"/>
              <w:suppressLineNumbers w:val="0"/>
              <w:kinsoku/>
              <w:wordWrap/>
              <w:overflowPunct/>
              <w:topLinePunct w:val="0"/>
              <w:autoSpaceDE w:val="0"/>
              <w:autoSpaceDN w:val="0"/>
              <w:bidi w:val="0"/>
              <w:adjustRightInd w:val="0"/>
              <w:snapToGrid/>
              <w:spacing w:before="51" w:beforeAutospacing="0" w:after="0" w:afterAutospacing="0" w:line="360" w:lineRule="exact"/>
              <w:ind w:left="0" w:right="176"/>
              <w:jc w:val="left"/>
              <w:textAlignment w:val="auto"/>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投标人须知正文第2.3款内容修改如下：</w:t>
            </w:r>
          </w:p>
          <w:p w14:paraId="54F4C58C">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420" w:firstLineChars="20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2.3.1在投标人须知前附表规定的截止投标时间15天前，招标人可以书面修改招标文件，并在</w:t>
            </w:r>
            <w:r>
              <w:rPr>
                <w:rFonts w:hint="eastAsia" w:ascii="宋体" w:hAnsi="宋体" w:cs="宋体"/>
                <w:color w:val="000000" w:themeColor="text1"/>
                <w:kern w:val="0"/>
                <w:szCs w:val="21"/>
                <w:highlight w:val="none"/>
                <w:u w:val="single"/>
                <w14:textFill>
                  <w14:solidFill>
                    <w14:schemeClr w14:val="tx1"/>
                  </w14:solidFill>
                </w14:textFill>
              </w:rPr>
              <w:t>全国公共资源交易平台 （广东省·韶关市）</w:t>
            </w:r>
            <w:r>
              <w:rPr>
                <w:rFonts w:hint="eastAsia" w:ascii="宋体" w:hAnsi="宋体" w:cs="宋体"/>
                <w:color w:val="000000" w:themeColor="text1"/>
                <w:kern w:val="0"/>
                <w:szCs w:val="21"/>
                <w:highlight w:val="none"/>
                <w14:textFill>
                  <w14:solidFill>
                    <w14:schemeClr w14:val="tx1"/>
                  </w14:solidFill>
                </w14:textFill>
              </w:rPr>
              <w:t>网站上</w:t>
            </w:r>
            <w:r>
              <w:rPr>
                <w:rFonts w:hint="eastAsia" w:ascii="宋体" w:hAnsi="宋体" w:cs="宋体"/>
                <w:color w:val="000000" w:themeColor="text1"/>
                <w:szCs w:val="21"/>
                <w:highlight w:val="none"/>
                <w14:textFill>
                  <w14:solidFill>
                    <w14:schemeClr w14:val="tx1"/>
                  </w14:solidFill>
                </w14:textFill>
              </w:rPr>
              <w:t>发布。如果修改招标文件的时间超出规定的截止时间，相应延长投标截止时间。</w:t>
            </w:r>
          </w:p>
          <w:p w14:paraId="1B6F270D">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420" w:firstLineChars="20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2.3.2招标文件的修改及有关补充通知一经在全国公共资源交易平台 （广东省·韶关市）网站上发布，视作已发放给所有投标人。</w:t>
            </w:r>
          </w:p>
        </w:tc>
      </w:tr>
      <w:tr w14:paraId="5A19C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1C6A0064">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3.1.1</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72AAFFDB">
            <w:pPr>
              <w:keepNext w:val="0"/>
              <w:keepLines w:val="0"/>
              <w:suppressLineNumbers w:val="0"/>
              <w:spacing w:before="0" w:beforeAutospacing="0" w:after="0" w:afterAutospacing="0" w:line="380" w:lineRule="exact"/>
              <w:ind w:left="0" w:right="0" w:firstLine="435"/>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将投标人须知原文3.1.1款修改如下：</w:t>
            </w:r>
          </w:p>
          <w:p w14:paraId="575B1843">
            <w:pPr>
              <w:keepNext w:val="0"/>
              <w:keepLines w:val="0"/>
              <w:suppressLineNumbers w:val="0"/>
              <w:spacing w:before="0" w:beforeAutospacing="0" w:after="0" w:afterAutospacing="0" w:line="380" w:lineRule="exact"/>
              <w:ind w:left="0" w:right="0" w:firstLine="435"/>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3.1.1 投标文件应包括下列内容：</w:t>
            </w:r>
          </w:p>
          <w:p w14:paraId="3CF623E6">
            <w:pPr>
              <w:keepNext w:val="0"/>
              <w:keepLines w:val="0"/>
              <w:suppressLineNumbers w:val="0"/>
              <w:spacing w:before="0" w:beforeAutospacing="0" w:after="0" w:afterAutospacing="0" w:line="38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第一个信封（商务及技术文件）</w:t>
            </w:r>
          </w:p>
          <w:p w14:paraId="00B4D8D3">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（1）投标函及投标函附录</w:t>
            </w:r>
          </w:p>
          <w:p w14:paraId="76D49AF7">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（2）授权委托书或法定代表人身份证明</w:t>
            </w:r>
          </w:p>
          <w:p w14:paraId="178B1FA8">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（3）投标保证金</w:t>
            </w:r>
          </w:p>
          <w:p w14:paraId="66F2449A">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（4）施工组织设计</w:t>
            </w:r>
          </w:p>
          <w:p w14:paraId="70128943">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（5）项目管理机构</w:t>
            </w:r>
          </w:p>
          <w:p w14:paraId="5E144A89">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（6）拟分包项目情况表</w:t>
            </w:r>
          </w:p>
          <w:p w14:paraId="55F96D67">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（7）资格审查资料(适用于未进行资格预审的)</w:t>
            </w:r>
          </w:p>
          <w:p w14:paraId="307E5D97">
            <w:pPr>
              <w:keepNext w:val="0"/>
              <w:keepLines w:val="0"/>
              <w:suppressLineNumbers w:val="0"/>
              <w:spacing w:before="0" w:beforeAutospacing="0" w:after="0" w:afterAutospacing="0" w:line="36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（8）其他资料</w:t>
            </w:r>
          </w:p>
          <w:p w14:paraId="47150974">
            <w:pPr>
              <w:keepNext w:val="0"/>
              <w:keepLines w:val="0"/>
              <w:suppressLineNumbers w:val="0"/>
              <w:spacing w:before="0" w:beforeAutospacing="0" w:after="0" w:afterAutospacing="0" w:line="380" w:lineRule="exact"/>
              <w:ind w:left="0" w:right="0" w:firstLine="43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第二个封信（报价文件）</w:t>
            </w:r>
          </w:p>
          <w:p w14:paraId="0D40B394">
            <w:pPr>
              <w:keepNext w:val="0"/>
              <w:keepLines w:val="0"/>
              <w:numPr>
                <w:ilvl w:val="0"/>
                <w:numId w:val="5"/>
              </w:numPr>
              <w:suppressLineNumbers w:val="0"/>
              <w:spacing w:before="0" w:beforeAutospacing="0" w:after="0" w:afterAutospacing="0" w:line="380" w:lineRule="exact"/>
              <w:ind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投标函；</w:t>
            </w:r>
          </w:p>
          <w:p w14:paraId="65A2B585">
            <w:pPr>
              <w:keepNext w:val="0"/>
              <w:keepLines w:val="0"/>
              <w:numPr>
                <w:ilvl w:val="0"/>
                <w:numId w:val="5"/>
              </w:numPr>
              <w:suppressLineNumbers w:val="0"/>
              <w:spacing w:before="0" w:beforeAutospacing="0" w:after="0" w:afterAutospacing="0" w:line="380" w:lineRule="exact"/>
              <w:ind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已标价工程量清单。</w:t>
            </w:r>
          </w:p>
          <w:p w14:paraId="4AED7D2A">
            <w:pPr>
              <w:pStyle w:val="56"/>
              <w:keepNext w:val="0"/>
              <w:keepLines w:val="0"/>
              <w:suppressLineNumbers w:val="0"/>
              <w:spacing w:before="0" w:beforeAutospacing="0" w:after="0" w:afterAutospacing="0" w:line="380" w:lineRule="exact"/>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投标人在评标过程中作出的符合法律法规和招标文件规定的澄清确认，构成投标文件的组成部分。</w:t>
            </w:r>
          </w:p>
        </w:tc>
      </w:tr>
      <w:tr w14:paraId="03853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305F5097">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3.2.1</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72B2A633">
            <w:pPr>
              <w:pStyle w:val="81"/>
              <w:keepNext w:val="0"/>
              <w:keepLines w:val="0"/>
              <w:pageBreakBefore w:val="0"/>
              <w:widowControl w:val="0"/>
              <w:suppressLineNumbers w:val="0"/>
              <w:kinsoku/>
              <w:wordWrap/>
              <w:overflowPunct/>
              <w:topLinePunct w:val="0"/>
              <w:autoSpaceDE/>
              <w:autoSpaceDN/>
              <w:bidi w:val="0"/>
              <w:adjustRightInd/>
              <w:snapToGrid/>
              <w:spacing w:before="19" w:beforeAutospacing="0" w:after="0" w:afterAutospacing="0" w:line="300" w:lineRule="exact"/>
              <w:ind w:left="103" w:right="-22"/>
              <w:textAlignment w:val="auto"/>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投标人须知正文第3.2.1项部分内容细化如下：</w:t>
            </w:r>
          </w:p>
          <w:p w14:paraId="6CFBA6FE">
            <w:pPr>
              <w:pStyle w:val="8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19" w:beforeAutospacing="0" w:after="0" w:afterAutospacing="0" w:line="300" w:lineRule="exact"/>
              <w:ind w:left="0" w:right="-22"/>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本项目招标由招标人提供工程量清单（已报名的投标单位可在全国公共资源交易平台 （广东省·韶关市）系统下载），投标人应按照招标人提供的工程量清单填写本合同各工程子目的单价、合价和总额价。投标人未在工程量清单中填入单价或总额价的工程子目，将被认为其已包含在工程量清单其他子目的单价和总额价中，招标人将不予支付。评标委员会将按照第三章“评标办法”规定对投标价进行算术性错误修正及其它错误修正。</w:t>
            </w:r>
          </w:p>
          <w:p w14:paraId="14EDA16A">
            <w:pPr>
              <w:pStyle w:val="81"/>
              <w:keepNext w:val="0"/>
              <w:keepLines w:val="0"/>
              <w:pageBreakBefore w:val="0"/>
              <w:widowControl w:val="0"/>
              <w:suppressLineNumbers w:val="0"/>
              <w:kinsoku/>
              <w:wordWrap/>
              <w:overflowPunct/>
              <w:topLinePunct w:val="0"/>
              <w:autoSpaceDE/>
              <w:autoSpaceDN/>
              <w:bidi w:val="0"/>
              <w:adjustRightInd/>
              <w:snapToGrid/>
              <w:spacing w:before="19" w:beforeAutospacing="0" w:after="0" w:afterAutospacing="0" w:line="300" w:lineRule="exact"/>
              <w:ind w:left="0" w:right="-22"/>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增加以下内容：</w:t>
            </w:r>
          </w:p>
          <w:p w14:paraId="3F0EDF9D">
            <w:pPr>
              <w:pStyle w:val="81"/>
              <w:keepNext w:val="0"/>
              <w:keepLines w:val="0"/>
              <w:pageBreakBefore w:val="0"/>
              <w:widowControl w:val="0"/>
              <w:numPr>
                <w:ilvl w:val="0"/>
                <w:numId w:val="6"/>
              </w:numPr>
              <w:suppressLineNumbers w:val="0"/>
              <w:kinsoku/>
              <w:wordWrap/>
              <w:overflowPunct/>
              <w:topLinePunct w:val="0"/>
              <w:autoSpaceDE/>
              <w:autoSpaceDN/>
              <w:bidi w:val="0"/>
              <w:adjustRightInd/>
              <w:snapToGrid/>
              <w:spacing w:before="19" w:beforeAutospacing="0" w:after="0" w:afterAutospacing="0" w:line="300" w:lineRule="exact"/>
              <w:ind w:left="0" w:right="-22"/>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投标人的投标函文字报价、工程量清单投标报价总价和上传至全国公共资源交易平台 （广东省·韶关市）交易平台的投标报价三者应该一致。若发生不一致而且是由于投标人的原因所致，将视为重大偏差，其投标将被否决。</w:t>
            </w:r>
          </w:p>
          <w:p w14:paraId="65280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投标报价的所有单价取小数点后两位，所有合价和总价应四舍五入取整数</w:t>
            </w:r>
            <w:r>
              <w:rPr>
                <w:rFonts w:hint="eastAsia" w:ascii="宋体" w:hAnsi="宋体" w:cs="宋体"/>
                <w:color w:val="000000" w:themeColor="text1"/>
                <w:szCs w:val="21"/>
                <w:highlight w:val="none"/>
                <w14:textFill>
                  <w14:solidFill>
                    <w14:schemeClr w14:val="tx1"/>
                  </w14:solidFill>
                </w14:textFill>
              </w:rPr>
              <w:t>。工程量清单不需要附单价分析表、项目清单、分项清单，但投标人中标后，发包人可要求中标人提交项目清单、分项清单及单价分析表，中标人不得拒绝。</w:t>
            </w:r>
          </w:p>
        </w:tc>
      </w:tr>
      <w:tr w14:paraId="71B2F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5075D0DB">
            <w:pPr>
              <w:keepNext w:val="0"/>
              <w:keepLines w:val="0"/>
              <w:suppressLineNumbers w:val="0"/>
              <w:spacing w:before="0" w:beforeAutospacing="0" w:after="0" w:afterAutospacing="0" w:line="42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3.4</w:t>
            </w:r>
            <w:r>
              <w:rPr>
                <w:rFonts w:hint="eastAsia" w:ascii="宋体" w:hAnsi="宋体" w:cs="宋体"/>
                <w:color w:val="000000" w:themeColor="text1"/>
                <w:szCs w:val="21"/>
                <w:highlight w:val="none"/>
                <w:lang w:bidi="zh-CN"/>
                <w14:textFill>
                  <w14:solidFill>
                    <w14:schemeClr w14:val="tx1"/>
                  </w14:solidFill>
                </w14:textFill>
              </w:rPr>
              <w:t>.3</w:t>
            </w:r>
          </w:p>
        </w:tc>
        <w:tc>
          <w:tcPr>
            <w:tcW w:w="9132" w:type="dxa"/>
            <w:gridSpan w:val="2"/>
            <w:tcBorders>
              <w:top w:val="single" w:color="auto" w:sz="4" w:space="0"/>
              <w:left w:val="single" w:color="auto" w:sz="2" w:space="0"/>
              <w:bottom w:val="single" w:color="auto" w:sz="4" w:space="0"/>
              <w:right w:val="single" w:color="auto" w:sz="12" w:space="0"/>
            </w:tcBorders>
          </w:tcPr>
          <w:p w14:paraId="18C37C61">
            <w:pPr>
              <w:keepNext w:val="0"/>
              <w:keepLines w:val="0"/>
              <w:suppressLineNumbers w:val="0"/>
              <w:spacing w:before="0" w:beforeAutospacing="0" w:after="0" w:afterAutospacing="0" w:line="276" w:lineRule="auto"/>
              <w:ind w:left="0" w:right="0"/>
              <w:rPr>
                <w:rFonts w:hint="default"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投标人须知正文3.4.3</w:t>
            </w:r>
            <w:r>
              <w:rPr>
                <w:rFonts w:hint="eastAsia" w:ascii="宋体" w:hAnsi="宋体" w:cs="宋体"/>
                <w:b/>
                <w:bCs/>
                <w:color w:val="000000" w:themeColor="text1"/>
                <w:szCs w:val="21"/>
                <w:highlight w:val="none"/>
                <w14:textFill>
                  <w14:solidFill>
                    <w14:schemeClr w14:val="tx1"/>
                  </w14:solidFill>
                </w14:textFill>
              </w:rPr>
              <w:t>项</w:t>
            </w:r>
            <w:r>
              <w:rPr>
                <w:rFonts w:hint="eastAsia" w:ascii="宋体" w:hAnsi="宋体" w:cs="宋体"/>
                <w:b/>
                <w:bCs/>
                <w:color w:val="000000" w:themeColor="text1"/>
                <w:szCs w:val="21"/>
                <w:highlight w:val="none"/>
                <w:lang w:val="zh-CN"/>
                <w14:textFill>
                  <w14:solidFill>
                    <w14:schemeClr w14:val="tx1"/>
                  </w14:solidFill>
                </w14:textFill>
              </w:rPr>
              <w:t xml:space="preserve">修改如下：     </w:t>
            </w:r>
          </w:p>
          <w:p w14:paraId="03C9A323">
            <w:pPr>
              <w:pStyle w:val="56"/>
              <w:keepNext w:val="0"/>
              <w:keepLines w:val="0"/>
              <w:suppressLineNumbers w:val="0"/>
              <w:spacing w:before="0" w:beforeAutospacing="0" w:after="0" w:afterAutospacing="0" w:line="240" w:lineRule="auto"/>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3.4.3（</w:t>
            </w:r>
            <w:r>
              <w:rPr>
                <w:rFonts w:hint="eastAsia" w:ascii="宋体" w:hAnsi="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val="zh-CN"/>
                <w14:textFill>
                  <w14:solidFill>
                    <w14:schemeClr w14:val="tx1"/>
                  </w14:solidFill>
                </w14:textFill>
              </w:rPr>
              <w:t>）中标人的投标保证金，系统在收到招标人与中标人所签合同后五日内退还原转出银行帐号；未中标投标人的投标保证金退还，按法定的评标结果、中标结果公示结束或异议处理结束后五日内分批退还至原转出银行帐号。</w:t>
            </w:r>
          </w:p>
        </w:tc>
      </w:tr>
      <w:tr w14:paraId="2247F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534184EB">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3.5.1</w:t>
            </w:r>
          </w:p>
        </w:tc>
        <w:tc>
          <w:tcPr>
            <w:tcW w:w="9132" w:type="dxa"/>
            <w:gridSpan w:val="2"/>
            <w:tcBorders>
              <w:top w:val="single" w:color="auto" w:sz="4" w:space="0"/>
              <w:left w:val="single" w:color="auto" w:sz="2" w:space="0"/>
              <w:bottom w:val="single" w:color="auto" w:sz="4" w:space="0"/>
              <w:right w:val="single" w:color="auto" w:sz="12" w:space="0"/>
            </w:tcBorders>
          </w:tcPr>
          <w:p w14:paraId="70A61ED7">
            <w:pPr>
              <w:keepNext w:val="0"/>
              <w:keepLines w:val="0"/>
              <w:suppressLineNumbers w:val="0"/>
              <w:spacing w:before="0" w:beforeAutospacing="0" w:after="0" w:afterAutospacing="0" w:line="380" w:lineRule="exact"/>
              <w:ind w:left="0" w:right="0"/>
              <w:rPr>
                <w:rFonts w:hint="default" w:ascii="宋体" w:hAnsi="宋体" w:cs="宋体"/>
                <w:b/>
                <w:bCs/>
                <w:color w:val="000000" w:themeColor="text1"/>
                <w:szCs w:val="21"/>
                <w:highlight w:val="none"/>
                <w:lang w:val="zh-CN" w:bidi="zh-CN"/>
                <w14:textFill>
                  <w14:solidFill>
                    <w14:schemeClr w14:val="tx1"/>
                  </w14:solidFill>
                </w14:textFill>
              </w:rPr>
            </w:pPr>
            <w:r>
              <w:rPr>
                <w:rFonts w:hint="eastAsia" w:ascii="宋体" w:hAnsi="宋体" w:cs="宋体"/>
                <w:b/>
                <w:bCs/>
                <w:color w:val="000000" w:themeColor="text1"/>
                <w:szCs w:val="21"/>
                <w:highlight w:val="none"/>
                <w:lang w:val="zh-CN" w:bidi="zh-CN"/>
                <w14:textFill>
                  <w14:solidFill>
                    <w14:schemeClr w14:val="tx1"/>
                  </w14:solidFill>
                </w14:textFill>
              </w:rPr>
              <w:t xml:space="preserve">投标人须知正文第 3.5.1 项内容修改如下： </w:t>
            </w:r>
          </w:p>
          <w:p w14:paraId="22D1B9BB">
            <w:pPr>
              <w:keepNext w:val="0"/>
              <w:keepLines w:val="0"/>
              <w:suppressLineNumbers w:val="0"/>
              <w:spacing w:before="0" w:beforeAutospacing="0" w:after="0" w:afterAutospacing="0" w:line="380" w:lineRule="exact"/>
              <w:ind w:left="0" w:right="0" w:firstLine="480"/>
              <w:rPr>
                <w:rFonts w:hint="default"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投标人须知正文第 3.5.1 项内容修改如下：</w:t>
            </w:r>
          </w:p>
          <w:p w14:paraId="5D78CF1E">
            <w:pPr>
              <w:keepNext w:val="0"/>
              <w:keepLines w:val="0"/>
              <w:suppressLineNumbers w:val="0"/>
              <w:spacing w:before="0" w:beforeAutospacing="0" w:after="0" w:afterAutospacing="0" w:line="380" w:lineRule="exact"/>
              <w:ind w:left="0" w:right="0" w:firstLine="480"/>
              <w:rPr>
                <w:rFonts w:hint="default"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投标人基本情况表”应附企业法人营业执照、施工资质证书、安全生产许可证、基本账户开户许可证（如企业所在地已取消企业银行账户许可而无法提供开户许可证的，则需附上开户银行出具的“基本存款账户信息”或“人民银行账户管理系统查询的基本账户信息截图”，下同）的复印件， 投标人在交通运输部“全国公路建设市场监督管理系统”公路工程施工资质企业名录中的网页截图复印件，以及投标人在“国家企业信用信息公示系统”中基础信息（体现股东及出资详细信息）的网页截图复印件。</w:t>
            </w:r>
          </w:p>
          <w:p w14:paraId="53BD15BA">
            <w:pPr>
              <w:keepNext w:val="0"/>
              <w:keepLines w:val="0"/>
              <w:suppressLineNumbers w:val="0"/>
              <w:spacing w:before="0" w:beforeAutospacing="0" w:after="0" w:afterAutospacing="0" w:line="380" w:lineRule="exact"/>
              <w:ind w:left="0" w:right="0" w:firstLine="480"/>
              <w:rPr>
                <w:rFonts w:hint="default"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企业法人营业执照、施工资质证书、安全生产许可证、基本账户开户许可证的复印件应提供全本（证书封面、封底、空白页除外），包括投标人名称、投标人其他相关信息、颁发机构名称、投标人信息变更情况等关键页在内。</w:t>
            </w:r>
          </w:p>
        </w:tc>
      </w:tr>
      <w:tr w14:paraId="1D7D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5CD8F0C0">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719AC21E">
            <w:pPr>
              <w:keepNext w:val="0"/>
              <w:keepLines w:val="0"/>
              <w:suppressLineNumbers w:val="0"/>
              <w:spacing w:before="0" w:beforeAutospacing="0" w:after="0" w:afterAutospacing="0" w:line="380" w:lineRule="exact"/>
              <w:ind w:left="0" w:right="0" w:firstLine="422" w:firstLineChars="200"/>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投标人须知正文第 3.5.2 项内容修改如下：</w:t>
            </w:r>
          </w:p>
          <w:p w14:paraId="31A4B90B">
            <w:pPr>
              <w:keepNext w:val="0"/>
              <w:keepLines w:val="0"/>
              <w:suppressLineNumbers w:val="0"/>
              <w:spacing w:before="0" w:beforeAutospacing="0" w:after="0" w:afterAutospacing="0" w:line="380" w:lineRule="exact"/>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近年财务状况表”具体年份要求见投标人须知前附表，近年财务信息以投标人提供的“全国公路建设市场监督管理系统”企业所填的信息截图为准。投标人的成立时间少于投标人须知前附表规定年份的，应提供成立以来的财务信息截图或网页打印件，且规定年份的平均营业总收入按成立以来的财务数据结合招标文件规定的年份进行计算评审，盈利满足资格审查要求的年数。“近年财务状况表”所填数据应与信息截图的数据一致。</w:t>
            </w:r>
          </w:p>
        </w:tc>
      </w:tr>
      <w:tr w14:paraId="1B020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59B7EC4E">
            <w:pPr>
              <w:keepNext w:val="0"/>
              <w:keepLines w:val="0"/>
              <w:suppressLineNumbers w:val="0"/>
              <w:spacing w:before="0" w:beforeAutospacing="0" w:after="0" w:afterAutospacing="0" w:line="380" w:lineRule="exact"/>
              <w:ind w:left="0" w:right="0"/>
              <w:jc w:val="center"/>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3.5.3</w:t>
            </w:r>
          </w:p>
          <w:p w14:paraId="1740E4D1">
            <w:pPr>
              <w:keepNext w:val="0"/>
              <w:keepLines w:val="0"/>
              <w:suppressLineNumbers w:val="0"/>
              <w:spacing w:before="0" w:beforeAutospacing="0" w:after="0" w:afterAutospacing="0" w:line="380" w:lineRule="exact"/>
              <w:ind w:left="0" w:right="0" w:firstLine="420" w:firstLineChars="200"/>
              <w:jc w:val="center"/>
              <w:rPr>
                <w:rFonts w:hint="eastAsia" w:ascii="宋体" w:hAnsi="宋体" w:eastAsia="宋体" w:cs="宋体"/>
                <w:color w:val="000000" w:themeColor="text1"/>
                <w:szCs w:val="21"/>
                <w:highlight w:val="none"/>
                <w14:textFill>
                  <w14:solidFill>
                    <w14:schemeClr w14:val="tx1"/>
                  </w14:solidFill>
                </w14:textFill>
              </w:rPr>
            </w:pP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31D13461">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投标人须知正文第 3.5.3 项内容修改如下： </w:t>
            </w:r>
          </w:p>
          <w:p w14:paraId="1829B029">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“近年完成的类似项目”应是已列入交通运输部“全国公路建设市场监督管理系统”并公开的总包已建业绩或分包（不包括劳务分包）已建业绩，具体时间要求见投标人须知前附表。</w:t>
            </w:r>
          </w:p>
          <w:p w14:paraId="682F477E">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近年完成的类似项目情况表”应附在交通运输部“全国公路建设市场监督管理系统”中查询到的企业“业绩信息”相关项目网页截图复印件或网页打印件，即包括“项目名称”、“标段类型”、“合同价”、“主要工程量”等栏目在内的项目详细信息网页截图复印件或网页打印件。除网页截图复印件或网页打印件外，投标人无需再提供任何业绩证明材料。</w:t>
            </w:r>
          </w:p>
          <w:p w14:paraId="58A4E02D">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如投标人未提供相关项目网页截图复印件或相关项目网页截图中的信息无法证实投标人满足招标文件规定的资格审查条件（业绩最低要求）或评标办法评分标准（如有），则该项目业绩不予认定。</w:t>
            </w:r>
          </w:p>
          <w:p w14:paraId="4C542819">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如近年来，投标人法人机构发生合法变更或重组或法人名称变更时，应提供相关部门的合法批件或其他相关证明材料来证明其所附业绩的继承性。</w:t>
            </w:r>
          </w:p>
        </w:tc>
      </w:tr>
      <w:tr w14:paraId="677BB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4E86E461">
            <w:pPr>
              <w:keepNext w:val="0"/>
              <w:keepLines w:val="0"/>
              <w:suppressLineNumbers w:val="0"/>
              <w:spacing w:before="0" w:beforeAutospacing="0" w:after="0" w:afterAutospacing="0" w:line="420" w:lineRule="exact"/>
              <w:ind w:left="0" w:right="0"/>
              <w:jc w:val="center"/>
              <w:rPr>
                <w:rFonts w:hint="default"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3.5.4</w:t>
            </w:r>
          </w:p>
        </w:tc>
        <w:tc>
          <w:tcPr>
            <w:tcW w:w="9132" w:type="dxa"/>
            <w:gridSpan w:val="2"/>
            <w:tcBorders>
              <w:top w:val="single" w:color="auto" w:sz="4" w:space="0"/>
              <w:left w:val="single" w:color="auto" w:sz="2" w:space="0"/>
              <w:bottom w:val="single" w:color="auto" w:sz="4" w:space="0"/>
              <w:right w:val="single" w:color="auto" w:sz="12" w:space="0"/>
            </w:tcBorders>
          </w:tcPr>
          <w:p w14:paraId="47FF08B0">
            <w:pPr>
              <w:keepNext w:val="0"/>
              <w:keepLines w:val="0"/>
              <w:suppressLineNumbers w:val="0"/>
              <w:spacing w:before="0" w:beforeAutospacing="0" w:after="0" w:afterAutospacing="0" w:line="420" w:lineRule="exact"/>
              <w:ind w:left="0" w:right="0" w:firstLine="422" w:firstLineChars="200"/>
              <w:jc w:val="left"/>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投标人须知正文第 3.5.4 项内容修改如下： </w:t>
            </w:r>
          </w:p>
          <w:p w14:paraId="15F9C406">
            <w:pPr>
              <w:keepNext w:val="0"/>
              <w:keepLines w:val="0"/>
              <w:suppressLineNumbers w:val="0"/>
              <w:spacing w:before="0" w:beforeAutospacing="0" w:after="0" w:afterAutospacing="0" w:line="420" w:lineRule="exact"/>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“投标人的信誉情况”应附投标人在“国家企业信用信息公示系统”中未被列入严重违法失信企业名单、在“信用中国”网站中未被列入失信被执行人名单的网页截图复印件。</w:t>
            </w:r>
          </w:p>
        </w:tc>
      </w:tr>
      <w:tr w14:paraId="5C2E1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2941EC3B">
            <w:pPr>
              <w:keepNext w:val="0"/>
              <w:keepLines w:val="0"/>
              <w:suppressLineNumbers w:val="0"/>
              <w:spacing w:before="0" w:beforeAutospacing="0" w:after="0" w:afterAutospacing="0" w:line="420" w:lineRule="exact"/>
              <w:ind w:left="0" w:right="0"/>
              <w:jc w:val="center"/>
              <w:rPr>
                <w:rFonts w:hint="default" w:ascii="宋体" w:hAnsi="宋体" w:cs="宋体"/>
                <w:color w:val="000000" w:themeColor="text1"/>
                <w:szCs w:val="21"/>
                <w:highlight w:val="none"/>
                <w:lang w:val="zh-CN" w:bidi="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3.5.5</w:t>
            </w:r>
          </w:p>
        </w:tc>
        <w:tc>
          <w:tcPr>
            <w:tcW w:w="9132" w:type="dxa"/>
            <w:gridSpan w:val="2"/>
            <w:tcBorders>
              <w:top w:val="single" w:color="auto" w:sz="4" w:space="0"/>
              <w:left w:val="single" w:color="auto" w:sz="2" w:space="0"/>
              <w:bottom w:val="single" w:color="auto" w:sz="4" w:space="0"/>
              <w:right w:val="single" w:color="auto" w:sz="12" w:space="0"/>
            </w:tcBorders>
          </w:tcPr>
          <w:p w14:paraId="6FC104E2">
            <w:pPr>
              <w:keepNext w:val="0"/>
              <w:keepLines w:val="0"/>
              <w:suppressLineNumbers w:val="0"/>
              <w:spacing w:before="0" w:beforeAutospacing="0" w:after="0" w:afterAutospacing="0" w:line="420" w:lineRule="exact"/>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删除原 3.5.5 项内容，修改如下：</w:t>
            </w:r>
          </w:p>
          <w:p w14:paraId="48DF9C0C">
            <w:pPr>
              <w:keepNext w:val="0"/>
              <w:keepLines w:val="0"/>
              <w:suppressLineNumbers w:val="0"/>
              <w:spacing w:before="0" w:beforeAutospacing="0" w:after="0" w:afterAutospacing="0" w:line="420" w:lineRule="exact"/>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拟委任的项目经理和项目总工资历表”应同时附①交通运输部“全国公路建设市场监督管理系统”中载明的、能够证明项目经理（以及备选人，如有）和项目总工（以及备选人，如有）满足投标人须知前附表附录 5 或者评标办法评分标准（如有）所提出的各项指标（即包括人员的“基本信息”、“职称信息”、“执业资格”、“个人业绩”等栏目在内）的网页截图复印件或网页打印件；②建造师注册证书在全国建筑市场监管公共服务平台上公开信息的网页截图复印件或网页打印件；③安全生产考核合格证书在交通运输部公路水运工程施工企业主要负责人和安全生产管理人员信息管理系统上查询公开信息的网页截图复印件或网页打印件；④投标人在社保系统打印的拟委任的项目经理（以及备选人，如有）和项目总工（以及备选人，如有）参加社保的缴费明细复印件（社保时段为投标文件递交截止日前半年时间内连续不少于三个月）。</w:t>
            </w:r>
          </w:p>
          <w:p w14:paraId="04D810E6">
            <w:pPr>
              <w:keepNext w:val="0"/>
              <w:keepLines w:val="0"/>
              <w:suppressLineNumbers w:val="0"/>
              <w:spacing w:before="0" w:beforeAutospacing="0" w:after="0" w:afterAutospacing="0" w:line="420" w:lineRule="exact"/>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建造师注册信息以②的证明材料为准，安全生产考核信息以③的证明材料为准。</w:t>
            </w:r>
          </w:p>
          <w:p w14:paraId="15690E78">
            <w:pPr>
              <w:keepNext w:val="0"/>
              <w:keepLines w:val="0"/>
              <w:suppressLineNumbers w:val="0"/>
              <w:spacing w:before="0" w:beforeAutospacing="0" w:after="0" w:afterAutospacing="0" w:line="420" w:lineRule="exact"/>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除上述资料外，投标人无需再提供任何证明材料。</w:t>
            </w:r>
          </w:p>
          <w:p w14:paraId="5BFC4A78">
            <w:pPr>
              <w:keepNext w:val="0"/>
              <w:keepLines w:val="0"/>
              <w:suppressLineNumbers w:val="0"/>
              <w:spacing w:before="0" w:beforeAutospacing="0" w:after="0" w:afterAutospacing="0" w:line="420" w:lineRule="exact"/>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如项目经理（以及备选人，如有）和项目总工（以及备选人，如有）目前仍在其他项目上任职，则投标人应按投标函的格式承诺上述人员能够从该项目撤离。</w:t>
            </w:r>
          </w:p>
        </w:tc>
      </w:tr>
      <w:tr w14:paraId="40606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15A6C22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3.5.6</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416CD703">
            <w:pPr>
              <w:keepNext w:val="0"/>
              <w:keepLines w:val="0"/>
              <w:suppressLineNumbers w:val="0"/>
              <w:spacing w:before="0" w:beforeAutospacing="0" w:after="0" w:afterAutospacing="0" w:line="420" w:lineRule="exact"/>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删除原 3.5.</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 xml:space="preserve"> 项内容，修改如下：</w:t>
            </w:r>
          </w:p>
          <w:p w14:paraId="51CD1C1D">
            <w:pPr>
              <w:keepNext w:val="0"/>
              <w:keepLines w:val="0"/>
              <w:suppressLineNumbers w:val="0"/>
              <w:spacing w:before="0" w:beforeAutospacing="0" w:after="0" w:afterAutospacing="0" w:line="420" w:lineRule="exact"/>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“拟委任的其他管理和技术人员</w:t>
            </w:r>
            <w:r>
              <w:rPr>
                <w:rFonts w:hint="eastAsia" w:ascii="宋体" w:hAnsi="宋体" w:eastAsia="宋体" w:cs="宋体"/>
                <w:color w:val="000000" w:themeColor="text1"/>
                <w:szCs w:val="21"/>
                <w:highlight w:val="none"/>
                <w:lang w:eastAsia="zh-CN"/>
                <w14:textFill>
                  <w14:solidFill>
                    <w14:schemeClr w14:val="tx1"/>
                  </w14:solidFill>
                </w14:textFill>
              </w:rPr>
              <w:t>情况</w:t>
            </w:r>
            <w:r>
              <w:rPr>
                <w:rFonts w:hint="eastAsia" w:ascii="宋体" w:hAnsi="宋体" w:eastAsia="宋体" w:cs="宋体"/>
                <w:color w:val="000000" w:themeColor="text1"/>
                <w:szCs w:val="21"/>
                <w:highlight w:val="none"/>
                <w14:textFill>
                  <w14:solidFill>
                    <w14:schemeClr w14:val="tx1"/>
                  </w14:solidFill>
                </w14:textFill>
              </w:rPr>
              <w:t>表”(如有) ，应按本章附录6备注要求承诺。</w:t>
            </w:r>
          </w:p>
        </w:tc>
      </w:tr>
      <w:tr w14:paraId="6E481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431862E5">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3.5.7</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34FD790D">
            <w:pPr>
              <w:keepNext w:val="0"/>
              <w:keepLines w:val="0"/>
              <w:widowControl/>
              <w:suppressLineNumbers w:val="0"/>
              <w:spacing w:before="0" w:beforeAutospacing="0" w:after="0" w:afterAutospacing="0"/>
              <w:ind w:left="0" w:right="0"/>
              <w:jc w:val="left"/>
              <w:rPr>
                <w:rFonts w:hint="default"/>
                <w:b/>
                <w:color w:val="000000" w:themeColor="text1"/>
                <w:highlight w:val="none"/>
                <w14:textFill>
                  <w14:solidFill>
                    <w14:schemeClr w14:val="tx1"/>
                  </w14:solidFill>
                </w14:textFill>
              </w:rPr>
            </w:pPr>
            <w:r>
              <w:rPr>
                <w:rFonts w:hint="eastAsia" w:ascii="宋体" w:hAnsi="宋体" w:cs="宋体"/>
                <w:b/>
                <w:color w:val="000000" w:themeColor="text1"/>
                <w:kern w:val="0"/>
                <w:sz w:val="20"/>
                <w:szCs w:val="20"/>
                <w:highlight w:val="none"/>
                <w14:textFill>
                  <w14:solidFill>
                    <w14:schemeClr w14:val="tx1"/>
                  </w14:solidFill>
                </w14:textFill>
              </w:rPr>
              <w:t xml:space="preserve">删除原 3.5.7 项内容，修改如下： </w:t>
            </w:r>
          </w:p>
          <w:p w14:paraId="2EE95B27">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“拟投入本标段的主要设备表”（如有）</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应</w:t>
            </w:r>
            <w:r>
              <w:rPr>
                <w:rFonts w:hint="eastAsia" w:ascii="宋体" w:hAnsi="宋体" w:eastAsia="宋体" w:cs="宋体"/>
                <w:color w:val="000000" w:themeColor="text1"/>
                <w:szCs w:val="21"/>
                <w:highlight w:val="none"/>
                <w:lang w:eastAsia="zh-CN"/>
                <w14:textFill>
                  <w14:solidFill>
                    <w14:schemeClr w14:val="tx1"/>
                  </w14:solidFill>
                </w14:textFill>
              </w:rPr>
              <w:t>按</w:t>
            </w:r>
            <w:r>
              <w:rPr>
                <w:rFonts w:hint="eastAsia" w:ascii="宋体" w:hAnsi="宋体" w:eastAsia="宋体" w:cs="宋体"/>
                <w:color w:val="000000" w:themeColor="text1"/>
                <w:szCs w:val="21"/>
                <w:highlight w:val="none"/>
                <w14:textFill>
                  <w14:solidFill>
                    <w14:schemeClr w14:val="tx1"/>
                  </w14:solidFill>
                </w14:textFill>
              </w:rPr>
              <w:t>本章附录</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备注要求承诺</w:t>
            </w:r>
            <w:r>
              <w:rPr>
                <w:rFonts w:hint="eastAsia" w:ascii="宋体" w:hAnsi="宋体" w:eastAsia="宋体" w:cs="宋体"/>
                <w:color w:val="000000" w:themeColor="text1"/>
                <w:szCs w:val="21"/>
                <w:highlight w:val="none"/>
                <w:lang w:eastAsia="zh-CN"/>
                <w14:textFill>
                  <w14:solidFill>
                    <w14:schemeClr w14:val="tx1"/>
                  </w14:solidFill>
                </w14:textFill>
              </w:rPr>
              <w:t>。</w:t>
            </w:r>
          </w:p>
        </w:tc>
      </w:tr>
      <w:tr w14:paraId="423D3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1B2D9733">
            <w:pPr>
              <w:keepNext w:val="0"/>
              <w:keepLines w:val="0"/>
              <w:suppressLineNumbers w:val="0"/>
              <w:spacing w:before="0" w:beforeAutospacing="0" w:after="0" w:afterAutospacing="0" w:line="380" w:lineRule="exact"/>
              <w:ind w:left="0" w:right="0"/>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3.5.12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486D8EAA">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投标人须知正文增加</w:t>
            </w:r>
            <w:r>
              <w:rPr>
                <w:rFonts w:hint="eastAsia" w:ascii="宋体" w:hAnsi="宋体" w:eastAsia="宋体" w:cs="宋体"/>
                <w:color w:val="000000" w:themeColor="text1"/>
                <w:szCs w:val="21"/>
                <w:highlight w:val="none"/>
                <w:lang w:eastAsia="zh-CN"/>
                <w14:textFill>
                  <w14:solidFill>
                    <w14:schemeClr w14:val="tx1"/>
                  </w14:solidFill>
                </w14:textFill>
              </w:rPr>
              <w:t>第</w:t>
            </w:r>
            <w:r>
              <w:rPr>
                <w:rFonts w:hint="eastAsia" w:ascii="宋体" w:hAnsi="宋体" w:eastAsia="宋体" w:cs="宋体"/>
                <w:color w:val="000000" w:themeColor="text1"/>
                <w:szCs w:val="21"/>
                <w:highlight w:val="none"/>
                <w14:textFill>
                  <w14:solidFill>
                    <w14:schemeClr w14:val="tx1"/>
                  </w14:solidFill>
                </w14:textFill>
              </w:rPr>
              <w:t>3.5.12项，内容如下：</w:t>
            </w:r>
          </w:p>
          <w:p w14:paraId="5E3E5609">
            <w:pPr>
              <w:keepNext w:val="0"/>
              <w:keepLines w:val="0"/>
              <w:widowControl/>
              <w:suppressLineNumbers w:val="0"/>
              <w:spacing w:before="0" w:beforeAutospacing="0" w:after="0" w:afterAutospacing="0"/>
              <w:ind w:left="0" w:right="0"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投标人在资格预审申请文件中填报的项目经理（以及备选人，如有）和项目总工（以及备选人，如有）在投标阶段</w:t>
            </w:r>
            <w:r>
              <w:rPr>
                <w:rFonts w:hint="eastAsia" w:ascii="宋体" w:hAnsi="宋体" w:eastAsia="宋体" w:cs="宋体"/>
                <w:color w:val="000000" w:themeColor="text1"/>
                <w:szCs w:val="21"/>
                <w:highlight w:val="none"/>
                <w:lang w:eastAsia="zh-CN"/>
                <w14:textFill>
                  <w14:solidFill>
                    <w14:schemeClr w14:val="tx1"/>
                  </w14:solidFill>
                </w14:textFill>
              </w:rPr>
              <w:t>原则上</w:t>
            </w:r>
            <w:r>
              <w:rPr>
                <w:rFonts w:hint="eastAsia" w:ascii="宋体" w:hAnsi="宋体" w:eastAsia="宋体" w:cs="宋体"/>
                <w:color w:val="000000" w:themeColor="text1"/>
                <w:szCs w:val="21"/>
                <w:highlight w:val="none"/>
                <w14:textFill>
                  <w14:solidFill>
                    <w14:schemeClr w14:val="tx1"/>
                  </w14:solidFill>
                </w14:textFill>
              </w:rPr>
              <w:t>不允许更换</w:t>
            </w:r>
            <w:r>
              <w:rPr>
                <w:rFonts w:hint="eastAsia" w:ascii="宋体" w:hAnsi="宋体" w:eastAsia="宋体" w:cs="宋体"/>
                <w:color w:val="000000" w:themeColor="text1"/>
                <w:szCs w:val="21"/>
                <w:highlight w:val="none"/>
                <w:lang w:eastAsia="zh-CN"/>
                <w14:textFill>
                  <w14:solidFill>
                    <w14:schemeClr w14:val="tx1"/>
                  </w14:solidFill>
                </w14:textFill>
              </w:rPr>
              <w:t>，特殊情况可除外：因</w:t>
            </w:r>
            <w:r>
              <w:rPr>
                <w:rFonts w:hint="eastAsia" w:ascii="宋体" w:hAnsi="宋体" w:eastAsia="宋体" w:cs="宋体"/>
                <w:color w:val="000000" w:themeColor="text1"/>
                <w:szCs w:val="21"/>
                <w:highlight w:val="none"/>
                <w:lang w:val="en-US" w:eastAsia="zh-CN"/>
                <w14:textFill>
                  <w14:solidFill>
                    <w14:schemeClr w14:val="tx1"/>
                  </w14:solidFill>
                </w14:textFill>
              </w:rPr>
              <w:t>不可抗力因素导致</w:t>
            </w:r>
            <w:r>
              <w:rPr>
                <w:rFonts w:hint="eastAsia" w:ascii="宋体" w:hAnsi="宋体" w:eastAsia="宋体" w:cs="宋体"/>
                <w:color w:val="000000" w:themeColor="text1"/>
                <w:szCs w:val="21"/>
                <w:highlight w:val="none"/>
                <w14:textFill>
                  <w14:solidFill>
                    <w14:schemeClr w14:val="tx1"/>
                  </w14:solidFill>
                </w14:textFill>
              </w:rPr>
              <w:t>。</w:t>
            </w:r>
          </w:p>
        </w:tc>
      </w:tr>
      <w:tr w14:paraId="7FAA6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0970B99B">
            <w:pPr>
              <w:keepNext w:val="0"/>
              <w:keepLines w:val="0"/>
              <w:suppressLineNumbers w:val="0"/>
              <w:spacing w:before="0" w:beforeAutospacing="0" w:after="0" w:afterAutospacing="0" w:line="380" w:lineRule="exact"/>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60B72B4E">
            <w:pPr>
              <w:pStyle w:val="58"/>
              <w:keepNext w:val="0"/>
              <w:keepLines w:val="0"/>
              <w:suppressLineNumbers w:val="0"/>
              <w:spacing w:before="0" w:beforeAutospacing="0" w:after="0" w:afterAutospacing="0" w:line="380" w:lineRule="exact"/>
              <w:ind w:left="0" w:right="0"/>
              <w:jc w:val="both"/>
              <w:rPr>
                <w:rFonts w:hint="default" w:ascii="宋体" w:hAnsi="宋体" w:cs="宋体"/>
                <w:b/>
                <w:color w:val="000000" w:themeColor="text1"/>
                <w:kern w:val="2"/>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删除原 3.7.4、3.7.5项内容，修改如下：</w:t>
            </w:r>
          </w:p>
          <w:p w14:paraId="55F28E9E">
            <w:pPr>
              <w:pStyle w:val="58"/>
              <w:keepNext w:val="0"/>
              <w:keepLines w:val="0"/>
              <w:suppressLineNumbers w:val="0"/>
              <w:spacing w:before="0" w:beforeAutospacing="0" w:after="0" w:afterAutospacing="0" w:line="380" w:lineRule="exact"/>
              <w:ind w:left="0" w:right="0" w:firstLine="420" w:firstLineChars="200"/>
              <w:jc w:val="both"/>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3.7.4</w:t>
            </w:r>
            <w:r>
              <w:rPr>
                <w:rFonts w:hint="eastAsia" w:ascii="宋体" w:hAnsi="宋体" w:cs="宋体"/>
                <w:color w:val="000000" w:themeColor="text1"/>
                <w:sz w:val="21"/>
                <w:szCs w:val="21"/>
                <w:highlight w:val="none"/>
                <w14:textFill>
                  <w14:solidFill>
                    <w14:schemeClr w14:val="tx1"/>
                  </w14:solidFill>
                </w14:textFill>
              </w:rPr>
              <w:t>本项目采用全流程电子投标，不需要提交纸质版的投标文件</w:t>
            </w:r>
            <w:r>
              <w:rPr>
                <w:rFonts w:hint="eastAsia" w:ascii="宋体" w:hAnsi="宋体" w:cs="宋体"/>
                <w:color w:val="000000" w:themeColor="text1"/>
                <w:kern w:val="2"/>
                <w:sz w:val="21"/>
                <w:szCs w:val="21"/>
                <w:highlight w:val="none"/>
                <w14:textFill>
                  <w14:solidFill>
                    <w14:schemeClr w14:val="tx1"/>
                  </w14:solidFill>
                </w14:textFill>
              </w:rPr>
              <w:t>，投标单位没有成功</w:t>
            </w:r>
            <w:r>
              <w:rPr>
                <w:rFonts w:hint="eastAsia" w:ascii="宋体" w:hAnsi="宋体" w:cs="宋体"/>
                <w:bCs/>
                <w:color w:val="000000" w:themeColor="text1"/>
                <w:sz w:val="21"/>
                <w:szCs w:val="21"/>
                <w:highlight w:val="none"/>
                <w14:textFill>
                  <w14:solidFill>
                    <w14:schemeClr w14:val="tx1"/>
                  </w14:solidFill>
                </w14:textFill>
              </w:rPr>
              <w:t>完成电子投标（包括缴纳投标保证金）</w:t>
            </w:r>
            <w:r>
              <w:rPr>
                <w:rFonts w:hint="eastAsia" w:ascii="宋体" w:hAnsi="宋体" w:cs="宋体"/>
                <w:color w:val="000000" w:themeColor="text1"/>
                <w:kern w:val="2"/>
                <w:sz w:val="21"/>
                <w:szCs w:val="21"/>
                <w:highlight w:val="none"/>
                <w14:textFill>
                  <w14:solidFill>
                    <w14:schemeClr w14:val="tx1"/>
                  </w14:solidFill>
                </w14:textFill>
              </w:rPr>
              <w:t>，则视为无效，按无效标书处理。</w:t>
            </w:r>
          </w:p>
        </w:tc>
      </w:tr>
      <w:tr w14:paraId="299B1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01345C38">
            <w:pPr>
              <w:keepNext w:val="0"/>
              <w:keepLines w:val="0"/>
              <w:suppressLineNumbers w:val="0"/>
              <w:autoSpaceDE w:val="0"/>
              <w:autoSpaceDN w:val="0"/>
              <w:spacing w:before="0" w:beforeAutospacing="0" w:after="0" w:afterAutospacing="0" w:line="480" w:lineRule="auto"/>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4.1</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318E9836">
            <w:pPr>
              <w:keepNext w:val="0"/>
              <w:keepLines w:val="0"/>
              <w:suppressLineNumbers w:val="0"/>
              <w:spacing w:before="0" w:beforeAutospacing="0" w:after="0" w:afterAutospacing="0" w:line="38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 4.1 项内容修改如下：</w:t>
            </w:r>
          </w:p>
          <w:p w14:paraId="14F7AA98">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本项目采用全流程电子投标，不需要提交纸质版的投标文件。投标单位</w:t>
            </w:r>
            <w:r>
              <w:rPr>
                <w:rFonts w:hint="eastAsia" w:ascii="宋体" w:hAnsi="宋体" w:cs="Arial"/>
                <w:color w:val="000000" w:themeColor="text1"/>
                <w:szCs w:val="21"/>
                <w:highlight w:val="none"/>
                <w14:textFill>
                  <w14:solidFill>
                    <w14:schemeClr w14:val="tx1"/>
                  </w14:solidFill>
                </w14:textFill>
              </w:rPr>
              <w:t>中标后须提交</w:t>
            </w:r>
            <w:r>
              <w:rPr>
                <w:rFonts w:hint="eastAsia" w:ascii="宋体" w:hAnsi="宋体" w:cs="宋体"/>
                <w:bCs/>
                <w:color w:val="000000" w:themeColor="text1"/>
                <w:kern w:val="0"/>
                <w:szCs w:val="21"/>
                <w:highlight w:val="none"/>
                <w14:textFill>
                  <w14:solidFill>
                    <w14:schemeClr w14:val="tx1"/>
                  </w14:solidFill>
                </w14:textFill>
              </w:rPr>
              <w:t>一正两副的纸质版投标文件。</w:t>
            </w:r>
          </w:p>
        </w:tc>
      </w:tr>
      <w:tr w14:paraId="3BB19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481CB465">
            <w:pPr>
              <w:keepNext w:val="0"/>
              <w:keepLines w:val="0"/>
              <w:suppressLineNumbers w:val="0"/>
              <w:autoSpaceDE w:val="0"/>
              <w:autoSpaceDN w:val="0"/>
              <w:spacing w:before="0" w:beforeAutospacing="0" w:after="0" w:afterAutospacing="0" w:line="480" w:lineRule="auto"/>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58F3A753">
            <w:pPr>
              <w:keepNext w:val="0"/>
              <w:keepLines w:val="0"/>
              <w:suppressLineNumbers w:val="0"/>
              <w:spacing w:before="0" w:beforeAutospacing="0" w:after="0" w:afterAutospacing="0" w:line="38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 4.2 项内容修改如下：</w:t>
            </w:r>
          </w:p>
          <w:p w14:paraId="2BB26279">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本项目采用全流程电子投标，不需要提交纸质版的投标文件。投标人应在规定的截止时间前登录建设工程交易平台完成电子投标（包括缴纳投标保证金），方为有效投标。</w:t>
            </w:r>
          </w:p>
        </w:tc>
      </w:tr>
      <w:tr w14:paraId="14715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7B4D1FA7">
            <w:pPr>
              <w:keepNext w:val="0"/>
              <w:keepLines w:val="0"/>
              <w:suppressLineNumbers w:val="0"/>
              <w:autoSpaceDE w:val="0"/>
              <w:autoSpaceDN w:val="0"/>
              <w:spacing w:before="0" w:beforeAutospacing="0" w:after="0" w:afterAutospacing="0" w:line="480" w:lineRule="auto"/>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4.3</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6D4FAA39">
            <w:pPr>
              <w:keepNext w:val="0"/>
              <w:keepLines w:val="0"/>
              <w:suppressLineNumbers w:val="0"/>
              <w:spacing w:before="0" w:beforeAutospacing="0" w:after="0" w:afterAutospacing="0" w:line="38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 4.3 项内容修改如下：</w:t>
            </w:r>
          </w:p>
          <w:p w14:paraId="28BF6DE3">
            <w:pPr>
              <w:keepNext w:val="0"/>
              <w:keepLines w:val="0"/>
              <w:suppressLineNumbers w:val="0"/>
              <w:spacing w:before="0" w:beforeAutospacing="0" w:after="0" w:afterAutospacing="0" w:line="380" w:lineRule="exact"/>
              <w:ind w:left="0" w:right="0" w:firstLine="422" w:firstLineChars="200"/>
              <w:rPr>
                <w:rFonts w:hint="default"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4.3电子投标文件的修改、撤回：</w:t>
            </w:r>
          </w:p>
          <w:p w14:paraId="4D13B994">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tc>
      </w:tr>
      <w:tr w14:paraId="47B95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4117B135">
            <w:pPr>
              <w:keepNext w:val="0"/>
              <w:keepLines w:val="0"/>
              <w:suppressLineNumbers w:val="0"/>
              <w:autoSpaceDE w:val="0"/>
              <w:autoSpaceDN w:val="0"/>
              <w:spacing w:before="0" w:beforeAutospacing="0" w:after="0" w:afterAutospacing="0" w:line="480" w:lineRule="auto"/>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5.1</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11C0ACF6">
            <w:pPr>
              <w:keepNext w:val="0"/>
              <w:keepLines w:val="0"/>
              <w:suppressLineNumbers w:val="0"/>
              <w:spacing w:before="0" w:beforeAutospacing="0" w:after="0" w:afterAutospacing="0" w:line="38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 5.1 项内容修改如下：</w:t>
            </w:r>
          </w:p>
          <w:p w14:paraId="5B8D4569">
            <w:pPr>
              <w:keepNext w:val="0"/>
              <w:keepLines w:val="0"/>
              <w:suppressLineNumbers w:val="0"/>
              <w:spacing w:before="0" w:beforeAutospacing="0" w:after="0" w:afterAutospacing="0" w:line="380" w:lineRule="exact"/>
              <w:ind w:left="0" w:right="0" w:firstLine="422" w:firstLineChars="200"/>
              <w:rPr>
                <w:rFonts w:hint="default"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5.1开标时间和地点</w:t>
            </w:r>
          </w:p>
          <w:p w14:paraId="7C819274">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无须进行现场签到，可登录交易平台及时观看开标实况、提出异议或进行澄清、确认等操作，具体详见招标文件和投标人操作指南为准。投标人未及时观看开标实况的，视其默认开标结果，以及放弃在开标期间见证、澄清、确认、监督、投诉、申辩的权利。</w:t>
            </w:r>
          </w:p>
        </w:tc>
      </w:tr>
      <w:tr w14:paraId="27EE8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2A864D45">
            <w:pPr>
              <w:keepNext w:val="0"/>
              <w:keepLines w:val="0"/>
              <w:suppressLineNumbers w:val="0"/>
              <w:spacing w:before="0" w:beforeAutospacing="0" w:after="0" w:afterAutospacing="0"/>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5.2.1</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653F76FC">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投标人须知正文 </w:t>
            </w:r>
            <w:r>
              <w:rPr>
                <w:rFonts w:hint="eastAsia" w:ascii="宋体" w:hAnsi="宋体" w:eastAsia="宋体" w:cs="宋体"/>
                <w:color w:val="000000" w:themeColor="text1"/>
                <w:kern w:val="0"/>
                <w:szCs w:val="21"/>
                <w:highlight w:val="none"/>
                <w:lang w:val="en-US" w:eastAsia="zh-CN"/>
                <w14:textFill>
                  <w14:solidFill>
                    <w14:schemeClr w14:val="tx1"/>
                  </w14:solidFill>
                </w14:textFill>
              </w:rPr>
              <w:t>5.2.1</w:t>
            </w:r>
            <w:r>
              <w:rPr>
                <w:rFonts w:hint="eastAsia" w:ascii="宋体" w:hAnsi="宋体" w:eastAsia="宋体" w:cs="宋体"/>
                <w:color w:val="000000" w:themeColor="text1"/>
                <w:kern w:val="0"/>
                <w:szCs w:val="21"/>
                <w:highlight w:val="none"/>
                <w14:textFill>
                  <w14:solidFill>
                    <w14:schemeClr w14:val="tx1"/>
                  </w14:solidFill>
                </w14:textFill>
              </w:rPr>
              <w:t>项内容修改如下：</w:t>
            </w:r>
          </w:p>
          <w:p w14:paraId="49B9DF2D">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主持人</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按下列程序对投标文件第一个信封（商务及技术文件）进行开标：</w:t>
            </w:r>
          </w:p>
          <w:p w14:paraId="613D2EFF">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（1）宣读开标纪律。</w:t>
            </w:r>
          </w:p>
          <w:p w14:paraId="22D2C6C5">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（2）主持人宣布唱标人、记录人、见证人、监督人等有关人员姓名。</w:t>
            </w:r>
          </w:p>
          <w:p w14:paraId="14041A56">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）在公共资源交易场所工作人员见证下由招标代理机构对投标人的电子投标信息进行解密，建设工程交易系统自动生成《投标保证缴纳情况表》和《开标一览表》。</w:t>
            </w:r>
          </w:p>
          <w:p w14:paraId="7AEEC737">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）唱标人检查《投标保证缴纳情况表》中各投标人所缴纳投标保证的金额、有效期是否符合招标文件规定。若不符合规定，该投标人的投标无效。将有关情形在《投标保证缴纳情况表》“备注”栏中注明。</w:t>
            </w:r>
          </w:p>
          <w:p w14:paraId="78027C2C">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）唱标人检查《</w:t>
            </w:r>
            <w:r>
              <w:rPr>
                <w:rFonts w:hint="eastAsia" w:ascii="宋体" w:hAnsi="宋体" w:eastAsia="宋体" w:cs="宋体"/>
                <w:color w:val="000000" w:themeColor="text1"/>
                <w:kern w:val="0"/>
                <w:szCs w:val="21"/>
                <w:highlight w:val="none"/>
                <w:lang w:val="en-US" w:eastAsia="zh-CN"/>
                <w14:textFill>
                  <w14:solidFill>
                    <w14:schemeClr w14:val="tx1"/>
                  </w14:solidFill>
                </w14:textFill>
              </w:rPr>
              <w:t>第一个信封</w:t>
            </w:r>
            <w:r>
              <w:rPr>
                <w:rFonts w:hint="eastAsia" w:ascii="宋体" w:hAnsi="宋体" w:eastAsia="宋体" w:cs="宋体"/>
                <w:color w:val="000000" w:themeColor="text1"/>
                <w:kern w:val="0"/>
                <w:szCs w:val="21"/>
                <w:highlight w:val="none"/>
                <w14:textFill>
                  <w14:solidFill>
                    <w14:schemeClr w14:val="tx1"/>
                  </w14:solidFill>
                </w14:textFill>
              </w:rPr>
              <w:t>开标一览表》中各投标人的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标段名称</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投标人名称</w:t>
            </w:r>
            <w:r>
              <w:rPr>
                <w:rFonts w:hint="eastAsia" w:ascii="宋体" w:hAnsi="宋体" w:eastAsia="宋体" w:cs="宋体"/>
                <w:color w:val="000000" w:themeColor="text1"/>
                <w:kern w:val="0"/>
                <w:szCs w:val="21"/>
                <w:highlight w:val="none"/>
                <w14:textFill>
                  <w14:solidFill>
                    <w14:schemeClr w14:val="tx1"/>
                  </w14:solidFill>
                </w14:textFill>
              </w:rPr>
              <w:t>、工期是否符合招标文件规定。若不符合规定，招标代理机构应将有关情形在《开标一览表》“备注”栏中注明。</w:t>
            </w:r>
          </w:p>
          <w:p w14:paraId="10348A20">
            <w:pPr>
              <w:keepNext w:val="0"/>
              <w:keepLines w:val="0"/>
              <w:suppressLineNumbers w:val="0"/>
              <w:spacing w:before="0" w:beforeAutospacing="0" w:after="0" w:afterAutospacing="0" w:line="380" w:lineRule="exact"/>
              <w:ind w:left="0" w:right="0" w:firstLine="420" w:firstLineChars="20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）投标人代表、招标人代表、唱标人、记录人等有关人员在《投标保证缴纳情况表》以及《</w:t>
            </w:r>
            <w:r>
              <w:rPr>
                <w:rFonts w:hint="eastAsia" w:ascii="宋体" w:hAnsi="宋体" w:eastAsia="宋体" w:cs="宋体"/>
                <w:color w:val="000000" w:themeColor="text1"/>
                <w:kern w:val="0"/>
                <w:szCs w:val="21"/>
                <w:highlight w:val="none"/>
                <w:lang w:val="en-US" w:eastAsia="zh-CN"/>
                <w14:textFill>
                  <w14:solidFill>
                    <w14:schemeClr w14:val="tx1"/>
                  </w14:solidFill>
                </w14:textFill>
              </w:rPr>
              <w:t>第一个信封</w:t>
            </w:r>
            <w:r>
              <w:rPr>
                <w:rFonts w:hint="eastAsia" w:ascii="宋体" w:hAnsi="宋体" w:eastAsia="宋体" w:cs="宋体"/>
                <w:color w:val="000000" w:themeColor="text1"/>
                <w:kern w:val="0"/>
                <w:szCs w:val="21"/>
                <w:highlight w:val="none"/>
                <w14:textFill>
                  <w14:solidFill>
                    <w14:schemeClr w14:val="tx1"/>
                  </w14:solidFill>
                </w14:textFill>
              </w:rPr>
              <w:t>开标一览表》上签字确认。</w:t>
            </w:r>
          </w:p>
          <w:p w14:paraId="4CFC30BC">
            <w:pPr>
              <w:keepNext w:val="0"/>
              <w:keepLines w:val="0"/>
              <w:suppressLineNumbers w:val="0"/>
              <w:spacing w:before="0" w:beforeAutospacing="0" w:after="0" w:afterAutospacing="0" w:line="380" w:lineRule="exact"/>
              <w:ind w:left="0" w:right="0" w:firstLine="420" w:firstLineChars="200"/>
              <w:rPr>
                <w:rFonts w:hint="default"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Cs w:val="21"/>
                <w:highlight w:val="none"/>
                <w14:textFill>
                  <w14:solidFill>
                    <w14:schemeClr w14:val="tx1"/>
                  </w14:solidFill>
                </w14:textFill>
              </w:rPr>
              <w:t>）主持人宣布有关注意事项后，宣布</w:t>
            </w:r>
            <w:r>
              <w:rPr>
                <w:rFonts w:hint="eastAsia" w:ascii="宋体" w:hAnsi="宋体" w:eastAsia="宋体" w:cs="宋体"/>
                <w:color w:val="000000" w:themeColor="text1"/>
                <w:kern w:val="0"/>
                <w:szCs w:val="21"/>
                <w:highlight w:val="none"/>
                <w:lang w:val="en-US" w:eastAsia="zh-CN"/>
                <w14:textFill>
                  <w14:solidFill>
                    <w14:schemeClr w14:val="tx1"/>
                  </w14:solidFill>
                </w14:textFill>
              </w:rPr>
              <w:t>第一个信封（商务及技术文件）</w:t>
            </w:r>
            <w:r>
              <w:rPr>
                <w:rFonts w:hint="eastAsia" w:ascii="宋体" w:hAnsi="宋体" w:eastAsia="宋体" w:cs="宋体"/>
                <w:color w:val="000000" w:themeColor="text1"/>
                <w:kern w:val="0"/>
                <w:szCs w:val="21"/>
                <w:highlight w:val="none"/>
                <w14:textFill>
                  <w14:solidFill>
                    <w14:schemeClr w14:val="tx1"/>
                  </w14:solidFill>
                </w14:textFill>
              </w:rPr>
              <w:t>开标结束。</w:t>
            </w:r>
          </w:p>
        </w:tc>
      </w:tr>
      <w:tr w14:paraId="0FA66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39F65C08">
            <w:pPr>
              <w:keepNext w:val="0"/>
              <w:keepLines w:val="0"/>
              <w:suppressLineNumbers w:val="0"/>
              <w:spacing w:before="0" w:beforeAutospacing="0" w:after="0" w:afterAutospacing="0"/>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5.2.2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1AFA5404">
            <w:pPr>
              <w:keepNext w:val="0"/>
              <w:keepLines w:val="0"/>
              <w:suppressLineNumbers w:val="0"/>
              <w:spacing w:before="0" w:beforeAutospacing="0" w:after="0" w:afterAutospacing="0"/>
              <w:ind w:left="0" w:right="0"/>
              <w:jc w:val="left"/>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 5.2.2项内容修改如下：</w:t>
            </w:r>
          </w:p>
          <w:p w14:paraId="05E15A83">
            <w:pPr>
              <w:keepNext w:val="0"/>
              <w:keepLines w:val="0"/>
              <w:suppressLineNumbers w:val="0"/>
              <w:spacing w:before="0" w:beforeAutospacing="0" w:after="0" w:afterAutospacing="0"/>
              <w:ind w:left="0" w:right="0"/>
              <w:jc w:val="left"/>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5.2.2  在投标文件第一个信封（商务及技术文件）开标现场，投标文件第二个信封（报价文件）不予开标。</w:t>
            </w:r>
          </w:p>
        </w:tc>
      </w:tr>
      <w:tr w14:paraId="20828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0C59AB61">
            <w:pPr>
              <w:keepNext w:val="0"/>
              <w:keepLines w:val="0"/>
              <w:suppressLineNumbers w:val="0"/>
              <w:spacing w:before="0" w:beforeAutospacing="0" w:after="0" w:afterAutospacing="0"/>
              <w:ind w:left="0" w:right="0"/>
              <w:jc w:val="center"/>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5.2.3</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52EBE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 xml:space="preserve">投标人须知正文 </w:t>
            </w:r>
            <w:r>
              <w:rPr>
                <w:rFonts w:hint="eastAsia" w:ascii="宋体" w:hAnsi="宋体" w:eastAsia="宋体" w:cs="宋体"/>
                <w:bCs/>
                <w:color w:val="000000" w:themeColor="text1"/>
                <w:szCs w:val="21"/>
                <w:highlight w:val="none"/>
                <w:lang w:val="en-US" w:eastAsia="zh-CN"/>
                <w14:textFill>
                  <w14:solidFill>
                    <w14:schemeClr w14:val="tx1"/>
                  </w14:solidFill>
                </w14:textFill>
              </w:rPr>
              <w:t>5.2.3</w:t>
            </w:r>
            <w:r>
              <w:rPr>
                <w:rFonts w:hint="eastAsia" w:ascii="宋体" w:hAnsi="宋体" w:eastAsia="宋体" w:cs="宋体"/>
                <w:bCs/>
                <w:color w:val="000000" w:themeColor="text1"/>
                <w:szCs w:val="21"/>
                <w:highlight w:val="none"/>
                <w14:textFill>
                  <w14:solidFill>
                    <w14:schemeClr w14:val="tx1"/>
                  </w14:solidFill>
                </w14:textFill>
              </w:rPr>
              <w:t>项内容修改如下：</w:t>
            </w:r>
          </w:p>
          <w:p w14:paraId="07802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招标人将按照本章5.1款规定的时间和地点对</w:t>
            </w:r>
            <w:r>
              <w:rPr>
                <w:rFonts w:hint="eastAsia" w:ascii="宋体" w:hAnsi="宋体" w:eastAsia="宋体" w:cs="宋体"/>
                <w:bCs/>
                <w:color w:val="000000" w:themeColor="text1"/>
                <w:szCs w:val="21"/>
                <w:highlight w:val="none"/>
                <w14:textFill>
                  <w14:solidFill>
                    <w14:schemeClr w14:val="tx1"/>
                  </w14:solidFill>
                </w14:textFill>
              </w:rPr>
              <w:t>通过投标文件第一个信封（商务及技术文件）评审的</w:t>
            </w:r>
            <w:r>
              <w:rPr>
                <w:rFonts w:hint="eastAsia" w:ascii="宋体" w:hAnsi="宋体" w:eastAsia="宋体" w:cs="宋体"/>
                <w:bCs/>
                <w:color w:val="000000" w:themeColor="text1"/>
                <w:szCs w:val="21"/>
                <w:highlight w:val="none"/>
                <w:lang w:val="en-US" w:eastAsia="zh-CN"/>
                <w14:textFill>
                  <w14:solidFill>
                    <w14:schemeClr w14:val="tx1"/>
                  </w14:solidFill>
                </w14:textFill>
              </w:rPr>
              <w:t>投标文件第二个信封（报价文件）进行开标。主持人按下列程序进行开标：</w:t>
            </w:r>
          </w:p>
          <w:p w14:paraId="25BC4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（1）宣读开标纪律。</w:t>
            </w:r>
          </w:p>
          <w:p w14:paraId="3E726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（2）主持人宣布</w:t>
            </w:r>
            <w:r>
              <w:rPr>
                <w:rFonts w:hint="eastAsia" w:ascii="宋体" w:hAnsi="宋体" w:eastAsia="宋体" w:cs="宋体"/>
                <w:bCs/>
                <w:color w:val="000000" w:themeColor="text1"/>
                <w:szCs w:val="21"/>
                <w:highlight w:val="none"/>
                <w:lang w:val="en-US" w:eastAsia="zh-CN"/>
                <w14:textFill>
                  <w14:solidFill>
                    <w14:schemeClr w14:val="tx1"/>
                  </w14:solidFill>
                </w14:textFill>
              </w:rPr>
              <w:t>通过第一个信封（商务及技术文件）评审的投标人名单</w:t>
            </w:r>
            <w:r>
              <w:rPr>
                <w:rFonts w:hint="eastAsia" w:ascii="宋体" w:hAnsi="宋体" w:eastAsia="宋体" w:cs="宋体"/>
                <w:bCs/>
                <w:color w:val="000000" w:themeColor="text1"/>
                <w:szCs w:val="21"/>
                <w:highlight w:val="none"/>
                <w14:textFill>
                  <w14:solidFill>
                    <w14:schemeClr w14:val="tx1"/>
                  </w14:solidFill>
                </w14:textFill>
              </w:rPr>
              <w:t>。</w:t>
            </w:r>
          </w:p>
          <w:p w14:paraId="1976E2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3</w:t>
            </w:r>
            <w:r>
              <w:rPr>
                <w:rFonts w:hint="eastAsia" w:ascii="宋体" w:hAnsi="宋体" w:eastAsia="宋体" w:cs="宋体"/>
                <w:bCs/>
                <w:color w:val="000000" w:themeColor="text1"/>
                <w:szCs w:val="21"/>
                <w:highlight w:val="none"/>
                <w14:textFill>
                  <w14:solidFill>
                    <w14:schemeClr w14:val="tx1"/>
                  </w14:solidFill>
                </w14:textFill>
              </w:rPr>
              <w:t>）主持人宣布唱标人、记录人、见证人、监督人等有关人员姓名。</w:t>
            </w:r>
          </w:p>
          <w:p w14:paraId="2592E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bCs/>
                <w:color w:val="000000" w:themeColor="text1"/>
                <w:szCs w:val="21"/>
                <w:highlight w:val="none"/>
                <w14:textFill>
                  <w14:solidFill>
                    <w14:schemeClr w14:val="tx1"/>
                  </w14:solidFill>
                </w14:textFill>
              </w:rPr>
              <w:t>）唱标人检查《</w:t>
            </w:r>
            <w:r>
              <w:rPr>
                <w:rFonts w:hint="eastAsia" w:ascii="宋体" w:hAnsi="宋体" w:eastAsia="宋体" w:cs="宋体"/>
                <w:bCs/>
                <w:color w:val="000000" w:themeColor="text1"/>
                <w:szCs w:val="21"/>
                <w:highlight w:val="none"/>
                <w:lang w:val="en-US" w:eastAsia="zh-CN"/>
                <w14:textFill>
                  <w14:solidFill>
                    <w14:schemeClr w14:val="tx1"/>
                  </w14:solidFill>
                </w14:textFill>
              </w:rPr>
              <w:t>第二个信封</w:t>
            </w:r>
            <w:r>
              <w:rPr>
                <w:rFonts w:hint="eastAsia" w:ascii="宋体" w:hAnsi="宋体" w:eastAsia="宋体" w:cs="宋体"/>
                <w:bCs/>
                <w:color w:val="000000" w:themeColor="text1"/>
                <w:szCs w:val="21"/>
                <w:highlight w:val="none"/>
                <w14:textFill>
                  <w14:solidFill>
                    <w14:schemeClr w14:val="tx1"/>
                  </w14:solidFill>
                </w14:textFill>
              </w:rPr>
              <w:t>开标一览表》中各投标人的</w:t>
            </w:r>
            <w:r>
              <w:rPr>
                <w:rFonts w:hint="eastAsia" w:ascii="宋体" w:hAnsi="宋体" w:eastAsia="宋体" w:cs="宋体"/>
                <w:bCs/>
                <w:color w:val="000000" w:themeColor="text1"/>
                <w:szCs w:val="21"/>
                <w:highlight w:val="none"/>
                <w:lang w:val="en-US" w:eastAsia="zh-CN"/>
                <w14:textFill>
                  <w14:solidFill>
                    <w14:schemeClr w14:val="tx1"/>
                  </w14:solidFill>
                </w14:textFill>
              </w:rPr>
              <w:t>标段名称</w:t>
            </w: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投标人名称</w:t>
            </w:r>
            <w:r>
              <w:rPr>
                <w:rFonts w:hint="eastAsia" w:ascii="宋体" w:hAnsi="宋体" w:eastAsia="宋体" w:cs="宋体"/>
                <w:bCs/>
                <w:color w:val="000000" w:themeColor="text1"/>
                <w:szCs w:val="21"/>
                <w:highlight w:val="none"/>
                <w14:textFill>
                  <w14:solidFill>
                    <w14:schemeClr w14:val="tx1"/>
                  </w14:solidFill>
                </w14:textFill>
              </w:rPr>
              <w:t>、投标</w:t>
            </w:r>
            <w:r>
              <w:rPr>
                <w:rFonts w:hint="eastAsia" w:ascii="宋体" w:hAnsi="宋体" w:eastAsia="宋体" w:cs="宋体"/>
                <w:bCs/>
                <w:color w:val="000000" w:themeColor="text1"/>
                <w:szCs w:val="21"/>
                <w:highlight w:val="none"/>
                <w:lang w:val="en-US" w:eastAsia="zh-CN"/>
                <w14:textFill>
                  <w14:solidFill>
                    <w14:schemeClr w14:val="tx1"/>
                  </w14:solidFill>
                </w14:textFill>
              </w:rPr>
              <w:t>报价</w:t>
            </w:r>
            <w:r>
              <w:rPr>
                <w:rFonts w:hint="eastAsia" w:ascii="宋体" w:hAnsi="宋体" w:eastAsia="宋体" w:cs="宋体"/>
                <w:bCs/>
                <w:color w:val="000000" w:themeColor="text1"/>
                <w:szCs w:val="21"/>
                <w:highlight w:val="none"/>
                <w14:textFill>
                  <w14:solidFill>
                    <w14:schemeClr w14:val="tx1"/>
                  </w14:solidFill>
                </w14:textFill>
              </w:rPr>
              <w:t>是否符合招标文件规定。若不符合规定，招标代理机构应将有关情形在《开标一览表》“备注”栏中注明。</w:t>
            </w:r>
          </w:p>
          <w:p w14:paraId="4C22A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5</w:t>
            </w:r>
            <w:r>
              <w:rPr>
                <w:rFonts w:hint="eastAsia" w:ascii="宋体" w:hAnsi="宋体" w:eastAsia="宋体" w:cs="宋体"/>
                <w:bCs/>
                <w:color w:val="000000" w:themeColor="text1"/>
                <w:szCs w:val="21"/>
                <w:highlight w:val="none"/>
                <w14:textFill>
                  <w14:solidFill>
                    <w14:schemeClr w14:val="tx1"/>
                  </w14:solidFill>
                </w14:textFill>
              </w:rPr>
              <w:t>）投标人代表、招标人代表、唱标人、记录人等有关人员在《</w:t>
            </w:r>
            <w:r>
              <w:rPr>
                <w:rFonts w:hint="eastAsia" w:ascii="宋体" w:hAnsi="宋体" w:eastAsia="宋体" w:cs="宋体"/>
                <w:bCs/>
                <w:color w:val="000000" w:themeColor="text1"/>
                <w:szCs w:val="21"/>
                <w:highlight w:val="none"/>
                <w:lang w:val="en-US" w:eastAsia="zh-CN"/>
                <w14:textFill>
                  <w14:solidFill>
                    <w14:schemeClr w14:val="tx1"/>
                  </w14:solidFill>
                </w14:textFill>
              </w:rPr>
              <w:t>第二个信封</w:t>
            </w:r>
            <w:r>
              <w:rPr>
                <w:rFonts w:hint="eastAsia" w:ascii="宋体" w:hAnsi="宋体" w:eastAsia="宋体" w:cs="宋体"/>
                <w:bCs/>
                <w:color w:val="000000" w:themeColor="text1"/>
                <w:szCs w:val="21"/>
                <w:highlight w:val="none"/>
                <w14:textFill>
                  <w14:solidFill>
                    <w14:schemeClr w14:val="tx1"/>
                  </w14:solidFill>
                </w14:textFill>
              </w:rPr>
              <w:t>开标一览表》上签字确认。</w:t>
            </w:r>
          </w:p>
          <w:p w14:paraId="2726B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宋体" w:hAnsi="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7</w:t>
            </w:r>
            <w:r>
              <w:rPr>
                <w:rFonts w:hint="eastAsia" w:ascii="宋体" w:hAnsi="宋体" w:eastAsia="宋体" w:cs="宋体"/>
                <w:bCs/>
                <w:color w:val="000000" w:themeColor="text1"/>
                <w:szCs w:val="21"/>
                <w:highlight w:val="none"/>
                <w14:textFill>
                  <w14:solidFill>
                    <w14:schemeClr w14:val="tx1"/>
                  </w14:solidFill>
                </w14:textFill>
              </w:rPr>
              <w:t>）宣布</w:t>
            </w:r>
            <w:r>
              <w:rPr>
                <w:rFonts w:hint="eastAsia" w:ascii="宋体" w:hAnsi="宋体" w:eastAsia="宋体" w:cs="宋体"/>
                <w:bCs/>
                <w:color w:val="000000" w:themeColor="text1"/>
                <w:szCs w:val="21"/>
                <w:highlight w:val="none"/>
                <w:lang w:val="en-US" w:eastAsia="zh-CN"/>
                <w14:textFill>
                  <w14:solidFill>
                    <w14:schemeClr w14:val="tx1"/>
                  </w14:solidFill>
                </w14:textFill>
              </w:rPr>
              <w:t>第二个信封（报价文件）</w:t>
            </w:r>
            <w:r>
              <w:rPr>
                <w:rFonts w:hint="eastAsia" w:ascii="宋体" w:hAnsi="宋体" w:eastAsia="宋体" w:cs="宋体"/>
                <w:bCs/>
                <w:color w:val="000000" w:themeColor="text1"/>
                <w:szCs w:val="21"/>
                <w:highlight w:val="none"/>
                <w14:textFill>
                  <w14:solidFill>
                    <w14:schemeClr w14:val="tx1"/>
                  </w14:solidFill>
                </w14:textFill>
              </w:rPr>
              <w:t>开标结束。</w:t>
            </w:r>
          </w:p>
        </w:tc>
      </w:tr>
      <w:tr w14:paraId="0054C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2E88B6AA">
            <w:pPr>
              <w:pStyle w:val="58"/>
              <w:keepNext w:val="0"/>
              <w:keepLines w:val="0"/>
              <w:suppressLineNumbers w:val="0"/>
              <w:spacing w:before="0" w:beforeAutospacing="0" w:after="0" w:afterAutospacing="0" w:line="380" w:lineRule="exact"/>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6.1.2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056957E6">
            <w:pPr>
              <w:pStyle w:val="58"/>
              <w:keepNext w:val="0"/>
              <w:keepLines w:val="0"/>
              <w:suppressLineNumbers w:val="0"/>
              <w:spacing w:before="0" w:beforeAutospacing="0" w:after="0" w:afterAutospacing="0" w:line="380" w:lineRule="exact"/>
              <w:ind w:left="0" w:right="0"/>
              <w:jc w:val="both"/>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投标人须知正文6.1.2 项末增加如下内容：</w:t>
            </w:r>
          </w:p>
          <w:p w14:paraId="3F4C9C8D">
            <w:pPr>
              <w:pStyle w:val="58"/>
              <w:keepNext w:val="0"/>
              <w:keepLines w:val="0"/>
              <w:suppressLineNumbers w:val="0"/>
              <w:spacing w:before="0" w:beforeAutospacing="0" w:after="0" w:afterAutospacing="0" w:line="380" w:lineRule="exact"/>
              <w:ind w:left="0" w:right="0"/>
              <w:jc w:val="both"/>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 xml:space="preserve">    招标人及其子公司、招标人下属单位、招标人的上级主管部门或者控股公司、招标代理机构的工作人员或者退休人员不得以专家身份参与本单位招标或者招标代理项目的评标。</w:t>
            </w:r>
          </w:p>
        </w:tc>
      </w:tr>
      <w:tr w14:paraId="14169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24955FDA">
            <w:pPr>
              <w:pStyle w:val="58"/>
              <w:keepNext w:val="0"/>
              <w:keepLines w:val="0"/>
              <w:suppressLineNumbers w:val="0"/>
              <w:spacing w:before="0" w:beforeAutospacing="0" w:after="0" w:afterAutospacing="0" w:line="380" w:lineRule="exact"/>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7.8.6</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6A15F8D5">
            <w:pPr>
              <w:pStyle w:val="81"/>
              <w:keepNext w:val="0"/>
              <w:keepLines w:val="0"/>
              <w:suppressLineNumbers w:val="0"/>
              <w:spacing w:before="6" w:beforeAutospacing="0" w:after="0" w:afterAutospacing="0" w:line="380" w:lineRule="exact"/>
              <w:ind w:left="0" w:right="134"/>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增加 7.8.6 项“不平衡报价的处理”：</w:t>
            </w:r>
          </w:p>
          <w:p w14:paraId="1A9C16E9">
            <w:pPr>
              <w:pStyle w:val="81"/>
              <w:keepNext w:val="0"/>
              <w:keepLines w:val="0"/>
              <w:suppressLineNumbers w:val="0"/>
              <w:spacing w:before="6" w:beforeAutospacing="0" w:after="0" w:afterAutospacing="0" w:line="380" w:lineRule="exact"/>
              <w:ind w:left="0" w:right="134" w:firstLine="420" w:firstLineChars="20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中标人如果存在不平衡报价，招标人可以在保证投标总价不变的前提下予以合理调整，中标人应无条件接受。不平衡报价处理的具体条款如下：</w:t>
            </w:r>
          </w:p>
          <w:p w14:paraId="0316A371">
            <w:pPr>
              <w:pStyle w:val="81"/>
              <w:keepNext w:val="0"/>
              <w:keepLines w:val="0"/>
              <w:suppressLineNumbers w:val="0"/>
              <w:spacing w:before="6" w:beforeAutospacing="0" w:after="0" w:afterAutospacing="0" w:line="380" w:lineRule="exact"/>
              <w:ind w:left="0" w:right="134" w:firstLine="420" w:firstLineChars="20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在签订合同前，招标人组织人员对中标人的工程量清单报价进行审核：</w:t>
            </w:r>
          </w:p>
          <w:p w14:paraId="7CB4708D">
            <w:pPr>
              <w:pStyle w:val="81"/>
              <w:keepNext w:val="0"/>
              <w:keepLines w:val="0"/>
              <w:suppressLineNumbers w:val="0"/>
              <w:spacing w:before="6" w:beforeAutospacing="0" w:after="0" w:afterAutospacing="0" w:line="380" w:lineRule="exact"/>
              <w:ind w:left="0" w:right="134" w:firstLine="420" w:firstLineChars="20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（1）若中标人的工程量清单报价，超过如下范围：招标人招标清单预算相应单价与（1-中标人中标价下浮率）乘积的 85 %～ 115 %，则视为存在不平衡报价。</w:t>
            </w:r>
          </w:p>
          <w:p w14:paraId="07F368E1">
            <w:pPr>
              <w:pStyle w:val="81"/>
              <w:keepNext w:val="0"/>
              <w:keepLines w:val="0"/>
              <w:suppressLineNumbers w:val="0"/>
              <w:spacing w:before="6" w:beforeAutospacing="0" w:after="0" w:afterAutospacing="0" w:line="380" w:lineRule="exact"/>
              <w:ind w:left="0" w:right="134" w:firstLine="210" w:firstLineChars="10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如果存在不平衡报价，招标人将在保证投标总价不变的前提下，按以下原则调整其工程量清单报价（不随报价调整的除外）：（1）招标人招标清单预算相应单价×（1-中标人中标价下浮率）为基准进行调整；（2）按上述算术修正和本款调整后，对以百分比计取的非固定报价项目的报价也应作相应的修正。</w:t>
            </w:r>
          </w:p>
          <w:p w14:paraId="6FFA4F4E">
            <w:pPr>
              <w:pStyle w:val="81"/>
              <w:keepNext w:val="0"/>
              <w:keepLines w:val="0"/>
              <w:suppressLineNumbers w:val="0"/>
              <w:spacing w:before="6" w:beforeAutospacing="0" w:after="0" w:afterAutospacing="0" w:line="380" w:lineRule="exact"/>
              <w:ind w:left="0" w:right="134" w:firstLine="420" w:firstLineChars="20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（2）为使调整后的投标总价保持不变，对处于招标人招标清单预算相应单价与（1- 中标人中标价下浮率）乘积的 85 %～ 115 %内的报价，招标人有权根据本项第（1）条调整原则进行报价调整。</w:t>
            </w:r>
          </w:p>
          <w:p w14:paraId="6DE82111">
            <w:pPr>
              <w:pStyle w:val="81"/>
              <w:keepNext w:val="0"/>
              <w:keepLines w:val="0"/>
              <w:suppressLineNumbers w:val="0"/>
              <w:spacing w:before="6" w:beforeAutospacing="0" w:after="0" w:afterAutospacing="0" w:line="380" w:lineRule="exact"/>
              <w:ind w:left="0" w:right="134" w:firstLine="420" w:firstLineChars="20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中标人中标价下浮率指中标人中标价较造价管理部门核备的清单预算之下浮比例。</w:t>
            </w:r>
          </w:p>
        </w:tc>
      </w:tr>
      <w:tr w14:paraId="6D163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0E3706A2">
            <w:pPr>
              <w:pStyle w:val="58"/>
              <w:keepNext w:val="0"/>
              <w:keepLines w:val="0"/>
              <w:suppressLineNumbers w:val="0"/>
              <w:spacing w:before="0" w:beforeAutospacing="0" w:after="0" w:afterAutospacing="0" w:line="380" w:lineRule="exact"/>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8.5</w:t>
            </w:r>
          </w:p>
        </w:tc>
        <w:tc>
          <w:tcPr>
            <w:tcW w:w="9132" w:type="dxa"/>
            <w:gridSpan w:val="2"/>
            <w:tcBorders>
              <w:top w:val="single" w:color="auto" w:sz="4" w:space="0"/>
              <w:left w:val="single" w:color="auto" w:sz="2" w:space="0"/>
              <w:bottom w:val="single" w:color="auto" w:sz="4" w:space="0"/>
              <w:right w:val="single" w:color="auto" w:sz="12" w:space="0"/>
            </w:tcBorders>
          </w:tcPr>
          <w:p w14:paraId="7C78E0D0">
            <w:pPr>
              <w:pStyle w:val="58"/>
              <w:keepNext w:val="0"/>
              <w:keepLines w:val="0"/>
              <w:suppressLineNumbers w:val="0"/>
              <w:spacing w:before="0" w:beforeAutospacing="0" w:after="0" w:afterAutospacing="0" w:line="380" w:lineRule="exact"/>
              <w:ind w:left="0" w:right="0"/>
              <w:jc w:val="both"/>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投标人须知范本原文第 8.5.1 项细化如下：</w:t>
            </w:r>
          </w:p>
          <w:p w14:paraId="36128282">
            <w:pPr>
              <w:pStyle w:val="58"/>
              <w:keepNext w:val="0"/>
              <w:keepLines w:val="0"/>
              <w:suppressLineNumbers w:val="0"/>
              <w:spacing w:before="0" w:beforeAutospacing="0" w:after="0" w:afterAutospacing="0" w:line="380" w:lineRule="exact"/>
              <w:ind w:left="0" w:right="0" w:firstLine="630" w:firstLineChars="300"/>
              <w:jc w:val="left"/>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8.5.1 投标人或其他利害关系人认为招标投标活动不符合法律、行政法规规定的，可以自知道或应当知道之日起10日内向交通运输主管部门投诉。对于按法规规定应先提出异议的事项进行投诉的，应当提交已提出异议的证明文件。未按规定提出异议或者未提交已提出异议的证明文件的投诉，交通运输主管部门可以不予受理。投诉人缺乏事实根据或者法律依据进行投诉的，或者有证据表明投诉人捏造事实、伪造材料的，或者投诉人以非法手段取得证明材料进行投诉的，交通运输主管部门应当予以驳回，并对恶意投诉按照有关规定追究投诉人责任。交通运输主管部门处理投诉，有权查阅、复制有关文件、资料，调查有关情况，相关单位和人员应当予以配合。必要时，交通运输主管部门可以责令暂停招标投标活动。</w:t>
            </w:r>
          </w:p>
        </w:tc>
      </w:tr>
      <w:tr w14:paraId="48595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2E31512E">
            <w:pPr>
              <w:pStyle w:val="58"/>
              <w:keepNext w:val="0"/>
              <w:keepLines w:val="0"/>
              <w:suppressLineNumbers w:val="0"/>
              <w:spacing w:before="0" w:beforeAutospacing="0" w:after="0" w:afterAutospacing="0" w:line="360" w:lineRule="auto"/>
              <w:ind w:left="0" w:right="0" w:firstLine="0" w:firstLineChars="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w:t>
            </w:r>
          </w:p>
        </w:tc>
        <w:tc>
          <w:tcPr>
            <w:tcW w:w="9132" w:type="dxa"/>
            <w:gridSpan w:val="2"/>
            <w:tcBorders>
              <w:top w:val="single" w:color="auto" w:sz="4" w:space="0"/>
              <w:left w:val="single" w:color="auto" w:sz="2" w:space="0"/>
              <w:bottom w:val="single" w:color="auto" w:sz="4" w:space="0"/>
              <w:right w:val="single" w:color="auto" w:sz="12" w:space="0"/>
            </w:tcBorders>
            <w:vAlign w:val="top"/>
          </w:tcPr>
          <w:p w14:paraId="6D269712">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投标人须知范本正文第9条后增加如下条款：</w:t>
            </w:r>
          </w:p>
          <w:p w14:paraId="6DF5CFB5">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9.1 在建设工程交易系统上传加盖了电子印章的投标文件、录入相关信息及标书页码信息，（页码起始从封面开始）并提交投标标书。提交标书为已加密投标文件。具体操作参照全国公共资源交易平台（广东省·韶关市）（https://ygp.gdzwfw.gov.cn/ggzy-portal/#/440200/index），在【服务指引】栏目中发布的最新操作指引。本项目评标采用全流程电子化进行招标投标（投标人应根据全国公共资源交易平台（广东省·韶关市）交易平台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61DB563">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9.2 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7719251F">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9.3 电子投标解密失败及突发情况的补救</w:t>
            </w:r>
          </w:p>
          <w:p w14:paraId="09B22200">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9.3.1 按照交易平台关于全流程电子化项目的相关指引进行操作。详见：全国公共资源交易平台（广东省·韶关市）（https://ygp.gdzwfw.gov.cn/ggzy-portal/#/440200/index）交易指引栏目发布的最新版操作指引。  </w:t>
            </w:r>
          </w:p>
          <w:p w14:paraId="4ED37BD1">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9.3.2 补救方案：</w:t>
            </w:r>
          </w:p>
          <w:p w14:paraId="1011AA97">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投标文件解密失败的补救方案：</w:t>
            </w:r>
          </w:p>
          <w:p w14:paraId="0FAC3438">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规定时间内，因投标人之外原因(指网络瘫痪、服务器损坏、交易系统故障短期无法恢复)等导致的电子投标文件解密失败，在开标现场解密环节由代理授权后，解密失败投标人可在交易平台在规定时间（代理机构授权后30分钟内）内重新提交投标文件继续开标程序。</w:t>
            </w:r>
          </w:p>
          <w:p w14:paraId="28948AE2">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（2）评标时突发情况的补救方案</w:t>
            </w:r>
          </w:p>
          <w:p w14:paraId="57ED5BF2">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5429125D">
            <w:pPr>
              <w:pStyle w:val="58"/>
              <w:keepNext w:val="0"/>
              <w:keepLines w:val="0"/>
              <w:suppressLineNumbers w:val="0"/>
              <w:spacing w:before="0" w:beforeAutospacing="0" w:after="0" w:afterAutospacing="0" w:line="380" w:lineRule="exact"/>
              <w:ind w:left="0" w:right="0" w:firstLine="630" w:firstLineChars="30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（3）除发生上述情况外，开标评标均以投标人通过交易平台网上递交的电子投标文件为准。</w:t>
            </w:r>
          </w:p>
        </w:tc>
      </w:tr>
      <w:tr w14:paraId="4FB56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1385A549">
            <w:pPr>
              <w:pStyle w:val="58"/>
              <w:keepNext w:val="0"/>
              <w:keepLines w:val="0"/>
              <w:suppressLineNumbers w:val="0"/>
              <w:spacing w:before="0" w:beforeAutospacing="0" w:after="0" w:afterAutospacing="0" w:line="380" w:lineRule="exact"/>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10.1</w:t>
            </w:r>
          </w:p>
        </w:tc>
        <w:tc>
          <w:tcPr>
            <w:tcW w:w="9132" w:type="dxa"/>
            <w:gridSpan w:val="2"/>
            <w:tcBorders>
              <w:top w:val="single" w:color="auto" w:sz="4" w:space="0"/>
              <w:left w:val="single" w:color="auto" w:sz="2" w:space="0"/>
              <w:bottom w:val="single" w:color="auto" w:sz="4" w:space="0"/>
              <w:right w:val="single" w:color="auto" w:sz="12" w:space="0"/>
            </w:tcBorders>
          </w:tcPr>
          <w:p w14:paraId="1FD4A28F">
            <w:pPr>
              <w:pStyle w:val="58"/>
              <w:keepNext w:val="0"/>
              <w:keepLines w:val="0"/>
              <w:suppressLineNumbers w:val="0"/>
              <w:spacing w:before="0" w:beforeAutospacing="0" w:after="0" w:afterAutospacing="0" w:line="380" w:lineRule="exact"/>
              <w:ind w:left="0" w:right="0" w:firstLine="422" w:firstLineChars="200"/>
              <w:jc w:val="left"/>
              <w:rPr>
                <w:rFonts w:hint="default"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14:textFill>
                  <w14:solidFill>
                    <w14:schemeClr w14:val="tx1"/>
                  </w14:solidFill>
                </w14:textFill>
              </w:rPr>
              <w:t>在 10.1 款后增加如下条款：10.2 款、10.3 款、10.4 款、10.5 款、10.6 款、10.7、10.8 款、10.9 款。</w:t>
            </w:r>
          </w:p>
          <w:p w14:paraId="067DAEDA">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 信用等级的确定原则：</w:t>
            </w:r>
          </w:p>
          <w:p w14:paraId="0C317D8C">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10.2.1 招标文件中的信用等级指的是广东省交通运输厅最新年度的信用评价。如无广东省最新年度信用等级而有上一年度广东省信用等级的，则其原信用等级可延续一年，但在递交资审申请文件（资格后审的为投标文件）时信用等级的使用次数应按上一年度公布的信用评价结果顺延上一年度的使用次数。具体使用次数有关规定如下：</w:t>
            </w:r>
          </w:p>
          <w:p w14:paraId="0E5A4EC0">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1.对于信用等级为 AA 级的从业单位:</w:t>
            </w:r>
          </w:p>
          <w:p w14:paraId="6DD18AEB">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(1)仅最新一年度信用等级为 AA 级的从业单位在参加广东省公路工程建设项目投标活动（以递交资格预审申请文件或资格后审递交投标文件时间为准）时，可申请使用 AA 级分值 8 次，用完 8 次后信用等级分值将按 A 级分值取定；</w:t>
            </w:r>
          </w:p>
          <w:p w14:paraId="201C94B6">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(2)连续最近两个年度信用等级为 AA 级的单位在参加广东省公路工程投标活动（以递交资格预审申请文件或资格后审递交投标文件时间为准）时，可申请使用 AA级分值 12 次，用完 12 次后信用等级分值将按 A 级取定；</w:t>
            </w:r>
          </w:p>
          <w:p w14:paraId="2C4F25EF">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2.对于信用等级为 A 级的从业单位:当年度信用等级 A 级单位在参加广东省公路工程建设项目招投标活动（以递交资格预审申请文件或资格后审递交投标文件时间为准）时，可申请使用 A 级分值 12 次，用完 12 次后信用等级分值将按 B 级分值取定。</w:t>
            </w:r>
          </w:p>
          <w:p w14:paraId="50B5EB22">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3.当年度信用等级为 AA、A 级的从业单位未承诺使用的信用等级分值的，AA 级信用等级企业按 A 级对待、A 级信用等级企业按 B 级对待。</w:t>
            </w:r>
          </w:p>
          <w:p w14:paraId="386C1DEC">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4.若从业企业在信用评价年度信用等级由 AA 降级为 A 级时，AA 级信用等级已使用次数纳入 A 级信用等级使用次数合并累计。</w:t>
            </w:r>
          </w:p>
          <w:p w14:paraId="583728D9">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10.2.2 信用等级延续 1 年后仍无信用评价等级的，按照初次进入广东省确定，原则上按 B 级对待，但下列情况除外：最新年度的全国公路从业单位（施工单位）信用评价结果为 C 级或 D 级的，则按最新年度的全国公路从业单位（施工单位）信用评价结果对待；或最新年度的全国公路从业单位（施工单位）信用评价结果未被评为 C级或 D 级的，但在广东省最近年度原评价等级为 D 级的，则按 C 级对待。</w:t>
            </w:r>
          </w:p>
          <w:p w14:paraId="6772870E">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10.2.3 AA、A 级单位是指使用广东省信用评价等级申请承诺书的单位。提交申请承诺书未使用 AA、A 时，在评标过程中，AA 级信用等级企业按 A 级对待、A 级信用等级企业按 B 级对待。（注：属于资格预审项目的，以资格预审申请文件的为准。当出现跨年度信用等级时，以投标人资格预审时申请使用信用等级与投标文件递交截止日的信用等级作比较，按“就低原则”认定等级，即降低等级的按低等级认定、升高等级的仍维持资审时的申请等级。）</w:t>
            </w:r>
          </w:p>
          <w:p w14:paraId="1D3FC2FB">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10.2.4 在招标评标中，信用评价等级采用按次、按标段或标类（指资格预审时未明确具体标段的情形）申请使用的原则，即在同一次招标中的多个标段的投标，可对其中部分或全部标段申请使用 AA 或 A 级信用等级，无论中标与否，均应根据递交投标（或申请）文件情况按标段计算使用次数（非投标人原因导致招标失败的情况除外）。</w:t>
            </w:r>
          </w:p>
          <w:p w14:paraId="051A7C7D">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10.2.5 招标项目为一个标段类别时，投标人以联合体形式投标的，信用等级以联合体中信用等级较低的为准。</w:t>
            </w:r>
          </w:p>
          <w:p w14:paraId="5B3C89F8">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10.2.6 如招标内容包含了多个标段类别（如机电工程+交通安全设施工程类），招标项目的资质条件设置不止一个资质时投标人的信用等级认定原则：</w:t>
            </w:r>
          </w:p>
          <w:p w14:paraId="23914681">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就低不就高模式：</w:t>
            </w:r>
          </w:p>
          <w:p w14:paraId="4F8A121B">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独立投标的，按各类别招标内容相对应的投标人的信用等级，按就低不就高的原则确定投标人的最终信用等级得分；以联合体形式投标的，联合体成员按联合体协议书中约定承担的专业工程对应相应的信用等级按就低不就高的原则确定投标人的最终信用等级得分。</w:t>
            </w:r>
          </w:p>
          <w:p w14:paraId="1D6046B8">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举例：招标文件约定的机电工程所占的比例为 70%，交通安全设施工程所占的比例为30%，联合体形式投标的情形：单位甲为机电专业，其信用等级分值为机电工程A 级，单位乙为交通安全设施工程专业，其信用等级分值为交通安全设施工程 B 级。结合招标文件中约定的信用等级 A 级对应分值为 4.75 分，B 级对应分值为 4.45 分，则按方法一计算的联合体信用等级分值为：4.45 分。</w:t>
            </w:r>
          </w:p>
          <w:p w14:paraId="332C1E8D">
            <w:pPr>
              <w:pStyle w:val="58"/>
              <w:keepNext w:val="0"/>
              <w:keepLines w:val="0"/>
              <w:suppressLineNumbers w:val="0"/>
              <w:spacing w:before="0" w:beforeAutospacing="0" w:after="0" w:afterAutospacing="0" w:line="380" w:lineRule="exact"/>
              <w:ind w:left="0" w:right="0"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10.2.7 附属区房建项目不属于广东省公路水运工程从业企业信用评价体系的参评范围，故附属区房建项目单独招标时，投标人的信用评价等级视为 B 级。</w:t>
            </w:r>
          </w:p>
          <w:p w14:paraId="6ECAB08D">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10.3 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或重新组织招标，以此类推。</w:t>
            </w:r>
          </w:p>
          <w:p w14:paraId="1B582F79">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10.4 如果开标后至中标通知书发出前，第一中标候选人发生投标人须知 1.4.4（1）至（7）的情形及中标候选人信用等级被广东省交通运输厅直接降为 D 级的情形，则取消其中标资格，招标人按推荐中标候选人排名顺序依次确定中标人，或重新组织招标。</w:t>
            </w:r>
          </w:p>
          <w:p w14:paraId="67D8357F">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10.5 本招标文件中所有“类似工程”均指</w:t>
            </w:r>
            <w:r>
              <w:rPr>
                <w:rFonts w:hint="eastAsia" w:ascii="宋体" w:hAnsi="宋体" w:cs="宋体"/>
                <w:b/>
                <w:color w:val="000000" w:themeColor="text1"/>
                <w:sz w:val="21"/>
                <w:szCs w:val="21"/>
                <w:highlight w:val="none"/>
                <w:u w:val="single"/>
                <w14:textFill>
                  <w14:solidFill>
                    <w14:schemeClr w14:val="tx1"/>
                  </w14:solidFill>
                </w14:textFill>
              </w:rPr>
              <w:t>新建、改建、扩建、改造</w:t>
            </w:r>
            <w:r>
              <w:rPr>
                <w:rFonts w:hint="eastAsia" w:ascii="宋体" w:hAnsi="宋体" w:cs="宋体"/>
                <w:b/>
                <w:color w:val="000000" w:themeColor="text1"/>
                <w:sz w:val="21"/>
                <w:szCs w:val="21"/>
                <w:highlight w:val="none"/>
                <w:u w:val="single"/>
                <w:lang w:val="en-US" w:eastAsia="zh-CN"/>
                <w14:textFill>
                  <w14:solidFill>
                    <w14:schemeClr w14:val="tx1"/>
                  </w14:solidFill>
                </w14:textFill>
              </w:rPr>
              <w:t>四</w:t>
            </w:r>
            <w:r>
              <w:rPr>
                <w:rFonts w:hint="eastAsia" w:ascii="宋体" w:hAnsi="宋体" w:cs="宋体"/>
                <w:b/>
                <w:color w:val="000000" w:themeColor="text1"/>
                <w:sz w:val="21"/>
                <w:szCs w:val="21"/>
                <w:highlight w:val="none"/>
                <w:u w:val="single"/>
                <w14:textFill>
                  <w14:solidFill>
                    <w14:schemeClr w14:val="tx1"/>
                  </w14:solidFill>
                </w14:textFill>
              </w:rPr>
              <w:t>级以上（含</w:t>
            </w:r>
            <w:r>
              <w:rPr>
                <w:rFonts w:hint="eastAsia" w:ascii="宋体" w:hAnsi="宋体" w:cs="宋体"/>
                <w:b/>
                <w:color w:val="000000" w:themeColor="text1"/>
                <w:sz w:val="21"/>
                <w:szCs w:val="21"/>
                <w:highlight w:val="none"/>
                <w:u w:val="single"/>
                <w:lang w:val="en-US" w:eastAsia="zh-CN"/>
                <w14:textFill>
                  <w14:solidFill>
                    <w14:schemeClr w14:val="tx1"/>
                  </w14:solidFill>
                </w14:textFill>
              </w:rPr>
              <w:t>四</w:t>
            </w:r>
            <w:r>
              <w:rPr>
                <w:rFonts w:hint="eastAsia" w:ascii="宋体" w:hAnsi="宋体" w:cs="宋体"/>
                <w:b/>
                <w:color w:val="000000" w:themeColor="text1"/>
                <w:sz w:val="21"/>
                <w:szCs w:val="21"/>
                <w:highlight w:val="none"/>
                <w:u w:val="single"/>
                <w14:textFill>
                  <w14:solidFill>
                    <w14:schemeClr w14:val="tx1"/>
                  </w14:solidFill>
                </w14:textFill>
              </w:rPr>
              <w:t>级）</w:t>
            </w:r>
            <w:r>
              <w:rPr>
                <w:rFonts w:hint="eastAsia" w:ascii="宋体" w:hAnsi="宋体" w:cs="宋体"/>
                <w:color w:val="000000" w:themeColor="text1"/>
                <w:sz w:val="21"/>
                <w:szCs w:val="21"/>
                <w:highlight w:val="none"/>
                <w14:textFill>
                  <w14:solidFill>
                    <w14:schemeClr w14:val="tx1"/>
                  </w14:solidFill>
                </w14:textFill>
              </w:rPr>
              <w:t>公路施工项目。在采用新建公路项目完工业绩时，对于同公路等级改、扩建中的新建桥梁或隧道工程业绩也应认可。</w:t>
            </w:r>
          </w:p>
          <w:p w14:paraId="055E1B7E">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10.6 有关业绩的说明</w:t>
            </w:r>
          </w:p>
          <w:p w14:paraId="74AFE0AE">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10.6.1</w:t>
            </w:r>
          </w:p>
          <w:p w14:paraId="5D12715F">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a、特大桥及大桥按国家最新颁布的标准进行划分；</w:t>
            </w:r>
          </w:p>
          <w:p w14:paraId="6618D859">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b、完成整座桥梁的半幅或整座桥梁其中的一部分工作内容达到特大桥或大桥对应技术标准的，按相应标段标准以座计算；</w:t>
            </w:r>
          </w:p>
          <w:p w14:paraId="7821EFDD">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c、同一投标人的单座桥梁仅能计一次，只完成整个工程部分分部工程不参与计算业绩。</w:t>
            </w:r>
          </w:p>
          <w:p w14:paraId="311DFE7A">
            <w:pPr>
              <w:pStyle w:val="58"/>
              <w:keepNext w:val="0"/>
              <w:keepLines w:val="0"/>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10.6.2</w:t>
            </w:r>
          </w:p>
          <w:p w14:paraId="221D4FBF">
            <w:pPr>
              <w:pStyle w:val="58"/>
              <w:keepNext w:val="0"/>
              <w:keepLines w:val="0"/>
              <w:numPr>
                <w:ilvl w:val="0"/>
                <w:numId w:val="7"/>
              </w:numPr>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特长隧道：单座隧道单洞（即左洞加右洞）总长大于 6000m 的，或完成单座隧道的一部分且该部分的单洞累计长度大于 6000m 的，均按 1 座计；完成单座特长隧道的一部分，该部分单洞累计长度大于 3000m 且不大于 6000m 的，按 0.5 座计，完成 N 座该类隧道按 N×0.5 座计；</w:t>
            </w:r>
          </w:p>
          <w:p w14:paraId="3EB9903A">
            <w:pPr>
              <w:pStyle w:val="58"/>
              <w:keepNext w:val="0"/>
              <w:keepLines w:val="0"/>
              <w:numPr>
                <w:ilvl w:val="0"/>
                <w:numId w:val="7"/>
              </w:numPr>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长隧道：单座隧道单洞（即左洞加右洞）总长大于 2000 米且不大于 6000 米的，或完成单座隧道的一部分且该部分的单洞累计长度大于2000 米且不大于6000 米的，均按 1 座计；</w:t>
            </w:r>
          </w:p>
          <w:p w14:paraId="5261066B">
            <w:pPr>
              <w:pStyle w:val="58"/>
              <w:keepNext w:val="0"/>
              <w:keepLines w:val="0"/>
              <w:numPr>
                <w:ilvl w:val="0"/>
                <w:numId w:val="7"/>
              </w:numPr>
              <w:suppressLineNumbers w:val="0"/>
              <w:spacing w:before="0" w:beforeAutospacing="0" w:after="0" w:afterAutospacing="0" w:line="380" w:lineRule="exact"/>
              <w:ind w:left="0" w:right="0" w:firstLine="420" w:firstLineChars="20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同一座隧道同时满足条件的，同一投标人只计算一次业绩；特长隧道可计为长隧道。</w:t>
            </w:r>
          </w:p>
          <w:p w14:paraId="3E0AB96E">
            <w:pPr>
              <w:pStyle w:val="58"/>
              <w:keepNext w:val="0"/>
              <w:keepLines w:val="0"/>
              <w:suppressLineNumbers w:val="0"/>
              <w:spacing w:before="0" w:beforeAutospacing="0" w:after="0" w:afterAutospacing="0" w:line="380" w:lineRule="exact"/>
              <w:ind w:left="0" w:right="0" w:firstLine="42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10.7 招标文件中如无特别说明，业绩里程累计长度均不扣除桥隧等构造物长度。</w:t>
            </w:r>
          </w:p>
          <w:p w14:paraId="76B31591">
            <w:pPr>
              <w:pStyle w:val="58"/>
              <w:keepNext w:val="0"/>
              <w:keepLines w:val="0"/>
              <w:suppressLineNumbers w:val="0"/>
              <w:spacing w:before="0" w:beforeAutospacing="0" w:after="0" w:afterAutospacing="0" w:line="380" w:lineRule="exact"/>
              <w:ind w:left="0" w:right="0" w:firstLine="420"/>
              <w:jc w:val="left"/>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10.8 若投标人在递交投标文件期间，出现采取不正当手段妨碍其他投标人投标的过激行为，或出现在开标会现场扰乱招投标市场秩序的行为，招标人有权将投标人此行为上报省级交通主管部门，作为不良记录纳入公路建设市场信用信息管理系统。</w:t>
            </w:r>
          </w:p>
        </w:tc>
      </w:tr>
      <w:tr w14:paraId="69313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48AECC59">
            <w:pPr>
              <w:pStyle w:val="58"/>
              <w:keepNext w:val="0"/>
              <w:keepLines w:val="0"/>
              <w:suppressLineNumbers w:val="0"/>
              <w:spacing w:before="0" w:beforeAutospacing="0" w:after="0" w:afterAutospacing="0" w:line="380" w:lineRule="exact"/>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11</w:t>
            </w:r>
          </w:p>
        </w:tc>
        <w:tc>
          <w:tcPr>
            <w:tcW w:w="9132" w:type="dxa"/>
            <w:gridSpan w:val="2"/>
            <w:tcBorders>
              <w:top w:val="single" w:color="auto" w:sz="4" w:space="0"/>
              <w:left w:val="single" w:color="auto" w:sz="2" w:space="0"/>
              <w:bottom w:val="single" w:color="auto" w:sz="4" w:space="0"/>
              <w:right w:val="single" w:color="auto" w:sz="12" w:space="0"/>
            </w:tcBorders>
          </w:tcPr>
          <w:p w14:paraId="269A0220">
            <w:pPr>
              <w:keepNext w:val="0"/>
              <w:keepLines w:val="0"/>
              <w:suppressLineNumbers w:val="0"/>
              <w:spacing w:before="0" w:beforeAutospacing="0" w:after="0" w:afterAutospacing="0" w:line="38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投标人须知正文增加第11款内容：</w:t>
            </w:r>
          </w:p>
          <w:p w14:paraId="35BF3797">
            <w:pPr>
              <w:keepNext w:val="0"/>
              <w:keepLines w:val="0"/>
              <w:suppressLineNumbers w:val="0"/>
              <w:spacing w:before="0" w:beforeAutospacing="0" w:after="0" w:afterAutospacing="0" w:line="380" w:lineRule="exact"/>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招标代理服务费等费用：按国家发展委关于《招标代理服务收费管理暂行办法》的文件，本项目的招标代理费由中标人支付，招标代理费的金额按照国家相关招标代理费计费标准及招标人与代理单位签订的招标代理合同的约定计算。投标人在投标时，必须综合考虑缴交招标代理费，并计入投标成本报价中，中标人须在中标公告公示期结束后，向招标代理机构缴纳招标代理服务费。本项目招标的评标费及复评费用（如有）由招标代理机构先垫付（评标专家费含评审费及差旅费等费用），由中标人缴纳给招标代理机构。投标人在投标时综合考虑该费用并含在投标报价中。</w:t>
            </w:r>
          </w:p>
        </w:tc>
      </w:tr>
      <w:tr w14:paraId="13FE1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68" w:type="dxa"/>
            <w:tcBorders>
              <w:top w:val="single" w:color="auto" w:sz="4" w:space="0"/>
              <w:left w:val="single" w:color="auto" w:sz="12" w:space="0"/>
              <w:bottom w:val="single" w:color="auto" w:sz="4" w:space="0"/>
              <w:right w:val="single" w:color="auto" w:sz="2" w:space="0"/>
            </w:tcBorders>
            <w:vAlign w:val="center"/>
          </w:tcPr>
          <w:p w14:paraId="00C28EDA">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12</w:t>
            </w:r>
          </w:p>
        </w:tc>
        <w:tc>
          <w:tcPr>
            <w:tcW w:w="9132" w:type="dxa"/>
            <w:gridSpan w:val="2"/>
            <w:tcBorders>
              <w:top w:val="single" w:color="auto" w:sz="4" w:space="0"/>
              <w:left w:val="single" w:color="auto" w:sz="2" w:space="0"/>
              <w:bottom w:val="single" w:color="auto" w:sz="4" w:space="0"/>
              <w:right w:val="single" w:color="auto" w:sz="12" w:space="0"/>
            </w:tcBorders>
            <w:vAlign w:val="center"/>
          </w:tcPr>
          <w:p w14:paraId="21378695">
            <w:pPr>
              <w:keepNext w:val="0"/>
              <w:keepLines w:val="0"/>
              <w:suppressLineNumbers w:val="0"/>
              <w:spacing w:before="0" w:beforeAutospacing="0" w:after="0" w:afterAutospacing="0" w:line="380" w:lineRule="exact"/>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投标人须知正文增加第12款内容：</w:t>
            </w:r>
          </w:p>
          <w:p w14:paraId="38ADC386">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12电子投标及投标解密失败及突发情况的补救方案</w:t>
            </w:r>
          </w:p>
          <w:p w14:paraId="0AB666DB">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12.1按照交易平台关于全流程电子化项目的相关指南进行操作。详见全国公共资源交易平台（广东省·韶关市）发布的最新版操作指引。</w:t>
            </w:r>
          </w:p>
          <w:p w14:paraId="5B513541">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12.2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FF3AE84">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12.3补救方案</w:t>
            </w:r>
          </w:p>
          <w:p w14:paraId="43088B7A">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（1）投标文件解密失败的补救方案：</w:t>
            </w:r>
          </w:p>
          <w:p w14:paraId="79D0F67C">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在规定时间内，因投标人之外原因(指网络瘫痪、服务器损坏、交易平台故障短期无法恢复)等导致的电子投标文件解密失败，投标人应在规定的时限内按要求成功上传未加密的备用投标文件，继续开标程序。电子投标文件解密失败且未在规定的时限内按要求成功上传未加密的备用投标文件的，视为无效投标。</w:t>
            </w:r>
          </w:p>
          <w:p w14:paraId="45523892">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（2）评标时突发情况的补救方案</w:t>
            </w:r>
          </w:p>
          <w:p w14:paraId="762EB7A7">
            <w:pPr>
              <w:keepNext w:val="0"/>
              <w:keepLines w:val="0"/>
              <w:suppressLineNumbers w:val="0"/>
              <w:spacing w:before="0" w:beforeAutospacing="0" w:after="0" w:afterAutospacing="0" w:line="380" w:lineRule="exact"/>
              <w:ind w:left="0" w:right="0" w:firstLine="420" w:firstLineChars="200"/>
              <w:rPr>
                <w:rFonts w:hint="default"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tc>
      </w:tr>
      <w:tr w14:paraId="207F2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100" w:type="dxa"/>
            <w:gridSpan w:val="3"/>
            <w:tcBorders>
              <w:top w:val="single" w:color="auto" w:sz="4" w:space="0"/>
              <w:left w:val="single" w:color="auto" w:sz="12" w:space="0"/>
              <w:bottom w:val="single" w:color="auto" w:sz="4" w:space="0"/>
              <w:right w:val="single" w:color="auto" w:sz="12" w:space="0"/>
            </w:tcBorders>
            <w:vAlign w:val="center"/>
          </w:tcPr>
          <w:p w14:paraId="0528D12F">
            <w:pPr>
              <w:pStyle w:val="16"/>
              <w:keepNext w:val="0"/>
              <w:keepLines w:val="0"/>
              <w:suppressLineNumbers w:val="0"/>
              <w:spacing w:before="0" w:beforeAutospacing="0" w:after="0" w:afterAutospacing="0" w:line="380" w:lineRule="exact"/>
              <w:ind w:left="0" w:right="0" w:firstLine="422"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备注：“投标人须知”前附表是“投标人须知”正文内容的补充、细化和修改，投标人应结合“投标人须知”正文与“投标人须知”前附表两部分内容仔细阅读“投标人须知”。</w:t>
            </w:r>
          </w:p>
        </w:tc>
      </w:tr>
    </w:tbl>
    <w:p w14:paraId="378DB609">
      <w:pPr>
        <w:spacing w:before="140" w:after="140" w:line="360" w:lineRule="auto"/>
        <w:jc w:val="center"/>
        <w:outlineLvl w:val="9"/>
        <w:rPr>
          <w:rFonts w:ascii="宋体" w:hAnsi="宋体" w:cs="黑体"/>
          <w:bCs w:val="0"/>
          <w:color w:val="000000" w:themeColor="text1"/>
          <w:sz w:val="30"/>
          <w:szCs w:val="30"/>
          <w:highlight w:val="none"/>
          <w14:textFill>
            <w14:solidFill>
              <w14:schemeClr w14:val="tx1"/>
            </w14:solidFill>
          </w14:textFill>
        </w:rPr>
      </w:pPr>
      <w:bookmarkStart w:id="39" w:name="_Toc7714"/>
      <w:r>
        <w:rPr>
          <w:rFonts w:hint="eastAsia" w:ascii="宋体" w:hAnsi="宋体" w:cs="黑体"/>
          <w:bCs w:val="0"/>
          <w:color w:val="000000" w:themeColor="text1"/>
          <w:sz w:val="30"/>
          <w:szCs w:val="30"/>
          <w:highlight w:val="none"/>
          <w14:textFill>
            <w14:solidFill>
              <w14:schemeClr w14:val="tx1"/>
            </w14:solidFill>
          </w14:textFill>
        </w:rPr>
        <w:br w:type="page"/>
      </w:r>
    </w:p>
    <w:p w14:paraId="12043EE7">
      <w:pPr>
        <w:pStyle w:val="5"/>
        <w:bidi w:val="0"/>
        <w:jc w:val="center"/>
        <w:rPr>
          <w:color w:val="000000" w:themeColor="text1"/>
          <w:sz w:val="28"/>
          <w:szCs w:val="36"/>
          <w:highlight w:val="none"/>
          <w14:textFill>
            <w14:solidFill>
              <w14:schemeClr w14:val="tx1"/>
            </w14:solidFill>
          </w14:textFill>
        </w:rPr>
      </w:pPr>
      <w:bookmarkStart w:id="40" w:name="_Toc29831"/>
      <w:bookmarkStart w:id="41" w:name="_Toc15309"/>
      <w:r>
        <w:rPr>
          <w:rFonts w:hint="eastAsia"/>
          <w:color w:val="000000" w:themeColor="text1"/>
          <w:sz w:val="28"/>
          <w:szCs w:val="36"/>
          <w:highlight w:val="none"/>
          <w14:textFill>
            <w14:solidFill>
              <w14:schemeClr w14:val="tx1"/>
            </w14:solidFill>
          </w14:textFill>
        </w:rPr>
        <w:t>附录1   资格审查条件(资质最低条件)</w:t>
      </w:r>
      <w:bookmarkEnd w:id="40"/>
      <w:bookmarkEnd w:id="41"/>
    </w:p>
    <w:p w14:paraId="061CEFAF">
      <w:pPr>
        <w:spacing w:line="160" w:lineRule="exact"/>
        <w:rPr>
          <w:color w:val="000000" w:themeColor="text1"/>
          <w:highlight w:val="none"/>
          <w14:textFill>
            <w14:solidFill>
              <w14:schemeClr w14:val="tx1"/>
            </w14:solidFill>
          </w14:textFill>
        </w:rPr>
      </w:pPr>
    </w:p>
    <w:p w14:paraId="3B7E2990">
      <w:pPr>
        <w:spacing w:line="160" w:lineRule="exact"/>
        <w:rPr>
          <w:color w:val="000000" w:themeColor="text1"/>
          <w:highlight w:val="none"/>
          <w14:textFill>
            <w14:solidFill>
              <w14:schemeClr w14:val="tx1"/>
            </w14:solidFill>
          </w14:textFill>
        </w:rPr>
      </w:pPr>
    </w:p>
    <w:tbl>
      <w:tblPr>
        <w:tblStyle w:val="43"/>
        <w:tblW w:w="949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93"/>
      </w:tblGrid>
      <w:tr w14:paraId="7C603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exact"/>
        </w:trPr>
        <w:tc>
          <w:tcPr>
            <w:tcW w:w="9493" w:type="dxa"/>
            <w:noWrap w:val="0"/>
            <w:vAlign w:val="center"/>
          </w:tcPr>
          <w:p w14:paraId="7813E532">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施工企业资质等级要求</w:t>
            </w:r>
          </w:p>
        </w:tc>
      </w:tr>
      <w:tr w14:paraId="6E5F6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8" w:hRule="exact"/>
        </w:trPr>
        <w:tc>
          <w:tcPr>
            <w:tcW w:w="9493" w:type="dxa"/>
            <w:noWrap w:val="0"/>
            <w:vAlign w:val="center"/>
          </w:tcPr>
          <w:p w14:paraId="61C1A5F0">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1、投标人须具备《建筑业企业资质标准》(建市[2014]159 号)规定的公路工程施工总承包三级以上(含三级)资质或公路工程施工总承包乙级以上(含乙级)资质。</w:t>
            </w:r>
          </w:p>
          <w:p w14:paraId="6C08B6EF">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2、投标人应具有合法有效的安全生产许可证。</w:t>
            </w:r>
          </w:p>
          <w:p w14:paraId="48D63C04">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3、投标人应进入交通运输部“全国公路建设市场监督管理系统https://kwdms.mot.gov.cn/)”中的公路工程施工资质企业名录，且投标人名称和资质与该名录中的相应企业名称和资质完全一致。</w:t>
            </w:r>
          </w:p>
        </w:tc>
      </w:tr>
    </w:tbl>
    <w:p w14:paraId="4E2466B3">
      <w:pPr>
        <w:keepNext w:val="0"/>
        <w:keepLines w:val="0"/>
        <w:widowControl/>
        <w:suppressLineNumbers w:val="0"/>
        <w:jc w:val="left"/>
        <w:rPr>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注：投标人应根据投标文件第二章“投标人须知”第 3.5.1 项的要求附相关证明材料。</w:t>
      </w:r>
    </w:p>
    <w:p w14:paraId="009179D4">
      <w:pPr>
        <w:rPr>
          <w:color w:val="000000" w:themeColor="text1"/>
          <w:highlight w:val="none"/>
          <w14:textFill>
            <w14:solidFill>
              <w14:schemeClr w14:val="tx1"/>
            </w14:solidFill>
          </w14:textFill>
        </w:rPr>
      </w:pPr>
    </w:p>
    <w:p w14:paraId="6D980144">
      <w:pPr>
        <w:rPr>
          <w:color w:val="000000" w:themeColor="text1"/>
          <w:highlight w:val="none"/>
          <w14:textFill>
            <w14:solidFill>
              <w14:schemeClr w14:val="tx1"/>
            </w14:solidFill>
          </w14:textFill>
        </w:rPr>
      </w:pPr>
    </w:p>
    <w:p w14:paraId="42A5B4DF">
      <w:pPr>
        <w:pStyle w:val="53"/>
        <w:rPr>
          <w:color w:val="000000" w:themeColor="text1"/>
          <w:highlight w:val="none"/>
          <w14:textFill>
            <w14:solidFill>
              <w14:schemeClr w14:val="tx1"/>
            </w14:solidFill>
          </w14:textFill>
        </w:rPr>
      </w:pPr>
    </w:p>
    <w:p w14:paraId="56C82173">
      <w:pPr>
        <w:pStyle w:val="5"/>
        <w:bidi w:val="0"/>
        <w:jc w:val="center"/>
        <w:rPr>
          <w:color w:val="000000" w:themeColor="text1"/>
          <w:sz w:val="28"/>
          <w:szCs w:val="36"/>
          <w:highlight w:val="none"/>
          <w14:textFill>
            <w14:solidFill>
              <w14:schemeClr w14:val="tx1"/>
            </w14:solidFill>
          </w14:textFill>
        </w:rPr>
      </w:pPr>
      <w:bookmarkStart w:id="42" w:name="_Toc7833"/>
      <w:bookmarkStart w:id="43" w:name="_Toc1782"/>
      <w:r>
        <w:rPr>
          <w:rFonts w:hint="eastAsia"/>
          <w:color w:val="000000" w:themeColor="text1"/>
          <w:sz w:val="28"/>
          <w:szCs w:val="36"/>
          <w:highlight w:val="none"/>
          <w14:textFill>
            <w14:solidFill>
              <w14:schemeClr w14:val="tx1"/>
            </w14:solidFill>
          </w14:textFill>
        </w:rPr>
        <w:t>附录2   资格审查条件(财务最低要求)</w:t>
      </w:r>
      <w:bookmarkEnd w:id="42"/>
      <w:bookmarkEnd w:id="43"/>
    </w:p>
    <w:p w14:paraId="6D8ED115">
      <w:pPr>
        <w:spacing w:line="160" w:lineRule="exact"/>
        <w:rPr>
          <w:color w:val="000000" w:themeColor="text1"/>
          <w:highlight w:val="none"/>
          <w14:textFill>
            <w14:solidFill>
              <w14:schemeClr w14:val="tx1"/>
            </w14:solidFill>
          </w14:textFill>
        </w:rPr>
      </w:pPr>
    </w:p>
    <w:tbl>
      <w:tblPr>
        <w:tblStyle w:val="43"/>
        <w:tblW w:w="95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49"/>
      </w:tblGrid>
      <w:tr w14:paraId="4AF2E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exact"/>
        </w:trPr>
        <w:tc>
          <w:tcPr>
            <w:tcW w:w="9549" w:type="dxa"/>
            <w:noWrap w:val="0"/>
            <w:vAlign w:val="center"/>
          </w:tcPr>
          <w:p w14:paraId="0CFB4ADB">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财 务 要 求</w:t>
            </w:r>
          </w:p>
        </w:tc>
      </w:tr>
      <w:tr w14:paraId="0C8C2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8" w:hRule="exact"/>
        </w:trPr>
        <w:tc>
          <w:tcPr>
            <w:tcW w:w="9549" w:type="dxa"/>
            <w:noWrap w:val="0"/>
            <w:vAlign w:val="center"/>
          </w:tcPr>
          <w:p w14:paraId="6276D5A1">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1、企业净资产（总资产-总负债）不少于</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350</w:t>
            </w:r>
            <w:r>
              <w:rPr>
                <w:rFonts w:hint="eastAsia" w:ascii="宋体" w:hAnsi="宋体" w:eastAsia="宋体" w:cs="宋体"/>
                <w:color w:val="000000" w:themeColor="text1"/>
                <w:kern w:val="0"/>
                <w:sz w:val="24"/>
                <w:szCs w:val="24"/>
                <w:highlight w:val="none"/>
                <w14:textFill>
                  <w14:solidFill>
                    <w14:schemeClr w14:val="tx1"/>
                  </w14:solidFill>
                </w14:textFill>
              </w:rPr>
              <w:t>万元人民币。</w:t>
            </w:r>
          </w:p>
          <w:p w14:paraId="40587909">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2、营运资金（流动资产－流动负债）不少于</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350</w:t>
            </w:r>
            <w:r>
              <w:rPr>
                <w:rFonts w:hint="eastAsia" w:ascii="宋体" w:hAnsi="宋体" w:eastAsia="宋体" w:cs="宋体"/>
                <w:color w:val="000000" w:themeColor="text1"/>
                <w:kern w:val="0"/>
                <w:sz w:val="24"/>
                <w:szCs w:val="24"/>
                <w:highlight w:val="none"/>
                <w14:textFill>
                  <w14:solidFill>
                    <w14:schemeClr w14:val="tx1"/>
                  </w14:solidFill>
                </w14:textFill>
              </w:rPr>
              <w:t>万元人民币。</w:t>
            </w:r>
          </w:p>
          <w:p w14:paraId="60ED4CBD">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3、近三个年度的年平均营业总收入不少于</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350</w:t>
            </w:r>
            <w:r>
              <w:rPr>
                <w:rFonts w:hint="eastAsia" w:ascii="宋体" w:hAnsi="宋体" w:eastAsia="宋体" w:cs="宋体"/>
                <w:color w:val="000000" w:themeColor="text1"/>
                <w:kern w:val="0"/>
                <w:sz w:val="24"/>
                <w:szCs w:val="24"/>
                <w:highlight w:val="none"/>
                <w14:textFill>
                  <w14:solidFill>
                    <w14:schemeClr w14:val="tx1"/>
                  </w14:solidFill>
                </w14:textFill>
              </w:rPr>
              <w:t>万元人民币。</w:t>
            </w:r>
          </w:p>
          <w:p w14:paraId="7E94CB5B">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4、近三个年度至少有</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两</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年盈利。</w:t>
            </w:r>
          </w:p>
          <w:p w14:paraId="697624B3">
            <w:pPr>
              <w:keepNext w:val="0"/>
              <w:keepLines w:val="0"/>
              <w:numPr>
                <w:ilvl w:val="0"/>
                <w:numId w:val="0"/>
              </w:numPr>
              <w:suppressLineNumbers w:val="0"/>
              <w:topLinePunct/>
              <w:adjustRightInd w:val="0"/>
              <w:spacing w:before="0" w:beforeLines="30" w:beforeAutospacing="0" w:after="0" w:afterAutospacing="0" w:line="460" w:lineRule="exact"/>
              <w:ind w:left="210" w:leftChars="0" w:right="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注：</w:t>
            </w:r>
            <w:r>
              <w:rPr>
                <w:rFonts w:hint="eastAsia" w:ascii="宋体" w:hAnsi="宋体" w:eastAsia="宋体" w:cs="宋体"/>
                <w:color w:val="000000" w:themeColor="text1"/>
                <w:kern w:val="0"/>
                <w:sz w:val="24"/>
                <w:szCs w:val="24"/>
                <w:highlight w:val="none"/>
                <w14:textFill>
                  <w14:solidFill>
                    <w14:schemeClr w14:val="tx1"/>
                  </w14:solidFill>
                </w14:textFill>
              </w:rPr>
              <w:t>成立不足3年的自成立之日起提供。</w:t>
            </w:r>
          </w:p>
        </w:tc>
      </w:tr>
    </w:tbl>
    <w:p w14:paraId="6CECD254">
      <w:pPr>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注：1、企业净资产、营运资金是按交通运输部“</w:t>
      </w:r>
      <w:r>
        <w:rPr>
          <w:rFonts w:hint="eastAsia" w:ascii="宋体" w:hAnsi="宋体" w:eastAsia="宋体" w:cs="Times New Roman"/>
          <w:color w:val="000000" w:themeColor="text1"/>
          <w:szCs w:val="21"/>
          <w:highlight w:val="none"/>
          <w14:textFill>
            <w14:solidFill>
              <w14:schemeClr w14:val="tx1"/>
            </w14:solidFill>
          </w14:textFill>
        </w:rPr>
        <w:t>全国公路建设市场监督管理系统</w:t>
      </w:r>
      <w:r>
        <w:rPr>
          <w:rFonts w:hint="eastAsia" w:ascii="宋体" w:hAnsi="宋体"/>
          <w:color w:val="000000" w:themeColor="text1"/>
          <w:szCs w:val="21"/>
          <w:highlight w:val="none"/>
          <w14:textFill>
            <w14:solidFill>
              <w14:schemeClr w14:val="tx1"/>
            </w14:solidFill>
          </w14:textFill>
        </w:rPr>
        <w:t>”登记的最新年度 (近三个年度的最后一年，下同) 数据计算得出。近三个年度是指</w:t>
      </w:r>
      <w:r>
        <w:rPr>
          <w:rFonts w:hint="eastAsia" w:ascii="宋体" w:hAnsi="宋体"/>
          <w:color w:val="000000" w:themeColor="text1"/>
          <w:szCs w:val="21"/>
          <w:highlight w:val="none"/>
          <w:u w:val="single"/>
          <w14:textFill>
            <w14:solidFill>
              <w14:schemeClr w14:val="tx1"/>
            </w14:solidFill>
          </w14:textFill>
        </w:rPr>
        <w:t>20</w:t>
      </w:r>
      <w:r>
        <w:rPr>
          <w:rFonts w:hint="eastAsia" w:ascii="宋体" w:hAnsi="宋体"/>
          <w:color w:val="000000" w:themeColor="text1"/>
          <w:szCs w:val="21"/>
          <w:highlight w:val="none"/>
          <w:u w:val="single"/>
          <w:lang w:val="en-US" w:eastAsia="zh-CN"/>
          <w14:textFill>
            <w14:solidFill>
              <w14:schemeClr w14:val="tx1"/>
            </w14:solidFill>
          </w14:textFill>
        </w:rPr>
        <w:t>22</w:t>
      </w:r>
      <w:r>
        <w:rPr>
          <w:rFonts w:hint="eastAsia" w:ascii="宋体" w:hAnsi="宋体"/>
          <w:color w:val="000000" w:themeColor="text1"/>
          <w:szCs w:val="21"/>
          <w:highlight w:val="none"/>
          <w:u w:val="single"/>
          <w14:textFill>
            <w14:solidFill>
              <w14:schemeClr w14:val="tx1"/>
            </w14:solidFill>
          </w14:textFill>
        </w:rPr>
        <w:t>年度、202</w:t>
      </w:r>
      <w:r>
        <w:rPr>
          <w:rFonts w:hint="eastAsia" w:ascii="宋体" w:hAnsi="宋体"/>
          <w:color w:val="000000" w:themeColor="text1"/>
          <w:szCs w:val="21"/>
          <w:highlight w:val="none"/>
          <w:u w:val="single"/>
          <w:lang w:val="en-US" w:eastAsia="zh-CN"/>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年度、202</w:t>
      </w:r>
      <w:r>
        <w:rPr>
          <w:rFonts w:hint="eastAsia" w:ascii="宋体" w:hAnsi="宋体"/>
          <w:color w:val="000000" w:themeColor="text1"/>
          <w:szCs w:val="21"/>
          <w:highlight w:val="none"/>
          <w:u w:val="single"/>
          <w:lang w:val="en-US" w:eastAsia="zh-CN"/>
          <w14:textFill>
            <w14:solidFill>
              <w14:schemeClr w14:val="tx1"/>
            </w14:solidFill>
          </w14:textFill>
        </w:rPr>
        <w:t>4</w:t>
      </w:r>
      <w:r>
        <w:rPr>
          <w:rFonts w:hint="eastAsia" w:ascii="宋体" w:hAnsi="宋体"/>
          <w:color w:val="000000" w:themeColor="text1"/>
          <w:szCs w:val="21"/>
          <w:highlight w:val="none"/>
          <w:u w:val="single"/>
          <w14:textFill>
            <w14:solidFill>
              <w14:schemeClr w14:val="tx1"/>
            </w14:solidFill>
          </w14:textFill>
        </w:rPr>
        <w:t>年度</w:t>
      </w:r>
      <w:r>
        <w:rPr>
          <w:rFonts w:hint="eastAsia" w:ascii="宋体" w:hAnsi="宋体"/>
          <w:color w:val="000000" w:themeColor="text1"/>
          <w:szCs w:val="21"/>
          <w:highlight w:val="none"/>
          <w14:textFill>
            <w14:solidFill>
              <w14:schemeClr w14:val="tx1"/>
            </w14:solidFill>
          </w14:textFill>
        </w:rPr>
        <w:t>。</w:t>
      </w:r>
    </w:p>
    <w:p w14:paraId="38BD8A25">
      <w:pPr>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、投标人应根据招标文件第二章“投标人须知”第 3.5.2 项的要求附相关证明材料。</w:t>
      </w:r>
    </w:p>
    <w:p w14:paraId="4D99BEDC">
      <w:pPr>
        <w:pStyle w:val="53"/>
        <w:rPr>
          <w:rFonts w:hint="eastAsia" w:ascii="宋体" w:hAnsi="宋体"/>
          <w:color w:val="000000" w:themeColor="text1"/>
          <w:szCs w:val="21"/>
          <w:highlight w:val="none"/>
          <w14:textFill>
            <w14:solidFill>
              <w14:schemeClr w14:val="tx1"/>
            </w14:solidFill>
          </w14:textFill>
        </w:rPr>
      </w:pPr>
    </w:p>
    <w:p w14:paraId="7EB20114">
      <w:pPr>
        <w:rPr>
          <w:rFonts w:hint="eastAsia" w:ascii="宋体" w:hAnsi="宋体"/>
          <w:color w:val="000000" w:themeColor="text1"/>
          <w:szCs w:val="21"/>
          <w:highlight w:val="none"/>
          <w14:textFill>
            <w14:solidFill>
              <w14:schemeClr w14:val="tx1"/>
            </w14:solidFill>
          </w14:textFill>
        </w:rPr>
      </w:pPr>
    </w:p>
    <w:p w14:paraId="71AD2940">
      <w:pPr>
        <w:pStyle w:val="53"/>
        <w:rPr>
          <w:rFonts w:hint="eastAsia" w:ascii="宋体" w:hAnsi="宋体"/>
          <w:color w:val="000000" w:themeColor="text1"/>
          <w:szCs w:val="21"/>
          <w:highlight w:val="none"/>
          <w14:textFill>
            <w14:solidFill>
              <w14:schemeClr w14:val="tx1"/>
            </w14:solidFill>
          </w14:textFill>
        </w:rPr>
      </w:pPr>
    </w:p>
    <w:p w14:paraId="5C9161BA">
      <w:pPr>
        <w:rPr>
          <w:rFonts w:hint="eastAsia" w:ascii="宋体" w:hAnsi="宋体"/>
          <w:color w:val="000000" w:themeColor="text1"/>
          <w:szCs w:val="21"/>
          <w:highlight w:val="none"/>
          <w14:textFill>
            <w14:solidFill>
              <w14:schemeClr w14:val="tx1"/>
            </w14:solidFill>
          </w14:textFill>
        </w:rPr>
      </w:pPr>
    </w:p>
    <w:p w14:paraId="609237AC">
      <w:pPr>
        <w:pStyle w:val="53"/>
        <w:rPr>
          <w:rFonts w:hint="eastAsia" w:ascii="宋体" w:hAnsi="宋体"/>
          <w:color w:val="000000" w:themeColor="text1"/>
          <w:szCs w:val="21"/>
          <w:highlight w:val="none"/>
          <w14:textFill>
            <w14:solidFill>
              <w14:schemeClr w14:val="tx1"/>
            </w14:solidFill>
          </w14:textFill>
        </w:rPr>
      </w:pPr>
    </w:p>
    <w:p w14:paraId="1A86FD5E">
      <w:pPr>
        <w:rPr>
          <w:rFonts w:hint="eastAsia" w:ascii="宋体" w:hAnsi="宋体"/>
          <w:color w:val="000000" w:themeColor="text1"/>
          <w:szCs w:val="21"/>
          <w:highlight w:val="none"/>
          <w14:textFill>
            <w14:solidFill>
              <w14:schemeClr w14:val="tx1"/>
            </w14:solidFill>
          </w14:textFill>
        </w:rPr>
      </w:pPr>
    </w:p>
    <w:p w14:paraId="328314A0">
      <w:pPr>
        <w:rPr>
          <w:rFonts w:hint="eastAsia" w:ascii="宋体" w:hAnsi="宋体"/>
          <w:color w:val="000000" w:themeColor="text1"/>
          <w:szCs w:val="21"/>
          <w:highlight w:val="none"/>
          <w14:textFill>
            <w14:solidFill>
              <w14:schemeClr w14:val="tx1"/>
            </w14:solidFill>
          </w14:textFill>
        </w:rPr>
      </w:pPr>
    </w:p>
    <w:p w14:paraId="51802840">
      <w:pPr>
        <w:rPr>
          <w:rFonts w:hint="eastAsia" w:ascii="宋体" w:hAnsi="宋体"/>
          <w:color w:val="000000" w:themeColor="text1"/>
          <w:szCs w:val="21"/>
          <w:highlight w:val="none"/>
          <w14:textFill>
            <w14:solidFill>
              <w14:schemeClr w14:val="tx1"/>
            </w14:solidFill>
          </w14:textFill>
        </w:rPr>
      </w:pPr>
    </w:p>
    <w:p w14:paraId="7A4E6873">
      <w:pPr>
        <w:pStyle w:val="53"/>
        <w:rPr>
          <w:rFonts w:hint="eastAsia"/>
          <w:color w:val="000000" w:themeColor="text1"/>
          <w:highlight w:val="none"/>
          <w14:textFill>
            <w14:solidFill>
              <w14:schemeClr w14:val="tx1"/>
            </w14:solidFill>
          </w14:textFill>
        </w:rPr>
      </w:pPr>
    </w:p>
    <w:p w14:paraId="28A5F5E5">
      <w:pPr>
        <w:pStyle w:val="5"/>
        <w:bidi w:val="0"/>
        <w:jc w:val="center"/>
        <w:rPr>
          <w:rFonts w:hint="eastAsia" w:eastAsia="宋体"/>
          <w:color w:val="000000" w:themeColor="text1"/>
          <w:sz w:val="28"/>
          <w:szCs w:val="36"/>
          <w:highlight w:val="none"/>
          <w:lang w:eastAsia="zh-CN"/>
          <w14:textFill>
            <w14:solidFill>
              <w14:schemeClr w14:val="tx1"/>
            </w14:solidFill>
          </w14:textFill>
        </w:rPr>
      </w:pPr>
      <w:bookmarkStart w:id="44" w:name="_Toc31145"/>
      <w:bookmarkStart w:id="45" w:name="_Toc13003"/>
      <w:r>
        <w:rPr>
          <w:rFonts w:hint="eastAsia"/>
          <w:color w:val="000000" w:themeColor="text1"/>
          <w:sz w:val="28"/>
          <w:szCs w:val="36"/>
          <w:highlight w:val="none"/>
          <w14:textFill>
            <w14:solidFill>
              <w14:schemeClr w14:val="tx1"/>
            </w14:solidFill>
          </w14:textFill>
        </w:rPr>
        <w:t>附录3   资格审查条件</w:t>
      </w:r>
      <w:r>
        <w:rPr>
          <w:rFonts w:hint="eastAsia"/>
          <w:color w:val="000000" w:themeColor="text1"/>
          <w:sz w:val="28"/>
          <w:szCs w:val="36"/>
          <w:highlight w:val="none"/>
          <w:lang w:eastAsia="zh-CN"/>
          <w14:textFill>
            <w14:solidFill>
              <w14:schemeClr w14:val="tx1"/>
            </w14:solidFill>
          </w14:textFill>
        </w:rPr>
        <w:t>（</w:t>
      </w:r>
      <w:r>
        <w:rPr>
          <w:rFonts w:hint="eastAsia"/>
          <w:color w:val="000000" w:themeColor="text1"/>
          <w:sz w:val="28"/>
          <w:szCs w:val="36"/>
          <w:highlight w:val="none"/>
          <w14:textFill>
            <w14:solidFill>
              <w14:schemeClr w14:val="tx1"/>
            </w14:solidFill>
          </w14:textFill>
        </w:rPr>
        <w:t>业绩最低要求</w:t>
      </w:r>
      <w:r>
        <w:rPr>
          <w:rFonts w:hint="eastAsia"/>
          <w:color w:val="000000" w:themeColor="text1"/>
          <w:sz w:val="28"/>
          <w:szCs w:val="36"/>
          <w:highlight w:val="none"/>
          <w:lang w:eastAsia="zh-CN"/>
          <w14:textFill>
            <w14:solidFill>
              <w14:schemeClr w14:val="tx1"/>
            </w14:solidFill>
          </w14:textFill>
        </w:rPr>
        <w:t>）</w:t>
      </w:r>
      <w:bookmarkEnd w:id="44"/>
      <w:bookmarkEnd w:id="45"/>
    </w:p>
    <w:p w14:paraId="2C814692">
      <w:pPr>
        <w:pStyle w:val="53"/>
        <w:rPr>
          <w:rFonts w:hint="eastAsia"/>
          <w:color w:val="000000" w:themeColor="text1"/>
          <w:highlight w:val="none"/>
          <w14:textFill>
            <w14:solidFill>
              <w14:schemeClr w14:val="tx1"/>
            </w14:solidFill>
          </w14:textFill>
        </w:rPr>
      </w:pPr>
    </w:p>
    <w:p w14:paraId="2C8CAB25">
      <w:pPr>
        <w:bidi w:val="0"/>
        <w:rPr>
          <w:rFonts w:hint="eastAsia"/>
          <w:color w:val="000000" w:themeColor="text1"/>
          <w:highlight w:val="none"/>
          <w14:textFill>
            <w14:solidFill>
              <w14:schemeClr w14:val="tx1"/>
            </w14:solidFill>
          </w14:textFill>
        </w:rPr>
      </w:pPr>
    </w:p>
    <w:tbl>
      <w:tblPr>
        <w:tblStyle w:val="43"/>
        <w:tblW w:w="94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4ABE4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480" w:type="dxa"/>
            <w:noWrap w:val="0"/>
            <w:vAlign w:val="center"/>
          </w:tcPr>
          <w:p w14:paraId="389E299F">
            <w:pPr>
              <w:pStyle w:val="16"/>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业 绩 要 求</w:t>
            </w:r>
          </w:p>
        </w:tc>
      </w:tr>
      <w:tr w14:paraId="08982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9480" w:type="dxa"/>
            <w:noWrap w:val="0"/>
            <w:vAlign w:val="center"/>
          </w:tcPr>
          <w:p w14:paraId="69911F6F">
            <w:pPr>
              <w:pStyle w:val="16"/>
              <w:keepNext w:val="0"/>
              <w:keepLines w:val="0"/>
              <w:suppressLineNumbers w:val="0"/>
              <w:spacing w:before="0" w:beforeAutospacing="0" w:after="0" w:afterAutospacing="0" w:line="360" w:lineRule="auto"/>
              <w:ind w:left="0" w:right="0" w:firstLine="480" w:firstLineChars="2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近五年</w:t>
            </w:r>
            <w:r>
              <w:rPr>
                <w:rFonts w:hint="eastAsia" w:ascii="宋体" w:hAnsi="宋体" w:cs="宋体"/>
                <w:color w:val="000000" w:themeColor="text1"/>
                <w:sz w:val="24"/>
                <w:highlight w:val="none"/>
                <w:lang w:eastAsia="zh-CN"/>
                <w14:textFill>
                  <w14:solidFill>
                    <w14:schemeClr w14:val="tx1"/>
                  </w14:solidFill>
                </w14:textFill>
              </w:rPr>
              <w:t>内，成功完成过：</w:t>
            </w:r>
          </w:p>
          <w:p w14:paraId="7F357E4A">
            <w:pPr>
              <w:keepNext w:val="0"/>
              <w:keepLines w:val="0"/>
              <w:suppressLineNumbers w:val="0"/>
              <w:topLinePunct/>
              <w:adjustRightInd w:val="0"/>
              <w:spacing w:before="0" w:beforeLines="30" w:beforeAutospacing="0" w:after="0" w:afterAutospacing="0" w:line="460" w:lineRule="exact"/>
              <w:ind w:left="0" w:right="0"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类似工程</w:t>
            </w:r>
            <w:r>
              <w:rPr>
                <w:rFonts w:hint="eastAsia"/>
                <w:color w:val="000000" w:themeColor="text1"/>
                <w:sz w:val="24"/>
                <w:szCs w:val="32"/>
                <w:highlight w:val="none"/>
                <w:u w:val="single"/>
                <w14:textFill>
                  <w14:solidFill>
                    <w14:schemeClr w14:val="tx1"/>
                  </w14:solidFill>
                </w14:textFill>
              </w:rPr>
              <w:t>水泥混凝土</w:t>
            </w:r>
            <w:r>
              <w:rPr>
                <w:rFonts w:hint="eastAsia"/>
                <w:color w:val="000000" w:themeColor="text1"/>
                <w:sz w:val="24"/>
                <w:szCs w:val="32"/>
                <w:highlight w:val="none"/>
                <w14:textFill>
                  <w14:solidFill>
                    <w14:schemeClr w14:val="tx1"/>
                  </w14:solidFill>
                </w14:textFill>
              </w:rPr>
              <w:t>路面工程至少</w:t>
            </w:r>
            <w:r>
              <w:rPr>
                <w:rFonts w:hint="eastAsia"/>
                <w:color w:val="000000" w:themeColor="text1"/>
                <w:sz w:val="24"/>
                <w:szCs w:val="32"/>
                <w:highlight w:val="none"/>
                <w:u w:val="single"/>
                <w14:textFill>
                  <w14:solidFill>
                    <w14:schemeClr w14:val="tx1"/>
                  </w14:solidFill>
                </w14:textFill>
              </w:rPr>
              <w:t>1</w:t>
            </w:r>
            <w:r>
              <w:rPr>
                <w:rFonts w:hint="eastAsia"/>
                <w:color w:val="000000" w:themeColor="text1"/>
                <w:sz w:val="24"/>
                <w:szCs w:val="32"/>
                <w:highlight w:val="none"/>
                <w14:textFill>
                  <w14:solidFill>
                    <w14:schemeClr w14:val="tx1"/>
                  </w14:solidFill>
                </w14:textFill>
              </w:rPr>
              <w:t>个标段（其中有1个标段里程</w:t>
            </w:r>
            <w:r>
              <w:rPr>
                <w:rFonts w:hint="eastAsia"/>
                <w:color w:val="000000" w:themeColor="text1"/>
                <w:sz w:val="24"/>
                <w:szCs w:val="32"/>
                <w:highlight w:val="none"/>
                <w:lang w:val="en-US" w:eastAsia="zh-CN"/>
                <w14:textFill>
                  <w14:solidFill>
                    <w14:schemeClr w14:val="tx1"/>
                  </w14:solidFill>
                </w14:textFill>
              </w:rPr>
              <w:t>5</w:t>
            </w:r>
            <w:r>
              <w:rPr>
                <w:rFonts w:hint="eastAsia"/>
                <w:color w:val="000000" w:themeColor="text1"/>
                <w:sz w:val="24"/>
                <w:szCs w:val="32"/>
                <w:highlight w:val="none"/>
                <w14:textFill>
                  <w14:solidFill>
                    <w14:schemeClr w14:val="tx1"/>
                  </w14:solidFill>
                </w14:textFill>
              </w:rPr>
              <w:t xml:space="preserve"> km），且累计里程 </w:t>
            </w:r>
            <w:r>
              <w:rPr>
                <w:rFonts w:hint="eastAsia"/>
                <w:color w:val="000000" w:themeColor="text1"/>
                <w:sz w:val="24"/>
                <w:szCs w:val="32"/>
                <w:highlight w:val="none"/>
                <w:lang w:val="en-US" w:eastAsia="zh-CN"/>
                <w14:textFill>
                  <w14:solidFill>
                    <w14:schemeClr w14:val="tx1"/>
                  </w14:solidFill>
                </w14:textFill>
              </w:rPr>
              <w:t>7</w:t>
            </w:r>
            <w:r>
              <w:rPr>
                <w:rFonts w:hint="eastAsia"/>
                <w:color w:val="000000" w:themeColor="text1"/>
                <w:sz w:val="24"/>
                <w:szCs w:val="32"/>
                <w:highlight w:val="none"/>
                <w14:textFill>
                  <w14:solidFill>
                    <w14:schemeClr w14:val="tx1"/>
                  </w14:solidFill>
                </w14:textFill>
              </w:rPr>
              <w:t xml:space="preserve"> km。</w:t>
            </w:r>
          </w:p>
        </w:tc>
      </w:tr>
    </w:tbl>
    <w:p w14:paraId="0D0DBA26">
      <w:pPr>
        <w:pStyle w:val="16"/>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 xml:space="preserve">注：1、本附录所要求的业绩仅限中华人民共和国境内业绩。 </w:t>
      </w:r>
    </w:p>
    <w:p w14:paraId="71CE47FC">
      <w:pPr>
        <w:pStyle w:val="16"/>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themeColor="text1"/>
          <w:sz w:val="21"/>
          <w:szCs w:val="21"/>
          <w:highlight w:val="none"/>
          <w14:textFill>
            <w14:solidFill>
              <w14:schemeClr w14:val="tx1"/>
            </w14:solidFill>
          </w14:textFill>
        </w:rPr>
      </w:pPr>
      <w:bookmarkStart w:id="46" w:name="_Toc328041282"/>
      <w:bookmarkEnd w:id="46"/>
      <w:bookmarkStart w:id="47" w:name="_Toc346891120"/>
      <w:bookmarkEnd w:id="47"/>
      <w:r>
        <w:rPr>
          <w:rFonts w:hint="eastAsia" w:ascii="宋体" w:hAnsi="宋体" w:cs="宋体"/>
          <w:color w:val="000000" w:themeColor="text1"/>
          <w:sz w:val="21"/>
          <w:szCs w:val="21"/>
          <w:highlight w:val="none"/>
          <w14:textFill>
            <w14:solidFill>
              <w14:schemeClr w14:val="tx1"/>
            </w14:solidFill>
          </w14:textFill>
        </w:rPr>
        <w:t>2、若为联合体投标，投标人业绩的资格审查条件和加分条件 (如有) 的认定原则如下：</w:t>
      </w:r>
      <w:r>
        <w:rPr>
          <w:rFonts w:hint="eastAsia" w:ascii="宋体" w:hAnsi="宋体" w:cs="宋体"/>
          <w:color w:val="000000" w:themeColor="text1"/>
          <w:sz w:val="21"/>
          <w:szCs w:val="21"/>
          <w:highlight w:val="none"/>
          <w:u w:val="single"/>
          <w14:textFill>
            <w14:solidFill>
              <w14:schemeClr w14:val="tx1"/>
            </w14:solidFill>
          </w14:textFill>
        </w:rPr>
        <w:t>联合体成员须按联合体协议书中约定承担的各专业工程满足对应的业绩要求</w:t>
      </w:r>
      <w:r>
        <w:rPr>
          <w:rFonts w:hint="eastAsia" w:ascii="宋体" w:hAnsi="宋体" w:cs="宋体"/>
          <w:color w:val="000000" w:themeColor="text1"/>
          <w:sz w:val="21"/>
          <w:szCs w:val="21"/>
          <w:highlight w:val="none"/>
          <w14:textFill>
            <w14:solidFill>
              <w14:schemeClr w14:val="tx1"/>
            </w14:solidFill>
          </w14:textFill>
        </w:rPr>
        <w:t>。</w:t>
      </w:r>
    </w:p>
    <w:p w14:paraId="4054A1AE">
      <w:pPr>
        <w:pStyle w:val="16"/>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3、若投标人提供的业绩证明为联合体业绩，则按交通运输部“</w:t>
      </w:r>
      <w:r>
        <w:rPr>
          <w:rFonts w:hint="eastAsia" w:ascii="宋体" w:hAnsi="宋体" w:eastAsia="宋体" w:cs="Times New Roman"/>
          <w:color w:val="000000" w:themeColor="text1"/>
          <w:szCs w:val="21"/>
          <w:highlight w:val="none"/>
          <w14:textFill>
            <w14:solidFill>
              <w14:schemeClr w14:val="tx1"/>
            </w14:solidFill>
          </w14:textFill>
        </w:rPr>
        <w:t>全国公路建设市场监督管理系统</w:t>
      </w:r>
      <w:r>
        <w:rPr>
          <w:rFonts w:hint="eastAsia" w:ascii="宋体" w:hAnsi="宋体" w:cs="宋体"/>
          <w:color w:val="000000" w:themeColor="text1"/>
          <w:sz w:val="21"/>
          <w:szCs w:val="21"/>
          <w:highlight w:val="none"/>
          <w14:textFill>
            <w14:solidFill>
              <w14:schemeClr w14:val="tx1"/>
            </w14:solidFill>
          </w14:textFill>
        </w:rPr>
        <w:t>”业绩信息的网页截图体现其完成的相关专项工程的工程量认定，无法界定其完成的相关专项工程的工程量，此业绩不予认定。</w:t>
      </w:r>
    </w:p>
    <w:p w14:paraId="00C8568C">
      <w:pPr>
        <w:pStyle w:val="16"/>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4、投标人应根据招标文件第二章“投标人须知”第 3.5.3 项的要求附相关证明材料。</w:t>
      </w:r>
    </w:p>
    <w:p w14:paraId="406F04E8">
      <w:pPr>
        <w:pStyle w:val="16"/>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5、近五年是指：</w:t>
      </w:r>
      <w:r>
        <w:rPr>
          <w:rFonts w:hint="eastAsia" w:ascii="宋体" w:hAnsi="宋体" w:cs="宋体"/>
          <w:color w:val="000000" w:themeColor="text1"/>
          <w:sz w:val="21"/>
          <w:szCs w:val="21"/>
          <w:highlight w:val="none"/>
          <w:u w:val="single"/>
          <w14:textFill>
            <w14:solidFill>
              <w14:schemeClr w14:val="tx1"/>
            </w14:solidFill>
          </w14:textFill>
        </w:rPr>
        <w:t>20</w:t>
      </w:r>
      <w:r>
        <w:rPr>
          <w:rFonts w:hint="eastAsia" w:ascii="宋体" w:hAnsi="宋体" w:cs="宋体"/>
          <w:color w:val="000000" w:themeColor="text1"/>
          <w:sz w:val="21"/>
          <w:szCs w:val="21"/>
          <w:highlight w:val="none"/>
          <w:u w:val="single"/>
          <w:lang w:val="en-US" w:eastAsia="zh-CN"/>
          <w14:textFill>
            <w14:solidFill>
              <w14:schemeClr w14:val="tx1"/>
            </w14:solidFill>
          </w14:textFill>
        </w:rPr>
        <w:t>20</w:t>
      </w:r>
      <w:r>
        <w:rPr>
          <w:rFonts w:hint="eastAsia" w:ascii="宋体" w:hAnsi="宋体" w:cs="宋体"/>
          <w:color w:val="000000" w:themeColor="text1"/>
          <w:sz w:val="21"/>
          <w:szCs w:val="21"/>
          <w:highlight w:val="none"/>
          <w:u w:val="single"/>
          <w14:textFill>
            <w14:solidFill>
              <w14:schemeClr w14:val="tx1"/>
            </w14:solidFill>
          </w14:textFill>
        </w:rPr>
        <w:t>年</w:t>
      </w:r>
      <w:r>
        <w:rPr>
          <w:rFonts w:hint="eastAsia" w:ascii="宋体" w:hAnsi="宋体" w:cs="宋体"/>
          <w:color w:val="000000" w:themeColor="text1"/>
          <w:sz w:val="21"/>
          <w:szCs w:val="21"/>
          <w:highlight w:val="none"/>
          <w:u w:val="single"/>
          <w:lang w:val="en-US" w:eastAsia="zh-CN"/>
          <w14:textFill>
            <w14:solidFill>
              <w14:schemeClr w14:val="tx1"/>
            </w14:solidFill>
          </w14:textFill>
        </w:rPr>
        <w:t>05</w:t>
      </w:r>
      <w:r>
        <w:rPr>
          <w:rFonts w:hint="eastAsia" w:ascii="宋体" w:hAnsi="宋体" w:cs="宋体"/>
          <w:color w:val="000000" w:themeColor="text1"/>
          <w:sz w:val="21"/>
          <w:szCs w:val="21"/>
          <w:highlight w:val="none"/>
          <w:u w:val="single"/>
          <w14:textFill>
            <w14:solidFill>
              <w14:schemeClr w14:val="tx1"/>
            </w14:solidFill>
          </w14:textFill>
        </w:rPr>
        <w:t>月</w:t>
      </w:r>
      <w:r>
        <w:rPr>
          <w:rFonts w:hint="eastAsia" w:ascii="宋体" w:hAnsi="宋体" w:cs="宋体"/>
          <w:color w:val="000000" w:themeColor="text1"/>
          <w:sz w:val="21"/>
          <w:szCs w:val="21"/>
          <w:highlight w:val="none"/>
          <w:u w:val="single"/>
          <w:lang w:val="en-US" w:eastAsia="zh-CN"/>
          <w14:textFill>
            <w14:solidFill>
              <w14:schemeClr w14:val="tx1"/>
            </w14:solidFill>
          </w14:textFill>
        </w:rPr>
        <w:t>0</w:t>
      </w:r>
      <w:r>
        <w:rPr>
          <w:rFonts w:hint="eastAsia" w:ascii="宋体" w:hAnsi="宋体" w:cs="宋体"/>
          <w:color w:val="000000" w:themeColor="text1"/>
          <w:sz w:val="21"/>
          <w:szCs w:val="21"/>
          <w:highlight w:val="none"/>
          <w:u w:val="single"/>
          <w14:textFill>
            <w14:solidFill>
              <w14:schemeClr w14:val="tx1"/>
            </w14:solidFill>
          </w14:textFill>
        </w:rPr>
        <w:t>1日</w:t>
      </w:r>
      <w:r>
        <w:rPr>
          <w:rFonts w:hint="eastAsia" w:ascii="宋体" w:hAnsi="宋体" w:cs="宋体"/>
          <w:color w:val="000000" w:themeColor="text1"/>
          <w:sz w:val="21"/>
          <w:szCs w:val="21"/>
          <w:highlight w:val="none"/>
          <w14:textFill>
            <w14:solidFill>
              <w14:schemeClr w14:val="tx1"/>
            </w14:solidFill>
          </w14:textFill>
        </w:rPr>
        <w:t>至投标文件递交截止之日止。</w:t>
      </w:r>
    </w:p>
    <w:p w14:paraId="31866119">
      <w:pPr>
        <w:spacing w:line="400" w:lineRule="exact"/>
        <w:ind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6、类似工程是指：</w:t>
      </w:r>
      <w:r>
        <w:rPr>
          <w:rFonts w:hint="eastAsia" w:ascii="宋体" w:hAnsi="宋体" w:cs="宋体"/>
          <w:b/>
          <w:bCs/>
          <w:color w:val="000000" w:themeColor="text1"/>
          <w:sz w:val="21"/>
          <w:szCs w:val="21"/>
          <w:highlight w:val="none"/>
          <w:u w:val="single"/>
          <w14:textFill>
            <w14:solidFill>
              <w14:schemeClr w14:val="tx1"/>
            </w14:solidFill>
          </w14:textFill>
        </w:rPr>
        <w:t>指</w:t>
      </w:r>
      <w:r>
        <w:rPr>
          <w:rFonts w:hint="eastAsia" w:ascii="宋体" w:hAnsi="宋体" w:cs="宋体"/>
          <w:b/>
          <w:bCs/>
          <w:color w:val="000000" w:themeColor="text1"/>
          <w:highlight w:val="none"/>
          <w:u w:val="single"/>
          <w:lang w:val="en-US" w:eastAsia="zh-CN"/>
          <w14:textFill>
            <w14:solidFill>
              <w14:schemeClr w14:val="tx1"/>
            </w14:solidFill>
          </w14:textFill>
        </w:rPr>
        <w:t>新建、改建、扩建、改造、路面修复四级以上（含四级）</w:t>
      </w:r>
      <w:r>
        <w:rPr>
          <w:rFonts w:hint="eastAsia" w:ascii="宋体" w:hAnsi="宋体" w:cs="宋体"/>
          <w:b/>
          <w:bCs/>
          <w:color w:val="000000" w:themeColor="text1"/>
          <w:highlight w:val="none"/>
          <w:u w:val="none"/>
          <w:lang w:val="en-US" w:eastAsia="zh-CN"/>
          <w14:textFill>
            <w14:solidFill>
              <w14:schemeClr w14:val="tx1"/>
            </w14:solidFill>
          </w14:textFill>
        </w:rPr>
        <w:t>公路施工项目</w:t>
      </w:r>
      <w:r>
        <w:rPr>
          <w:rFonts w:hint="eastAsia"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u w:val="single"/>
          <w:lang w:val="en-US" w:eastAsia="zh-CN"/>
          <w14:textFill>
            <w14:solidFill>
              <w14:schemeClr w14:val="tx1"/>
            </w14:solidFill>
          </w14:textFill>
        </w:rPr>
        <w:t>在采用新建公路项目完工业绩时，对于同公路等级改、扩建中的新建桥梁或隧道工程业绩也应认可</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5BEEEEA5">
      <w:pPr>
        <w:spacing w:line="400" w:lineRule="exact"/>
        <w:ind w:firstLine="440" w:firstLineChars="200"/>
        <w:rPr>
          <w:rFonts w:ascii="宋体" w:hAnsi="宋体"/>
          <w:color w:val="000000" w:themeColor="text1"/>
          <w:sz w:val="22"/>
          <w:szCs w:val="22"/>
          <w:highlight w:val="none"/>
          <w14:textFill>
            <w14:solidFill>
              <w14:schemeClr w14:val="tx1"/>
            </w14:solidFill>
          </w14:textFill>
        </w:rPr>
      </w:pPr>
    </w:p>
    <w:p w14:paraId="5EC14A73">
      <w:pPr>
        <w:pStyle w:val="53"/>
        <w:rPr>
          <w:rFonts w:ascii="宋体" w:hAnsi="宋体"/>
          <w:color w:val="000000" w:themeColor="text1"/>
          <w:sz w:val="22"/>
          <w:szCs w:val="22"/>
          <w:highlight w:val="none"/>
          <w14:textFill>
            <w14:solidFill>
              <w14:schemeClr w14:val="tx1"/>
            </w14:solidFill>
          </w14:textFill>
        </w:rPr>
      </w:pPr>
    </w:p>
    <w:p w14:paraId="6FD4847B">
      <w:pPr>
        <w:rPr>
          <w:color w:val="000000" w:themeColor="text1"/>
          <w:highlight w:val="none"/>
          <w14:textFill>
            <w14:solidFill>
              <w14:schemeClr w14:val="tx1"/>
            </w14:solidFill>
          </w14:textFill>
        </w:rPr>
      </w:pPr>
    </w:p>
    <w:p w14:paraId="511E80B6">
      <w:pPr>
        <w:pStyle w:val="5"/>
        <w:bidi w:val="0"/>
        <w:jc w:val="center"/>
        <w:rPr>
          <w:color w:val="000000" w:themeColor="text1"/>
          <w:sz w:val="28"/>
          <w:szCs w:val="36"/>
          <w:highlight w:val="none"/>
          <w14:textFill>
            <w14:solidFill>
              <w14:schemeClr w14:val="tx1"/>
            </w14:solidFill>
          </w14:textFill>
        </w:rPr>
      </w:pPr>
      <w:bookmarkStart w:id="48" w:name="_Toc6458"/>
      <w:bookmarkStart w:id="49" w:name="_Toc21607"/>
      <w:r>
        <w:rPr>
          <w:rFonts w:hint="eastAsia"/>
          <w:color w:val="000000" w:themeColor="text1"/>
          <w:sz w:val="28"/>
          <w:szCs w:val="36"/>
          <w:highlight w:val="none"/>
          <w14:textFill>
            <w14:solidFill>
              <w14:schemeClr w14:val="tx1"/>
            </w14:solidFill>
          </w14:textFill>
        </w:rPr>
        <w:t>附录4   资格审查条件(信誉最低要求)</w:t>
      </w:r>
      <w:bookmarkEnd w:id="48"/>
      <w:bookmarkEnd w:id="49"/>
    </w:p>
    <w:p w14:paraId="1779B4C8">
      <w:pPr>
        <w:spacing w:line="160" w:lineRule="exact"/>
        <w:rPr>
          <w:color w:val="000000" w:themeColor="text1"/>
          <w:highlight w:val="none"/>
          <w14:textFill>
            <w14:solidFill>
              <w14:schemeClr w14:val="tx1"/>
            </w14:solidFill>
          </w14:textFill>
        </w:rPr>
      </w:pPr>
    </w:p>
    <w:tbl>
      <w:tblPr>
        <w:tblStyle w:val="43"/>
        <w:tblW w:w="92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3"/>
      </w:tblGrid>
      <w:tr w14:paraId="1D501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exact"/>
          <w:jc w:val="center"/>
        </w:trPr>
        <w:tc>
          <w:tcPr>
            <w:tcW w:w="9273" w:type="dxa"/>
            <w:noWrap w:val="0"/>
            <w:vAlign w:val="center"/>
          </w:tcPr>
          <w:p w14:paraId="33D7BA17">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信 誉 要 求</w:t>
            </w:r>
          </w:p>
        </w:tc>
      </w:tr>
      <w:tr w14:paraId="10527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4" w:hRule="exact"/>
          <w:jc w:val="center"/>
        </w:trPr>
        <w:tc>
          <w:tcPr>
            <w:tcW w:w="9273" w:type="dxa"/>
            <w:noWrap w:val="0"/>
            <w:vAlign w:val="center"/>
          </w:tcPr>
          <w:p w14:paraId="20CD49D4">
            <w:pPr>
              <w:keepNext w:val="0"/>
              <w:keepLines w:val="0"/>
              <w:suppressLineNumbers w:val="0"/>
              <w:topLinePunct/>
              <w:adjustRightInd w:val="0"/>
              <w:spacing w:before="0" w:beforeAutospacing="0" w:after="0" w:afterAutospacing="0" w:line="48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在最新年度广东省公路工程从业单位（施工单位）信用评价（含无最新年度而上一年度有信用评价）中，信用等级未被评为 D 级；</w:t>
            </w:r>
          </w:p>
          <w:p w14:paraId="38583E7A">
            <w:pPr>
              <w:keepNext w:val="0"/>
              <w:keepLines w:val="0"/>
              <w:suppressLineNumbers w:val="0"/>
              <w:topLinePunct/>
              <w:adjustRightInd w:val="0"/>
              <w:spacing w:before="0" w:beforeAutospacing="0" w:after="0" w:afterAutospacing="0" w:line="480" w:lineRule="exact"/>
              <w:ind w:left="0" w:right="0"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初次进入广东省的投标人，在最新年度的全国公路从业单位（施工单位）信用评价结果中未被评为 D 级。</w:t>
            </w:r>
          </w:p>
        </w:tc>
      </w:tr>
    </w:tbl>
    <w:p w14:paraId="6104ECBD">
      <w:pPr>
        <w:spacing w:before="70"/>
        <w:ind w:left="415" w:right="0" w:firstLine="0"/>
        <w:jc w:val="left"/>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注：1、信用等级的确定原则遵遁投标人须知前附表 10.2 款的规定。</w:t>
      </w:r>
    </w:p>
    <w:p w14:paraId="4D601E63">
      <w:pPr>
        <w:numPr>
          <w:ilvl w:val="0"/>
          <w:numId w:val="8"/>
        </w:numPr>
        <w:spacing w:before="4" w:line="242" w:lineRule="auto"/>
        <w:ind w:left="415" w:right="841" w:firstLine="420"/>
        <w:jc w:val="left"/>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投标人应根据第九章“投标文件格式”中“八、资格审查资料 （五）投标人的信誉情况表”填写情况说明。</w:t>
      </w:r>
    </w:p>
    <w:p w14:paraId="7FF4279F">
      <w:pPr>
        <w:pStyle w:val="53"/>
        <w:widowControl w:val="0"/>
        <w:numPr>
          <w:ilvl w:val="0"/>
          <w:numId w:val="0"/>
        </w:numPr>
        <w:jc w:val="center"/>
        <w:rPr>
          <w:rFonts w:hint="eastAsia"/>
          <w:color w:val="000000" w:themeColor="text1"/>
          <w:highlight w:val="none"/>
          <w14:textFill>
            <w14:solidFill>
              <w14:schemeClr w14:val="tx1"/>
            </w14:solidFill>
          </w14:textFill>
        </w:rPr>
      </w:pPr>
    </w:p>
    <w:p w14:paraId="7BCC9D43">
      <w:pPr>
        <w:rPr>
          <w:rFonts w:hint="eastAsia"/>
          <w:color w:val="000000" w:themeColor="text1"/>
          <w:highlight w:val="none"/>
          <w14:textFill>
            <w14:solidFill>
              <w14:schemeClr w14:val="tx1"/>
            </w14:solidFill>
          </w14:textFill>
        </w:rPr>
      </w:pPr>
    </w:p>
    <w:p w14:paraId="5BCA0391">
      <w:pPr>
        <w:pStyle w:val="53"/>
        <w:rPr>
          <w:rFonts w:hint="eastAsia"/>
          <w:color w:val="000000" w:themeColor="text1"/>
          <w:highlight w:val="none"/>
          <w14:textFill>
            <w14:solidFill>
              <w14:schemeClr w14:val="tx1"/>
            </w14:solidFill>
          </w14:textFill>
        </w:rPr>
      </w:pPr>
    </w:p>
    <w:p w14:paraId="24C98820">
      <w:pPr>
        <w:rPr>
          <w:rFonts w:hint="eastAsia"/>
          <w:color w:val="000000" w:themeColor="text1"/>
          <w:highlight w:val="none"/>
          <w14:textFill>
            <w14:solidFill>
              <w14:schemeClr w14:val="tx1"/>
            </w14:solidFill>
          </w14:textFill>
        </w:rPr>
      </w:pPr>
    </w:p>
    <w:p w14:paraId="7F082532">
      <w:pPr>
        <w:pStyle w:val="53"/>
        <w:rPr>
          <w:rFonts w:hint="eastAsia"/>
          <w:color w:val="000000" w:themeColor="text1"/>
          <w:highlight w:val="none"/>
          <w14:textFill>
            <w14:solidFill>
              <w14:schemeClr w14:val="tx1"/>
            </w14:solidFill>
          </w14:textFill>
        </w:rPr>
      </w:pPr>
    </w:p>
    <w:p w14:paraId="4B11D537">
      <w:pPr>
        <w:rPr>
          <w:rFonts w:hint="eastAsia"/>
          <w:color w:val="000000" w:themeColor="text1"/>
          <w:highlight w:val="none"/>
          <w14:textFill>
            <w14:solidFill>
              <w14:schemeClr w14:val="tx1"/>
            </w14:solidFill>
          </w14:textFill>
        </w:rPr>
      </w:pPr>
    </w:p>
    <w:p w14:paraId="219989BB">
      <w:pPr>
        <w:pStyle w:val="53"/>
        <w:rPr>
          <w:rFonts w:hint="eastAsia"/>
          <w:color w:val="000000" w:themeColor="text1"/>
          <w:highlight w:val="none"/>
          <w14:textFill>
            <w14:solidFill>
              <w14:schemeClr w14:val="tx1"/>
            </w14:solidFill>
          </w14:textFill>
        </w:rPr>
      </w:pPr>
    </w:p>
    <w:p w14:paraId="4CC4B96F">
      <w:pPr>
        <w:pStyle w:val="5"/>
        <w:bidi w:val="0"/>
        <w:jc w:val="center"/>
        <w:rPr>
          <w:color w:val="000000" w:themeColor="text1"/>
          <w:sz w:val="28"/>
          <w:szCs w:val="36"/>
          <w:highlight w:val="none"/>
          <w14:textFill>
            <w14:solidFill>
              <w14:schemeClr w14:val="tx1"/>
            </w14:solidFill>
          </w14:textFill>
        </w:rPr>
      </w:pPr>
      <w:bookmarkStart w:id="50" w:name="_Toc12920"/>
      <w:bookmarkStart w:id="51" w:name="_Toc22826"/>
      <w:r>
        <w:rPr>
          <w:rFonts w:hint="eastAsia"/>
          <w:color w:val="000000" w:themeColor="text1"/>
          <w:sz w:val="28"/>
          <w:szCs w:val="36"/>
          <w:highlight w:val="none"/>
          <w14:textFill>
            <w14:solidFill>
              <w14:schemeClr w14:val="tx1"/>
            </w14:solidFill>
          </w14:textFill>
        </w:rPr>
        <w:t>附录5   资格审查条件(项目经理和项目总工最低要求)</w:t>
      </w:r>
      <w:bookmarkEnd w:id="50"/>
      <w:bookmarkEnd w:id="51"/>
    </w:p>
    <w:p w14:paraId="1E842507">
      <w:pPr>
        <w:spacing w:line="160" w:lineRule="exact"/>
        <w:rPr>
          <w:color w:val="000000" w:themeColor="text1"/>
          <w:highlight w:val="none"/>
          <w14:textFill>
            <w14:solidFill>
              <w14:schemeClr w14:val="tx1"/>
            </w14:solidFill>
          </w14:textFill>
        </w:rPr>
      </w:pPr>
    </w:p>
    <w:tbl>
      <w:tblPr>
        <w:tblStyle w:val="43"/>
        <w:tblW w:w="96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20"/>
        <w:gridCol w:w="5760"/>
        <w:gridCol w:w="1980"/>
      </w:tblGrid>
      <w:tr w14:paraId="4A67F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84" w:type="dxa"/>
            <w:tcBorders>
              <w:tl2br w:val="nil"/>
              <w:tr2bl w:val="nil"/>
            </w:tcBorders>
            <w:noWrap w:val="0"/>
            <w:vAlign w:val="center"/>
          </w:tcPr>
          <w:p w14:paraId="666E781B">
            <w:pPr>
              <w:keepNext w:val="0"/>
              <w:keepLines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人  员</w:t>
            </w:r>
          </w:p>
        </w:tc>
        <w:tc>
          <w:tcPr>
            <w:tcW w:w="720" w:type="dxa"/>
            <w:tcBorders>
              <w:tl2br w:val="nil"/>
              <w:tr2bl w:val="nil"/>
            </w:tcBorders>
            <w:noWrap w:val="0"/>
            <w:vAlign w:val="center"/>
          </w:tcPr>
          <w:p w14:paraId="1CA4C99F">
            <w:pPr>
              <w:keepNext w:val="0"/>
              <w:keepLines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数量</w:t>
            </w:r>
          </w:p>
        </w:tc>
        <w:tc>
          <w:tcPr>
            <w:tcW w:w="5760" w:type="dxa"/>
            <w:tcBorders>
              <w:tl2br w:val="nil"/>
              <w:tr2bl w:val="nil"/>
            </w:tcBorders>
            <w:noWrap w:val="0"/>
            <w:vAlign w:val="center"/>
          </w:tcPr>
          <w:p w14:paraId="7BABC0A4">
            <w:pPr>
              <w:keepNext w:val="0"/>
              <w:keepLines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资 格 要 求</w:t>
            </w:r>
          </w:p>
        </w:tc>
        <w:tc>
          <w:tcPr>
            <w:tcW w:w="1980" w:type="dxa"/>
            <w:tcBorders>
              <w:tl2br w:val="nil"/>
              <w:tr2bl w:val="nil"/>
            </w:tcBorders>
            <w:noWrap w:val="0"/>
            <w:vAlign w:val="center"/>
          </w:tcPr>
          <w:p w14:paraId="3CB6C52F">
            <w:pPr>
              <w:keepNext w:val="0"/>
              <w:keepLines w:val="0"/>
              <w:suppressLineNumbers w:val="0"/>
              <w:spacing w:before="0" w:beforeAutospacing="0" w:after="0" w:afterAutospacing="0" w:line="276" w:lineRule="auto"/>
              <w:ind w:left="0" w:right="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在 岗 要 求</w:t>
            </w:r>
          </w:p>
        </w:tc>
      </w:tr>
      <w:tr w14:paraId="471C2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1184" w:type="dxa"/>
            <w:tcBorders>
              <w:tl2br w:val="nil"/>
              <w:tr2bl w:val="nil"/>
            </w:tcBorders>
            <w:noWrap w:val="0"/>
            <w:vAlign w:val="center"/>
          </w:tcPr>
          <w:p w14:paraId="68EF9D51">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项目经理</w:t>
            </w:r>
          </w:p>
        </w:tc>
        <w:tc>
          <w:tcPr>
            <w:tcW w:w="720" w:type="dxa"/>
            <w:tcBorders>
              <w:tl2br w:val="nil"/>
              <w:tr2bl w:val="nil"/>
            </w:tcBorders>
            <w:noWrap w:val="0"/>
            <w:vAlign w:val="center"/>
          </w:tcPr>
          <w:p w14:paraId="7C51A5D4">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5760" w:type="dxa"/>
            <w:tcBorders>
              <w:tl2br w:val="nil"/>
              <w:tr2bl w:val="nil"/>
            </w:tcBorders>
            <w:noWrap w:val="0"/>
            <w:vAlign w:val="center"/>
          </w:tcPr>
          <w:p w14:paraId="366B9F61">
            <w:pPr>
              <w:keepNext w:val="0"/>
              <w:keepLines w:val="0"/>
              <w:suppressLineNumbers w:val="0"/>
              <w:spacing w:before="0" w:beforeAutospacing="0" w:after="0" w:afterAutospacing="0" w:line="320" w:lineRule="exact"/>
              <w:ind w:left="0" w:right="6" w:rightChars="3"/>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路桥相关专业</w:t>
            </w:r>
            <w:r>
              <w:rPr>
                <w:rFonts w:hint="eastAsia" w:ascii="宋体" w:hAnsi="宋体" w:eastAsia="宋体" w:cs="宋体"/>
                <w:color w:val="000000" w:themeColor="text1"/>
                <w:sz w:val="24"/>
                <w:highlight w:val="none"/>
                <w:lang w:val="en-US" w:eastAsia="zh-CN"/>
                <w14:textFill>
                  <w14:solidFill>
                    <w14:schemeClr w14:val="tx1"/>
                  </w14:solidFill>
                </w14:textFill>
              </w:rPr>
              <w:t>工程师，并持有住房和城乡建设部颁发的公路工程专业</w:t>
            </w:r>
            <w:r>
              <w:rPr>
                <w:rFonts w:hint="eastAsia" w:ascii="宋体" w:hAnsi="宋体" w:eastAsia="宋体" w:cs="宋体"/>
                <w:color w:val="000000" w:themeColor="text1"/>
                <w:sz w:val="24"/>
                <w:highlight w:val="none"/>
                <w:u w:val="none"/>
                <w:lang w:val="en-US" w:eastAsia="zh-CN"/>
                <w14:textFill>
                  <w14:solidFill>
                    <w14:schemeClr w14:val="tx1"/>
                  </w14:solidFill>
                </w14:textFill>
              </w:rPr>
              <w:t>二级建造师注册</w:t>
            </w:r>
            <w:r>
              <w:rPr>
                <w:rFonts w:hint="eastAsia" w:ascii="宋体" w:hAnsi="宋体" w:eastAsia="宋体" w:cs="宋体"/>
                <w:color w:val="000000" w:themeColor="text1"/>
                <w:sz w:val="24"/>
                <w:highlight w:val="none"/>
                <w:lang w:val="en-US" w:eastAsia="zh-CN"/>
                <w14:textFill>
                  <w14:solidFill>
                    <w14:schemeClr w14:val="tx1"/>
                  </w14:solidFill>
                </w14:textFill>
              </w:rPr>
              <w:t>证书，</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具有交通主管部门颁发的有效安全生产“三类人员”B 类证书</w:t>
            </w:r>
            <w:r>
              <w:rPr>
                <w:rFonts w:hint="eastAsia" w:ascii="宋体" w:hAnsi="宋体" w:eastAsia="宋体" w:cs="宋体"/>
                <w:color w:val="000000" w:themeColor="text1"/>
                <w:sz w:val="24"/>
                <w:highlight w:val="none"/>
                <w:lang w:val="en-US" w:eastAsia="zh-CN"/>
                <w14:textFill>
                  <w14:solidFill>
                    <w14:schemeClr w14:val="tx1"/>
                  </w14:solidFill>
                </w14:textFill>
              </w:rPr>
              <w:t>。</w:t>
            </w:r>
          </w:p>
        </w:tc>
        <w:tc>
          <w:tcPr>
            <w:tcW w:w="1980" w:type="dxa"/>
            <w:vMerge w:val="restart"/>
            <w:tcBorders>
              <w:tl2br w:val="nil"/>
              <w:tr2bl w:val="nil"/>
            </w:tcBorders>
            <w:noWrap w:val="0"/>
            <w:vAlign w:val="center"/>
          </w:tcPr>
          <w:p w14:paraId="743C2697">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无在岗项目（指目前未在其他项目上任职，或虽在其他项目上任职但本项目中标后能够从该项目撤离）</w:t>
            </w:r>
          </w:p>
        </w:tc>
      </w:tr>
      <w:tr w14:paraId="7EB27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84" w:type="dxa"/>
            <w:tcBorders>
              <w:tl2br w:val="nil"/>
              <w:tr2bl w:val="nil"/>
            </w:tcBorders>
            <w:noWrap w:val="0"/>
            <w:vAlign w:val="center"/>
          </w:tcPr>
          <w:p w14:paraId="2EE6A89E">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项目总工</w:t>
            </w:r>
          </w:p>
        </w:tc>
        <w:tc>
          <w:tcPr>
            <w:tcW w:w="720" w:type="dxa"/>
            <w:tcBorders>
              <w:tl2br w:val="nil"/>
              <w:tr2bl w:val="nil"/>
            </w:tcBorders>
            <w:noWrap w:val="0"/>
            <w:vAlign w:val="center"/>
          </w:tcPr>
          <w:p w14:paraId="434A403F">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5760" w:type="dxa"/>
            <w:tcBorders>
              <w:tl2br w:val="nil"/>
              <w:tr2bl w:val="nil"/>
            </w:tcBorders>
            <w:noWrap w:val="0"/>
            <w:vAlign w:val="center"/>
          </w:tcPr>
          <w:p w14:paraId="3773D717">
            <w:pPr>
              <w:keepNext w:val="0"/>
              <w:keepLines w:val="0"/>
              <w:widowControl/>
              <w:suppressLineNumbers w:val="0"/>
              <w:spacing w:before="0" w:beforeAutospacing="0" w:after="0" w:afterAutospacing="0"/>
              <w:ind w:left="0" w:right="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路桥相关专业高级工程师</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具有交通主管部门颁发的有效安全生产“三类人员”B 类证书</w:t>
            </w:r>
            <w:r>
              <w:rPr>
                <w:rFonts w:hint="eastAsia" w:ascii="宋体" w:hAnsi="宋体" w:eastAsia="宋体" w:cs="宋体"/>
                <w:color w:val="000000" w:themeColor="text1"/>
                <w:sz w:val="24"/>
                <w:highlight w:val="none"/>
                <w:lang w:val="en-US" w:eastAsia="zh-CN"/>
                <w14:textFill>
                  <w14:solidFill>
                    <w14:schemeClr w14:val="tx1"/>
                  </w14:solidFill>
                </w14:textFill>
              </w:rPr>
              <w:t>。</w:t>
            </w:r>
          </w:p>
        </w:tc>
        <w:tc>
          <w:tcPr>
            <w:tcW w:w="1980" w:type="dxa"/>
            <w:vMerge w:val="continue"/>
            <w:tcBorders>
              <w:tl2br w:val="nil"/>
              <w:tr2bl w:val="nil"/>
            </w:tcBorders>
            <w:noWrap w:val="0"/>
            <w:vAlign w:val="center"/>
          </w:tcPr>
          <w:p w14:paraId="5ACF2791">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highlight w:val="none"/>
                <w14:textFill>
                  <w14:solidFill>
                    <w14:schemeClr w14:val="tx1"/>
                  </w14:solidFill>
                </w14:textFill>
              </w:rPr>
            </w:pPr>
          </w:p>
        </w:tc>
      </w:tr>
    </w:tbl>
    <w:p w14:paraId="07B8E90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注：1、资格要求的人员建造师注册证书、安全生产“三类人员”B 类证书均应在投标人所在单位，否则视为无效</w:t>
      </w:r>
      <w:r>
        <w:rPr>
          <w:rFonts w:hint="eastAsia" w:ascii="宋体" w:hAnsi="宋体" w:cs="宋体"/>
          <w:bCs/>
          <w:color w:val="000000" w:themeColor="text1"/>
          <w:sz w:val="21"/>
          <w:szCs w:val="21"/>
          <w:highlight w:val="none"/>
          <w14:textFill>
            <w14:solidFill>
              <w14:schemeClr w14:val="tx1"/>
            </w14:solidFill>
          </w14:textFill>
        </w:rPr>
        <w:t>。</w:t>
      </w:r>
    </w:p>
    <w:p w14:paraId="2F06F9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40" w:firstLineChars="40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2、主管技术工作指：担任过项目经理、项目副经理、总工程师、质检部门负责人、工程部门负责人。担任类似工程项目经理（或项目副经理或项目总工）岗位经验累计时间、主管类似工程技术工作岗位经验累计时间统计至月，计算时尾数如不少于 15 天的按 1 个月计，不足 15 天部分不计。</w:t>
      </w:r>
    </w:p>
    <w:p w14:paraId="7489E9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400"/>
        <w:textAlignment w:val="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cs="宋体"/>
          <w:bCs/>
          <w:color w:val="000000" w:themeColor="text1"/>
          <w:sz w:val="21"/>
          <w:szCs w:val="21"/>
          <w:highlight w:val="none"/>
          <w14:textFill>
            <w14:solidFill>
              <w14:schemeClr w14:val="tx1"/>
            </w14:solidFill>
          </w14:textFill>
        </w:rPr>
        <w:t>投标人应根据招标文件第二章“投标人须知”第3.5.5项的要求附相关证明材料。</w:t>
      </w:r>
    </w:p>
    <w:p w14:paraId="6E2524B4">
      <w:pPr>
        <w:pStyle w:val="53"/>
        <w:widowControl w:val="0"/>
        <w:numPr>
          <w:ilvl w:val="0"/>
          <w:numId w:val="0"/>
        </w:numPr>
        <w:jc w:val="center"/>
        <w:rPr>
          <w:rFonts w:hint="eastAsia"/>
          <w:color w:val="000000" w:themeColor="text1"/>
          <w:highlight w:val="none"/>
          <w14:textFill>
            <w14:solidFill>
              <w14:schemeClr w14:val="tx1"/>
            </w14:solidFill>
          </w14:textFill>
        </w:rPr>
      </w:pPr>
    </w:p>
    <w:p w14:paraId="6CCC2659">
      <w:pPr>
        <w:rPr>
          <w:rFonts w:hint="eastAsia"/>
          <w:color w:val="000000" w:themeColor="text1"/>
          <w:highlight w:val="none"/>
          <w14:textFill>
            <w14:solidFill>
              <w14:schemeClr w14:val="tx1"/>
            </w14:solidFill>
          </w14:textFill>
        </w:rPr>
      </w:pPr>
    </w:p>
    <w:p w14:paraId="0004A886">
      <w:pPr>
        <w:pStyle w:val="53"/>
        <w:rPr>
          <w:rFonts w:hint="eastAsia"/>
          <w:color w:val="000000" w:themeColor="text1"/>
          <w:highlight w:val="none"/>
          <w14:textFill>
            <w14:solidFill>
              <w14:schemeClr w14:val="tx1"/>
            </w14:solidFill>
          </w14:textFill>
        </w:rPr>
      </w:pPr>
    </w:p>
    <w:p w14:paraId="31C41138">
      <w:pPr>
        <w:rPr>
          <w:rFonts w:hint="eastAsia"/>
          <w:color w:val="000000" w:themeColor="text1"/>
          <w:highlight w:val="none"/>
          <w14:textFill>
            <w14:solidFill>
              <w14:schemeClr w14:val="tx1"/>
            </w14:solidFill>
          </w14:textFill>
        </w:rPr>
      </w:pPr>
    </w:p>
    <w:p w14:paraId="70CE20D5">
      <w:pPr>
        <w:pStyle w:val="53"/>
        <w:rPr>
          <w:rFonts w:hint="eastAsia"/>
          <w:color w:val="000000" w:themeColor="text1"/>
          <w:highlight w:val="none"/>
          <w14:textFill>
            <w14:solidFill>
              <w14:schemeClr w14:val="tx1"/>
            </w14:solidFill>
          </w14:textFill>
        </w:rPr>
      </w:pPr>
    </w:p>
    <w:p w14:paraId="06A203C4">
      <w:pPr>
        <w:rPr>
          <w:rFonts w:hint="eastAsia"/>
          <w:color w:val="000000" w:themeColor="text1"/>
          <w:highlight w:val="none"/>
          <w14:textFill>
            <w14:solidFill>
              <w14:schemeClr w14:val="tx1"/>
            </w14:solidFill>
          </w14:textFill>
        </w:rPr>
      </w:pPr>
    </w:p>
    <w:p w14:paraId="57A8E972">
      <w:pPr>
        <w:pStyle w:val="53"/>
        <w:rPr>
          <w:rFonts w:hint="eastAsia"/>
          <w:color w:val="000000" w:themeColor="text1"/>
          <w:highlight w:val="none"/>
          <w14:textFill>
            <w14:solidFill>
              <w14:schemeClr w14:val="tx1"/>
            </w14:solidFill>
          </w14:textFill>
        </w:rPr>
      </w:pPr>
    </w:p>
    <w:p w14:paraId="0FB69F57">
      <w:pPr>
        <w:rPr>
          <w:rFonts w:hint="eastAsia"/>
          <w:color w:val="000000" w:themeColor="text1"/>
          <w:highlight w:val="none"/>
          <w14:textFill>
            <w14:solidFill>
              <w14:schemeClr w14:val="tx1"/>
            </w14:solidFill>
          </w14:textFill>
        </w:rPr>
      </w:pPr>
    </w:p>
    <w:p w14:paraId="30346CC7">
      <w:pPr>
        <w:pStyle w:val="53"/>
        <w:rPr>
          <w:rFonts w:hint="eastAsia"/>
          <w:color w:val="000000" w:themeColor="text1"/>
          <w:highlight w:val="none"/>
          <w14:textFill>
            <w14:solidFill>
              <w14:schemeClr w14:val="tx1"/>
            </w14:solidFill>
          </w14:textFill>
        </w:rPr>
      </w:pPr>
    </w:p>
    <w:p w14:paraId="50EDC8F0">
      <w:pPr>
        <w:rPr>
          <w:rFonts w:hint="eastAsia"/>
          <w:color w:val="000000" w:themeColor="text1"/>
          <w:highlight w:val="none"/>
          <w14:textFill>
            <w14:solidFill>
              <w14:schemeClr w14:val="tx1"/>
            </w14:solidFill>
          </w14:textFill>
        </w:rPr>
      </w:pPr>
    </w:p>
    <w:p w14:paraId="41680500">
      <w:pPr>
        <w:pStyle w:val="53"/>
        <w:rPr>
          <w:rFonts w:hint="eastAsia"/>
          <w:color w:val="000000" w:themeColor="text1"/>
          <w:highlight w:val="none"/>
          <w14:textFill>
            <w14:solidFill>
              <w14:schemeClr w14:val="tx1"/>
            </w14:solidFill>
          </w14:textFill>
        </w:rPr>
      </w:pPr>
    </w:p>
    <w:p w14:paraId="522130A3">
      <w:pPr>
        <w:rPr>
          <w:rFonts w:hint="eastAsia"/>
          <w:color w:val="000000" w:themeColor="text1"/>
          <w:highlight w:val="none"/>
          <w14:textFill>
            <w14:solidFill>
              <w14:schemeClr w14:val="tx1"/>
            </w14:solidFill>
          </w14:textFill>
        </w:rPr>
      </w:pPr>
    </w:p>
    <w:p w14:paraId="152275BF">
      <w:pPr>
        <w:pStyle w:val="53"/>
        <w:rPr>
          <w:rFonts w:hint="eastAsia"/>
          <w:color w:val="000000" w:themeColor="text1"/>
          <w:highlight w:val="none"/>
          <w14:textFill>
            <w14:solidFill>
              <w14:schemeClr w14:val="tx1"/>
            </w14:solidFill>
          </w14:textFill>
        </w:rPr>
      </w:pPr>
    </w:p>
    <w:p w14:paraId="3E0F0ABD">
      <w:pPr>
        <w:rPr>
          <w:rFonts w:hint="eastAsia"/>
          <w:color w:val="000000" w:themeColor="text1"/>
          <w:highlight w:val="none"/>
          <w14:textFill>
            <w14:solidFill>
              <w14:schemeClr w14:val="tx1"/>
            </w14:solidFill>
          </w14:textFill>
        </w:rPr>
      </w:pPr>
    </w:p>
    <w:p w14:paraId="68CD2EE9">
      <w:pPr>
        <w:pStyle w:val="53"/>
        <w:rPr>
          <w:rFonts w:hint="eastAsia"/>
          <w:color w:val="000000" w:themeColor="text1"/>
          <w:highlight w:val="none"/>
          <w14:textFill>
            <w14:solidFill>
              <w14:schemeClr w14:val="tx1"/>
            </w14:solidFill>
          </w14:textFill>
        </w:rPr>
      </w:pPr>
    </w:p>
    <w:p w14:paraId="4E7FA9E5">
      <w:pPr>
        <w:rPr>
          <w:rFonts w:hint="eastAsia"/>
          <w:color w:val="000000" w:themeColor="text1"/>
          <w:highlight w:val="none"/>
          <w14:textFill>
            <w14:solidFill>
              <w14:schemeClr w14:val="tx1"/>
            </w14:solidFill>
          </w14:textFill>
        </w:rPr>
      </w:pPr>
    </w:p>
    <w:p w14:paraId="37111639">
      <w:pPr>
        <w:pStyle w:val="53"/>
        <w:rPr>
          <w:rFonts w:hint="eastAsia"/>
          <w:color w:val="000000" w:themeColor="text1"/>
          <w:highlight w:val="none"/>
          <w14:textFill>
            <w14:solidFill>
              <w14:schemeClr w14:val="tx1"/>
            </w14:solidFill>
          </w14:textFill>
        </w:rPr>
      </w:pPr>
    </w:p>
    <w:p w14:paraId="5CF0E2AF">
      <w:pPr>
        <w:rPr>
          <w:rFonts w:hint="eastAsia"/>
          <w:color w:val="000000" w:themeColor="text1"/>
          <w:highlight w:val="none"/>
          <w14:textFill>
            <w14:solidFill>
              <w14:schemeClr w14:val="tx1"/>
            </w14:solidFill>
          </w14:textFill>
        </w:rPr>
      </w:pPr>
    </w:p>
    <w:p w14:paraId="230100D5">
      <w:pPr>
        <w:pStyle w:val="53"/>
        <w:rPr>
          <w:rFonts w:hint="eastAsia"/>
          <w:color w:val="000000" w:themeColor="text1"/>
          <w:highlight w:val="none"/>
          <w14:textFill>
            <w14:solidFill>
              <w14:schemeClr w14:val="tx1"/>
            </w14:solidFill>
          </w14:textFill>
        </w:rPr>
      </w:pPr>
    </w:p>
    <w:p w14:paraId="5AD6916A">
      <w:pPr>
        <w:rPr>
          <w:rFonts w:hint="eastAsia"/>
          <w:color w:val="000000" w:themeColor="text1"/>
          <w14:textFill>
            <w14:solidFill>
              <w14:schemeClr w14:val="tx1"/>
            </w14:solidFill>
          </w14:textFill>
        </w:rPr>
      </w:pPr>
    </w:p>
    <w:p w14:paraId="78741246">
      <w:pPr>
        <w:rPr>
          <w:rFonts w:hint="eastAsia"/>
          <w:color w:val="000000" w:themeColor="text1"/>
          <w:highlight w:val="none"/>
          <w14:textFill>
            <w14:solidFill>
              <w14:schemeClr w14:val="tx1"/>
            </w14:solidFill>
          </w14:textFill>
        </w:rPr>
      </w:pPr>
    </w:p>
    <w:p w14:paraId="09396708">
      <w:pPr>
        <w:pStyle w:val="53"/>
        <w:rPr>
          <w:rFonts w:hint="eastAsia"/>
          <w:color w:val="000000" w:themeColor="text1"/>
          <w:highlight w:val="none"/>
          <w14:textFill>
            <w14:solidFill>
              <w14:schemeClr w14:val="tx1"/>
            </w14:solidFill>
          </w14:textFill>
        </w:rPr>
      </w:pPr>
    </w:p>
    <w:p w14:paraId="17E8B7CA">
      <w:pPr>
        <w:rPr>
          <w:rFonts w:hint="eastAsia"/>
          <w:color w:val="000000" w:themeColor="text1"/>
          <w:highlight w:val="none"/>
          <w14:textFill>
            <w14:solidFill>
              <w14:schemeClr w14:val="tx1"/>
            </w14:solidFill>
          </w14:textFill>
        </w:rPr>
      </w:pPr>
    </w:p>
    <w:p w14:paraId="1F41A5B0">
      <w:pPr>
        <w:pStyle w:val="5"/>
        <w:bidi w:val="0"/>
        <w:jc w:val="center"/>
        <w:rPr>
          <w:rFonts w:hint="eastAsia" w:eastAsia="宋体"/>
          <w:color w:val="000000" w:themeColor="text1"/>
          <w:sz w:val="28"/>
          <w:szCs w:val="36"/>
          <w:highlight w:val="none"/>
          <w:lang w:eastAsia="zh-CN"/>
          <w14:textFill>
            <w14:solidFill>
              <w14:schemeClr w14:val="tx1"/>
            </w14:solidFill>
          </w14:textFill>
        </w:rPr>
      </w:pPr>
      <w:bookmarkStart w:id="52" w:name="_Toc8736"/>
      <w:bookmarkStart w:id="53" w:name="_Toc16783"/>
      <w:r>
        <w:rPr>
          <w:rFonts w:hint="eastAsia"/>
          <w:color w:val="000000" w:themeColor="text1"/>
          <w:sz w:val="28"/>
          <w:szCs w:val="36"/>
          <w:highlight w:val="none"/>
          <w14:textFill>
            <w14:solidFill>
              <w14:schemeClr w14:val="tx1"/>
            </w14:solidFill>
          </w14:textFill>
        </w:rPr>
        <w:t>附录6  资格审查条件</w:t>
      </w:r>
      <w:r>
        <w:rPr>
          <w:rFonts w:hint="eastAsia"/>
          <w:color w:val="000000" w:themeColor="text1"/>
          <w:sz w:val="28"/>
          <w:szCs w:val="36"/>
          <w:highlight w:val="none"/>
          <w:lang w:eastAsia="zh-CN"/>
          <w14:textFill>
            <w14:solidFill>
              <w14:schemeClr w14:val="tx1"/>
            </w14:solidFill>
          </w14:textFill>
        </w:rPr>
        <w:t>（</w:t>
      </w:r>
      <w:r>
        <w:rPr>
          <w:rFonts w:hint="eastAsia"/>
          <w:color w:val="000000" w:themeColor="text1"/>
          <w:sz w:val="28"/>
          <w:szCs w:val="36"/>
          <w:highlight w:val="none"/>
          <w14:textFill>
            <w14:solidFill>
              <w14:schemeClr w14:val="tx1"/>
            </w14:solidFill>
          </w14:textFill>
        </w:rPr>
        <w:t>其他管理人员和技术人员最低要求</w:t>
      </w:r>
      <w:r>
        <w:rPr>
          <w:rFonts w:hint="eastAsia"/>
          <w:color w:val="000000" w:themeColor="text1"/>
          <w:sz w:val="28"/>
          <w:szCs w:val="36"/>
          <w:highlight w:val="none"/>
          <w:lang w:eastAsia="zh-CN"/>
          <w14:textFill>
            <w14:solidFill>
              <w14:schemeClr w14:val="tx1"/>
            </w14:solidFill>
          </w14:textFill>
        </w:rPr>
        <w:t>）</w:t>
      </w:r>
      <w:bookmarkEnd w:id="52"/>
      <w:bookmarkEnd w:id="53"/>
    </w:p>
    <w:p w14:paraId="7DA12BB5">
      <w:pPr>
        <w:pStyle w:val="53"/>
        <w:rPr>
          <w:rFonts w:hint="eastAsia"/>
          <w:color w:val="000000" w:themeColor="text1"/>
          <w:highlight w:val="none"/>
          <w14:textFill>
            <w14:solidFill>
              <w14:schemeClr w14:val="tx1"/>
            </w14:solidFill>
          </w14:textFill>
        </w:rPr>
      </w:pPr>
    </w:p>
    <w:tbl>
      <w:tblPr>
        <w:tblStyle w:val="43"/>
        <w:tblW w:w="9577" w:type="dxa"/>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634"/>
        <w:gridCol w:w="990"/>
        <w:gridCol w:w="5953"/>
      </w:tblGrid>
      <w:tr w14:paraId="1891B66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634" w:type="dxa"/>
            <w:noWrap w:val="0"/>
            <w:vAlign w:val="center"/>
          </w:tcPr>
          <w:p w14:paraId="285EAE92">
            <w:pPr>
              <w:keepNext w:val="0"/>
              <w:keepLines w:val="0"/>
              <w:suppressLineNumbers w:val="0"/>
              <w:spacing w:before="0" w:beforeAutospacing="0" w:after="0" w:afterAutospacing="0"/>
              <w:ind w:left="0" w:right="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人  员</w:t>
            </w:r>
          </w:p>
        </w:tc>
        <w:tc>
          <w:tcPr>
            <w:tcW w:w="990" w:type="dxa"/>
            <w:noWrap w:val="0"/>
            <w:vAlign w:val="center"/>
          </w:tcPr>
          <w:p w14:paraId="25B5F424">
            <w:pPr>
              <w:keepNext w:val="0"/>
              <w:keepLines w:val="0"/>
              <w:suppressLineNumbers w:val="0"/>
              <w:spacing w:before="0" w:beforeAutospacing="0" w:after="0" w:afterAutospacing="0"/>
              <w:ind w:left="0" w:right="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数量</w:t>
            </w:r>
          </w:p>
        </w:tc>
        <w:tc>
          <w:tcPr>
            <w:tcW w:w="5953" w:type="dxa"/>
            <w:noWrap w:val="0"/>
            <w:vAlign w:val="center"/>
          </w:tcPr>
          <w:p w14:paraId="1D9C566B">
            <w:pPr>
              <w:keepNext w:val="0"/>
              <w:keepLines w:val="0"/>
              <w:suppressLineNumbers w:val="0"/>
              <w:spacing w:before="0" w:beforeAutospacing="0" w:after="0" w:afterAutospacing="0"/>
              <w:ind w:left="0" w:right="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资 格 要 求</w:t>
            </w:r>
          </w:p>
        </w:tc>
      </w:tr>
      <w:tr w14:paraId="0902A13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noWrap w:val="0"/>
            <w:vAlign w:val="center"/>
          </w:tcPr>
          <w:p w14:paraId="2DE2B8DD">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default" w:ascii="宋体" w:hAnsi="宋体" w:cs="宋体"/>
                <w:color w:val="000000" w:themeColor="text1"/>
                <w:spacing w:val="-2"/>
                <w:szCs w:val="21"/>
                <w:highlight w:val="none"/>
                <w14:textFill>
                  <w14:solidFill>
                    <w14:schemeClr w14:val="tx1"/>
                  </w14:solidFill>
                </w14:textFill>
              </w:rPr>
              <w:t>质</w:t>
            </w:r>
            <w:r>
              <w:rPr>
                <w:rFonts w:hint="default" w:ascii="宋体" w:hAnsi="宋体" w:cs="宋体"/>
                <w:color w:val="000000" w:themeColor="text1"/>
                <w:spacing w:val="-1"/>
                <w:szCs w:val="21"/>
                <w:highlight w:val="none"/>
                <w14:textFill>
                  <w14:solidFill>
                    <w14:schemeClr w14:val="tx1"/>
                  </w14:solidFill>
                </w14:textFill>
              </w:rPr>
              <w:t>检</w:t>
            </w:r>
            <w:r>
              <w:rPr>
                <w:rFonts w:hint="eastAsia" w:ascii="宋体" w:hAnsi="宋体" w:cs="宋体"/>
                <w:color w:val="000000" w:themeColor="text1"/>
                <w:spacing w:val="-1"/>
                <w:szCs w:val="21"/>
                <w:highlight w:val="none"/>
                <w:lang w:eastAsia="zh-CN"/>
                <w14:textFill>
                  <w14:solidFill>
                    <w14:schemeClr w14:val="tx1"/>
                  </w14:solidFill>
                </w14:textFill>
              </w:rPr>
              <w:t>工程师</w:t>
            </w:r>
          </w:p>
        </w:tc>
        <w:tc>
          <w:tcPr>
            <w:tcW w:w="990" w:type="dxa"/>
            <w:noWrap w:val="0"/>
            <w:vAlign w:val="center"/>
          </w:tcPr>
          <w:p w14:paraId="795D1EDF">
            <w:pPr>
              <w:keepNext w:val="0"/>
              <w:keepLines w:val="0"/>
              <w:suppressLineNumbers w:val="0"/>
              <w:spacing w:before="0" w:beforeAutospacing="0" w:after="0" w:afterAutospacing="0"/>
              <w:ind w:left="0" w:right="0"/>
              <w:jc w:val="center"/>
              <w:rPr>
                <w:rFonts w:hint="default"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noWrap w:val="0"/>
            <w:vAlign w:val="center"/>
          </w:tcPr>
          <w:p w14:paraId="2EF1508E">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路桥</w:t>
            </w:r>
            <w:r>
              <w:rPr>
                <w:rFonts w:hint="eastAsia" w:ascii="宋体" w:hAnsi="宋体" w:cs="宋体"/>
                <w:color w:val="000000" w:themeColor="text1"/>
                <w:szCs w:val="21"/>
                <w:highlight w:val="none"/>
                <w14:textFill>
                  <w14:solidFill>
                    <w14:schemeClr w14:val="tx1"/>
                  </w14:solidFill>
                </w14:textFill>
              </w:rPr>
              <w:t>相关专业工程师，累计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315CEE1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noWrap w:val="0"/>
            <w:vAlign w:val="center"/>
          </w:tcPr>
          <w:p w14:paraId="3FE0D917">
            <w:pPr>
              <w:keepNext w:val="0"/>
              <w:keepLines w:val="0"/>
              <w:suppressLineNumbers w:val="0"/>
              <w:spacing w:before="0" w:beforeAutospacing="0" w:after="0" w:afterAutospacing="0"/>
              <w:ind w:left="0" w:right="0"/>
              <w:jc w:val="center"/>
              <w:rPr>
                <w:rFonts w:hint="default"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计划工程师</w:t>
            </w:r>
          </w:p>
        </w:tc>
        <w:tc>
          <w:tcPr>
            <w:tcW w:w="990" w:type="dxa"/>
            <w:noWrap w:val="0"/>
            <w:vAlign w:val="center"/>
          </w:tcPr>
          <w:p w14:paraId="18108F7D">
            <w:pPr>
              <w:keepNext w:val="0"/>
              <w:keepLines w:val="0"/>
              <w:suppressLineNumbers w:val="0"/>
              <w:spacing w:before="0" w:beforeAutospacing="0" w:after="0" w:afterAutospacing="0"/>
              <w:ind w:left="0" w:right="0"/>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noWrap w:val="0"/>
            <w:vAlign w:val="center"/>
          </w:tcPr>
          <w:p w14:paraId="77CE5A0C">
            <w:pPr>
              <w:keepNext w:val="0"/>
              <w:keepLines w:val="0"/>
              <w:suppressLineNumbers w:val="0"/>
              <w:spacing w:before="0" w:beforeAutospacing="0" w:after="0" w:afterAutospacing="0"/>
              <w:ind w:left="0" w:right="0"/>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路桥</w:t>
            </w:r>
            <w:r>
              <w:rPr>
                <w:rFonts w:hint="eastAsia" w:ascii="宋体" w:hAnsi="宋体" w:cs="宋体"/>
                <w:color w:val="000000" w:themeColor="text1"/>
                <w:szCs w:val="21"/>
                <w:highlight w:val="none"/>
                <w14:textFill>
                  <w14:solidFill>
                    <w14:schemeClr w14:val="tx1"/>
                  </w14:solidFill>
                </w14:textFill>
              </w:rPr>
              <w:t>相关专业工程师</w:t>
            </w:r>
            <w:r>
              <w:rPr>
                <w:rFonts w:hint="eastAsia" w:ascii="宋体" w:hAnsi="宋体" w:cs="宋体"/>
                <w:color w:val="000000" w:themeColor="text1"/>
                <w:spacing w:val="-2"/>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r>
              <w:rPr>
                <w:rFonts w:hint="eastAsia" w:ascii="宋体" w:hAnsi="宋体" w:cs="宋体"/>
                <w:color w:val="000000" w:themeColor="text1"/>
                <w:spacing w:val="-2"/>
                <w:szCs w:val="21"/>
                <w:highlight w:val="none"/>
                <w14:textFill>
                  <w14:solidFill>
                    <w14:schemeClr w14:val="tx1"/>
                  </w14:solidFill>
                </w14:textFill>
              </w:rPr>
              <w:t>具有住房和城乡建设部颁发的注册造价工程师证书或</w:t>
            </w:r>
            <w:r>
              <w:rPr>
                <w:rFonts w:hint="eastAsia" w:ascii="宋体" w:hAnsi="宋体" w:cs="宋体"/>
                <w:color w:val="000000" w:themeColor="text1"/>
                <w:spacing w:val="-2"/>
                <w:szCs w:val="21"/>
                <w:highlight w:val="none"/>
                <w:lang w:eastAsia="zh-CN"/>
                <w14:textFill>
                  <w14:solidFill>
                    <w14:schemeClr w14:val="tx1"/>
                  </w14:solidFill>
                </w14:textFill>
              </w:rPr>
              <w:t>二级以上造价工程师注册证（土木建筑工程专业），或</w:t>
            </w:r>
            <w:r>
              <w:rPr>
                <w:rFonts w:hint="eastAsia" w:ascii="宋体" w:hAnsi="宋体" w:cs="宋体"/>
                <w:color w:val="000000" w:themeColor="text1"/>
                <w:spacing w:val="-2"/>
                <w:szCs w:val="21"/>
                <w:highlight w:val="none"/>
                <w14:textFill>
                  <w14:solidFill>
                    <w14:schemeClr w14:val="tx1"/>
                  </w14:solidFill>
                </w14:textFill>
              </w:rPr>
              <w:t>交通运输部（原交通部）颁发的</w:t>
            </w:r>
            <w:r>
              <w:rPr>
                <w:rFonts w:hint="eastAsia" w:ascii="宋体" w:hAnsi="宋体" w:cs="宋体"/>
                <w:color w:val="000000" w:themeColor="text1"/>
                <w:spacing w:val="-2"/>
                <w:szCs w:val="21"/>
                <w:highlight w:val="none"/>
                <w:lang w:eastAsia="zh-CN"/>
                <w14:textFill>
                  <w14:solidFill>
                    <w14:schemeClr w14:val="tx1"/>
                  </w14:solidFill>
                </w14:textFill>
              </w:rPr>
              <w:t>乙</w:t>
            </w:r>
            <w:r>
              <w:rPr>
                <w:rFonts w:hint="eastAsia" w:ascii="宋体" w:hAnsi="宋体" w:cs="宋体"/>
                <w:color w:val="000000" w:themeColor="text1"/>
                <w:spacing w:val="-2"/>
                <w:szCs w:val="21"/>
                <w:highlight w:val="none"/>
                <w14:textFill>
                  <w14:solidFill>
                    <w14:schemeClr w14:val="tx1"/>
                  </w14:solidFill>
                </w14:textFill>
              </w:rPr>
              <w:t>级造价人员证书</w:t>
            </w:r>
            <w:r>
              <w:rPr>
                <w:rFonts w:hint="eastAsia" w:ascii="宋体" w:hAnsi="宋体" w:cs="宋体"/>
                <w:color w:val="000000" w:themeColor="text1"/>
                <w:spacing w:val="-2"/>
                <w:szCs w:val="21"/>
                <w:highlight w:val="none"/>
                <w:lang w:eastAsia="zh-CN"/>
                <w14:textFill>
                  <w14:solidFill>
                    <w14:schemeClr w14:val="tx1"/>
                  </w14:solidFill>
                </w14:textFill>
              </w:rPr>
              <w:t>或二级以上造价工程师注册证（交通运输工程专业</w:t>
            </w:r>
            <w:r>
              <w:rPr>
                <w:rFonts w:hint="eastAsia" w:ascii="宋体" w:hAnsi="宋体" w:cs="宋体"/>
                <w:color w:val="000000" w:themeColor="text1"/>
                <w:spacing w:val="-2"/>
                <w:szCs w:val="21"/>
                <w:highlight w:val="none"/>
                <w14:textFill>
                  <w14:solidFill>
                    <w14:schemeClr w14:val="tx1"/>
                  </w14:solidFill>
                </w14:textFill>
              </w:rPr>
              <w:t>。</w:t>
            </w:r>
          </w:p>
        </w:tc>
      </w:tr>
      <w:tr w14:paraId="3E9F7B8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noWrap w:val="0"/>
            <w:vAlign w:val="center"/>
          </w:tcPr>
          <w:p w14:paraId="56A6C1B5">
            <w:pPr>
              <w:keepNext w:val="0"/>
              <w:keepLines w:val="0"/>
              <w:suppressLineNumbers w:val="0"/>
              <w:spacing w:before="0" w:beforeAutospacing="0" w:after="0" w:afterAutospacing="0"/>
              <w:ind w:left="0" w:right="0"/>
              <w:jc w:val="center"/>
              <w:rPr>
                <w:rFonts w:hint="default"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道路工程师</w:t>
            </w:r>
          </w:p>
        </w:tc>
        <w:tc>
          <w:tcPr>
            <w:tcW w:w="990" w:type="dxa"/>
            <w:noWrap w:val="0"/>
            <w:vAlign w:val="center"/>
          </w:tcPr>
          <w:p w14:paraId="7279A3ED">
            <w:pPr>
              <w:keepNext w:val="0"/>
              <w:keepLines w:val="0"/>
              <w:suppressLineNumbers w:val="0"/>
              <w:spacing w:before="0" w:beforeAutospacing="0" w:after="0" w:afterAutospacing="0"/>
              <w:ind w:left="0" w:right="0"/>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noWrap w:val="0"/>
            <w:vAlign w:val="center"/>
          </w:tcPr>
          <w:p w14:paraId="498EDB1A">
            <w:pPr>
              <w:keepNext w:val="0"/>
              <w:keepLines w:val="0"/>
              <w:suppressLineNumbers w:val="0"/>
              <w:spacing w:before="0" w:beforeAutospacing="0" w:after="0" w:afterAutospacing="0"/>
              <w:ind w:left="0" w:right="0"/>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路桥</w:t>
            </w:r>
            <w:r>
              <w:rPr>
                <w:rFonts w:hint="eastAsia" w:ascii="宋体" w:hAnsi="宋体" w:cs="宋体"/>
                <w:color w:val="000000" w:themeColor="text1"/>
                <w:szCs w:val="21"/>
                <w:highlight w:val="none"/>
                <w14:textFill>
                  <w14:solidFill>
                    <w14:schemeClr w14:val="tx1"/>
                  </w14:solidFill>
                </w14:textFill>
              </w:rPr>
              <w:t>相关专业工程师，累计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520E71D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634" w:type="dxa"/>
            <w:noWrap w:val="0"/>
            <w:vAlign w:val="center"/>
          </w:tcPr>
          <w:p w14:paraId="29F8EB70">
            <w:pPr>
              <w:keepNext w:val="0"/>
              <w:keepLines w:val="0"/>
              <w:suppressLineNumbers w:val="0"/>
              <w:spacing w:before="0" w:beforeAutospacing="0" w:after="0" w:afterAutospacing="0"/>
              <w:ind w:left="0" w:right="0"/>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测量工程师</w:t>
            </w:r>
          </w:p>
        </w:tc>
        <w:tc>
          <w:tcPr>
            <w:tcW w:w="990" w:type="dxa"/>
            <w:noWrap w:val="0"/>
            <w:vAlign w:val="center"/>
          </w:tcPr>
          <w:p w14:paraId="624612B9">
            <w:pPr>
              <w:keepNext w:val="0"/>
              <w:keepLines w:val="0"/>
              <w:suppressLineNumbers w:val="0"/>
              <w:spacing w:before="0" w:beforeAutospacing="0" w:after="0" w:afterAutospacing="0"/>
              <w:ind w:left="0" w:right="0"/>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noWrap w:val="0"/>
            <w:vAlign w:val="center"/>
          </w:tcPr>
          <w:p w14:paraId="53816264">
            <w:pPr>
              <w:keepNext w:val="0"/>
              <w:keepLines w:val="0"/>
              <w:suppressLineNumbers w:val="0"/>
              <w:spacing w:before="0" w:beforeAutospacing="0" w:after="0" w:afterAutospacing="0"/>
              <w:ind w:left="0" w:right="0"/>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工程师，</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547FEAC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634" w:type="dxa"/>
            <w:noWrap w:val="0"/>
            <w:vAlign w:val="center"/>
          </w:tcPr>
          <w:p w14:paraId="7DFCDAEC">
            <w:pPr>
              <w:keepNext w:val="0"/>
              <w:keepLines w:val="0"/>
              <w:suppressLineNumbers w:val="0"/>
              <w:spacing w:before="0" w:beforeAutospacing="0" w:after="0" w:afterAutospacing="0"/>
              <w:ind w:left="0" w:right="0"/>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试验工程师</w:t>
            </w:r>
          </w:p>
        </w:tc>
        <w:tc>
          <w:tcPr>
            <w:tcW w:w="990" w:type="dxa"/>
            <w:noWrap w:val="0"/>
            <w:vAlign w:val="center"/>
          </w:tcPr>
          <w:p w14:paraId="300B5BB0">
            <w:pPr>
              <w:keepNext w:val="0"/>
              <w:keepLines w:val="0"/>
              <w:suppressLineNumbers w:val="0"/>
              <w:spacing w:before="0" w:beforeAutospacing="0" w:after="0" w:afterAutospacing="0"/>
              <w:ind w:left="0" w:right="0"/>
              <w:jc w:val="center"/>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1</w:t>
            </w:r>
          </w:p>
        </w:tc>
        <w:tc>
          <w:tcPr>
            <w:tcW w:w="5953" w:type="dxa"/>
            <w:noWrap w:val="0"/>
            <w:vAlign w:val="center"/>
          </w:tcPr>
          <w:p w14:paraId="4E64B406">
            <w:pPr>
              <w:keepNext w:val="0"/>
              <w:keepLines w:val="0"/>
              <w:suppressLineNumbers w:val="0"/>
              <w:spacing w:before="0" w:beforeAutospacing="0" w:after="0" w:afterAutospacing="0"/>
              <w:ind w:left="0" w:right="0"/>
              <w:jc w:val="left"/>
              <w:rPr>
                <w:rFonts w:hint="eastAsia"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持有行政主管部门核发的公路工程试验检测师资格证书或试验检测工程师资格证书，</w:t>
            </w: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0BB665C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2634" w:type="dxa"/>
            <w:noWrap w:val="0"/>
            <w:vAlign w:val="center"/>
          </w:tcPr>
          <w:p w14:paraId="490833B8">
            <w:pPr>
              <w:keepNext w:val="0"/>
              <w:keepLines w:val="0"/>
              <w:suppressLineNumbers w:val="0"/>
              <w:spacing w:before="0" w:beforeAutospacing="0" w:after="0" w:afterAutospacing="0"/>
              <w:ind w:left="0" w:right="0"/>
              <w:jc w:val="center"/>
              <w:rPr>
                <w:rFonts w:hint="default" w:ascii="宋体" w:hAnsi="宋体" w:cs="宋体"/>
                <w:color w:val="000000" w:themeColor="text1"/>
                <w:spacing w:val="-2"/>
                <w:szCs w:val="21"/>
                <w:highlight w:val="none"/>
                <w14:textFill>
                  <w14:solidFill>
                    <w14:schemeClr w14:val="tx1"/>
                  </w14:solidFill>
                </w14:textFill>
              </w:rPr>
            </w:pPr>
            <w:r>
              <w:rPr>
                <w:rFonts w:hint="eastAsia" w:ascii="宋体" w:hAnsi="宋体" w:cs="宋体"/>
                <w:color w:val="000000" w:themeColor="text1"/>
                <w:spacing w:val="-2"/>
                <w:szCs w:val="21"/>
                <w:highlight w:val="none"/>
                <w14:textFill>
                  <w14:solidFill>
                    <w14:schemeClr w14:val="tx1"/>
                  </w14:solidFill>
                </w14:textFill>
              </w:rPr>
              <w:t>财务负责人</w:t>
            </w:r>
          </w:p>
        </w:tc>
        <w:tc>
          <w:tcPr>
            <w:tcW w:w="990" w:type="dxa"/>
            <w:noWrap w:val="0"/>
            <w:vAlign w:val="center"/>
          </w:tcPr>
          <w:p w14:paraId="6B431337">
            <w:pPr>
              <w:keepNext w:val="0"/>
              <w:keepLines w:val="0"/>
              <w:suppressLineNumbers w:val="0"/>
              <w:spacing w:before="0" w:beforeAutospacing="0" w:after="0" w:afterAutospacing="0"/>
              <w:ind w:left="0" w:right="0"/>
              <w:jc w:val="center"/>
              <w:rPr>
                <w:rFonts w:hint="default"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noWrap w:val="0"/>
            <w:vAlign w:val="center"/>
          </w:tcPr>
          <w:p w14:paraId="6077589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r w14:paraId="360CF00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634" w:type="dxa"/>
            <w:noWrap w:val="0"/>
            <w:vAlign w:val="center"/>
          </w:tcPr>
          <w:p w14:paraId="43F57EA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pacing w:val="-1"/>
                <w:szCs w:val="21"/>
                <w:highlight w:val="none"/>
                <w14:textFill>
                  <w14:solidFill>
                    <w14:schemeClr w14:val="tx1"/>
                  </w14:solidFill>
                </w14:textFill>
              </w:rPr>
              <w:t>专职安全生产管理</w:t>
            </w:r>
            <w:r>
              <w:rPr>
                <w:rFonts w:hint="default" w:ascii="宋体" w:hAnsi="宋体" w:cs="宋体"/>
                <w:color w:val="000000" w:themeColor="text1"/>
                <w:szCs w:val="21"/>
                <w:highlight w:val="none"/>
                <w14:textFill>
                  <w14:solidFill>
                    <w14:schemeClr w14:val="tx1"/>
                  </w14:solidFill>
                </w14:textFill>
              </w:rPr>
              <w:t>人员</w:t>
            </w:r>
          </w:p>
        </w:tc>
        <w:tc>
          <w:tcPr>
            <w:tcW w:w="990" w:type="dxa"/>
            <w:noWrap w:val="0"/>
            <w:vAlign w:val="center"/>
          </w:tcPr>
          <w:p w14:paraId="30345718">
            <w:pPr>
              <w:keepNext w:val="0"/>
              <w:keepLines w:val="0"/>
              <w:suppressLineNumbers w:val="0"/>
              <w:spacing w:before="0" w:beforeAutospacing="0" w:after="0" w:afterAutospacing="0"/>
              <w:ind w:left="0" w:right="0"/>
              <w:jc w:val="center"/>
              <w:rPr>
                <w:rFonts w:hint="eastAsia"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noWrap w:val="0"/>
            <w:vAlign w:val="center"/>
          </w:tcPr>
          <w:p w14:paraId="2361888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具有交通主管部门颁发的有效安全生产“三类人员” C 类证书，累计3 年从事类似工程经验。</w:t>
            </w:r>
          </w:p>
        </w:tc>
      </w:tr>
      <w:tr w14:paraId="335EEB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2634" w:type="dxa"/>
            <w:noWrap w:val="0"/>
            <w:vAlign w:val="center"/>
          </w:tcPr>
          <w:p w14:paraId="10B2FE6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pacing w:val="-5"/>
                <w:szCs w:val="21"/>
                <w:highlight w:val="none"/>
                <w14:textFill>
                  <w14:solidFill>
                    <w14:schemeClr w14:val="tx1"/>
                  </w14:solidFill>
                </w14:textFill>
              </w:rPr>
              <w:t>资</w:t>
            </w:r>
            <w:r>
              <w:rPr>
                <w:rFonts w:hint="default" w:ascii="宋体" w:hAnsi="宋体" w:cs="宋体"/>
                <w:color w:val="000000" w:themeColor="text1"/>
                <w:spacing w:val="-3"/>
                <w:szCs w:val="21"/>
                <w:highlight w:val="none"/>
                <w14:textFill>
                  <w14:solidFill>
                    <w14:schemeClr w14:val="tx1"/>
                  </w14:solidFill>
                </w14:textFill>
              </w:rPr>
              <w:t>料员</w:t>
            </w:r>
          </w:p>
        </w:tc>
        <w:tc>
          <w:tcPr>
            <w:tcW w:w="990" w:type="dxa"/>
            <w:noWrap w:val="0"/>
            <w:vAlign w:val="center"/>
          </w:tcPr>
          <w:p w14:paraId="2BD5DEF1">
            <w:pPr>
              <w:keepNext w:val="0"/>
              <w:keepLines w:val="0"/>
              <w:suppressLineNumbers w:val="0"/>
              <w:spacing w:before="0" w:beforeAutospacing="0" w:after="0" w:afterAutospacing="0"/>
              <w:ind w:left="0" w:right="0"/>
              <w:jc w:val="center"/>
              <w:rPr>
                <w:rFonts w:hint="eastAsia" w:ascii="宋体" w:hAnsi="宋体" w:cs="宋体"/>
                <w:color w:val="000000" w:themeColor="text1"/>
                <w:spacing w:val="-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1</w:t>
            </w:r>
          </w:p>
        </w:tc>
        <w:tc>
          <w:tcPr>
            <w:tcW w:w="5953" w:type="dxa"/>
            <w:noWrap w:val="0"/>
            <w:vAlign w:val="center"/>
          </w:tcPr>
          <w:p w14:paraId="6D001FD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资料员，累计</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年从事类似工程经验。</w:t>
            </w:r>
          </w:p>
        </w:tc>
      </w:tr>
    </w:tbl>
    <w:p w14:paraId="4804D41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注：1、附录 6 所要求人员须按投标文件投标函的格式承诺，中标人在进场前向招标人提交实际投入的人员。</w:t>
      </w:r>
    </w:p>
    <w:p w14:paraId="3874BCB0">
      <w:pPr>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2、投标人中标后专职安全生产管理人员的配备应按照交通部《公路水运工程安全生产监督管理办法》的要求执行。招标人可根据项目的工期和进度，按规定设置最低的专职安全生产管理人员数量要求。</w:t>
      </w:r>
    </w:p>
    <w:p w14:paraId="4394458B">
      <w:pPr>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3、计划工程师的造价人员证书的等级结合项目属性按规定合理设定。</w:t>
      </w:r>
    </w:p>
    <w:p w14:paraId="5D09D59C">
      <w:pPr>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4、试验相关人员的配备应符合《广东省公路工程施工标准化指南》的要求。</w:t>
      </w:r>
    </w:p>
    <w:p w14:paraId="6DE12E84">
      <w:pPr>
        <w:pStyle w:val="56"/>
        <w:rPr>
          <w:rFonts w:ascii="宋体" w:hAnsi="宋体" w:cs="宋体"/>
          <w:color w:val="000000" w:themeColor="text1"/>
          <w:sz w:val="21"/>
          <w:szCs w:val="21"/>
          <w:highlight w:val="none"/>
          <w14:textFill>
            <w14:solidFill>
              <w14:schemeClr w14:val="tx1"/>
            </w14:solidFill>
          </w14:textFill>
        </w:rPr>
      </w:pPr>
    </w:p>
    <w:p w14:paraId="0079A9D6">
      <w:pPr>
        <w:jc w:val="center"/>
        <w:outlineLvl w:val="9"/>
        <w:rPr>
          <w:rFonts w:ascii="宋体" w:hAnsi="宋体" w:cs="黑体"/>
          <w:color w:val="000000" w:themeColor="text1"/>
          <w:sz w:val="30"/>
          <w:szCs w:val="30"/>
          <w:highlight w:val="none"/>
          <w14:textFill>
            <w14:solidFill>
              <w14:schemeClr w14:val="tx1"/>
            </w14:solidFill>
          </w14:textFill>
        </w:rPr>
      </w:pPr>
    </w:p>
    <w:p w14:paraId="0DF3F640">
      <w:pPr>
        <w:jc w:val="center"/>
        <w:outlineLvl w:val="9"/>
        <w:rPr>
          <w:rFonts w:ascii="宋体" w:hAnsi="宋体" w:cs="黑体"/>
          <w:color w:val="000000" w:themeColor="text1"/>
          <w:sz w:val="30"/>
          <w:szCs w:val="30"/>
          <w:highlight w:val="none"/>
          <w14:textFill>
            <w14:solidFill>
              <w14:schemeClr w14:val="tx1"/>
            </w14:solidFill>
          </w14:textFill>
        </w:rPr>
      </w:pPr>
      <w:r>
        <w:rPr>
          <w:rFonts w:hint="eastAsia" w:ascii="宋体" w:hAnsi="宋体" w:cs="黑体"/>
          <w:color w:val="000000" w:themeColor="text1"/>
          <w:sz w:val="30"/>
          <w:szCs w:val="30"/>
          <w:highlight w:val="none"/>
          <w14:textFill>
            <w14:solidFill>
              <w14:schemeClr w14:val="tx1"/>
            </w14:solidFill>
          </w14:textFill>
        </w:rPr>
        <w:br w:type="page"/>
      </w:r>
    </w:p>
    <w:p w14:paraId="48CAE39B">
      <w:pPr>
        <w:pStyle w:val="5"/>
        <w:jc w:val="center"/>
        <w:rPr>
          <w:rFonts w:ascii="宋体" w:cs="黑体"/>
          <w:color w:val="000000" w:themeColor="text1"/>
          <w:sz w:val="30"/>
          <w:szCs w:val="30"/>
          <w:highlight w:val="none"/>
          <w14:textFill>
            <w14:solidFill>
              <w14:schemeClr w14:val="tx1"/>
            </w14:solidFill>
          </w14:textFill>
        </w:rPr>
      </w:pPr>
      <w:bookmarkStart w:id="54" w:name="_Toc18949"/>
      <w:bookmarkStart w:id="55" w:name="_Toc30576"/>
      <w:r>
        <w:rPr>
          <w:rFonts w:hint="eastAsia" w:ascii="宋体" w:hAnsi="宋体" w:cs="黑体"/>
          <w:color w:val="000000" w:themeColor="text1"/>
          <w:sz w:val="30"/>
          <w:szCs w:val="30"/>
          <w:highlight w:val="none"/>
          <w14:textFill>
            <w14:solidFill>
              <w14:schemeClr w14:val="tx1"/>
            </w14:solidFill>
          </w14:textFill>
        </w:rPr>
        <w:t>附录</w:t>
      </w:r>
      <w:r>
        <w:rPr>
          <w:rFonts w:ascii="宋体" w:hAnsi="宋体" w:cs="黑体"/>
          <w:color w:val="000000" w:themeColor="text1"/>
          <w:sz w:val="30"/>
          <w:szCs w:val="30"/>
          <w:highlight w:val="none"/>
          <w14:textFill>
            <w14:solidFill>
              <w14:schemeClr w14:val="tx1"/>
            </w14:solidFill>
          </w14:textFill>
        </w:rPr>
        <w:t xml:space="preserve">7  </w:t>
      </w:r>
      <w:r>
        <w:rPr>
          <w:rFonts w:hint="eastAsia" w:ascii="宋体" w:hAnsi="宋体" w:cs="黑体"/>
          <w:color w:val="000000" w:themeColor="text1"/>
          <w:sz w:val="30"/>
          <w:szCs w:val="30"/>
          <w:highlight w:val="none"/>
          <w14:textFill>
            <w14:solidFill>
              <w14:schemeClr w14:val="tx1"/>
            </w14:solidFill>
          </w14:textFill>
        </w:rPr>
        <w:t>资格审查条件（主要设备最低要求）</w:t>
      </w:r>
      <w:bookmarkEnd w:id="54"/>
      <w:bookmarkEnd w:id="55"/>
    </w:p>
    <w:tbl>
      <w:tblPr>
        <w:tblStyle w:val="43"/>
        <w:tblW w:w="9211" w:type="dxa"/>
        <w:jc w:val="center"/>
        <w:tblLayout w:type="fixed"/>
        <w:tblCellMar>
          <w:top w:w="0" w:type="dxa"/>
          <w:left w:w="0" w:type="dxa"/>
          <w:bottom w:w="0" w:type="dxa"/>
          <w:right w:w="0" w:type="dxa"/>
        </w:tblCellMar>
      </w:tblPr>
      <w:tblGrid>
        <w:gridCol w:w="734"/>
        <w:gridCol w:w="3685"/>
        <w:gridCol w:w="2404"/>
        <w:gridCol w:w="1033"/>
        <w:gridCol w:w="1355"/>
      </w:tblGrid>
      <w:tr w14:paraId="438E8C7A">
        <w:tblPrEx>
          <w:tblCellMar>
            <w:top w:w="0" w:type="dxa"/>
            <w:left w:w="0" w:type="dxa"/>
            <w:bottom w:w="0" w:type="dxa"/>
            <w:right w:w="0" w:type="dxa"/>
          </w:tblCellMar>
        </w:tblPrEx>
        <w:trPr>
          <w:trHeight w:val="397" w:hRule="exact"/>
          <w:jc w:val="center"/>
        </w:trPr>
        <w:tc>
          <w:tcPr>
            <w:tcW w:w="734" w:type="dxa"/>
            <w:tcBorders>
              <w:top w:val="single" w:color="000000" w:sz="12" w:space="0"/>
              <w:left w:val="single" w:color="000000" w:sz="12" w:space="0"/>
              <w:bottom w:val="single" w:color="000000" w:sz="8" w:space="0"/>
              <w:right w:val="single" w:color="000000" w:sz="8" w:space="0"/>
            </w:tcBorders>
            <w:noWrap w:val="0"/>
            <w:vAlign w:val="center"/>
          </w:tcPr>
          <w:p w14:paraId="3AB53089">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序号</w:t>
            </w:r>
          </w:p>
        </w:tc>
        <w:tc>
          <w:tcPr>
            <w:tcW w:w="3685" w:type="dxa"/>
            <w:tcBorders>
              <w:top w:val="single" w:color="000000" w:sz="12" w:space="0"/>
              <w:left w:val="single" w:color="000000" w:sz="8" w:space="0"/>
              <w:bottom w:val="single" w:color="000000" w:sz="8" w:space="0"/>
              <w:right w:val="single" w:color="000000" w:sz="8" w:space="0"/>
            </w:tcBorders>
            <w:noWrap w:val="0"/>
            <w:vAlign w:val="center"/>
          </w:tcPr>
          <w:p w14:paraId="0DCE5D9A">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设备名称</w:t>
            </w:r>
          </w:p>
        </w:tc>
        <w:tc>
          <w:tcPr>
            <w:tcW w:w="2404" w:type="dxa"/>
            <w:tcBorders>
              <w:top w:val="single" w:color="000000" w:sz="12" w:space="0"/>
              <w:left w:val="single" w:color="000000" w:sz="8" w:space="0"/>
              <w:bottom w:val="single" w:color="000000" w:sz="8" w:space="0"/>
              <w:right w:val="single" w:color="000000" w:sz="8" w:space="0"/>
            </w:tcBorders>
            <w:noWrap w:val="0"/>
            <w:vAlign w:val="center"/>
          </w:tcPr>
          <w:p w14:paraId="67C4D53A">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规格、功率及容量</w:t>
            </w:r>
          </w:p>
        </w:tc>
        <w:tc>
          <w:tcPr>
            <w:tcW w:w="1033" w:type="dxa"/>
            <w:tcBorders>
              <w:top w:val="single" w:color="000000" w:sz="12" w:space="0"/>
              <w:left w:val="single" w:color="000000" w:sz="8" w:space="0"/>
              <w:bottom w:val="single" w:color="000000" w:sz="8" w:space="0"/>
              <w:right w:val="single" w:color="000000" w:sz="8" w:space="0"/>
            </w:tcBorders>
            <w:noWrap w:val="0"/>
            <w:vAlign w:val="center"/>
          </w:tcPr>
          <w:p w14:paraId="0D388937">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单位</w:t>
            </w:r>
          </w:p>
        </w:tc>
        <w:tc>
          <w:tcPr>
            <w:tcW w:w="1355" w:type="dxa"/>
            <w:tcBorders>
              <w:top w:val="single" w:color="000000" w:sz="12" w:space="0"/>
              <w:left w:val="single" w:color="000000" w:sz="8" w:space="0"/>
              <w:bottom w:val="single" w:color="000000" w:sz="8" w:space="0"/>
              <w:right w:val="single" w:color="000000" w:sz="12" w:space="0"/>
            </w:tcBorders>
            <w:noWrap w:val="0"/>
            <w:vAlign w:val="center"/>
          </w:tcPr>
          <w:p w14:paraId="17C2DF9F">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最低数量</w:t>
            </w:r>
          </w:p>
        </w:tc>
      </w:tr>
      <w:tr w14:paraId="0957AF17">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3BDBCDC9">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33FEA111">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平地机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0C9D8A3F">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≥120KW</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0CB48237">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6F6AA38E">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r w14:paraId="3111D129">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10CAC51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5B611247">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振动压路机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5477C1A5">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≥18T</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6C814FEF">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2C0B00B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r w14:paraId="3982C171">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0D76EC4B">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38CC56BB">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装载机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0AC0F68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≥2m3</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2092098F">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45A2CF7C">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2</w:t>
            </w:r>
          </w:p>
        </w:tc>
      </w:tr>
      <w:tr w14:paraId="70AE980B">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21AEA3E3">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4</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6FD58622">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挖掘机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1BBA4ADA">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≥1.0m3</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1279A6D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4FAB1595">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2</w:t>
            </w:r>
          </w:p>
        </w:tc>
      </w:tr>
      <w:tr w14:paraId="3581F966">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5FD608B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5</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30BF26F6">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推土机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2DFAF485">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≥140kw</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3B473B24">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7BEE8073">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w:t>
            </w:r>
          </w:p>
        </w:tc>
      </w:tr>
      <w:tr w14:paraId="67282E8C">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5B19A855">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6</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7812BEBA">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自卸汽车</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3127EF8">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≥15t</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7AAF74E5">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辆</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0D2BF501">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4</w:t>
            </w:r>
          </w:p>
        </w:tc>
      </w:tr>
      <w:tr w14:paraId="12BF70F7">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01FD2409">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7</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720D9B8E">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发电机组</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10E616A9">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220kw</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48962F4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组</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2A8496CA">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r w14:paraId="33F77163">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1C730DA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8</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7AC38BCE">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洒水车</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0173DE0">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≥6000L</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4995FA7F">
            <w:pPr>
              <w:keepNext w:val="0"/>
              <w:keepLines w:val="0"/>
              <w:suppressLineNumbers w:val="0"/>
              <w:adjustRightInd w:val="0"/>
              <w:snapToGrid w:val="0"/>
              <w:spacing w:before="0" w:beforeAutospacing="0" w:after="0" w:afterAutospacing="0" w:line="360" w:lineRule="exact"/>
              <w:ind w:left="0" w:right="0" w:firstLine="11" w:firstLineChars="5"/>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3C7A4585">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r w14:paraId="36AF7BDB">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01432CD5">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9</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6004428E">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混凝土搅拌站</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56F4E10">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25m³/h以内</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3E0E3B11">
            <w:pPr>
              <w:keepNext w:val="0"/>
              <w:keepLines w:val="0"/>
              <w:suppressLineNumbers w:val="0"/>
              <w:adjustRightInd w:val="0"/>
              <w:snapToGrid w:val="0"/>
              <w:spacing w:before="0" w:beforeAutospacing="0" w:after="0" w:afterAutospacing="0" w:line="360" w:lineRule="exact"/>
              <w:ind w:left="0" w:right="0" w:firstLine="11" w:firstLineChars="5"/>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5682F3AF">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w:t>
            </w:r>
          </w:p>
        </w:tc>
      </w:tr>
      <w:tr w14:paraId="4ABACF54">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45C8EA0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10</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6940764D">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轨道式水泥混凝土摊铺机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67C48F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2.5-4.5m</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7503821D">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7CAC074C">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w:t>
            </w:r>
          </w:p>
        </w:tc>
      </w:tr>
      <w:tr w14:paraId="309C8377">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302DB72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11</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7190F1B8">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全站仪</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1ECEDF95">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highlight w:val="none"/>
                <w14:textFill>
                  <w14:solidFill>
                    <w14:schemeClr w14:val="tx1"/>
                  </w14:solidFill>
                </w14:textFill>
              </w:rPr>
            </w:pP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2D02F587">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003727F0">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r w14:paraId="4986ED48">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760949B1">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12</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1A2F7C5E">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水准仪</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1A0467D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3BD8495D">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33A5B3E7">
            <w:pPr>
              <w:pStyle w:val="16"/>
              <w:keepNext w:val="0"/>
              <w:keepLines w:val="0"/>
              <w:suppressLineNumbers w:val="0"/>
              <w:adjustRightInd w:val="0"/>
              <w:snapToGrid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4</w:t>
            </w:r>
          </w:p>
        </w:tc>
      </w:tr>
      <w:tr w14:paraId="4C7804EC">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0FFCC44D">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13</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7937BB68">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振动筛</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1B9A8D9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highlight w:val="none"/>
                <w14:textFill>
                  <w14:solidFill>
                    <w14:schemeClr w14:val="tx1"/>
                  </w14:solidFill>
                </w14:textFill>
              </w:rPr>
            </w:pP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1D641708">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position w:val="-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套</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343E71F2">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w:t>
            </w:r>
          </w:p>
        </w:tc>
      </w:tr>
      <w:tr w14:paraId="2A7A09B5">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6C5331B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14</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24F9604B">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弯沉仪</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7B39704A">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5.4m、3.6m</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63FCE552">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position w:val="-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2E1BB59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各2台</w:t>
            </w:r>
          </w:p>
        </w:tc>
      </w:tr>
      <w:tr w14:paraId="050340F0">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01427A5B">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15</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468BBE56">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三米直尺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5AB1BAD6">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3F56CE5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position w:val="-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套</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0983AE9F">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r w14:paraId="5ACD2D32">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66EA3C5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16</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3CE60626">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回弹仪</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9C8ECD3">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HT-300</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141C2AD8">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6F89E49E">
            <w:pPr>
              <w:keepNext w:val="0"/>
              <w:keepLines w:val="0"/>
              <w:suppressLineNumbers w:val="0"/>
              <w:spacing w:before="0" w:beforeAutospacing="0" w:after="0" w:afterAutospacing="0" w:line="360" w:lineRule="exact"/>
              <w:ind w:left="0" w:right="52"/>
              <w:jc w:val="center"/>
              <w:rPr>
                <w:rFonts w:hint="default" w:ascii="宋体" w:hAnsi="宋体" w:cs="宋体"/>
                <w:b/>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w:t>
            </w:r>
          </w:p>
        </w:tc>
      </w:tr>
      <w:tr w14:paraId="4E8DECC6">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11811288">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17</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203E7269">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砼坍落度仪</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160857AB">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TLY-1</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60FC9EF3">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2AD8B782">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3</w:t>
            </w:r>
          </w:p>
        </w:tc>
      </w:tr>
      <w:tr w14:paraId="039EC88A">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331B0460">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18</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44E0D810">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砂浆抗压试模</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02B6BDA4">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70.7×70.7×70.7mm</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5CF45A70">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组</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5C53242E">
            <w:pPr>
              <w:keepNext w:val="0"/>
              <w:keepLines w:val="0"/>
              <w:suppressLineNumbers w:val="0"/>
              <w:spacing w:before="0" w:beforeAutospacing="0" w:after="0" w:afterAutospacing="0" w:line="360" w:lineRule="exact"/>
              <w:ind w:left="0" w:right="52"/>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4</w:t>
            </w:r>
          </w:p>
        </w:tc>
      </w:tr>
      <w:tr w14:paraId="10D5CE96">
        <w:tblPrEx>
          <w:tblCellMar>
            <w:top w:w="0" w:type="dxa"/>
            <w:left w:w="0" w:type="dxa"/>
            <w:bottom w:w="0" w:type="dxa"/>
            <w:right w:w="0" w:type="dxa"/>
          </w:tblCellMar>
        </w:tblPrEx>
        <w:trPr>
          <w:trHeight w:val="395"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2A9380DF">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19</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137F9D87">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混凝土抗压试模</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179E642">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15×15×15 cm</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4CE9DC53">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组</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3BA81EA7">
            <w:pPr>
              <w:keepNext w:val="0"/>
              <w:keepLines w:val="0"/>
              <w:suppressLineNumbers w:val="0"/>
              <w:spacing w:before="0" w:beforeAutospacing="0" w:after="0" w:afterAutospacing="0" w:line="360" w:lineRule="exact"/>
              <w:ind w:left="0" w:right="52"/>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2"/>
                <w:szCs w:val="22"/>
                <w:highlight w:val="none"/>
                <w:lang w:val="en-US" w:eastAsia="zh-CN"/>
                <w14:textFill>
                  <w14:solidFill>
                    <w14:schemeClr w14:val="tx1"/>
                  </w14:solidFill>
                </w14:textFill>
              </w:rPr>
              <w:t>4</w:t>
            </w:r>
          </w:p>
        </w:tc>
      </w:tr>
      <w:tr w14:paraId="64394FA8">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19EAC904">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20</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2E2855A2">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土工筛</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B82A0B8">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直径20cm、直径40cm</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7DE8C19C">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套</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2DDE63C9">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各1套</w:t>
            </w:r>
          </w:p>
        </w:tc>
      </w:tr>
      <w:tr w14:paraId="27C767BB">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18038658">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21</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179C8B25">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灌砂筒</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3919D74C">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大、小</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6040C1C6">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套</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0EF8FCFE">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各1套</w:t>
            </w:r>
          </w:p>
        </w:tc>
      </w:tr>
      <w:tr w14:paraId="39349CF9">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41981882">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22</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33C7C57D">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摇筛机</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3052028F">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YS-2</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5D5F8FC7">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10B0BC99">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w:t>
            </w:r>
          </w:p>
        </w:tc>
      </w:tr>
      <w:tr w14:paraId="5200AFDC">
        <w:tblPrEx>
          <w:tblCellMar>
            <w:top w:w="0" w:type="dxa"/>
            <w:left w:w="0" w:type="dxa"/>
            <w:bottom w:w="0" w:type="dxa"/>
            <w:right w:w="0" w:type="dxa"/>
          </w:tblCellMar>
        </w:tblPrEx>
        <w:trPr>
          <w:trHeight w:val="397" w:hRule="exact"/>
          <w:jc w:val="center"/>
        </w:trPr>
        <w:tc>
          <w:tcPr>
            <w:tcW w:w="734" w:type="dxa"/>
            <w:tcBorders>
              <w:top w:val="single" w:color="000000" w:sz="8" w:space="0"/>
              <w:left w:val="single" w:color="000000" w:sz="12" w:space="0"/>
              <w:bottom w:val="single" w:color="000000" w:sz="8" w:space="0"/>
              <w:right w:val="single" w:color="000000" w:sz="8" w:space="0"/>
            </w:tcBorders>
            <w:noWrap w:val="0"/>
            <w:vAlign w:val="center"/>
          </w:tcPr>
          <w:p w14:paraId="17B554A3">
            <w:pPr>
              <w:keepNext w:val="0"/>
              <w:keepLines w:val="0"/>
              <w:suppressLineNumbers w:val="0"/>
              <w:spacing w:before="0" w:beforeAutospacing="0" w:after="0" w:afterAutospacing="0" w:line="360" w:lineRule="exact"/>
              <w:ind w:left="0" w:right="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23</w:t>
            </w:r>
          </w:p>
        </w:tc>
        <w:tc>
          <w:tcPr>
            <w:tcW w:w="3685" w:type="dxa"/>
            <w:tcBorders>
              <w:top w:val="single" w:color="000000" w:sz="8" w:space="0"/>
              <w:left w:val="single" w:color="000000" w:sz="8" w:space="0"/>
              <w:bottom w:val="single" w:color="000000" w:sz="8" w:space="0"/>
              <w:right w:val="single" w:color="000000" w:sz="8" w:space="0"/>
            </w:tcBorders>
            <w:noWrap w:val="0"/>
            <w:vAlign w:val="center"/>
          </w:tcPr>
          <w:p w14:paraId="19746D4D">
            <w:pPr>
              <w:keepNext w:val="0"/>
              <w:keepLines w:val="0"/>
              <w:suppressLineNumbers w:val="0"/>
              <w:spacing w:before="0" w:beforeAutospacing="0" w:after="0" w:afterAutospacing="0" w:line="360" w:lineRule="exact"/>
              <w:ind w:left="0" w:right="0" w:firstLine="220" w:firstLineChars="100"/>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天平</w:t>
            </w:r>
          </w:p>
        </w:tc>
        <w:tc>
          <w:tcPr>
            <w:tcW w:w="2404" w:type="dxa"/>
            <w:tcBorders>
              <w:top w:val="single" w:color="000000" w:sz="8" w:space="0"/>
              <w:left w:val="single" w:color="000000" w:sz="8" w:space="0"/>
              <w:bottom w:val="single" w:color="000000" w:sz="8" w:space="0"/>
              <w:right w:val="single" w:color="000000" w:sz="8" w:space="0"/>
            </w:tcBorders>
            <w:noWrap w:val="0"/>
            <w:vAlign w:val="center"/>
          </w:tcPr>
          <w:p w14:paraId="67BE54C3">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感量0.01g、0.001g</w:t>
            </w:r>
          </w:p>
        </w:tc>
        <w:tc>
          <w:tcPr>
            <w:tcW w:w="1033" w:type="dxa"/>
            <w:tcBorders>
              <w:top w:val="single" w:color="000000" w:sz="8" w:space="0"/>
              <w:left w:val="single" w:color="000000" w:sz="8" w:space="0"/>
              <w:bottom w:val="single" w:color="000000" w:sz="8" w:space="0"/>
              <w:right w:val="single" w:color="000000" w:sz="8" w:space="0"/>
            </w:tcBorders>
            <w:noWrap w:val="0"/>
            <w:vAlign w:val="center"/>
          </w:tcPr>
          <w:p w14:paraId="7206BFE4">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台</w:t>
            </w:r>
          </w:p>
        </w:tc>
        <w:tc>
          <w:tcPr>
            <w:tcW w:w="1355" w:type="dxa"/>
            <w:tcBorders>
              <w:top w:val="single" w:color="000000" w:sz="8" w:space="0"/>
              <w:left w:val="single" w:color="000000" w:sz="8" w:space="0"/>
              <w:bottom w:val="single" w:color="000000" w:sz="8" w:space="0"/>
              <w:right w:val="single" w:color="000000" w:sz="12" w:space="0"/>
            </w:tcBorders>
            <w:noWrap w:val="0"/>
            <w:vAlign w:val="center"/>
          </w:tcPr>
          <w:p w14:paraId="7A2029EB">
            <w:pPr>
              <w:keepNext w:val="0"/>
              <w:keepLines w:val="0"/>
              <w:suppressLineNumbers w:val="0"/>
              <w:spacing w:before="0" w:beforeAutospacing="0" w:after="0" w:afterAutospacing="0" w:line="360" w:lineRule="exact"/>
              <w:ind w:left="0" w:right="52"/>
              <w:jc w:val="center"/>
              <w:rPr>
                <w:rFonts w:hint="default"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2</w:t>
            </w:r>
          </w:p>
        </w:tc>
      </w:tr>
    </w:tbl>
    <w:p w14:paraId="3F48FB8C">
      <w:pPr>
        <w:ind w:left="240"/>
        <w:rPr>
          <w:rFonts w:hint="eastAsia" w:ascii="宋体"/>
          <w:color w:val="000000" w:themeColor="text1"/>
          <w:sz w:val="24"/>
          <w:highlight w:val="none"/>
          <w14:textFill>
            <w14:solidFill>
              <w14:schemeClr w14:val="tx1"/>
            </w14:solidFill>
          </w14:textFill>
        </w:rPr>
      </w:pPr>
    </w:p>
    <w:p w14:paraId="442C5825">
      <w:pPr>
        <w:ind w:left="24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注：1、投标人须按投标文件投标函的格式承诺。</w:t>
      </w:r>
    </w:p>
    <w:p w14:paraId="6A18A33E">
      <w:pPr>
        <w:ind w:left="240"/>
        <w:rPr>
          <w:rFonts w:ascii="宋体" w:hAns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2、招标人有权根据标段的工程特点、工程量及工程进度情况要求增加或调整相应的施工设备。</w:t>
      </w:r>
      <w:r>
        <w:rPr>
          <w:rFonts w:hint="eastAsia" w:ascii="宋体" w:hAnsi="宋体"/>
          <w:color w:val="000000" w:themeColor="text1"/>
          <w:sz w:val="24"/>
          <w:highlight w:val="none"/>
          <w14:textFill>
            <w14:solidFill>
              <w14:schemeClr w14:val="tx1"/>
            </w14:solidFill>
          </w14:textFill>
        </w:rPr>
        <w:br w:type="page"/>
      </w:r>
    </w:p>
    <w:bookmarkEnd w:id="39"/>
    <w:p w14:paraId="15BA11C2">
      <w:pPr>
        <w:pStyle w:val="70"/>
        <w:spacing w:before="156"/>
        <w:rPr>
          <w:color w:val="000000" w:themeColor="text1"/>
          <w:highlight w:val="none"/>
          <w14:textFill>
            <w14:solidFill>
              <w14:schemeClr w14:val="tx1"/>
            </w14:solidFill>
          </w14:textFill>
        </w:rPr>
      </w:pPr>
      <w:bookmarkStart w:id="56" w:name="_Toc11325"/>
      <w:bookmarkEnd w:id="56"/>
      <w:bookmarkStart w:id="57" w:name="_Toc2293"/>
      <w:bookmarkEnd w:id="57"/>
      <w:bookmarkStart w:id="58" w:name="_Toc18265"/>
      <w:r>
        <w:rPr>
          <w:rFonts w:hint="eastAsia"/>
          <w:color w:val="000000" w:themeColor="text1"/>
          <w:highlight w:val="none"/>
          <w14:textFill>
            <w14:solidFill>
              <w14:schemeClr w14:val="tx1"/>
            </w14:solidFill>
          </w14:textFill>
        </w:rPr>
        <w:t>总则</w:t>
      </w:r>
      <w:bookmarkEnd w:id="58"/>
    </w:p>
    <w:p w14:paraId="56AEBB68">
      <w:pPr>
        <w:pStyle w:val="72"/>
        <w:rPr>
          <w:color w:val="000000" w:themeColor="text1"/>
          <w:highlight w:val="none"/>
          <w14:textFill>
            <w14:solidFill>
              <w14:schemeClr w14:val="tx1"/>
            </w14:solidFill>
          </w14:textFill>
        </w:rPr>
      </w:pPr>
      <w:bookmarkStart w:id="59" w:name="_Toc13126"/>
      <w:bookmarkEnd w:id="59"/>
      <w:bookmarkStart w:id="60" w:name="_Toc4935"/>
      <w:bookmarkEnd w:id="60"/>
      <w:bookmarkStart w:id="61" w:name="_Toc29185"/>
      <w:r>
        <w:rPr>
          <w:rFonts w:hint="eastAsia"/>
          <w:color w:val="000000" w:themeColor="text1"/>
          <w:highlight w:val="none"/>
          <w14:textFill>
            <w14:solidFill>
              <w14:schemeClr w14:val="tx1"/>
            </w14:solidFill>
          </w14:textFill>
        </w:rPr>
        <w:t>项目概况</w:t>
      </w:r>
      <w:bookmarkEnd w:id="61"/>
    </w:p>
    <w:p w14:paraId="1455A06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 根据《中华人民共和国招标投标法》《中华人民共和国招标投标法实施条例》《公路工程建设项目招标投标管理办法》等有关法律、法规和规章的规定，本招标项目已具备招标条件，现对本标段施工进行招标。</w:t>
      </w:r>
    </w:p>
    <w:p w14:paraId="3539B60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 本招标项目招标人：见投标人须知前附表。</w:t>
      </w:r>
    </w:p>
    <w:p w14:paraId="59A86A2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 本标段招标代理机构：见投标人须知前附表。</w:t>
      </w:r>
    </w:p>
    <w:p w14:paraId="007E7B99">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 本招标项目名称：见投标人须知前附表。</w:t>
      </w:r>
    </w:p>
    <w:p w14:paraId="5226010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1.1.5 本标段建设地点：见投标人须知前附表。</w:t>
      </w:r>
    </w:p>
    <w:p w14:paraId="67045B8B">
      <w:pPr>
        <w:pStyle w:val="72"/>
        <w:rPr>
          <w:color w:val="000000" w:themeColor="text1"/>
          <w:highlight w:val="none"/>
          <w14:textFill>
            <w14:solidFill>
              <w14:schemeClr w14:val="tx1"/>
            </w14:solidFill>
          </w14:textFill>
        </w:rPr>
      </w:pPr>
      <w:bookmarkStart w:id="62" w:name="_Toc31619"/>
      <w:bookmarkEnd w:id="62"/>
      <w:bookmarkStart w:id="63" w:name="_Toc9325"/>
      <w:bookmarkEnd w:id="63"/>
      <w:bookmarkStart w:id="64" w:name="_Toc17679"/>
      <w:r>
        <w:rPr>
          <w:rFonts w:hint="eastAsia"/>
          <w:color w:val="000000" w:themeColor="text1"/>
          <w:highlight w:val="none"/>
          <w14:textFill>
            <w14:solidFill>
              <w14:schemeClr w14:val="tx1"/>
            </w14:solidFill>
          </w14:textFill>
        </w:rPr>
        <w:t>招标项目的资金来源和落实情况</w:t>
      </w:r>
      <w:bookmarkEnd w:id="64"/>
    </w:p>
    <w:p w14:paraId="5110104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1.2.1 资金来源及比例：见投标人须知前附表。</w:t>
      </w:r>
    </w:p>
    <w:p w14:paraId="36C00D9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1.2.2 资金落实情况：见投标人须知前附表。</w:t>
      </w:r>
    </w:p>
    <w:p w14:paraId="70F55FDE">
      <w:pPr>
        <w:pStyle w:val="72"/>
        <w:rPr>
          <w:color w:val="000000" w:themeColor="text1"/>
          <w:highlight w:val="none"/>
          <w14:textFill>
            <w14:solidFill>
              <w14:schemeClr w14:val="tx1"/>
            </w14:solidFill>
          </w14:textFill>
        </w:rPr>
      </w:pPr>
      <w:bookmarkStart w:id="65" w:name="_Toc13421"/>
      <w:bookmarkEnd w:id="65"/>
      <w:bookmarkStart w:id="66" w:name="_Toc11165"/>
      <w:bookmarkEnd w:id="66"/>
      <w:bookmarkStart w:id="67" w:name="_Toc11326"/>
      <w:r>
        <w:rPr>
          <w:rFonts w:hint="eastAsia"/>
          <w:color w:val="000000" w:themeColor="text1"/>
          <w:highlight w:val="none"/>
          <w14:textFill>
            <w14:solidFill>
              <w14:schemeClr w14:val="tx1"/>
            </w14:solidFill>
          </w14:textFill>
        </w:rPr>
        <w:t>招标范围、计划工期、质量要求和安全目标</w:t>
      </w:r>
      <w:bookmarkEnd w:id="67"/>
    </w:p>
    <w:p w14:paraId="06662C2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1.3.1 本标段的招标范围：见投标人须知前附表。</w:t>
      </w:r>
    </w:p>
    <w:p w14:paraId="32A1EA2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 本标段的计划工期：见投标人须知前附表。</w:t>
      </w:r>
    </w:p>
    <w:p w14:paraId="75E9F39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 本标段的质量要求：见投标人须知前附表。</w:t>
      </w:r>
    </w:p>
    <w:p w14:paraId="6E721C7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1.3.4 本标段的安全</w:t>
      </w:r>
      <w:r>
        <w:rPr>
          <w:rFonts w:hint="eastAsia"/>
          <w:color w:val="000000" w:themeColor="text1"/>
          <w:highlight w:val="none"/>
          <w14:textFill>
            <w14:solidFill>
              <w14:schemeClr w14:val="tx1"/>
            </w14:solidFill>
          </w14:textFill>
        </w:rPr>
        <w:t>目标：</w:t>
      </w:r>
      <w:r>
        <w:rPr>
          <w:rFonts w:hint="eastAsia" w:ascii="宋体" w:hAnsi="宋体" w:cs="宋体"/>
          <w:color w:val="000000" w:themeColor="text1"/>
          <w:highlight w:val="none"/>
          <w14:textFill>
            <w14:solidFill>
              <w14:schemeClr w14:val="tx1"/>
            </w14:solidFill>
          </w14:textFill>
        </w:rPr>
        <w:t>见投标人须知前附表。</w:t>
      </w:r>
    </w:p>
    <w:p w14:paraId="598234EC">
      <w:pPr>
        <w:pStyle w:val="72"/>
        <w:rPr>
          <w:color w:val="000000" w:themeColor="text1"/>
          <w:highlight w:val="none"/>
          <w14:textFill>
            <w14:solidFill>
              <w14:schemeClr w14:val="tx1"/>
            </w14:solidFill>
          </w14:textFill>
        </w:rPr>
      </w:pPr>
      <w:bookmarkStart w:id="68" w:name="_Toc24385"/>
      <w:bookmarkEnd w:id="68"/>
      <w:bookmarkStart w:id="69" w:name="_Toc32214"/>
      <w:bookmarkEnd w:id="69"/>
      <w:bookmarkStart w:id="70" w:name="_Toc2390"/>
      <w:r>
        <w:rPr>
          <w:rFonts w:hint="eastAsia"/>
          <w:color w:val="000000" w:themeColor="text1"/>
          <w:highlight w:val="none"/>
          <w14:textFill>
            <w14:solidFill>
              <w14:schemeClr w14:val="tx1"/>
            </w14:solidFill>
          </w14:textFill>
        </w:rPr>
        <w:t>投标人资格要求（适用于未进行资格预审的）</w:t>
      </w:r>
      <w:bookmarkEnd w:id="70"/>
    </w:p>
    <w:p w14:paraId="3142C96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1.4.1 投标人应具备承担本标段施工的资质条件、能力和信誉。</w:t>
      </w:r>
    </w:p>
    <w:p w14:paraId="20C3712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（1）资质要求：见投标人须知前附表；</w:t>
      </w:r>
    </w:p>
    <w:p w14:paraId="2164C16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（2）财务要求：见投标人须知前附表；</w:t>
      </w:r>
    </w:p>
    <w:p w14:paraId="7E13855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（3）业绩要求：见投标人须知前附表；</w:t>
      </w:r>
    </w:p>
    <w:p w14:paraId="5A4203F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（4）信誉要求：见投标人须知前附表；</w:t>
      </w:r>
    </w:p>
    <w:p w14:paraId="28E6D9D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（5）项目经理和项目总工资格：见投标人须知前附表；</w:t>
      </w:r>
    </w:p>
    <w:p w14:paraId="6A7F8F2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（6）其他要求：见投标人须知前附表。</w:t>
      </w:r>
    </w:p>
    <w:p w14:paraId="0833FF0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需要提交的相关</w:t>
      </w:r>
      <w:r>
        <w:rPr>
          <w:rFonts w:hint="eastAsia" w:ascii="宋体" w:hAnsi="宋体" w:cs="宋体"/>
          <w:color w:val="000000" w:themeColor="text1"/>
          <w:highlight w:val="none"/>
          <w14:textFill>
            <w14:solidFill>
              <w14:schemeClr w14:val="tx1"/>
            </w14:solidFill>
          </w14:textFill>
        </w:rPr>
        <w:t>证明</w:t>
      </w:r>
      <w:r>
        <w:rPr>
          <w:color w:val="000000" w:themeColor="text1"/>
          <w:highlight w:val="none"/>
          <w14:textFill>
            <w14:solidFill>
              <w14:schemeClr w14:val="tx1"/>
            </w14:solidFill>
          </w14:textFill>
        </w:rPr>
        <w:t>材料见本章第</w:t>
      </w:r>
      <w:r>
        <w:rPr>
          <w:rFonts w:eastAsia="Times New Roman"/>
          <w:color w:val="000000" w:themeColor="text1"/>
          <w:highlight w:val="none"/>
          <w14:textFill>
            <w14:solidFill>
              <w14:schemeClr w14:val="tx1"/>
            </w14:solidFill>
          </w14:textFill>
        </w:rPr>
        <w:t xml:space="preserve">3.5 </w:t>
      </w:r>
      <w:r>
        <w:rPr>
          <w:color w:val="000000" w:themeColor="text1"/>
          <w:highlight w:val="none"/>
          <w14:textFill>
            <w14:solidFill>
              <w14:schemeClr w14:val="tx1"/>
            </w14:solidFill>
          </w14:textFill>
        </w:rPr>
        <w:t>款的规定</w:t>
      </w:r>
      <w:r>
        <w:rPr>
          <w:rFonts w:hint="eastAsia"/>
          <w:color w:val="000000" w:themeColor="text1"/>
          <w:highlight w:val="none"/>
          <w14:textFill>
            <w14:solidFill>
              <w14:schemeClr w14:val="tx1"/>
            </w14:solidFill>
          </w14:textFill>
        </w:rPr>
        <w:t>。</w:t>
      </w:r>
    </w:p>
    <w:p w14:paraId="419E0AC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1.4.2 投标人须知前附表规定接受联合体投标的，联合体除应符合本章第 1.4.1项和投标人须知前附表的要求外，还应遵守以下规定：</w:t>
      </w:r>
    </w:p>
    <w:p w14:paraId="58DF334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（1）联合体各方应按招标文件提供的格式签订联合体协议书，明确联合体牵头人和各方权利义务，并承诺就中标项目向招标人承担连带责任；</w:t>
      </w:r>
    </w:p>
    <w:p w14:paraId="0F5C6EF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（2）由同一专业的单位组成的联合体，按照资质等级较低的单位确定资质等级；</w:t>
      </w:r>
    </w:p>
    <w:p w14:paraId="226E92E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（3）联合体各方不得再以自己名义单独或参加其他联合体在同一标段中投标；</w:t>
      </w:r>
    </w:p>
    <w:p w14:paraId="1D5840D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34C4F95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（5）尽管委任了联合体牵头人，但联合体各成员在投标、签订合同与履行合同过程中，仍负有连带的和各自的法律责任。</w:t>
      </w:r>
    </w:p>
    <w:p w14:paraId="055FFBDE">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1.4.3 投标人（包括联合体各成员）不得与本标段相关单位存在下列关联关系：</w:t>
      </w:r>
    </w:p>
    <w:p w14:paraId="61AE670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（1）为招标人不具有独立法人资格的附属机构（单位）；</w:t>
      </w:r>
    </w:p>
    <w:p w14:paraId="5F372B4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（2）与招标人存在利害关系且可能影响招标公正性；</w:t>
      </w:r>
    </w:p>
    <w:p w14:paraId="4177C48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（3）与本标段的其他投标人同为一个单位负责人；</w:t>
      </w:r>
    </w:p>
    <w:p w14:paraId="67D3A85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（4）与本标段的其他投标人存在控股、管理关系；</w:t>
      </w:r>
    </w:p>
    <w:p w14:paraId="52B5B3C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（5）为本标段前期准备提供设计或咨询服务的法人或其任何附属机构（单位）；</w:t>
      </w:r>
    </w:p>
    <w:p w14:paraId="5A9873C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（6）为本标段的监理人；</w:t>
      </w:r>
    </w:p>
    <w:p w14:paraId="5A0B386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（7）为本标段的代建人；</w:t>
      </w:r>
    </w:p>
    <w:p w14:paraId="5EFE576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（8）为本标段的招标代理机构；</w:t>
      </w:r>
    </w:p>
    <w:p w14:paraId="42ECFA6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（9）与本标段的监理人或代建人或招标代理机构同为一个法定代表人；</w:t>
      </w:r>
    </w:p>
    <w:p w14:paraId="520534C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（10）与本标段的监理人或代建人或招标代理机构存在控股或参股关系；</w:t>
      </w:r>
    </w:p>
    <w:p w14:paraId="7B134FB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（11）法律法规或投标人须知前附表规定的其他情形。</w:t>
      </w:r>
    </w:p>
    <w:p w14:paraId="2038F4C5">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1.4.4 投标人（包括联合体各成员）不得存在下列不良状况或不良信用记录：</w:t>
      </w:r>
    </w:p>
    <w:p w14:paraId="20C9F8E8">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（1）被省级及以上交通运输主管部门取消招标项目所在地的投标资格且处于有效期内；</w:t>
      </w:r>
    </w:p>
    <w:p w14:paraId="3C13F76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（2）被责令停业，暂扣或吊销执照，或吊销资质证书；</w:t>
      </w:r>
    </w:p>
    <w:p w14:paraId="03875F5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（3）进入清算程序，或被宣告破产，或其他丧失履约能力的情形；</w:t>
      </w:r>
    </w:p>
    <w:p w14:paraId="026685B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（4）在国家企业信用信息公示系统（http://www.gsxt.gov.cn/）中被列入严重违法失信企业名单；</w:t>
      </w:r>
    </w:p>
    <w:p w14:paraId="3312889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（5）在“信用中国”网站（http://www.creditchina.gov.cn/）中被列入失信被执行人名单；</w:t>
      </w:r>
    </w:p>
    <w:p w14:paraId="7209E68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（6）投标人或其法定代表人、拟委任的项目经理在近三年内有行贿犯罪行为的（行贿犯罪行为的认定以检察机关职务犯罪预防部门出具的查询结果为准）；</w:t>
      </w:r>
    </w:p>
    <w:p w14:paraId="3D46468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（7）法律法规或投标人须知前附表规定的其他情形。</w:t>
      </w:r>
    </w:p>
    <w:p w14:paraId="535E043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1.4.5 投标人（包括联合体各成员）应进入交通运输部“全国公路建设市场监督管理系统（https://hwdms.mot.gov.cn/BMWebSite/）”中的公路工程施工资质企业名录，且投标人名称和资质与该名录中的相应企业名称和资质完全一致。投标人不满足本项规定条件的，将被否决投标。</w:t>
      </w:r>
    </w:p>
    <w:p w14:paraId="0F5BE4AD">
      <w:pPr>
        <w:pStyle w:val="72"/>
        <w:rPr>
          <w:color w:val="000000" w:themeColor="text1"/>
          <w:highlight w:val="none"/>
          <w14:textFill>
            <w14:solidFill>
              <w14:schemeClr w14:val="tx1"/>
            </w14:solidFill>
          </w14:textFill>
        </w:rPr>
      </w:pPr>
      <w:bookmarkStart w:id="71" w:name="_Toc32451"/>
      <w:bookmarkEnd w:id="71"/>
      <w:bookmarkStart w:id="72" w:name="_Toc18622"/>
      <w:bookmarkEnd w:id="72"/>
      <w:bookmarkStart w:id="73" w:name="_Toc24338"/>
      <w:r>
        <w:rPr>
          <w:rFonts w:hint="eastAsia"/>
          <w:color w:val="000000" w:themeColor="text1"/>
          <w:highlight w:val="none"/>
          <w14:textFill>
            <w14:solidFill>
              <w14:schemeClr w14:val="tx1"/>
            </w14:solidFill>
          </w14:textFill>
        </w:rPr>
        <w:t>费用承担</w:t>
      </w:r>
      <w:bookmarkEnd w:id="73"/>
    </w:p>
    <w:p w14:paraId="07DB87A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投标人准备和参加投标活动发生的费用自理。</w:t>
      </w:r>
    </w:p>
    <w:p w14:paraId="55766446">
      <w:pPr>
        <w:pStyle w:val="72"/>
        <w:rPr>
          <w:color w:val="000000" w:themeColor="text1"/>
          <w:highlight w:val="none"/>
          <w14:textFill>
            <w14:solidFill>
              <w14:schemeClr w14:val="tx1"/>
            </w14:solidFill>
          </w14:textFill>
        </w:rPr>
      </w:pPr>
      <w:bookmarkStart w:id="74" w:name="_Toc30845"/>
      <w:bookmarkEnd w:id="74"/>
      <w:bookmarkStart w:id="75" w:name="_Toc7728"/>
      <w:bookmarkEnd w:id="75"/>
      <w:bookmarkStart w:id="76" w:name="_Toc26630"/>
      <w:r>
        <w:rPr>
          <w:rFonts w:hint="eastAsia"/>
          <w:color w:val="000000" w:themeColor="text1"/>
          <w:highlight w:val="none"/>
          <w14:textFill>
            <w14:solidFill>
              <w14:schemeClr w14:val="tx1"/>
            </w14:solidFill>
          </w14:textFill>
        </w:rPr>
        <w:t>保密</w:t>
      </w:r>
      <w:bookmarkEnd w:id="76"/>
    </w:p>
    <w:p w14:paraId="0E9B4CB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参与招标投标活动的各方应对招标文件和投标文件中的商业和技术等秘密保密， 否则应承担相应的法律责任。</w:t>
      </w:r>
    </w:p>
    <w:p w14:paraId="52ABE207">
      <w:pPr>
        <w:pStyle w:val="72"/>
        <w:rPr>
          <w:color w:val="000000" w:themeColor="text1"/>
          <w:highlight w:val="none"/>
          <w14:textFill>
            <w14:solidFill>
              <w14:schemeClr w14:val="tx1"/>
            </w14:solidFill>
          </w14:textFill>
        </w:rPr>
      </w:pPr>
      <w:bookmarkStart w:id="77" w:name="_Toc30800"/>
      <w:bookmarkEnd w:id="77"/>
      <w:bookmarkStart w:id="78" w:name="_Toc27711"/>
      <w:bookmarkEnd w:id="78"/>
      <w:bookmarkStart w:id="79" w:name="_Toc31522"/>
      <w:r>
        <w:rPr>
          <w:rFonts w:hint="eastAsia"/>
          <w:color w:val="000000" w:themeColor="text1"/>
          <w:highlight w:val="none"/>
          <w14:textFill>
            <w14:solidFill>
              <w14:schemeClr w14:val="tx1"/>
            </w14:solidFill>
          </w14:textFill>
        </w:rPr>
        <w:t>语言文字</w:t>
      </w:r>
      <w:bookmarkEnd w:id="79"/>
    </w:p>
    <w:p w14:paraId="759F206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招标投标文件使用的语言文字为中文。专用术语使用外文的，应附有中文注释</w:t>
      </w:r>
      <w:r>
        <w:rPr>
          <w:rFonts w:hint="eastAsia" w:ascii="宋体" w:hAnsi="宋体" w:cs="宋体"/>
          <w:color w:val="000000" w:themeColor="text1"/>
          <w:highlight w:val="none"/>
          <w14:textFill>
            <w14:solidFill>
              <w14:schemeClr w14:val="tx1"/>
            </w14:solidFill>
          </w14:textFill>
        </w:rPr>
        <w:t>。</w:t>
      </w:r>
    </w:p>
    <w:p w14:paraId="2228272A">
      <w:pPr>
        <w:pStyle w:val="72"/>
        <w:rPr>
          <w:color w:val="000000" w:themeColor="text1"/>
          <w:highlight w:val="none"/>
          <w14:textFill>
            <w14:solidFill>
              <w14:schemeClr w14:val="tx1"/>
            </w14:solidFill>
          </w14:textFill>
        </w:rPr>
      </w:pPr>
      <w:bookmarkStart w:id="80" w:name="_Toc19030"/>
      <w:bookmarkEnd w:id="80"/>
      <w:bookmarkStart w:id="81" w:name="_Toc19075"/>
      <w:bookmarkEnd w:id="81"/>
      <w:bookmarkStart w:id="82" w:name="_Toc4759"/>
      <w:r>
        <w:rPr>
          <w:rFonts w:hint="eastAsia"/>
          <w:color w:val="000000" w:themeColor="text1"/>
          <w:highlight w:val="none"/>
          <w14:textFill>
            <w14:solidFill>
              <w14:schemeClr w14:val="tx1"/>
            </w14:solidFill>
          </w14:textFill>
        </w:rPr>
        <w:t>计量单位</w:t>
      </w:r>
      <w:bookmarkEnd w:id="82"/>
    </w:p>
    <w:p w14:paraId="6BDCF0C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所有计量均采用中华人民共和国法定计量单位。</w:t>
      </w:r>
    </w:p>
    <w:p w14:paraId="1B0F7FBF">
      <w:pPr>
        <w:pStyle w:val="72"/>
        <w:rPr>
          <w:color w:val="000000" w:themeColor="text1"/>
          <w:highlight w:val="none"/>
          <w14:textFill>
            <w14:solidFill>
              <w14:schemeClr w14:val="tx1"/>
            </w14:solidFill>
          </w14:textFill>
        </w:rPr>
      </w:pPr>
      <w:bookmarkStart w:id="83" w:name="_Toc9140"/>
      <w:bookmarkEnd w:id="83"/>
      <w:bookmarkStart w:id="84" w:name="_Toc11791"/>
      <w:bookmarkEnd w:id="84"/>
      <w:bookmarkStart w:id="85" w:name="_Toc2504"/>
      <w:r>
        <w:rPr>
          <w:rFonts w:hint="eastAsia"/>
          <w:color w:val="000000" w:themeColor="text1"/>
          <w:highlight w:val="none"/>
          <w14:textFill>
            <w14:solidFill>
              <w14:schemeClr w14:val="tx1"/>
            </w14:solidFill>
          </w14:textFill>
        </w:rPr>
        <w:t>踏勘现场</w:t>
      </w:r>
      <w:bookmarkEnd w:id="85"/>
    </w:p>
    <w:p w14:paraId="4F360728">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1.9.1 第一章“招标公告”或“投标邀请书”规定组织踏勘现场的，招标人按规定的时间、地点组织投标人踏勘项目现场。部分投标人未按时参加踏勘现场的，不影响踏勘现场的正常进行。招标人不得组织单个或部分投标人踏勘项目现场。</w:t>
      </w:r>
    </w:p>
    <w:p w14:paraId="7AEC8E4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 投标人踏勘现场发生的费用自理。</w:t>
      </w:r>
    </w:p>
    <w:p w14:paraId="0E795D8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1.9.3 除招标人的原因外，投标人自行负责在踏勘现场中所发生的人员伤亡和财产损失。</w:t>
      </w:r>
    </w:p>
    <w:p w14:paraId="5900895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1.9.4 招标人在踏勘现场中介绍的工程场地和相关的周边环境情况，供投标人在编制投标文件时参考，招标人不对投标人据此作出的判断和决策负责。</w:t>
      </w:r>
    </w:p>
    <w:p w14:paraId="46724D8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560444CA">
      <w:pPr>
        <w:pStyle w:val="72"/>
        <w:rPr>
          <w:color w:val="000000" w:themeColor="text1"/>
          <w:highlight w:val="none"/>
          <w14:textFill>
            <w14:solidFill>
              <w14:schemeClr w14:val="tx1"/>
            </w14:solidFill>
          </w14:textFill>
        </w:rPr>
      </w:pPr>
      <w:bookmarkStart w:id="86" w:name="_Toc16718"/>
      <w:bookmarkEnd w:id="86"/>
      <w:bookmarkStart w:id="87" w:name="_Toc7547"/>
      <w:bookmarkEnd w:id="87"/>
      <w:bookmarkStart w:id="88" w:name="_Toc7099"/>
      <w:r>
        <w:rPr>
          <w:rFonts w:hint="eastAsia"/>
          <w:color w:val="000000" w:themeColor="text1"/>
          <w:highlight w:val="none"/>
          <w14:textFill>
            <w14:solidFill>
              <w14:schemeClr w14:val="tx1"/>
            </w14:solidFill>
          </w14:textFill>
        </w:rPr>
        <w:t>投标预备会</w:t>
      </w:r>
      <w:bookmarkEnd w:id="88"/>
    </w:p>
    <w:p w14:paraId="0564586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1.10.1 第一章“招标公告”或“投标邀请书”规定召开投标预备会的，招标人按规定的时间和地点召开投标预备会，澄清投标人提出的问题。</w:t>
      </w:r>
    </w:p>
    <w:p w14:paraId="496748D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1.10.2 投标人应按投标人须知前附表规定的时间和形式将提出的问题送达招标人，以便招标人在会议期间澄清。</w:t>
      </w:r>
    </w:p>
    <w:p w14:paraId="027BAC2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1.10.3 投标预备会后，招标人将对投标人所提问题的澄清，以本章第 2.2 款规定的形式通知所有购买招标文件的投标人。该澄清内容为招标文件的组成部分。</w:t>
      </w:r>
    </w:p>
    <w:p w14:paraId="71E14339">
      <w:pPr>
        <w:pStyle w:val="72"/>
        <w:rPr>
          <w:color w:val="000000" w:themeColor="text1"/>
          <w:highlight w:val="none"/>
          <w14:textFill>
            <w14:solidFill>
              <w14:schemeClr w14:val="tx1"/>
            </w14:solidFill>
          </w14:textFill>
        </w:rPr>
      </w:pPr>
      <w:bookmarkStart w:id="89" w:name="_Toc25367"/>
      <w:bookmarkEnd w:id="89"/>
      <w:bookmarkStart w:id="90" w:name="_Toc496"/>
      <w:bookmarkEnd w:id="90"/>
      <w:bookmarkStart w:id="91" w:name="_Toc11969"/>
      <w:r>
        <w:rPr>
          <w:rFonts w:hint="eastAsia"/>
          <w:color w:val="000000" w:themeColor="text1"/>
          <w:highlight w:val="none"/>
          <w14:textFill>
            <w14:solidFill>
              <w14:schemeClr w14:val="tx1"/>
            </w14:solidFill>
          </w14:textFill>
        </w:rPr>
        <w:t>分包</w:t>
      </w:r>
      <w:bookmarkEnd w:id="91"/>
    </w:p>
    <w:p w14:paraId="44D914D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1.11.1投标人拟在中标后将中标项目的部分非主体、非关键性工作进行分包的， 应符合以下规定：</w:t>
      </w:r>
    </w:p>
    <w:p w14:paraId="178BACD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（1）分包内容要求：允许分包的工程范围仅限于非关键性工程或适合专业化队伍施工的专项工程。招标人允许分包或不允许分包的专项工程（如有）应在投标人须知前附表中载明。</w:t>
      </w:r>
    </w:p>
    <w:p w14:paraId="17F007D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（2）接受分包的第三人资格要求：分包人的资格能力应与其分包工程的标准和规模相适应，且具备投标人须知前附表中规定的资格条件。</w:t>
      </w:r>
    </w:p>
    <w:p w14:paraId="54C4844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（3）其他要求：投标人如有分包计划，应按第九章“投标文件格式”的要求填写“拟分包项目情况表”，明确拟分包的工程及规模，且投标人中标后的分包应满足合同条款第4.3 款的相关要求。</w:t>
      </w:r>
    </w:p>
    <w:p w14:paraId="56A66C9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1.11.2中标人不得向他人转让中标项目，接受分包的人不得再次分包。中标人应就分包项目向招标人负责，接受分包的人就分包项目承担连带责任。</w:t>
      </w:r>
    </w:p>
    <w:p w14:paraId="740B800C">
      <w:pPr>
        <w:pStyle w:val="72"/>
        <w:rPr>
          <w:color w:val="000000" w:themeColor="text1"/>
          <w:highlight w:val="none"/>
          <w14:textFill>
            <w14:solidFill>
              <w14:schemeClr w14:val="tx1"/>
            </w14:solidFill>
          </w14:textFill>
        </w:rPr>
      </w:pPr>
      <w:bookmarkStart w:id="92" w:name="_Toc29923"/>
      <w:bookmarkEnd w:id="92"/>
      <w:bookmarkStart w:id="93" w:name="_Toc27550"/>
      <w:bookmarkEnd w:id="93"/>
      <w:bookmarkStart w:id="94" w:name="_Toc19645"/>
      <w:r>
        <w:rPr>
          <w:rFonts w:hint="eastAsia"/>
          <w:color w:val="000000" w:themeColor="text1"/>
          <w:highlight w:val="none"/>
          <w14:textFill>
            <w14:solidFill>
              <w14:schemeClr w14:val="tx1"/>
            </w14:solidFill>
          </w14:textFill>
        </w:rPr>
        <w:t>响应和偏差</w:t>
      </w:r>
      <w:bookmarkEnd w:id="94"/>
    </w:p>
    <w:p w14:paraId="0471839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1.12.1投标文件偏离招标文件某些要求，视为投标文件存在偏差。偏差包括重大偏差和细微偏差。</w:t>
      </w:r>
    </w:p>
    <w:p w14:paraId="6049DE6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1.12.2投标文件应对招标文件的实质性要求和条件作出满足性或更有利于招标人的响应，否则，视为投标文件存在重大偏差，投标人的投标将被否决。</w:t>
      </w:r>
    </w:p>
    <w:p w14:paraId="237CCC48">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投标文件存在第三章“评标办法”中所列任一否决投标情形的，均属于存在重大偏差。</w:t>
      </w:r>
    </w:p>
    <w:p w14:paraId="07EBC1F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1.12.3投标文件中的下列偏差为细微偏差：</w:t>
      </w:r>
    </w:p>
    <w:p w14:paraId="48A63E5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在按照第三章“评标办法”的规定对投标价进行算术性错误修正及其他错误修正后，最终投标报价未超过最高投标限价（如有）的情况下，出现第三章“评标办法”规定的算术性错误和投标报价的其他错误；</w:t>
      </w:r>
    </w:p>
    <w:p w14:paraId="666B56E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（2）施工组织设计（含关键工程技术方案）和项目管理机构不够完善；</w:t>
      </w:r>
    </w:p>
    <w:p w14:paraId="2DB46EF9">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（3）投标文件页码不连续、采用活页夹装订、个别文字有遗漏错误等不影响投标文件实质性内容的偏差。</w:t>
      </w:r>
    </w:p>
    <w:p w14:paraId="557581C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1.12.4评标委员会对投标文件中的细微偏差按如下规定处理：</w:t>
      </w:r>
    </w:p>
    <w:p w14:paraId="57E313F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（1）对于本章第 1.12.3 项（1）目所述的细微偏差，按照第三章“评标办法”的规定予以修正并要求投标人进行澄清；</w:t>
      </w:r>
    </w:p>
    <w:p w14:paraId="1C493A7C">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（2）对于本章第 1.12.3 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15FF660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（3）对于本章第 1.12.3 项（3）目所述的细微偏差，可要求投标人对细微偏差进行澄清。</w:t>
      </w:r>
    </w:p>
    <w:p w14:paraId="12FF7DAC">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1.12.5投标人应根据招标文件的要求提供施工组织设计等内容以对招标文件作出响应。</w:t>
      </w:r>
    </w:p>
    <w:p w14:paraId="79264FF6">
      <w:pPr>
        <w:pStyle w:val="70"/>
        <w:spacing w:before="156"/>
        <w:rPr>
          <w:color w:val="000000" w:themeColor="text1"/>
          <w:highlight w:val="none"/>
          <w14:textFill>
            <w14:solidFill>
              <w14:schemeClr w14:val="tx1"/>
            </w14:solidFill>
          </w14:textFill>
        </w:rPr>
      </w:pPr>
      <w:bookmarkStart w:id="95" w:name="_Toc14851"/>
      <w:bookmarkEnd w:id="95"/>
      <w:bookmarkStart w:id="96" w:name="_Toc18201"/>
      <w:bookmarkEnd w:id="96"/>
      <w:bookmarkStart w:id="97" w:name="_Toc757"/>
      <w:r>
        <w:rPr>
          <w:rFonts w:hint="eastAsia"/>
          <w:color w:val="000000" w:themeColor="text1"/>
          <w:highlight w:val="none"/>
          <w14:textFill>
            <w14:solidFill>
              <w14:schemeClr w14:val="tx1"/>
            </w14:solidFill>
          </w14:textFill>
        </w:rPr>
        <w:t>招标文件</w:t>
      </w:r>
      <w:bookmarkEnd w:id="97"/>
    </w:p>
    <w:p w14:paraId="55824AAC">
      <w:pPr>
        <w:pStyle w:val="72"/>
        <w:rPr>
          <w:color w:val="000000" w:themeColor="text1"/>
          <w:highlight w:val="none"/>
          <w14:textFill>
            <w14:solidFill>
              <w14:schemeClr w14:val="tx1"/>
            </w14:solidFill>
          </w14:textFill>
        </w:rPr>
      </w:pPr>
      <w:bookmarkStart w:id="98" w:name="_Toc22888"/>
      <w:bookmarkEnd w:id="98"/>
      <w:bookmarkStart w:id="99" w:name="_Toc21484"/>
      <w:bookmarkEnd w:id="99"/>
      <w:bookmarkStart w:id="100" w:name="_Toc23707"/>
      <w:r>
        <w:rPr>
          <w:rFonts w:hint="eastAsia"/>
          <w:color w:val="000000" w:themeColor="text1"/>
          <w:highlight w:val="none"/>
          <w14:textFill>
            <w14:solidFill>
              <w14:schemeClr w14:val="tx1"/>
            </w14:solidFill>
          </w14:textFill>
        </w:rPr>
        <w:t>招标文件的组成</w:t>
      </w:r>
      <w:bookmarkEnd w:id="100"/>
    </w:p>
    <w:p w14:paraId="6EDB7985">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本招标文件包括：</w:t>
      </w:r>
    </w:p>
    <w:p w14:paraId="3A6F7639">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（1）招标公告（或投标邀请书）；</w:t>
      </w:r>
    </w:p>
    <w:p w14:paraId="3242CAF5">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（2）投标人须知；</w:t>
      </w:r>
    </w:p>
    <w:p w14:paraId="56245698">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（3）评标办法；</w:t>
      </w:r>
    </w:p>
    <w:p w14:paraId="23997F6F">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（4）合同条款及格式；</w:t>
      </w:r>
    </w:p>
    <w:p w14:paraId="73BEA836">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（5）工程量清单；</w:t>
      </w:r>
    </w:p>
    <w:p w14:paraId="75A1700E">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（6）图纸；</w:t>
      </w:r>
    </w:p>
    <w:p w14:paraId="7FB925A6">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（7）技术规范；</w:t>
      </w:r>
    </w:p>
    <w:p w14:paraId="0B0BAFAF">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（8）工程量清单计量规则；</w:t>
      </w:r>
    </w:p>
    <w:p w14:paraId="2EF6A4DD">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（9）投标文件格式；</w:t>
      </w:r>
    </w:p>
    <w:p w14:paraId="35196095">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（10）投标人须知前附表规定的其他资料。</w:t>
      </w:r>
    </w:p>
    <w:p w14:paraId="0516744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根据本章第 1.10 款、第 2.2 款和第 2.3 款对招标文件所作的澄清、修改，构成招标文件的组成部分。</w:t>
      </w:r>
    </w:p>
    <w:p w14:paraId="4D4BF26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当招标文件、招标文件的澄清或修改等在同一内容的表述上不一致时，以最后发出的书面文件为准。</w:t>
      </w:r>
    </w:p>
    <w:p w14:paraId="57A51DF8">
      <w:pPr>
        <w:pStyle w:val="72"/>
        <w:rPr>
          <w:color w:val="000000" w:themeColor="text1"/>
          <w:highlight w:val="none"/>
          <w14:textFill>
            <w14:solidFill>
              <w14:schemeClr w14:val="tx1"/>
            </w14:solidFill>
          </w14:textFill>
        </w:rPr>
      </w:pPr>
      <w:bookmarkStart w:id="101" w:name="_Toc26732"/>
      <w:bookmarkEnd w:id="101"/>
      <w:bookmarkStart w:id="102" w:name="_Toc16577"/>
      <w:bookmarkEnd w:id="102"/>
      <w:bookmarkStart w:id="103" w:name="_Toc15830"/>
      <w:r>
        <w:rPr>
          <w:rFonts w:hint="eastAsia"/>
          <w:color w:val="000000" w:themeColor="text1"/>
          <w:highlight w:val="none"/>
          <w14:textFill>
            <w14:solidFill>
              <w14:schemeClr w14:val="tx1"/>
            </w14:solidFill>
          </w14:textFill>
        </w:rPr>
        <w:t>招标文件的澄清</w:t>
      </w:r>
      <w:bookmarkEnd w:id="103"/>
    </w:p>
    <w:p w14:paraId="12F5FAC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2.2.1投标人应仔细阅读和检查招标文件的全部内容。如发现缺页或附件不全， 应及时向招标人提出，以便补齐。如有疑问，应按投标人须知前附表规定的时间和形式将提出的问题送达招标人，要求招标人对招标文件予以澄清。</w:t>
      </w:r>
    </w:p>
    <w:p w14:paraId="3CF26EA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2.2.2招标文件的澄清以投标人须知前附表规定的形式发给所有购买招标文件的投标人，但不指明澄清问题的来源。澄清发出的时间距本章第 4.2.1 项规定的投标截止时间不足 15 日，且澄清内容可能影响投标文件编制的，将相应延长投标截止时间。</w:t>
      </w:r>
    </w:p>
    <w:p w14:paraId="3F35860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2.2.3投标人在收到澄清后，应按投标人须知前附表规定的时间和形式通知招标人，确认已收到该澄清。</w:t>
      </w:r>
    </w:p>
    <w:p w14:paraId="4B58DBD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2.2.4除非招标人认为确有必要答复，否则，招标人有权拒绝回复投标人在本章第 2.2.1 项规定的时间后提出的任何澄清要求。</w:t>
      </w:r>
    </w:p>
    <w:p w14:paraId="1078F8A0">
      <w:pPr>
        <w:pStyle w:val="72"/>
        <w:rPr>
          <w:color w:val="000000" w:themeColor="text1"/>
          <w:highlight w:val="none"/>
          <w14:textFill>
            <w14:solidFill>
              <w14:schemeClr w14:val="tx1"/>
            </w14:solidFill>
          </w14:textFill>
        </w:rPr>
      </w:pPr>
      <w:bookmarkStart w:id="104" w:name="_Toc10051"/>
      <w:bookmarkEnd w:id="104"/>
      <w:bookmarkStart w:id="105" w:name="_Toc3321"/>
      <w:bookmarkEnd w:id="105"/>
      <w:bookmarkStart w:id="106" w:name="_Toc25998"/>
      <w:r>
        <w:rPr>
          <w:rFonts w:hint="eastAsia"/>
          <w:color w:val="000000" w:themeColor="text1"/>
          <w:highlight w:val="none"/>
          <w14:textFill>
            <w14:solidFill>
              <w14:schemeClr w14:val="tx1"/>
            </w14:solidFill>
          </w14:textFill>
        </w:rPr>
        <w:t>招标文件的修改</w:t>
      </w:r>
      <w:bookmarkEnd w:id="106"/>
    </w:p>
    <w:p w14:paraId="52E98BBF">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2.3.1招标人以投标人须知前附表规定的形式修改招标文件，并通知所有已购买招标文件的投标人。修改招标文件的时间距本章第 4.2.1 项规定的投标截止时间不足15日，且修改内容可能影响投标文件编制的，将相应延长投标截止时间。</w:t>
      </w:r>
    </w:p>
    <w:p w14:paraId="4A2F2420">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2.3.2投标人收到修改内容后，应按投标人须知前附表规定的时间和形式通知招标人，确认已收到该修改。</w:t>
      </w:r>
    </w:p>
    <w:p w14:paraId="23A84B79">
      <w:pPr>
        <w:pStyle w:val="72"/>
        <w:rPr>
          <w:color w:val="000000" w:themeColor="text1"/>
          <w:highlight w:val="none"/>
          <w14:textFill>
            <w14:solidFill>
              <w14:schemeClr w14:val="tx1"/>
            </w14:solidFill>
          </w14:textFill>
        </w:rPr>
      </w:pPr>
      <w:bookmarkStart w:id="107" w:name="_Toc54"/>
      <w:bookmarkEnd w:id="107"/>
      <w:bookmarkStart w:id="108" w:name="_Toc5802"/>
      <w:bookmarkEnd w:id="108"/>
      <w:bookmarkStart w:id="109" w:name="_Toc2649"/>
      <w:r>
        <w:rPr>
          <w:rFonts w:hint="eastAsia"/>
          <w:color w:val="000000" w:themeColor="text1"/>
          <w:highlight w:val="none"/>
          <w14:textFill>
            <w14:solidFill>
              <w14:schemeClr w14:val="tx1"/>
            </w14:solidFill>
          </w14:textFill>
        </w:rPr>
        <w:t>招标文件的异议</w:t>
      </w:r>
      <w:bookmarkEnd w:id="109"/>
    </w:p>
    <w:p w14:paraId="19F9071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投标人或其他利害关系人对招标文件有异议的，应在投标截止时间 10 日前以书面形式提出。招标人将在收到异议之日起 3 日内作出答复；作出答复前，将暂停招标投标活动。</w:t>
      </w:r>
    </w:p>
    <w:p w14:paraId="4A42166F">
      <w:pPr>
        <w:pStyle w:val="70"/>
        <w:spacing w:before="156"/>
        <w:rPr>
          <w:color w:val="000000" w:themeColor="text1"/>
          <w:highlight w:val="none"/>
          <w14:textFill>
            <w14:solidFill>
              <w14:schemeClr w14:val="tx1"/>
            </w14:solidFill>
          </w14:textFill>
        </w:rPr>
      </w:pPr>
      <w:bookmarkStart w:id="110" w:name="_Toc17093"/>
      <w:bookmarkEnd w:id="110"/>
      <w:bookmarkStart w:id="111" w:name="_Toc8676"/>
      <w:bookmarkEnd w:id="111"/>
      <w:bookmarkStart w:id="112" w:name="_Toc3472"/>
      <w:r>
        <w:rPr>
          <w:rFonts w:hint="eastAsia"/>
          <w:color w:val="000000" w:themeColor="text1"/>
          <w:highlight w:val="none"/>
          <w14:textFill>
            <w14:solidFill>
              <w14:schemeClr w14:val="tx1"/>
            </w14:solidFill>
          </w14:textFill>
        </w:rPr>
        <w:t>投标文件</w:t>
      </w:r>
      <w:bookmarkEnd w:id="112"/>
    </w:p>
    <w:p w14:paraId="370963F2">
      <w:pPr>
        <w:pStyle w:val="72"/>
        <w:rPr>
          <w:color w:val="000000" w:themeColor="text1"/>
          <w:highlight w:val="none"/>
          <w14:textFill>
            <w14:solidFill>
              <w14:schemeClr w14:val="tx1"/>
            </w14:solidFill>
          </w14:textFill>
        </w:rPr>
      </w:pPr>
      <w:bookmarkStart w:id="113" w:name="_Toc27990"/>
      <w:bookmarkEnd w:id="113"/>
      <w:bookmarkStart w:id="114" w:name="_Toc10611"/>
      <w:bookmarkEnd w:id="114"/>
      <w:bookmarkStart w:id="115" w:name="_Toc7892"/>
      <w:r>
        <w:rPr>
          <w:rFonts w:hint="eastAsia"/>
          <w:color w:val="000000" w:themeColor="text1"/>
          <w:highlight w:val="none"/>
          <w14:textFill>
            <w14:solidFill>
              <w14:schemeClr w14:val="tx1"/>
            </w14:solidFill>
          </w14:textFill>
        </w:rPr>
        <w:t>投标文件的组成</w:t>
      </w:r>
      <w:bookmarkEnd w:id="115"/>
    </w:p>
    <w:p w14:paraId="127101A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根据投标人须知前附表规定的不同形式，投标文件的组成应满足相应条款要求。</w:t>
      </w:r>
    </w:p>
    <w:p w14:paraId="4278EF9D">
      <w:pPr>
        <w:adjustRightInd w:val="0"/>
        <w:snapToGrid w:val="0"/>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若采用双信封形式，第 3.1.1 项采用以下条款：</w:t>
      </w:r>
    </w:p>
    <w:p w14:paraId="58B933B3">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3.1.1投标文件应包括下列内容：</w:t>
      </w:r>
    </w:p>
    <w:p w14:paraId="2382CC7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第一个信封（商务及技术文件）：</w:t>
      </w:r>
    </w:p>
    <w:p w14:paraId="01352D18">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（1）投标函及投标函附录；</w:t>
      </w:r>
    </w:p>
    <w:p w14:paraId="36E44AFF">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（2）授权委托书或法定代表人身份证明；</w:t>
      </w:r>
    </w:p>
    <w:p w14:paraId="65139805">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（3）联合体协议书；</w:t>
      </w:r>
    </w:p>
    <w:p w14:paraId="4265F24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（4）投标保证金；</w:t>
      </w:r>
    </w:p>
    <w:p w14:paraId="3790F00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（5）施工组织设计；</w:t>
      </w:r>
    </w:p>
    <w:p w14:paraId="4A45250C">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（6）项目管理机构；</w:t>
      </w:r>
    </w:p>
    <w:p w14:paraId="1CC26CA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（7）拟分包项目情况表；</w:t>
      </w:r>
    </w:p>
    <w:p w14:paraId="4672027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（8）资格审查资料；</w:t>
      </w:r>
    </w:p>
    <w:p w14:paraId="72133B8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（9）投标人须知前附表规定的其他资料。</w:t>
      </w:r>
    </w:p>
    <w:p w14:paraId="4BDD4E85">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第二个信封（报价文件）：</w:t>
      </w:r>
    </w:p>
    <w:p w14:paraId="78972690">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（1）调价函及调价后的工程量清单；</w:t>
      </w:r>
    </w:p>
    <w:p w14:paraId="59764C7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（2）投标函；</w:t>
      </w:r>
    </w:p>
    <w:p w14:paraId="3D3721EC">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（3）已标价工程量清单；</w:t>
      </w:r>
    </w:p>
    <w:p w14:paraId="348AA2C2">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（4）合同用款估算表。</w:t>
      </w:r>
    </w:p>
    <w:p w14:paraId="4DBE21E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投标人在评标过程中作出的符合法律法规和招标文件规定的澄清确认，构成投标文件的组成部分。</w:t>
      </w:r>
    </w:p>
    <w:p w14:paraId="7B65BD0F">
      <w:pPr>
        <w:adjustRightInd w:val="0"/>
        <w:snapToGrid w:val="0"/>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若采用单信封形式，第 3.1.1 项采用以下条款：</w:t>
      </w:r>
    </w:p>
    <w:p w14:paraId="46D6FE56">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  投标文件应包括下列内容：</w:t>
      </w:r>
    </w:p>
    <w:p w14:paraId="166FA85C">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（1）投标函及投标函附录；</w:t>
      </w:r>
    </w:p>
    <w:p w14:paraId="2BDBB85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（2）授权委托书或法定代表人身份证明；</w:t>
      </w:r>
    </w:p>
    <w:p w14:paraId="7D10E890">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（3）联合体协议书；</w:t>
      </w:r>
    </w:p>
    <w:p w14:paraId="2429C2D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（4）投标保证金；</w:t>
      </w:r>
    </w:p>
    <w:p w14:paraId="3F3507E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（5）已标价工程量清单；</w:t>
      </w:r>
    </w:p>
    <w:p w14:paraId="3B6C587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（6）施工组织设计；</w:t>
      </w:r>
    </w:p>
    <w:p w14:paraId="0AC1FB0A">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（7）项目管理机构；</w:t>
      </w:r>
    </w:p>
    <w:p w14:paraId="33E7D3E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（8）拟分包项目情况表；</w:t>
      </w:r>
    </w:p>
    <w:p w14:paraId="27333DAF">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（9）资格审查资料；</w:t>
      </w:r>
    </w:p>
    <w:p w14:paraId="472D926F">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（10）调价函及调价后的工程量清单（如有）；</w:t>
      </w:r>
    </w:p>
    <w:p w14:paraId="508866BA">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（11）投标人须知前附表规定的其他资料。</w:t>
      </w:r>
    </w:p>
    <w:p w14:paraId="2E4CA05D">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投标人在评标过程中作出的符合法律法规和招标文件规定的澄清确认，构成投标文件的组成部分。</w:t>
      </w:r>
    </w:p>
    <w:p w14:paraId="6498E7D8">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3.1.2投标人须知前附表规定不接受联合体投标的，或投标人没有组成联合体的，投标文件不包括本章第 3.1.1（3）目所指的联合体协议书。</w:t>
      </w:r>
    </w:p>
    <w:p w14:paraId="5C045456">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3.1.3 投标人须知前附表未要求提交投标保证金的，投标文件不包括本章第 3.1.1（4）目所指的投标保证金。</w:t>
      </w:r>
    </w:p>
    <w:p w14:paraId="6AA55CBE">
      <w:pPr>
        <w:pStyle w:val="72"/>
        <w:rPr>
          <w:color w:val="000000" w:themeColor="text1"/>
          <w:highlight w:val="none"/>
          <w14:textFill>
            <w14:solidFill>
              <w14:schemeClr w14:val="tx1"/>
            </w14:solidFill>
          </w14:textFill>
        </w:rPr>
      </w:pPr>
      <w:bookmarkStart w:id="116" w:name="_Toc5966"/>
      <w:bookmarkEnd w:id="116"/>
      <w:bookmarkStart w:id="117" w:name="_Toc8391"/>
      <w:bookmarkEnd w:id="117"/>
      <w:bookmarkStart w:id="118" w:name="_Toc2880"/>
      <w:r>
        <w:rPr>
          <w:rFonts w:hint="eastAsia"/>
          <w:color w:val="000000" w:themeColor="text1"/>
          <w:highlight w:val="none"/>
          <w14:textFill>
            <w14:solidFill>
              <w14:schemeClr w14:val="tx1"/>
            </w14:solidFill>
          </w14:textFill>
        </w:rPr>
        <w:t>投标报价</w:t>
      </w:r>
      <w:bookmarkEnd w:id="118"/>
    </w:p>
    <w:p w14:paraId="046C12A5">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3.2.1投标报价应包括国家规定的增值税税金，除投标人须知前附表另有规定外， 增值税税金按一般计税方法计算。投标人应按第九章“投标文件格式”的要求在投标函中进行报价并填写工程量清单相应表格。</w:t>
      </w:r>
    </w:p>
    <w:p w14:paraId="1BEC0B5D">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工程量清单的填写分下列两种方式。投标人应按投标人须知前附表规定的方式填写工程量清单。</w:t>
      </w:r>
    </w:p>
    <w:p w14:paraId="572FCE1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（1）本项目招标采用工程量固化清单，招标人在出售招标文件的同时向投标人提供工程量固化清单电子文件（光盘或 U 盘），或将工程量固化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5977D63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投标人必须严格遵循工程量固化清单电子文件中的数据、格式及运算定义，并将已填写完毕的投标工程量清单电子文件单独拷入招标人提供的光盘（或 U 盘）中密封在投标文件内一并交回。严禁投标人修改工程量固化清单电子文件中的数据、格式及运算定义。</w:t>
      </w:r>
    </w:p>
    <w:p w14:paraId="4C912B35">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投标人根据招标人提供的工程量固化清单电子文件填报完成并打印的投标工程量清单中的投标报价和投标函大写金额报价应一致，如果报价金额出现差异，其投标将被否决。</w:t>
      </w:r>
    </w:p>
    <w:p w14:paraId="2B42032A">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项目招标由招标人提供书面工程量清单，由投标人按照招标人提供的工程量清单填写本合同各工程子目的单价、合价和总额价。评标委员会将按照第三章“评标办法”的规定对投标价进行算术性错误修正及其他错误修正。</w:t>
      </w:r>
    </w:p>
    <w:p w14:paraId="48EFA33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3.2.2投标人应充分了解本项目的总体情况以及影响投标报价的其他要素。</w:t>
      </w:r>
    </w:p>
    <w:p w14:paraId="01523AC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3.2.3本项目的报价方式见投标人须知前附表。投标人在投标截止时间前修改投标函中的投标总报价，应同时修改投标文件“已标价工程量清单”中的相应报价。此修改须符合本章第 4.3 款的有关要求。</w:t>
      </w:r>
    </w:p>
    <w:p w14:paraId="38B8754B">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3.2.4投标人如果发现工程量清单中的数量与图纸中数量不一致时，应立即通知招标人核查，除非招标人以书面方式予以更正，否则，应以工程量清单中列出的数量为准。</w:t>
      </w:r>
    </w:p>
    <w:p w14:paraId="546E8FC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3.2.5投标人应根据《公路水运工程安全生产监督管理办法》，在投标总价中计入安全生产费用，安全生产费用应符合合同条款第 9.2.5 项的规定。工程量清单第 100 章内列有上述安全生产费的支付子目，由投标人按招标文件的规定填写总额价。</w:t>
      </w:r>
    </w:p>
    <w:p w14:paraId="5D15C870">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3.2.6除投标人须知前附表另有规定外，招标人不接受调价函。若招标人接受调价函，则应在招标文件中给出调价函的格式。投标人若有调价函则应遵循如下规定：</w:t>
      </w:r>
    </w:p>
    <w:p w14:paraId="781F68A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（1）调价函必须采用招标文件规定的格式；调价函应说明调价后的最终报价，并以最终报价为准，而且投标人只能有一次调价的机会；</w:t>
      </w:r>
    </w:p>
    <w:p w14:paraId="6233B3ED">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（2）工程量清单中招标人指定的报价不允许调价；</w:t>
      </w:r>
    </w:p>
    <w:p w14:paraId="3C161C08">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（3）调价函必须附有调价后的工程量清单；调价函必须粘贴或机械装订在投标文件正本首页，与投标文件一起密封提交。</w:t>
      </w:r>
    </w:p>
    <w:p w14:paraId="25635DF0">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若投标人未提交调价后的工程量清单，或调价函未装在投标文件正本首页，调价函均视为无效，仍以原报价作为最终报价。若投标人提交的调价函多于一个，或对不允许调价的内容进行了调价，或调价函有附加条件，其投标将被否决。</w:t>
      </w:r>
    </w:p>
    <w:p w14:paraId="244D6845">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（4）若招标人接受调价函，投标人调价后的工程量清单和有效调价函的大写金额报价应保持一致，如果报价金额出现差异，则以有效调价函的大写金额报价为准。</w:t>
      </w:r>
    </w:p>
    <w:p w14:paraId="39BE9C3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3.2.7在合同实施期间，投标人填写的单价、合价和总额价是否由于物价波动进行价格调整按照合同条款第 16.1 款的规定处理。如果按照合同条款第 16.1.1 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572BA3B6">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3.2.8招标人设有最高投标限价的，投标人的投标报价不得超过最高投标限价， 最高投标限价在投标人须知前附表中载明。</w:t>
      </w:r>
    </w:p>
    <w:p w14:paraId="2B3561E6">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3.2.9投标报价的其他要求见投标人须知前附表。</w:t>
      </w:r>
    </w:p>
    <w:p w14:paraId="2B96B3A7">
      <w:pPr>
        <w:pStyle w:val="72"/>
        <w:rPr>
          <w:color w:val="000000" w:themeColor="text1"/>
          <w:highlight w:val="none"/>
          <w14:textFill>
            <w14:solidFill>
              <w14:schemeClr w14:val="tx1"/>
            </w14:solidFill>
          </w14:textFill>
        </w:rPr>
      </w:pPr>
      <w:bookmarkStart w:id="119" w:name="_Toc14703"/>
      <w:bookmarkEnd w:id="119"/>
      <w:bookmarkStart w:id="120" w:name="_Toc21854"/>
      <w:bookmarkEnd w:id="120"/>
      <w:bookmarkStart w:id="121" w:name="_Toc21121"/>
      <w:r>
        <w:rPr>
          <w:rFonts w:hint="eastAsia"/>
          <w:color w:val="000000" w:themeColor="text1"/>
          <w:highlight w:val="none"/>
          <w14:textFill>
            <w14:solidFill>
              <w14:schemeClr w14:val="tx1"/>
            </w14:solidFill>
          </w14:textFill>
        </w:rPr>
        <w:t>投标有效期</w:t>
      </w:r>
      <w:bookmarkEnd w:id="121"/>
    </w:p>
    <w:p w14:paraId="16A127E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3.3.1除投标人须知前附表另有规定外，投标有效期为 90 日。</w:t>
      </w:r>
    </w:p>
    <w:p w14:paraId="1FC3E465">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3.3.2在投标有效期内，投标人撤销投标文件的，应承担招标文件和法律规定的责任。</w:t>
      </w:r>
    </w:p>
    <w:p w14:paraId="24DE31DB">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70E22FD8">
      <w:pPr>
        <w:pStyle w:val="72"/>
        <w:rPr>
          <w:color w:val="000000" w:themeColor="text1"/>
          <w:highlight w:val="none"/>
          <w14:textFill>
            <w14:solidFill>
              <w14:schemeClr w14:val="tx1"/>
            </w14:solidFill>
          </w14:textFill>
        </w:rPr>
      </w:pPr>
      <w:bookmarkStart w:id="122" w:name="_Toc20948"/>
      <w:bookmarkEnd w:id="122"/>
      <w:bookmarkStart w:id="123" w:name="_Toc25629"/>
      <w:bookmarkEnd w:id="123"/>
      <w:bookmarkStart w:id="124" w:name="_Toc20386"/>
      <w:r>
        <w:rPr>
          <w:rFonts w:hint="eastAsia"/>
          <w:color w:val="000000" w:themeColor="text1"/>
          <w:highlight w:val="none"/>
          <w14:textFill>
            <w14:solidFill>
              <w14:schemeClr w14:val="tx1"/>
            </w14:solidFill>
          </w14:textFill>
        </w:rPr>
        <w:t>投标保证金</w:t>
      </w:r>
      <w:bookmarkEnd w:id="124"/>
    </w:p>
    <w:p w14:paraId="7905D9F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投标人在递交投标文件的同时，应按投标人须知前附表规定的金额和第九章“投标文件格式”规定的投标保证金格式递交投标保证金，并作为其投标文件的组成部分。联合体投标的，其投标保证金由牵头人递交，并应符合投标人须知前附表的规定。</w:t>
      </w:r>
    </w:p>
    <w:p w14:paraId="2F9A7E3E">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投标保证金应采用现金、支票、银行保函或招标人在投标人须知前附表规定的其他形式。</w:t>
      </w:r>
    </w:p>
    <w:p w14:paraId="3F3DE688">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（1）若采用现金或支票，投标人应在递交投标文件截止时间之前，将投标保证金由投标人的基本账户转入招标人指定账户，否则视为投标保证金无效。招标人指定的开户银行及账号见投标人须知前附表。</w:t>
      </w:r>
    </w:p>
    <w:p w14:paraId="4BFA1B94">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（2）若采用银行保函，则应由符合投标人须知前附表规定级别的银行开具，并采用招标文件提供的格式。银行保函复印件装订在投标文件内，原件应在递交投标文件截止时间之前单独密封递交给招标人。</w:t>
      </w:r>
    </w:p>
    <w:p w14:paraId="1742A6E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无论采取何种形式的投标保证金，投标保证金有效期均应与投标有效期一致。招标人如果按本章第 3.3.3 项的规定延长了投标有效期，则投标保证金的有效期也相应延长。</w:t>
      </w:r>
    </w:p>
    <w:p w14:paraId="7A5DA062">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3.4.2投标人不按本章第 3.4.1 项要求提交投标保证金的，评标委员会将否决其投标。</w:t>
      </w:r>
    </w:p>
    <w:p w14:paraId="72B66DAA">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3.4.3招标人最迟将在中标通知书发出后 5 日内向中标候选人以外的其他投标人退还投标保证金，与中标人签订合同后 5 日内向中标人和其他中标候选人退还投标保证金。投标保证金以现金或支票形式递交的，招标人应同时退还投标保证金的银行同期活期存款利息，且退还至投标人的基本账户。</w:t>
      </w:r>
    </w:p>
    <w:p w14:paraId="58E7D9CC">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利息计算原则见投标人须知前附表。</w:t>
      </w:r>
    </w:p>
    <w:p w14:paraId="3F3301EA">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3.4.4有下列情形之一的，投标保证金将不予退还：</w:t>
      </w:r>
    </w:p>
    <w:p w14:paraId="570CB0EF">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（1）投标人在投标有效期内撤销投标文件；</w:t>
      </w:r>
    </w:p>
    <w:p w14:paraId="36C8ACAB">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（2）中标人在收到中标通知书后，无正当理由不与招标人订立合同，在签订合同时向招标人提出附加条件，或不按照招标文件要求提交履约保证金；</w:t>
      </w:r>
    </w:p>
    <w:p w14:paraId="3D6DDCBB">
      <w:pPr>
        <w:adjustRightInd w:val="0"/>
        <w:snapToGrid w:val="0"/>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（3）发生投标人须知前附表规定的其他可以不予退还投标保证金的情形。</w:t>
      </w:r>
    </w:p>
    <w:p w14:paraId="057A1EC5">
      <w:pPr>
        <w:pStyle w:val="72"/>
        <w:spacing w:line="480" w:lineRule="exact"/>
        <w:rPr>
          <w:color w:val="000000" w:themeColor="text1"/>
          <w:highlight w:val="none"/>
          <w14:textFill>
            <w14:solidFill>
              <w14:schemeClr w14:val="tx1"/>
            </w14:solidFill>
          </w14:textFill>
        </w:rPr>
      </w:pPr>
      <w:bookmarkStart w:id="125" w:name="_Toc7507"/>
      <w:bookmarkEnd w:id="125"/>
      <w:bookmarkStart w:id="126" w:name="_Toc4081"/>
      <w:bookmarkEnd w:id="126"/>
      <w:bookmarkStart w:id="127" w:name="_Toc13887"/>
      <w:r>
        <w:rPr>
          <w:rFonts w:hint="eastAsia"/>
          <w:color w:val="000000" w:themeColor="text1"/>
          <w:highlight w:val="none"/>
          <w14:textFill>
            <w14:solidFill>
              <w14:schemeClr w14:val="tx1"/>
            </w14:solidFill>
          </w14:textFill>
        </w:rPr>
        <w:t>资格审查资料（适用于未进行资格预审的）</w:t>
      </w:r>
      <w:bookmarkEnd w:id="127"/>
    </w:p>
    <w:p w14:paraId="284C0028">
      <w:pPr>
        <w:adjustRightInd w:val="0"/>
        <w:snapToGrid w:val="0"/>
        <w:spacing w:line="480" w:lineRule="exact"/>
        <w:ind w:firstLine="480" w:firstLineChars="200"/>
        <w:rPr>
          <w:rFonts w:ascii="宋体" w:cs="宋体"/>
          <w:color w:val="000000" w:themeColor="text1"/>
          <w:sz w:val="24"/>
          <w:highlight w:val="none"/>
          <w14:textFill>
            <w14:solidFill>
              <w14:schemeClr w14:val="tx1"/>
            </w14:solidFill>
          </w14:textFill>
        </w:rPr>
      </w:pPr>
      <w:bookmarkStart w:id="128" w:name="_Toc17102"/>
      <w:bookmarkEnd w:id="128"/>
      <w:bookmarkStart w:id="129" w:name="_Toc30022"/>
      <w:bookmarkEnd w:id="129"/>
      <w:r>
        <w:rPr>
          <w:rFonts w:hint="eastAsia" w:ascii="宋体" w:hAnsi="宋体" w:cs="宋体"/>
          <w:color w:val="000000" w:themeColor="text1"/>
          <w:sz w:val="24"/>
          <w:highlight w:val="none"/>
          <w14:textFill>
            <w14:solidFill>
              <w14:schemeClr w14:val="tx1"/>
            </w14:solidFill>
          </w14:textFill>
        </w:rPr>
        <w:t>除投标人须知前附表另有规定外，投标人应按下列规定提供资格审查资料，以证明其满足本章第</w:t>
      </w:r>
      <w:r>
        <w:rPr>
          <w:rFonts w:ascii="宋体" w:hAnsi="宋体" w:cs="宋体"/>
          <w:color w:val="000000" w:themeColor="text1"/>
          <w:sz w:val="24"/>
          <w:highlight w:val="none"/>
          <w14:textFill>
            <w14:solidFill>
              <w14:schemeClr w14:val="tx1"/>
            </w14:solidFill>
          </w14:textFill>
        </w:rPr>
        <w:t xml:space="preserve"> 1.4 </w:t>
      </w:r>
      <w:r>
        <w:rPr>
          <w:rFonts w:hint="eastAsia" w:ascii="宋体" w:hAnsi="宋体" w:cs="宋体"/>
          <w:color w:val="000000" w:themeColor="text1"/>
          <w:sz w:val="24"/>
          <w:highlight w:val="none"/>
          <w14:textFill>
            <w14:solidFill>
              <w14:schemeClr w14:val="tx1"/>
            </w14:solidFill>
          </w14:textFill>
        </w:rPr>
        <w:t>款规定的资质、财务、业绩、信誉等要求。</w:t>
      </w:r>
    </w:p>
    <w:p w14:paraId="613F0475">
      <w:pPr>
        <w:adjustRightInd w:val="0"/>
        <w:snapToGrid w:val="0"/>
        <w:spacing w:line="48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3.5.1</w:t>
      </w:r>
      <w:r>
        <w:rPr>
          <w:rFonts w:hint="eastAsia" w:ascii="宋体" w:hAnsi="宋体" w:cs="宋体"/>
          <w:color w:val="000000" w:themeColor="text1"/>
          <w:sz w:val="24"/>
          <w:highlight w:val="none"/>
          <w14:textFill>
            <w14:solidFill>
              <w14:schemeClr w14:val="tx1"/>
            </w14:solidFill>
          </w14:textFill>
        </w:rPr>
        <w:t>“投标人基本情况表”应附企业法人营业执照副本和组织机构代码证副本（按照“三证合一”或“五证合一”登记制度进行登记的，可仅提供营业执照副本，下同）、施工资质证书副本、安全生产许可证副本、基本账户开户许可证的复印件，投标人在交通运输部“</w:t>
      </w:r>
      <w:r>
        <w:rPr>
          <w:rFonts w:hint="eastAsia" w:ascii="宋体" w:hAnsi="宋体" w:cs="宋体"/>
          <w:color w:val="000000" w:themeColor="text1"/>
          <w:sz w:val="24"/>
          <w:highlight w:val="none"/>
          <w:lang w:eastAsia="zh-CN"/>
          <w14:textFill>
            <w14:solidFill>
              <w14:schemeClr w14:val="tx1"/>
            </w14:solidFill>
          </w14:textFill>
        </w:rPr>
        <w:t>全国公路建设市场监督管理系统</w:t>
      </w:r>
      <w:r>
        <w:rPr>
          <w:rFonts w:hint="eastAsia" w:ascii="宋体" w:hAnsi="宋体" w:cs="宋体"/>
          <w:color w:val="000000" w:themeColor="text1"/>
          <w:sz w:val="24"/>
          <w:highlight w:val="none"/>
          <w14:textFill>
            <w14:solidFill>
              <w14:schemeClr w14:val="tx1"/>
            </w14:solidFill>
          </w14:textFill>
        </w:rPr>
        <w:t>”公路工程施工资质企业名录中的网页截图复印件，以及投标人在国家企业信用信息公示系统中基础信息（体现股东及出资详细信息）的网页截图或由法定的社会验资机构出具的验资报告或注册地工商部门出具的股东出资情况证明复印件。</w:t>
      </w:r>
    </w:p>
    <w:p w14:paraId="57DCF182">
      <w:pPr>
        <w:adjustRightInd w:val="0"/>
        <w:snapToGrid w:val="0"/>
        <w:spacing w:line="480"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法人营业执照副本和组织机构代码证副本、施工资质证书副本、安全生产许可证副本、基本账户开户许可证的复印件应提供全本（证书封面、封底、空白页除外），应包括投标人名称、投标人其他相关信息、颁发机构名称、投标人信息变更情况等关键页在内，并逐页加盖投标人单位章。</w:t>
      </w:r>
    </w:p>
    <w:p w14:paraId="44DCD49E">
      <w:pPr>
        <w:adjustRightInd w:val="0"/>
        <w:snapToGrid w:val="0"/>
        <w:spacing w:line="48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3.5.2</w:t>
      </w:r>
      <w:r>
        <w:rPr>
          <w:rFonts w:hint="eastAsia" w:ascii="宋体" w:hAnsi="宋体" w:cs="宋体"/>
          <w:color w:val="000000" w:themeColor="text1"/>
          <w:sz w:val="24"/>
          <w:highlight w:val="none"/>
          <w14:textFill>
            <w14:solidFill>
              <w14:schemeClr w14:val="tx1"/>
            </w14:solidFill>
          </w14:textFill>
        </w:rPr>
        <w:t>“财务状况表”应附经会计师事务所或审计机构审计的财务会计报表，包括资产负债表、现金流量表、利润表和财务情况说明书的复印件，具体年份要求见投标人须知前附表。投标人的成立时间少于投标人须知前附表规定年份的，应提供成立以来的财务状况表。</w:t>
      </w:r>
    </w:p>
    <w:p w14:paraId="3EC77EE6">
      <w:pPr>
        <w:adjustRightInd w:val="0"/>
        <w:snapToGrid w:val="0"/>
        <w:spacing w:line="480" w:lineRule="exact"/>
        <w:ind w:firstLine="480" w:firstLineChars="200"/>
        <w:rPr>
          <w:rFonts w:hint="eastAsia" w:ascii="宋体" w:hAnsi="宋体" w:cs="宋体"/>
          <w:color w:val="000000" w:themeColor="text1"/>
          <w:sz w:val="24"/>
          <w:szCs w:val="24"/>
          <w:highlight w:val="none"/>
          <w:u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3.5.3“近年</w:t>
      </w:r>
      <w:r>
        <w:rPr>
          <w:rFonts w:hint="eastAsia" w:ascii="宋体" w:hAnsi="宋体"/>
          <w:color w:val="000000" w:themeColor="text1"/>
          <w:sz w:val="24"/>
          <w:highlight w:val="none"/>
          <w:lang w:val="en-US" w:eastAsia="zh-CN"/>
          <w14:textFill>
            <w14:solidFill>
              <w14:schemeClr w14:val="tx1"/>
            </w14:solidFill>
          </w14:textFill>
        </w:rPr>
        <w:t>承接</w:t>
      </w:r>
      <w:r>
        <w:rPr>
          <w:rFonts w:hint="eastAsia" w:ascii="宋体" w:hAnsi="宋体" w:cs="宋体"/>
          <w:color w:val="000000" w:themeColor="text1"/>
          <w:sz w:val="24"/>
          <w:highlight w:val="none"/>
          <w14:textFill>
            <w14:solidFill>
              <w14:schemeClr w14:val="tx1"/>
            </w14:solidFill>
          </w14:textFill>
        </w:rPr>
        <w:t>的类似项目情况表”应是主包</w:t>
      </w:r>
      <w:r>
        <w:rPr>
          <w:rFonts w:hint="eastAsia" w:ascii="宋体" w:hAnsi="宋体" w:cs="宋体"/>
          <w:color w:val="000000" w:themeColor="text1"/>
          <w:sz w:val="24"/>
          <w:highlight w:val="none"/>
          <w:lang w:eastAsia="zh-CN"/>
          <w14:textFill>
            <w14:solidFill>
              <w14:schemeClr w14:val="tx1"/>
            </w14:solidFill>
          </w14:textFill>
        </w:rPr>
        <w:t>承</w:t>
      </w:r>
      <w:r>
        <w:rPr>
          <w:rFonts w:hint="eastAsia" w:ascii="宋体" w:hAnsi="宋体" w:cs="宋体"/>
          <w:color w:val="000000" w:themeColor="text1"/>
          <w:sz w:val="24"/>
          <w:highlight w:val="none"/>
          <w14:textFill>
            <w14:solidFill>
              <w14:schemeClr w14:val="tx1"/>
            </w14:solidFill>
          </w14:textFill>
        </w:rPr>
        <w:t>建业绩或分包</w:t>
      </w:r>
      <w:r>
        <w:rPr>
          <w:rFonts w:hint="eastAsia" w:ascii="宋体" w:hAnsi="宋体" w:cs="宋体"/>
          <w:color w:val="000000" w:themeColor="text1"/>
          <w:sz w:val="24"/>
          <w:highlight w:val="none"/>
          <w:lang w:eastAsia="zh-CN"/>
          <w14:textFill>
            <w14:solidFill>
              <w14:schemeClr w14:val="tx1"/>
            </w14:solidFill>
          </w14:textFill>
        </w:rPr>
        <w:t>承</w:t>
      </w:r>
      <w:r>
        <w:rPr>
          <w:rFonts w:hint="eastAsia" w:ascii="宋体" w:hAnsi="宋体" w:cs="宋体"/>
          <w:color w:val="000000" w:themeColor="text1"/>
          <w:sz w:val="24"/>
          <w:highlight w:val="none"/>
          <w14:textFill>
            <w14:solidFill>
              <w14:schemeClr w14:val="tx1"/>
            </w14:solidFill>
          </w14:textFill>
        </w:rPr>
        <w:t>建业绩</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应附在交通运输部“</w:t>
      </w:r>
      <w:r>
        <w:rPr>
          <w:rFonts w:hint="eastAsia" w:ascii="宋体" w:hAnsi="宋体" w:cs="宋体"/>
          <w:color w:val="000000" w:themeColor="text1"/>
          <w:sz w:val="24"/>
          <w:highlight w:val="none"/>
          <w:lang w:eastAsia="zh-CN"/>
          <w14:textFill>
            <w14:solidFill>
              <w14:schemeClr w14:val="tx1"/>
            </w14:solidFill>
          </w14:textFill>
        </w:rPr>
        <w:t>全国公路建设市场监督管理系统</w:t>
      </w:r>
      <w:r>
        <w:rPr>
          <w:rFonts w:hint="eastAsia" w:ascii="宋体" w:hAnsi="宋体" w:cs="宋体"/>
          <w:color w:val="000000" w:themeColor="text1"/>
          <w:sz w:val="24"/>
          <w:highlight w:val="none"/>
          <w14:textFill>
            <w14:solidFill>
              <w14:schemeClr w14:val="tx1"/>
            </w14:solidFill>
          </w14:textFill>
        </w:rPr>
        <w:t>”（网址：</w:t>
      </w:r>
      <w:r>
        <w:rPr>
          <w:color w:val="000000" w:themeColor="text1"/>
          <w:highlight w:val="none"/>
          <w:u w:val="none"/>
          <w14:textFill>
            <w14:solidFill>
              <w14:schemeClr w14:val="tx1"/>
            </w14:solidFill>
          </w14:textFill>
        </w:rPr>
        <w:fldChar w:fldCharType="begin"/>
      </w:r>
      <w:r>
        <w:rPr>
          <w:color w:val="000000" w:themeColor="text1"/>
          <w:highlight w:val="none"/>
          <w:u w:val="none"/>
          <w14:textFill>
            <w14:solidFill>
              <w14:schemeClr w14:val="tx1"/>
            </w14:solidFill>
          </w14:textFill>
        </w:rPr>
        <w:instrText xml:space="preserve"> HYPERLINK "http://glxy.mot.gov.cn/BM/）中查询到的企业" </w:instrText>
      </w:r>
      <w:r>
        <w:rPr>
          <w:color w:val="000000" w:themeColor="text1"/>
          <w:highlight w:val="none"/>
          <w:u w:val="none"/>
          <w14:textFill>
            <w14:solidFill>
              <w14:schemeClr w14:val="tx1"/>
            </w14:solidFill>
          </w14:textFill>
        </w:rPr>
        <w:fldChar w:fldCharType="separate"/>
      </w:r>
      <w:r>
        <w:rPr>
          <w:rFonts w:hint="eastAsia" w:ascii="宋体" w:hAnsi="宋体" w:eastAsia="宋体" w:cs="宋体"/>
          <w:color w:val="000000" w:themeColor="text1"/>
          <w:sz w:val="24"/>
          <w:highlight w:val="none"/>
          <w:lang w:eastAsia="zh-CN"/>
          <w14:textFill>
            <w14:solidFill>
              <w14:schemeClr w14:val="tx1"/>
            </w14:solidFill>
          </w14:textFill>
        </w:rPr>
        <w:t>https://hwdms.mot.gov.cn/BMWebSite/</w:t>
      </w:r>
      <w:r>
        <w:rPr>
          <w:rFonts w:hint="eastAsia" w:ascii="宋体" w:hAnsi="宋体" w:eastAsia="宋体" w:cs="宋体"/>
          <w:color w:val="000000" w:themeColor="text1"/>
          <w:sz w:val="24"/>
          <w:highlight w:val="none"/>
          <w14:textFill>
            <w14:solidFill>
              <w14:schemeClr w14:val="tx1"/>
            </w14:solidFill>
          </w14:textFill>
        </w:rPr>
        <w:t>）</w:t>
      </w:r>
      <w:r>
        <w:rPr>
          <w:rStyle w:val="50"/>
          <w:rFonts w:hint="eastAsia" w:ascii="宋体" w:hAnsi="宋体" w:cs="宋体"/>
          <w:color w:val="000000" w:themeColor="text1"/>
          <w:sz w:val="24"/>
          <w:szCs w:val="24"/>
          <w:highlight w:val="none"/>
          <w:u w:val="none"/>
          <w14:textFill>
            <w14:solidFill>
              <w14:schemeClr w14:val="tx1"/>
            </w14:solidFill>
          </w14:textFill>
        </w:rPr>
        <w:t>中查询到的企业“业绩信息”相关项目网页截图复印件，即包括“项目名称”“标段类型”“合同价”“主要工程量”“项目主要管理人员”等</w:t>
      </w:r>
      <w:r>
        <w:rPr>
          <w:rStyle w:val="50"/>
          <w:rFonts w:hint="eastAsia" w:ascii="宋体" w:hAnsi="宋体" w:eastAsia="宋体" w:cs="宋体"/>
          <w:color w:val="000000" w:themeColor="text1"/>
          <w:sz w:val="24"/>
          <w:szCs w:val="24"/>
          <w:highlight w:val="none"/>
          <w:u w:val="none"/>
          <w14:textFill>
            <w14:solidFill>
              <w14:schemeClr w14:val="tx1"/>
            </w14:solidFill>
          </w14:textFill>
        </w:rPr>
        <w:t>栏目在内的项目详细信息网页截图复印件。在交通运输部“</w:t>
      </w:r>
      <w:r>
        <w:rPr>
          <w:rFonts w:hint="eastAsia" w:ascii="宋体" w:hAnsi="宋体" w:cs="宋体"/>
          <w:color w:val="000000" w:themeColor="text1"/>
          <w:sz w:val="24"/>
          <w:highlight w:val="none"/>
          <w:lang w:eastAsia="zh-CN"/>
          <w14:textFill>
            <w14:solidFill>
              <w14:schemeClr w14:val="tx1"/>
            </w14:solidFill>
          </w14:textFill>
        </w:rPr>
        <w:t>全国公路建设市场监督管理系统</w:t>
      </w:r>
      <w:r>
        <w:rPr>
          <w:rStyle w:val="50"/>
          <w:rFonts w:hint="eastAsia" w:ascii="宋体" w:hAnsi="宋体" w:eastAsia="宋体" w:cs="宋体"/>
          <w:color w:val="000000" w:themeColor="text1"/>
          <w:sz w:val="24"/>
          <w:szCs w:val="24"/>
          <w:highlight w:val="none"/>
          <w:u w:val="none"/>
          <w14:textFill>
            <w14:solidFill>
              <w14:schemeClr w14:val="tx1"/>
            </w14:solidFill>
          </w14:textFill>
        </w:rPr>
        <w:t>”中无法查询，但可在省级交通运输主管部门“公路建设市场信用信息管理系统”中查询的，应附省级交通运输主管部门“公路建设市场信用信息管理系统”中查询到的网页截图复印件。</w:t>
      </w:r>
      <w:r>
        <w:rPr>
          <w:rFonts w:hint="eastAsia" w:ascii="宋体" w:hAnsi="宋体" w:cs="宋体"/>
          <w:color w:val="000000" w:themeColor="text1"/>
          <w:sz w:val="24"/>
          <w:szCs w:val="24"/>
          <w:highlight w:val="none"/>
          <w:u w:val="none"/>
          <w14:textFill>
            <w14:solidFill>
              <w14:schemeClr w14:val="tx1"/>
            </w14:solidFill>
          </w14:textFill>
        </w:rPr>
        <w:fldChar w:fldCharType="end"/>
      </w:r>
    </w:p>
    <w:p w14:paraId="315C977D">
      <w:pPr>
        <w:adjustRightInd w:val="0"/>
        <w:snapToGrid w:val="0"/>
        <w:spacing w:line="48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3.5.4</w:t>
      </w:r>
      <w:r>
        <w:rPr>
          <w:rFonts w:hint="eastAsia" w:ascii="宋体" w:hAnsi="宋体" w:cs="宋体"/>
          <w:color w:val="000000" w:themeColor="text1"/>
          <w:sz w:val="24"/>
          <w:highlight w:val="none"/>
          <w14:textFill>
            <w14:solidFill>
              <w14:schemeClr w14:val="tx1"/>
            </w14:solidFill>
          </w14:textFill>
        </w:rPr>
        <w:t>“投标人的信誉情况表”应附投标人在国家企业信用信息公示系统中未被列入严重违法失信企业名单、在“信用中国”网站中未被列入失信被执行人名单的网页截图复印件。</w:t>
      </w:r>
    </w:p>
    <w:p w14:paraId="3A9E3A32">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3.5.5</w:t>
      </w:r>
      <w:r>
        <w:rPr>
          <w:rFonts w:hint="eastAsia" w:ascii="宋体" w:hAnsi="宋体" w:cs="宋体"/>
          <w:color w:val="000000" w:themeColor="text1"/>
          <w:sz w:val="24"/>
          <w:highlight w:val="none"/>
          <w14:textFill>
            <w14:solidFill>
              <w14:schemeClr w14:val="tx1"/>
            </w14:solidFill>
          </w14:textFill>
        </w:rPr>
        <w:t>“拟委任的项目经理和项目总工资历表”应附项目经理和项目总工的身份证、职称资格证书以及资格审查条件所要求的其他相关证书（如建造师注册证书、安全生产考核合格证书等）的复印件，建造师注册证书、安全生产考核合格证书在政府相关部门网站上公开信息的网页截图复印件，以及投标人所属社保机构出具的拟委任的项目经理和项目总工的社保缴费证明或其他能够证明拟委任的项目经理和项目总工参加社保的有效证明材料复印件。</w:t>
      </w:r>
    </w:p>
    <w:p w14:paraId="596EC508">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“拟委任的项目经理和项目总工资历表”还应附交通运输部“</w:t>
      </w:r>
      <w:r>
        <w:rPr>
          <w:rFonts w:hint="eastAsia" w:ascii="宋体" w:hAnsi="宋体" w:cs="宋体"/>
          <w:color w:val="000000" w:themeColor="text1"/>
          <w:sz w:val="24"/>
          <w:highlight w:val="none"/>
          <w:lang w:eastAsia="zh-CN"/>
          <w14:textFill>
            <w14:solidFill>
              <w14:schemeClr w14:val="tx1"/>
            </w14:solidFill>
          </w14:textFill>
        </w:rPr>
        <w:t>全国公路建设市场监督管理系统</w:t>
      </w:r>
      <w:r>
        <w:rPr>
          <w:rFonts w:hint="eastAsia" w:ascii="宋体" w:hAnsi="宋体" w:cs="宋体"/>
          <w:color w:val="000000" w:themeColor="text1"/>
          <w:sz w:val="24"/>
          <w:highlight w:val="none"/>
          <w14:textFill>
            <w14:solidFill>
              <w14:schemeClr w14:val="tx1"/>
            </w14:solidFill>
          </w14:textFill>
        </w:rPr>
        <w:t>”中载明的、能够证明项目经理和项目总工具有相关业绩的网页截图复印件。在交通运输部“</w:t>
      </w:r>
      <w:r>
        <w:rPr>
          <w:rFonts w:hint="eastAsia" w:ascii="宋体" w:hAnsi="宋体" w:cs="宋体"/>
          <w:color w:val="000000" w:themeColor="text1"/>
          <w:sz w:val="24"/>
          <w:highlight w:val="none"/>
          <w:lang w:eastAsia="zh-CN"/>
          <w14:textFill>
            <w14:solidFill>
              <w14:schemeClr w14:val="tx1"/>
            </w14:solidFill>
          </w14:textFill>
        </w:rPr>
        <w:t>全国公路建设市场监督管理系统</w:t>
      </w:r>
      <w:r>
        <w:rPr>
          <w:rFonts w:hint="eastAsia" w:ascii="宋体" w:hAnsi="宋体" w:cs="宋体"/>
          <w:color w:val="000000" w:themeColor="text1"/>
          <w:sz w:val="24"/>
          <w:highlight w:val="none"/>
          <w14:textFill>
            <w14:solidFill>
              <w14:schemeClr w14:val="tx1"/>
            </w14:solidFill>
          </w14:textFill>
        </w:rPr>
        <w:t>”中无法查询，但可在省级交通运输主管部门“公路建设市场信用信息管理系统”中查询的，应附省级交通运输主管部门“公路建设市场信用信息管理系统”中查询到的网页截图复印件。除网页截图复印件外，投标人无须再提供任何业绩证明材料。如投标人未提供相关业绩网页截图复印件或相关业绩网页截图的信息无法证实投标人满足招标文件规定的资格审查条件（项目经理或项目总工最低要求），则该业绩不予认定。</w:t>
      </w:r>
    </w:p>
    <w:p w14:paraId="7F9E7B13">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3.5.6</w:t>
      </w:r>
      <w:r>
        <w:rPr>
          <w:rFonts w:hint="eastAsia" w:ascii="宋体" w:hAnsi="宋体" w:cs="宋体"/>
          <w:color w:val="000000" w:themeColor="text1"/>
          <w:sz w:val="24"/>
          <w:highlight w:val="none"/>
          <w14:textFill>
            <w14:solidFill>
              <w14:schemeClr w14:val="tx1"/>
            </w14:solidFill>
          </w14:textFill>
        </w:rPr>
        <w:t>“拟委任的其他管理和技术人员汇总表”（如有）应填报满足投标人须知前附表附录</w:t>
      </w:r>
      <w:r>
        <w:rPr>
          <w:rFonts w:ascii="宋体" w:hAnsi="宋体" w:cs="宋体"/>
          <w:color w:val="000000" w:themeColor="text1"/>
          <w:sz w:val="24"/>
          <w:highlight w:val="none"/>
          <w14:textFill>
            <w14:solidFill>
              <w14:schemeClr w14:val="tx1"/>
            </w14:solidFill>
          </w14:textFill>
        </w:rPr>
        <w:t xml:space="preserve"> 6 </w:t>
      </w:r>
      <w:r>
        <w:rPr>
          <w:rFonts w:hint="eastAsia" w:ascii="宋体" w:hAnsi="宋体" w:cs="宋体"/>
          <w:color w:val="000000" w:themeColor="text1"/>
          <w:sz w:val="24"/>
          <w:highlight w:val="none"/>
          <w14:textFill>
            <w14:solidFill>
              <w14:schemeClr w14:val="tx1"/>
            </w14:solidFill>
          </w14:textFill>
        </w:rPr>
        <w:t>规定的其他人员的相关信息。</w:t>
      </w:r>
      <w:r>
        <w:rPr>
          <w:rFonts w:ascii="宋体" w:hAnsi="宋体" w:cs="宋体"/>
          <w:color w:val="000000" w:themeColor="text1"/>
          <w:sz w:val="24"/>
          <w:highlight w:val="none"/>
          <w14:textFill>
            <w14:solidFill>
              <w14:schemeClr w14:val="tx1"/>
            </w14:solidFill>
          </w14:textFill>
        </w:rPr>
        <w:t xml:space="preserve">                                           </w:t>
      </w:r>
    </w:p>
    <w:p w14:paraId="57131FF1">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3.5.7</w:t>
      </w:r>
      <w:r>
        <w:rPr>
          <w:rFonts w:hint="eastAsia" w:ascii="宋体" w:hAnsi="宋体" w:cs="宋体"/>
          <w:color w:val="000000" w:themeColor="text1"/>
          <w:sz w:val="24"/>
          <w:highlight w:val="none"/>
          <w14:textFill>
            <w14:solidFill>
              <w14:schemeClr w14:val="tx1"/>
            </w14:solidFill>
          </w14:textFill>
        </w:rPr>
        <w:t>“拟投入本标段的主要施工机械表”“拟配备本标段的主要材料试验、测量、质检仪器设备表”（如有）应填报满足投标人须知前附表附录</w:t>
      </w:r>
      <w:r>
        <w:rPr>
          <w:rFonts w:ascii="宋体" w:hAnsi="宋体" w:cs="宋体"/>
          <w:color w:val="000000" w:themeColor="text1"/>
          <w:sz w:val="24"/>
          <w:highlight w:val="none"/>
          <w14:textFill>
            <w14:solidFill>
              <w14:schemeClr w14:val="tx1"/>
            </w14:solidFill>
          </w14:textFill>
        </w:rPr>
        <w:t xml:space="preserve"> 7 </w:t>
      </w:r>
      <w:r>
        <w:rPr>
          <w:rFonts w:hint="eastAsia" w:ascii="宋体" w:hAnsi="宋体" w:cs="宋体"/>
          <w:color w:val="000000" w:themeColor="text1"/>
          <w:sz w:val="24"/>
          <w:highlight w:val="none"/>
          <w14:textFill>
            <w14:solidFill>
              <w14:schemeClr w14:val="tx1"/>
            </w14:solidFill>
          </w14:textFill>
        </w:rPr>
        <w:t>规定的机械设备和试验检测设备。</w:t>
      </w:r>
    </w:p>
    <w:p w14:paraId="216E3C06">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3.5.8</w:t>
      </w:r>
      <w:r>
        <w:rPr>
          <w:rFonts w:hint="eastAsia" w:ascii="宋体" w:hAnsi="宋体" w:cs="宋体"/>
          <w:color w:val="000000" w:themeColor="text1"/>
          <w:sz w:val="24"/>
          <w:highlight w:val="none"/>
          <w14:textFill>
            <w14:solidFill>
              <w14:schemeClr w14:val="tx1"/>
            </w14:solidFill>
          </w14:textFill>
        </w:rPr>
        <w:t>投标人须知前附表规定接受联合体投标的，本章第</w:t>
      </w:r>
      <w:r>
        <w:rPr>
          <w:rFonts w:ascii="宋体" w:hAnsi="宋体" w:cs="宋体"/>
          <w:color w:val="000000" w:themeColor="text1"/>
          <w:sz w:val="24"/>
          <w:highlight w:val="none"/>
          <w14:textFill>
            <w14:solidFill>
              <w14:schemeClr w14:val="tx1"/>
            </w14:solidFill>
          </w14:textFill>
        </w:rPr>
        <w:t xml:space="preserve"> 3.5.1 </w:t>
      </w:r>
      <w:r>
        <w:rPr>
          <w:rFonts w:hint="eastAsia" w:ascii="宋体" w:hAnsi="宋体" w:cs="宋体"/>
          <w:color w:val="000000" w:themeColor="text1"/>
          <w:sz w:val="24"/>
          <w:highlight w:val="none"/>
          <w14:textFill>
            <w14:solidFill>
              <w14:schemeClr w14:val="tx1"/>
            </w14:solidFill>
          </w14:textFill>
        </w:rPr>
        <w:t>项至第</w:t>
      </w:r>
      <w:r>
        <w:rPr>
          <w:rFonts w:ascii="宋体" w:hAnsi="宋体" w:cs="宋体"/>
          <w:color w:val="000000" w:themeColor="text1"/>
          <w:sz w:val="24"/>
          <w:highlight w:val="none"/>
          <w14:textFill>
            <w14:solidFill>
              <w14:schemeClr w14:val="tx1"/>
            </w14:solidFill>
          </w14:textFill>
        </w:rPr>
        <w:t xml:space="preserve"> 3.5.7 </w:t>
      </w:r>
      <w:r>
        <w:rPr>
          <w:rFonts w:hint="eastAsia" w:ascii="宋体" w:hAnsi="宋体" w:cs="宋体"/>
          <w:color w:val="000000" w:themeColor="text1"/>
          <w:sz w:val="24"/>
          <w:highlight w:val="none"/>
          <w14:textFill>
            <w14:solidFill>
              <w14:schemeClr w14:val="tx1"/>
            </w14:solidFill>
          </w14:textFill>
        </w:rPr>
        <w:t>项规定的表格和资料应包括联合体各方相关情况。</w:t>
      </w:r>
    </w:p>
    <w:p w14:paraId="2030A291">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3.5.9</w:t>
      </w:r>
      <w:r>
        <w:rPr>
          <w:rFonts w:hint="eastAsia" w:ascii="宋体" w:hAnsi="宋体" w:cs="宋体"/>
          <w:color w:val="000000" w:themeColor="text1"/>
          <w:sz w:val="24"/>
          <w:highlight w:val="none"/>
          <w14:textFill>
            <w14:solidFill>
              <w14:schemeClr w14:val="tx1"/>
            </w14:solidFill>
          </w14:textFill>
        </w:rPr>
        <w:t>除合同条款约定的特殊情形外，投标人在投标文件中填报的项目经理和项目总工不允许更换。</w:t>
      </w:r>
    </w:p>
    <w:p w14:paraId="29E261C0">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3.5.10</w:t>
      </w:r>
      <w:r>
        <w:rPr>
          <w:rFonts w:hint="eastAsia" w:ascii="宋体" w:hAnsi="宋体" w:cs="宋体"/>
          <w:color w:val="000000" w:themeColor="text1"/>
          <w:sz w:val="24"/>
          <w:highlight w:val="none"/>
          <w14:textFill>
            <w14:solidFill>
              <w14:schemeClr w14:val="tx1"/>
            </w14:solidFill>
          </w14:textFill>
        </w:rPr>
        <w:t>投标人在投标文件中填报的资质、业绩、主要人员资历和目前在岗情况、信用等级等信息，应与其在交通运输主管部门“公路建设市场信用信息管理系统”上填报并发布的相关信息一致。投标人应根据本单位实际情况及时完成相关信息的申报、录入和动态更新，并对相关信息的真实性、完整性和准确性负责。</w:t>
      </w:r>
    </w:p>
    <w:p w14:paraId="1A34D735">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3.5.11</w:t>
      </w:r>
      <w:r>
        <w:rPr>
          <w:rFonts w:hint="eastAsia" w:ascii="宋体" w:hAnsi="宋体" w:cs="宋体"/>
          <w:color w:val="000000" w:themeColor="text1"/>
          <w:sz w:val="24"/>
          <w:highlight w:val="none"/>
          <w14:textFill>
            <w14:solidFill>
              <w14:schemeClr w14:val="tx1"/>
            </w14:solidFill>
          </w14:textFill>
        </w:rPr>
        <w:t>招标人有权核查投标人在资格预审申请文件和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w:t>
      </w:r>
      <w:r>
        <w:rPr>
          <w:rFonts w:ascii="宋体" w:hAnsi="宋体" w:cs="宋体"/>
          <w:color w:val="000000" w:themeColor="text1"/>
          <w:sz w:val="24"/>
          <w:highlight w:val="none"/>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％签约合同价的金额作为违约金。同时招标人将投标人上述弄虚作假行为上报省级交通运输主管部门，作为不良记录纳入公路建设市场信用信息管理系统。</w:t>
      </w:r>
    </w:p>
    <w:p w14:paraId="1823FA73">
      <w:pPr>
        <w:pStyle w:val="72"/>
        <w:spacing w:line="499" w:lineRule="exact"/>
        <w:rPr>
          <w:color w:val="000000" w:themeColor="text1"/>
          <w:highlight w:val="none"/>
          <w14:textFill>
            <w14:solidFill>
              <w14:schemeClr w14:val="tx1"/>
            </w14:solidFill>
          </w14:textFill>
        </w:rPr>
      </w:pPr>
      <w:bookmarkStart w:id="130" w:name="_Toc9310"/>
      <w:bookmarkStart w:id="131" w:name="_Toc7141"/>
      <w:bookmarkStart w:id="132" w:name="_Toc29836"/>
      <w:bookmarkStart w:id="133" w:name="_Toc16547"/>
      <w:r>
        <w:rPr>
          <w:rFonts w:hint="eastAsia"/>
          <w:color w:val="000000" w:themeColor="text1"/>
          <w:highlight w:val="none"/>
          <w14:textFill>
            <w14:solidFill>
              <w14:schemeClr w14:val="tx1"/>
            </w14:solidFill>
          </w14:textFill>
        </w:rPr>
        <w:t>备选投标方案</w:t>
      </w:r>
      <w:bookmarkEnd w:id="130"/>
      <w:bookmarkEnd w:id="131"/>
      <w:bookmarkEnd w:id="132"/>
      <w:bookmarkEnd w:id="133"/>
    </w:p>
    <w:p w14:paraId="2FD0C11A">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3.6.1</w:t>
      </w:r>
      <w:r>
        <w:rPr>
          <w:rFonts w:hint="eastAsia" w:ascii="宋体" w:hAnsi="宋体" w:cs="宋体"/>
          <w:color w:val="000000" w:themeColor="text1"/>
          <w:sz w:val="24"/>
          <w:highlight w:val="none"/>
          <w14:textFill>
            <w14:solidFill>
              <w14:schemeClr w14:val="tx1"/>
            </w14:solidFill>
          </w14:textFill>
        </w:rPr>
        <w:t>除投标人须知前附表规定允许外，投标人不得递交备选投标方案，否则其投标将被否决。</w:t>
      </w:r>
    </w:p>
    <w:p w14:paraId="67217B81">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3.6.2</w:t>
      </w:r>
      <w:r>
        <w:rPr>
          <w:rFonts w:hint="eastAsia" w:ascii="宋体" w:hAnsi="宋体" w:cs="宋体"/>
          <w:color w:val="000000" w:themeColor="text1"/>
          <w:sz w:val="24"/>
          <w:highlight w:val="none"/>
          <w14:textFill>
            <w14:solidFill>
              <w14:schemeClr w14:val="tx1"/>
            </w14:solidFill>
          </w14:textFill>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4182CE78">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3.6.3</w:t>
      </w:r>
      <w:r>
        <w:rPr>
          <w:rFonts w:hint="eastAsia" w:ascii="宋体" w:hAnsi="宋体" w:cs="宋体"/>
          <w:color w:val="000000" w:themeColor="text1"/>
          <w:sz w:val="24"/>
          <w:highlight w:val="none"/>
          <w14:textFill>
            <w14:solidFill>
              <w14:schemeClr w14:val="tx1"/>
            </w14:solidFill>
          </w14:textFill>
        </w:rPr>
        <w:t>投标人提供两个或两个以上投标报价，或在投标文件中提供一个报价，但同时提供两个或两个以上施工组织设计的，视为提供备选方案。</w:t>
      </w:r>
    </w:p>
    <w:p w14:paraId="12A615CA">
      <w:pPr>
        <w:pStyle w:val="72"/>
        <w:spacing w:line="499" w:lineRule="exact"/>
        <w:rPr>
          <w:color w:val="000000" w:themeColor="text1"/>
          <w:highlight w:val="none"/>
          <w14:textFill>
            <w14:solidFill>
              <w14:schemeClr w14:val="tx1"/>
            </w14:solidFill>
          </w14:textFill>
        </w:rPr>
      </w:pPr>
      <w:bookmarkStart w:id="134" w:name="_Toc32152"/>
      <w:bookmarkStart w:id="135" w:name="_Toc14793"/>
      <w:bookmarkStart w:id="136" w:name="_Toc6440"/>
      <w:bookmarkStart w:id="137" w:name="_Toc79"/>
      <w:r>
        <w:rPr>
          <w:rFonts w:hint="eastAsia"/>
          <w:color w:val="000000" w:themeColor="text1"/>
          <w:highlight w:val="none"/>
          <w14:textFill>
            <w14:solidFill>
              <w14:schemeClr w14:val="tx1"/>
            </w14:solidFill>
          </w14:textFill>
        </w:rPr>
        <w:t>投标文件的编制</w:t>
      </w:r>
      <w:bookmarkEnd w:id="134"/>
      <w:bookmarkEnd w:id="135"/>
      <w:bookmarkEnd w:id="136"/>
      <w:bookmarkEnd w:id="137"/>
    </w:p>
    <w:p w14:paraId="72360AB1">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3.7.1</w:t>
      </w:r>
      <w:r>
        <w:rPr>
          <w:rFonts w:hint="eastAsia" w:ascii="宋体" w:hAnsi="宋体" w:cs="宋体"/>
          <w:color w:val="000000" w:themeColor="text1"/>
          <w:sz w:val="24"/>
          <w:highlight w:val="none"/>
          <w14:textFill>
            <w14:solidFill>
              <w14:schemeClr w14:val="tx1"/>
            </w14:solidFill>
          </w14:textFill>
        </w:rPr>
        <w:t>投标文件应按第九章“投标文件格式”进行编写，如有必要，可以增加附页，</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作为投标文件的组成部分。其中，投标函附录在满足招标文件实质性要求的基础上，</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可以提出比招标文件要求更有利于招标人的承诺。</w:t>
      </w:r>
    </w:p>
    <w:p w14:paraId="05D3F4F9">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3.7.2</w:t>
      </w:r>
      <w:r>
        <w:rPr>
          <w:rFonts w:hint="eastAsia" w:ascii="宋体" w:hAnsi="宋体" w:cs="宋体"/>
          <w:color w:val="000000" w:themeColor="text1"/>
          <w:sz w:val="24"/>
          <w:highlight w:val="none"/>
          <w14:textFill>
            <w14:solidFill>
              <w14:schemeClr w14:val="tx1"/>
            </w14:solidFill>
          </w14:textFill>
        </w:rPr>
        <w:t>投标文件应对招标文件有关工期、投标有效期、质量要求、安全目标、技术标准和要求、招标范围等实质性内容作出响应。</w:t>
      </w:r>
    </w:p>
    <w:p w14:paraId="2AF4FD01">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3.7.3</w:t>
      </w:r>
      <w:r>
        <w:rPr>
          <w:rFonts w:hint="eastAsia" w:ascii="宋体" w:hAnsi="宋体" w:cs="宋体"/>
          <w:color w:val="000000" w:themeColor="text1"/>
          <w:sz w:val="24"/>
          <w:highlight w:val="none"/>
          <w14:textFill>
            <w14:solidFill>
              <w14:schemeClr w14:val="tx1"/>
            </w14:solidFill>
          </w14:textFill>
        </w:rPr>
        <w:t>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其中，投标函、调价函及对投标文件的澄清和说明应加盖投标人单位章，或由投标人的法定代表人或其委托代理人签字。</w:t>
      </w:r>
    </w:p>
    <w:p w14:paraId="715FF632">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如果投标文件由委托代理人签署，则投标人须提交授权委托书，授权委托书应按第九章“投标文件格式”的要求出具，并由法定代表人和委托代理人亲笔签名，不得使用印章、签名章或其他电子制版签名代替。</w:t>
      </w:r>
    </w:p>
    <w:p w14:paraId="01AE4597">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如果由投标人的法定代表人亲自签署投标文件，则投标人须提交法定代表人身份证明，身份证明应符合第九章“投标文件格式”的要求。</w:t>
      </w:r>
    </w:p>
    <w:p w14:paraId="127CF8E6">
      <w:pPr>
        <w:adjustRightInd w:val="0"/>
        <w:snapToGrid w:val="0"/>
        <w:spacing w:line="499"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以联合体形式参与投标的，投标文件由联合体牵头人的法定代表人或其委托代理人按上述规定签署并加盖联合体牵头人单位章。法定代表人授权委托书或法定代表人身份证明须由</w:t>
      </w:r>
    </w:p>
    <w:p w14:paraId="27B9FADB">
      <w:pPr>
        <w:adjustRightInd w:val="0"/>
        <w:snapToGrid w:val="0"/>
        <w:spacing w:line="499" w:lineRule="exact"/>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联合体牵头人按上述规定出具。</w:t>
      </w:r>
    </w:p>
    <w:p w14:paraId="21E36A06">
      <w:pPr>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投标文件应尽量避免涂改、行间插字或删除。如果出现上述情况，改动之处应由投标人的法定代表人或其授权的代理人签字或盖单位章。</w:t>
      </w:r>
    </w:p>
    <w:p w14:paraId="531DA7FB">
      <w:pPr>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3.7.4</w:t>
      </w:r>
      <w:r>
        <w:rPr>
          <w:rFonts w:hint="eastAsia" w:ascii="宋体" w:hAnsi="宋体" w:cs="宋体"/>
          <w:color w:val="000000" w:themeColor="text1"/>
          <w:sz w:val="24"/>
          <w:highlight w:val="none"/>
          <w14:textFill>
            <w14:solidFill>
              <w14:schemeClr w14:val="tx1"/>
            </w14:solidFill>
          </w14:textFill>
        </w:rPr>
        <w:t>投标文件正本一份</w:t>
      </w:r>
      <w:r>
        <w:rPr>
          <w:rFonts w:asci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w:t>
      </w:r>
    </w:p>
    <w:p w14:paraId="42A7B7F9">
      <w:pPr>
        <w:adjustRightInd w:val="0"/>
        <w:snapToGrid w:val="0"/>
        <w:spacing w:line="360" w:lineRule="auto"/>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3.7.5</w:t>
      </w:r>
      <w:r>
        <w:rPr>
          <w:rFonts w:hint="eastAsia" w:ascii="宋体" w:hAnsi="宋体" w:cs="宋体"/>
          <w:color w:val="000000" w:themeColor="text1"/>
          <w:sz w:val="24"/>
          <w:highlight w:val="none"/>
          <w14:textFill>
            <w14:solidFill>
              <w14:schemeClr w14:val="tx1"/>
            </w14:solidFill>
          </w14:textFill>
        </w:rPr>
        <w:t>投标文件的正本与副本应分别装订成册（</w:t>
      </w:r>
      <w:r>
        <w:rPr>
          <w:rFonts w:ascii="宋体" w:hAnsi="宋体" w:cs="宋体"/>
          <w:color w:val="000000" w:themeColor="text1"/>
          <w:sz w:val="24"/>
          <w:highlight w:val="none"/>
          <w14:textFill>
            <w14:solidFill>
              <w14:schemeClr w14:val="tx1"/>
            </w14:solidFill>
          </w14:textFill>
        </w:rPr>
        <w:t>A4</w:t>
      </w:r>
      <w:r>
        <w:rPr>
          <w:rFonts w:hint="eastAsia" w:ascii="宋体" w:hAnsi="宋体" w:cs="宋体"/>
          <w:color w:val="000000" w:themeColor="text1"/>
          <w:sz w:val="24"/>
          <w:highlight w:val="none"/>
          <w14:textFill>
            <w14:solidFill>
              <w14:schemeClr w14:val="tx1"/>
            </w14:solidFill>
          </w14:textFill>
        </w:rPr>
        <w:t>纸幅），编制目录并逐页标注连续页码。投标文件不得采用活页夹装订，否则，招标人对由于投标文件装订松散而造成的丢失或其他后果不承担任何责任。装订的其他要求见投标人须知前附表。</w:t>
      </w:r>
    </w:p>
    <w:p w14:paraId="14E90E70">
      <w:pPr>
        <w:pStyle w:val="70"/>
        <w:spacing w:before="156"/>
        <w:rPr>
          <w:color w:val="000000" w:themeColor="text1"/>
          <w:highlight w:val="none"/>
          <w14:textFill>
            <w14:solidFill>
              <w14:schemeClr w14:val="tx1"/>
            </w14:solidFill>
          </w14:textFill>
        </w:rPr>
      </w:pPr>
      <w:bookmarkStart w:id="138" w:name="_Toc5372"/>
      <w:r>
        <w:rPr>
          <w:rFonts w:hint="eastAsia"/>
          <w:color w:val="000000" w:themeColor="text1"/>
          <w:highlight w:val="none"/>
          <w14:textFill>
            <w14:solidFill>
              <w14:schemeClr w14:val="tx1"/>
            </w14:solidFill>
          </w14:textFill>
        </w:rPr>
        <w:t>投标</w:t>
      </w:r>
      <w:bookmarkEnd w:id="138"/>
    </w:p>
    <w:p w14:paraId="097EDF15">
      <w:pPr>
        <w:pStyle w:val="72"/>
        <w:rPr>
          <w:color w:val="000000" w:themeColor="text1"/>
          <w:highlight w:val="none"/>
          <w14:textFill>
            <w14:solidFill>
              <w14:schemeClr w14:val="tx1"/>
            </w14:solidFill>
          </w14:textFill>
        </w:rPr>
      </w:pPr>
      <w:bookmarkStart w:id="139" w:name="_Toc846"/>
      <w:bookmarkEnd w:id="139"/>
      <w:bookmarkStart w:id="140" w:name="_Toc7543"/>
      <w:bookmarkEnd w:id="140"/>
      <w:bookmarkStart w:id="141" w:name="_Toc19238"/>
      <w:r>
        <w:rPr>
          <w:rFonts w:hint="eastAsia"/>
          <w:color w:val="000000" w:themeColor="text1"/>
          <w:highlight w:val="none"/>
          <w14:textFill>
            <w14:solidFill>
              <w14:schemeClr w14:val="tx1"/>
            </w14:solidFill>
          </w14:textFill>
        </w:rPr>
        <w:t>投标文件的密封和标识</w:t>
      </w:r>
      <w:bookmarkEnd w:id="141"/>
    </w:p>
    <w:p w14:paraId="72DFB044">
      <w:pPr>
        <w:pStyle w:val="60"/>
        <w:spacing w:line="360" w:lineRule="auto"/>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若采用双信封形式，第 4.1.1 项和第 4.1.2 项采用以下条款：</w:t>
      </w:r>
    </w:p>
    <w:p w14:paraId="65833196">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4.1.1投标文件应采用双信封形式密封。投标文件第一个信封（商务及技术文件） 以及第二个信封（报价文件）应单独密封包装。商务及技术文件的正本与副本应统一密封在一个封套中。报价文件的正本与副本、投标文件电子版文件（如需要）以及填写完毕的工程量固化清单电子文件（如采用工程量固化清单形式）应统一密封在另一个封套中。封套应加贴封条，并在封套的封口处加盖投标人单位章或由投标人的法定代表人或其委托代理人签字。</w:t>
      </w:r>
    </w:p>
    <w:p w14:paraId="754F5A7F">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采用银行保函形式提交投标保证金的，银行保函原件应密封在单独的封套中。</w:t>
      </w:r>
    </w:p>
    <w:p w14:paraId="3FAE493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4.1.2投标文件第一个信封（商务及技术文件）、第二个信封（报价文件）以及银行保函封套上应写明的内容见投标人须知前附表。</w:t>
      </w:r>
    </w:p>
    <w:p w14:paraId="55D185BF">
      <w:pPr>
        <w:pStyle w:val="60"/>
        <w:spacing w:line="360" w:lineRule="auto"/>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若采用单信封形式，第 4.1.1 项和第 4.1.2 项采用以下条款：</w:t>
      </w:r>
    </w:p>
    <w:p w14:paraId="0FC6B4C3">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投标文件应采用单信封形式密封。投标文件的正本与副本、投标文件电子版文件（如需要）以及填写完毕的工程量固化清单电子文件（如采用工程量固化清单形式）应统一密封在一个封套中。封套应加贴封条，并在封套的封口处加盖投标人单位章或由投标人的法定代表人或其委托代理人签字。</w:t>
      </w:r>
    </w:p>
    <w:p w14:paraId="00BCD448">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采用银行保函形式提交投标保证金的，银行保函原件应密封在单独的封套中。</w:t>
      </w:r>
    </w:p>
    <w:p w14:paraId="4F0C1AD2">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4.1.2投标文件以及银行保函封套上应写明的内容见投标人须知前附表。</w:t>
      </w:r>
    </w:p>
    <w:p w14:paraId="6433F55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4.1.3未按本章第 4.1.1 项要求密封的投标文件，招标人将予以拒收。</w:t>
      </w:r>
    </w:p>
    <w:p w14:paraId="2577D3DF">
      <w:pPr>
        <w:pStyle w:val="72"/>
        <w:rPr>
          <w:color w:val="000000" w:themeColor="text1"/>
          <w:highlight w:val="none"/>
          <w14:textFill>
            <w14:solidFill>
              <w14:schemeClr w14:val="tx1"/>
            </w14:solidFill>
          </w14:textFill>
        </w:rPr>
      </w:pPr>
      <w:bookmarkStart w:id="142" w:name="_Toc26267"/>
      <w:bookmarkEnd w:id="142"/>
      <w:bookmarkStart w:id="143" w:name="_Toc15836"/>
      <w:bookmarkEnd w:id="143"/>
      <w:bookmarkStart w:id="144" w:name="_Toc17157"/>
      <w:r>
        <w:rPr>
          <w:rFonts w:hint="eastAsia"/>
          <w:color w:val="000000" w:themeColor="text1"/>
          <w:highlight w:val="none"/>
          <w14:textFill>
            <w14:solidFill>
              <w14:schemeClr w14:val="tx1"/>
            </w14:solidFill>
          </w14:textFill>
        </w:rPr>
        <w:t>投标文件的递交</w:t>
      </w:r>
      <w:bookmarkEnd w:id="144"/>
    </w:p>
    <w:p w14:paraId="2ACDF3C7">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4.2.1投标人应在第一章“招标公告”或“投标邀请书”规定的投标截止时间前递交投标文件。</w:t>
      </w:r>
    </w:p>
    <w:p w14:paraId="4517F25D">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4.2.2投标人递交投标文件的地点：见第一章“招标公告”或“投标邀请书”。</w:t>
      </w:r>
    </w:p>
    <w:p w14:paraId="6B4CC1B2">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4.2.3除投标人须知前附表另有规定外，投标人所递交的投标文件不予退还。投标人少于 3 个的，投标文件当场退还给投标人。</w:t>
      </w:r>
    </w:p>
    <w:p w14:paraId="5C7EDFB1">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4.2.4招标人收到投标文件后，向投标人出具签收凭证。</w:t>
      </w:r>
    </w:p>
    <w:p w14:paraId="4028320B">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4.2.5逾期送达的或未送达指定地点的投标文件，招标人将予以拒收。</w:t>
      </w:r>
    </w:p>
    <w:p w14:paraId="35A0443C">
      <w:pPr>
        <w:pStyle w:val="72"/>
        <w:rPr>
          <w:color w:val="000000" w:themeColor="text1"/>
          <w:highlight w:val="none"/>
          <w14:textFill>
            <w14:solidFill>
              <w14:schemeClr w14:val="tx1"/>
            </w14:solidFill>
          </w14:textFill>
        </w:rPr>
      </w:pPr>
      <w:bookmarkStart w:id="145" w:name="_Toc4348"/>
      <w:bookmarkEnd w:id="145"/>
      <w:bookmarkStart w:id="146" w:name="_Toc21683"/>
      <w:bookmarkEnd w:id="146"/>
      <w:bookmarkStart w:id="147" w:name="_Toc26497"/>
      <w:r>
        <w:rPr>
          <w:rFonts w:hint="eastAsia"/>
          <w:color w:val="000000" w:themeColor="text1"/>
          <w:highlight w:val="none"/>
          <w14:textFill>
            <w14:solidFill>
              <w14:schemeClr w14:val="tx1"/>
            </w14:solidFill>
          </w14:textFill>
        </w:rPr>
        <w:t>投标文件的修改与撤回</w:t>
      </w:r>
      <w:bookmarkEnd w:id="147"/>
    </w:p>
    <w:p w14:paraId="7B91FF9D">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4.3.1在本章第 4.2.1 项规定的投标截止时间前，投标人可以修改或撤回已递交的投标文件，但应以书面形式通知招标人。</w:t>
      </w:r>
    </w:p>
    <w:p w14:paraId="5A1578C9">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4.3.2投标人修改或撤回已递交投标文件的书面通知应按照本章第3.7.3 项的要求签字或盖章。招标人收到书面通知后，向投标人出具签收凭证。</w:t>
      </w:r>
    </w:p>
    <w:p w14:paraId="344E1E77">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4.3.3投标人撤回投标文件的，招标人自收到投标人书面撤回通知之日起 5 日内退还已收取的投标保证金。</w:t>
      </w:r>
    </w:p>
    <w:p w14:paraId="7092D93C">
      <w:pPr>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4.3.4修改的内容为投标文件的组成部分。修改的投标文件应按照本章第 3 条、第 4 条的规定进行编制、密封、标记和递交，并标明“修改”字样。</w:t>
      </w:r>
    </w:p>
    <w:p w14:paraId="08650B3A">
      <w:pPr>
        <w:pStyle w:val="70"/>
        <w:spacing w:before="156"/>
        <w:rPr>
          <w:color w:val="000000" w:themeColor="text1"/>
          <w:highlight w:val="none"/>
          <w14:textFill>
            <w14:solidFill>
              <w14:schemeClr w14:val="tx1"/>
            </w14:solidFill>
          </w14:textFill>
        </w:rPr>
      </w:pPr>
      <w:bookmarkStart w:id="148" w:name="_Toc19606"/>
      <w:bookmarkEnd w:id="148"/>
      <w:bookmarkStart w:id="149" w:name="_Toc24477"/>
      <w:bookmarkEnd w:id="149"/>
      <w:bookmarkStart w:id="150" w:name="_Toc1076"/>
      <w:r>
        <w:rPr>
          <w:rFonts w:hint="eastAsia"/>
          <w:color w:val="000000" w:themeColor="text1"/>
          <w:highlight w:val="none"/>
          <w14:textFill>
            <w14:solidFill>
              <w14:schemeClr w14:val="tx1"/>
            </w14:solidFill>
          </w14:textFill>
        </w:rPr>
        <w:t>开标</w:t>
      </w:r>
      <w:bookmarkEnd w:id="150"/>
    </w:p>
    <w:p w14:paraId="4E989D8F">
      <w:pPr>
        <w:pStyle w:val="16"/>
        <w:spacing w:before="1"/>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若采用双信封形式，第 5.1 款采用以下条款：</w:t>
      </w:r>
    </w:p>
    <w:p w14:paraId="0A99FD03">
      <w:pPr>
        <w:pStyle w:val="72"/>
        <w:numPr>
          <w:ilvl w:val="0"/>
          <w:numId w:val="0"/>
        </w:numPr>
        <w:spacing w:line="360" w:lineRule="auto"/>
        <w:rPr>
          <w:color w:val="000000" w:themeColor="text1"/>
          <w:highlight w:val="none"/>
          <w14:textFill>
            <w14:solidFill>
              <w14:schemeClr w14:val="tx1"/>
            </w14:solidFill>
          </w14:textFill>
        </w:rPr>
      </w:pPr>
      <w:bookmarkStart w:id="151" w:name="_bookmark61"/>
      <w:bookmarkEnd w:id="151"/>
      <w:bookmarkStart w:id="152" w:name="_Toc16362"/>
      <w:bookmarkEnd w:id="152"/>
      <w:bookmarkStart w:id="153" w:name="_Toc11481"/>
      <w:bookmarkEnd w:id="153"/>
      <w:bookmarkStart w:id="154" w:name="_Toc17499"/>
      <w:r>
        <w:rPr>
          <w:rFonts w:hint="eastAsia"/>
          <w:color w:val="000000" w:themeColor="text1"/>
          <w:highlight w:val="none"/>
          <w14:textFill>
            <w14:solidFill>
              <w14:schemeClr w14:val="tx1"/>
            </w14:solidFill>
          </w14:textFill>
        </w:rPr>
        <w:t>5.1 开标时间和地点</w:t>
      </w:r>
      <w:bookmarkEnd w:id="154"/>
    </w:p>
    <w:p w14:paraId="00A4AB4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招标人在本章第 4.2.1 项规定的投标截止时间（开标时间）和投标人须知前附表</w:t>
      </w:r>
      <w:r>
        <w:rPr>
          <w:rFonts w:hint="eastAsia" w:ascii="宋体" w:hAnsi="宋体" w:cs="宋体"/>
          <w:color w:val="000000" w:themeColor="text1"/>
          <w:spacing w:val="-2"/>
          <w:highlight w:val="none"/>
          <w14:textFill>
            <w14:solidFill>
              <w14:schemeClr w14:val="tx1"/>
            </w14:solidFill>
          </w14:textFill>
        </w:rPr>
        <w:t>规定的地点对</w:t>
      </w:r>
      <w:r>
        <w:rPr>
          <w:rFonts w:hint="eastAsia" w:ascii="宋体" w:hAnsi="宋体" w:cs="宋体"/>
          <w:color w:val="000000" w:themeColor="text1"/>
          <w:highlight w:val="none"/>
          <w14:textFill>
            <w14:solidFill>
              <w14:schemeClr w14:val="tx1"/>
            </w14:solidFill>
          </w14:textFill>
        </w:rPr>
        <w:t>收到</w:t>
      </w:r>
      <w:r>
        <w:rPr>
          <w:rFonts w:hint="eastAsia" w:ascii="宋体" w:hAnsi="宋体" w:cs="宋体"/>
          <w:color w:val="000000" w:themeColor="text1"/>
          <w:spacing w:val="-2"/>
          <w:highlight w:val="none"/>
          <w14:textFill>
            <w14:solidFill>
              <w14:schemeClr w14:val="tx1"/>
            </w14:solidFill>
          </w14:textFill>
        </w:rPr>
        <w:t>的投标文件</w:t>
      </w:r>
      <w:r>
        <w:rPr>
          <w:rFonts w:hint="eastAsia" w:ascii="宋体" w:hAnsi="宋体" w:cs="宋体"/>
          <w:color w:val="000000" w:themeColor="text1"/>
          <w:highlight w:val="none"/>
          <w14:textFill>
            <w14:solidFill>
              <w14:schemeClr w14:val="tx1"/>
            </w14:solidFill>
          </w14:textFill>
        </w:rPr>
        <w:t>第一</w:t>
      </w:r>
      <w:r>
        <w:rPr>
          <w:rFonts w:hint="eastAsia" w:ascii="宋体" w:hAnsi="宋体" w:cs="宋体"/>
          <w:color w:val="000000" w:themeColor="text1"/>
          <w:spacing w:val="-2"/>
          <w:highlight w:val="none"/>
          <w14:textFill>
            <w14:solidFill>
              <w14:schemeClr w14:val="tx1"/>
            </w14:solidFill>
          </w14:textFill>
        </w:rPr>
        <w:t>个信封</w:t>
      </w:r>
      <w:r>
        <w:rPr>
          <w:rFonts w:hint="eastAsia" w:ascii="宋体" w:hAnsi="宋体" w:cs="宋体"/>
          <w:color w:val="000000" w:themeColor="text1"/>
          <w:highlight w:val="none"/>
          <w14:textFill>
            <w14:solidFill>
              <w14:schemeClr w14:val="tx1"/>
            </w14:solidFill>
          </w14:textFill>
        </w:rPr>
        <w:t>（商务及技术文件</w:t>
      </w:r>
      <w:r>
        <w:rPr>
          <w:rFonts w:hint="eastAsia" w:ascii="宋体" w:hAnsi="宋体" w:cs="宋体"/>
          <w:color w:val="000000" w:themeColor="text1"/>
          <w:spacing w:val="-32"/>
          <w:highlight w:val="none"/>
          <w14:textFill>
            <w14:solidFill>
              <w14:schemeClr w14:val="tx1"/>
            </w14:solidFill>
          </w14:textFill>
        </w:rPr>
        <w:t>）</w:t>
      </w:r>
      <w:r>
        <w:rPr>
          <w:rFonts w:hint="eastAsia" w:ascii="宋体" w:hAnsi="宋体" w:cs="宋体"/>
          <w:color w:val="000000" w:themeColor="text1"/>
          <w:spacing w:val="-6"/>
          <w:highlight w:val="none"/>
          <w14:textFill>
            <w14:solidFill>
              <w14:schemeClr w14:val="tx1"/>
            </w14:solidFill>
          </w14:textFill>
        </w:rPr>
        <w:t>公开开标，并邀请所有投标人的法定代表人或其委托代理人准时</w:t>
      </w:r>
      <w:r>
        <w:rPr>
          <w:rFonts w:hint="eastAsia" w:ascii="宋体" w:hAnsi="宋体" w:cs="宋体"/>
          <w:color w:val="000000" w:themeColor="text1"/>
          <w:highlight w:val="none"/>
          <w14:textFill>
            <w14:solidFill>
              <w14:schemeClr w14:val="tx1"/>
            </w14:solidFill>
          </w14:textFill>
        </w:rPr>
        <w:t>参加</w:t>
      </w:r>
      <w:r>
        <w:rPr>
          <w:rFonts w:hint="eastAsia" w:ascii="宋体" w:hAnsi="宋体" w:cs="宋体"/>
          <w:color w:val="000000" w:themeColor="text1"/>
          <w:spacing w:val="-6"/>
          <w:highlight w:val="none"/>
          <w14:textFill>
            <w14:solidFill>
              <w14:schemeClr w14:val="tx1"/>
            </w14:solidFill>
          </w14:textFill>
        </w:rPr>
        <w:t>。</w:t>
      </w:r>
    </w:p>
    <w:p w14:paraId="4355299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招标人在投标人须知前附表规定的时间和地点对投标文件第二个信封（报价文件）公开开标，并邀请所有投标人的法定代表人或其委托代理人准时参加。</w:t>
      </w:r>
    </w:p>
    <w:p w14:paraId="2420E676">
      <w:pPr>
        <w:pStyle w:val="60"/>
        <w:spacing w:line="360" w:lineRule="auto"/>
        <w:ind w:firstLine="464"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pacing w:val="-4"/>
          <w:highlight w:val="none"/>
          <w14:textFill>
            <w14:solidFill>
              <w14:schemeClr w14:val="tx1"/>
            </w14:solidFill>
          </w14:textFill>
        </w:rPr>
        <w:t>投标人若未派</w:t>
      </w:r>
      <w:r>
        <w:rPr>
          <w:rFonts w:hint="eastAsia" w:ascii="宋体" w:hAnsi="宋体" w:cs="宋体"/>
          <w:color w:val="000000" w:themeColor="text1"/>
          <w:highlight w:val="none"/>
          <w14:textFill>
            <w14:solidFill>
              <w14:schemeClr w14:val="tx1"/>
            </w14:solidFill>
          </w14:textFill>
        </w:rPr>
        <w:t>法定代表人</w:t>
      </w:r>
      <w:r>
        <w:rPr>
          <w:rFonts w:hint="eastAsia" w:ascii="宋体" w:hAnsi="宋体" w:cs="宋体"/>
          <w:color w:val="000000" w:themeColor="text1"/>
          <w:spacing w:val="-4"/>
          <w:highlight w:val="none"/>
          <w14:textFill>
            <w14:solidFill>
              <w14:schemeClr w14:val="tx1"/>
            </w14:solidFill>
          </w14:textFill>
        </w:rPr>
        <w:t>或委托代理人出席开标活动，视为该投标人默认开标结果。</w:t>
      </w:r>
    </w:p>
    <w:p w14:paraId="3FD2E41B">
      <w:pPr>
        <w:adjustRightInd w:val="0"/>
        <w:snapToGrid w:val="0"/>
        <w:spacing w:line="360" w:lineRule="auto"/>
        <w:ind w:firstLine="482" w:firstLineChars="200"/>
        <w:rPr>
          <w:rFonts w:ascii="宋体" w:hAnsi="宋体" w:cs="宋体"/>
          <w:b/>
          <w:bCs/>
          <w:color w:val="000000" w:themeColor="text1"/>
          <w:sz w:val="24"/>
          <w:highlight w:val="none"/>
          <w14:textFill>
            <w14:solidFill>
              <w14:schemeClr w14:val="tx1"/>
            </w14:solidFill>
          </w14:textFill>
        </w:rPr>
      </w:pPr>
    </w:p>
    <w:p w14:paraId="6571380A">
      <w:pPr>
        <w:adjustRightInd w:val="0"/>
        <w:snapToGrid w:val="0"/>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若采用单信封形式，第 5.1 款采用以下条款：</w:t>
      </w:r>
    </w:p>
    <w:p w14:paraId="010F82A5">
      <w:pPr>
        <w:pStyle w:val="72"/>
        <w:numPr>
          <w:ilvl w:val="0"/>
          <w:numId w:val="0"/>
        </w:numPr>
        <w:spacing w:line="360" w:lineRule="auto"/>
        <w:rPr>
          <w:color w:val="000000" w:themeColor="text1"/>
          <w:highlight w:val="none"/>
          <w14:textFill>
            <w14:solidFill>
              <w14:schemeClr w14:val="tx1"/>
            </w14:solidFill>
          </w14:textFill>
        </w:rPr>
      </w:pPr>
      <w:bookmarkStart w:id="155" w:name="_bookmark62"/>
      <w:bookmarkEnd w:id="155"/>
      <w:bookmarkStart w:id="156" w:name="_Toc29307"/>
      <w:bookmarkEnd w:id="156"/>
      <w:bookmarkStart w:id="157" w:name="_Toc25702"/>
      <w:bookmarkEnd w:id="157"/>
      <w:bookmarkStart w:id="158" w:name="_Toc25365"/>
      <w:r>
        <w:rPr>
          <w:rFonts w:hint="eastAsia"/>
          <w:color w:val="000000" w:themeColor="text1"/>
          <w:highlight w:val="none"/>
          <w14:textFill>
            <w14:solidFill>
              <w14:schemeClr w14:val="tx1"/>
            </w14:solidFill>
          </w14:textFill>
        </w:rPr>
        <w:t>5.1 开标时间和地点</w:t>
      </w:r>
      <w:bookmarkEnd w:id="158"/>
    </w:p>
    <w:p w14:paraId="131A809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招标人在本章第 4.2.1 项规定的投标截止时间（开标时间）和投标人须知前附表规定的地点公开开标，并邀请所有投标人的法定代表人或其委托代理人准时参加。</w:t>
      </w:r>
    </w:p>
    <w:p w14:paraId="062EA9A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投标人若未派法定代表人</w:t>
      </w:r>
      <w:r>
        <w:rPr>
          <w:rFonts w:hint="eastAsia" w:ascii="宋体" w:hAnsi="宋体" w:cs="宋体"/>
          <w:color w:val="000000" w:themeColor="text1"/>
          <w:spacing w:val="-4"/>
          <w:highlight w:val="none"/>
          <w14:textFill>
            <w14:solidFill>
              <w14:schemeClr w14:val="tx1"/>
            </w14:solidFill>
          </w14:textFill>
        </w:rPr>
        <w:t>或委托代理人出席开标活动，视为该投标人默认开标结果。</w:t>
      </w:r>
    </w:p>
    <w:p w14:paraId="4B70F412">
      <w:pPr>
        <w:adjustRightInd w:val="0"/>
        <w:snapToGrid w:val="0"/>
        <w:spacing w:line="360" w:lineRule="auto"/>
        <w:ind w:firstLine="482" w:firstLineChars="200"/>
        <w:rPr>
          <w:rFonts w:ascii="宋体" w:hAnsi="宋体" w:cs="宋体"/>
          <w:b/>
          <w:bCs/>
          <w:color w:val="000000" w:themeColor="text1"/>
          <w:sz w:val="24"/>
          <w:highlight w:val="none"/>
          <w14:textFill>
            <w14:solidFill>
              <w14:schemeClr w14:val="tx1"/>
            </w14:solidFill>
          </w14:textFill>
        </w:rPr>
      </w:pPr>
    </w:p>
    <w:p w14:paraId="1E7FEA77">
      <w:pPr>
        <w:adjustRightInd w:val="0"/>
        <w:snapToGrid w:val="0"/>
        <w:spacing w:line="360" w:lineRule="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若采用双信封形式，第 5.2 款采用以下条款：</w:t>
      </w:r>
    </w:p>
    <w:p w14:paraId="0A72B112">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59" w:name="_Toc20358"/>
      <w:bookmarkEnd w:id="159"/>
      <w:bookmarkStart w:id="160" w:name="_bookmark63"/>
      <w:bookmarkEnd w:id="160"/>
      <w:bookmarkStart w:id="161" w:name="_Toc3383"/>
      <w:bookmarkEnd w:id="161"/>
      <w:bookmarkStart w:id="162" w:name="_Toc17285"/>
      <w:r>
        <w:rPr>
          <w:rFonts w:hint="eastAsia" w:ascii="宋体" w:hAnsi="宋体" w:cs="宋体"/>
          <w:color w:val="000000" w:themeColor="text1"/>
          <w:highlight w:val="none"/>
          <w14:textFill>
            <w14:solidFill>
              <w14:schemeClr w14:val="tx1"/>
            </w14:solidFill>
          </w14:textFill>
        </w:rPr>
        <w:t>5.2 开标程序</w:t>
      </w:r>
      <w:bookmarkEnd w:id="162"/>
    </w:p>
    <w:p w14:paraId="06B91D9C">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5.2.1 主持人按下列程序对投标文件第一个信封（商务及技术文件）进行开标：</w:t>
      </w:r>
    </w:p>
    <w:p w14:paraId="6001F69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（1）宣布开标纪律；</w:t>
      </w:r>
    </w:p>
    <w:p w14:paraId="6806DCD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（2）公布在投标截止时间前递交投标文件的投标人数量；</w:t>
      </w:r>
    </w:p>
    <w:p w14:paraId="6B13942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（3）宣布开标人、唱标人、记录人等有关人员姓名；</w:t>
      </w:r>
    </w:p>
    <w:p w14:paraId="096B550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（4）按照投标人须知前附表规定由投标人推选的代表检查投标文件的密封情况；</w:t>
      </w:r>
    </w:p>
    <w:p w14:paraId="79120A0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（5）按照投标人须知前附表规定的开标顺序当众开标，公布标段名称、投标人名称、投标保证金的递交情况、工期及其他内容，并记录在案；</w:t>
      </w:r>
    </w:p>
    <w:p w14:paraId="77D4BDF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（6）投标人代表、招标人代表、记录人等有关人员在开标记录上签字确认；</w:t>
      </w:r>
    </w:p>
    <w:p w14:paraId="1E6241F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（7）开标结束。</w:t>
      </w:r>
    </w:p>
    <w:p w14:paraId="7379952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5.2.2 在投标文件第一个信封（商务及技术文件）开标现场，投标文件第二个信封（报价文件）不予开封，由招标人密封保存。</w:t>
      </w:r>
    </w:p>
    <w:p w14:paraId="6815C03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5.2.3 招标人将按照本章第 5.1 款规定的时间和地点对投标文件第二个信封（报价文件）进行开标。主持人按下列程序进行开标：</w:t>
      </w:r>
    </w:p>
    <w:p w14:paraId="348F1E5C">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（1）宣布开标纪律；</w:t>
      </w:r>
    </w:p>
    <w:p w14:paraId="745A065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（2）当众拆开投标文件第一个信封（商务及技术文件）评审结果的密封袋，宣布通过投标文件第一个信封（商务及技术文件）评审的投标人名单；</w:t>
      </w:r>
    </w:p>
    <w:p w14:paraId="1A06AA7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（3）宣布开标人、唱标人、记录人等有关人员姓名；</w:t>
      </w:r>
    </w:p>
    <w:p w14:paraId="76E76C9C">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（4）按照投标人须知前附表规定由投标人推选的代表检查投标文件的密封情况；</w:t>
      </w:r>
    </w:p>
    <w:p w14:paraId="71C5660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按照投标人须知前附表规定的开标顺序当众开标，开标人只拆封通过投标文件第一个信封（商务及技术文件）评审的投标文件第二个信封（报价文件），公布标段名称、投标人名称、投标报价及其他内容，并记录在案；</w:t>
      </w:r>
    </w:p>
    <w:p w14:paraId="68BEEC1C">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（6）计算并宣布评标基准价；</w:t>
      </w:r>
    </w:p>
    <w:p w14:paraId="6E9EAB2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（7）将未通过投标文件第一个信封（商务及技术文件）评审的投标文件第二个信封（报价文件）退还给投标人；</w:t>
      </w:r>
    </w:p>
    <w:p w14:paraId="2970675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（8）投标人代表、招标人代表、记录人等有关人员在开标记录上签字确认；</w:t>
      </w:r>
    </w:p>
    <w:p w14:paraId="7440DD9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（9）开标结束。</w:t>
      </w:r>
    </w:p>
    <w:p w14:paraId="00F709B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5.2.4 若采用合理低价法或综合评分法，在投标文件第二个信封（报价文件）开标现场，招标人将按第三章“评标办法”规定的原则计算并宣布评标基准价。若招标人发现投标文件出现以下任一情况，其投标报价将不再参加评标基准价的计算：</w:t>
      </w:r>
    </w:p>
    <w:p w14:paraId="00E53109">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（1）未在投标函上填写投标总价；</w:t>
      </w:r>
    </w:p>
    <w:p w14:paraId="27EA5AB9">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（2）投标报价或调价函中的报价超出招标人公布的最高投标限价（如有）；</w:t>
      </w:r>
    </w:p>
    <w:p w14:paraId="6C51318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（3）投标报价或调价函中报价的大写金额无法确定具体数值；</w:t>
      </w:r>
    </w:p>
    <w:p w14:paraId="5A01DC8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（4）投标函上填写的标段号与投标文件封套上标记的标段号不一致。</w:t>
      </w:r>
    </w:p>
    <w:p w14:paraId="74C971F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028D25A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5.2.5 在投标文件第一个信封（商务及技术文件）或第二个信封（报价文件）开标过程中，若招标人宣读的内容与投标文件不符，投标人有权在开标现场提出疑问， </w:t>
      </w:r>
      <w:r>
        <w:rPr>
          <w:rFonts w:hint="eastAsia" w:ascii="宋体" w:hAnsi="宋体" w:cs="宋体"/>
          <w:color w:val="000000" w:themeColor="text1"/>
          <w:spacing w:val="-7"/>
          <w:highlight w:val="none"/>
          <w14:textFill>
            <w14:solidFill>
              <w14:schemeClr w14:val="tx1"/>
            </w14:solidFill>
          </w14:textFill>
        </w:rPr>
        <w:t>经招标人当场核查确认之后，可</w:t>
      </w:r>
      <w:r>
        <w:rPr>
          <w:rFonts w:hint="eastAsia" w:ascii="宋体" w:hAnsi="宋体" w:cs="宋体"/>
          <w:color w:val="000000" w:themeColor="text1"/>
          <w:highlight w:val="none"/>
          <w14:textFill>
            <w14:solidFill>
              <w14:schemeClr w14:val="tx1"/>
            </w14:solidFill>
          </w14:textFill>
        </w:rPr>
        <w:t>重新</w:t>
      </w:r>
      <w:r>
        <w:rPr>
          <w:rFonts w:hint="eastAsia" w:ascii="宋体" w:hAnsi="宋体" w:cs="宋体"/>
          <w:color w:val="000000" w:themeColor="text1"/>
          <w:spacing w:val="-7"/>
          <w:highlight w:val="none"/>
          <w14:textFill>
            <w14:solidFill>
              <w14:schemeClr w14:val="tx1"/>
            </w14:solidFill>
          </w14:textFill>
        </w:rPr>
        <w:t>宣读其投标文件。若投标人现场未提出疑问，则</w:t>
      </w:r>
      <w:r>
        <w:rPr>
          <w:rFonts w:hint="eastAsia" w:ascii="宋体" w:hAnsi="宋体" w:cs="宋体"/>
          <w:color w:val="000000" w:themeColor="text1"/>
          <w:highlight w:val="none"/>
          <w14:textFill>
            <w14:solidFill>
              <w14:schemeClr w14:val="tx1"/>
            </w14:solidFill>
          </w14:textFill>
        </w:rPr>
        <w:t>认为投标人已确认招标人宣读的内容。</w:t>
      </w:r>
    </w:p>
    <w:p w14:paraId="25533573">
      <w:pPr>
        <w:pStyle w:val="16"/>
        <w:spacing w:line="307" w:lineRule="exact"/>
        <w:ind w:left="849"/>
        <w:rPr>
          <w:rFonts w:ascii="宋体" w:hAnsi="宋体" w:cs="宋体"/>
          <w:b/>
          <w:bCs/>
          <w:color w:val="000000" w:themeColor="text1"/>
          <w:sz w:val="24"/>
          <w:highlight w:val="none"/>
          <w14:textFill>
            <w14:solidFill>
              <w14:schemeClr w14:val="tx1"/>
            </w14:solidFill>
          </w14:textFill>
        </w:rPr>
      </w:pPr>
    </w:p>
    <w:p w14:paraId="5F358244">
      <w:pPr>
        <w:pStyle w:val="16"/>
        <w:spacing w:line="307"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若采用单信封形式，第 5.2 款采用以下条款：</w:t>
      </w:r>
    </w:p>
    <w:p w14:paraId="0A05D95B">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63" w:name="_Toc19648"/>
      <w:bookmarkEnd w:id="163"/>
      <w:bookmarkStart w:id="164" w:name="_Toc23268"/>
      <w:bookmarkEnd w:id="164"/>
      <w:bookmarkStart w:id="165" w:name="_bookmark64"/>
      <w:bookmarkEnd w:id="165"/>
      <w:bookmarkStart w:id="166" w:name="_Toc7629"/>
      <w:r>
        <w:rPr>
          <w:rFonts w:hint="eastAsia" w:ascii="宋体" w:hAnsi="宋体" w:cs="宋体"/>
          <w:color w:val="000000" w:themeColor="text1"/>
          <w:highlight w:val="none"/>
          <w14:textFill>
            <w14:solidFill>
              <w14:schemeClr w14:val="tx1"/>
            </w14:solidFill>
          </w14:textFill>
        </w:rPr>
        <w:t>5.2 开标程序</w:t>
      </w:r>
      <w:bookmarkEnd w:id="166"/>
    </w:p>
    <w:p w14:paraId="73A33FC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5.2.1 主持人按下列程序进行开标：</w:t>
      </w:r>
    </w:p>
    <w:p w14:paraId="6AC48D49">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（1）宣布开标纪律；</w:t>
      </w:r>
    </w:p>
    <w:p w14:paraId="2CE6493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（2）公布在投标截止时间前递交投标文件的投标人数量；</w:t>
      </w:r>
    </w:p>
    <w:p w14:paraId="557D8AC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（3）宣布开标人、唱标人、记录人等有关人员姓名；</w:t>
      </w:r>
    </w:p>
    <w:p w14:paraId="4E7F140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（4）按照投标人须知前附表规定由投标人推选的代表检查投标文件的密封情况；</w:t>
      </w:r>
    </w:p>
    <w:p w14:paraId="3952B4A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（5）按照投标人须知前附表规定的开标顺序当众开标，公布标段名称、投标人名称、投标保证金的递交情况、投标报价、工期及其他内容，并记录在案；</w:t>
      </w:r>
    </w:p>
    <w:p w14:paraId="2E40C05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（6）计算并宣布评标基准价；</w:t>
      </w:r>
    </w:p>
    <w:p w14:paraId="28822D7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（7）投标人代表、招标人代表、记录人等有关人员在开标记录上签字确认；</w:t>
      </w:r>
    </w:p>
    <w:p w14:paraId="312CDBD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（8）开标结束。</w:t>
      </w:r>
    </w:p>
    <w:p w14:paraId="61EE3FC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5.2.2 若采用合理低价法或综合评分法，在开标现场，招标人将按第三章“评标办法”规定的原则计算并宣布评标基准价。若招标人发现投标文件出现以下任一情况， 其投标报价将不再参加评标基准价的计算：</w:t>
      </w:r>
    </w:p>
    <w:p w14:paraId="336D100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（1）未在投标函上填写投标总价；</w:t>
      </w:r>
    </w:p>
    <w:p w14:paraId="1BD97BA5">
      <w:pPr>
        <w:pStyle w:val="60"/>
        <w:spacing w:line="360" w:lineRule="auto"/>
        <w:ind w:firstLine="476"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pacing w:val="-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2）投标报价或调价函中的报价超出招标人公布的最高投标限价（如有</w:t>
      </w:r>
      <w:r>
        <w:rPr>
          <w:rFonts w:hint="eastAsia" w:ascii="宋体" w:hAnsi="宋体" w:cs="宋体"/>
          <w:color w:val="000000" w:themeColor="text1"/>
          <w:spacing w:val="-120"/>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p>
    <w:p w14:paraId="6660307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（3）投标报价或调价函中报价的大写金额无法确定具体数值；</w:t>
      </w:r>
    </w:p>
    <w:p w14:paraId="2AAF61E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（4）投标函上填写的标段号与投标文件封套上标记的标段号不一致。</w:t>
      </w:r>
    </w:p>
    <w:p w14:paraId="672C83E1">
      <w:pPr>
        <w:pStyle w:val="60"/>
        <w:spacing w:line="360" w:lineRule="auto"/>
        <w:ind w:firstLine="46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pacing w:val="-5"/>
          <w:highlight w:val="none"/>
          <w14:textFill>
            <w14:solidFill>
              <w14:schemeClr w14:val="tx1"/>
            </w14:solidFill>
          </w14:textFill>
        </w:rPr>
        <w:t>如果投标人认为某一标段的评标基准价计算有误，有权在开标现场提出，经招标</w:t>
      </w:r>
      <w:r>
        <w:rPr>
          <w:rFonts w:hint="eastAsia" w:ascii="宋体" w:hAnsi="宋体" w:cs="宋体"/>
          <w:color w:val="000000" w:themeColor="text1"/>
          <w:spacing w:val="-12"/>
          <w:highlight w:val="none"/>
          <w14:textFill>
            <w14:solidFill>
              <w14:schemeClr w14:val="tx1"/>
            </w14:solidFill>
          </w14:textFill>
        </w:rPr>
        <w:t>人当场核实确认之后，可</w:t>
      </w:r>
      <w:r>
        <w:rPr>
          <w:rFonts w:hint="eastAsia" w:ascii="宋体" w:hAnsi="宋体" w:cs="宋体"/>
          <w:color w:val="000000" w:themeColor="text1"/>
          <w:highlight w:val="none"/>
          <w14:textFill>
            <w14:solidFill>
              <w14:schemeClr w14:val="tx1"/>
            </w14:solidFill>
          </w14:textFill>
        </w:rPr>
        <w:t>重新</w:t>
      </w:r>
      <w:r>
        <w:rPr>
          <w:rFonts w:hint="eastAsia" w:ascii="宋体" w:hAnsi="宋体" w:cs="宋体"/>
          <w:color w:val="000000" w:themeColor="text1"/>
          <w:spacing w:val="-12"/>
          <w:highlight w:val="none"/>
          <w14:textFill>
            <w14:solidFill>
              <w14:schemeClr w14:val="tx1"/>
            </w14:solidFill>
          </w14:textFill>
        </w:rPr>
        <w:t>宣布评标基准价。开标现场宣布的评标基准价除计算有误经评标委员会修正外，在整个评标期间保持不变，不随任何因素发生变化。</w:t>
      </w:r>
    </w:p>
    <w:p w14:paraId="1D57F74B">
      <w:pPr>
        <w:pStyle w:val="60"/>
        <w:spacing w:line="360" w:lineRule="auto"/>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5.2.3 若</w:t>
      </w:r>
      <w:r>
        <w:rPr>
          <w:color w:val="000000" w:themeColor="text1"/>
          <w:highlight w:val="none"/>
          <w14:textFill>
            <w14:solidFill>
              <w14:schemeClr w14:val="tx1"/>
            </w14:solidFill>
          </w14:textFill>
        </w:rPr>
        <w:t>招标人宣读的内容与投标文件不符，投标人有权在开标现场提出疑问，</w:t>
      </w:r>
      <w:r>
        <w:rPr>
          <w:color w:val="000000" w:themeColor="text1"/>
          <w:spacing w:val="-7"/>
          <w:highlight w:val="none"/>
          <w14:textFill>
            <w14:solidFill>
              <w14:schemeClr w14:val="tx1"/>
            </w14:solidFill>
          </w14:textFill>
        </w:rPr>
        <w:t>经招标人当场核查确认之后，可重新宣读其投标文件。若投标人现场未提出疑问，则</w:t>
      </w:r>
      <w:r>
        <w:rPr>
          <w:color w:val="000000" w:themeColor="text1"/>
          <w:highlight w:val="none"/>
          <w14:textFill>
            <w14:solidFill>
              <w14:schemeClr w14:val="tx1"/>
            </w14:solidFill>
          </w14:textFill>
        </w:rPr>
        <w:t>认为投标人已确认招标人宣读的内容。</w:t>
      </w:r>
    </w:p>
    <w:p w14:paraId="76F8BCBE">
      <w:pPr>
        <w:pStyle w:val="60"/>
        <w:spacing w:line="360" w:lineRule="auto"/>
        <w:ind w:firstLine="482" w:firstLineChars="200"/>
        <w:rPr>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5.3 开标异议</w:t>
      </w:r>
    </w:p>
    <w:p w14:paraId="3BE62862">
      <w:pPr>
        <w:pStyle w:val="60"/>
        <w:spacing w:line="360" w:lineRule="auto"/>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投标人对开标有异议的，应在开标现场提出，招标人当场作出答复，并制作记录，有异议的投标人代表、招标人代表、记录人等有关人员在记录上签字确认。</w:t>
      </w:r>
    </w:p>
    <w:p w14:paraId="56350478">
      <w:pPr>
        <w:pStyle w:val="70"/>
        <w:spacing w:before="156"/>
        <w:rPr>
          <w:color w:val="000000" w:themeColor="text1"/>
          <w:highlight w:val="none"/>
          <w14:textFill>
            <w14:solidFill>
              <w14:schemeClr w14:val="tx1"/>
            </w14:solidFill>
          </w14:textFill>
        </w:rPr>
      </w:pPr>
      <w:bookmarkStart w:id="167" w:name="_Toc14516"/>
      <w:bookmarkEnd w:id="167"/>
      <w:bookmarkStart w:id="168" w:name="_Toc32113"/>
      <w:bookmarkEnd w:id="168"/>
      <w:bookmarkStart w:id="169" w:name="_Toc18400"/>
      <w:r>
        <w:rPr>
          <w:rFonts w:hint="eastAsia"/>
          <w:color w:val="000000" w:themeColor="text1"/>
          <w:highlight w:val="none"/>
          <w14:textFill>
            <w14:solidFill>
              <w14:schemeClr w14:val="tx1"/>
            </w14:solidFill>
          </w14:textFill>
        </w:rPr>
        <w:t>评标</w:t>
      </w:r>
      <w:bookmarkEnd w:id="169"/>
    </w:p>
    <w:p w14:paraId="431C7829">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70" w:name="_Toc494"/>
      <w:bookmarkEnd w:id="170"/>
      <w:bookmarkStart w:id="171" w:name="_Toc11570"/>
      <w:bookmarkEnd w:id="171"/>
      <w:bookmarkStart w:id="172" w:name="_Toc23512"/>
      <w:r>
        <w:rPr>
          <w:rFonts w:hint="eastAsia" w:ascii="宋体" w:hAnsi="宋体" w:cs="宋体"/>
          <w:color w:val="000000" w:themeColor="text1"/>
          <w:highlight w:val="none"/>
          <w14:textFill>
            <w14:solidFill>
              <w14:schemeClr w14:val="tx1"/>
            </w14:solidFill>
          </w14:textFill>
        </w:rPr>
        <w:t>6.1 评标委员会</w:t>
      </w:r>
      <w:bookmarkEnd w:id="172"/>
    </w:p>
    <w:p w14:paraId="4F716BA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6.1.1 评标由招标人依法组建的评标委员会负责。评标委员会由招标人或其委托的招标代理机构熟悉相关业务的代表，以及有关技术、经济等方面专家组成。评标委员会成员人数以及技术、经济等方面专家的确定方式见投标人须知前附表。</w:t>
      </w:r>
    </w:p>
    <w:p w14:paraId="1827F8D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6.1.2 评标委员会成员有下列情形之一的，应当回避：</w:t>
      </w:r>
    </w:p>
    <w:p w14:paraId="02A2A64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（1）为负责招标项目监督管理的交通运输主管部门的工作人员；</w:t>
      </w:r>
    </w:p>
    <w:p w14:paraId="05EF069A">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（2）与投标人法定代表人或其委托代理人有近亲属关系；</w:t>
      </w:r>
    </w:p>
    <w:p w14:paraId="24D20B0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（3）为投标人的工作人员或退休人员；</w:t>
      </w:r>
    </w:p>
    <w:p w14:paraId="5FB729A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（4）与投标人有其他利害关系，可能影响评标活动公正性；</w:t>
      </w:r>
    </w:p>
    <w:p w14:paraId="5FC450A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（5）在与招标投标有关的活动中有过违法违规行为、曾受过行政处罚或刑事处罚。</w:t>
      </w:r>
    </w:p>
    <w:p w14:paraId="77E4A628">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6.1.3评标过程中，评标委员会成员有回避事由、擅离职守或因健康等原因不能继续评标的，招标人有权更换。被更换的评标委员会成员作出的评审结论无效，由更换后的评标委员会成员重新进行评审。</w:t>
      </w:r>
    </w:p>
    <w:p w14:paraId="5C2A3A45">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73" w:name="_Toc16027"/>
      <w:bookmarkEnd w:id="173"/>
      <w:bookmarkStart w:id="174" w:name="_Toc16826"/>
      <w:bookmarkEnd w:id="174"/>
      <w:bookmarkStart w:id="175" w:name="_Toc29326"/>
      <w:r>
        <w:rPr>
          <w:rFonts w:hint="eastAsia" w:ascii="宋体" w:hAnsi="宋体" w:cs="宋体"/>
          <w:color w:val="000000" w:themeColor="text1"/>
          <w:highlight w:val="none"/>
          <w14:textFill>
            <w14:solidFill>
              <w14:schemeClr w14:val="tx1"/>
            </w14:solidFill>
          </w14:textFill>
        </w:rPr>
        <w:t>6.2 评标原则</w:t>
      </w:r>
      <w:bookmarkEnd w:id="175"/>
    </w:p>
    <w:p w14:paraId="6C5AEF4D">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评标活动遵循公平、公正、科学和择优的原则。</w:t>
      </w:r>
    </w:p>
    <w:p w14:paraId="2554EDA1">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76" w:name="_Toc13218"/>
      <w:bookmarkEnd w:id="176"/>
      <w:bookmarkStart w:id="177" w:name="_Toc10176"/>
      <w:bookmarkEnd w:id="177"/>
      <w:bookmarkStart w:id="178" w:name="_Toc23296"/>
      <w:r>
        <w:rPr>
          <w:rFonts w:hint="eastAsia" w:ascii="宋体" w:hAnsi="宋体" w:cs="宋体"/>
          <w:color w:val="000000" w:themeColor="text1"/>
          <w:highlight w:val="none"/>
          <w14:textFill>
            <w14:solidFill>
              <w14:schemeClr w14:val="tx1"/>
            </w14:solidFill>
          </w14:textFill>
        </w:rPr>
        <w:t>6.3 评标</w:t>
      </w:r>
      <w:bookmarkEnd w:id="178"/>
    </w:p>
    <w:p w14:paraId="5036F6D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6.3.1评标委员会按照第三章“评标办法”规定的方法、评审因素、标准和程序对投标文件进行评审。第三章“评标办法”没有规定的方法、评审因素和标准，不作为评标依据。</w:t>
      </w:r>
    </w:p>
    <w:p w14:paraId="512D6A1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6.3.2评标完成后，评标委员会应向招标人提交书面评标报告和中标候选人名单。评标委员会推荐中标候选人的人数见投标人须知前附表。</w:t>
      </w:r>
    </w:p>
    <w:p w14:paraId="45671CDC">
      <w:pPr>
        <w:pStyle w:val="70"/>
        <w:spacing w:before="156"/>
        <w:rPr>
          <w:color w:val="000000" w:themeColor="text1"/>
          <w:highlight w:val="none"/>
          <w14:textFill>
            <w14:solidFill>
              <w14:schemeClr w14:val="tx1"/>
            </w14:solidFill>
          </w14:textFill>
        </w:rPr>
      </w:pPr>
      <w:bookmarkStart w:id="179" w:name="_Toc14072"/>
      <w:bookmarkEnd w:id="179"/>
      <w:bookmarkStart w:id="180" w:name="_Toc7643"/>
      <w:bookmarkEnd w:id="180"/>
      <w:bookmarkStart w:id="181" w:name="_Toc28316"/>
      <w:r>
        <w:rPr>
          <w:rFonts w:hint="eastAsia"/>
          <w:color w:val="000000" w:themeColor="text1"/>
          <w:highlight w:val="none"/>
          <w14:textFill>
            <w14:solidFill>
              <w14:schemeClr w14:val="tx1"/>
            </w14:solidFill>
          </w14:textFill>
        </w:rPr>
        <w:t>合同授予</w:t>
      </w:r>
      <w:bookmarkEnd w:id="181"/>
    </w:p>
    <w:p w14:paraId="7129C60B">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82" w:name="_Toc11047"/>
      <w:bookmarkEnd w:id="182"/>
      <w:bookmarkStart w:id="183" w:name="_Toc14770"/>
      <w:bookmarkEnd w:id="183"/>
      <w:bookmarkStart w:id="184" w:name="_Toc5348"/>
      <w:r>
        <w:rPr>
          <w:rFonts w:hint="eastAsia" w:ascii="宋体" w:hAnsi="宋体" w:cs="宋体"/>
          <w:color w:val="000000" w:themeColor="text1"/>
          <w:highlight w:val="none"/>
          <w14:textFill>
            <w14:solidFill>
              <w14:schemeClr w14:val="tx1"/>
            </w14:solidFill>
          </w14:textFill>
        </w:rPr>
        <w:t>7.1中标候选人公示</w:t>
      </w:r>
      <w:bookmarkEnd w:id="184"/>
    </w:p>
    <w:p w14:paraId="3564C2FE">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招标人在收到评标报告之日起 3 日内，按照投标人须知前附表规定的公示媒介和期限公示中标候选人，公示期不得少于 3 日，公示内容包括：</w:t>
      </w:r>
    </w:p>
    <w:p w14:paraId="1A13389B">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（1）中标候选人排序、名称、投标报价，对工程质量要求、安全目标和工期的响应情况；</w:t>
      </w:r>
    </w:p>
    <w:p w14:paraId="00EB628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（2）中标候选人在投标文件中承诺的项目经理和项目总工姓名、个人业绩、相关证书名称和编号；</w:t>
      </w:r>
    </w:p>
    <w:p w14:paraId="5C91F93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（3）中标候选人在投标文件中填报的项目业绩；</w:t>
      </w:r>
    </w:p>
    <w:p w14:paraId="2ED5658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（4）被否决投标的投标人名称、否决依据和原因；</w:t>
      </w:r>
    </w:p>
    <w:p w14:paraId="778F61A8">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（5）提出异议的渠道和方式；</w:t>
      </w:r>
    </w:p>
    <w:p w14:paraId="115C09A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（6）投标人须知前附表规定公示的其他内容。</w:t>
      </w:r>
    </w:p>
    <w:p w14:paraId="6C673E1A">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85" w:name="_Toc18347"/>
      <w:bookmarkEnd w:id="185"/>
      <w:bookmarkStart w:id="186" w:name="_Toc9144"/>
      <w:bookmarkEnd w:id="186"/>
      <w:bookmarkStart w:id="187" w:name="_Toc26343"/>
      <w:r>
        <w:rPr>
          <w:rFonts w:hint="eastAsia" w:ascii="宋体" w:hAnsi="宋体" w:cs="宋体"/>
          <w:color w:val="000000" w:themeColor="text1"/>
          <w:highlight w:val="none"/>
          <w14:textFill>
            <w14:solidFill>
              <w14:schemeClr w14:val="tx1"/>
            </w14:solidFill>
          </w14:textFill>
        </w:rPr>
        <w:t>7.2评标结果异议</w:t>
      </w:r>
      <w:bookmarkEnd w:id="187"/>
    </w:p>
    <w:p w14:paraId="0BB1AA46">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投标人或其他利害关系人对依法必须进行招标的项目的评标结果有异议的，应在中标候选人公示期间提出。招标人将在收到异议之日起 3 日内作出答复；作出答复前， 将暂停招标投标活动。</w:t>
      </w:r>
    </w:p>
    <w:p w14:paraId="78EF666E">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88" w:name="_Toc2966"/>
      <w:bookmarkEnd w:id="188"/>
      <w:bookmarkStart w:id="189" w:name="_Toc9592"/>
      <w:bookmarkEnd w:id="189"/>
      <w:bookmarkStart w:id="190" w:name="_Toc10683"/>
      <w:r>
        <w:rPr>
          <w:rFonts w:hint="eastAsia" w:ascii="宋体" w:hAnsi="宋体" w:cs="宋体"/>
          <w:color w:val="000000" w:themeColor="text1"/>
          <w:highlight w:val="none"/>
          <w14:textFill>
            <w14:solidFill>
              <w14:schemeClr w14:val="tx1"/>
            </w14:solidFill>
          </w14:textFill>
        </w:rPr>
        <w:t>7.3中标候选人履约能力审查</w:t>
      </w:r>
      <w:bookmarkEnd w:id="190"/>
    </w:p>
    <w:p w14:paraId="4842BCF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中标候选人的经营、财务状况发生较大变化或存在违法行为，招标人认为可能影响其履约能力的，将在发出中标通知书前提请原评标委员会按照招标文件规定的标准和方法进行审查确认。</w:t>
      </w:r>
    </w:p>
    <w:p w14:paraId="0A416C00">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91" w:name="_Toc11384"/>
      <w:bookmarkEnd w:id="191"/>
      <w:bookmarkStart w:id="192" w:name="_Toc12376"/>
      <w:bookmarkEnd w:id="192"/>
      <w:bookmarkStart w:id="193" w:name="_Toc24658"/>
      <w:r>
        <w:rPr>
          <w:rFonts w:hint="eastAsia" w:ascii="宋体" w:hAnsi="宋体" w:cs="宋体"/>
          <w:color w:val="000000" w:themeColor="text1"/>
          <w:highlight w:val="none"/>
          <w14:textFill>
            <w14:solidFill>
              <w14:schemeClr w14:val="tx1"/>
            </w14:solidFill>
          </w14:textFill>
        </w:rPr>
        <w:t>7.4定标</w:t>
      </w:r>
      <w:bookmarkEnd w:id="193"/>
    </w:p>
    <w:p w14:paraId="42C09894">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按照投标人须知前附表的规定，招标人或招标人授权的评标委员会依法确定中标人。</w:t>
      </w:r>
    </w:p>
    <w:p w14:paraId="4604AE16">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94" w:name="_Toc12433"/>
      <w:bookmarkEnd w:id="194"/>
      <w:bookmarkStart w:id="195" w:name="_Toc6352"/>
      <w:bookmarkEnd w:id="195"/>
      <w:bookmarkStart w:id="196" w:name="_Toc578"/>
      <w:r>
        <w:rPr>
          <w:rFonts w:hint="eastAsia" w:ascii="宋体" w:hAnsi="宋体" w:cs="宋体"/>
          <w:color w:val="000000" w:themeColor="text1"/>
          <w:highlight w:val="none"/>
          <w14:textFill>
            <w14:solidFill>
              <w14:schemeClr w14:val="tx1"/>
            </w14:solidFill>
          </w14:textFill>
        </w:rPr>
        <w:t>7.5中标通知</w:t>
      </w:r>
      <w:bookmarkEnd w:id="196"/>
    </w:p>
    <w:p w14:paraId="072C7AAF">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在本章第 3.3 款规定的投标有效期内，招标人以投标人须知前附表规定的形式向中标人发出中标通知书，同时将中标结果通知未中标的投标人。</w:t>
      </w:r>
    </w:p>
    <w:p w14:paraId="6E22B5A2">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197" w:name="_Toc25675"/>
      <w:bookmarkEnd w:id="197"/>
      <w:bookmarkStart w:id="198" w:name="_Toc7550"/>
      <w:bookmarkEnd w:id="198"/>
      <w:bookmarkStart w:id="199" w:name="_Toc17032"/>
      <w:r>
        <w:rPr>
          <w:rFonts w:hint="eastAsia" w:ascii="宋体" w:hAnsi="宋体" w:cs="宋体"/>
          <w:color w:val="000000" w:themeColor="text1"/>
          <w:highlight w:val="none"/>
          <w14:textFill>
            <w14:solidFill>
              <w14:schemeClr w14:val="tx1"/>
            </w14:solidFill>
          </w14:textFill>
        </w:rPr>
        <w:t>7.6中标结果公告</w:t>
      </w:r>
      <w:bookmarkEnd w:id="199"/>
    </w:p>
    <w:p w14:paraId="1545D7E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招标人在确定中标人之日起 3 日内，按照投标人须知前附表规定的公告媒介和期限公告中标结果，公告期不得少于 3 日。公告内容包括中标人名称、中标价。</w:t>
      </w:r>
    </w:p>
    <w:p w14:paraId="0511A061">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00" w:name="_Toc20034"/>
      <w:bookmarkEnd w:id="200"/>
      <w:bookmarkStart w:id="201" w:name="_Toc10013"/>
      <w:bookmarkEnd w:id="201"/>
      <w:bookmarkStart w:id="202" w:name="_Toc27115"/>
      <w:r>
        <w:rPr>
          <w:rFonts w:hint="eastAsia" w:ascii="宋体" w:hAnsi="宋体" w:cs="宋体"/>
          <w:color w:val="000000" w:themeColor="text1"/>
          <w:highlight w:val="none"/>
          <w14:textFill>
            <w14:solidFill>
              <w14:schemeClr w14:val="tx1"/>
            </w14:solidFill>
          </w14:textFill>
        </w:rPr>
        <w:t>7.7履约保证金</w:t>
      </w:r>
      <w:bookmarkEnd w:id="202"/>
    </w:p>
    <w:p w14:paraId="4B5A003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7.7.1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%。联合体中标的，其履约保证金以联合体各方或联合体中牵头人的名义提交。</w:t>
      </w:r>
    </w:p>
    <w:p w14:paraId="15D74FA0">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采用银行保函时，应由符合投标人须知前附表规定级别的银行开具，所需的费用由中标人承担，中标人应保证银行保函有效。</w:t>
      </w:r>
    </w:p>
    <w:p w14:paraId="70D21221">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7.7.2中标人不能按本章第 7.7.1 项要求提交履约保证金的，视为放弃中标，其投标保证金不予退还，给招标人造成的损失超过投标保证金数额的，中标人还应对超过部分予以赔偿。</w:t>
      </w:r>
    </w:p>
    <w:p w14:paraId="1FF1EABF">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03" w:name="_Toc27583"/>
      <w:bookmarkEnd w:id="203"/>
      <w:bookmarkStart w:id="204" w:name="_Toc4886"/>
      <w:bookmarkEnd w:id="204"/>
      <w:bookmarkStart w:id="205" w:name="_Toc27604"/>
      <w:r>
        <w:rPr>
          <w:rFonts w:hint="eastAsia" w:ascii="宋体" w:hAnsi="宋体" w:cs="宋体"/>
          <w:color w:val="000000" w:themeColor="text1"/>
          <w:highlight w:val="none"/>
          <w14:textFill>
            <w14:solidFill>
              <w14:schemeClr w14:val="tx1"/>
            </w14:solidFill>
          </w14:textFill>
        </w:rPr>
        <w:t>7.8签订合同</w:t>
      </w:r>
      <w:bookmarkEnd w:id="205"/>
    </w:p>
    <w:p w14:paraId="66C1942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7.8.1招标人和中标人应在中标通知书发出之日起 30 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6AFFB263">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7.8.2发出中标通知书后，招标人无正当理由拒签合同，或在签订合同时向中标人提出附加条件的，招标人向中标人退还投标保证金；给中标人造成损失的，还应赔偿损失。</w:t>
      </w:r>
    </w:p>
    <w:p w14:paraId="4071FC45">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7.8.3签约合同价的确定原则如下：</w:t>
      </w:r>
    </w:p>
    <w:p w14:paraId="51A7A6F7">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（1）按照评标办法规定对投标报价进行修正后，若修正后的最终投标报价小于开标时的投标函大写金额报价，则签订合同时以修正后的最终投标报价为准；</w:t>
      </w:r>
    </w:p>
    <w:p w14:paraId="01D244B9">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（2）按照评标办法规定对投标报价进行修正后，若修正后的最终投标报价大于开标时的投标函大写金额报价，则签订合同时以开标时的投标函大写金额报价为准，同时按比例修正相应子目的单价或合价。</w:t>
      </w:r>
    </w:p>
    <w:p w14:paraId="61AA7E92">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7.8.4联合体中标的，联合体各方应共同与招标人签订合同，就中标项目向招标人承担连带责任。</w:t>
      </w:r>
    </w:p>
    <w:p w14:paraId="59C7B6D8">
      <w:pPr>
        <w:pStyle w:val="60"/>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7.8.5招标人和中标人在签订合同协议书的同时，须按照本招标文件规定的格式和要求签订廉政合同及安全生产合同，明确双方在廉政建设和安全生产方面的权利和义务以及应承担的违约责任。</w:t>
      </w:r>
    </w:p>
    <w:p w14:paraId="0E10B2E7">
      <w:pPr>
        <w:pStyle w:val="70"/>
        <w:spacing w:before="156"/>
        <w:rPr>
          <w:color w:val="000000" w:themeColor="text1"/>
          <w:highlight w:val="none"/>
          <w14:textFill>
            <w14:solidFill>
              <w14:schemeClr w14:val="tx1"/>
            </w14:solidFill>
          </w14:textFill>
        </w:rPr>
      </w:pPr>
      <w:bookmarkStart w:id="206" w:name="_Toc32608"/>
      <w:bookmarkEnd w:id="206"/>
      <w:bookmarkStart w:id="207" w:name="_Toc1683"/>
      <w:bookmarkEnd w:id="207"/>
      <w:bookmarkStart w:id="208" w:name="_Toc11215"/>
      <w:r>
        <w:rPr>
          <w:rFonts w:hint="eastAsia"/>
          <w:color w:val="000000" w:themeColor="text1"/>
          <w:highlight w:val="none"/>
          <w14:textFill>
            <w14:solidFill>
              <w14:schemeClr w14:val="tx1"/>
            </w14:solidFill>
          </w14:textFill>
        </w:rPr>
        <w:t>纪律和监督</w:t>
      </w:r>
      <w:bookmarkEnd w:id="208"/>
    </w:p>
    <w:p w14:paraId="25564351">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09" w:name="_Toc18388"/>
      <w:bookmarkEnd w:id="209"/>
      <w:bookmarkStart w:id="210" w:name="_Toc19942"/>
      <w:bookmarkEnd w:id="210"/>
      <w:bookmarkStart w:id="211" w:name="_Toc20711"/>
      <w:r>
        <w:rPr>
          <w:rFonts w:hint="eastAsia" w:ascii="宋体" w:hAnsi="宋体" w:cs="宋体"/>
          <w:color w:val="000000" w:themeColor="text1"/>
          <w:highlight w:val="none"/>
          <w14:textFill>
            <w14:solidFill>
              <w14:schemeClr w14:val="tx1"/>
            </w14:solidFill>
          </w14:textFill>
        </w:rPr>
        <w:t>8.1对招标人的纪律要求</w:t>
      </w:r>
      <w:bookmarkEnd w:id="211"/>
    </w:p>
    <w:p w14:paraId="1D66B30F">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招标人不得泄露招标投标活动中应保密的情况和资料，不得与投标人串通损害国家利益、社会公共利益或他人合法权益。</w:t>
      </w:r>
    </w:p>
    <w:p w14:paraId="29059C1A">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12" w:name="_Toc7432"/>
      <w:bookmarkEnd w:id="212"/>
      <w:bookmarkStart w:id="213" w:name="_Toc11030"/>
      <w:bookmarkEnd w:id="213"/>
      <w:bookmarkStart w:id="214" w:name="_Toc20471"/>
      <w:r>
        <w:rPr>
          <w:rFonts w:hint="eastAsia" w:ascii="宋体" w:hAnsi="宋体" w:cs="宋体"/>
          <w:color w:val="000000" w:themeColor="text1"/>
          <w:highlight w:val="none"/>
          <w14:textFill>
            <w14:solidFill>
              <w14:schemeClr w14:val="tx1"/>
            </w14:solidFill>
          </w14:textFill>
        </w:rPr>
        <w:t>8.2对投标人的纪律要求</w:t>
      </w:r>
      <w:bookmarkEnd w:id="214"/>
    </w:p>
    <w:p w14:paraId="5971FDD5">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投标人不得相互串通投标或与招标人串通投标，不得向招标人或评标委员会成员行贿谋取中标，不得以他人名义投标或以其他方式弄虚作假骗取中标；投标人不得以任何方式干扰、影响评标工作。</w:t>
      </w:r>
    </w:p>
    <w:p w14:paraId="13595A86">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15" w:name="_Toc15026"/>
      <w:bookmarkEnd w:id="215"/>
      <w:bookmarkStart w:id="216" w:name="_Toc23985"/>
      <w:bookmarkEnd w:id="216"/>
      <w:bookmarkStart w:id="217" w:name="_Toc28532"/>
      <w:r>
        <w:rPr>
          <w:rFonts w:hint="eastAsia" w:ascii="宋体" w:hAnsi="宋体" w:cs="宋体"/>
          <w:color w:val="000000" w:themeColor="text1"/>
          <w:highlight w:val="none"/>
          <w14:textFill>
            <w14:solidFill>
              <w14:schemeClr w14:val="tx1"/>
            </w14:solidFill>
          </w14:textFill>
        </w:rPr>
        <w:t>8.3对评标委员会成员的纪律要求</w:t>
      </w:r>
      <w:bookmarkEnd w:id="217"/>
    </w:p>
    <w:p w14:paraId="3513A879">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14:paraId="2F53B220">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18" w:name="_Toc20211"/>
      <w:bookmarkEnd w:id="218"/>
      <w:bookmarkStart w:id="219" w:name="_Toc31858"/>
      <w:bookmarkEnd w:id="219"/>
      <w:bookmarkStart w:id="220" w:name="_Toc17379"/>
      <w:r>
        <w:rPr>
          <w:rFonts w:hint="eastAsia" w:ascii="宋体" w:hAnsi="宋体" w:cs="宋体"/>
          <w:color w:val="000000" w:themeColor="text1"/>
          <w:highlight w:val="none"/>
          <w14:textFill>
            <w14:solidFill>
              <w14:schemeClr w14:val="tx1"/>
            </w14:solidFill>
          </w14:textFill>
        </w:rPr>
        <w:t>8.4对与评标活动有关的工作人员的纪律要求</w:t>
      </w:r>
      <w:bookmarkEnd w:id="220"/>
    </w:p>
    <w:p w14:paraId="109B2C28">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3CB643FF">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21" w:name="_Toc24359"/>
      <w:bookmarkEnd w:id="221"/>
      <w:bookmarkStart w:id="222" w:name="_Toc22887"/>
      <w:bookmarkEnd w:id="222"/>
      <w:bookmarkStart w:id="223" w:name="_Toc21264"/>
      <w:r>
        <w:rPr>
          <w:rFonts w:hint="eastAsia" w:ascii="宋体" w:hAnsi="宋体" w:cs="宋体"/>
          <w:color w:val="000000" w:themeColor="text1"/>
          <w:highlight w:val="none"/>
          <w14:textFill>
            <w14:solidFill>
              <w14:schemeClr w14:val="tx1"/>
            </w14:solidFill>
          </w14:textFill>
        </w:rPr>
        <w:t>8.5投诉</w:t>
      </w:r>
      <w:bookmarkEnd w:id="223"/>
    </w:p>
    <w:p w14:paraId="456BC052">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8.5.1投标人或其他利害关系人认为招标投标活动不符合法律、行政法规规定的， 可以自知道或应当知道之日起 10 日内向有关行政监督部门投诉。投诉应有明确的请求和必要的证明材料。</w:t>
      </w:r>
    </w:p>
    <w:p w14:paraId="0FF6A7A5">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监督部门的联系方式见投标人须知前附表。</w:t>
      </w:r>
    </w:p>
    <w:p w14:paraId="6AF8BA2C">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8.5.2投标人或其他利害关系人对招标文件、开标和评标结果提出投诉的，应按照本章第 2.4 款、第 5.3 款和第 7.2 款的规定先向招标人提出异议。异议答复期间不计算在第 8.5.1 项规定的期限内。</w:t>
      </w:r>
    </w:p>
    <w:p w14:paraId="722B32D6">
      <w:pPr>
        <w:pStyle w:val="70"/>
        <w:spacing w:before="156"/>
        <w:rPr>
          <w:color w:val="000000" w:themeColor="text1"/>
          <w:highlight w:val="none"/>
          <w14:textFill>
            <w14:solidFill>
              <w14:schemeClr w14:val="tx1"/>
            </w14:solidFill>
          </w14:textFill>
        </w:rPr>
      </w:pPr>
      <w:bookmarkStart w:id="224" w:name="_Toc18834"/>
      <w:bookmarkEnd w:id="224"/>
      <w:bookmarkStart w:id="225" w:name="_Toc16397"/>
      <w:bookmarkEnd w:id="225"/>
      <w:bookmarkStart w:id="226" w:name="_Toc20620"/>
      <w:r>
        <w:rPr>
          <w:rFonts w:hint="eastAsia"/>
          <w:color w:val="000000" w:themeColor="text1"/>
          <w:highlight w:val="none"/>
          <w14:textFill>
            <w14:solidFill>
              <w14:schemeClr w14:val="tx1"/>
            </w14:solidFill>
          </w14:textFill>
        </w:rPr>
        <w:t>是否采用电子招标投标</w:t>
      </w:r>
      <w:bookmarkEnd w:id="226"/>
    </w:p>
    <w:p w14:paraId="0B885B05">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本招标项目是否采用电子招标投标方式，见投标人须知前附表。</w:t>
      </w:r>
    </w:p>
    <w:p w14:paraId="77E50605">
      <w:pPr>
        <w:pStyle w:val="70"/>
        <w:spacing w:before="156"/>
        <w:rPr>
          <w:rFonts w:ascii="宋体" w:hAnsi="宋体" w:cs="宋体"/>
          <w:color w:val="000000" w:themeColor="text1"/>
          <w:highlight w:val="none"/>
          <w14:textFill>
            <w14:solidFill>
              <w14:schemeClr w14:val="tx1"/>
            </w14:solidFill>
          </w14:textFill>
        </w:rPr>
      </w:pPr>
      <w:bookmarkStart w:id="227" w:name="_Toc29544"/>
      <w:bookmarkEnd w:id="227"/>
      <w:bookmarkStart w:id="228" w:name="_Toc22521"/>
      <w:bookmarkEnd w:id="228"/>
      <w:bookmarkStart w:id="229" w:name="_Toc9660"/>
      <w:r>
        <w:rPr>
          <w:rFonts w:hint="eastAsia" w:ascii="宋体" w:hAnsi="宋体" w:cs="宋体"/>
          <w:color w:val="000000" w:themeColor="text1"/>
          <w:highlight w:val="none"/>
          <w14:textFill>
            <w14:solidFill>
              <w14:schemeClr w14:val="tx1"/>
            </w14:solidFill>
          </w14:textFill>
        </w:rPr>
        <w:t>需要补充的其他内容</w:t>
      </w:r>
      <w:bookmarkEnd w:id="229"/>
    </w:p>
    <w:p w14:paraId="496EAB05">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10.1自购买招标文件之日起，投标人应保证其提供的联系方式（电话、传真、电子邮件）一直有效，以便及时收到招标人发出的函件(招标文件的澄清、修改等)， 并应及时向招标人反馈信息，否则招标人不承担由此引起的一切后果。</w:t>
      </w:r>
    </w:p>
    <w:p w14:paraId="06902970">
      <w:pPr>
        <w:pStyle w:val="59"/>
        <w:spacing w:line="360" w:lineRule="auto"/>
        <w:ind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需要补充的其他内容：见投标人须知前附表。</w:t>
      </w:r>
    </w:p>
    <w:p w14:paraId="1441CFF4">
      <w:pPr>
        <w:pStyle w:val="59"/>
        <w:spacing w:line="360" w:lineRule="auto"/>
        <w:ind w:firstLine="0" w:firstLineChars="0"/>
        <w:rPr>
          <w:rFonts w:ascii="宋体" w:hAnsi="宋体" w:cs="宋体"/>
          <w:color w:val="000000" w:themeColor="text1"/>
          <w:highlight w:val="none"/>
          <w14:textFill>
            <w14:solidFill>
              <w14:schemeClr w14:val="tx1"/>
            </w14:solidFill>
          </w14:textFill>
        </w:rPr>
      </w:pPr>
    </w:p>
    <w:p w14:paraId="1C561F12">
      <w:pPr>
        <w:pStyle w:val="59"/>
        <w:rPr>
          <w:rFonts w:ascii="宋体" w:hAnsi="宋体" w:cs="宋体"/>
          <w:color w:val="000000" w:themeColor="text1"/>
          <w:highlight w:val="none"/>
          <w14:textFill>
            <w14:solidFill>
              <w14:schemeClr w14:val="tx1"/>
            </w14:solidFill>
          </w14:textFill>
        </w:rPr>
      </w:pPr>
    </w:p>
    <w:p w14:paraId="2090D9D0">
      <w:pPr>
        <w:pStyle w:val="59"/>
        <w:ind w:firstLine="0" w:firstLineChars="0"/>
        <w:rPr>
          <w:rFonts w:ascii="宋体" w:hAnsi="宋体" w:cs="宋体"/>
          <w:color w:val="000000" w:themeColor="text1"/>
          <w:highlight w:val="none"/>
          <w14:textFill>
            <w14:solidFill>
              <w14:schemeClr w14:val="tx1"/>
            </w14:solidFill>
          </w14:textFill>
        </w:rPr>
        <w:sectPr>
          <w:pgSz w:w="11906" w:h="16838"/>
          <w:pgMar w:top="1134" w:right="1134" w:bottom="1134" w:left="1134" w:header="851" w:footer="992" w:gutter="0"/>
          <w:cols w:space="720" w:num="1"/>
          <w:docGrid w:type="lines" w:linePitch="312" w:charSpace="0"/>
        </w:sectPr>
      </w:pPr>
    </w:p>
    <w:p w14:paraId="16E101C4">
      <w:pPr>
        <w:pStyle w:val="70"/>
        <w:numPr>
          <w:ilvl w:val="1"/>
          <w:numId w:val="0"/>
        </w:numPr>
        <w:spacing w:before="156" w:line="360" w:lineRule="auto"/>
        <w:outlineLvl w:val="2"/>
        <w:rPr>
          <w:rFonts w:ascii="宋体" w:hAnsi="宋体" w:cs="宋体"/>
          <w:color w:val="000000" w:themeColor="text1"/>
          <w:highlight w:val="none"/>
          <w14:textFill>
            <w14:solidFill>
              <w14:schemeClr w14:val="tx1"/>
            </w14:solidFill>
          </w14:textFill>
        </w:rPr>
      </w:pPr>
      <w:bookmarkStart w:id="230" w:name="_Toc19478"/>
      <w:bookmarkEnd w:id="230"/>
      <w:bookmarkStart w:id="231" w:name="_Toc8014"/>
      <w:bookmarkEnd w:id="231"/>
      <w:bookmarkStart w:id="232" w:name="_Toc4401"/>
      <w:r>
        <w:rPr>
          <w:rFonts w:hint="eastAsia" w:ascii="宋体" w:hAnsi="宋体" w:cs="宋体"/>
          <w:color w:val="000000" w:themeColor="text1"/>
          <w:highlight w:val="none"/>
          <w14:textFill>
            <w14:solidFill>
              <w14:schemeClr w14:val="tx1"/>
            </w14:solidFill>
          </w14:textFill>
        </w:rPr>
        <w:t>附件一：开标记录表</w:t>
      </w:r>
      <w:bookmarkEnd w:id="232"/>
    </w:p>
    <w:p w14:paraId="4C834452">
      <w:pPr>
        <w:pStyle w:val="59"/>
        <w:spacing w:line="360" w:lineRule="auto"/>
        <w:ind w:firstLine="602"/>
        <w:jc w:val="center"/>
        <w:rPr>
          <w:rFonts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u w:val="single"/>
          <w14:textFill>
            <w14:solidFill>
              <w14:schemeClr w14:val="tx1"/>
            </w14:solidFill>
          </w14:textFill>
        </w:rPr>
        <w:t xml:space="preserve">（项目名称） </w:t>
      </w:r>
      <w:r>
        <w:rPr>
          <w:rFonts w:hint="eastAsia" w:ascii="宋体" w:hAnsi="宋体" w:cs="宋体"/>
          <w:b/>
          <w:bCs/>
          <w:color w:val="000000" w:themeColor="text1"/>
          <w:sz w:val="30"/>
          <w:szCs w:val="30"/>
          <w:highlight w:val="none"/>
          <w14:textFill>
            <w14:solidFill>
              <w14:schemeClr w14:val="tx1"/>
            </w14:solidFill>
          </w14:textFill>
        </w:rPr>
        <w:t>第一个信封（商务及技术文件）</w:t>
      </w:r>
    </w:p>
    <w:p w14:paraId="01396008">
      <w:pPr>
        <w:pStyle w:val="59"/>
        <w:spacing w:line="360" w:lineRule="auto"/>
        <w:ind w:firstLine="602"/>
        <w:jc w:val="center"/>
        <w:rPr>
          <w:rFonts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14:textFill>
            <w14:solidFill>
              <w14:schemeClr w14:val="tx1"/>
            </w14:solidFill>
          </w14:textFill>
        </w:rPr>
        <w:t>开标记录表</w:t>
      </w:r>
    </w:p>
    <w:p w14:paraId="60F3D9A6">
      <w:pPr>
        <w:pStyle w:val="59"/>
        <w:spacing w:line="360" w:lineRule="auto"/>
        <w:ind w:firstLine="0" w:firstLineChars="0"/>
        <w:jc w:val="righ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开标时间：年＿月＿日＿时＿分</w:t>
      </w:r>
    </w:p>
    <w:tbl>
      <w:tblPr>
        <w:tblStyle w:val="43"/>
        <w:tblpPr w:leftFromText="180" w:rightFromText="180" w:vertAnchor="text" w:tblpXSpec="center" w:tblpY="1"/>
        <w:tblOverlap w:val="never"/>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439"/>
        <w:gridCol w:w="1641"/>
        <w:gridCol w:w="1971"/>
        <w:gridCol w:w="986"/>
        <w:gridCol w:w="841"/>
        <w:gridCol w:w="1241"/>
        <w:gridCol w:w="1241"/>
      </w:tblGrid>
      <w:tr w14:paraId="53C7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vAlign w:val="center"/>
          </w:tcPr>
          <w:p w14:paraId="1279DE3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1439" w:type="dxa"/>
            <w:vAlign w:val="center"/>
          </w:tcPr>
          <w:p w14:paraId="09B738C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w:t>
            </w:r>
          </w:p>
        </w:tc>
        <w:tc>
          <w:tcPr>
            <w:tcW w:w="1641" w:type="dxa"/>
            <w:vAlign w:val="center"/>
          </w:tcPr>
          <w:p w14:paraId="5D1BCEB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密封情况</w:t>
            </w:r>
          </w:p>
        </w:tc>
        <w:tc>
          <w:tcPr>
            <w:tcW w:w="1971" w:type="dxa"/>
            <w:vAlign w:val="center"/>
          </w:tcPr>
          <w:p w14:paraId="294EADF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投标保证金</w:t>
            </w:r>
          </w:p>
          <w:p w14:paraId="2FC63AF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递交情况</w:t>
            </w:r>
          </w:p>
        </w:tc>
        <w:tc>
          <w:tcPr>
            <w:tcW w:w="986" w:type="dxa"/>
            <w:vAlign w:val="center"/>
          </w:tcPr>
          <w:p w14:paraId="505AC06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w:t>
            </w:r>
          </w:p>
          <w:p w14:paraId="39699C8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目标</w:t>
            </w:r>
          </w:p>
        </w:tc>
        <w:tc>
          <w:tcPr>
            <w:tcW w:w="841" w:type="dxa"/>
            <w:vAlign w:val="center"/>
          </w:tcPr>
          <w:p w14:paraId="30D81F2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工期</w:t>
            </w:r>
          </w:p>
        </w:tc>
        <w:tc>
          <w:tcPr>
            <w:tcW w:w="1241" w:type="dxa"/>
            <w:vAlign w:val="center"/>
          </w:tcPr>
          <w:p w14:paraId="61A3906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备注</w:t>
            </w:r>
          </w:p>
        </w:tc>
        <w:tc>
          <w:tcPr>
            <w:tcW w:w="1241" w:type="dxa"/>
          </w:tcPr>
          <w:p w14:paraId="28E5F724">
            <w:pPr>
              <w:pStyle w:val="81"/>
              <w:keepNext w:val="0"/>
              <w:keepLines w:val="0"/>
              <w:suppressLineNumbers w:val="0"/>
              <w:spacing w:before="0" w:beforeAutospacing="0" w:after="0" w:afterAutospacing="0"/>
              <w:ind w:left="0" w:right="0"/>
              <w:rPr>
                <w:rFonts w:hint="default" w:ascii="Calibri" w:hAnsi="Calibri"/>
                <w:color w:val="000000" w:themeColor="text1"/>
                <w:sz w:val="20"/>
                <w:highlight w:val="none"/>
                <w14:textFill>
                  <w14:solidFill>
                    <w14:schemeClr w14:val="tx1"/>
                  </w14:solidFill>
                </w14:textFill>
              </w:rPr>
            </w:pPr>
          </w:p>
          <w:p w14:paraId="203A3B0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投标人代表签名</w:t>
            </w:r>
          </w:p>
        </w:tc>
      </w:tr>
      <w:tr w14:paraId="293E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vAlign w:val="center"/>
          </w:tcPr>
          <w:p w14:paraId="525489E1">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39" w:type="dxa"/>
            <w:vAlign w:val="center"/>
          </w:tcPr>
          <w:p w14:paraId="56629B2B">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641" w:type="dxa"/>
            <w:vAlign w:val="center"/>
          </w:tcPr>
          <w:p w14:paraId="25DD24C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971" w:type="dxa"/>
            <w:vAlign w:val="center"/>
          </w:tcPr>
          <w:p w14:paraId="294A2866">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986" w:type="dxa"/>
            <w:vAlign w:val="center"/>
          </w:tcPr>
          <w:p w14:paraId="4B182B5E">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41" w:type="dxa"/>
            <w:vAlign w:val="center"/>
          </w:tcPr>
          <w:p w14:paraId="37F79CF5">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7C9811C9">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56F17C4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13D0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vAlign w:val="center"/>
          </w:tcPr>
          <w:p w14:paraId="787B12DF">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39" w:type="dxa"/>
            <w:vAlign w:val="center"/>
          </w:tcPr>
          <w:p w14:paraId="5855AF62">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641" w:type="dxa"/>
            <w:vAlign w:val="center"/>
          </w:tcPr>
          <w:p w14:paraId="2D73D064">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971" w:type="dxa"/>
            <w:vAlign w:val="center"/>
          </w:tcPr>
          <w:p w14:paraId="28DC5992">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986" w:type="dxa"/>
            <w:vAlign w:val="center"/>
          </w:tcPr>
          <w:p w14:paraId="4D4B3EFC">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41" w:type="dxa"/>
            <w:vAlign w:val="center"/>
          </w:tcPr>
          <w:p w14:paraId="284C15F3">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05B9BC32">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0F5AAD5A">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32DC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vAlign w:val="center"/>
          </w:tcPr>
          <w:p w14:paraId="6C9BDE45">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39" w:type="dxa"/>
            <w:vAlign w:val="center"/>
          </w:tcPr>
          <w:p w14:paraId="2932E2BE">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641" w:type="dxa"/>
            <w:vAlign w:val="center"/>
          </w:tcPr>
          <w:p w14:paraId="55F64C1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971" w:type="dxa"/>
            <w:vAlign w:val="center"/>
          </w:tcPr>
          <w:p w14:paraId="482109EB">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986" w:type="dxa"/>
            <w:vAlign w:val="center"/>
          </w:tcPr>
          <w:p w14:paraId="788C6456">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41" w:type="dxa"/>
            <w:vAlign w:val="center"/>
          </w:tcPr>
          <w:p w14:paraId="11778475">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1E573B9B">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646F1F0C">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253C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vAlign w:val="center"/>
          </w:tcPr>
          <w:p w14:paraId="224CBE12">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39" w:type="dxa"/>
            <w:vAlign w:val="center"/>
          </w:tcPr>
          <w:p w14:paraId="6C85D30D">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641" w:type="dxa"/>
            <w:vAlign w:val="center"/>
          </w:tcPr>
          <w:p w14:paraId="1F7ED3BF">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971" w:type="dxa"/>
            <w:vAlign w:val="center"/>
          </w:tcPr>
          <w:p w14:paraId="672ED65F">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986" w:type="dxa"/>
            <w:vAlign w:val="center"/>
          </w:tcPr>
          <w:p w14:paraId="13967D94">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41" w:type="dxa"/>
            <w:vAlign w:val="center"/>
          </w:tcPr>
          <w:p w14:paraId="0D2C37A2">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1147630B">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241" w:type="dxa"/>
            <w:vAlign w:val="center"/>
          </w:tcPr>
          <w:p w14:paraId="25F55A05">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bl>
    <w:p w14:paraId="32206F3A">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招标人代表：                        记录人： </w:t>
      </w:r>
    </w:p>
    <w:p w14:paraId="489A5C46">
      <w:pPr>
        <w:pStyle w:val="59"/>
        <w:spacing w:line="360" w:lineRule="auto"/>
        <w:ind w:firstLine="7920" w:firstLineChars="33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月  日</w:t>
      </w:r>
    </w:p>
    <w:p w14:paraId="024C37B8">
      <w:pPr>
        <w:pStyle w:val="59"/>
        <w:spacing w:line="360" w:lineRule="auto"/>
        <w:ind w:firstLine="602"/>
        <w:jc w:val="center"/>
        <w:rPr>
          <w:rFonts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u w:val="single"/>
          <w14:textFill>
            <w14:solidFill>
              <w14:schemeClr w14:val="tx1"/>
            </w14:solidFill>
          </w14:textFill>
        </w:rPr>
        <w:t xml:space="preserve">（项目名称） </w:t>
      </w:r>
      <w:r>
        <w:rPr>
          <w:rFonts w:hint="eastAsia" w:ascii="宋体" w:hAnsi="宋体" w:cs="宋体"/>
          <w:b/>
          <w:bCs/>
          <w:color w:val="000000" w:themeColor="text1"/>
          <w:sz w:val="30"/>
          <w:szCs w:val="30"/>
          <w:highlight w:val="none"/>
          <w14:textFill>
            <w14:solidFill>
              <w14:schemeClr w14:val="tx1"/>
            </w14:solidFill>
          </w14:textFill>
        </w:rPr>
        <w:t>第二个信封（报价文件）</w:t>
      </w:r>
    </w:p>
    <w:p w14:paraId="2C77D68B">
      <w:pPr>
        <w:pStyle w:val="59"/>
        <w:spacing w:line="360" w:lineRule="auto"/>
        <w:ind w:firstLine="602"/>
        <w:jc w:val="center"/>
        <w:rPr>
          <w:rFonts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u w:val="single"/>
          <w14:textFill>
            <w14:solidFill>
              <w14:schemeClr w14:val="tx1"/>
            </w14:solidFill>
          </w14:textFill>
        </w:rPr>
        <w:t>开标记录表</w:t>
      </w:r>
    </w:p>
    <w:p w14:paraId="4E894579">
      <w:pPr>
        <w:pStyle w:val="59"/>
        <w:spacing w:line="360" w:lineRule="auto"/>
        <w:ind w:firstLine="0" w:firstLineChars="0"/>
        <w:jc w:val="righ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开标时间：年＿月＿日＿时＿分</w:t>
      </w:r>
    </w:p>
    <w:tbl>
      <w:tblPr>
        <w:tblStyle w:val="43"/>
        <w:tblpPr w:leftFromText="180" w:rightFromText="180" w:vertAnchor="text" w:tblpXSpec="center" w:tblpY="1"/>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22"/>
        <w:gridCol w:w="1800"/>
        <w:gridCol w:w="2155"/>
        <w:gridCol w:w="1796"/>
        <w:gridCol w:w="803"/>
        <w:gridCol w:w="1193"/>
      </w:tblGrid>
      <w:tr w14:paraId="6154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vAlign w:val="center"/>
          </w:tcPr>
          <w:p w14:paraId="012DDA8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1422" w:type="dxa"/>
            <w:vAlign w:val="center"/>
          </w:tcPr>
          <w:p w14:paraId="04EFA90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w:t>
            </w:r>
          </w:p>
        </w:tc>
        <w:tc>
          <w:tcPr>
            <w:tcW w:w="1800" w:type="dxa"/>
            <w:vAlign w:val="center"/>
          </w:tcPr>
          <w:p w14:paraId="0614B04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密封情况</w:t>
            </w:r>
          </w:p>
        </w:tc>
        <w:tc>
          <w:tcPr>
            <w:tcW w:w="2155" w:type="dxa"/>
            <w:vAlign w:val="center"/>
          </w:tcPr>
          <w:p w14:paraId="62C47B9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投标报价（元）</w:t>
            </w:r>
          </w:p>
        </w:tc>
        <w:tc>
          <w:tcPr>
            <w:tcW w:w="1796" w:type="dxa"/>
            <w:vAlign w:val="center"/>
          </w:tcPr>
          <w:p w14:paraId="0184396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是否超过最高投标限价</w:t>
            </w:r>
          </w:p>
        </w:tc>
        <w:tc>
          <w:tcPr>
            <w:tcW w:w="803" w:type="dxa"/>
            <w:vAlign w:val="center"/>
          </w:tcPr>
          <w:p w14:paraId="7A91B06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备注</w:t>
            </w:r>
          </w:p>
        </w:tc>
        <w:tc>
          <w:tcPr>
            <w:tcW w:w="1193" w:type="dxa"/>
            <w:vAlign w:val="center"/>
          </w:tcPr>
          <w:p w14:paraId="354CE71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投标人代表签名</w:t>
            </w:r>
          </w:p>
        </w:tc>
      </w:tr>
      <w:tr w14:paraId="60A7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vAlign w:val="center"/>
          </w:tcPr>
          <w:p w14:paraId="535832B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22" w:type="dxa"/>
            <w:vAlign w:val="center"/>
          </w:tcPr>
          <w:p w14:paraId="0FFD450D">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800" w:type="dxa"/>
            <w:vAlign w:val="center"/>
          </w:tcPr>
          <w:p w14:paraId="466C3A76">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2155" w:type="dxa"/>
            <w:vAlign w:val="center"/>
          </w:tcPr>
          <w:p w14:paraId="599FBEFE">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796" w:type="dxa"/>
            <w:vAlign w:val="center"/>
          </w:tcPr>
          <w:p w14:paraId="7D22EBD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03" w:type="dxa"/>
            <w:vAlign w:val="center"/>
          </w:tcPr>
          <w:p w14:paraId="426A3DA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193" w:type="dxa"/>
            <w:vAlign w:val="center"/>
          </w:tcPr>
          <w:p w14:paraId="35287AF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6448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vAlign w:val="center"/>
          </w:tcPr>
          <w:p w14:paraId="47D52DFC">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22" w:type="dxa"/>
            <w:vAlign w:val="center"/>
          </w:tcPr>
          <w:p w14:paraId="599350A9">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800" w:type="dxa"/>
            <w:vAlign w:val="center"/>
          </w:tcPr>
          <w:p w14:paraId="0EF24AA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2155" w:type="dxa"/>
            <w:vAlign w:val="center"/>
          </w:tcPr>
          <w:p w14:paraId="02E5129F">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796" w:type="dxa"/>
            <w:vAlign w:val="center"/>
          </w:tcPr>
          <w:p w14:paraId="37D2EA1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03" w:type="dxa"/>
            <w:vAlign w:val="center"/>
          </w:tcPr>
          <w:p w14:paraId="4E0AA79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193" w:type="dxa"/>
            <w:vAlign w:val="center"/>
          </w:tcPr>
          <w:p w14:paraId="1509313E">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0848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vAlign w:val="center"/>
          </w:tcPr>
          <w:p w14:paraId="35D5A465">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22" w:type="dxa"/>
            <w:vAlign w:val="center"/>
          </w:tcPr>
          <w:p w14:paraId="475EDB5E">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800" w:type="dxa"/>
            <w:vAlign w:val="center"/>
          </w:tcPr>
          <w:p w14:paraId="2F28A672">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2155" w:type="dxa"/>
            <w:vAlign w:val="center"/>
          </w:tcPr>
          <w:p w14:paraId="188A3A3D">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796" w:type="dxa"/>
            <w:vAlign w:val="center"/>
          </w:tcPr>
          <w:p w14:paraId="32E6DFF1">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03" w:type="dxa"/>
            <w:vAlign w:val="center"/>
          </w:tcPr>
          <w:p w14:paraId="3C4EA37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193" w:type="dxa"/>
            <w:vAlign w:val="center"/>
          </w:tcPr>
          <w:p w14:paraId="73A985F1">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5590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vAlign w:val="center"/>
          </w:tcPr>
          <w:p w14:paraId="2329CC6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422" w:type="dxa"/>
            <w:vAlign w:val="center"/>
          </w:tcPr>
          <w:p w14:paraId="09A5959B">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800" w:type="dxa"/>
            <w:vAlign w:val="center"/>
          </w:tcPr>
          <w:p w14:paraId="27212616">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2155" w:type="dxa"/>
            <w:vAlign w:val="center"/>
          </w:tcPr>
          <w:p w14:paraId="7191D610">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796" w:type="dxa"/>
            <w:vAlign w:val="center"/>
          </w:tcPr>
          <w:p w14:paraId="44236CE7">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803" w:type="dxa"/>
            <w:vAlign w:val="center"/>
          </w:tcPr>
          <w:p w14:paraId="589424F8">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c>
          <w:tcPr>
            <w:tcW w:w="1193" w:type="dxa"/>
            <w:vAlign w:val="center"/>
          </w:tcPr>
          <w:p w14:paraId="39142FD8">
            <w:pPr>
              <w:pStyle w:val="59"/>
              <w:keepNext w:val="0"/>
              <w:keepLines w:val="0"/>
              <w:suppressLineNumbers w:val="0"/>
              <w:spacing w:before="0" w:beforeAutospacing="0" w:after="0" w:afterAutospacing="0" w:line="360" w:lineRule="auto"/>
              <w:ind w:left="0" w:right="0" w:firstLine="0" w:firstLineChars="0"/>
              <w:jc w:val="center"/>
              <w:rPr>
                <w:rFonts w:hint="default" w:ascii="宋体" w:hAnsi="宋体" w:cs="宋体"/>
                <w:color w:val="000000" w:themeColor="text1"/>
                <w:highlight w:val="none"/>
                <w14:textFill>
                  <w14:solidFill>
                    <w14:schemeClr w14:val="tx1"/>
                  </w14:solidFill>
                </w14:textFill>
              </w:rPr>
            </w:pPr>
          </w:p>
        </w:tc>
      </w:tr>
      <w:tr w14:paraId="0CC7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12" w:type="dxa"/>
            <w:gridSpan w:val="3"/>
            <w:vAlign w:val="center"/>
          </w:tcPr>
          <w:p w14:paraId="7AD2FFA7">
            <w:pPr>
              <w:pStyle w:val="59"/>
              <w:keepNext w:val="0"/>
              <w:keepLines w:val="0"/>
              <w:suppressLineNumbers w:val="0"/>
              <w:spacing w:before="0" w:beforeAutospacing="0" w:after="0" w:afterAutospacing="0" w:line="360" w:lineRule="auto"/>
              <w:ind w:left="0" w:right="0" w:firstLine="0" w:firstLineChars="0"/>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招标人编制的最高投标限价（如有）</w:t>
            </w:r>
          </w:p>
        </w:tc>
        <w:tc>
          <w:tcPr>
            <w:tcW w:w="5947" w:type="dxa"/>
            <w:gridSpan w:val="4"/>
            <w:vAlign w:val="center"/>
          </w:tcPr>
          <w:p w14:paraId="39E78FB3">
            <w:pPr>
              <w:pStyle w:val="59"/>
              <w:keepNext w:val="0"/>
              <w:keepLines w:val="0"/>
              <w:suppressLineNumbers w:val="0"/>
              <w:spacing w:before="0" w:beforeAutospacing="0" w:after="0" w:afterAutospacing="0" w:line="360" w:lineRule="auto"/>
              <w:ind w:left="0" w:right="0" w:firstLine="0" w:firstLineChars="0"/>
              <w:rPr>
                <w:rFonts w:hint="default" w:ascii="宋体" w:hAnsi="宋体" w:cs="宋体"/>
                <w:color w:val="000000" w:themeColor="text1"/>
                <w:highlight w:val="none"/>
                <w14:textFill>
                  <w14:solidFill>
                    <w14:schemeClr w14:val="tx1"/>
                  </w14:solidFill>
                </w14:textFill>
              </w:rPr>
            </w:pPr>
          </w:p>
        </w:tc>
      </w:tr>
    </w:tbl>
    <w:p w14:paraId="0EA7BA1E">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招标人代表：                      记录人：             </w:t>
      </w:r>
    </w:p>
    <w:p w14:paraId="6338EFA9">
      <w:pPr>
        <w:pStyle w:val="59"/>
        <w:spacing w:line="360" w:lineRule="auto"/>
        <w:ind w:firstLine="7920" w:firstLineChars="33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月  日</w:t>
      </w:r>
    </w:p>
    <w:p w14:paraId="140498C6">
      <w:pPr>
        <w:pStyle w:val="70"/>
        <w:numPr>
          <w:ilvl w:val="1"/>
          <w:numId w:val="0"/>
        </w:numPr>
        <w:spacing w:before="156" w:line="360" w:lineRule="auto"/>
        <w:outlineLvl w:val="2"/>
        <w:rPr>
          <w:rFonts w:ascii="宋体" w:hAnsi="宋体" w:cs="宋体"/>
          <w:color w:val="000000" w:themeColor="text1"/>
          <w:highlight w:val="none"/>
          <w14:textFill>
            <w14:solidFill>
              <w14:schemeClr w14:val="tx1"/>
            </w14:solidFill>
          </w14:textFill>
        </w:rPr>
      </w:pPr>
      <w:bookmarkStart w:id="233" w:name="_Toc19245"/>
      <w:bookmarkEnd w:id="233"/>
      <w:bookmarkStart w:id="234" w:name="_Toc1011"/>
      <w:bookmarkEnd w:id="234"/>
      <w:bookmarkStart w:id="235" w:name="_Toc20984"/>
      <w:r>
        <w:rPr>
          <w:rFonts w:hint="eastAsia" w:ascii="宋体" w:hAnsi="宋体" w:cs="宋体"/>
          <w:color w:val="000000" w:themeColor="text1"/>
          <w:highlight w:val="none"/>
          <w14:textFill>
            <w14:solidFill>
              <w14:schemeClr w14:val="tx1"/>
            </w14:solidFill>
          </w14:textFill>
        </w:rPr>
        <w:t>附件二：问题澄清通知</w:t>
      </w:r>
      <w:bookmarkEnd w:id="235"/>
    </w:p>
    <w:p w14:paraId="2EEC0B6A">
      <w:pPr>
        <w:pStyle w:val="59"/>
        <w:spacing w:line="360" w:lineRule="auto"/>
        <w:ind w:firstLine="600"/>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问题澄清通知</w:t>
      </w:r>
    </w:p>
    <w:p w14:paraId="422D095E">
      <w:pPr>
        <w:pStyle w:val="59"/>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（编号：）</w:t>
      </w:r>
    </w:p>
    <w:p w14:paraId="562E64AF">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（投标人名称）：</w:t>
      </w:r>
    </w:p>
    <w:p w14:paraId="01262CD2">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（项目名称） </w:t>
      </w:r>
      <w:r>
        <w:rPr>
          <w:rFonts w:hint="eastAsia" w:ascii="宋体" w:hAnsi="宋体" w:cs="宋体"/>
          <w:color w:val="000000" w:themeColor="text1"/>
          <w:highlight w:val="none"/>
          <w14:textFill>
            <w14:solidFill>
              <w14:schemeClr w14:val="tx1"/>
            </w14:solidFill>
          </w14:textFill>
        </w:rPr>
        <w:t>招标的评标委员会，对你方的投标文件进行了仔细的审查，现需你方对下列问题以书面形式予以澄清</w:t>
      </w:r>
      <w:r>
        <w:rPr>
          <w:color w:val="000000" w:themeColor="text1"/>
          <w:highlight w:val="none"/>
          <w14:textFill>
            <w14:solidFill>
              <w14:schemeClr w14:val="tx1"/>
            </w14:solidFill>
          </w14:textFill>
        </w:rPr>
        <w:t>或说明</w:t>
      </w:r>
      <w:r>
        <w:rPr>
          <w:rFonts w:hint="eastAsia" w:ascii="宋体" w:hAnsi="宋体" w:cs="宋体"/>
          <w:color w:val="000000" w:themeColor="text1"/>
          <w:highlight w:val="none"/>
          <w14:textFill>
            <w14:solidFill>
              <w14:schemeClr w14:val="tx1"/>
            </w14:solidFill>
          </w14:textFill>
        </w:rPr>
        <w:t>：</w:t>
      </w:r>
    </w:p>
    <w:p w14:paraId="5B2BCB1D">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p w14:paraId="51B2C265">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p w14:paraId="1C2084A9">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p w14:paraId="33F76C9D">
      <w:pPr>
        <w:pStyle w:val="59"/>
        <w:spacing w:line="360" w:lineRule="auto"/>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请将上述问题的澄清</w:t>
      </w:r>
      <w:r>
        <w:rPr>
          <w:color w:val="000000" w:themeColor="text1"/>
          <w:highlight w:val="none"/>
          <w14:textFill>
            <w14:solidFill>
              <w14:schemeClr w14:val="tx1"/>
            </w14:solidFill>
          </w14:textFill>
        </w:rPr>
        <w:t>或说明</w:t>
      </w:r>
      <w:r>
        <w:rPr>
          <w:rFonts w:hint="eastAsia" w:ascii="宋体" w:hAnsi="宋体" w:cs="宋体"/>
          <w:color w:val="000000" w:themeColor="text1"/>
          <w:highlight w:val="none"/>
          <w14:textFill>
            <w14:solidFill>
              <w14:schemeClr w14:val="tx1"/>
            </w14:solidFill>
          </w14:textFill>
        </w:rPr>
        <w:t>于年   月   日时前递交至（详细地址）或传真至（传真号码）</w:t>
      </w:r>
      <w:r>
        <w:rPr>
          <w:color w:val="000000" w:themeColor="text1"/>
          <w:highlight w:val="none"/>
          <w14:textFill>
            <w14:solidFill>
              <w14:schemeClr w14:val="tx1"/>
            </w14:solidFill>
          </w14:textFill>
        </w:rPr>
        <w:t>或通过下载招标文件的电子招标交易平台上传</w:t>
      </w:r>
      <w:r>
        <w:rPr>
          <w:rFonts w:hint="eastAsia"/>
          <w:color w:val="000000" w:themeColor="text1"/>
          <w:spacing w:val="-108"/>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采用传真方式的，应在年   月   日时分前将原件递交至</w:t>
      </w:r>
      <w:r>
        <w:rPr>
          <w:rFonts w:hint="eastAsia" w:ascii="宋体" w:hAnsi="宋体" w:cs="宋体"/>
          <w:color w:val="000000" w:themeColor="text1"/>
          <w:highlight w:val="none"/>
          <w:u w:val="single"/>
          <w14:textFill>
            <w14:solidFill>
              <w14:schemeClr w14:val="tx1"/>
            </w14:solidFill>
          </w14:textFill>
        </w:rPr>
        <w:t xml:space="preserve"> （详细地址）。</w:t>
      </w:r>
    </w:p>
    <w:p w14:paraId="4553D272">
      <w:pPr>
        <w:pStyle w:val="59"/>
        <w:spacing w:line="360" w:lineRule="auto"/>
        <w:rPr>
          <w:rFonts w:ascii="宋体" w:hAnsi="宋体" w:cs="宋体"/>
          <w:color w:val="000000" w:themeColor="text1"/>
          <w:highlight w:val="none"/>
          <w14:textFill>
            <w14:solidFill>
              <w14:schemeClr w14:val="tx1"/>
            </w14:solidFill>
          </w14:textFill>
        </w:rPr>
      </w:pPr>
    </w:p>
    <w:p w14:paraId="4D3C42BA">
      <w:pPr>
        <w:pStyle w:val="60"/>
        <w:spacing w:line="360" w:lineRule="auto"/>
        <w:jc w:val="righ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评标委员会授权的招标人或招标代理机构： </w:t>
      </w:r>
      <w:r>
        <w:rPr>
          <w:rFonts w:hint="eastAsia" w:ascii="宋体" w:hAnsi="宋体" w:cs="宋体"/>
          <w:color w:val="000000" w:themeColor="text1"/>
          <w:highlight w:val="none"/>
          <w14:textFill>
            <w14:solidFill>
              <w14:schemeClr w14:val="tx1"/>
            </w14:solidFill>
          </w14:textFill>
        </w:rPr>
        <w:tab/>
      </w:r>
      <w:r>
        <w:rPr>
          <w:rFonts w:hint="eastAsia" w:ascii="宋体" w:hAnsi="宋体" w:cs="宋体"/>
          <w:color w:val="000000" w:themeColor="text1"/>
          <w:highlight w:val="none"/>
          <w14:textFill>
            <w14:solidFill>
              <w14:schemeClr w14:val="tx1"/>
            </w14:solidFill>
          </w14:textFill>
        </w:rPr>
        <w:t>（签字或盖单位章）</w:t>
      </w:r>
    </w:p>
    <w:p w14:paraId="24C42D8E">
      <w:pPr>
        <w:pStyle w:val="60"/>
        <w:spacing w:line="360" w:lineRule="auto"/>
        <w:ind w:left="4536" w:leftChars="2160" w:firstLine="1200" w:firstLineChars="5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月  日</w:t>
      </w:r>
    </w:p>
    <w:p w14:paraId="2544C757">
      <w:pPr>
        <w:pStyle w:val="60"/>
        <w:ind w:left="4536" w:leftChars="2160" w:firstLine="1200" w:firstLineChars="500"/>
        <w:rPr>
          <w:rFonts w:ascii="宋体" w:hAnsi="宋体" w:cs="宋体"/>
          <w:color w:val="000000" w:themeColor="text1"/>
          <w:highlight w:val="none"/>
          <w14:textFill>
            <w14:solidFill>
              <w14:schemeClr w14:val="tx1"/>
            </w14:solidFill>
          </w14:textFill>
        </w:rPr>
      </w:pPr>
    </w:p>
    <w:p w14:paraId="51531327">
      <w:pPr>
        <w:pStyle w:val="70"/>
        <w:numPr>
          <w:ilvl w:val="1"/>
          <w:numId w:val="0"/>
        </w:numPr>
        <w:spacing w:before="156" w:line="360" w:lineRule="auto"/>
        <w:outlineLvl w:val="2"/>
        <w:rPr>
          <w:rFonts w:ascii="宋体" w:hAnsi="宋体" w:cs="宋体"/>
          <w:color w:val="000000" w:themeColor="text1"/>
          <w:highlight w:val="none"/>
          <w14:textFill>
            <w14:solidFill>
              <w14:schemeClr w14:val="tx1"/>
            </w14:solidFill>
          </w14:textFill>
        </w:rPr>
      </w:pPr>
      <w:bookmarkStart w:id="236" w:name="_Toc11846"/>
      <w:bookmarkEnd w:id="236"/>
      <w:bookmarkStart w:id="237" w:name="_Toc20337"/>
      <w:bookmarkEnd w:id="237"/>
      <w:bookmarkStart w:id="238" w:name="_Toc31136"/>
      <w:r>
        <w:rPr>
          <w:rFonts w:hint="eastAsia" w:ascii="宋体" w:hAnsi="宋体" w:cs="宋体"/>
          <w:color w:val="000000" w:themeColor="text1"/>
          <w:highlight w:val="none"/>
          <w14:textFill>
            <w14:solidFill>
              <w14:schemeClr w14:val="tx1"/>
            </w14:solidFill>
          </w14:textFill>
        </w:rPr>
        <w:t>附件三：问题的澄清</w:t>
      </w:r>
      <w:bookmarkEnd w:id="238"/>
    </w:p>
    <w:p w14:paraId="796AC470">
      <w:pPr>
        <w:pStyle w:val="59"/>
        <w:spacing w:line="360" w:lineRule="auto"/>
        <w:ind w:firstLine="600"/>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问题的澄清</w:t>
      </w:r>
    </w:p>
    <w:p w14:paraId="509745DE">
      <w:pPr>
        <w:pStyle w:val="59"/>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（编号：）</w:t>
      </w:r>
    </w:p>
    <w:p w14:paraId="2ADC0A77">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 招标评标委员会：</w:t>
      </w:r>
    </w:p>
    <w:p w14:paraId="3A866EA6">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问题澄清通知（编号：）已收悉，现澄清、说明如下：</w:t>
      </w:r>
    </w:p>
    <w:p w14:paraId="6EBBD5D4">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p w14:paraId="0C8A93AC">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p w14:paraId="6F141EDC">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p w14:paraId="5FD3E27A">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上述问题澄清或说明，不改变我方投标文件的实质性内容，构成我方投标文件的组成部分。</w:t>
      </w:r>
    </w:p>
    <w:p w14:paraId="7F774B39">
      <w:pPr>
        <w:pStyle w:val="59"/>
        <w:spacing w:line="360" w:lineRule="auto"/>
        <w:ind w:left="4536" w:leftChars="216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投标人：（盖单位章）</w:t>
      </w:r>
    </w:p>
    <w:p w14:paraId="3EB2B8DC">
      <w:pPr>
        <w:pStyle w:val="59"/>
        <w:spacing w:line="360" w:lineRule="auto"/>
        <w:ind w:left="4536" w:leftChars="216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法定代表人或其委托代理人：（签字）</w:t>
      </w:r>
    </w:p>
    <w:p w14:paraId="3E8EE694">
      <w:pPr>
        <w:pStyle w:val="59"/>
        <w:spacing w:line="360" w:lineRule="auto"/>
        <w:ind w:left="4536" w:leftChars="2160" w:firstLine="1440" w:firstLineChars="6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月  日</w:t>
      </w:r>
    </w:p>
    <w:p w14:paraId="6E934480">
      <w:pPr>
        <w:pStyle w:val="70"/>
        <w:numPr>
          <w:ilvl w:val="1"/>
          <w:numId w:val="0"/>
        </w:numPr>
        <w:spacing w:before="156" w:line="360" w:lineRule="auto"/>
        <w:outlineLvl w:val="2"/>
        <w:rPr>
          <w:rFonts w:ascii="宋体" w:hAnsi="宋体" w:cs="宋体"/>
          <w:color w:val="000000" w:themeColor="text1"/>
          <w:highlight w:val="none"/>
          <w14:textFill>
            <w14:solidFill>
              <w14:schemeClr w14:val="tx1"/>
            </w14:solidFill>
          </w14:textFill>
        </w:rPr>
      </w:pPr>
      <w:bookmarkStart w:id="239" w:name="_Toc10043"/>
      <w:bookmarkEnd w:id="239"/>
      <w:bookmarkStart w:id="240" w:name="_Toc19958"/>
      <w:bookmarkEnd w:id="240"/>
      <w:bookmarkStart w:id="241" w:name="_Toc10847"/>
      <w:r>
        <w:rPr>
          <w:rFonts w:hint="eastAsia" w:ascii="宋体" w:hAnsi="宋体" w:cs="宋体"/>
          <w:color w:val="000000" w:themeColor="text1"/>
          <w:highlight w:val="none"/>
          <w14:textFill>
            <w14:solidFill>
              <w14:schemeClr w14:val="tx1"/>
            </w14:solidFill>
          </w14:textFill>
        </w:rPr>
        <w:t>附件四：中标通知书</w:t>
      </w:r>
      <w:bookmarkEnd w:id="241"/>
    </w:p>
    <w:p w14:paraId="798D1490">
      <w:pPr>
        <w:pStyle w:val="59"/>
        <w:spacing w:line="360" w:lineRule="auto"/>
        <w:ind w:firstLine="600"/>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中标通知书</w:t>
      </w:r>
    </w:p>
    <w:p w14:paraId="2640D3A7">
      <w:pPr>
        <w:pStyle w:val="59"/>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（按</w:t>
      </w:r>
      <w:r>
        <w:rPr>
          <w:rFonts w:hint="eastAsia" w:ascii="宋体" w:hAnsi="宋体" w:cs="宋体"/>
          <w:color w:val="000000" w:themeColor="text1"/>
          <w:highlight w:val="none"/>
          <w:u w:val="single"/>
          <w14:textFill>
            <w14:solidFill>
              <w14:schemeClr w14:val="tx1"/>
            </w14:solidFill>
          </w14:textFill>
        </w:rPr>
        <w:t xml:space="preserve"> 韶关市公共资源交易中心 </w:t>
      </w:r>
      <w:r>
        <w:rPr>
          <w:rFonts w:hint="eastAsia" w:ascii="宋体" w:hAnsi="宋体" w:cs="宋体"/>
          <w:color w:val="000000" w:themeColor="text1"/>
          <w:highlight w:val="none"/>
          <w14:textFill>
            <w14:solidFill>
              <w14:schemeClr w14:val="tx1"/>
            </w14:solidFill>
          </w14:textFill>
        </w:rPr>
        <w:t>提供的中标通知书格式）</w:t>
      </w:r>
    </w:p>
    <w:p w14:paraId="65A35F83">
      <w:pPr>
        <w:pStyle w:val="60"/>
        <w:spacing w:line="360" w:lineRule="auto"/>
        <w:ind w:left="4536" w:leftChars="2160" w:firstLine="1200" w:firstLineChars="500"/>
        <w:rPr>
          <w:rFonts w:ascii="宋体" w:hAnsi="宋体" w:cs="宋体"/>
          <w:color w:val="000000" w:themeColor="text1"/>
          <w:highlight w:val="none"/>
          <w14:textFill>
            <w14:solidFill>
              <w14:schemeClr w14:val="tx1"/>
            </w14:solidFill>
          </w14:textFill>
        </w:rPr>
      </w:pPr>
    </w:p>
    <w:p w14:paraId="1CD08D3C">
      <w:pPr>
        <w:pStyle w:val="70"/>
        <w:numPr>
          <w:ilvl w:val="1"/>
          <w:numId w:val="0"/>
        </w:numPr>
        <w:spacing w:before="156" w:line="360" w:lineRule="auto"/>
        <w:outlineLvl w:val="2"/>
        <w:rPr>
          <w:rFonts w:ascii="宋体" w:hAnsi="宋体" w:cs="宋体"/>
          <w:color w:val="000000" w:themeColor="text1"/>
          <w:highlight w:val="none"/>
          <w14:textFill>
            <w14:solidFill>
              <w14:schemeClr w14:val="tx1"/>
            </w14:solidFill>
          </w14:textFill>
        </w:rPr>
      </w:pPr>
      <w:bookmarkStart w:id="242" w:name="_Toc23714"/>
      <w:bookmarkEnd w:id="242"/>
      <w:bookmarkStart w:id="243" w:name="_Toc30346"/>
      <w:bookmarkEnd w:id="243"/>
      <w:bookmarkStart w:id="244" w:name="_Toc12270"/>
      <w:r>
        <w:rPr>
          <w:rFonts w:hint="eastAsia" w:ascii="宋体" w:hAnsi="宋体" w:cs="宋体"/>
          <w:color w:val="000000" w:themeColor="text1"/>
          <w:highlight w:val="none"/>
          <w14:textFill>
            <w14:solidFill>
              <w14:schemeClr w14:val="tx1"/>
            </w14:solidFill>
          </w14:textFill>
        </w:rPr>
        <w:t>附件五：中标结果通知书</w:t>
      </w:r>
      <w:bookmarkEnd w:id="244"/>
    </w:p>
    <w:p w14:paraId="29AE6338">
      <w:pPr>
        <w:pStyle w:val="59"/>
        <w:spacing w:line="360" w:lineRule="auto"/>
        <w:ind w:firstLine="600"/>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中标结果通知书</w:t>
      </w:r>
    </w:p>
    <w:p w14:paraId="7001F57B">
      <w:pPr>
        <w:pStyle w:val="59"/>
        <w:spacing w:line="360" w:lineRule="auto"/>
        <w:ind w:firstLine="600"/>
        <w:jc w:val="center"/>
        <w:rPr>
          <w:rFonts w:ascii="宋体" w:hAnsi="宋体" w:cs="宋体"/>
          <w:color w:val="000000" w:themeColor="text1"/>
          <w:sz w:val="30"/>
          <w:szCs w:val="30"/>
          <w:highlight w:val="none"/>
          <w14:textFill>
            <w14:solidFill>
              <w14:schemeClr w14:val="tx1"/>
            </w14:solidFill>
          </w14:textFill>
        </w:rPr>
      </w:pPr>
    </w:p>
    <w:p w14:paraId="78B8297C">
      <w:pPr>
        <w:pStyle w:val="59"/>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（按</w:t>
      </w:r>
      <w:r>
        <w:rPr>
          <w:rFonts w:hint="eastAsia" w:ascii="宋体" w:hAnsi="宋体" w:cs="宋体"/>
          <w:color w:val="000000" w:themeColor="text1"/>
          <w:highlight w:val="none"/>
          <w:u w:val="single"/>
          <w14:textFill>
            <w14:solidFill>
              <w14:schemeClr w14:val="tx1"/>
            </w14:solidFill>
          </w14:textFill>
        </w:rPr>
        <w:t xml:space="preserve"> 韶关市公共资源交易中心 </w:t>
      </w:r>
      <w:r>
        <w:rPr>
          <w:rFonts w:hint="eastAsia" w:ascii="宋体" w:hAnsi="宋体" w:cs="宋体"/>
          <w:color w:val="000000" w:themeColor="text1"/>
          <w:highlight w:val="none"/>
          <w14:textFill>
            <w14:solidFill>
              <w14:schemeClr w14:val="tx1"/>
            </w14:solidFill>
          </w14:textFill>
        </w:rPr>
        <w:t>提供的中标结果通知书格式）</w:t>
      </w:r>
    </w:p>
    <w:p w14:paraId="34620D63">
      <w:pPr>
        <w:pStyle w:val="59"/>
        <w:spacing w:line="360" w:lineRule="auto"/>
        <w:ind w:left="4536" w:leftChars="2160" w:firstLine="960" w:firstLineChars="400"/>
        <w:rPr>
          <w:rFonts w:ascii="宋体" w:hAnsi="宋体" w:cs="宋体"/>
          <w:color w:val="000000" w:themeColor="text1"/>
          <w:highlight w:val="none"/>
          <w14:textFill>
            <w14:solidFill>
              <w14:schemeClr w14:val="tx1"/>
            </w14:solidFill>
          </w14:textFill>
        </w:rPr>
      </w:pPr>
    </w:p>
    <w:p w14:paraId="1DE43779">
      <w:pPr>
        <w:pStyle w:val="59"/>
        <w:spacing w:line="360" w:lineRule="auto"/>
        <w:ind w:left="4536" w:leftChars="2160" w:firstLine="960" w:firstLineChars="400"/>
        <w:rPr>
          <w:rFonts w:ascii="宋体" w:hAnsi="宋体" w:cs="宋体"/>
          <w:color w:val="000000" w:themeColor="text1"/>
          <w:highlight w:val="none"/>
          <w14:textFill>
            <w14:solidFill>
              <w14:schemeClr w14:val="tx1"/>
            </w14:solidFill>
          </w14:textFill>
        </w:rPr>
      </w:pPr>
    </w:p>
    <w:p w14:paraId="3F275E8D">
      <w:pPr>
        <w:pStyle w:val="59"/>
        <w:spacing w:line="360" w:lineRule="auto"/>
        <w:ind w:left="4536" w:leftChars="2160" w:firstLine="960" w:firstLineChars="400"/>
        <w:rPr>
          <w:rFonts w:ascii="宋体" w:hAnsi="宋体" w:cs="宋体"/>
          <w:color w:val="000000" w:themeColor="text1"/>
          <w:highlight w:val="none"/>
          <w14:textFill>
            <w14:solidFill>
              <w14:schemeClr w14:val="tx1"/>
            </w14:solidFill>
          </w14:textFill>
        </w:rPr>
      </w:pPr>
    </w:p>
    <w:p w14:paraId="5F12CA1B">
      <w:pPr>
        <w:pStyle w:val="70"/>
        <w:numPr>
          <w:ilvl w:val="1"/>
          <w:numId w:val="0"/>
        </w:numPr>
        <w:spacing w:before="156" w:line="360" w:lineRule="auto"/>
        <w:outlineLvl w:val="2"/>
        <w:rPr>
          <w:rFonts w:ascii="宋体" w:hAnsi="宋体" w:cs="宋体"/>
          <w:color w:val="000000" w:themeColor="text1"/>
          <w:highlight w:val="none"/>
          <w14:textFill>
            <w14:solidFill>
              <w14:schemeClr w14:val="tx1"/>
            </w14:solidFill>
          </w14:textFill>
        </w:rPr>
      </w:pPr>
      <w:bookmarkStart w:id="245" w:name="_Toc19033"/>
      <w:bookmarkEnd w:id="245"/>
      <w:bookmarkStart w:id="246" w:name="_Toc14151"/>
      <w:bookmarkEnd w:id="246"/>
      <w:bookmarkStart w:id="247" w:name="_Toc27406"/>
      <w:r>
        <w:rPr>
          <w:rFonts w:hint="eastAsia" w:ascii="宋体" w:hAnsi="宋体" w:cs="宋体"/>
          <w:color w:val="000000" w:themeColor="text1"/>
          <w:highlight w:val="none"/>
          <w14:textFill>
            <w14:solidFill>
              <w14:schemeClr w14:val="tx1"/>
            </w14:solidFill>
          </w14:textFill>
        </w:rPr>
        <w:t>附表六：确认通知</w:t>
      </w:r>
      <w:bookmarkEnd w:id="247"/>
    </w:p>
    <w:p w14:paraId="237816C1">
      <w:pPr>
        <w:pStyle w:val="59"/>
        <w:spacing w:line="360" w:lineRule="auto"/>
        <w:ind w:firstLine="600"/>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确认通知</w:t>
      </w:r>
    </w:p>
    <w:p w14:paraId="0491731E">
      <w:pPr>
        <w:pStyle w:val="6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（招标人名称）</w:t>
      </w:r>
      <w:r>
        <w:rPr>
          <w:rFonts w:hint="eastAsia" w:ascii="宋体" w:hAnsi="宋体" w:cs="宋体"/>
          <w:color w:val="000000" w:themeColor="text1"/>
          <w:highlight w:val="none"/>
          <w14:textFill>
            <w14:solidFill>
              <w14:schemeClr w14:val="tx1"/>
            </w14:solidFill>
          </w14:textFill>
        </w:rPr>
        <w:t>：</w:t>
      </w:r>
    </w:p>
    <w:p w14:paraId="05DC3043">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我方与年   月   日发出的</w:t>
      </w:r>
      <w:r>
        <w:rPr>
          <w:rFonts w:hint="eastAsia" w:ascii="宋体" w:hAnsi="宋体" w:cs="宋体"/>
          <w:color w:val="000000" w:themeColor="text1"/>
          <w:highlight w:val="none"/>
          <w:u w:val="single"/>
          <w14:textFill>
            <w14:solidFill>
              <w14:schemeClr w14:val="tx1"/>
            </w14:solidFill>
          </w14:textFill>
        </w:rPr>
        <w:t xml:space="preserve">    （项目名称）</w:t>
      </w:r>
      <w:r>
        <w:rPr>
          <w:rFonts w:hint="eastAsia" w:ascii="宋体" w:hAnsi="宋体" w:cs="宋体"/>
          <w:color w:val="000000" w:themeColor="text1"/>
          <w:highlight w:val="none"/>
          <w14:textFill>
            <w14:solidFill>
              <w14:schemeClr w14:val="tx1"/>
            </w14:solidFill>
          </w14:textFill>
        </w:rPr>
        <w:t>招标关于招标文件澄清/修改的通知（第号补遗书，正文共页），我方已于年   月   日收到。</w:t>
      </w:r>
    </w:p>
    <w:p w14:paraId="31A8AD68">
      <w:pPr>
        <w:pStyle w:val="59"/>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特此确认。</w:t>
      </w:r>
    </w:p>
    <w:p w14:paraId="2933068E">
      <w:pPr>
        <w:pStyle w:val="59"/>
        <w:spacing w:line="360" w:lineRule="auto"/>
        <w:ind w:left="4536" w:leftChars="216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投标人：（盖单位章）</w:t>
      </w:r>
    </w:p>
    <w:p w14:paraId="1710A62F">
      <w:pPr>
        <w:pStyle w:val="59"/>
        <w:spacing w:line="360" w:lineRule="auto"/>
        <w:ind w:left="4536" w:leftChars="2160" w:firstLine="960" w:firstLineChars="4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  月  日</w:t>
      </w:r>
    </w:p>
    <w:p w14:paraId="37F9349F">
      <w:pPr>
        <w:pStyle w:val="59"/>
        <w:spacing w:line="360" w:lineRule="auto"/>
        <w:ind w:firstLine="0" w:firstLineChars="0"/>
        <w:rPr>
          <w:rFonts w:ascii="宋体" w:hAnsi="宋体" w:cs="宋体"/>
          <w:color w:val="000000" w:themeColor="text1"/>
          <w:highlight w:val="none"/>
          <w14:textFill>
            <w14:solidFill>
              <w14:schemeClr w14:val="tx1"/>
            </w14:solidFill>
          </w14:textFill>
        </w:rPr>
        <w:sectPr>
          <w:pgSz w:w="11906" w:h="16838"/>
          <w:pgMar w:top="1134" w:right="1134" w:bottom="1134" w:left="1134" w:header="851" w:footer="992" w:gutter="0"/>
          <w:cols w:space="720" w:num="1"/>
          <w:docGrid w:type="lines" w:linePitch="312" w:charSpace="0"/>
        </w:sectPr>
      </w:pPr>
    </w:p>
    <w:p w14:paraId="5F9689C8">
      <w:pPr>
        <w:tabs>
          <w:tab w:val="left" w:pos="5219"/>
        </w:tabs>
        <w:spacing w:before="192"/>
        <w:rPr>
          <w:color w:val="000000" w:themeColor="text1"/>
          <w:spacing w:val="-20"/>
          <w:sz w:val="54"/>
          <w:highlight w:val="none"/>
          <w14:textFill>
            <w14:solidFill>
              <w14:schemeClr w14:val="tx1"/>
            </w14:solidFill>
          </w14:textFill>
        </w:rPr>
      </w:pPr>
    </w:p>
    <w:p w14:paraId="67D1476F">
      <w:pPr>
        <w:tabs>
          <w:tab w:val="left" w:pos="5219"/>
        </w:tabs>
        <w:spacing w:before="192"/>
        <w:rPr>
          <w:color w:val="000000" w:themeColor="text1"/>
          <w:spacing w:val="-20"/>
          <w:sz w:val="54"/>
          <w:highlight w:val="none"/>
          <w14:textFill>
            <w14:solidFill>
              <w14:schemeClr w14:val="tx1"/>
            </w14:solidFill>
          </w14:textFill>
        </w:rPr>
      </w:pPr>
    </w:p>
    <w:p w14:paraId="46F0F906">
      <w:pPr>
        <w:tabs>
          <w:tab w:val="left" w:pos="5219"/>
        </w:tabs>
        <w:spacing w:before="192"/>
        <w:rPr>
          <w:color w:val="000000" w:themeColor="text1"/>
          <w:spacing w:val="-20"/>
          <w:sz w:val="54"/>
          <w:highlight w:val="none"/>
          <w14:textFill>
            <w14:solidFill>
              <w14:schemeClr w14:val="tx1"/>
            </w14:solidFill>
          </w14:textFill>
        </w:rPr>
      </w:pPr>
    </w:p>
    <w:p w14:paraId="2862E383">
      <w:pPr>
        <w:tabs>
          <w:tab w:val="left" w:pos="5219"/>
        </w:tabs>
        <w:spacing w:before="192"/>
        <w:rPr>
          <w:color w:val="000000" w:themeColor="text1"/>
          <w:spacing w:val="-20"/>
          <w:sz w:val="54"/>
          <w:highlight w:val="none"/>
          <w14:textFill>
            <w14:solidFill>
              <w14:schemeClr w14:val="tx1"/>
            </w14:solidFill>
          </w14:textFill>
        </w:rPr>
      </w:pPr>
    </w:p>
    <w:p w14:paraId="73C39668">
      <w:pPr>
        <w:tabs>
          <w:tab w:val="left" w:pos="5219"/>
        </w:tabs>
        <w:spacing w:before="192"/>
        <w:rPr>
          <w:color w:val="000000" w:themeColor="text1"/>
          <w:spacing w:val="-20"/>
          <w:sz w:val="54"/>
          <w:highlight w:val="none"/>
          <w14:textFill>
            <w14:solidFill>
              <w14:schemeClr w14:val="tx1"/>
            </w14:solidFill>
          </w14:textFill>
        </w:rPr>
      </w:pPr>
    </w:p>
    <w:p w14:paraId="25911804">
      <w:pPr>
        <w:jc w:val="center"/>
        <w:rPr>
          <w:color w:val="000000" w:themeColor="text1"/>
          <w:sz w:val="54"/>
          <w:highlight w:val="none"/>
          <w14:textFill>
            <w14:solidFill>
              <w14:schemeClr w14:val="tx1"/>
            </w14:solidFill>
          </w14:textFill>
        </w:rPr>
      </w:pPr>
      <w:r>
        <w:rPr>
          <w:b/>
          <w:bCs/>
          <w:color w:val="000000" w:themeColor="text1"/>
          <w:spacing w:val="-20"/>
          <w:sz w:val="54"/>
          <w:highlight w:val="none"/>
          <w14:textFill>
            <w14:solidFill>
              <w14:schemeClr w14:val="tx1"/>
            </w14:solidFill>
          </w14:textFill>
        </w:rPr>
        <w:t>第三</w:t>
      </w:r>
      <w:r>
        <w:rPr>
          <w:b/>
          <w:bCs/>
          <w:color w:val="000000" w:themeColor="text1"/>
          <w:sz w:val="54"/>
          <w:highlight w:val="none"/>
          <w14:textFill>
            <w14:solidFill>
              <w14:schemeClr w14:val="tx1"/>
            </w14:solidFill>
          </w14:textFill>
        </w:rPr>
        <w:t>章</w:t>
      </w:r>
      <w:r>
        <w:rPr>
          <w:b/>
          <w:bCs/>
          <w:color w:val="000000" w:themeColor="text1"/>
          <w:spacing w:val="-20"/>
          <w:sz w:val="54"/>
          <w:highlight w:val="none"/>
          <w14:textFill>
            <w14:solidFill>
              <w14:schemeClr w14:val="tx1"/>
            </w14:solidFill>
          </w14:textFill>
        </w:rPr>
        <w:t>评标办法</w:t>
      </w:r>
    </w:p>
    <w:p w14:paraId="6E40E8F5">
      <w:pPr>
        <w:jc w:val="left"/>
        <w:rPr>
          <w:color w:val="000000" w:themeColor="text1"/>
          <w:sz w:val="54"/>
          <w:highlight w:val="none"/>
          <w14:textFill>
            <w14:solidFill>
              <w14:schemeClr w14:val="tx1"/>
            </w14:solidFill>
          </w14:textFill>
        </w:rPr>
        <w:sectPr>
          <w:footerReference r:id="rId6" w:type="default"/>
          <w:pgSz w:w="11910" w:h="16840"/>
          <w:pgMar w:top="940" w:right="720" w:bottom="1180" w:left="980" w:header="707" w:footer="998" w:gutter="0"/>
          <w:cols w:space="720" w:num="1"/>
        </w:sectPr>
      </w:pPr>
    </w:p>
    <w:p w14:paraId="0F24704B">
      <w:pPr>
        <w:pStyle w:val="3"/>
        <w:jc w:val="center"/>
        <w:rPr>
          <w:rFonts w:ascii="黑体" w:eastAsia="黑体"/>
          <w:color w:val="000000" w:themeColor="text1"/>
          <w:highlight w:val="none"/>
          <w14:textFill>
            <w14:solidFill>
              <w14:schemeClr w14:val="tx1"/>
            </w14:solidFill>
          </w14:textFill>
        </w:rPr>
      </w:pPr>
      <w:bookmarkStart w:id="248" w:name="_Toc23729"/>
      <w:r>
        <w:rPr>
          <w:rFonts w:hint="eastAsia"/>
          <w:color w:val="000000" w:themeColor="text1"/>
          <w:highlight w:val="none"/>
          <w14:textFill>
            <w14:solidFill>
              <w14:schemeClr w14:val="tx1"/>
            </w14:solidFill>
          </w14:textFill>
        </w:rPr>
        <w:t>第三章评标办法（双信封的技术评分最低标价法）</w:t>
      </w:r>
      <w:bookmarkEnd w:id="248"/>
    </w:p>
    <w:p w14:paraId="398D9118">
      <w:pPr>
        <w:pStyle w:val="4"/>
        <w:rPr>
          <w:color w:val="000000" w:themeColor="text1"/>
          <w:highlight w:val="none"/>
          <w14:textFill>
            <w14:solidFill>
              <w14:schemeClr w14:val="tx1"/>
            </w14:solidFill>
          </w14:textFill>
        </w:rPr>
      </w:pPr>
      <w:bookmarkStart w:id="249" w:name="_Toc19310"/>
      <w:r>
        <w:rPr>
          <w:color w:val="000000" w:themeColor="text1"/>
          <w:highlight w:val="none"/>
          <w14:textFill>
            <w14:solidFill>
              <w14:schemeClr w14:val="tx1"/>
            </w14:solidFill>
          </w14:textFill>
        </w:rPr>
        <w:t>评标办法前附表</w:t>
      </w:r>
      <w:bookmarkEnd w:id="249"/>
    </w:p>
    <w:tbl>
      <w:tblPr>
        <w:tblStyle w:val="43"/>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
        <w:gridCol w:w="1043"/>
        <w:gridCol w:w="174"/>
        <w:gridCol w:w="875"/>
        <w:gridCol w:w="189"/>
        <w:gridCol w:w="25"/>
        <w:gridCol w:w="800"/>
        <w:gridCol w:w="1175"/>
        <w:gridCol w:w="837"/>
        <w:gridCol w:w="4972"/>
        <w:gridCol w:w="21"/>
        <w:gridCol w:w="1"/>
        <w:gridCol w:w="75"/>
      </w:tblGrid>
      <w:tr w14:paraId="127D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472" w:hRule="atLeast"/>
          <w:jc w:val="center"/>
        </w:trPr>
        <w:tc>
          <w:tcPr>
            <w:tcW w:w="2281" w:type="dxa"/>
            <w:gridSpan w:val="4"/>
            <w:vAlign w:val="center"/>
          </w:tcPr>
          <w:p w14:paraId="7D5DE82E">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条款号</w:t>
            </w:r>
          </w:p>
        </w:tc>
        <w:tc>
          <w:tcPr>
            <w:tcW w:w="7830" w:type="dxa"/>
            <w:gridSpan w:val="6"/>
            <w:vAlign w:val="center"/>
          </w:tcPr>
          <w:p w14:paraId="7F6BD6F6">
            <w:pPr>
              <w:keepNext w:val="0"/>
              <w:keepLines w:val="0"/>
              <w:suppressLineNumbers w:val="0"/>
              <w:spacing w:before="0" w:beforeAutospacing="0" w:after="0" w:afterAutospacing="0"/>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评审因素与评审标准</w:t>
            </w:r>
          </w:p>
        </w:tc>
      </w:tr>
      <w:tr w14:paraId="3A8A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3313" w:hRule="atLeast"/>
          <w:jc w:val="center"/>
        </w:trPr>
        <w:tc>
          <w:tcPr>
            <w:tcW w:w="1043" w:type="dxa"/>
            <w:vAlign w:val="center"/>
          </w:tcPr>
          <w:p w14:paraId="06A14A28">
            <w:pPr>
              <w:pStyle w:val="81"/>
              <w:keepNext w:val="0"/>
              <w:keepLines w:val="0"/>
              <w:suppressLineNumbers w:val="0"/>
              <w:tabs>
                <w:tab w:val="left" w:pos="804"/>
              </w:tabs>
              <w:kinsoku w:val="0"/>
              <w:overflowPunct w:val="0"/>
              <w:spacing w:before="0" w:beforeAutospacing="0" w:after="0" w:afterAutospacing="0"/>
              <w:ind w:left="0" w:right="0"/>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1</w:t>
            </w:r>
          </w:p>
        </w:tc>
        <w:tc>
          <w:tcPr>
            <w:tcW w:w="1238" w:type="dxa"/>
            <w:gridSpan w:val="3"/>
            <w:vAlign w:val="center"/>
          </w:tcPr>
          <w:p w14:paraId="7CE396D2">
            <w:pPr>
              <w:pStyle w:val="81"/>
              <w:keepNext w:val="0"/>
              <w:keepLines w:val="0"/>
              <w:suppressLineNumbers w:val="0"/>
              <w:tabs>
                <w:tab w:val="left" w:pos="804"/>
              </w:tabs>
              <w:kinsoku w:val="0"/>
              <w:overflowPunct w:val="0"/>
              <w:spacing w:before="0" w:beforeAutospacing="0" w:after="0" w:afterAutospacing="0"/>
              <w:ind w:left="0" w:right="0"/>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评标方法</w:t>
            </w:r>
          </w:p>
        </w:tc>
        <w:tc>
          <w:tcPr>
            <w:tcW w:w="7830" w:type="dxa"/>
            <w:gridSpan w:val="6"/>
            <w:vAlign w:val="center"/>
          </w:tcPr>
          <w:p w14:paraId="0D672BD0">
            <w:pPr>
              <w:pStyle w:val="81"/>
              <w:keepNext w:val="0"/>
              <w:keepLines w:val="0"/>
              <w:suppressLineNumbers w:val="0"/>
              <w:tabs>
                <w:tab w:val="left" w:pos="804"/>
              </w:tabs>
              <w:overflowPunct w:val="0"/>
              <w:spacing w:before="0" w:beforeAutospacing="0" w:after="0" w:afterAutospacing="0"/>
              <w:ind w:left="0" w:right="0" w:firstLine="476" w:firstLineChars="200"/>
              <w:jc w:val="both"/>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评标价相等时，评标委员会依次按照以下优先顺序推荐中标候选人或确定中标人：</w:t>
            </w:r>
          </w:p>
          <w:p w14:paraId="1680F52F">
            <w:pPr>
              <w:pStyle w:val="81"/>
              <w:keepNext w:val="0"/>
              <w:keepLines w:val="0"/>
              <w:suppressLineNumbers w:val="0"/>
              <w:tabs>
                <w:tab w:val="left" w:pos="804"/>
              </w:tabs>
              <w:overflowPunct w:val="0"/>
              <w:spacing w:before="0" w:beforeAutospacing="0" w:after="0" w:afterAutospacing="0"/>
              <w:ind w:left="0" w:right="0" w:firstLine="476" w:firstLineChars="200"/>
              <w:jc w:val="both"/>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（1）按招标文件规定被认定为最新年度广东省公路工程从业单位信用评价等级较高的投标人优先；</w:t>
            </w:r>
          </w:p>
          <w:p w14:paraId="2693C092">
            <w:pPr>
              <w:pStyle w:val="81"/>
              <w:keepNext w:val="0"/>
              <w:keepLines w:val="0"/>
              <w:suppressLineNumbers w:val="0"/>
              <w:tabs>
                <w:tab w:val="left" w:pos="804"/>
              </w:tabs>
              <w:overflowPunct w:val="0"/>
              <w:spacing w:before="0" w:beforeAutospacing="0" w:after="0" w:afterAutospacing="0"/>
              <w:ind w:left="0" w:right="0" w:firstLine="476" w:firstLineChars="200"/>
              <w:jc w:val="both"/>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【采用如下的优先顺序：承诺使用的 AA 级投标人、不承诺使用的 AA 级投标人、承诺使用的 A 级投标人、不承诺使用的 A 级投标人、B 级投标人、未参评且被确定为 B 级投标人】</w:t>
            </w:r>
          </w:p>
          <w:p w14:paraId="57C18443">
            <w:pPr>
              <w:pStyle w:val="81"/>
              <w:keepNext w:val="0"/>
              <w:keepLines w:val="0"/>
              <w:suppressLineNumbers w:val="0"/>
              <w:tabs>
                <w:tab w:val="left" w:pos="804"/>
              </w:tabs>
              <w:overflowPunct w:val="0"/>
              <w:spacing w:before="0" w:beforeAutospacing="0" w:after="0" w:afterAutospacing="0"/>
              <w:ind w:left="0" w:right="0" w:firstLine="476" w:firstLineChars="200"/>
              <w:jc w:val="both"/>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（2）以投标人企业最新年度净资产较高的优先；</w:t>
            </w:r>
          </w:p>
          <w:p w14:paraId="5DDB5992">
            <w:pPr>
              <w:pStyle w:val="81"/>
              <w:keepNext w:val="0"/>
              <w:keepLines w:val="0"/>
              <w:suppressLineNumbers w:val="0"/>
              <w:tabs>
                <w:tab w:val="left" w:pos="804"/>
              </w:tabs>
              <w:overflowPunct w:val="0"/>
              <w:spacing w:before="0" w:beforeAutospacing="0" w:after="0" w:afterAutospacing="0"/>
              <w:ind w:left="0" w:right="0" w:firstLine="476" w:firstLineChars="200"/>
              <w:jc w:val="both"/>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（3）评标委员会视投标人情况综合比较，投票确定其名次。</w:t>
            </w:r>
          </w:p>
        </w:tc>
      </w:tr>
      <w:tr w14:paraId="56E0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9379" w:hRule="atLeast"/>
          <w:jc w:val="center"/>
        </w:trPr>
        <w:tc>
          <w:tcPr>
            <w:tcW w:w="1043" w:type="dxa"/>
            <w:vAlign w:val="center"/>
          </w:tcPr>
          <w:p w14:paraId="316F0209">
            <w:pPr>
              <w:pStyle w:val="81"/>
              <w:keepNext w:val="0"/>
              <w:keepLines w:val="0"/>
              <w:suppressLineNumbers w:val="0"/>
              <w:kinsoku w:val="0"/>
              <w:overflowPunct w:val="0"/>
              <w:spacing w:before="0" w:beforeAutospacing="0" w:after="0" w:afterAutospacing="0"/>
              <w:ind w:left="0" w:right="0"/>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2.1.1</w:t>
            </w:r>
          </w:p>
          <w:p w14:paraId="336276A6">
            <w:pPr>
              <w:pStyle w:val="81"/>
              <w:keepNext w:val="0"/>
              <w:keepLines w:val="0"/>
              <w:suppressLineNumbers w:val="0"/>
              <w:tabs>
                <w:tab w:val="left" w:pos="804"/>
              </w:tabs>
              <w:kinsoku w:val="0"/>
              <w:overflowPunct w:val="0"/>
              <w:spacing w:before="0" w:beforeAutospacing="0" w:after="0" w:afterAutospacing="0"/>
              <w:ind w:left="0" w:right="0"/>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2.1.3</w:t>
            </w:r>
          </w:p>
        </w:tc>
        <w:tc>
          <w:tcPr>
            <w:tcW w:w="1238" w:type="dxa"/>
            <w:gridSpan w:val="3"/>
            <w:vAlign w:val="center"/>
          </w:tcPr>
          <w:p w14:paraId="408E6193">
            <w:pPr>
              <w:pStyle w:val="81"/>
              <w:keepNext w:val="0"/>
              <w:keepLines w:val="0"/>
              <w:suppressLineNumbers w:val="0"/>
              <w:tabs>
                <w:tab w:val="left" w:pos="804"/>
              </w:tabs>
              <w:kinsoku w:val="0"/>
              <w:overflowPunct w:val="0"/>
              <w:spacing w:before="0" w:beforeAutospacing="0" w:after="0" w:afterAutospacing="0"/>
              <w:ind w:left="0" w:right="0"/>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形式评审与响应性评审标准</w:t>
            </w:r>
          </w:p>
        </w:tc>
        <w:tc>
          <w:tcPr>
            <w:tcW w:w="7830" w:type="dxa"/>
            <w:gridSpan w:val="6"/>
            <w:vAlign w:val="center"/>
          </w:tcPr>
          <w:p w14:paraId="6C2422A3">
            <w:pPr>
              <w:pStyle w:val="81"/>
              <w:keepNext w:val="0"/>
              <w:keepLines w:val="0"/>
              <w:suppressLineNumbers w:val="0"/>
              <w:tabs>
                <w:tab w:val="left" w:pos="804"/>
              </w:tabs>
              <w:overflowPunct w:val="0"/>
              <w:spacing w:before="0" w:beforeAutospacing="0" w:after="0" w:afterAutospacing="0"/>
              <w:ind w:left="0" w:right="0"/>
              <w:jc w:val="both"/>
              <w:rPr>
                <w:rFonts w:hint="eastAsia" w:ascii="宋体" w:hAnsi="宋体" w:eastAsia="宋体" w:cs="宋体"/>
                <w:b/>
                <w:color w:val="000000" w:themeColor="text1"/>
                <w:spacing w:val="-1"/>
                <w:sz w:val="24"/>
                <w:szCs w:val="24"/>
                <w:highlight w:val="none"/>
                <w14:textFill>
                  <w14:solidFill>
                    <w14:schemeClr w14:val="tx1"/>
                  </w14:solidFill>
                </w14:textFill>
              </w:rPr>
            </w:pPr>
            <w:r>
              <w:rPr>
                <w:rFonts w:hint="eastAsia" w:ascii="宋体" w:hAnsi="宋体" w:eastAsia="宋体" w:cs="宋体"/>
                <w:b/>
                <w:color w:val="000000" w:themeColor="text1"/>
                <w:spacing w:val="-1"/>
                <w:sz w:val="24"/>
                <w:szCs w:val="24"/>
                <w:highlight w:val="none"/>
                <w14:textFill>
                  <w14:solidFill>
                    <w14:schemeClr w14:val="tx1"/>
                  </w14:solidFill>
                </w14:textFill>
              </w:rPr>
              <w:t>第一个信封（商务及技术文件）评审标准：</w:t>
            </w:r>
          </w:p>
          <w:p w14:paraId="0E55D094">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（1）投标文件按照招标文件规定的格式、内容填写，字迹清晰可辨：</w:t>
            </w:r>
          </w:p>
          <w:p w14:paraId="4576F112">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a.投标函按招标文件规定填报了项目名称、标段号（如有)、补遗书编号（如有)、工期、工程质量要求及安全目标；</w:t>
            </w:r>
          </w:p>
          <w:p w14:paraId="592DBB0D">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b.投标函附录的所有数据均符合招标文件规定；</w:t>
            </w:r>
          </w:p>
          <w:p w14:paraId="48A71036">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c.投标文件组成齐全完整，内容均按规定填写。</w:t>
            </w:r>
          </w:p>
          <w:p w14:paraId="5A665902">
            <w:pPr>
              <w:pStyle w:val="81"/>
              <w:keepNext w:val="0"/>
              <w:keepLines w:val="0"/>
              <w:numPr>
                <w:ilvl w:val="0"/>
                <w:numId w:val="9"/>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投标文件上法定代表人或其委托代理人的签字、投标人的单位章盖章齐全，符合招标文件规定。</w:t>
            </w:r>
          </w:p>
          <w:p w14:paraId="3E97E666">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）投标人按照招标文件的规定提供了投标保证金：</w:t>
            </w:r>
          </w:p>
          <w:p w14:paraId="55A0F7DA">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a.投标保证金金额符合招标文件规定的金额，且投标保证金有效期不少于投标有效期；</w:t>
            </w:r>
          </w:p>
          <w:p w14:paraId="0F9F2647">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b.若投标保证金采用现金或支票形式提交，投标人应在投标人须知 3.4.1款规定的时间，将投标保证金由投标人的基本账户转入招标人指定账户；</w:t>
            </w:r>
          </w:p>
          <w:p w14:paraId="5E0FE6C1">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c.若投标保证金采用银行保函或投标人须知前附表 3.4.1 项规定的其他形式提交，应满足招标文件要求。</w:t>
            </w:r>
          </w:p>
          <w:p w14:paraId="0D957113">
            <w:pPr>
              <w:pStyle w:val="81"/>
              <w:keepNext w:val="0"/>
              <w:keepLines w:val="0"/>
              <w:numPr>
                <w:ilvl w:val="0"/>
                <w:numId w:val="0"/>
              </w:numPr>
              <w:suppressLineNumbers w:val="0"/>
              <w:tabs>
                <w:tab w:val="left" w:pos="804"/>
              </w:tabs>
              <w:overflowPunct w:val="0"/>
              <w:spacing w:before="0" w:beforeAutospacing="0" w:after="0" w:afterAutospacing="0"/>
              <w:ind w:left="0" w:right="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）投标人法定代表人授权委托代理人签署投标文件的，需提交授权委托书，且授权人和被授权人均在授权委托书上签名，未使用印章、签名章或其他电子制版签名代替。</w:t>
            </w:r>
          </w:p>
          <w:p w14:paraId="01412CA8">
            <w:pPr>
              <w:pStyle w:val="81"/>
              <w:keepNext w:val="0"/>
              <w:keepLines w:val="0"/>
              <w:numPr>
                <w:ilvl w:val="0"/>
                <w:numId w:val="1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投标人法定代表人亲自签署投标文件的，提供了法定代表人身份证明，且法定代表人在法定代表人身份证明上签名，未使用印章、签名章或其他电子制版签名代替。</w:t>
            </w:r>
          </w:p>
          <w:p w14:paraId="6FF20168">
            <w:pPr>
              <w:pStyle w:val="81"/>
              <w:keepNext w:val="0"/>
              <w:keepLines w:val="0"/>
              <w:numPr>
                <w:ilvl w:val="0"/>
                <w:numId w:val="10"/>
              </w:numPr>
              <w:suppressLineNumbers w:val="0"/>
              <w:tabs>
                <w:tab w:val="left" w:pos="804"/>
              </w:tabs>
              <w:overflowPunct w:val="0"/>
              <w:spacing w:before="0" w:beforeAutospacing="0" w:after="0" w:afterAutospacing="0"/>
              <w:ind w:left="0" w:right="0" w:firstLine="48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如投标人不具备拟分包工程所需的某专项工程相应资质或投标人如有分包计划，符合招标文件第二章“投标人须知” 第 1.11 款规定，且按招标文件第九章“投标文件格式”的要求填写了“拟分包项目情况表”。</w:t>
            </w:r>
          </w:p>
          <w:p w14:paraId="55CE18ED">
            <w:pPr>
              <w:pStyle w:val="81"/>
              <w:keepNext w:val="0"/>
              <w:keepLines w:val="0"/>
              <w:numPr>
                <w:ilvl w:val="0"/>
                <w:numId w:val="10"/>
              </w:numPr>
              <w:suppressLineNumbers w:val="0"/>
              <w:tabs>
                <w:tab w:val="left" w:pos="804"/>
              </w:tabs>
              <w:overflowPunct w:val="0"/>
              <w:spacing w:before="0" w:beforeAutospacing="0" w:after="0" w:afterAutospacing="0"/>
              <w:ind w:left="0" w:right="0" w:firstLine="48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同一投标人未提交两个以上不同的投标文件，但招标文件要求提交备选投标的除外。</w:t>
            </w:r>
          </w:p>
          <w:p w14:paraId="16963855">
            <w:pPr>
              <w:pStyle w:val="81"/>
              <w:keepNext w:val="0"/>
              <w:keepLines w:val="0"/>
              <w:numPr>
                <w:ilvl w:val="0"/>
                <w:numId w:val="10"/>
              </w:numPr>
              <w:suppressLineNumbers w:val="0"/>
              <w:tabs>
                <w:tab w:val="left" w:pos="804"/>
              </w:tabs>
              <w:overflowPunct w:val="0"/>
              <w:spacing w:before="0" w:beforeAutospacing="0" w:after="0" w:afterAutospacing="0"/>
              <w:ind w:left="0" w:right="0" w:firstLine="48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投标文件中未出现有关投标报价的内容。</w:t>
            </w:r>
          </w:p>
          <w:p w14:paraId="5EFD55E3">
            <w:pPr>
              <w:pStyle w:val="81"/>
              <w:keepNext w:val="0"/>
              <w:keepLines w:val="0"/>
              <w:numPr>
                <w:ilvl w:val="0"/>
                <w:numId w:val="10"/>
              </w:numPr>
              <w:suppressLineNumbers w:val="0"/>
              <w:tabs>
                <w:tab w:val="left" w:pos="804"/>
              </w:tabs>
              <w:overflowPunct w:val="0"/>
              <w:spacing w:before="0" w:beforeAutospacing="0" w:after="0" w:afterAutospacing="0"/>
              <w:ind w:left="0" w:right="0" w:firstLine="48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投标文件载明的招标项目完成期限未超过招标文件规定的时限。</w:t>
            </w:r>
          </w:p>
          <w:p w14:paraId="1ABFE0BC">
            <w:pPr>
              <w:pStyle w:val="81"/>
              <w:keepNext w:val="0"/>
              <w:keepLines w:val="0"/>
              <w:numPr>
                <w:ilvl w:val="0"/>
                <w:numId w:val="10"/>
              </w:numPr>
              <w:suppressLineNumbers w:val="0"/>
              <w:tabs>
                <w:tab w:val="left" w:pos="804"/>
              </w:tabs>
              <w:overflowPunct w:val="0"/>
              <w:spacing w:before="0" w:beforeAutospacing="0" w:after="0" w:afterAutospacing="0"/>
              <w:ind w:left="0" w:right="0" w:firstLine="48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投标文件对招标文件的实质性要求和条件作出响应。</w:t>
            </w:r>
          </w:p>
          <w:p w14:paraId="06692240">
            <w:pPr>
              <w:pStyle w:val="81"/>
              <w:keepNext w:val="0"/>
              <w:keepLines w:val="0"/>
              <w:numPr>
                <w:ilvl w:val="0"/>
                <w:numId w:val="1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权利义务符合招标文件规定：</w:t>
            </w:r>
          </w:p>
          <w:p w14:paraId="7A08C0DA">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 投标人应接受招标文件规定的风险划分原则，未提出新的风险划分办法；</w:t>
            </w:r>
          </w:p>
          <w:p w14:paraId="3C2BDC9D">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 投标人未增加发包人的责任范围，或减少投标人义务；</w:t>
            </w:r>
          </w:p>
          <w:p w14:paraId="620BFFED">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c.投标人未提出不同的工程验收、计量、支付办法；</w:t>
            </w:r>
          </w:p>
          <w:p w14:paraId="770D4E38">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d. 投标人对合同纠纷、事故处理办法未提出异议；</w:t>
            </w:r>
          </w:p>
          <w:p w14:paraId="7C389161">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e. 投标人在投标活动中无欺诈行为；</w:t>
            </w:r>
          </w:p>
          <w:p w14:paraId="2A1E4E23">
            <w:pPr>
              <w:pStyle w:val="81"/>
              <w:keepNext w:val="0"/>
              <w:keepLines w:val="0"/>
              <w:numPr>
                <w:ilvl w:val="0"/>
                <w:numId w:val="0"/>
              </w:numPr>
              <w:suppressLineNumbers w:val="0"/>
              <w:tabs>
                <w:tab w:val="left" w:pos="804"/>
              </w:tabs>
              <w:overflowPunct w:val="0"/>
              <w:spacing w:before="0" w:beforeAutospacing="0" w:after="0" w:afterAutospacing="0"/>
              <w:ind w:left="0" w:right="0" w:firstLine="48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f. 投标人未对合同条款有重要保留。</w:t>
            </w:r>
          </w:p>
          <w:p w14:paraId="7D0AC777">
            <w:pPr>
              <w:pStyle w:val="81"/>
              <w:keepNext w:val="0"/>
              <w:keepLines w:val="0"/>
              <w:numPr>
                <w:ilvl w:val="0"/>
                <w:numId w:val="10"/>
              </w:numPr>
              <w:suppressLineNumbers w:val="0"/>
              <w:tabs>
                <w:tab w:val="left" w:pos="804"/>
              </w:tabs>
              <w:overflowPunct w:val="0"/>
              <w:spacing w:before="0" w:beforeAutospacing="0" w:after="0" w:afterAutospacing="0"/>
              <w:ind w:left="0" w:right="0" w:firstLine="480" w:firstLineChars="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投标文件未附有招标人不能接受的条件。</w:t>
            </w:r>
          </w:p>
          <w:p w14:paraId="3E1F8EDB">
            <w:pPr>
              <w:pStyle w:val="81"/>
              <w:keepNext w:val="0"/>
              <w:keepLines w:val="0"/>
              <w:numPr>
                <w:ilvl w:val="0"/>
                <w:numId w:val="0"/>
              </w:numPr>
              <w:suppressLineNumbers w:val="0"/>
              <w:tabs>
                <w:tab w:val="left" w:pos="804"/>
              </w:tabs>
              <w:overflowPunct w:val="0"/>
              <w:spacing w:before="0" w:beforeAutospacing="0" w:after="0" w:afterAutospacing="0"/>
              <w:ind w:left="0" w:right="0"/>
              <w:jc w:val="both"/>
              <w:rPr>
                <w:rFonts w:hint="eastAsia" w:ascii="宋体" w:hAnsi="宋体" w:eastAsia="宋体" w:cs="宋体"/>
                <w:color w:val="000000" w:themeColor="text1"/>
                <w:sz w:val="24"/>
                <w:szCs w:val="24"/>
                <w:highlight w:val="none"/>
                <w14:textFill>
                  <w14:solidFill>
                    <w14:schemeClr w14:val="tx1"/>
                  </w14:solidFill>
                </w14:textFill>
              </w:rPr>
            </w:pPr>
          </w:p>
          <w:p w14:paraId="373084C8">
            <w:pPr>
              <w:pStyle w:val="81"/>
              <w:keepNext w:val="0"/>
              <w:keepLines w:val="0"/>
              <w:suppressLineNumbers w:val="0"/>
              <w:tabs>
                <w:tab w:val="left" w:pos="804"/>
              </w:tabs>
              <w:overflowPunct w:val="0"/>
              <w:spacing w:before="0" w:beforeAutospacing="0" w:after="0" w:afterAutospacing="0"/>
              <w:ind w:left="0" w:right="0"/>
              <w:jc w:val="both"/>
              <w:rPr>
                <w:rFonts w:hint="eastAsia" w:ascii="宋体" w:hAnsi="宋体" w:eastAsia="宋体" w:cs="宋体"/>
                <w:b/>
                <w:color w:val="000000" w:themeColor="text1"/>
                <w:sz w:val="24"/>
                <w:szCs w:val="24"/>
                <w:highlight w:val="none"/>
                <w14:textFill>
                  <w14:solidFill>
                    <w14:schemeClr w14:val="tx1"/>
                  </w14:solidFill>
                </w14:textFill>
              </w:rPr>
            </w:pPr>
            <w:bookmarkStart w:id="250" w:name="OLE_LINK6"/>
            <w:r>
              <w:rPr>
                <w:rFonts w:hint="eastAsia" w:ascii="宋体" w:hAnsi="宋体" w:eastAsia="宋体" w:cs="宋体"/>
                <w:b/>
                <w:color w:val="000000" w:themeColor="text1"/>
                <w:sz w:val="24"/>
                <w:szCs w:val="24"/>
                <w:highlight w:val="none"/>
                <w14:textFill>
                  <w14:solidFill>
                    <w14:schemeClr w14:val="tx1"/>
                  </w14:solidFill>
                </w14:textFill>
              </w:rPr>
              <w:t>第二个信封</w:t>
            </w:r>
            <w:bookmarkEnd w:id="250"/>
            <w:r>
              <w:rPr>
                <w:rFonts w:hint="eastAsia" w:ascii="宋体" w:hAnsi="宋体" w:eastAsia="宋体" w:cs="宋体"/>
                <w:b/>
                <w:color w:val="000000" w:themeColor="text1"/>
                <w:sz w:val="24"/>
                <w:szCs w:val="24"/>
                <w:highlight w:val="none"/>
                <w14:textFill>
                  <w14:solidFill>
                    <w14:schemeClr w14:val="tx1"/>
                  </w14:solidFill>
                </w14:textFill>
              </w:rPr>
              <w:t>（报价文件）评审标准：</w:t>
            </w:r>
          </w:p>
          <w:p w14:paraId="6565374A">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（1）投标文件按照招标文件规定的格式、内容填写，字迹清晰可辩：</w:t>
            </w:r>
          </w:p>
          <w:p w14:paraId="240508E3">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a. 投标函按招标文件规定填报了项目名称、标段号（如有)、补遗书编号（如有)、投标总报价（包括大写金额和小写金额)；</w:t>
            </w:r>
          </w:p>
          <w:p w14:paraId="401DF381">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b. 已标价工程量清单说明文字与招标文件规定一致，未进行实质性修改和删减；</w:t>
            </w:r>
          </w:p>
          <w:p w14:paraId="0D2F8394">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 投标文件组成齐全完整，内容均按规定填写。</w:t>
            </w:r>
          </w:p>
          <w:p w14:paraId="03DECB42">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（2）投标文件上法定代表人或其委托代理人的签字、投标人的单位章盖章齐全，符合招标文件规定。</w:t>
            </w:r>
          </w:p>
          <w:p w14:paraId="49885BA1">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（3）投标总报价或调价函中的报价未超过招标文件设定的最高投标限价（如有)及最高评标限价（如有）。</w:t>
            </w:r>
          </w:p>
          <w:p w14:paraId="06A2D104">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（4）投标总报价或调价函中报价的大写金额能够确定具体数值。</w:t>
            </w:r>
          </w:p>
          <w:p w14:paraId="41F68F0E">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（5）同一投标人未提交两个以上不同的投标报价，但招标文件要求提交备选投标的除外。</w:t>
            </w:r>
          </w:p>
          <w:p w14:paraId="0AD8F150">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bookmarkStart w:id="251" w:name="OLE_LINK7"/>
            <w:r>
              <w:rPr>
                <w:rFonts w:hint="eastAsia" w:ascii="宋体" w:hAnsi="宋体" w:eastAsia="宋体" w:cs="宋体"/>
                <w:color w:val="000000" w:themeColor="text1"/>
                <w:sz w:val="24"/>
                <w:szCs w:val="24"/>
                <w:highlight w:val="none"/>
                <w14:textFill>
                  <w14:solidFill>
                    <w14:schemeClr w14:val="tx1"/>
                  </w14:solidFill>
                </w14:textFill>
              </w:rPr>
              <w:t>（6）投标人若填写工程量固化清单，填写完毕的工程量固化清单未对工程量固化清单电子文件中的数据、格式和运算定义进行修改；工程量固化清单中的投标总报价和投标函大写金额报价一致。</w:t>
            </w:r>
            <w:bookmarkEnd w:id="251"/>
          </w:p>
        </w:tc>
      </w:tr>
      <w:tr w14:paraId="2D60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5013" w:hRule="atLeast"/>
          <w:jc w:val="center"/>
        </w:trPr>
        <w:tc>
          <w:tcPr>
            <w:tcW w:w="1043" w:type="dxa"/>
            <w:vAlign w:val="center"/>
          </w:tcPr>
          <w:p w14:paraId="2583DE5B">
            <w:pPr>
              <w:pStyle w:val="81"/>
              <w:keepNext w:val="0"/>
              <w:keepLines w:val="0"/>
              <w:suppressLineNumbers w:val="0"/>
              <w:kinsoku w:val="0"/>
              <w:overflowPunct w:val="0"/>
              <w:spacing w:before="0" w:beforeAutospacing="0" w:after="0" w:afterAutospacing="0"/>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14:textFill>
                  <w14:solidFill>
                    <w14:schemeClr w14:val="tx1"/>
                  </w14:solidFill>
                </w14:textFill>
              </w:rPr>
              <w:t>2.1.2</w:t>
            </w:r>
          </w:p>
        </w:tc>
        <w:tc>
          <w:tcPr>
            <w:tcW w:w="1238" w:type="dxa"/>
            <w:gridSpan w:val="3"/>
            <w:vAlign w:val="center"/>
          </w:tcPr>
          <w:p w14:paraId="3536C6B9">
            <w:pPr>
              <w:pStyle w:val="81"/>
              <w:keepNext w:val="0"/>
              <w:keepLines w:val="0"/>
              <w:suppressLineNumbers w:val="0"/>
              <w:kinsoku w:val="0"/>
              <w:overflowPunct w:val="0"/>
              <w:spacing w:before="0" w:beforeAutospacing="0" w:after="0" w:afterAutospacing="0"/>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资格评审标准</w:t>
            </w:r>
          </w:p>
        </w:tc>
        <w:tc>
          <w:tcPr>
            <w:tcW w:w="7830" w:type="dxa"/>
            <w:gridSpan w:val="6"/>
            <w:vAlign w:val="center"/>
          </w:tcPr>
          <w:p w14:paraId="11B5BE3B">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具备有效的营业执照、资质证书、安全生产许可证和基本账户开户许可证（如企业所在地已取消企业银行账户许可而无法提供开户许可证的，则需附上开户银行出具的“基本存款账户信息”或“人民银行账户管理系统查询的基本账户信息截图”）；</w:t>
            </w:r>
          </w:p>
          <w:p w14:paraId="6D1DEA44">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（2）投标人的资质等级符合招标文件规定；</w:t>
            </w:r>
          </w:p>
          <w:p w14:paraId="1064B445">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（3）投标人的财务状况符合招标文件规定；</w:t>
            </w:r>
          </w:p>
          <w:p w14:paraId="2F73AEDC">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（4）投标人的类似项目业绩符合招标文件规定；</w:t>
            </w:r>
          </w:p>
          <w:p w14:paraId="584334A4">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（5）投标人的信誉符合招标文件规定；</w:t>
            </w:r>
          </w:p>
          <w:p w14:paraId="6F9EAFC6">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（6）投标人的项目经理和项目总工资格、在岗情况符合招标文件规定，并按规定在投标文件中签字确认；</w:t>
            </w:r>
          </w:p>
          <w:p w14:paraId="006D6CC4">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（7）投标人的其他要求符合招标文件规定；</w:t>
            </w:r>
          </w:p>
          <w:p w14:paraId="18666489">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（8）投标人不存在第二章“投标人须知”第 1.4.3 项或第 1.4.4 项规 定的任何一种情形；</w:t>
            </w:r>
          </w:p>
          <w:p w14:paraId="56515CC9">
            <w:pPr>
              <w:pStyle w:val="81"/>
              <w:keepNext w:val="0"/>
              <w:keepLines w:val="0"/>
              <w:suppressLineNumbers w:val="0"/>
              <w:tabs>
                <w:tab w:val="left" w:pos="804"/>
              </w:tabs>
              <w:overflowPunct w:val="0"/>
              <w:spacing w:before="0" w:beforeAutospacing="0" w:after="0" w:afterAutospacing="0"/>
              <w:ind w:left="0" w:right="0"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bookmarkStart w:id="252" w:name="OLE_LINK5"/>
            <w:r>
              <w:rPr>
                <w:rFonts w:hint="eastAsia" w:ascii="宋体" w:hAnsi="宋体" w:eastAsia="宋体" w:cs="宋体"/>
                <w:color w:val="000000" w:themeColor="text1"/>
                <w:sz w:val="24"/>
                <w:szCs w:val="24"/>
                <w:highlight w:val="none"/>
                <w14:textFill>
                  <w14:solidFill>
                    <w14:schemeClr w14:val="tx1"/>
                  </w14:solidFill>
                </w14:textFill>
              </w:rPr>
              <w:t>（9）投标人符合第二章“投标人须知”第 1.4.5 项规定。</w:t>
            </w:r>
            <w:bookmarkEnd w:id="252"/>
          </w:p>
        </w:tc>
      </w:tr>
      <w:tr w14:paraId="423D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375" w:hRule="atLeast"/>
          <w:jc w:val="center"/>
        </w:trPr>
        <w:tc>
          <w:tcPr>
            <w:tcW w:w="1043" w:type="dxa"/>
            <w:vAlign w:val="center"/>
          </w:tcPr>
          <w:p w14:paraId="2839BD28">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条款号</w:t>
            </w:r>
          </w:p>
        </w:tc>
        <w:tc>
          <w:tcPr>
            <w:tcW w:w="1238" w:type="dxa"/>
            <w:gridSpan w:val="3"/>
            <w:vAlign w:val="center"/>
          </w:tcPr>
          <w:p w14:paraId="5897E619">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条款内容</w:t>
            </w:r>
          </w:p>
        </w:tc>
        <w:tc>
          <w:tcPr>
            <w:tcW w:w="7830" w:type="dxa"/>
            <w:gridSpan w:val="6"/>
            <w:vAlign w:val="center"/>
          </w:tcPr>
          <w:p w14:paraId="181D94AB">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编列内容</w:t>
            </w:r>
          </w:p>
        </w:tc>
      </w:tr>
      <w:tr w14:paraId="4738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2115" w:hRule="atLeast"/>
          <w:jc w:val="center"/>
        </w:trPr>
        <w:tc>
          <w:tcPr>
            <w:tcW w:w="1043" w:type="dxa"/>
            <w:vAlign w:val="center"/>
          </w:tcPr>
          <w:p w14:paraId="33A43F61">
            <w:pPr>
              <w:pStyle w:val="81"/>
              <w:keepNext w:val="0"/>
              <w:keepLines w:val="0"/>
              <w:suppressLineNumbers w:val="0"/>
              <w:kinsoku w:val="0"/>
              <w:overflowPunct w:val="0"/>
              <w:spacing w:before="0" w:beforeAutospacing="0" w:after="0" w:afterAutospacing="0" w:line="400" w:lineRule="exact"/>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default" w:ascii="宋体" w:hAnsi="宋体"/>
                <w:color w:val="000000" w:themeColor="text1"/>
                <w:sz w:val="24"/>
                <w:highlight w:val="none"/>
                <w14:textFill>
                  <w14:solidFill>
                    <w14:schemeClr w14:val="tx1"/>
                  </w14:solidFill>
                </w14:textFill>
              </w:rPr>
              <w:t>2.2.1</w:t>
            </w:r>
          </w:p>
        </w:tc>
        <w:tc>
          <w:tcPr>
            <w:tcW w:w="1238" w:type="dxa"/>
            <w:gridSpan w:val="3"/>
            <w:vAlign w:val="center"/>
          </w:tcPr>
          <w:p w14:paraId="18EF8A2C">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第一个信封评分分值构成</w:t>
            </w:r>
          </w:p>
          <w:p w14:paraId="46A3FB1B">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(总100分）</w:t>
            </w:r>
          </w:p>
        </w:tc>
        <w:tc>
          <w:tcPr>
            <w:tcW w:w="7830" w:type="dxa"/>
            <w:gridSpan w:val="6"/>
            <w:vAlign w:val="center"/>
          </w:tcPr>
          <w:p w14:paraId="767A27C1">
            <w:pPr>
              <w:keepNext w:val="0"/>
              <w:keepLines w:val="0"/>
              <w:widowControl/>
              <w:suppressLineNumbers w:val="0"/>
              <w:spacing w:before="0" w:beforeAutospacing="0" w:after="0" w:afterAutospacing="0" w:line="40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施工组织设计（A）：</w:t>
            </w:r>
            <w:r>
              <w:rPr>
                <w:rFonts w:hint="eastAsia" w:ascii="宋体" w:hAnsi="宋体" w:cs="宋体"/>
                <w:color w:val="000000" w:themeColor="text1"/>
                <w:kern w:val="0"/>
                <w:sz w:val="24"/>
                <w:highlight w:val="none"/>
                <w:u w:val="single"/>
                <w:lang w:val="en-US" w:eastAsia="zh-CN"/>
                <w14:textFill>
                  <w14:solidFill>
                    <w14:schemeClr w14:val="tx1"/>
                  </w14:solidFill>
                </w14:textFill>
              </w:rPr>
              <w:t>35</w:t>
            </w:r>
            <w:r>
              <w:rPr>
                <w:rFonts w:hint="eastAsia" w:ascii="宋体" w:hAnsi="宋体" w:cs="宋体"/>
                <w:color w:val="000000" w:themeColor="text1"/>
                <w:kern w:val="0"/>
                <w:sz w:val="24"/>
                <w:highlight w:val="none"/>
                <w14:textFill>
                  <w14:solidFill>
                    <w14:schemeClr w14:val="tx1"/>
                  </w14:solidFill>
                </w14:textFill>
              </w:rPr>
              <w:t>分</w:t>
            </w:r>
          </w:p>
          <w:p w14:paraId="1B40A0A9">
            <w:pPr>
              <w:keepNext w:val="0"/>
              <w:keepLines w:val="0"/>
              <w:widowControl/>
              <w:suppressLineNumbers w:val="0"/>
              <w:spacing w:before="0" w:beforeAutospacing="0" w:after="0" w:afterAutospacing="0" w:line="40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主要人员（B）：</w:t>
            </w:r>
            <w:r>
              <w:rPr>
                <w:rFonts w:hint="eastAsia" w:ascii="宋体" w:hAnsi="宋体" w:cs="宋体"/>
                <w:color w:val="000000" w:themeColor="text1"/>
                <w:kern w:val="0"/>
                <w:sz w:val="24"/>
                <w:highlight w:val="none"/>
                <w:u w:val="single"/>
                <w:lang w:val="en-US" w:eastAsia="zh-CN"/>
                <w14:textFill>
                  <w14:solidFill>
                    <w14:schemeClr w14:val="tx1"/>
                  </w14:solidFill>
                </w14:textFill>
              </w:rPr>
              <w:t>25</w:t>
            </w:r>
            <w:r>
              <w:rPr>
                <w:rFonts w:hint="eastAsia" w:ascii="宋体" w:hAnsi="宋体" w:cs="宋体"/>
                <w:color w:val="000000" w:themeColor="text1"/>
                <w:kern w:val="0"/>
                <w:sz w:val="24"/>
                <w:highlight w:val="none"/>
                <w14:textFill>
                  <w14:solidFill>
                    <w14:schemeClr w14:val="tx1"/>
                  </w14:solidFill>
                </w14:textFill>
              </w:rPr>
              <w:t>分</w:t>
            </w:r>
          </w:p>
          <w:p w14:paraId="06D3D0D3">
            <w:pPr>
              <w:keepNext w:val="0"/>
              <w:keepLines w:val="0"/>
              <w:widowControl/>
              <w:suppressLineNumbers w:val="0"/>
              <w:spacing w:before="0" w:beforeAutospacing="0" w:after="0" w:afterAutospacing="0" w:line="400" w:lineRule="exact"/>
              <w:ind w:left="0" w:right="0"/>
              <w:rPr>
                <w:rFonts w:hint="default"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其他因素（C）：</w:t>
            </w:r>
          </w:p>
          <w:p w14:paraId="248DE2E9">
            <w:pPr>
              <w:keepNext w:val="0"/>
              <w:keepLines w:val="0"/>
              <w:widowControl/>
              <w:suppressLineNumbers w:val="0"/>
              <w:spacing w:before="0" w:beforeAutospacing="0" w:after="0" w:afterAutospacing="0" w:line="400" w:lineRule="exact"/>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技术能力：</w:t>
            </w:r>
            <w:r>
              <w:rPr>
                <w:rFonts w:hint="eastAsia" w:ascii="宋体" w:hAnsi="宋体" w:cs="宋体"/>
                <w:color w:val="000000" w:themeColor="text1"/>
                <w:kern w:val="0"/>
                <w:sz w:val="24"/>
                <w:highlight w:val="none"/>
                <w:u w:val="single"/>
                <w14:textFill>
                  <w14:solidFill>
                    <w14:schemeClr w14:val="tx1"/>
                  </w14:solidFill>
                </w14:textFill>
              </w:rPr>
              <w:t>20</w:t>
            </w:r>
            <w:r>
              <w:rPr>
                <w:rFonts w:hint="eastAsia" w:ascii="宋体" w:hAnsi="宋体" w:cs="宋体"/>
                <w:color w:val="000000" w:themeColor="text1"/>
                <w:kern w:val="0"/>
                <w:sz w:val="24"/>
                <w:highlight w:val="none"/>
                <w14:textFill>
                  <w14:solidFill>
                    <w14:schemeClr w14:val="tx1"/>
                  </w14:solidFill>
                </w14:textFill>
              </w:rPr>
              <w:t>分</w:t>
            </w:r>
          </w:p>
          <w:p w14:paraId="51A8C014">
            <w:pPr>
              <w:keepNext w:val="0"/>
              <w:keepLines w:val="0"/>
              <w:widowControl/>
              <w:suppressLineNumbers w:val="0"/>
              <w:spacing w:before="0" w:beforeAutospacing="0" w:after="0" w:afterAutospacing="0" w:line="400" w:lineRule="exact"/>
              <w:ind w:left="0" w:right="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履约信誉：</w:t>
            </w:r>
            <w:r>
              <w:rPr>
                <w:rFonts w:hint="eastAsia" w:ascii="宋体" w:hAnsi="宋体" w:cs="宋体"/>
                <w:color w:val="000000" w:themeColor="text1"/>
                <w:kern w:val="0"/>
                <w:sz w:val="24"/>
                <w:highlight w:val="none"/>
                <w:u w:val="single"/>
                <w:lang w:val="en-US" w:eastAsia="zh-CN"/>
                <w14:textFill>
                  <w14:solidFill>
                    <w14:schemeClr w14:val="tx1"/>
                  </w14:solidFill>
                </w14:textFill>
              </w:rPr>
              <w:t>20</w:t>
            </w:r>
            <w:r>
              <w:rPr>
                <w:rFonts w:hint="eastAsia" w:ascii="宋体" w:hAnsi="宋体" w:cs="宋体"/>
                <w:color w:val="000000" w:themeColor="text1"/>
                <w:kern w:val="0"/>
                <w:sz w:val="24"/>
                <w:highlight w:val="none"/>
                <w14:textFill>
                  <w14:solidFill>
                    <w14:schemeClr w14:val="tx1"/>
                  </w14:solidFill>
                </w14:textFill>
              </w:rPr>
              <w:t>分</w:t>
            </w:r>
          </w:p>
        </w:tc>
      </w:tr>
      <w:tr w14:paraId="470B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4217" w:hRule="atLeast"/>
          <w:jc w:val="center"/>
        </w:trPr>
        <w:tc>
          <w:tcPr>
            <w:tcW w:w="1043" w:type="dxa"/>
            <w:vAlign w:val="center"/>
          </w:tcPr>
          <w:p w14:paraId="074B3348">
            <w:pPr>
              <w:pStyle w:val="81"/>
              <w:keepNext w:val="0"/>
              <w:keepLines w:val="0"/>
              <w:suppressLineNumbers w:val="0"/>
              <w:kinsoku w:val="0"/>
              <w:overflowPunct w:val="0"/>
              <w:spacing w:before="0" w:beforeAutospacing="0" w:after="0" w:afterAutospacing="0" w:line="360" w:lineRule="auto"/>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2.2.3</w:t>
            </w:r>
          </w:p>
        </w:tc>
        <w:tc>
          <w:tcPr>
            <w:tcW w:w="1238" w:type="dxa"/>
            <w:gridSpan w:val="3"/>
            <w:vAlign w:val="center"/>
          </w:tcPr>
          <w:p w14:paraId="1D9F19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第二个信封详细评审标准</w:t>
            </w:r>
          </w:p>
        </w:tc>
        <w:tc>
          <w:tcPr>
            <w:tcW w:w="7830" w:type="dxa"/>
            <w:gridSpan w:val="6"/>
            <w:vAlign w:val="center"/>
          </w:tcPr>
          <w:p w14:paraId="24CE64CC">
            <w:pPr>
              <w:keepNext w:val="0"/>
              <w:keepLines w:val="0"/>
              <w:widowControl/>
              <w:suppressLineNumbers w:val="0"/>
              <w:spacing w:before="0" w:beforeAutospacing="0" w:after="0" w:afterAutospacing="0" w:line="360" w:lineRule="auto"/>
              <w:ind w:left="0" w:right="0"/>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评标价的评审：</w:t>
            </w:r>
          </w:p>
          <w:p w14:paraId="3DC4E8D0">
            <w:pPr>
              <w:keepNext w:val="0"/>
              <w:keepLines w:val="0"/>
              <w:widowControl/>
              <w:suppressLineNumbers w:val="0"/>
              <w:spacing w:before="0" w:beforeAutospacing="0" w:after="0" w:afterAutospacing="0" w:line="360" w:lineRule="auto"/>
              <w:ind w:left="0" w:right="0"/>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(1)评标价计算公式：</w:t>
            </w:r>
          </w:p>
          <w:p w14:paraId="35703D64">
            <w:pPr>
              <w:keepNext w:val="0"/>
              <w:keepLines w:val="0"/>
              <w:widowControl/>
              <w:suppressLineNumbers w:val="0"/>
              <w:spacing w:before="0" w:beforeAutospacing="0" w:after="0" w:afterAutospacing="0" w:line="360" w:lineRule="auto"/>
              <w:ind w:left="0" w:right="0"/>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 xml:space="preserve">评标价=修正后的投标总报价一暂估价一暂列金额 (不含计日工总额) </w:t>
            </w:r>
          </w:p>
          <w:p w14:paraId="0B5F18F9">
            <w:pPr>
              <w:keepNext w:val="0"/>
              <w:keepLines w:val="0"/>
              <w:widowControl/>
              <w:suppressLineNumbers w:val="0"/>
              <w:spacing w:before="0" w:beforeAutospacing="0" w:after="0" w:afterAutospacing="0" w:line="360" w:lineRule="auto"/>
              <w:ind w:left="0" w:right="0" w:firstLine="480"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 xml:space="preserve">若投标人的评标价小于最高投标限价85％的，启动澄清程序，要求投标人作出书面说明并提供相关证明材料。投标人不能合理说明或者不能提供相关证明资料的，评标委员会认定该投标人以低于成本报价竞标，否决其投标。当所有投标人的投标因此种情况被否决；或当因此种情况被否决部分投标人后，有效投标人不足三家，评标委员会认为竞争不足的情况出现时，评标委员会可以否决全部投标。未否决全部投标的，评标委员会应当在评标报告中阐明理由并推荐中标候选人。 </w:t>
            </w:r>
          </w:p>
        </w:tc>
      </w:tr>
      <w:tr w14:paraId="637B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9" w:type="dxa"/>
          <w:wAfter w:w="76" w:type="dxa"/>
          <w:trHeight w:val="2295" w:hRule="atLeast"/>
          <w:jc w:val="center"/>
        </w:trPr>
        <w:tc>
          <w:tcPr>
            <w:tcW w:w="1043" w:type="dxa"/>
            <w:vAlign w:val="center"/>
          </w:tcPr>
          <w:p w14:paraId="77F71BC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3.2.4</w:t>
            </w:r>
          </w:p>
        </w:tc>
        <w:tc>
          <w:tcPr>
            <w:tcW w:w="1238" w:type="dxa"/>
            <w:gridSpan w:val="3"/>
            <w:vAlign w:val="center"/>
          </w:tcPr>
          <w:p w14:paraId="174A7E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通过第一个信封详细评审的投标人数量</w:t>
            </w:r>
          </w:p>
        </w:tc>
        <w:tc>
          <w:tcPr>
            <w:tcW w:w="7830" w:type="dxa"/>
            <w:gridSpan w:val="6"/>
            <w:vAlign w:val="center"/>
          </w:tcPr>
          <w:p w14:paraId="2B230898">
            <w:pPr>
              <w:keepNext w:val="0"/>
              <w:keepLines w:val="0"/>
              <w:widowControl/>
              <w:suppressLineNumbers w:val="0"/>
              <w:spacing w:before="0" w:beforeAutospacing="0" w:after="0" w:afterAutospacing="0" w:line="360" w:lineRule="auto"/>
              <w:ind w:left="0" w:right="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按照投标人的商务和技术得分由高到低排序，选择前5名（不少于3名但不足5名时，按全部实际数量）通过详细评审。</w:t>
            </w:r>
          </w:p>
        </w:tc>
      </w:tr>
      <w:tr w14:paraId="3381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 w:type="dxa"/>
          <w:jc w:val="center"/>
        </w:trPr>
        <w:tc>
          <w:tcPr>
            <w:tcW w:w="10130" w:type="dxa"/>
            <w:gridSpan w:val="11"/>
          </w:tcPr>
          <w:p w14:paraId="7991BE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评分因素与权重分值</w:t>
            </w:r>
          </w:p>
        </w:tc>
      </w:tr>
      <w:tr w14:paraId="05D5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 w:type="dxa"/>
          <w:jc w:val="center"/>
        </w:trPr>
        <w:tc>
          <w:tcPr>
            <w:tcW w:w="1236" w:type="dxa"/>
            <w:gridSpan w:val="3"/>
            <w:vAlign w:val="center"/>
          </w:tcPr>
          <w:p w14:paraId="3EE9B054">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条款号</w:t>
            </w:r>
          </w:p>
        </w:tc>
        <w:tc>
          <w:tcPr>
            <w:tcW w:w="1089" w:type="dxa"/>
            <w:gridSpan w:val="3"/>
            <w:vAlign w:val="center"/>
          </w:tcPr>
          <w:p w14:paraId="16DBFDEF">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评分因素</w:t>
            </w:r>
          </w:p>
        </w:tc>
        <w:tc>
          <w:tcPr>
            <w:tcW w:w="800" w:type="dxa"/>
            <w:vAlign w:val="center"/>
          </w:tcPr>
          <w:p w14:paraId="6D4D03BC">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评分因素权重</w:t>
            </w:r>
          </w:p>
        </w:tc>
        <w:tc>
          <w:tcPr>
            <w:tcW w:w="1175" w:type="dxa"/>
            <w:vAlign w:val="center"/>
          </w:tcPr>
          <w:p w14:paraId="60E73E2F">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各评分因素细分项</w:t>
            </w:r>
          </w:p>
        </w:tc>
        <w:tc>
          <w:tcPr>
            <w:tcW w:w="837" w:type="dxa"/>
            <w:vAlign w:val="center"/>
          </w:tcPr>
          <w:p w14:paraId="02C5BD01">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分值</w:t>
            </w:r>
          </w:p>
        </w:tc>
        <w:tc>
          <w:tcPr>
            <w:tcW w:w="4993" w:type="dxa"/>
            <w:gridSpan w:val="2"/>
            <w:vAlign w:val="center"/>
          </w:tcPr>
          <w:p w14:paraId="3EEDEBC7">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评分标准</w:t>
            </w:r>
          </w:p>
        </w:tc>
      </w:tr>
      <w:tr w14:paraId="274D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76" w:type="dxa"/>
          <w:jc w:val="center"/>
        </w:trPr>
        <w:tc>
          <w:tcPr>
            <w:tcW w:w="1236" w:type="dxa"/>
            <w:gridSpan w:val="3"/>
            <w:vMerge w:val="restart"/>
            <w:vAlign w:val="center"/>
          </w:tcPr>
          <w:p w14:paraId="1920B04D">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2.2.2</w:t>
            </w:r>
          </w:p>
          <w:p w14:paraId="1E399D7F">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w:t>
            </w:r>
          </w:p>
        </w:tc>
        <w:tc>
          <w:tcPr>
            <w:tcW w:w="1089" w:type="dxa"/>
            <w:gridSpan w:val="3"/>
            <w:vMerge w:val="restart"/>
            <w:vAlign w:val="center"/>
          </w:tcPr>
          <w:p w14:paraId="62436B43">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p>
          <w:p w14:paraId="1EDF3D42">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bookmarkStart w:id="253" w:name="OLE_LINK8"/>
            <w:r>
              <w:rPr>
                <w:rFonts w:hint="eastAsia" w:ascii="宋体" w:hAnsi="宋体" w:eastAsia="宋体" w:cs="宋体"/>
                <w:color w:val="000000" w:themeColor="text1"/>
                <w:kern w:val="0"/>
                <w:sz w:val="24"/>
                <w:szCs w:val="24"/>
                <w:highlight w:val="none"/>
                <w14:textFill>
                  <w14:solidFill>
                    <w14:schemeClr w14:val="tx1"/>
                  </w14:solidFill>
                </w14:textFill>
              </w:rPr>
              <w:t>施工组织设计</w:t>
            </w:r>
          </w:p>
          <w:bookmarkEnd w:id="253"/>
          <w:p w14:paraId="457395B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0" w:type="dxa"/>
            <w:vMerge w:val="restart"/>
            <w:vAlign w:val="center"/>
          </w:tcPr>
          <w:p w14:paraId="7578B392">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35</w:t>
            </w:r>
            <w:r>
              <w:rPr>
                <w:rFonts w:hint="eastAsia" w:ascii="宋体" w:hAnsi="宋体" w:eastAsia="宋体" w:cs="宋体"/>
                <w:color w:val="000000" w:themeColor="text1"/>
                <w:kern w:val="0"/>
                <w:sz w:val="24"/>
                <w:szCs w:val="24"/>
                <w:highlight w:val="none"/>
                <w14:textFill>
                  <w14:solidFill>
                    <w14:schemeClr w14:val="tx1"/>
                  </w14:solidFill>
                </w14:textFill>
              </w:rPr>
              <w:t>分</w:t>
            </w:r>
          </w:p>
        </w:tc>
        <w:tc>
          <w:tcPr>
            <w:tcW w:w="1175" w:type="dxa"/>
            <w:vAlign w:val="center"/>
          </w:tcPr>
          <w:p w14:paraId="7E3C792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总体施工组织布置及规划</w:t>
            </w:r>
          </w:p>
        </w:tc>
        <w:tc>
          <w:tcPr>
            <w:tcW w:w="837" w:type="dxa"/>
            <w:vAlign w:val="center"/>
          </w:tcPr>
          <w:p w14:paraId="6222F4C0">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15</w:t>
            </w:r>
            <w:r>
              <w:rPr>
                <w:rFonts w:hint="eastAsia" w:ascii="宋体" w:hAnsi="宋体" w:cs="宋体"/>
                <w:color w:val="000000" w:themeColor="text1"/>
                <w:kern w:val="0"/>
                <w:sz w:val="24"/>
                <w:highlight w:val="none"/>
                <w14:textFill>
                  <w14:solidFill>
                    <w14:schemeClr w14:val="tx1"/>
                  </w14:solidFill>
                </w14:textFill>
              </w:rPr>
              <w:t>分</w:t>
            </w:r>
          </w:p>
        </w:tc>
        <w:tc>
          <w:tcPr>
            <w:tcW w:w="4993" w:type="dxa"/>
            <w:gridSpan w:val="2"/>
            <w:vAlign w:val="center"/>
          </w:tcPr>
          <w:p w14:paraId="3BF74AA1">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对项目的基本情况了解全面、准确，施工总体布置规划、施工进度计划科学合理、可操作性强，按《广东省公路工程施工标准化指南》及《广东省高速公路工程施工安全标准化指南》《公路工程施工安全防护设施技术指南》执行</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得</w:t>
            </w:r>
            <w:r>
              <w:rPr>
                <w:rFonts w:hint="eastAsia" w:ascii="宋体" w:hAnsi="宋体" w:cs="宋体"/>
                <w:color w:val="000000" w:themeColor="text1"/>
                <w:sz w:val="24"/>
                <w:highlight w:val="none"/>
                <w:u w:val="single"/>
                <w14:textFill>
                  <w14:solidFill>
                    <w14:schemeClr w14:val="tx1"/>
                  </w14:solidFill>
                </w14:textFill>
              </w:rPr>
              <w:t>12</w:t>
            </w:r>
            <w:r>
              <w:rPr>
                <w:rFonts w:hint="eastAsia" w:ascii="宋体" w:hAnsi="宋体" w:cs="宋体"/>
                <w:color w:val="000000" w:themeColor="text1"/>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～15</w:t>
            </w:r>
            <w:r>
              <w:rPr>
                <w:rFonts w:hint="eastAsia" w:ascii="宋体" w:hAnsi="宋体" w:cs="宋体"/>
                <w:color w:val="000000" w:themeColor="text1"/>
                <w:kern w:val="0"/>
                <w:sz w:val="24"/>
                <w:highlight w:val="none"/>
                <w14:textFill>
                  <w14:solidFill>
                    <w14:schemeClr w14:val="tx1"/>
                  </w14:solidFill>
                </w14:textFill>
              </w:rPr>
              <w:t>分；</w:t>
            </w:r>
          </w:p>
          <w:p w14:paraId="4EA5CC5A">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（2）满足工程建设需要，施工总体布置规划、施工进度计划基本可行，得</w:t>
            </w:r>
            <w:r>
              <w:rPr>
                <w:rFonts w:hint="eastAsia" w:ascii="宋体" w:hAnsi="宋体" w:cs="宋体"/>
                <w:color w:val="000000" w:themeColor="text1"/>
                <w:sz w:val="24"/>
                <w:highlight w:val="none"/>
                <w:u w:val="single"/>
                <w14:textFill>
                  <w14:solidFill>
                    <w14:schemeClr w14:val="tx1"/>
                  </w14:solidFill>
                </w14:textFill>
              </w:rPr>
              <w:t>9</w:t>
            </w:r>
            <w:r>
              <w:rPr>
                <w:rFonts w:hint="eastAsia" w:ascii="宋体" w:hAnsi="宋体" w:cs="宋体"/>
                <w:color w:val="000000" w:themeColor="text1"/>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～12</w:t>
            </w:r>
            <w:r>
              <w:rPr>
                <w:rFonts w:hint="eastAsia" w:ascii="宋体" w:hAnsi="宋体" w:cs="宋体"/>
                <w:color w:val="000000" w:themeColor="text1"/>
                <w:kern w:val="0"/>
                <w:sz w:val="24"/>
                <w:highlight w:val="none"/>
                <w14:textFill>
                  <w14:solidFill>
                    <w14:schemeClr w14:val="tx1"/>
                  </w14:solidFill>
                </w14:textFill>
              </w:rPr>
              <w:t>分；</w:t>
            </w:r>
          </w:p>
          <w:p w14:paraId="1F7816B0">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（3）一般但不被评定为不响应的,</w:t>
            </w:r>
            <w:r>
              <w:rPr>
                <w:rFonts w:hint="eastAsia" w:ascii="宋体" w:hAnsi="宋体" w:cs="宋体"/>
                <w:color w:val="000000" w:themeColor="text1"/>
                <w:kern w:val="0"/>
                <w:sz w:val="24"/>
                <w:highlight w:val="none"/>
                <w:lang w:val="en-US" w:eastAsia="zh-CN"/>
                <w14:textFill>
                  <w14:solidFill>
                    <w14:schemeClr w14:val="tx1"/>
                  </w14:solidFill>
                </w14:textFill>
              </w:rPr>
              <w:t>得</w:t>
            </w:r>
            <w:r>
              <w:rPr>
                <w:rFonts w:hint="eastAsia" w:ascii="宋体" w:hAnsi="宋体" w:cs="宋体"/>
                <w:color w:val="000000" w:themeColor="text1"/>
                <w:kern w:val="0"/>
                <w:sz w:val="24"/>
                <w:highlight w:val="none"/>
                <w:u w:val="single"/>
                <w14:textFill>
                  <w14:solidFill>
                    <w14:schemeClr w14:val="tx1"/>
                  </w14:solidFill>
                </w14:textFill>
              </w:rPr>
              <w:t>9</w:t>
            </w:r>
            <w:r>
              <w:rPr>
                <w:rFonts w:hint="eastAsia" w:ascii="宋体" w:hAnsi="宋体" w:cs="宋体"/>
                <w:color w:val="000000" w:themeColor="text1"/>
                <w:kern w:val="0"/>
                <w:sz w:val="24"/>
                <w:highlight w:val="none"/>
                <w14:textFill>
                  <w14:solidFill>
                    <w14:schemeClr w14:val="tx1"/>
                  </w14:solidFill>
                </w14:textFill>
              </w:rPr>
              <w:t>分。</w:t>
            </w:r>
          </w:p>
        </w:tc>
      </w:tr>
      <w:tr w14:paraId="52BF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0" w:hRule="atLeast"/>
          <w:jc w:val="center"/>
        </w:trPr>
        <w:tc>
          <w:tcPr>
            <w:tcW w:w="1236" w:type="dxa"/>
            <w:gridSpan w:val="3"/>
            <w:vMerge w:val="continue"/>
            <w:vAlign w:val="center"/>
          </w:tcPr>
          <w:p w14:paraId="3DFCF35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089" w:type="dxa"/>
            <w:gridSpan w:val="3"/>
            <w:vMerge w:val="continue"/>
            <w:vAlign w:val="center"/>
          </w:tcPr>
          <w:p w14:paraId="0E7C8BA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0" w:type="dxa"/>
            <w:vMerge w:val="continue"/>
            <w:vAlign w:val="center"/>
          </w:tcPr>
          <w:p w14:paraId="60506C42">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75" w:type="dxa"/>
            <w:vAlign w:val="center"/>
          </w:tcPr>
          <w:p w14:paraId="70C3FF8D">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重点、难点和关键工程的施工方案与技术措施</w:t>
            </w:r>
          </w:p>
        </w:tc>
        <w:tc>
          <w:tcPr>
            <w:tcW w:w="837" w:type="dxa"/>
            <w:vAlign w:val="center"/>
          </w:tcPr>
          <w:p w14:paraId="4FD0537E">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1</w:t>
            </w:r>
            <w:r>
              <w:rPr>
                <w:rFonts w:hint="eastAsia" w:ascii="宋体" w:hAnsi="宋体" w:cs="宋体"/>
                <w:color w:val="000000" w:themeColor="text1"/>
                <w:kern w:val="0"/>
                <w:sz w:val="24"/>
                <w:highlight w:val="none"/>
                <w:u w:val="single"/>
                <w:lang w:val="en-US" w:eastAsia="zh-CN"/>
                <w14:textFill>
                  <w14:solidFill>
                    <w14:schemeClr w14:val="tx1"/>
                  </w14:solidFill>
                </w14:textFill>
              </w:rPr>
              <w:t>0</w:t>
            </w:r>
            <w:r>
              <w:rPr>
                <w:rFonts w:hint="eastAsia" w:ascii="宋体" w:hAnsi="宋体" w:cs="宋体"/>
                <w:color w:val="000000" w:themeColor="text1"/>
                <w:kern w:val="0"/>
                <w:sz w:val="24"/>
                <w:highlight w:val="none"/>
                <w14:textFill>
                  <w14:solidFill>
                    <w14:schemeClr w14:val="tx1"/>
                  </w14:solidFill>
                </w14:textFill>
              </w:rPr>
              <w:t>分</w:t>
            </w:r>
          </w:p>
        </w:tc>
        <w:tc>
          <w:tcPr>
            <w:tcW w:w="4993" w:type="dxa"/>
            <w:gridSpan w:val="2"/>
            <w:vAlign w:val="center"/>
          </w:tcPr>
          <w:p w14:paraId="74E4C122">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360" w:lineRule="auto"/>
              <w:ind w:left="0" w:right="0"/>
              <w:jc w:val="left"/>
              <w:textAlignment w:val="auto"/>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对项目重点、难点和关键工程认识分析透彻，能充分发挥自身优势，积极采用“四新”技术，制定的施工方案与技术措施针对性和可操作性强，重点突出的，按《广东省公路工程施工标准化指南》及《广东省高速公路工程施工安全标准化指南》《公路工程施工安全防护设施技术指南》执行</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得</w:t>
            </w:r>
            <w:r>
              <w:rPr>
                <w:rFonts w:hint="eastAsia" w:ascii="宋体" w:hAnsi="宋体" w:cs="宋体"/>
                <w:color w:val="000000" w:themeColor="text1"/>
                <w:sz w:val="24"/>
                <w:highlight w:val="none"/>
                <w:u w:val="single"/>
                <w14:textFill>
                  <w14:solidFill>
                    <w14:schemeClr w14:val="tx1"/>
                  </w14:solidFill>
                </w14:textFill>
              </w:rPr>
              <w:t>8</w:t>
            </w:r>
            <w:r>
              <w:rPr>
                <w:rFonts w:hint="eastAsia" w:ascii="宋体" w:hAnsi="宋体" w:cs="宋体"/>
                <w:color w:val="000000" w:themeColor="text1"/>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 xml:space="preserve">分； </w:t>
            </w:r>
          </w:p>
          <w:p w14:paraId="3729A1C8">
            <w:pPr>
              <w:keepNext w:val="0"/>
              <w:keepLines w:val="0"/>
              <w:pageBreakBefore w:val="0"/>
              <w:widowControl/>
              <w:suppressLineNumbers w:val="0"/>
              <w:kinsoku/>
              <w:overflowPunct/>
              <w:autoSpaceDE/>
              <w:autoSpaceDN/>
              <w:bidi w:val="0"/>
              <w:adjustRightInd/>
              <w:snapToGrid/>
              <w:spacing w:before="0" w:beforeAutospacing="0" w:after="0" w:afterAutospacing="0" w:line="360" w:lineRule="auto"/>
              <w:ind w:left="0" w:right="0"/>
              <w:jc w:val="left"/>
              <w:textAlignment w:val="auto"/>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（2）对项目重点、难点和关键工程认识基本到位，施工方案与技术措施基本可行，重点较为突出的，得</w:t>
            </w:r>
            <w:r>
              <w:rPr>
                <w:rFonts w:hint="eastAsia" w:ascii="宋体" w:hAnsi="宋体" w:cs="宋体"/>
                <w:color w:val="000000" w:themeColor="text1"/>
                <w:kern w:val="0"/>
                <w:sz w:val="24"/>
                <w:highlight w:val="none"/>
                <w:u w:val="single"/>
                <w14:textFill>
                  <w14:solidFill>
                    <w14:schemeClr w14:val="tx1"/>
                  </w14:solidFill>
                </w14:textFill>
              </w:rPr>
              <w:t>6</w:t>
            </w:r>
            <w:r>
              <w:rPr>
                <w:rFonts w:hint="eastAsia" w:ascii="宋体" w:hAnsi="宋体" w:cs="宋体"/>
                <w:color w:val="000000" w:themeColor="text1"/>
                <w:kern w:val="0"/>
                <w:sz w:val="24"/>
                <w:highlight w:val="none"/>
                <w:u w:val="single"/>
                <w:lang w:val="en-US" w:eastAsia="zh-CN"/>
                <w14:textFill>
                  <w14:solidFill>
                    <w14:schemeClr w14:val="tx1"/>
                  </w14:solidFill>
                </w14:textFill>
              </w:rPr>
              <w:t>.1</w:t>
            </w:r>
            <w:r>
              <w:rPr>
                <w:rFonts w:hint="eastAsia" w:ascii="宋体" w:hAnsi="宋体" w:cs="宋体"/>
                <w:color w:val="000000" w:themeColor="text1"/>
                <w:sz w:val="24"/>
                <w:highlight w:val="none"/>
                <w:u w:val="single"/>
                <w14:textFill>
                  <w14:solidFill>
                    <w14:schemeClr w14:val="tx1"/>
                  </w14:solidFill>
                </w14:textFill>
              </w:rPr>
              <w:t>～8</w:t>
            </w:r>
            <w:r>
              <w:rPr>
                <w:rFonts w:hint="eastAsia" w:ascii="宋体" w:hAnsi="宋体" w:cs="宋体"/>
                <w:color w:val="000000" w:themeColor="text1"/>
                <w:kern w:val="0"/>
                <w:sz w:val="24"/>
                <w:highlight w:val="none"/>
                <w14:textFill>
                  <w14:solidFill>
                    <w14:schemeClr w14:val="tx1"/>
                  </w14:solidFill>
                </w14:textFill>
              </w:rPr>
              <w:t xml:space="preserve">分； </w:t>
            </w:r>
          </w:p>
          <w:p w14:paraId="340488BB">
            <w:pPr>
              <w:keepNext w:val="0"/>
              <w:keepLines w:val="0"/>
              <w:pageBreakBefore w:val="0"/>
              <w:widowControl/>
              <w:suppressLineNumbers w:val="0"/>
              <w:kinsoku/>
              <w:overflowPunct/>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（3）一般但不被评定为不响应的,</w:t>
            </w:r>
            <w:r>
              <w:rPr>
                <w:rFonts w:hint="eastAsia" w:ascii="宋体" w:hAnsi="宋体" w:cs="宋体"/>
                <w:color w:val="000000" w:themeColor="text1"/>
                <w:kern w:val="0"/>
                <w:sz w:val="24"/>
                <w:highlight w:val="none"/>
                <w:lang w:val="en-US" w:eastAsia="zh-CN"/>
                <w14:textFill>
                  <w14:solidFill>
                    <w14:schemeClr w14:val="tx1"/>
                  </w14:solidFill>
                </w14:textFill>
              </w:rPr>
              <w:t>得6</w:t>
            </w:r>
            <w:r>
              <w:rPr>
                <w:rFonts w:hint="eastAsia" w:ascii="宋体" w:hAnsi="宋体" w:cs="宋体"/>
                <w:color w:val="000000" w:themeColor="text1"/>
                <w:kern w:val="0"/>
                <w:sz w:val="24"/>
                <w:highlight w:val="none"/>
                <w14:textFill>
                  <w14:solidFill>
                    <w14:schemeClr w14:val="tx1"/>
                  </w14:solidFill>
                </w14:textFill>
              </w:rPr>
              <w:t>分。</w:t>
            </w:r>
          </w:p>
        </w:tc>
        <w:tc>
          <w:tcPr>
            <w:tcW w:w="76" w:type="dxa"/>
            <w:gridSpan w:val="2"/>
            <w:vAlign w:val="center"/>
          </w:tcPr>
          <w:p w14:paraId="4D4C9E2A">
            <w:pPr>
              <w:keepNext w:val="0"/>
              <w:keepLines w:val="0"/>
              <w:widowControl/>
              <w:suppressLineNumbers w:val="0"/>
              <w:spacing w:before="0" w:beforeAutospacing="0" w:after="0" w:afterAutospacing="0" w:line="400" w:lineRule="exact"/>
              <w:ind w:left="0" w:right="0"/>
              <w:jc w:val="center"/>
              <w:rPr>
                <w:rFonts w:hint="default"/>
                <w:color w:val="000000" w:themeColor="text1"/>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重点、难点和关键工程的施工方案与技术措施</w:t>
            </w:r>
          </w:p>
        </w:tc>
      </w:tr>
      <w:tr w14:paraId="2FDC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gridSpan w:val="3"/>
            <w:vMerge w:val="continue"/>
            <w:vAlign w:val="center"/>
          </w:tcPr>
          <w:p w14:paraId="26FCEB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089" w:type="dxa"/>
            <w:gridSpan w:val="3"/>
            <w:vMerge w:val="continue"/>
            <w:vAlign w:val="center"/>
          </w:tcPr>
          <w:p w14:paraId="1D59633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800" w:type="dxa"/>
            <w:vMerge w:val="continue"/>
            <w:vAlign w:val="center"/>
          </w:tcPr>
          <w:p w14:paraId="23AF878E">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75" w:type="dxa"/>
            <w:vAlign w:val="center"/>
          </w:tcPr>
          <w:p w14:paraId="2F2185D9">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工期、质量、安全、环保水保、文明施工保证措施</w:t>
            </w:r>
          </w:p>
        </w:tc>
        <w:tc>
          <w:tcPr>
            <w:tcW w:w="837" w:type="dxa"/>
            <w:vAlign w:val="center"/>
          </w:tcPr>
          <w:p w14:paraId="03F51D8B">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分</w:t>
            </w:r>
          </w:p>
        </w:tc>
        <w:tc>
          <w:tcPr>
            <w:tcW w:w="5069" w:type="dxa"/>
            <w:gridSpan w:val="4"/>
            <w:vAlign w:val="center"/>
          </w:tcPr>
          <w:p w14:paraId="661D11D8">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能够准确预判分析工期、质量、安全、环保、水保、文明施工目标实现的主要影响因素，拟采取预防保证措施针对性强、科学有效，重点突出的，按《广东省公路工程施工标准化指南》及《广东省高速公路工程施工安全标准化指南》《公路工程施工安全防护设施技术指南》执行，得</w:t>
            </w:r>
            <w:r>
              <w:rPr>
                <w:rFonts w:hint="eastAsia" w:ascii="宋体" w:hAnsi="宋体" w:cs="宋体"/>
                <w:color w:val="000000" w:themeColor="text1"/>
                <w:kern w:val="0"/>
                <w:sz w:val="24"/>
                <w:highlight w:val="none"/>
                <w:u w:val="single"/>
                <w14:textFill>
                  <w14:solidFill>
                    <w14:schemeClr w14:val="tx1"/>
                  </w14:solidFill>
                </w14:textFill>
              </w:rPr>
              <w:t>8</w:t>
            </w:r>
            <w:r>
              <w:rPr>
                <w:rFonts w:hint="eastAsia" w:ascii="宋体" w:hAnsi="宋体" w:cs="宋体"/>
                <w:color w:val="000000" w:themeColor="text1"/>
                <w:kern w:val="0"/>
                <w:sz w:val="24"/>
                <w:highlight w:val="none"/>
                <w:u w:val="single"/>
                <w:lang w:val="en-US" w:eastAsia="zh-CN"/>
                <w14:textFill>
                  <w14:solidFill>
                    <w14:schemeClr w14:val="tx1"/>
                  </w14:solidFill>
                </w14:textFill>
              </w:rPr>
              <w:t>.1</w:t>
            </w:r>
            <w:r>
              <w:rPr>
                <w:rFonts w:hint="eastAsia" w:ascii="宋体" w:hAnsi="宋体" w:cs="宋体"/>
                <w:color w:val="000000" w:themeColor="text1"/>
                <w:kern w:val="0"/>
                <w:sz w:val="24"/>
                <w:highlight w:val="none"/>
                <w:u w:val="single"/>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 xml:space="preserve">分； </w:t>
            </w:r>
          </w:p>
          <w:p w14:paraId="0C59195D">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（2）对工期、质量、安全、环保、水保等风险有一定认识，预防保证措施基本可行，重点较为突出的，得</w:t>
            </w:r>
            <w:r>
              <w:rPr>
                <w:rFonts w:hint="eastAsia" w:ascii="宋体" w:hAnsi="宋体" w:cs="宋体"/>
                <w:color w:val="000000" w:themeColor="text1"/>
                <w:kern w:val="0"/>
                <w:sz w:val="24"/>
                <w:highlight w:val="none"/>
                <w:u w:val="single"/>
                <w14:textFill>
                  <w14:solidFill>
                    <w14:schemeClr w14:val="tx1"/>
                  </w14:solidFill>
                </w14:textFill>
              </w:rPr>
              <w:t>6</w:t>
            </w:r>
            <w:r>
              <w:rPr>
                <w:rFonts w:hint="eastAsia" w:ascii="宋体" w:hAnsi="宋体" w:cs="宋体"/>
                <w:color w:val="000000" w:themeColor="text1"/>
                <w:kern w:val="0"/>
                <w:sz w:val="24"/>
                <w:highlight w:val="none"/>
                <w:u w:val="single"/>
                <w:lang w:val="en-US" w:eastAsia="zh-CN"/>
                <w14:textFill>
                  <w14:solidFill>
                    <w14:schemeClr w14:val="tx1"/>
                  </w14:solidFill>
                </w14:textFill>
              </w:rPr>
              <w:t>.1</w:t>
            </w:r>
            <w:r>
              <w:rPr>
                <w:rFonts w:hint="eastAsia" w:ascii="宋体" w:hAnsi="宋体" w:cs="宋体"/>
                <w:color w:val="000000" w:themeColor="text1"/>
                <w:kern w:val="0"/>
                <w:sz w:val="24"/>
                <w:highlight w:val="none"/>
                <w:u w:val="single"/>
                <w14:textFill>
                  <w14:solidFill>
                    <w14:schemeClr w14:val="tx1"/>
                  </w14:solidFill>
                </w14:textFill>
              </w:rPr>
              <w:t>～8</w:t>
            </w:r>
            <w:r>
              <w:rPr>
                <w:rFonts w:hint="eastAsia" w:ascii="宋体" w:hAnsi="宋体" w:cs="宋体"/>
                <w:color w:val="000000" w:themeColor="text1"/>
                <w:kern w:val="0"/>
                <w:sz w:val="24"/>
                <w:highlight w:val="none"/>
                <w14:textFill>
                  <w14:solidFill>
                    <w14:schemeClr w14:val="tx1"/>
                  </w14:solidFill>
                </w14:textFill>
              </w:rPr>
              <w:t xml:space="preserve">分； </w:t>
            </w:r>
          </w:p>
          <w:p w14:paraId="6DC88279">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（3）一般但不被评定为不响应的, </w:t>
            </w:r>
            <w:r>
              <w:rPr>
                <w:rFonts w:hint="eastAsia" w:ascii="宋体" w:hAnsi="宋体" w:cs="宋体"/>
                <w:color w:val="000000" w:themeColor="text1"/>
                <w:kern w:val="0"/>
                <w:sz w:val="24"/>
                <w:highlight w:val="none"/>
                <w:lang w:val="en-US" w:eastAsia="zh-CN"/>
                <w14:textFill>
                  <w14:solidFill>
                    <w14:schemeClr w14:val="tx1"/>
                  </w14:solidFill>
                </w14:textFill>
              </w:rPr>
              <w:t>得</w:t>
            </w:r>
            <w:r>
              <w:rPr>
                <w:rFonts w:hint="eastAsia" w:ascii="宋体" w:hAnsi="宋体" w:cs="宋体"/>
                <w:color w:val="000000" w:themeColor="text1"/>
                <w:kern w:val="0"/>
                <w:sz w:val="24"/>
                <w:highlight w:val="none"/>
                <w:u w:val="single"/>
                <w14:textFill>
                  <w14:solidFill>
                    <w14:schemeClr w14:val="tx1"/>
                  </w14:solidFill>
                </w14:textFill>
              </w:rPr>
              <w:t>6</w:t>
            </w:r>
            <w:r>
              <w:rPr>
                <w:rFonts w:hint="eastAsia" w:ascii="宋体" w:hAnsi="宋体" w:cs="宋体"/>
                <w:color w:val="000000" w:themeColor="text1"/>
                <w:kern w:val="0"/>
                <w:sz w:val="24"/>
                <w:highlight w:val="none"/>
                <w14:textFill>
                  <w14:solidFill>
                    <w14:schemeClr w14:val="tx1"/>
                  </w14:solidFill>
                </w14:textFill>
              </w:rPr>
              <w:t>分。</w:t>
            </w:r>
          </w:p>
        </w:tc>
      </w:tr>
      <w:tr w14:paraId="31EF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36" w:type="dxa"/>
            <w:gridSpan w:val="3"/>
            <w:vMerge w:val="restart"/>
            <w:vAlign w:val="center"/>
          </w:tcPr>
          <w:p w14:paraId="55536CEF">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2.2.2</w:t>
            </w:r>
          </w:p>
          <w:p w14:paraId="30AAE469">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p>
          <w:p w14:paraId="3DC396D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089" w:type="dxa"/>
            <w:gridSpan w:val="3"/>
            <w:vMerge w:val="restart"/>
            <w:vAlign w:val="center"/>
          </w:tcPr>
          <w:p w14:paraId="47B5E133">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bookmarkStart w:id="254" w:name="OLE_LINK9"/>
            <w:r>
              <w:rPr>
                <w:rFonts w:hint="eastAsia" w:ascii="宋体" w:hAnsi="宋体" w:eastAsia="宋体" w:cs="宋体"/>
                <w:color w:val="000000" w:themeColor="text1"/>
                <w:kern w:val="0"/>
                <w:sz w:val="24"/>
                <w:szCs w:val="24"/>
                <w:highlight w:val="none"/>
                <w14:textFill>
                  <w14:solidFill>
                    <w14:schemeClr w14:val="tx1"/>
                  </w14:solidFill>
                </w14:textFill>
              </w:rPr>
              <w:t>主要人员</w:t>
            </w:r>
            <w:bookmarkEnd w:id="254"/>
          </w:p>
        </w:tc>
        <w:tc>
          <w:tcPr>
            <w:tcW w:w="800" w:type="dxa"/>
            <w:vMerge w:val="restart"/>
            <w:vAlign w:val="center"/>
          </w:tcPr>
          <w:p w14:paraId="7A462D6A">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25分</w:t>
            </w:r>
          </w:p>
        </w:tc>
        <w:tc>
          <w:tcPr>
            <w:tcW w:w="1175" w:type="dxa"/>
            <w:vAlign w:val="center"/>
          </w:tcPr>
          <w:p w14:paraId="7DD7EDDA">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项目经理任职资格</w:t>
            </w:r>
            <w:r>
              <w:rPr>
                <w:rFonts w:hint="eastAsia" w:ascii="宋体" w:hAnsi="宋体" w:cs="宋体"/>
                <w:color w:val="000000" w:themeColor="text1"/>
                <w:kern w:val="0"/>
                <w:sz w:val="24"/>
                <w:highlight w:val="none"/>
                <w:lang w:val="en-US" w:eastAsia="zh-CN"/>
                <w14:textFill>
                  <w14:solidFill>
                    <w14:schemeClr w14:val="tx1"/>
                  </w14:solidFill>
                </w14:textFill>
              </w:rPr>
              <w:t>与业绩</w:t>
            </w:r>
          </w:p>
        </w:tc>
        <w:tc>
          <w:tcPr>
            <w:tcW w:w="837" w:type="dxa"/>
            <w:vAlign w:val="center"/>
          </w:tcPr>
          <w:p w14:paraId="59C0455A">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15分</w:t>
            </w:r>
          </w:p>
        </w:tc>
        <w:tc>
          <w:tcPr>
            <w:tcW w:w="5069" w:type="dxa"/>
            <w:gridSpan w:val="4"/>
            <w:vAlign w:val="center"/>
          </w:tcPr>
          <w:p w14:paraId="6A6AD1D1">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1）项目经理在满足资格审查条件的最低要求时，得</w:t>
            </w:r>
            <w:r>
              <w:rPr>
                <w:rFonts w:hint="eastAsia" w:ascii="宋体" w:hAnsi="宋体" w:cs="宋体"/>
                <w:color w:val="000000" w:themeColor="text1"/>
                <w:kern w:val="0"/>
                <w:sz w:val="24"/>
                <w:highlight w:val="none"/>
                <w:u w:val="single"/>
                <w:lang w:val="en-US" w:eastAsia="zh-CN"/>
                <w14:textFill>
                  <w14:solidFill>
                    <w14:schemeClr w14:val="tx1"/>
                  </w14:solidFill>
                </w14:textFill>
              </w:rPr>
              <w:t>15</w:t>
            </w:r>
            <w:r>
              <w:rPr>
                <w:rFonts w:hint="eastAsia" w:ascii="宋体" w:hAnsi="宋体" w:cs="宋体"/>
                <w:color w:val="000000" w:themeColor="text1"/>
                <w:kern w:val="0"/>
                <w:sz w:val="24"/>
                <w:highlight w:val="none"/>
                <w14:textFill>
                  <w14:solidFill>
                    <w14:schemeClr w14:val="tx1"/>
                  </w14:solidFill>
                </w14:textFill>
              </w:rPr>
              <w:t>分</w:t>
            </w:r>
            <w:r>
              <w:rPr>
                <w:rFonts w:hint="eastAsia" w:ascii="宋体" w:hAnsi="宋体" w:cs="宋体"/>
                <w:color w:val="000000" w:themeColor="text1"/>
                <w:kern w:val="0"/>
                <w:sz w:val="24"/>
                <w:highlight w:val="none"/>
                <w:lang w:eastAsia="zh-CN"/>
                <w14:textFill>
                  <w14:solidFill>
                    <w14:schemeClr w14:val="tx1"/>
                  </w14:solidFill>
                </w14:textFill>
              </w:rPr>
              <w:t>。</w:t>
            </w:r>
          </w:p>
        </w:tc>
      </w:tr>
      <w:tr w14:paraId="07E0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36" w:type="dxa"/>
            <w:gridSpan w:val="3"/>
            <w:vMerge w:val="continue"/>
            <w:vAlign w:val="center"/>
          </w:tcPr>
          <w:p w14:paraId="45892B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089" w:type="dxa"/>
            <w:gridSpan w:val="3"/>
            <w:vMerge w:val="continue"/>
            <w:vAlign w:val="center"/>
          </w:tcPr>
          <w:p w14:paraId="41DBAB74">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800" w:type="dxa"/>
            <w:vMerge w:val="continue"/>
            <w:vAlign w:val="center"/>
          </w:tcPr>
          <w:p w14:paraId="270CAD64">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175" w:type="dxa"/>
            <w:vAlign w:val="center"/>
          </w:tcPr>
          <w:p w14:paraId="18BEA98D">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项目总工任职资格</w:t>
            </w:r>
            <w:r>
              <w:rPr>
                <w:rFonts w:hint="eastAsia" w:ascii="宋体" w:hAnsi="宋体" w:cs="宋体"/>
                <w:color w:val="000000" w:themeColor="text1"/>
                <w:kern w:val="0"/>
                <w:sz w:val="24"/>
                <w:highlight w:val="none"/>
                <w:lang w:val="en-US" w:eastAsia="zh-CN"/>
                <w14:textFill>
                  <w14:solidFill>
                    <w14:schemeClr w14:val="tx1"/>
                  </w14:solidFill>
                </w14:textFill>
              </w:rPr>
              <w:t>与业绩</w:t>
            </w:r>
          </w:p>
        </w:tc>
        <w:tc>
          <w:tcPr>
            <w:tcW w:w="837" w:type="dxa"/>
            <w:vAlign w:val="center"/>
          </w:tcPr>
          <w:p w14:paraId="39B3FAED">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u w:val="single"/>
                <w:lang w:val="en-US" w:eastAsia="zh-CN"/>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分</w:t>
            </w:r>
          </w:p>
        </w:tc>
        <w:tc>
          <w:tcPr>
            <w:tcW w:w="5069" w:type="dxa"/>
            <w:gridSpan w:val="4"/>
            <w:vAlign w:val="center"/>
          </w:tcPr>
          <w:p w14:paraId="2D9BCD6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（1）项目总工在满足资格审查条件的最低要求时，得</w:t>
            </w:r>
            <w:r>
              <w:rPr>
                <w:rFonts w:hint="eastAsia" w:ascii="宋体" w:hAnsi="宋体" w:cs="宋体"/>
                <w:color w:val="000000" w:themeColor="text1"/>
                <w:kern w:val="0"/>
                <w:sz w:val="24"/>
                <w:highlight w:val="none"/>
                <w:u w:val="single"/>
                <w:lang w:val="en-US" w:eastAsia="zh-CN"/>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分</w:t>
            </w:r>
            <w:r>
              <w:rPr>
                <w:rFonts w:hint="eastAsia" w:ascii="宋体" w:hAnsi="宋体" w:cs="宋体"/>
                <w:color w:val="000000" w:themeColor="text1"/>
                <w:kern w:val="0"/>
                <w:sz w:val="24"/>
                <w:highlight w:val="none"/>
                <w:lang w:eastAsia="zh-CN"/>
                <w14:textFill>
                  <w14:solidFill>
                    <w14:schemeClr w14:val="tx1"/>
                  </w14:solidFill>
                </w14:textFill>
              </w:rPr>
              <w:t>。</w:t>
            </w:r>
          </w:p>
        </w:tc>
      </w:tr>
      <w:tr w14:paraId="3A63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36" w:type="dxa"/>
            <w:gridSpan w:val="3"/>
            <w:vMerge w:val="restart"/>
            <w:vAlign w:val="center"/>
          </w:tcPr>
          <w:p w14:paraId="1A729A1D">
            <w:pPr>
              <w:keepNext w:val="0"/>
              <w:keepLines w:val="0"/>
              <w:suppressLineNumbers w:val="0"/>
              <w:spacing w:before="0" w:beforeAutospacing="0" w:after="0" w:afterAutospacing="0" w:line="400" w:lineRule="exact"/>
              <w:ind w:left="92" w:leftChars="36" w:right="113" w:hanging="16" w:hangingChars="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2.2.2</w:t>
            </w:r>
          </w:p>
          <w:p w14:paraId="3EB83758">
            <w:pPr>
              <w:keepNext w:val="0"/>
              <w:keepLines w:val="0"/>
              <w:suppressLineNumbers w:val="0"/>
              <w:spacing w:before="0" w:beforeAutospacing="0" w:after="0" w:afterAutospacing="0" w:line="400" w:lineRule="exact"/>
              <w:ind w:left="92" w:leftChars="36" w:right="113" w:hanging="16" w:hangingChars="7"/>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1089" w:type="dxa"/>
            <w:gridSpan w:val="3"/>
            <w:vMerge w:val="restart"/>
            <w:vAlign w:val="center"/>
          </w:tcPr>
          <w:p w14:paraId="31CA4F7B">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其他因素</w:t>
            </w:r>
          </w:p>
        </w:tc>
        <w:tc>
          <w:tcPr>
            <w:tcW w:w="800" w:type="dxa"/>
            <w:vAlign w:val="center"/>
          </w:tcPr>
          <w:p w14:paraId="3CC8FBE6">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技</w:t>
            </w:r>
          </w:p>
          <w:p w14:paraId="36D5FC26">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术</w:t>
            </w:r>
          </w:p>
          <w:p w14:paraId="4FE19D15">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能</w:t>
            </w:r>
          </w:p>
          <w:p w14:paraId="31D3954B">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力</w:t>
            </w:r>
          </w:p>
        </w:tc>
        <w:tc>
          <w:tcPr>
            <w:tcW w:w="1175" w:type="dxa"/>
            <w:vAlign w:val="center"/>
          </w:tcPr>
          <w:p w14:paraId="66220A83">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20分</w:t>
            </w:r>
          </w:p>
        </w:tc>
        <w:tc>
          <w:tcPr>
            <w:tcW w:w="5906" w:type="dxa"/>
            <w:gridSpan w:val="5"/>
            <w:vAlign w:val="center"/>
          </w:tcPr>
          <w:p w14:paraId="433EE6FF">
            <w:pPr>
              <w:keepNext w:val="0"/>
              <w:keepLines w:val="0"/>
              <w:widowControl/>
              <w:suppressLineNumbers w:val="0"/>
              <w:spacing w:before="0" w:beforeAutospacing="0" w:after="0" w:afterAutospacing="0" w:line="400" w:lineRule="exact"/>
              <w:ind w:left="0" w:right="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（1）投标人获得与项目施工有关的国家级工法、专利（发明专利或实用新专利）、国家级科学技术进步奖、主编或参编过国家标准、鲁班奖、詹天佑奖，每项加</w:t>
            </w:r>
            <w:r>
              <w:rPr>
                <w:rFonts w:hint="eastAsia" w:ascii="宋体" w:hAnsi="宋体" w:cs="宋体"/>
                <w:color w:val="000000" w:themeColor="text1"/>
                <w:kern w:val="0"/>
                <w:sz w:val="24"/>
                <w:highlight w:val="none"/>
                <w:u w:val="single"/>
                <w:lang w:val="en-US" w:eastAsia="zh-CN"/>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分；</w:t>
            </w:r>
          </w:p>
          <w:p w14:paraId="207E41B4">
            <w:pPr>
              <w:keepNext w:val="0"/>
              <w:keepLines w:val="0"/>
              <w:widowControl/>
              <w:suppressLineNumbers w:val="0"/>
              <w:spacing w:before="0" w:beforeAutospacing="0" w:after="0" w:afterAutospacing="0" w:line="400" w:lineRule="exact"/>
              <w:ind w:left="0" w:right="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（2）投标人获得省级科学技术进步奖，主编或参编过的行业或地方（指省级）标准，每项加</w:t>
            </w:r>
            <w:r>
              <w:rPr>
                <w:rFonts w:hint="eastAsia" w:ascii="宋体" w:hAnsi="宋体" w:cs="宋体"/>
                <w:color w:val="000000" w:themeColor="text1"/>
                <w:kern w:val="0"/>
                <w:sz w:val="24"/>
                <w:highlight w:val="none"/>
                <w:u w:val="single"/>
                <w:lang w:val="en-US" w:eastAsia="zh-CN"/>
                <w14:textFill>
                  <w14:solidFill>
                    <w14:schemeClr w14:val="tx1"/>
                  </w14:solidFill>
                </w14:textFill>
              </w:rPr>
              <w:t>5</w:t>
            </w:r>
            <w:r>
              <w:rPr>
                <w:rFonts w:hint="eastAsia" w:ascii="宋体" w:hAnsi="宋体" w:cs="宋体"/>
                <w:color w:val="000000" w:themeColor="text1"/>
                <w:kern w:val="0"/>
                <w:sz w:val="24"/>
                <w:highlight w:val="none"/>
                <w14:textFill>
                  <w14:solidFill>
                    <w14:schemeClr w14:val="tx1"/>
                  </w14:solidFill>
                </w14:textFill>
              </w:rPr>
              <w:t>分；</w:t>
            </w:r>
          </w:p>
          <w:p w14:paraId="38E053F9">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注：技术能力加分最高</w:t>
            </w:r>
            <w:r>
              <w:rPr>
                <w:rFonts w:hint="eastAsia"/>
                <w:color w:val="000000" w:themeColor="text1"/>
                <w:sz w:val="24"/>
                <w:highlight w:val="none"/>
                <w:u w:val="single"/>
                <w:lang w:val="en-US" w:eastAsia="zh-CN"/>
                <w14:textFill>
                  <w14:solidFill>
                    <w14:schemeClr w14:val="tx1"/>
                  </w14:solidFill>
                </w14:textFill>
              </w:rPr>
              <w:t>20</w:t>
            </w:r>
            <w:r>
              <w:rPr>
                <w:rFonts w:hint="eastAsia"/>
                <w:color w:val="000000" w:themeColor="text1"/>
                <w:sz w:val="24"/>
                <w:highlight w:val="none"/>
                <w14:textFill>
                  <w14:solidFill>
                    <w14:schemeClr w14:val="tx1"/>
                  </w14:solidFill>
                </w14:textFill>
              </w:rPr>
              <w:t>分，同一事项按较高分只计一次。</w:t>
            </w:r>
          </w:p>
        </w:tc>
      </w:tr>
      <w:tr w14:paraId="34D4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5" w:type="dxa"/>
          <w:trHeight w:val="5632" w:hRule="atLeast"/>
          <w:jc w:val="center"/>
        </w:trPr>
        <w:tc>
          <w:tcPr>
            <w:tcW w:w="1236" w:type="dxa"/>
            <w:gridSpan w:val="3"/>
            <w:vMerge w:val="continue"/>
            <w:vAlign w:val="center"/>
          </w:tcPr>
          <w:p w14:paraId="0D9AC0A2">
            <w:pPr>
              <w:keepNext w:val="0"/>
              <w:keepLines w:val="0"/>
              <w:suppressLineNumbers w:val="0"/>
              <w:spacing w:before="0" w:beforeAutospacing="0" w:after="0" w:afterAutospacing="0" w:line="400" w:lineRule="exact"/>
              <w:ind w:left="92" w:leftChars="36" w:right="113" w:hanging="16" w:hangingChars="7"/>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089" w:type="dxa"/>
            <w:gridSpan w:val="3"/>
            <w:vMerge w:val="continue"/>
            <w:vAlign w:val="center"/>
          </w:tcPr>
          <w:p w14:paraId="7437CF4B">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800" w:type="dxa"/>
            <w:vAlign w:val="center"/>
          </w:tcPr>
          <w:p w14:paraId="6E55DDBB">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履</w:t>
            </w:r>
          </w:p>
          <w:p w14:paraId="0AC9EC3A">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约</w:t>
            </w:r>
          </w:p>
          <w:p w14:paraId="528D2D5F">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信</w:t>
            </w:r>
          </w:p>
          <w:p w14:paraId="4BE5C3B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誉</w:t>
            </w:r>
          </w:p>
        </w:tc>
        <w:tc>
          <w:tcPr>
            <w:tcW w:w="1175" w:type="dxa"/>
            <w:vAlign w:val="center"/>
          </w:tcPr>
          <w:p w14:paraId="20EEA6C8">
            <w:pPr>
              <w:keepNext w:val="0"/>
              <w:keepLines w:val="0"/>
              <w:widowControl/>
              <w:suppressLineNumbers w:val="0"/>
              <w:spacing w:before="0" w:beforeAutospacing="0" w:after="0" w:afterAutospacing="0" w:line="400" w:lineRule="exact"/>
              <w:ind w:left="0" w:right="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u w:val="single"/>
                <w:lang w:val="en-US" w:eastAsia="zh-CN"/>
                <w14:textFill>
                  <w14:solidFill>
                    <w14:schemeClr w14:val="tx1"/>
                  </w14:solidFill>
                </w14:textFill>
              </w:rPr>
              <w:t>20</w:t>
            </w:r>
            <w:r>
              <w:rPr>
                <w:rFonts w:hint="eastAsia" w:ascii="宋体" w:hAnsi="宋体" w:cs="宋体"/>
                <w:color w:val="000000" w:themeColor="text1"/>
                <w:kern w:val="0"/>
                <w:sz w:val="24"/>
                <w:highlight w:val="none"/>
                <w14:textFill>
                  <w14:solidFill>
                    <w14:schemeClr w14:val="tx1"/>
                  </w14:solidFill>
                </w14:textFill>
              </w:rPr>
              <w:t>分</w:t>
            </w:r>
          </w:p>
        </w:tc>
        <w:tc>
          <w:tcPr>
            <w:tcW w:w="5831" w:type="dxa"/>
            <w:gridSpan w:val="4"/>
            <w:vAlign w:val="center"/>
          </w:tcPr>
          <w:p w14:paraId="1DA994D4">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1.信用等级分值(</w:t>
            </w:r>
            <w:r>
              <w:rPr>
                <w:rFonts w:hint="eastAsia" w:ascii="宋体" w:hAnsi="宋体" w:cs="宋体"/>
                <w:color w:val="000000" w:themeColor="text1"/>
                <w:kern w:val="0"/>
                <w:sz w:val="24"/>
                <w:highlight w:val="none"/>
                <w:lang w:val="en-US" w:eastAsia="zh-CN"/>
                <w14:textFill>
                  <w14:solidFill>
                    <w14:schemeClr w14:val="tx1"/>
                  </w14:solidFill>
                </w14:textFill>
              </w:rPr>
              <w:t xml:space="preserve"> </w:t>
            </w:r>
            <w:r>
              <w:rPr>
                <w:rFonts w:hint="eastAsia" w:ascii="宋体" w:hAnsi="宋体" w:cs="宋体"/>
                <w:color w:val="000000" w:themeColor="text1"/>
                <w:kern w:val="0"/>
                <w:sz w:val="24"/>
                <w:highlight w:val="none"/>
                <w:u w:val="single"/>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分)</w:t>
            </w:r>
          </w:p>
          <w:p w14:paraId="42A9FAF5">
            <w:pPr>
              <w:keepNext w:val="0"/>
              <w:keepLines w:val="0"/>
              <w:widowControl/>
              <w:suppressLineNumbers w:val="0"/>
              <w:spacing w:before="0" w:beforeAutospacing="0" w:after="0" w:afterAutospacing="0" w:line="400" w:lineRule="exact"/>
              <w:ind w:left="0" w:right="0" w:firstLine="480" w:firstLineChars="20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AA、A、B、C级单位的信用等级分得分分别为</w:t>
            </w:r>
            <w:r>
              <w:rPr>
                <w:rFonts w:hint="eastAsia" w:ascii="宋体" w:hAnsi="宋体" w:cs="宋体"/>
                <w:color w:val="000000" w:themeColor="text1"/>
                <w:kern w:val="0"/>
                <w:sz w:val="24"/>
                <w:highlight w:val="none"/>
                <w:u w:val="single"/>
                <w14:textFill>
                  <w14:solidFill>
                    <w14:schemeClr w14:val="tx1"/>
                  </w14:solidFill>
                </w14:textFill>
              </w:rPr>
              <w:t>10、9.5、8.9、7.3</w:t>
            </w:r>
            <w:r>
              <w:rPr>
                <w:rFonts w:hint="eastAsia" w:ascii="宋体" w:hAnsi="宋体" w:cs="宋体"/>
                <w:color w:val="000000" w:themeColor="text1"/>
                <w:kern w:val="0"/>
                <w:sz w:val="24"/>
                <w:highlight w:val="none"/>
                <w14:textFill>
                  <w14:solidFill>
                    <w14:schemeClr w14:val="tx1"/>
                  </w14:solidFill>
                </w14:textFill>
              </w:rPr>
              <w:t>分。</w:t>
            </w:r>
          </w:p>
          <w:p w14:paraId="55E461DC">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注：信用等级的确定原则遵循投标人须知前附表10.2款的规定。</w:t>
            </w:r>
          </w:p>
          <w:p w14:paraId="35901C15">
            <w:pPr>
              <w:keepNext w:val="0"/>
              <w:keepLines w:val="0"/>
              <w:widowControl/>
              <w:suppressLineNumbers w:val="0"/>
              <w:spacing w:before="0" w:beforeAutospacing="0" w:after="0" w:afterAutospacing="0" w:line="400" w:lineRule="exact"/>
              <w:ind w:left="0" w:right="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2.履约情况(</w:t>
            </w:r>
            <w:r>
              <w:rPr>
                <w:rFonts w:hint="eastAsia" w:ascii="宋体" w:hAnsi="宋体" w:cs="宋体"/>
                <w:color w:val="000000" w:themeColor="text1"/>
                <w:kern w:val="0"/>
                <w:sz w:val="24"/>
                <w:highlight w:val="none"/>
                <w:lang w:val="en-US" w:eastAsia="zh-CN"/>
                <w14:textFill>
                  <w14:solidFill>
                    <w14:schemeClr w14:val="tx1"/>
                  </w14:solidFill>
                </w14:textFill>
              </w:rPr>
              <w:t>10</w:t>
            </w:r>
            <w:r>
              <w:rPr>
                <w:rFonts w:hint="eastAsia" w:ascii="宋体" w:hAnsi="宋体" w:cs="宋体"/>
                <w:color w:val="000000" w:themeColor="text1"/>
                <w:kern w:val="0"/>
                <w:sz w:val="24"/>
                <w:highlight w:val="none"/>
                <w14:textFill>
                  <w14:solidFill>
                    <w14:schemeClr w14:val="tx1"/>
                  </w14:solidFill>
                </w14:textFill>
              </w:rPr>
              <w:t>分)</w:t>
            </w:r>
          </w:p>
          <w:p w14:paraId="009029D7">
            <w:pPr>
              <w:keepNext w:val="0"/>
              <w:keepLines w:val="0"/>
              <w:widowControl/>
              <w:suppressLineNumbers w:val="0"/>
              <w:spacing w:before="0" w:beforeAutospacing="0" w:after="0" w:afterAutospacing="0" w:line="400" w:lineRule="exact"/>
              <w:ind w:left="0" w:right="0" w:firstLine="480" w:firstLineChars="200"/>
              <w:jc w:val="left"/>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若没出现下述情形得满分；</w:t>
            </w:r>
          </w:p>
          <w:p w14:paraId="7AF87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05" w:leftChars="50" w:right="105" w:rightChars="50" w:firstLine="508" w:firstLineChars="200"/>
              <w:jc w:val="left"/>
              <w:textAlignment w:val="auto"/>
              <w:rPr>
                <w:rFonts w:hint="eastAsia" w:ascii="宋体" w:hAnsi="宋体" w:eastAsia="宋体" w:cs="宋体"/>
                <w:color w:val="000000" w:themeColor="text1"/>
                <w:spacing w:val="7"/>
                <w:sz w:val="24"/>
                <w:szCs w:val="24"/>
                <w:highlight w:val="none"/>
                <w14:textFill>
                  <w14:solidFill>
                    <w14:schemeClr w14:val="tx1"/>
                  </w14:solidFill>
                </w14:textFill>
              </w:rPr>
            </w:pPr>
            <w:r>
              <w:rPr>
                <w:rFonts w:hint="eastAsia" w:ascii="宋体" w:hAnsi="宋体" w:eastAsia="宋体" w:cs="宋体"/>
                <w:strike w:val="0"/>
                <w:dstrike w:val="0"/>
                <w:color w:val="000000" w:themeColor="text1"/>
                <w:spacing w:val="7"/>
                <w:sz w:val="24"/>
                <w:szCs w:val="24"/>
                <w:highlight w:val="none"/>
                <w:u w:val="none"/>
                <w14:textFill>
                  <w14:solidFill>
                    <w14:schemeClr w14:val="tx1"/>
                  </w14:solidFill>
                </w14:textFill>
              </w:rPr>
              <w:t>投标文件递交截止日前1年内</w:t>
            </w:r>
            <w:r>
              <w:rPr>
                <w:rFonts w:hint="eastAsia" w:ascii="宋体" w:hAnsi="宋体" w:eastAsia="宋体" w:cs="宋体"/>
                <w:color w:val="000000" w:themeColor="text1"/>
                <w:spacing w:val="7"/>
                <w:sz w:val="24"/>
                <w:szCs w:val="24"/>
                <w:highlight w:val="none"/>
                <w14:textFill>
                  <w14:solidFill>
                    <w14:schemeClr w14:val="tx1"/>
                  </w14:solidFill>
                </w14:textFill>
              </w:rPr>
              <w:t>，</w:t>
            </w:r>
            <w:r>
              <w:rPr>
                <w:rFonts w:hint="eastAsia" w:ascii="宋体" w:hAnsi="宋体" w:eastAsia="宋体" w:cs="宋体"/>
                <w:color w:val="000000" w:themeColor="text1"/>
                <w:spacing w:val="7"/>
                <w:sz w:val="24"/>
                <w:szCs w:val="24"/>
                <w:highlight w:val="none"/>
                <w:lang w:eastAsia="zh-CN"/>
                <w14:textFill>
                  <w14:solidFill>
                    <w14:schemeClr w14:val="tx1"/>
                  </w14:solidFill>
                </w14:textFill>
              </w:rPr>
              <w:t>投标人</w:t>
            </w:r>
            <w:r>
              <w:rPr>
                <w:rFonts w:hint="eastAsia" w:ascii="宋体" w:hAnsi="宋体" w:eastAsia="宋体" w:cs="宋体"/>
                <w:color w:val="000000" w:themeColor="text1"/>
                <w:spacing w:val="7"/>
                <w:sz w:val="24"/>
                <w:szCs w:val="24"/>
                <w:highlight w:val="none"/>
                <w14:textFill>
                  <w14:solidFill>
                    <w14:schemeClr w14:val="tx1"/>
                  </w14:solidFill>
                </w14:textFill>
              </w:rPr>
              <w:t>因公路工程</w:t>
            </w:r>
            <w:r>
              <w:rPr>
                <w:rFonts w:hint="eastAsia" w:ascii="宋体" w:hAnsi="宋体" w:eastAsia="宋体" w:cs="宋体"/>
                <w:color w:val="000000" w:themeColor="text1"/>
                <w:spacing w:val="7"/>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7"/>
                <w:sz w:val="24"/>
                <w:szCs w:val="24"/>
                <w:highlight w:val="none"/>
                <w14:textFill>
                  <w14:solidFill>
                    <w14:schemeClr w14:val="tx1"/>
                  </w14:solidFill>
                </w14:textFill>
              </w:rPr>
              <w:t>含附属设施</w:t>
            </w:r>
            <w:r>
              <w:rPr>
                <w:rFonts w:hint="eastAsia" w:ascii="宋体" w:hAnsi="宋体" w:eastAsia="宋体" w:cs="宋体"/>
                <w:color w:val="000000" w:themeColor="text1"/>
                <w:spacing w:val="7"/>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7"/>
                <w:sz w:val="24"/>
                <w:szCs w:val="24"/>
                <w:highlight w:val="none"/>
                <w14:textFill>
                  <w14:solidFill>
                    <w14:schemeClr w14:val="tx1"/>
                  </w14:solidFill>
                </w14:textFill>
              </w:rPr>
              <w:t>质量、安全履约或招标投标等问题等原因被：</w:t>
            </w:r>
          </w:p>
          <w:p w14:paraId="07A5F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105" w:rightChars="50"/>
              <w:textAlignment w:val="auto"/>
              <w:rPr>
                <w:rFonts w:hint="eastAsia" w:ascii="宋体" w:hAnsi="宋体" w:eastAsia="宋体" w:cs="宋体"/>
                <w:color w:val="000000" w:themeColor="text1"/>
                <w:spacing w:val="7"/>
                <w:sz w:val="24"/>
                <w:szCs w:val="24"/>
                <w:highlight w:val="none"/>
                <w14:textFill>
                  <w14:solidFill>
                    <w14:schemeClr w14:val="tx1"/>
                  </w14:solidFill>
                </w14:textFill>
              </w:rPr>
            </w:pPr>
            <w:r>
              <w:rPr>
                <w:rFonts w:hint="eastAsia" w:ascii="宋体" w:hAnsi="宋体" w:eastAsia="宋体" w:cs="宋体"/>
                <w:color w:val="000000" w:themeColor="text1"/>
                <w:spacing w:val="7"/>
                <w:sz w:val="24"/>
                <w:szCs w:val="24"/>
                <w:highlight w:val="none"/>
                <w14:textFill>
                  <w14:solidFill>
                    <w14:schemeClr w14:val="tx1"/>
                  </w14:solidFill>
                </w14:textFill>
              </w:rPr>
              <w:t>（1）交通运输部行政处罚的，扣5分/次。</w:t>
            </w:r>
          </w:p>
          <w:p w14:paraId="73C875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105" w:rightChars="50"/>
              <w:textAlignment w:val="auto"/>
              <w:rPr>
                <w:rFonts w:hint="eastAsia" w:ascii="宋体" w:hAnsi="宋体" w:eastAsia="宋体" w:cs="宋体"/>
                <w:color w:val="000000" w:themeColor="text1"/>
                <w:spacing w:val="7"/>
                <w:sz w:val="24"/>
                <w:szCs w:val="24"/>
                <w:highlight w:val="none"/>
                <w14:textFill>
                  <w14:solidFill>
                    <w14:schemeClr w14:val="tx1"/>
                  </w14:solidFill>
                </w14:textFill>
              </w:rPr>
            </w:pPr>
            <w:r>
              <w:rPr>
                <w:rFonts w:hint="eastAsia" w:ascii="宋体" w:hAnsi="宋体" w:eastAsia="宋体" w:cs="宋体"/>
                <w:color w:val="000000" w:themeColor="text1"/>
                <w:spacing w:val="7"/>
                <w:sz w:val="24"/>
                <w:szCs w:val="24"/>
                <w:highlight w:val="none"/>
                <w14:textFill>
                  <w14:solidFill>
                    <w14:schemeClr w14:val="tx1"/>
                  </w14:solidFill>
                </w14:textFill>
              </w:rPr>
              <w:t>（2）广东省交通运输厅行政处罚的，扣3分/次。</w:t>
            </w:r>
          </w:p>
          <w:p w14:paraId="5E5A0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105" w:rightChars="50"/>
              <w:textAlignment w:val="auto"/>
              <w:rPr>
                <w:rFonts w:hint="eastAsia" w:ascii="宋体" w:hAnsi="宋体" w:eastAsia="宋体" w:cs="宋体"/>
                <w:color w:val="000000" w:themeColor="text1"/>
                <w:spacing w:val="7"/>
                <w:sz w:val="24"/>
                <w:szCs w:val="24"/>
                <w:highlight w:val="none"/>
                <w14:textFill>
                  <w14:solidFill>
                    <w14:schemeClr w14:val="tx1"/>
                  </w14:solidFill>
                </w14:textFill>
              </w:rPr>
            </w:pPr>
            <w:r>
              <w:rPr>
                <w:rFonts w:hint="eastAsia" w:ascii="宋体" w:hAnsi="宋体" w:eastAsia="宋体" w:cs="宋体"/>
                <w:color w:val="000000" w:themeColor="text1"/>
                <w:spacing w:val="7"/>
                <w:sz w:val="24"/>
                <w:szCs w:val="24"/>
                <w:highlight w:val="none"/>
                <w14:textFill>
                  <w14:solidFill>
                    <w14:schemeClr w14:val="tx1"/>
                  </w14:solidFill>
                </w14:textFill>
              </w:rPr>
              <w:t>（3）招标项目所在地地级以上市交通运输局行政处罚的，扣 1.5分/次。</w:t>
            </w:r>
          </w:p>
          <w:p w14:paraId="4D74F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105" w:rightChars="50"/>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pacing w:val="7"/>
                <w:sz w:val="24"/>
                <w:szCs w:val="24"/>
                <w:highlight w:val="none"/>
                <w14:textFill>
                  <w14:solidFill>
                    <w14:schemeClr w14:val="tx1"/>
                  </w14:solidFill>
                </w14:textFill>
              </w:rPr>
              <w:t>（4）广东省交通运输厅正式约谈的，扣0.1分/次。</w:t>
            </w:r>
          </w:p>
          <w:p w14:paraId="1F0E9D6E">
            <w:pPr>
              <w:keepNext w:val="0"/>
              <w:keepLines w:val="0"/>
              <w:widowControl/>
              <w:suppressLineNumbers w:val="0"/>
              <w:spacing w:before="0" w:beforeAutospacing="0" w:after="0" w:afterAutospacing="0" w:line="400" w:lineRule="exact"/>
              <w:ind w:left="0" w:right="0" w:firstLine="480" w:firstLineChars="2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 xml:space="preserve">同一事项同时被多个部门行政处罚或正式约谈只按最高的扣分计算 1次。如果扣完本项分值，可以从总分中扣。以联合体形式投标的，若各联合体成员任何一方或均存在上述情形的，对联合体各成员进行累计扣分。 </w:t>
            </w:r>
          </w:p>
        </w:tc>
      </w:tr>
      <w:tr w14:paraId="2723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673" w:hRule="atLeast"/>
          <w:jc w:val="center"/>
        </w:trPr>
        <w:tc>
          <w:tcPr>
            <w:tcW w:w="10109" w:type="dxa"/>
            <w:gridSpan w:val="10"/>
            <w:vAlign w:val="center"/>
          </w:tcPr>
          <w:p w14:paraId="10A4F60B">
            <w:pPr>
              <w:keepNext w:val="0"/>
              <w:keepLines w:val="0"/>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需要补充的其他内容：</w:t>
            </w:r>
          </w:p>
        </w:tc>
      </w:tr>
      <w:tr w14:paraId="5ACD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673" w:hRule="atLeast"/>
          <w:jc w:val="center"/>
        </w:trPr>
        <w:tc>
          <w:tcPr>
            <w:tcW w:w="2111" w:type="dxa"/>
            <w:gridSpan w:val="4"/>
            <w:vAlign w:val="center"/>
          </w:tcPr>
          <w:p w14:paraId="48F90947">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条款号</w:t>
            </w:r>
          </w:p>
        </w:tc>
        <w:tc>
          <w:tcPr>
            <w:tcW w:w="7998" w:type="dxa"/>
            <w:gridSpan w:val="6"/>
            <w:vAlign w:val="center"/>
          </w:tcPr>
          <w:p w14:paraId="4C23B631">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补充或修改的内容</w:t>
            </w:r>
          </w:p>
        </w:tc>
      </w:tr>
      <w:tr w14:paraId="3455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1750" w:hRule="atLeast"/>
          <w:jc w:val="center"/>
        </w:trPr>
        <w:tc>
          <w:tcPr>
            <w:tcW w:w="2111" w:type="dxa"/>
            <w:gridSpan w:val="4"/>
            <w:vAlign w:val="center"/>
          </w:tcPr>
          <w:p w14:paraId="060496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998" w:type="dxa"/>
            <w:gridSpan w:val="6"/>
          </w:tcPr>
          <w:p w14:paraId="7551D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将评标办法原文第1条“评标方法”改为“评标方法、组织及工作程序”，原文内容修改如下：</w:t>
            </w:r>
          </w:p>
          <w:p w14:paraId="46E4B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1.评标方法、组织及工作程序</w:t>
            </w:r>
          </w:p>
          <w:p w14:paraId="5BADB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 评标方法</w:t>
            </w:r>
          </w:p>
          <w:p w14:paraId="65EA2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本次评标采用双信封的技术评分最低标价法。评标委员会对满足招标文件实质性要求的投标文件，按照本章第 2.2 款规定对通过初步评审的投标人的施工组织设计、主要人员、其他因素等进行评分，按照得分由高到低排序，对排名在招标文件规定数量前 5 名（不少于 3 名但不足 5 名时，按全部实际数量）的投标人的报价文件进行评审，按照评标价由低到高的顺序推荐中标候选人的评标方法。但投标报价低于其成本的除外。评标价相等时，评标委员会应按照评标办法前附表规定的优先次序推荐中标候选人或确定中标人。</w:t>
            </w:r>
          </w:p>
          <w:p w14:paraId="48B05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p>
          <w:p w14:paraId="6B93C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 评标组织</w:t>
            </w:r>
          </w:p>
          <w:p w14:paraId="2C890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1.2.1 协助工作组</w:t>
            </w:r>
          </w:p>
          <w:p w14:paraId="08092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招标人可在评标工作开始前成立协助工作组，选派熟悉招标工作、政治素质高的人员组成，协助评标委员会工作。协助工作组人员的具体数量由招标人视评标工作量确定。</w:t>
            </w:r>
          </w:p>
          <w:p w14:paraId="29110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招标人可以协助评标委员会开展下列工作并提供相关信息：</w:t>
            </w:r>
          </w:p>
          <w:p w14:paraId="16F6F7BD">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根据招标文件，编制评标使用的相应表格；</w:t>
            </w:r>
          </w:p>
          <w:p w14:paraId="302E3198">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对投标报价进行算术性校核（如采用固化工程量清单，本步骤省略）；</w:t>
            </w:r>
          </w:p>
          <w:p w14:paraId="01D2DAA9">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以评标标准和方法为依据，列出投标文件相对于招标文件的所有偏差，并进行归类汇总；</w:t>
            </w:r>
          </w:p>
          <w:p w14:paraId="6B1F4497">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查询公路建设市场信用信息管理系统，对投标人的资质、业绩、主要人员资历和目前在岗情况、信用等级进行核实。</w:t>
            </w:r>
          </w:p>
          <w:p w14:paraId="6E0B40E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　　</w:t>
            </w:r>
            <w:r>
              <w:rPr>
                <w:rFonts w:hint="eastAsia" w:ascii="宋体" w:hAnsi="宋体" w:eastAsia="宋体" w:cs="宋体"/>
                <w:color w:val="000000" w:themeColor="text1"/>
                <w:sz w:val="24"/>
                <w:szCs w:val="24"/>
                <w:highlight w:val="none"/>
                <w14:textFill>
                  <w14:solidFill>
                    <w14:schemeClr w14:val="tx1"/>
                  </w14:solidFill>
                </w14:textFill>
              </w:rPr>
              <w:t>招标人不得对投标文件作出任何评价，不得故意遗漏或者片面摘录，不得在评标委员会对所有偏差定性之前透露存有偏差的投标人名称。</w:t>
            </w:r>
          </w:p>
          <w:p w14:paraId="133D7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1.2.2 评标委员会</w:t>
            </w:r>
          </w:p>
          <w:p w14:paraId="3781E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评标委员会由招标人按国家、广东省等的有关规定依法组建。评标委员会的主要工作内容包括：</w:t>
            </w:r>
          </w:p>
          <w:p w14:paraId="3B3442C4">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评标委员会开始评标工作之前，首先听取招标人、协助工作组关于工程情况和辅助工作的说明，并认真研读招标文件，获取评标所需的重要信息和数据；</w:t>
            </w:r>
          </w:p>
          <w:p w14:paraId="1FD48513">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对协助工作组提供的评标工作用表和评标内容进行核查。</w:t>
            </w:r>
          </w:p>
          <w:p w14:paraId="01B0336F">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按照以下 1.3 款程序进行各项评审工作。</w:t>
            </w:r>
          </w:p>
          <w:p w14:paraId="613F6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 评审工作程序</w:t>
            </w:r>
          </w:p>
          <w:p w14:paraId="7D7F7F0A">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第一个信封（商务及技术文件）：</w:t>
            </w:r>
          </w:p>
          <w:p w14:paraId="665D889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l、初步评审：包括形式评审与响应性评审、资格评审（适用于未进行资格预审 ）；</w:t>
            </w:r>
          </w:p>
          <w:p w14:paraId="69F5471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详细评审（评审打分）：评标委员会首先对通过第一个信封初步评审的投标文件进行详细评审，对投标人的施工组织设计、主要人员、其他因素等分别评审打分，并按照综合得分由高到低排序，排名在招标文件规定数量前 5 名（不少于 3 名但不足 5 名的，按全部实际数量）的投标人，其投标文件第一个信封（商务及技术文件）通过详细评审。</w:t>
            </w:r>
          </w:p>
          <w:p w14:paraId="46AC7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（二）第二个信封（报价文件）：</w:t>
            </w:r>
          </w:p>
          <w:p w14:paraId="552C5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1、初步评审：</w:t>
            </w:r>
          </w:p>
          <w:p w14:paraId="1ABD8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（1）只有对投标文件第一个信封通过详细评审的投标人的报价文件才能继续参加第二个信封报价文件的形式评审与响应性评审。</w:t>
            </w:r>
          </w:p>
          <w:p w14:paraId="1AB37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（2）报价算术性修正（如采用固化工程量清单，本步骤省略）；</w:t>
            </w:r>
          </w:p>
          <w:p w14:paraId="227C5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2、详细评审：计算评标价。</w:t>
            </w:r>
          </w:p>
          <w:p w14:paraId="1FDA6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（三）投标文件相关信息的核查。</w:t>
            </w:r>
          </w:p>
          <w:p w14:paraId="102A7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（四）投标文件的澄清和说明(如有)</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FB3C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（五）按评标办法规定按照第二个信封的评标价由低到高的顺序推荐中标候选人，编写评标报告。</w:t>
            </w:r>
          </w:p>
        </w:tc>
      </w:tr>
      <w:tr w14:paraId="10F7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1293" w:hRule="atLeast"/>
          <w:jc w:val="center"/>
        </w:trPr>
        <w:tc>
          <w:tcPr>
            <w:tcW w:w="2111" w:type="dxa"/>
            <w:gridSpan w:val="4"/>
            <w:vAlign w:val="center"/>
          </w:tcPr>
          <w:p w14:paraId="4CDE1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3.2.2</w:t>
            </w:r>
          </w:p>
        </w:tc>
        <w:tc>
          <w:tcPr>
            <w:tcW w:w="7998" w:type="dxa"/>
            <w:gridSpan w:val="6"/>
          </w:tcPr>
          <w:p w14:paraId="49D2D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将评标办法原文第 3.2.2 项修改如下：</w:t>
            </w:r>
          </w:p>
          <w:p w14:paraId="3AF02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投标人的商务和技术得分分值计算保留小数点后三位，小数点后第四位“四舍五入”。</w:t>
            </w:r>
          </w:p>
        </w:tc>
      </w:tr>
      <w:tr w14:paraId="3D30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7430" w:hRule="atLeast"/>
          <w:jc w:val="center"/>
        </w:trPr>
        <w:tc>
          <w:tcPr>
            <w:tcW w:w="2111" w:type="dxa"/>
            <w:gridSpan w:val="4"/>
            <w:vAlign w:val="center"/>
          </w:tcPr>
          <w:p w14:paraId="2CDF3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3.2.3</w:t>
            </w:r>
          </w:p>
        </w:tc>
        <w:tc>
          <w:tcPr>
            <w:tcW w:w="7998" w:type="dxa"/>
            <w:gridSpan w:val="6"/>
            <w:vAlign w:val="top"/>
          </w:tcPr>
          <w:p w14:paraId="3CD4F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将评标办法范本原文第 3.2.3 项细化如下：</w:t>
            </w:r>
          </w:p>
          <w:p w14:paraId="1F23F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投标人的商务和技术得分=A+B+C。</w:t>
            </w:r>
          </w:p>
          <w:p w14:paraId="474B6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除履约信誉、技术能力得分外，投标文件各评分因素细分项得分均不应低于其权重分的60%，评分低于权重分值60%的，评标委员会成员应当在评标报告中作出说明。计算投标人技术得分时:首先在评委技术评分中，采用取消同一评委对同一标段各投标人评分总分的差值最大的1名评委评分分值（若有2名或以上评委技术评分总分差值最大值相等时，则取消其中1名评委的所有评分，具体办法如下），再对各评分因素细分项中取消一个最高、一个最低分后计算其算术平均值的和为投标人的最终技术得分，平均值计算保留小数点后三位，小数点后第四位“四舍五入”。</w:t>
            </w:r>
          </w:p>
          <w:p w14:paraId="2561A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取消其中1名评委所有评分的办法（依次按照以下流程）：（1）对比上述出现技术评分总分差值最大值相等的评委的次大差值（次大差值＝某一评委技术评分总分的最高分－该评委技术评分总分的次低分），取消次分差值最大的评委所有评分；（2）如次分差值仍相同，则按随机抽取的方式选定取消1名评委评分。</w:t>
            </w:r>
          </w:p>
          <w:p w14:paraId="35032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示例:同一评委对</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名投标人技术评分总分分别为:6.65（最高分)、5.88、5.11、4.90（次低分）、4.55（最低分），则其最大差值为 2.1、次大差值为 6.65-4.90=1.75）。</w:t>
            </w:r>
          </w:p>
        </w:tc>
      </w:tr>
      <w:tr w14:paraId="4753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2978" w:hRule="atLeast"/>
          <w:jc w:val="center"/>
        </w:trPr>
        <w:tc>
          <w:tcPr>
            <w:tcW w:w="2111" w:type="dxa"/>
            <w:gridSpan w:val="4"/>
            <w:vAlign w:val="center"/>
          </w:tcPr>
          <w:p w14:paraId="5B2B2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3.4.2</w:t>
            </w:r>
          </w:p>
        </w:tc>
        <w:tc>
          <w:tcPr>
            <w:tcW w:w="7998" w:type="dxa"/>
            <w:gridSpan w:val="6"/>
          </w:tcPr>
          <w:p w14:paraId="75CB6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将评标办法范本原文第 3.4.2 项第(2)、(3)、(4)目修改为：</w:t>
            </w:r>
          </w:p>
          <w:p w14:paraId="42C8EE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 总价金额与依据单价计算出的结果不一致的，在保证投标总价不变的前提下予以合理调整单价</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p>
          <w:p w14:paraId="3BD29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(3)当单价与数量相乘不等于合价时，应以标出的合价为准，同时对单价予以修正；</w:t>
            </w:r>
          </w:p>
          <w:p w14:paraId="5DB5D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(4) 当各子目的合价累计不等于总价时，应以总价不变的前提下，修正各子目合价。</w:t>
            </w:r>
          </w:p>
        </w:tc>
      </w:tr>
      <w:tr w14:paraId="5992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3878" w:hRule="atLeast"/>
          <w:jc w:val="center"/>
        </w:trPr>
        <w:tc>
          <w:tcPr>
            <w:tcW w:w="2111" w:type="dxa"/>
            <w:gridSpan w:val="4"/>
            <w:vAlign w:val="center"/>
          </w:tcPr>
          <w:p w14:paraId="5B184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3.6</w:t>
            </w:r>
          </w:p>
        </w:tc>
        <w:tc>
          <w:tcPr>
            <w:tcW w:w="7998" w:type="dxa"/>
            <w:gridSpan w:val="6"/>
          </w:tcPr>
          <w:p w14:paraId="61BE5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3.6.2项（2）目末增加以下条款：</w:t>
            </w:r>
          </w:p>
          <w:p w14:paraId="71354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g.当一家以上投标人评标价相同时，若各投标人工程量清单细目单价也相同，视为串标（一个标段仅一工作细目报价的除外）。</w:t>
            </w:r>
          </w:p>
          <w:p w14:paraId="45113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h .广东省实施《中华人民共和国招标投标法》办法第十六条规定的情形。</w:t>
            </w:r>
          </w:p>
          <w:p w14:paraId="16249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增加3.6.3项：</w:t>
            </w:r>
          </w:p>
          <w:p w14:paraId="52AEB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3.6.3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tc>
      </w:tr>
      <w:tr w14:paraId="4010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9128" w:hRule="atLeast"/>
          <w:jc w:val="center"/>
        </w:trPr>
        <w:tc>
          <w:tcPr>
            <w:tcW w:w="2111" w:type="dxa"/>
            <w:gridSpan w:val="4"/>
            <w:vAlign w:val="center"/>
          </w:tcPr>
          <w:p w14:paraId="21CEB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3.7.1</w:t>
            </w:r>
          </w:p>
        </w:tc>
        <w:tc>
          <w:tcPr>
            <w:tcW w:w="7998" w:type="dxa"/>
            <w:gridSpan w:val="6"/>
            <w:vAlign w:val="top"/>
          </w:tcPr>
          <w:p w14:paraId="49198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将评标办法范本原文第 3.7.1 项修改为：</w:t>
            </w:r>
          </w:p>
          <w:p w14:paraId="2202C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3.7.1 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w:t>
            </w:r>
          </w:p>
          <w:p w14:paraId="1AB44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 投标文件中的下列计算错误为细微偏差（采用固化工程量清单，则a－d 步骤省略）：</w:t>
            </w:r>
          </w:p>
          <w:p w14:paraId="0C46C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a、在算术性复核中发现的算术性差错：</w:t>
            </w:r>
          </w:p>
          <w:p w14:paraId="2C9CE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b、在招标人给定的工程量清单中漏报了某个工程细目的单价和合价；</w:t>
            </w:r>
          </w:p>
          <w:p w14:paraId="3B4A9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c、在招标人给定的工程量清单中多报了某个工程细目的单价和合价或所报单价增加或减少了报价范围；</w:t>
            </w:r>
          </w:p>
          <w:p w14:paraId="4DE1E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d、在招标人给定的工程量清单中修改了某些支付号的工程数量。</w:t>
            </w:r>
          </w:p>
          <w:p w14:paraId="06614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（2）评标委员会对投标文件中的细微偏差按如下规定处理（采用固化工程量清单，则 a－d 步骤省略）：</w:t>
            </w:r>
          </w:p>
          <w:p w14:paraId="0A620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a、按本评标办法的规定对算术性错误予以修正；</w:t>
            </w:r>
          </w:p>
          <w:p w14:paraId="19600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b、对于漏报的工程细目单价和合价或单价和合价减少的报价内容视为已含入其它工程细目的单价和合价之中；</w:t>
            </w:r>
          </w:p>
          <w:p w14:paraId="47AA6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c、在保证投标总价不变的前提下，对于多报的工程细目报价或工程细目报价中增加的部分报价从投标报价中予以扣除，并对其它细目作相应的平衡性调整；</w:t>
            </w:r>
          </w:p>
          <w:p w14:paraId="0AA32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d、在保证投标总价不变的前提下，对与给定工程量清单数量不符的工程数量进行更正，并对其它细目作相应的平衡性调整。</w:t>
            </w:r>
          </w:p>
        </w:tc>
      </w:tr>
      <w:tr w14:paraId="0E8B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97" w:type="dxa"/>
          <w:trHeight w:val="8662" w:hRule="atLeast"/>
          <w:jc w:val="center"/>
        </w:trPr>
        <w:tc>
          <w:tcPr>
            <w:tcW w:w="2111" w:type="dxa"/>
            <w:gridSpan w:val="4"/>
            <w:vAlign w:val="center"/>
          </w:tcPr>
          <w:p w14:paraId="09BC6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3.9</w:t>
            </w:r>
          </w:p>
          <w:p w14:paraId="5D888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p>
        </w:tc>
        <w:tc>
          <w:tcPr>
            <w:tcW w:w="7998" w:type="dxa"/>
            <w:gridSpan w:val="6"/>
          </w:tcPr>
          <w:p w14:paraId="26AFC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增加 3.9.3-3.9.7 项 ：</w:t>
            </w:r>
          </w:p>
          <w:p w14:paraId="00789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3.9.3 推荐中标候选人方式：（1）已被推荐为某一标段的第一中标候选人，自动失去其在本次招标中其他标段的中标候选人资格。（2）按标段最高投标限价由高到低顺序依次选定各标段中标候选人，如果出现投标人在多个标段都排名第一，将确定该投标人为最高投标限价较高的标段的第一中标候选人，同时该投标人自动失去在本次招标中其他标段的中标候选人资格，其他标段的综合排名名次高者自动上升为中标候选人，以此类推。</w:t>
            </w:r>
          </w:p>
          <w:p w14:paraId="45A8C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3.9.4 通过第一个信封商务及技术文件评审的投标人少于3个的，评标委员会应否决全部投标。</w:t>
            </w:r>
          </w:p>
          <w:p w14:paraId="60F5C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3.9.5 通过第一个信封商务及技术文件评审的投标人在3个及以上的，招标人应当按照招标文件规定的程序进行第二个信封报价文件开标；在对报价文件进行评审后，有效投标不足3个的，评标委员会可以否决全部投标。未否决全部投标的，评标委员会应当在评标报告中阐明理由并推荐中标候选人。</w:t>
            </w:r>
          </w:p>
          <w:p w14:paraId="6A974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6" w:firstLineChars="19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3.9.6 如果发生无法确定推荐中标候选人的其他意外情况，评标委员会可建议招标人重新招标。</w:t>
            </w:r>
          </w:p>
          <w:p w14:paraId="58859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8" w:firstLineChars="190"/>
              <w:jc w:val="left"/>
              <w:outlineLvl w:val="9"/>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3.9</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bCs/>
                <w:color w:val="000000" w:themeColor="text1"/>
                <w:kern w:val="0"/>
                <w:sz w:val="24"/>
                <w:szCs w:val="24"/>
                <w:highlight w:val="none"/>
                <w14:textFill>
                  <w14:solidFill>
                    <w14:schemeClr w14:val="tx1"/>
                  </w14:solidFill>
                </w14:textFill>
              </w:rPr>
              <w:t>7 本招标文件规定的否决投标条款包含在以下条款：</w:t>
            </w:r>
          </w:p>
          <w:p w14:paraId="7BE1E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8" w:firstLineChars="190"/>
              <w:jc w:val="left"/>
              <w:outlineLvl w:val="9"/>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（1）招标公告第3点投标人资格要求；</w:t>
            </w:r>
          </w:p>
          <w:p w14:paraId="218BE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8" w:firstLineChars="190"/>
              <w:jc w:val="left"/>
              <w:outlineLvl w:val="9"/>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（2）投标人须知1.4.3项、1.4.4项、1.4.5项、1.11.1项、1.12.2项、3.4.2项、3.5.11项、</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kern w:val="0"/>
                <w:sz w:val="24"/>
                <w:szCs w:val="24"/>
                <w:highlight w:val="none"/>
                <w14:textFill>
                  <w14:solidFill>
                    <w14:schemeClr w14:val="tx1"/>
                  </w14:solidFill>
                </w14:textFill>
              </w:rPr>
              <w:t>.6.1项；</w:t>
            </w:r>
          </w:p>
          <w:p w14:paraId="18CDE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58" w:firstLineChars="190"/>
              <w:jc w:val="left"/>
              <w:outlineLvl w:val="9"/>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（3</w:t>
            </w:r>
            <w:r>
              <w:rPr>
                <w:rFonts w:hint="eastAsia" w:ascii="宋体" w:hAnsi="宋体" w:eastAsia="宋体" w:cs="宋体"/>
                <w:b/>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
                <w:bCs/>
                <w:color w:val="000000" w:themeColor="text1"/>
                <w:kern w:val="0"/>
                <w:sz w:val="24"/>
                <w:szCs w:val="24"/>
                <w:highlight w:val="none"/>
                <w14:textFill>
                  <w14:solidFill>
                    <w14:schemeClr w14:val="tx1"/>
                  </w14:solidFill>
                </w14:textFill>
              </w:rPr>
              <w:t>本评标办法的否决条款</w:t>
            </w:r>
            <w:r>
              <w:rPr>
                <w:rFonts w:hint="eastAsia" w:ascii="宋体" w:hAnsi="宋体" w:eastAsia="宋体" w:cs="宋体"/>
                <w:b/>
                <w:bCs/>
                <w:color w:val="000000" w:themeColor="text1"/>
                <w:kern w:val="0"/>
                <w:sz w:val="24"/>
                <w:szCs w:val="24"/>
                <w:highlight w:val="none"/>
                <w:lang w:eastAsia="zh-CN"/>
                <w14:textFill>
                  <w14:solidFill>
                    <w14:schemeClr w14:val="tx1"/>
                  </w14:solidFill>
                </w14:textFill>
              </w:rPr>
              <w:t>。</w:t>
            </w:r>
          </w:p>
        </w:tc>
      </w:tr>
    </w:tbl>
    <w:p w14:paraId="4B10FFC2">
      <w:pPr>
        <w:spacing w:beforeLines="50" w:line="400" w:lineRule="exact"/>
        <w:outlineLvl w:val="9"/>
        <w:rPr>
          <w:rFonts w:ascii="宋体" w:hAnsi="宋体"/>
          <w:color w:val="000000" w:themeColor="text1"/>
          <w:sz w:val="24"/>
          <w:szCs w:val="24"/>
          <w:highlight w:val="none"/>
          <w14:textFill>
            <w14:solidFill>
              <w14:schemeClr w14:val="tx1"/>
            </w14:solidFill>
          </w14:textFill>
        </w:rPr>
      </w:pPr>
    </w:p>
    <w:p w14:paraId="67501321">
      <w:pPr>
        <w:outlineLvl w:val="9"/>
        <w:rPr>
          <w:color w:val="000000" w:themeColor="text1"/>
          <w:highlight w:val="none"/>
          <w14:textFill>
            <w14:solidFill>
              <w14:schemeClr w14:val="tx1"/>
            </w14:solidFill>
          </w14:textFill>
        </w:rPr>
      </w:pPr>
      <w:bookmarkStart w:id="255" w:name="_Toc31795"/>
      <w:r>
        <w:rPr>
          <w:rFonts w:hint="eastAsia"/>
          <w:color w:val="000000" w:themeColor="text1"/>
          <w:highlight w:val="none"/>
          <w14:textFill>
            <w14:solidFill>
              <w14:schemeClr w14:val="tx1"/>
            </w14:solidFill>
          </w14:textFill>
        </w:rPr>
        <w:br w:type="page"/>
      </w:r>
    </w:p>
    <w:bookmarkEnd w:id="255"/>
    <w:p w14:paraId="53B2CAB3">
      <w:pPr>
        <w:pStyle w:val="4"/>
        <w:rPr>
          <w:color w:val="000000" w:themeColor="text1"/>
          <w:highlight w:val="none"/>
          <w14:textFill>
            <w14:solidFill>
              <w14:schemeClr w14:val="tx1"/>
            </w14:solidFill>
          </w14:textFill>
        </w:rPr>
      </w:pPr>
      <w:bookmarkStart w:id="256" w:name="_Toc28214"/>
      <w:r>
        <w:rPr>
          <w:rFonts w:hint="eastAsia"/>
          <w:color w:val="000000" w:themeColor="text1"/>
          <w:highlight w:val="none"/>
          <w14:textFill>
            <w14:solidFill>
              <w14:schemeClr w14:val="tx1"/>
            </w14:solidFill>
          </w14:textFill>
        </w:rPr>
        <w:t>1. 评标方法</w:t>
      </w:r>
      <w:bookmarkEnd w:id="256"/>
    </w:p>
    <w:p w14:paraId="25B060C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评标采用技术评分最低标价法。评标委员会对满足招标文件实质性要求的投标文件的施工组织设计、主要人员、技术能力等因素进行评分，按照得分由高到低排序，对排名在招标文件规定数量以内的投标人的报价文件进行评审，按照评标价由低到高的顺序推荐中标候选人，或根据招标人授权直接确定中标人，但投标报价低于其成本的除外。评标价相等时，评标委员会应按照评标办法前附表规定的优先次序推荐中标候选人或确定中标人。</w:t>
      </w:r>
    </w:p>
    <w:p w14:paraId="666A750F">
      <w:pPr>
        <w:pStyle w:val="4"/>
        <w:rPr>
          <w:color w:val="000000" w:themeColor="text1"/>
          <w:highlight w:val="none"/>
          <w14:textFill>
            <w14:solidFill>
              <w14:schemeClr w14:val="tx1"/>
            </w14:solidFill>
          </w14:textFill>
        </w:rPr>
      </w:pPr>
      <w:bookmarkStart w:id="257" w:name="_Toc234382654"/>
      <w:bookmarkEnd w:id="257"/>
      <w:bookmarkStart w:id="258" w:name="_Toc6288"/>
      <w:bookmarkEnd w:id="258"/>
      <w:bookmarkStart w:id="259" w:name="_Toc522725723"/>
      <w:bookmarkEnd w:id="259"/>
      <w:bookmarkStart w:id="260" w:name="_Toc19220"/>
      <w:r>
        <w:rPr>
          <w:rFonts w:hint="eastAsia"/>
          <w:color w:val="000000" w:themeColor="text1"/>
          <w:highlight w:val="none"/>
          <w14:textFill>
            <w14:solidFill>
              <w14:schemeClr w14:val="tx1"/>
            </w14:solidFill>
          </w14:textFill>
        </w:rPr>
        <w:t>2. 评审标准</w:t>
      </w:r>
      <w:bookmarkEnd w:id="260"/>
    </w:p>
    <w:p w14:paraId="5B31E88C">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61" w:name="_Toc8478"/>
      <w:bookmarkEnd w:id="261"/>
      <w:bookmarkStart w:id="262" w:name="_Toc234382655"/>
      <w:bookmarkEnd w:id="262"/>
      <w:bookmarkStart w:id="263" w:name="_Toc522725724"/>
      <w:bookmarkEnd w:id="263"/>
      <w:bookmarkStart w:id="264" w:name="_Toc28238"/>
      <w:r>
        <w:rPr>
          <w:rFonts w:hint="eastAsia" w:ascii="宋体" w:hAnsi="宋体" w:cs="宋体"/>
          <w:color w:val="000000" w:themeColor="text1"/>
          <w:highlight w:val="none"/>
          <w14:textFill>
            <w14:solidFill>
              <w14:schemeClr w14:val="tx1"/>
            </w14:solidFill>
          </w14:textFill>
        </w:rPr>
        <w:t>2.1 初步评审标准</w:t>
      </w:r>
      <w:bookmarkEnd w:id="264"/>
    </w:p>
    <w:p w14:paraId="4CFBFE8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2.1.1形式评审标准：见评标办法前附表。</w:t>
      </w:r>
    </w:p>
    <w:p w14:paraId="7F2CC1E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2.1.2资格评审标准：见评标办法前附表。</w:t>
      </w:r>
    </w:p>
    <w:p w14:paraId="3D797CA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 资格评审标准：见资格预审文件第三章“资格审查办法”详细审查标准（适用于已进行资格预审的）。</w:t>
      </w:r>
    </w:p>
    <w:p w14:paraId="07FFCB8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2.1.3响应性评审标准：见评标办法前附表。</w:t>
      </w:r>
    </w:p>
    <w:p w14:paraId="1284D0E8">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65" w:name="_Toc2995"/>
      <w:bookmarkEnd w:id="265"/>
      <w:bookmarkStart w:id="266" w:name="_Toc234382656"/>
      <w:bookmarkEnd w:id="266"/>
      <w:bookmarkStart w:id="267" w:name="_Toc522725725"/>
      <w:bookmarkEnd w:id="267"/>
      <w:bookmarkStart w:id="268" w:name="_Toc31439"/>
      <w:r>
        <w:rPr>
          <w:rFonts w:hint="eastAsia" w:ascii="宋体" w:hAnsi="宋体" w:cs="宋体"/>
          <w:color w:val="000000" w:themeColor="text1"/>
          <w:highlight w:val="none"/>
          <w14:textFill>
            <w14:solidFill>
              <w14:schemeClr w14:val="tx1"/>
            </w14:solidFill>
          </w14:textFill>
        </w:rPr>
        <w:t>2.2 分值构成与评分标准</w:t>
      </w:r>
      <w:bookmarkEnd w:id="268"/>
    </w:p>
    <w:p w14:paraId="4BF523AC">
      <w:pPr>
        <w:spacing w:line="400" w:lineRule="exact"/>
        <w:ind w:firstLine="480" w:firstLineChars="200"/>
        <w:rPr>
          <w:rFonts w:ascii="宋体" w:hAnsi="宋体" w:cs="宋体"/>
          <w:color w:val="000000" w:themeColor="text1"/>
          <w:highlight w:val="none"/>
          <w14:textFill>
            <w14:solidFill>
              <w14:schemeClr w14:val="tx1"/>
            </w14:solidFill>
          </w14:textFill>
        </w:rPr>
      </w:pPr>
      <w:bookmarkStart w:id="269" w:name="_Toc522725726"/>
      <w:r>
        <w:rPr>
          <w:rFonts w:hint="eastAsia" w:ascii="宋体" w:hAnsi="宋体" w:cs="宋体"/>
          <w:color w:val="000000" w:themeColor="text1"/>
          <w:kern w:val="0"/>
          <w:sz w:val="24"/>
          <w:highlight w:val="none"/>
          <w14:textFill>
            <w14:solidFill>
              <w14:schemeClr w14:val="tx1"/>
            </w14:solidFill>
          </w14:textFill>
        </w:rPr>
        <w:t>2.2.1 第一个信封</w:t>
      </w:r>
      <w:r>
        <w:rPr>
          <w:rFonts w:hint="eastAsia" w:ascii="宋体" w:hAnsi="宋体" w:cs="宋体"/>
          <w:color w:val="000000" w:themeColor="text1"/>
          <w:sz w:val="24"/>
          <w:highlight w:val="none"/>
          <w14:textFill>
            <w14:solidFill>
              <w14:schemeClr w14:val="tx1"/>
            </w14:solidFill>
          </w14:textFill>
        </w:rPr>
        <w:t>评分</w:t>
      </w:r>
      <w:r>
        <w:rPr>
          <w:rFonts w:hint="eastAsia" w:ascii="宋体" w:hAnsi="宋体" w:cs="宋体"/>
          <w:color w:val="000000" w:themeColor="text1"/>
          <w:kern w:val="0"/>
          <w:sz w:val="24"/>
          <w:highlight w:val="none"/>
          <w14:textFill>
            <w14:solidFill>
              <w14:schemeClr w14:val="tx1"/>
            </w14:solidFill>
          </w14:textFill>
        </w:rPr>
        <w:t xml:space="preserve">分值构成 </w:t>
      </w:r>
    </w:p>
    <w:p w14:paraId="29226DA3">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（1）施工组织设计：见评标办法前附表； </w:t>
      </w:r>
    </w:p>
    <w:p w14:paraId="76BA0910">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（2）主要人员：见</w:t>
      </w:r>
      <w:r>
        <w:rPr>
          <w:rFonts w:hint="eastAsia" w:ascii="宋体" w:hAnsi="宋体" w:cs="宋体"/>
          <w:color w:val="000000" w:themeColor="text1"/>
          <w:sz w:val="24"/>
          <w:highlight w:val="none"/>
          <w14:textFill>
            <w14:solidFill>
              <w14:schemeClr w14:val="tx1"/>
            </w14:solidFill>
          </w14:textFill>
        </w:rPr>
        <w:t>评标</w:t>
      </w:r>
      <w:r>
        <w:rPr>
          <w:rFonts w:hint="eastAsia" w:ascii="宋体" w:hAnsi="宋体" w:cs="宋体"/>
          <w:color w:val="000000" w:themeColor="text1"/>
          <w:kern w:val="0"/>
          <w:sz w:val="24"/>
          <w:highlight w:val="none"/>
          <w14:textFill>
            <w14:solidFill>
              <w14:schemeClr w14:val="tx1"/>
            </w14:solidFill>
          </w14:textFill>
        </w:rPr>
        <w:t xml:space="preserve">办法前附表； </w:t>
      </w:r>
    </w:p>
    <w:p w14:paraId="487FFE3C">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（3）其他因素：见评标办法前附表。 </w:t>
      </w:r>
    </w:p>
    <w:p w14:paraId="51091CB2">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2.2.2 第一个信封</w:t>
      </w:r>
      <w:r>
        <w:rPr>
          <w:rFonts w:hint="eastAsia" w:ascii="宋体" w:hAnsi="宋体" w:cs="宋体"/>
          <w:color w:val="000000" w:themeColor="text1"/>
          <w:sz w:val="24"/>
          <w:highlight w:val="none"/>
          <w14:textFill>
            <w14:solidFill>
              <w14:schemeClr w14:val="tx1"/>
            </w14:solidFill>
          </w14:textFill>
        </w:rPr>
        <w:t>评分</w:t>
      </w:r>
      <w:r>
        <w:rPr>
          <w:rFonts w:hint="eastAsia" w:ascii="宋体" w:hAnsi="宋体" w:cs="宋体"/>
          <w:color w:val="000000" w:themeColor="text1"/>
          <w:kern w:val="0"/>
          <w:sz w:val="24"/>
          <w:highlight w:val="none"/>
          <w14:textFill>
            <w14:solidFill>
              <w14:schemeClr w14:val="tx1"/>
            </w14:solidFill>
          </w14:textFill>
        </w:rPr>
        <w:t xml:space="preserve">评分标准 </w:t>
      </w:r>
    </w:p>
    <w:p w14:paraId="5F17D095">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（1）施工组织设计评分标准：见评标办法前附表； </w:t>
      </w:r>
    </w:p>
    <w:p w14:paraId="34C4C3A2">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（2）主要人员评分</w:t>
      </w:r>
      <w:r>
        <w:rPr>
          <w:rFonts w:hint="eastAsia" w:ascii="宋体" w:hAnsi="宋体" w:cs="宋体"/>
          <w:color w:val="000000" w:themeColor="text1"/>
          <w:sz w:val="24"/>
          <w:highlight w:val="none"/>
          <w14:textFill>
            <w14:solidFill>
              <w14:schemeClr w14:val="tx1"/>
            </w14:solidFill>
          </w14:textFill>
        </w:rPr>
        <w:t>标准</w:t>
      </w:r>
      <w:r>
        <w:rPr>
          <w:rFonts w:hint="eastAsia" w:ascii="宋体" w:hAnsi="宋体" w:cs="宋体"/>
          <w:color w:val="000000" w:themeColor="text1"/>
          <w:kern w:val="0"/>
          <w:sz w:val="24"/>
          <w:highlight w:val="none"/>
          <w14:textFill>
            <w14:solidFill>
              <w14:schemeClr w14:val="tx1"/>
            </w14:solidFill>
          </w14:textFill>
        </w:rPr>
        <w:t xml:space="preserve">：见评标办法前附表； </w:t>
      </w:r>
    </w:p>
    <w:p w14:paraId="5C37BAB6">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（3）其他因素评分标准：见评标办法前附表。 </w:t>
      </w:r>
    </w:p>
    <w:p w14:paraId="5843A109">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2.2.3 第二个信封详细评审标准：见评标办法前附表。 </w:t>
      </w:r>
    </w:p>
    <w:bookmarkEnd w:id="269"/>
    <w:p w14:paraId="33C5F78A">
      <w:pPr>
        <w:pStyle w:val="4"/>
        <w:rPr>
          <w:color w:val="000000" w:themeColor="text1"/>
          <w:highlight w:val="none"/>
          <w14:textFill>
            <w14:solidFill>
              <w14:schemeClr w14:val="tx1"/>
            </w14:solidFill>
          </w14:textFill>
        </w:rPr>
      </w:pPr>
      <w:bookmarkStart w:id="270" w:name="_Toc10149"/>
      <w:bookmarkEnd w:id="270"/>
      <w:bookmarkStart w:id="271" w:name="_Toc32473"/>
      <w:r>
        <w:rPr>
          <w:rFonts w:hint="eastAsia"/>
          <w:color w:val="000000" w:themeColor="text1"/>
          <w:highlight w:val="none"/>
          <w14:textFill>
            <w14:solidFill>
              <w14:schemeClr w14:val="tx1"/>
            </w14:solidFill>
          </w14:textFill>
        </w:rPr>
        <w:t>3. 评标程序</w:t>
      </w:r>
      <w:bookmarkEnd w:id="271"/>
    </w:p>
    <w:p w14:paraId="58616EC3">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72" w:name="_Toc18283"/>
      <w:bookmarkEnd w:id="272"/>
      <w:bookmarkStart w:id="273" w:name="_Toc522725727"/>
      <w:bookmarkEnd w:id="273"/>
      <w:bookmarkStart w:id="274" w:name="_Toc29676"/>
      <w:r>
        <w:rPr>
          <w:rFonts w:hint="eastAsia" w:ascii="宋体" w:hAnsi="宋体" w:cs="宋体"/>
          <w:color w:val="000000" w:themeColor="text1"/>
          <w:highlight w:val="none"/>
          <w14:textFill>
            <w14:solidFill>
              <w14:schemeClr w14:val="tx1"/>
            </w14:solidFill>
          </w14:textFill>
        </w:rPr>
        <w:t>3.1第一个信封初步评审</w:t>
      </w:r>
      <w:bookmarkEnd w:id="274"/>
    </w:p>
    <w:p w14:paraId="740E9BB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 评标委员会可以要求投标人提交第二章“投标人须知”第 3.5.1 项至第 3.5.6项规定的有关证明和证件的原件，以便核验。评标委员会依据本章第 2.1 款规定的标准对投标文件第一个信封（商务及技术文件）进行初步评审。有一项不符合评审标准的，评标委员会应否决其投标。（适用于未进行资格预审的）</w:t>
      </w:r>
    </w:p>
    <w:p w14:paraId="5AACD3C4">
      <w:pPr>
        <w:spacing w:line="40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3.1.1 评标委员会依据本章第 2.1.1 项、第 2.1.3 项规定的评审标准对投标文件第一个信封（商务及技术文件）进行初步评审。有一项不符合评审标准的，评标委员会应否决其投标。当投标人资格预审申请文件的内容发生重大变化时，评标委员会依据本章第 2.1.2 项规定的标准对其更新资料进行评审。（适用于已进行资格预审的） </w:t>
      </w:r>
    </w:p>
    <w:p w14:paraId="4DAA4589">
      <w:pPr>
        <w:pStyle w:val="72"/>
        <w:numPr>
          <w:ilvl w:val="0"/>
          <w:numId w:val="0"/>
        </w:numPr>
        <w:spacing w:line="360" w:lineRule="auto"/>
        <w:outlineLvl w:val="9"/>
        <w:rPr>
          <w:rFonts w:hint="eastAsia" w:ascii="宋体" w:hAnsi="宋体" w:cs="宋体"/>
          <w:color w:val="000000" w:themeColor="text1"/>
          <w:highlight w:val="none"/>
          <w14:textFill>
            <w14:solidFill>
              <w14:schemeClr w14:val="tx1"/>
            </w14:solidFill>
          </w14:textFill>
        </w:rPr>
      </w:pPr>
      <w:bookmarkStart w:id="275" w:name="_Toc14649"/>
      <w:bookmarkStart w:id="276" w:name="_Toc522725728"/>
    </w:p>
    <w:bookmarkEnd w:id="275"/>
    <w:p w14:paraId="1ECBF40A">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77" w:name="_Toc17503"/>
      <w:r>
        <w:rPr>
          <w:rFonts w:hint="eastAsia" w:ascii="宋体" w:hAnsi="宋体" w:cs="宋体"/>
          <w:color w:val="000000" w:themeColor="text1"/>
          <w:highlight w:val="none"/>
          <w14:textFill>
            <w14:solidFill>
              <w14:schemeClr w14:val="tx1"/>
            </w14:solidFill>
          </w14:textFill>
        </w:rPr>
        <w:t>3.2第一个信封详细评审</w:t>
      </w:r>
      <w:bookmarkEnd w:id="277"/>
    </w:p>
    <w:p w14:paraId="18D786C5">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3.2.1 评标委员会按本章第 2.2 款规定的量化因素和分值进行打分，并计算出各投标人的商务和技术得分。 </w:t>
      </w:r>
    </w:p>
    <w:p w14:paraId="75F9C6F1">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（1）按本章第 2.2.2 项（1）目规定的评审因素和分值对施工组织设计部分计算出得分 A； </w:t>
      </w:r>
    </w:p>
    <w:p w14:paraId="4971BCB4">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（2）按本章第 2.2.2 项（2）目规定的评审因素和分值对主要人员部分计算出得分B； </w:t>
      </w:r>
    </w:p>
    <w:p w14:paraId="1391D622">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（3）按本章第 2.2.2 项（3）目规定的评审因素和分值对其他因素部分计算出得分C。 </w:t>
      </w:r>
    </w:p>
    <w:p w14:paraId="2916D2C0">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3.2.2 投标人的商务和技术得分分值计算保留小数点后三位，小数点后第三位“四舍五入”。 </w:t>
      </w:r>
    </w:p>
    <w:p w14:paraId="35C51F49">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3.2.3 投标人的商务和技术</w:t>
      </w:r>
      <w:r>
        <w:rPr>
          <w:rFonts w:hint="eastAsia" w:ascii="宋体" w:hAnsi="宋体" w:cs="宋体"/>
          <w:color w:val="000000" w:themeColor="text1"/>
          <w:sz w:val="24"/>
          <w:highlight w:val="none"/>
          <w14:textFill>
            <w14:solidFill>
              <w14:schemeClr w14:val="tx1"/>
            </w14:solidFill>
          </w14:textFill>
        </w:rPr>
        <w:t>得分</w:t>
      </w:r>
      <w:r>
        <w:rPr>
          <w:rFonts w:hint="eastAsia" w:ascii="宋体" w:hAnsi="宋体" w:cs="宋体"/>
          <w:color w:val="000000" w:themeColor="text1"/>
          <w:kern w:val="0"/>
          <w:sz w:val="24"/>
          <w:highlight w:val="none"/>
          <w14:textFill>
            <w14:solidFill>
              <w14:schemeClr w14:val="tx1"/>
            </w14:solidFill>
          </w14:textFill>
        </w:rPr>
        <w:t xml:space="preserve">=A+B+C。 </w:t>
      </w:r>
    </w:p>
    <w:p w14:paraId="0A67D9A2">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3.2.4 评标委员会按照投标人的商务和技术得分由高到低排序，排名在评标办法前附表规定数量以内的投标人，其投标</w:t>
      </w:r>
      <w:r>
        <w:rPr>
          <w:rFonts w:hint="eastAsia" w:ascii="宋体" w:hAnsi="宋体" w:cs="宋体"/>
          <w:color w:val="000000" w:themeColor="text1"/>
          <w:sz w:val="24"/>
          <w:highlight w:val="none"/>
          <w14:textFill>
            <w14:solidFill>
              <w14:schemeClr w14:val="tx1"/>
            </w14:solidFill>
          </w14:textFill>
        </w:rPr>
        <w:t>文件</w:t>
      </w:r>
      <w:r>
        <w:rPr>
          <w:rFonts w:hint="eastAsia" w:ascii="宋体" w:hAnsi="宋体" w:cs="宋体"/>
          <w:color w:val="000000" w:themeColor="text1"/>
          <w:kern w:val="0"/>
          <w:sz w:val="24"/>
          <w:highlight w:val="none"/>
          <w14:textFill>
            <w14:solidFill>
              <w14:schemeClr w14:val="tx1"/>
            </w14:solidFill>
          </w14:textFill>
        </w:rPr>
        <w:t xml:space="preserve">第一个信封（商务及技术文件）通过详细评审。 </w:t>
      </w:r>
    </w:p>
    <w:p w14:paraId="6602E346">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3.2.5 通过投标文件第一个信封（商务及技术文件）初步评审的投标人不少于3个且未超过评标办法前附表第 3.2.4 项规定数量的，均通过投标文件第一个信封（商务及技术文件）详细评审，不再对投标人的</w:t>
      </w:r>
      <w:r>
        <w:rPr>
          <w:rFonts w:hint="eastAsia" w:ascii="宋体" w:hAnsi="宋体" w:cs="宋体"/>
          <w:color w:val="000000" w:themeColor="text1"/>
          <w:sz w:val="24"/>
          <w:highlight w:val="none"/>
          <w14:textFill>
            <w14:solidFill>
              <w14:schemeClr w14:val="tx1"/>
            </w14:solidFill>
          </w14:textFill>
        </w:rPr>
        <w:t>商务</w:t>
      </w:r>
      <w:r>
        <w:rPr>
          <w:rFonts w:hint="eastAsia" w:ascii="宋体" w:hAnsi="宋体" w:cs="宋体"/>
          <w:color w:val="000000" w:themeColor="text1"/>
          <w:kern w:val="0"/>
          <w:sz w:val="24"/>
          <w:highlight w:val="none"/>
          <w14:textFill>
            <w14:solidFill>
              <w14:schemeClr w14:val="tx1"/>
            </w14:solidFill>
          </w14:textFill>
        </w:rPr>
        <w:t xml:space="preserve">和技术文件进行评分。 </w:t>
      </w:r>
    </w:p>
    <w:bookmarkEnd w:id="276"/>
    <w:p w14:paraId="16D210AB">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78" w:name="_Toc11419"/>
      <w:bookmarkEnd w:id="278"/>
      <w:bookmarkStart w:id="279" w:name="_Toc25655"/>
      <w:r>
        <w:rPr>
          <w:rFonts w:hint="eastAsia" w:ascii="宋体" w:hAnsi="宋体" w:cs="宋体"/>
          <w:color w:val="000000" w:themeColor="text1"/>
          <w:highlight w:val="none"/>
          <w14:textFill>
            <w14:solidFill>
              <w14:schemeClr w14:val="tx1"/>
            </w14:solidFill>
          </w14:textFill>
        </w:rPr>
        <w:t>3.3 第二个信封开标</w:t>
      </w:r>
      <w:bookmarkEnd w:id="279"/>
    </w:p>
    <w:p w14:paraId="290A607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第一个信封（商务及技术文件）评审结束后，招标人将按照第二章“投标人须知”第 5.1 款规定的时间和地点对通过投标文件第一个信封（商务及技术文件）评审的投标文件第二个信封（报价文件）进行开标。</w:t>
      </w:r>
    </w:p>
    <w:p w14:paraId="6F5F58C3">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80" w:name="_Toc898"/>
      <w:bookmarkEnd w:id="280"/>
      <w:bookmarkStart w:id="281" w:name="_Toc522725729"/>
      <w:bookmarkEnd w:id="281"/>
      <w:bookmarkStart w:id="282" w:name="_Toc12427"/>
      <w:r>
        <w:rPr>
          <w:rFonts w:hint="eastAsia" w:ascii="宋体" w:hAnsi="宋体" w:cs="宋体"/>
          <w:color w:val="000000" w:themeColor="text1"/>
          <w:highlight w:val="none"/>
          <w14:textFill>
            <w14:solidFill>
              <w14:schemeClr w14:val="tx1"/>
            </w14:solidFill>
          </w14:textFill>
        </w:rPr>
        <w:t>3.4 第二个信封初步评审</w:t>
      </w:r>
      <w:bookmarkEnd w:id="282"/>
    </w:p>
    <w:p w14:paraId="13CA74F0">
      <w:pPr>
        <w:spacing w:line="400" w:lineRule="exact"/>
        <w:ind w:firstLine="480" w:firstLineChars="200"/>
        <w:rPr>
          <w:rFonts w:ascii="宋体" w:hAnsi="宋体" w:cs="宋体"/>
          <w:color w:val="000000" w:themeColor="text1"/>
          <w:kern w:val="0"/>
          <w:sz w:val="24"/>
          <w:highlight w:val="none"/>
          <w14:textFill>
            <w14:solidFill>
              <w14:schemeClr w14:val="tx1"/>
            </w14:solidFill>
          </w14:textFill>
        </w:rPr>
      </w:pPr>
      <w:bookmarkStart w:id="283" w:name="_Toc522725730"/>
      <w:r>
        <w:rPr>
          <w:rFonts w:hint="eastAsia" w:ascii="宋体" w:hAnsi="宋体" w:cs="宋体"/>
          <w:color w:val="000000" w:themeColor="text1"/>
          <w:kern w:val="0"/>
          <w:sz w:val="24"/>
          <w:highlight w:val="none"/>
          <w14:textFill>
            <w14:solidFill>
              <w14:schemeClr w14:val="tx1"/>
            </w14:solidFill>
          </w14:textFill>
        </w:rPr>
        <w:t>3.4.1 评标委员会依据本章第 2.1.1 项、第 2.1.3 项规定的评审标准对投标文件第二个信封（报价文件）进行初步评审。有一项不符合评审标准的，评标委员会应否决其投标。</w:t>
      </w:r>
    </w:p>
    <w:p w14:paraId="13D9F3C3">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3.4.2 投标报价有算术错误的，评标委员会按以下原则对投标报价进行修正，修正的价格经投标人书面确认后具有</w:t>
      </w:r>
      <w:r>
        <w:rPr>
          <w:rFonts w:hint="eastAsia" w:ascii="宋体" w:hAnsi="宋体" w:cs="宋体"/>
          <w:color w:val="000000" w:themeColor="text1"/>
          <w:sz w:val="24"/>
          <w:highlight w:val="none"/>
          <w14:textFill>
            <w14:solidFill>
              <w14:schemeClr w14:val="tx1"/>
            </w14:solidFill>
          </w14:textFill>
        </w:rPr>
        <w:t>约束力</w:t>
      </w:r>
      <w:r>
        <w:rPr>
          <w:rFonts w:hint="eastAsia" w:ascii="宋体" w:hAnsi="宋体" w:cs="宋体"/>
          <w:color w:val="000000" w:themeColor="text1"/>
          <w:kern w:val="0"/>
          <w:sz w:val="24"/>
          <w:highlight w:val="none"/>
          <w14:textFill>
            <w14:solidFill>
              <w14:schemeClr w14:val="tx1"/>
            </w14:solidFill>
          </w14:textFill>
        </w:rPr>
        <w:t xml:space="preserve">。投标人不接受修正价格的，评标委员会应否决其投标。 </w:t>
      </w:r>
    </w:p>
    <w:p w14:paraId="2A138469">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（1）投标文件中的大写金额与小写金额不一致的，以大写金额为准； </w:t>
      </w:r>
    </w:p>
    <w:p w14:paraId="1666BFE5">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（2）总价金额与依据单价计算出的结果不一致的，以单价金额为准修正总价，但单价金额小数点有明显错误的除外</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 xml:space="preserve"> </w:t>
      </w:r>
    </w:p>
    <w:p w14:paraId="53DFA108">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（3）当单价与数量相乘不等于合价时，以单价计算为准，如果单价有明显的小数点位置差错，应以标出的合价</w:t>
      </w:r>
      <w:r>
        <w:rPr>
          <w:rFonts w:hint="eastAsia" w:ascii="宋体" w:hAnsi="宋体" w:cs="宋体"/>
          <w:color w:val="000000" w:themeColor="text1"/>
          <w:sz w:val="24"/>
          <w:highlight w:val="none"/>
          <w14:textFill>
            <w14:solidFill>
              <w14:schemeClr w14:val="tx1"/>
            </w14:solidFill>
          </w14:textFill>
        </w:rPr>
        <w:t>为准</w:t>
      </w:r>
      <w:r>
        <w:rPr>
          <w:rFonts w:hint="eastAsia" w:ascii="宋体" w:hAnsi="宋体" w:cs="宋体"/>
          <w:color w:val="000000" w:themeColor="text1"/>
          <w:kern w:val="0"/>
          <w:sz w:val="24"/>
          <w:highlight w:val="none"/>
          <w14:textFill>
            <w14:solidFill>
              <w14:schemeClr w14:val="tx1"/>
            </w14:solidFill>
          </w14:textFill>
        </w:rPr>
        <w:t xml:space="preserve">，同时对单价予以修正； </w:t>
      </w:r>
    </w:p>
    <w:p w14:paraId="7CF71E51">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（4）当各子目的合价累计不等于总价时，应以各子目合价累计数为准，修正总价。 </w:t>
      </w:r>
    </w:p>
    <w:p w14:paraId="2FABB8D2">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3.4.3 工程量清单中的投标报价有其他错误的，评标委员会按以下原则对投标报价进行修正，修正的价格经投标人书面确认后具有约束力。投标人不接受修正价格的，评标委员会应否决其投标。 </w:t>
      </w:r>
    </w:p>
    <w:p w14:paraId="341EAD9F">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（1）在招标人</w:t>
      </w:r>
      <w:r>
        <w:rPr>
          <w:rFonts w:hint="eastAsia" w:ascii="宋体" w:hAnsi="宋体" w:cs="宋体"/>
          <w:color w:val="000000" w:themeColor="text1"/>
          <w:sz w:val="24"/>
          <w:highlight w:val="none"/>
          <w14:textFill>
            <w14:solidFill>
              <w14:schemeClr w14:val="tx1"/>
            </w14:solidFill>
          </w14:textFill>
        </w:rPr>
        <w:t>给定</w:t>
      </w:r>
      <w:r>
        <w:rPr>
          <w:rFonts w:hint="eastAsia" w:ascii="宋体" w:hAnsi="宋体" w:cs="宋体"/>
          <w:color w:val="000000" w:themeColor="text1"/>
          <w:kern w:val="0"/>
          <w:sz w:val="24"/>
          <w:highlight w:val="none"/>
          <w14:textFill>
            <w14:solidFill>
              <w14:schemeClr w14:val="tx1"/>
            </w14:solidFill>
          </w14:textFill>
        </w:rPr>
        <w:t>的工程量清单中漏报了某个工程子目的单价、合价或总额价，或所报单价、合价或总额价减少了报价范围，则漏报的工程子目单价、合价和总额价或单价、合价和总额价中减少的报价</w:t>
      </w:r>
      <w:r>
        <w:rPr>
          <w:rFonts w:hint="eastAsia" w:ascii="宋体" w:hAnsi="宋体" w:cs="宋体"/>
          <w:color w:val="000000" w:themeColor="text1"/>
          <w:sz w:val="24"/>
          <w:highlight w:val="none"/>
          <w14:textFill>
            <w14:solidFill>
              <w14:schemeClr w14:val="tx1"/>
            </w14:solidFill>
          </w14:textFill>
        </w:rPr>
        <w:t>内容</w:t>
      </w:r>
      <w:r>
        <w:rPr>
          <w:rFonts w:hint="eastAsia" w:ascii="宋体" w:hAnsi="宋体" w:cs="宋体"/>
          <w:color w:val="000000" w:themeColor="text1"/>
          <w:kern w:val="0"/>
          <w:sz w:val="24"/>
          <w:highlight w:val="none"/>
          <w14:textFill>
            <w14:solidFill>
              <w14:schemeClr w14:val="tx1"/>
            </w14:solidFill>
          </w14:textFill>
        </w:rPr>
        <w:t xml:space="preserve">视为已含入其他工程子目的单价、合价和总额价之中。 </w:t>
      </w:r>
    </w:p>
    <w:p w14:paraId="00DD4EAE">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（2）在招标人</w:t>
      </w:r>
      <w:r>
        <w:rPr>
          <w:rFonts w:hint="eastAsia" w:ascii="宋体" w:hAnsi="宋体" w:cs="宋体"/>
          <w:color w:val="000000" w:themeColor="text1"/>
          <w:sz w:val="24"/>
          <w:highlight w:val="none"/>
          <w14:textFill>
            <w14:solidFill>
              <w14:schemeClr w14:val="tx1"/>
            </w14:solidFill>
          </w14:textFill>
        </w:rPr>
        <w:t>给定</w:t>
      </w:r>
      <w:r>
        <w:rPr>
          <w:rFonts w:hint="eastAsia" w:ascii="宋体" w:hAnsi="宋体" w:cs="宋体"/>
          <w:color w:val="000000" w:themeColor="text1"/>
          <w:kern w:val="0"/>
          <w:sz w:val="24"/>
          <w:highlight w:val="none"/>
          <w14:textFill>
            <w14:solidFill>
              <w14:schemeClr w14:val="tx1"/>
            </w14:solidFill>
          </w14:textFill>
        </w:rPr>
        <w:t xml:space="preserve">的工程量清单中多报了某个工程子目的单价、合价或总额价，或所报单价、合价或总额价增加了报价范围，则从投标报价中扣除多报的工程子目报价或工程子目报价中增加了报价范围的部分报价。 </w:t>
      </w:r>
    </w:p>
    <w:p w14:paraId="40B72978">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（3）当单价与数量的乘积与合价（金额）虽然一致，但投标人修改了该子目的工程数量，则其合价按招标人给定的工程数量乘以投标人所报单价予以修正。 </w:t>
      </w:r>
    </w:p>
    <w:p w14:paraId="21C06BFB">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3.4.4 修正后的最终投标</w:t>
      </w:r>
      <w:r>
        <w:rPr>
          <w:rFonts w:hint="eastAsia" w:ascii="宋体" w:hAnsi="宋体" w:cs="宋体"/>
          <w:color w:val="000000" w:themeColor="text1"/>
          <w:sz w:val="24"/>
          <w:highlight w:val="none"/>
          <w14:textFill>
            <w14:solidFill>
              <w14:schemeClr w14:val="tx1"/>
            </w14:solidFill>
          </w14:textFill>
        </w:rPr>
        <w:t>报价</w:t>
      </w:r>
      <w:r>
        <w:rPr>
          <w:rFonts w:hint="eastAsia" w:ascii="宋体" w:hAnsi="宋体" w:cs="宋体"/>
          <w:color w:val="000000" w:themeColor="text1"/>
          <w:kern w:val="0"/>
          <w:sz w:val="24"/>
          <w:highlight w:val="none"/>
          <w14:textFill>
            <w14:solidFill>
              <w14:schemeClr w14:val="tx1"/>
            </w14:solidFill>
          </w14:textFill>
        </w:rPr>
        <w:t xml:space="preserve">若超过最高投标限价（如有），评标委员会应否决其投标。 </w:t>
      </w:r>
    </w:p>
    <w:bookmarkEnd w:id="283"/>
    <w:p w14:paraId="000F56F4">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84" w:name="_Toc2394"/>
      <w:bookmarkEnd w:id="284"/>
      <w:bookmarkStart w:id="285" w:name="_Toc27048"/>
      <w:r>
        <w:rPr>
          <w:rFonts w:hint="eastAsia" w:ascii="宋体" w:hAnsi="宋体" w:cs="宋体"/>
          <w:color w:val="000000" w:themeColor="text1"/>
          <w:highlight w:val="none"/>
          <w14:textFill>
            <w14:solidFill>
              <w14:schemeClr w14:val="tx1"/>
            </w14:solidFill>
          </w14:textFill>
        </w:rPr>
        <w:t>3.5 第二个信封详细评审</w:t>
      </w:r>
      <w:bookmarkEnd w:id="285"/>
    </w:p>
    <w:p w14:paraId="08A492C9">
      <w:pPr>
        <w:spacing w:line="400" w:lineRule="exact"/>
        <w:ind w:firstLine="480" w:firstLineChars="200"/>
        <w:rPr>
          <w:rFonts w:ascii="宋体" w:hAnsi="宋体" w:cs="宋体"/>
          <w:color w:val="000000" w:themeColor="text1"/>
          <w:highlight w:val="none"/>
          <w14:textFill>
            <w14:solidFill>
              <w14:schemeClr w14:val="tx1"/>
            </w14:solidFill>
          </w14:textFill>
        </w:rPr>
      </w:pPr>
      <w:bookmarkStart w:id="286" w:name="_Toc522725731"/>
      <w:r>
        <w:rPr>
          <w:rFonts w:hint="eastAsia" w:ascii="宋体" w:hAnsi="宋体" w:cs="宋体"/>
          <w:color w:val="000000" w:themeColor="text1"/>
          <w:kern w:val="0"/>
          <w:sz w:val="24"/>
          <w:highlight w:val="none"/>
          <w14:textFill>
            <w14:solidFill>
              <w14:schemeClr w14:val="tx1"/>
            </w14:solidFill>
          </w14:textFill>
        </w:rPr>
        <w:t xml:space="preserve">3.5.1 评标委员会按本章第 2.2 款规定的量化因素和标准进行价格折算，计算出评标价，并编制价格比较一览表。 </w:t>
      </w:r>
    </w:p>
    <w:p w14:paraId="7F7D174F">
      <w:pPr>
        <w:spacing w:line="4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3.5.2 评标委员会发现投标人的报价明显低于其他投标报价，使得其投标报价可能低于其个别成本的，应要求该投标人作出书面说明并提供相应的证明材料。投标人不能合理说明或不能提供相应证明材料的，由评标委员会认定该投标人以低于成本报价竞标，并否决其投标。 </w:t>
      </w:r>
    </w:p>
    <w:bookmarkEnd w:id="286"/>
    <w:p w14:paraId="5E0917F6">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87" w:name="_Toc16154"/>
      <w:bookmarkEnd w:id="287"/>
      <w:bookmarkStart w:id="288" w:name="_Toc16116"/>
      <w:r>
        <w:rPr>
          <w:rFonts w:hint="eastAsia" w:ascii="宋体" w:hAnsi="宋体" w:cs="宋体"/>
          <w:color w:val="000000" w:themeColor="text1"/>
          <w:highlight w:val="none"/>
          <w14:textFill>
            <w14:solidFill>
              <w14:schemeClr w14:val="tx1"/>
            </w14:solidFill>
          </w14:textFill>
        </w:rPr>
        <w:t>3.6 投标文件相关信息的核查</w:t>
      </w:r>
      <w:bookmarkEnd w:id="288"/>
    </w:p>
    <w:p w14:paraId="7946DE3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3.6.1 在评标过程中，评标委员会应査询交通运输主管部门“公路建设市场信用信息管理系统”，对投标人的资质、业绩、主要人员资历和目前在岗情况、信用等级等信息进行核实。若投标文件载明的信息与交通运输主管部门“公路建设市场信用信息管理系统”公布的信息不符，使得投标人的资格条件不符合招标文件规定的，评标委员会应否决其投标。</w:t>
      </w:r>
    </w:p>
    <w:p w14:paraId="1EA2185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3.6.2评标委员会应对在评标过程中发现的投标人与投标人之间、投标人与招标人之间存在的串通投标的情形进行评审和认定。投标人存在串通投标、弄虚作假、行贿等违法行为的，评标委员会应否决其投标。</w:t>
      </w:r>
    </w:p>
    <w:p w14:paraId="6B5D304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（1）有下列情形之一的，属于投标人相互串通投标：</w:t>
      </w:r>
    </w:p>
    <w:p w14:paraId="6CB1E1A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a.投标人之间协商投标报价等投标文件的实质性内容；</w:t>
      </w:r>
    </w:p>
    <w:p w14:paraId="70CF5A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b.投标人之间约定中标人；</w:t>
      </w:r>
    </w:p>
    <w:p w14:paraId="6279F59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c.投标人之间约定部分投标人放弃投标或中标；</w:t>
      </w:r>
    </w:p>
    <w:p w14:paraId="4B3E067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d.属于同一集团、协会、商会等组织成员的投标人按照该组织要求协同投标；</w:t>
      </w:r>
    </w:p>
    <w:p w14:paraId="3574A7B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e.投标人之间为谋取中标或排斥特定投标人而采取的其他联合行动。</w:t>
      </w:r>
    </w:p>
    <w:p w14:paraId="4010ED3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（2）有下列情形之一的，视为投标人相互串通投标：</w:t>
      </w:r>
    </w:p>
    <w:p w14:paraId="24AEA52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a.不同投标人的投标文件由同一单位或个人编制；</w:t>
      </w:r>
    </w:p>
    <w:p w14:paraId="688B751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b.不同投标人委托同一单位或个人办理投标事宜；</w:t>
      </w:r>
    </w:p>
    <w:p w14:paraId="4AC41B2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c.不同投标人的投标文件载明的项目管理成员为同一人；</w:t>
      </w:r>
    </w:p>
    <w:p w14:paraId="1AD1F91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d.不同投标人的投标文件异常一致或投标报价呈规律性差异；</w:t>
      </w:r>
    </w:p>
    <w:p w14:paraId="511A9F9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e.不同投标人的投标文件相互混装；</w:t>
      </w:r>
    </w:p>
    <w:p w14:paraId="288E77D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f.不同投标人的投标保证金从同一单位或个人的账户转出。</w:t>
      </w:r>
    </w:p>
    <w:p w14:paraId="67E34E3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（3）有下列情形之一的，属于招标人与投标人串通投标：</w:t>
      </w:r>
    </w:p>
    <w:p w14:paraId="1A95625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a.招标人在开标前开启投标文件并将有关信息泄露给其他投标人；</w:t>
      </w:r>
    </w:p>
    <w:p w14:paraId="72E0646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b.招标人直接或间接向投标人泄露标底、评标委员会成员等信息；</w:t>
      </w:r>
    </w:p>
    <w:p w14:paraId="7130337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c.招标人明示或暗示投标人压低或抬高投标报价；</w:t>
      </w:r>
    </w:p>
    <w:p w14:paraId="447EE29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d.招标人授意投标人撤換、修改投标文件；</w:t>
      </w:r>
    </w:p>
    <w:p w14:paraId="16589F0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e.招标人明示或暗示投标人为特定投标人中标提供方便；</w:t>
      </w:r>
    </w:p>
    <w:p w14:paraId="1F94DA8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f.招标人与投标人为谋求特定投标人中标而采取的其他串通行为。</w:t>
      </w:r>
    </w:p>
    <w:p w14:paraId="3B40838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（4）投标人有下列情形之一的，属于弄虚作假的行为： </w:t>
      </w:r>
    </w:p>
    <w:p w14:paraId="10A0BAA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a.使用通过受让或租借等方式获取的资格、资质证书投标； </w:t>
      </w:r>
    </w:p>
    <w:p w14:paraId="4249E9B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b.使用伪造、变造的许可证件；</w:t>
      </w:r>
    </w:p>
    <w:p w14:paraId="39B4627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c.提供虚假的财务状况或业绩；</w:t>
      </w:r>
    </w:p>
    <w:p w14:paraId="28382EF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d.提供虚假的项目负责人或主要技术人员简历、劳动关系证明；</w:t>
      </w:r>
    </w:p>
    <w:p w14:paraId="4EBA1D0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e.提供虚假的信用状况；</w:t>
      </w:r>
    </w:p>
    <w:p w14:paraId="3E52814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f.具他弄虚作假的行为。</w:t>
      </w:r>
    </w:p>
    <w:p w14:paraId="546A693F">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89" w:name="_Toc522725732"/>
      <w:bookmarkEnd w:id="289"/>
      <w:bookmarkStart w:id="290" w:name="_Toc21295"/>
      <w:bookmarkEnd w:id="290"/>
      <w:bookmarkStart w:id="291" w:name="_Toc27738"/>
      <w:r>
        <w:rPr>
          <w:rFonts w:hint="eastAsia" w:ascii="宋体" w:hAnsi="宋体" w:cs="宋体"/>
          <w:color w:val="000000" w:themeColor="text1"/>
          <w:highlight w:val="none"/>
          <w14:textFill>
            <w14:solidFill>
              <w14:schemeClr w14:val="tx1"/>
            </w14:solidFill>
          </w14:textFill>
        </w:rPr>
        <w:t>3.7 投标文件的澄清和说明</w:t>
      </w:r>
      <w:bookmarkEnd w:id="291"/>
    </w:p>
    <w:p w14:paraId="203D482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3.7.1 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w:t>
      </w:r>
    </w:p>
    <w:p w14:paraId="3ABE98F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3.7.2 澄清和说明不得超出投标文件的范围或改变招标文件的实质性内容（算术性错误修正的除外）。投标人的书面澄清、说明属于投标文件的组成部分。</w:t>
      </w:r>
    </w:p>
    <w:p w14:paraId="420E035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3.7.3 评标委员会不得暗示或诱导投标人作出澄清、说明，对投标人提交的澄清、说明有疑问的，可以要求投标人进一步澄清或说明，直至满足评标委员会的要求。</w:t>
      </w:r>
    </w:p>
    <w:p w14:paraId="17EA1B5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3.7.4 凡超出招标文件规定的或给发包人带来未曾要求的利益的变化、偏差或其他因素在评标时不予考虑。</w:t>
      </w:r>
    </w:p>
    <w:p w14:paraId="36525505">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92" w:name="_Toc522725733"/>
      <w:bookmarkEnd w:id="292"/>
      <w:bookmarkStart w:id="293" w:name="_Toc5475"/>
      <w:bookmarkEnd w:id="293"/>
      <w:bookmarkStart w:id="294" w:name="_Toc3768"/>
      <w:r>
        <w:rPr>
          <w:rFonts w:hint="eastAsia" w:ascii="宋体" w:hAnsi="宋体" w:cs="宋体"/>
          <w:color w:val="000000" w:themeColor="text1"/>
          <w:highlight w:val="none"/>
          <w14:textFill>
            <w14:solidFill>
              <w14:schemeClr w14:val="tx1"/>
            </w14:solidFill>
          </w14:textFill>
        </w:rPr>
        <w:t>3.8 不得否决投标的情形</w:t>
      </w:r>
      <w:bookmarkEnd w:id="294"/>
    </w:p>
    <w:p w14:paraId="4EEC985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投标文件存在第二章“投标人须知”第1.12.3项所列情形的，均视为细微偏差，评标委员会不得否决投标人的投标， 应按照第二章“投标人须知”第1.12.4项规定的原则处理。</w:t>
      </w:r>
    </w:p>
    <w:p w14:paraId="1CFF68A1">
      <w:pPr>
        <w:pStyle w:val="72"/>
        <w:numPr>
          <w:ilvl w:val="0"/>
          <w:numId w:val="0"/>
        </w:numPr>
        <w:spacing w:line="360" w:lineRule="auto"/>
        <w:rPr>
          <w:rFonts w:ascii="宋体" w:hAnsi="宋体" w:cs="宋体"/>
          <w:color w:val="000000" w:themeColor="text1"/>
          <w:highlight w:val="none"/>
          <w14:textFill>
            <w14:solidFill>
              <w14:schemeClr w14:val="tx1"/>
            </w14:solidFill>
          </w14:textFill>
        </w:rPr>
      </w:pPr>
      <w:bookmarkStart w:id="295" w:name="_Toc14369"/>
      <w:bookmarkEnd w:id="295"/>
      <w:bookmarkStart w:id="296" w:name="_Toc522725734"/>
      <w:bookmarkEnd w:id="296"/>
      <w:bookmarkStart w:id="297" w:name="_Toc20631"/>
      <w:r>
        <w:rPr>
          <w:rFonts w:hint="eastAsia" w:ascii="宋体" w:hAnsi="宋体" w:cs="宋体"/>
          <w:color w:val="000000" w:themeColor="text1"/>
          <w:highlight w:val="none"/>
          <w14:textFill>
            <w14:solidFill>
              <w14:schemeClr w14:val="tx1"/>
            </w14:solidFill>
          </w14:textFill>
        </w:rPr>
        <w:t>3.9 评标结果</w:t>
      </w:r>
      <w:bookmarkEnd w:id="297"/>
    </w:p>
    <w:p w14:paraId="10033AE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3.9.1除第二章“投标人须知”前附表授权直接确定中标人外，评标委员会按照得分由高到低的顺序推荐中标候选人，并标明排序。</w:t>
      </w:r>
    </w:p>
    <w:p w14:paraId="278D03E5">
      <w:pPr>
        <w:pStyle w:val="56"/>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3.9.2 评标委员会完成评标后，应向招标人提交书面评标报告。</w:t>
      </w:r>
    </w:p>
    <w:p w14:paraId="44C21A96">
      <w:pP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7C19D499">
      <w:pPr>
        <w:adjustRightInd w:val="0"/>
        <w:snapToGrid w:val="0"/>
        <w:spacing w:line="360" w:lineRule="auto"/>
        <w:rPr>
          <w:rFonts w:ascii="宋体" w:hAnsi="宋体"/>
          <w:color w:val="000000" w:themeColor="text1"/>
          <w:highlight w:val="none"/>
          <w14:textFill>
            <w14:solidFill>
              <w14:schemeClr w14:val="tx1"/>
            </w14:solidFill>
          </w14:textFill>
        </w:rPr>
      </w:pPr>
    </w:p>
    <w:p w14:paraId="4AA4F2CB">
      <w:pPr>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p>
    <w:p w14:paraId="1361DA39">
      <w:pPr>
        <w:adjustRightInd w:val="0"/>
        <w:snapToGrid w:val="0"/>
        <w:spacing w:line="360" w:lineRule="auto"/>
        <w:ind w:firstLine="420" w:firstLineChars="200"/>
        <w:rPr>
          <w:rFonts w:ascii="宋体" w:hAnsi="宋体"/>
          <w:color w:val="000000" w:themeColor="text1"/>
          <w:highlight w:val="none"/>
          <w14:textFill>
            <w14:solidFill>
              <w14:schemeClr w14:val="tx1"/>
            </w14:solidFill>
          </w14:textFill>
        </w:rPr>
      </w:pPr>
    </w:p>
    <w:p w14:paraId="751B5080">
      <w:pPr>
        <w:jc w:val="center"/>
        <w:outlineLvl w:val="9"/>
        <w:rPr>
          <w:color w:val="000000" w:themeColor="text1"/>
          <w:highlight w:val="none"/>
          <w14:textFill>
            <w14:solidFill>
              <w14:schemeClr w14:val="tx1"/>
            </w14:solidFill>
          </w14:textFill>
        </w:rPr>
      </w:pPr>
    </w:p>
    <w:p w14:paraId="5FB7A4BE">
      <w:pPr>
        <w:jc w:val="center"/>
        <w:outlineLvl w:val="9"/>
        <w:rPr>
          <w:color w:val="000000" w:themeColor="text1"/>
          <w:highlight w:val="none"/>
          <w14:textFill>
            <w14:solidFill>
              <w14:schemeClr w14:val="tx1"/>
            </w14:solidFill>
          </w14:textFill>
        </w:rPr>
      </w:pPr>
    </w:p>
    <w:p w14:paraId="37BD3974">
      <w:pPr>
        <w:jc w:val="center"/>
        <w:outlineLvl w:val="9"/>
        <w:rPr>
          <w:color w:val="000000" w:themeColor="text1"/>
          <w:highlight w:val="none"/>
          <w14:textFill>
            <w14:solidFill>
              <w14:schemeClr w14:val="tx1"/>
            </w14:solidFill>
          </w14:textFill>
        </w:rPr>
      </w:pPr>
    </w:p>
    <w:p w14:paraId="639D7769">
      <w:pPr>
        <w:jc w:val="center"/>
        <w:outlineLvl w:val="9"/>
        <w:rPr>
          <w:color w:val="000000" w:themeColor="text1"/>
          <w:highlight w:val="none"/>
          <w14:textFill>
            <w14:solidFill>
              <w14:schemeClr w14:val="tx1"/>
            </w14:solidFill>
          </w14:textFill>
        </w:rPr>
      </w:pPr>
    </w:p>
    <w:p w14:paraId="1F823FC0">
      <w:pPr>
        <w:jc w:val="center"/>
        <w:outlineLvl w:val="9"/>
        <w:rPr>
          <w:color w:val="000000" w:themeColor="text1"/>
          <w:highlight w:val="none"/>
          <w14:textFill>
            <w14:solidFill>
              <w14:schemeClr w14:val="tx1"/>
            </w14:solidFill>
          </w14:textFill>
        </w:rPr>
      </w:pPr>
    </w:p>
    <w:p w14:paraId="071E5124">
      <w:pPr>
        <w:jc w:val="center"/>
        <w:outlineLvl w:val="9"/>
        <w:rPr>
          <w:color w:val="000000" w:themeColor="text1"/>
          <w:highlight w:val="none"/>
          <w14:textFill>
            <w14:solidFill>
              <w14:schemeClr w14:val="tx1"/>
            </w14:solidFill>
          </w14:textFill>
        </w:rPr>
      </w:pPr>
    </w:p>
    <w:p w14:paraId="6063514F">
      <w:pPr>
        <w:jc w:val="center"/>
        <w:outlineLvl w:val="9"/>
        <w:rPr>
          <w:color w:val="000000" w:themeColor="text1"/>
          <w:highlight w:val="none"/>
          <w14:textFill>
            <w14:solidFill>
              <w14:schemeClr w14:val="tx1"/>
            </w14:solidFill>
          </w14:textFill>
        </w:rPr>
      </w:pPr>
    </w:p>
    <w:p w14:paraId="4448B42F">
      <w:pPr>
        <w:jc w:val="center"/>
        <w:outlineLvl w:val="9"/>
        <w:rPr>
          <w:color w:val="000000" w:themeColor="text1"/>
          <w:highlight w:val="none"/>
          <w14:textFill>
            <w14:solidFill>
              <w14:schemeClr w14:val="tx1"/>
            </w14:solidFill>
          </w14:textFill>
        </w:rPr>
      </w:pPr>
    </w:p>
    <w:p w14:paraId="1395D88A">
      <w:pPr>
        <w:jc w:val="center"/>
        <w:outlineLvl w:val="9"/>
        <w:rPr>
          <w:color w:val="000000" w:themeColor="text1"/>
          <w:highlight w:val="none"/>
          <w14:textFill>
            <w14:solidFill>
              <w14:schemeClr w14:val="tx1"/>
            </w14:solidFill>
          </w14:textFill>
        </w:rPr>
      </w:pPr>
    </w:p>
    <w:p w14:paraId="0F71F700">
      <w:pPr>
        <w:jc w:val="center"/>
        <w:outlineLvl w:val="9"/>
        <w:rPr>
          <w:color w:val="000000" w:themeColor="text1"/>
          <w:highlight w:val="none"/>
          <w14:textFill>
            <w14:solidFill>
              <w14:schemeClr w14:val="tx1"/>
            </w14:solidFill>
          </w14:textFill>
        </w:rPr>
      </w:pPr>
    </w:p>
    <w:p w14:paraId="7F41D699">
      <w:pPr>
        <w:jc w:val="center"/>
        <w:outlineLvl w:val="9"/>
        <w:rPr>
          <w:color w:val="000000" w:themeColor="text1"/>
          <w:highlight w:val="none"/>
          <w14:textFill>
            <w14:solidFill>
              <w14:schemeClr w14:val="tx1"/>
            </w14:solidFill>
          </w14:textFill>
        </w:rPr>
      </w:pPr>
    </w:p>
    <w:p w14:paraId="18F0BCFD">
      <w:pPr>
        <w:jc w:val="center"/>
        <w:outlineLvl w:val="9"/>
        <w:rPr>
          <w:color w:val="000000" w:themeColor="text1"/>
          <w:highlight w:val="none"/>
          <w14:textFill>
            <w14:solidFill>
              <w14:schemeClr w14:val="tx1"/>
            </w14:solidFill>
          </w14:textFill>
        </w:rPr>
      </w:pPr>
    </w:p>
    <w:p w14:paraId="14AAE01B">
      <w:pPr>
        <w:pStyle w:val="3"/>
        <w:jc w:val="center"/>
        <w:rPr>
          <w:color w:val="000000" w:themeColor="text1"/>
          <w:highlight w:val="none"/>
          <w14:textFill>
            <w14:solidFill>
              <w14:schemeClr w14:val="tx1"/>
            </w14:solidFill>
          </w14:textFill>
        </w:rPr>
      </w:pPr>
      <w:bookmarkStart w:id="298" w:name="_Toc22017"/>
      <w:r>
        <w:rPr>
          <w:rFonts w:hint="eastAsia"/>
          <w:color w:val="000000" w:themeColor="text1"/>
          <w:highlight w:val="none"/>
          <w14:textFill>
            <w14:solidFill>
              <w14:schemeClr w14:val="tx1"/>
            </w14:solidFill>
          </w14:textFill>
        </w:rPr>
        <w:t>第四章合同条款及格式</w:t>
      </w:r>
      <w:bookmarkEnd w:id="298"/>
    </w:p>
    <w:p w14:paraId="69260977">
      <w:pPr>
        <w:jc w:val="center"/>
        <w:rPr>
          <w:rFonts w:ascii="宋体" w:hAnsi="宋体"/>
          <w:color w:val="000000" w:themeColor="text1"/>
          <w:sz w:val="72"/>
          <w:szCs w:val="72"/>
          <w:highlight w:val="none"/>
          <w14:textFill>
            <w14:solidFill>
              <w14:schemeClr w14:val="tx1"/>
            </w14:solidFill>
          </w14:textFill>
        </w:rPr>
      </w:pPr>
      <w:r>
        <w:rPr>
          <w:rFonts w:hint="eastAsia" w:ascii="宋体" w:hAnsi="宋体"/>
          <w:color w:val="000000" w:themeColor="text1"/>
          <w:sz w:val="72"/>
          <w:szCs w:val="72"/>
          <w:highlight w:val="none"/>
          <w14:textFill>
            <w14:solidFill>
              <w14:schemeClr w14:val="tx1"/>
            </w14:solidFill>
          </w14:textFill>
        </w:rPr>
        <w:br w:type="page"/>
      </w:r>
    </w:p>
    <w:p w14:paraId="44DD7419">
      <w:pPr>
        <w:pStyle w:val="4"/>
        <w:spacing w:after="120" w:line="240" w:lineRule="auto"/>
        <w:jc w:val="center"/>
        <w:rPr>
          <w:rFonts w:ascii="宋体" w:hAnsi="宋体"/>
          <w:color w:val="000000" w:themeColor="text1"/>
          <w:highlight w:val="none"/>
          <w14:textFill>
            <w14:solidFill>
              <w14:schemeClr w14:val="tx1"/>
            </w14:solidFill>
          </w14:textFill>
        </w:rPr>
      </w:pPr>
      <w:bookmarkStart w:id="299" w:name="_Toc26318"/>
      <w:bookmarkEnd w:id="299"/>
      <w:bookmarkStart w:id="300" w:name="_Toc505844394"/>
      <w:bookmarkEnd w:id="300"/>
      <w:bookmarkStart w:id="301" w:name="_Toc21217"/>
      <w:r>
        <w:rPr>
          <w:rFonts w:hint="eastAsia" w:ascii="宋体" w:hAnsi="宋体"/>
          <w:color w:val="000000" w:themeColor="text1"/>
          <w:sz w:val="44"/>
          <w:szCs w:val="44"/>
          <w:highlight w:val="none"/>
          <w14:textFill>
            <w14:solidFill>
              <w14:schemeClr w14:val="tx1"/>
            </w14:solidFill>
          </w14:textFill>
        </w:rPr>
        <w:t>第一节通用合同条款</w:t>
      </w:r>
      <w:bookmarkEnd w:id="301"/>
    </w:p>
    <w:p w14:paraId="1261373B">
      <w:pPr>
        <w:spacing w:line="40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（通用合同条款的内容与《中华人民共和国交通运输部公路工程标准施工招标文件》（2018年版）不一致时，以《中华人民共和国交通运输部公路工程标准施工招标文件》（2018年版）为准）</w:t>
      </w:r>
    </w:p>
    <w:p w14:paraId="315DAFDF">
      <w:pPr>
        <w:spacing w:line="400" w:lineRule="exact"/>
        <w:jc w:val="center"/>
        <w:rPr>
          <w:rFonts w:ascii="宋体" w:hAnsi="宋体" w:cs="宋体"/>
          <w:color w:val="000000" w:themeColor="text1"/>
          <w:sz w:val="30"/>
          <w:szCs w:val="30"/>
          <w:highlight w:val="none"/>
          <w14:textFill>
            <w14:solidFill>
              <w14:schemeClr w14:val="tx1"/>
            </w14:solidFill>
          </w14:textFill>
        </w:rPr>
      </w:pPr>
    </w:p>
    <w:p w14:paraId="2AAEC600">
      <w:pPr>
        <w:spacing w:before="240" w:line="400" w:lineRule="exact"/>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通用合同条款</w:t>
      </w:r>
    </w:p>
    <w:p w14:paraId="7422A090">
      <w:pPr>
        <w:pStyle w:val="79"/>
        <w:rPr>
          <w:rFonts w:ascii="宋体" w:hAnsi="宋体"/>
          <w:color w:val="000000" w:themeColor="text1"/>
          <w:sz w:val="24"/>
          <w:szCs w:val="24"/>
          <w:highlight w:val="none"/>
          <w14:textFill>
            <w14:solidFill>
              <w14:schemeClr w14:val="tx1"/>
            </w14:solidFill>
          </w14:textFill>
        </w:rPr>
      </w:pPr>
      <w:bookmarkStart w:id="302" w:name="_Toc330406216"/>
      <w:bookmarkEnd w:id="302"/>
      <w:bookmarkStart w:id="303" w:name="_Toc152045611"/>
      <w:bookmarkEnd w:id="303"/>
      <w:bookmarkStart w:id="304" w:name="_Toc179632629"/>
      <w:bookmarkEnd w:id="304"/>
      <w:bookmarkStart w:id="305" w:name="_Toc386467021"/>
      <w:bookmarkEnd w:id="305"/>
      <w:bookmarkStart w:id="306" w:name="_Toc144974579"/>
      <w:bookmarkEnd w:id="306"/>
      <w:bookmarkStart w:id="307" w:name="_Toc152042389"/>
      <w:bookmarkEnd w:id="307"/>
      <w:bookmarkStart w:id="308" w:name="_Toc393546275"/>
      <w:bookmarkEnd w:id="308"/>
      <w:bookmarkStart w:id="309" w:name="_Toc10837"/>
      <w:r>
        <w:rPr>
          <w:rFonts w:hint="eastAsia" w:ascii="宋体" w:hAnsi="宋体"/>
          <w:color w:val="000000" w:themeColor="text1"/>
          <w:sz w:val="24"/>
          <w:szCs w:val="24"/>
          <w:highlight w:val="none"/>
          <w14:textFill>
            <w14:solidFill>
              <w14:schemeClr w14:val="tx1"/>
            </w14:solidFill>
          </w14:textFill>
        </w:rPr>
        <w:t>1. 一般约定</w:t>
      </w:r>
      <w:bookmarkEnd w:id="309"/>
    </w:p>
    <w:p w14:paraId="6785A042">
      <w:pPr>
        <w:pStyle w:val="68"/>
        <w:ind w:firstLine="118"/>
        <w:rPr>
          <w:rFonts w:ascii="宋体" w:eastAsia="宋体"/>
          <w:b/>
          <w:bCs/>
          <w:color w:val="000000" w:themeColor="text1"/>
          <w:szCs w:val="24"/>
          <w:highlight w:val="none"/>
          <w14:textFill>
            <w14:solidFill>
              <w14:schemeClr w14:val="tx1"/>
            </w14:solidFill>
          </w14:textFill>
        </w:rPr>
      </w:pPr>
      <w:bookmarkStart w:id="310" w:name="_Toc386467022"/>
      <w:bookmarkEnd w:id="310"/>
      <w:bookmarkStart w:id="311" w:name="_Toc393546276"/>
      <w:bookmarkEnd w:id="311"/>
      <w:bookmarkStart w:id="312" w:name="_Toc6510"/>
      <w:r>
        <w:rPr>
          <w:rFonts w:hint="eastAsia" w:ascii="宋体" w:eastAsia="宋体"/>
          <w:b/>
          <w:bCs/>
          <w:color w:val="000000" w:themeColor="text1"/>
          <w:szCs w:val="24"/>
          <w:highlight w:val="none"/>
          <w14:textFill>
            <w14:solidFill>
              <w14:schemeClr w14:val="tx1"/>
            </w14:solidFill>
          </w14:textFill>
        </w:rPr>
        <w:t>1.1 词语定义</w:t>
      </w:r>
      <w:bookmarkEnd w:id="312"/>
    </w:p>
    <w:p w14:paraId="769C1FB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通用合同条款、专用合同条款中的下列词语应具有本款所赋予的含义。</w:t>
      </w:r>
    </w:p>
    <w:p w14:paraId="56F2FEF5">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1.1.1 合同</w:t>
      </w:r>
    </w:p>
    <w:p w14:paraId="31479F6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 合同文件（或称合同）：指合同协议书、中标通知书、投标函及投标函附录、专用合同条款、通用合同条款、技术标准和要求、图纸、已标价工程量清单，以及其他合同文件。</w:t>
      </w:r>
    </w:p>
    <w:p w14:paraId="244D8804">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1.1.1.2 合同协议书：指第1.5款所指的合同协议书。</w:t>
      </w:r>
    </w:p>
    <w:p w14:paraId="4378A5C8">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1.1.1.3 中标通知书：指发包人通知承包人中标的函件。</w:t>
      </w:r>
    </w:p>
    <w:p w14:paraId="6A758EAD">
      <w:pPr>
        <w:spacing w:line="400" w:lineRule="exact"/>
        <w:ind w:firstLine="820" w:firstLineChars="342"/>
        <w:rPr>
          <w:rFonts w:ascii="宋体" w:hAnsi="宋体" w:cs="宋体"/>
          <w:dstrike/>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1.1.1.4 投标函：指构成合同文件组成部分的由承包人填写并签署的投标函。</w:t>
      </w:r>
    </w:p>
    <w:p w14:paraId="6463F6F2">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1.1.1.5 投标函附录：指附在投标函后构成合同文件的投标函附录。</w:t>
      </w:r>
    </w:p>
    <w:p w14:paraId="6113BB6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1.1.1.6 技术标准和要求：指构成合同文件组成部分的名为技术标准和要求的文件，包括合同双方当事人约定对其所作的修改或补充。</w:t>
      </w:r>
    </w:p>
    <w:p w14:paraId="52D9D2B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1.1.1.7图纸：指包含在合同中的工程图纸，以及由发包人按合同约定提供的任何补充和修改的图纸，包括配套的说明。</w:t>
      </w:r>
    </w:p>
    <w:p w14:paraId="026FF702">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1.1.1.8 已标价工程量清单：指构成合同文件组成部分的由承包人按照规定的格式和要求填写并标明价格的工程量清单。</w:t>
      </w:r>
    </w:p>
    <w:p w14:paraId="0B67273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1.1.1.9 其他合同文件：指经合同双方当事人确认构成合同文件的其他文件。</w:t>
      </w:r>
    </w:p>
    <w:p w14:paraId="253163CF">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1.1.2 合同当事人和人员</w:t>
      </w:r>
    </w:p>
    <w:p w14:paraId="4482439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 合同当事人：指发包人和（或）承包人。</w:t>
      </w:r>
    </w:p>
    <w:p w14:paraId="73E6CE1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1.1.2.2 发包人：指专用合同条款中指明并与承包人在合同协议书中签字的当事人。</w:t>
      </w:r>
    </w:p>
    <w:p w14:paraId="0419C19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1.1.2.3 承包人：指与发包人签订合同协议书的当事人。</w:t>
      </w:r>
    </w:p>
    <w:p w14:paraId="0D7C98B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1.1.2.4 承包人项目经理：指承包人派驻施工场地的全权负责人。</w:t>
      </w:r>
    </w:p>
    <w:p w14:paraId="18B4338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1.1.2.5 分包人：指从承包人处分包合同中某一部分工程，并与其签订分包合同的分包人。</w:t>
      </w:r>
    </w:p>
    <w:p w14:paraId="3713912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1.1.2.6 监理人：指在专用合同条款中指明的，受发包人委托对合同履行实施管理的法人或其他组织。</w:t>
      </w:r>
    </w:p>
    <w:p w14:paraId="4A7F45F8">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1.1.2.7 总监理工程师（总监）：指由监理人委派常驻施工场地对合同履行实施管理的全权负责人。</w:t>
      </w:r>
    </w:p>
    <w:p w14:paraId="2FED8C18">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1.1.3 工程和设备</w:t>
      </w:r>
    </w:p>
    <w:p w14:paraId="6F8FE67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 工程：指永久工程和（或）临时工程。</w:t>
      </w:r>
    </w:p>
    <w:p w14:paraId="5CA95E1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1.1.3.2 永久工程：指按合同约定建造并移交给发包人的工程，包括工程设备。</w:t>
      </w:r>
    </w:p>
    <w:p w14:paraId="6F29868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1.1.3.3 临时工程：指为完成合同约定的永久工程所修建的各类临时性工程，不包括施工设备。</w:t>
      </w:r>
    </w:p>
    <w:p w14:paraId="17861CEB">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1.1.3.4 单位工程：指专用合同条款中指明特定范围的永久工程。</w:t>
      </w:r>
    </w:p>
    <w:p w14:paraId="2121A9A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1.1.3.5 工程设备：指构成或计划构成永久工程一部分的机电设备、金属结构设备、仪器装置及其他类似的设备和装置。</w:t>
      </w:r>
    </w:p>
    <w:p w14:paraId="4BD33A2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1.1.3.6 施工设备：指为完成合同约定的各项工作所需的设备、器具和其他物品，不包括临时工程和材料。</w:t>
      </w:r>
    </w:p>
    <w:p w14:paraId="08E69AC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1.1.3.7 临时设施：指为完成合同约定的各项工作所服务的临时性生产和生活设施。</w:t>
      </w:r>
    </w:p>
    <w:p w14:paraId="2BF007F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1.1.3.8 承包人设备：指承包人自带的施工设备。</w:t>
      </w:r>
    </w:p>
    <w:p w14:paraId="385091FA">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1.1.3.9 施工场地（或称工地、现场）：指用于合同工程施工的场所，以及在合同中指定作为施工场地组成部分的其他场所，包括永久占地和临时占地。</w:t>
      </w:r>
    </w:p>
    <w:p w14:paraId="5F27492E">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1.1.3.10 永久占地：指专用合同条款中指明为实施合同工程需永久占用的土地。</w:t>
      </w:r>
    </w:p>
    <w:p w14:paraId="7FE9B56E">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1.1.3.11 临时占地：指专用合同条款中指明为实施合同工程需临时占用的土地。</w:t>
      </w:r>
    </w:p>
    <w:p w14:paraId="34554C27">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1.1.4 日期</w:t>
      </w:r>
    </w:p>
    <w:p w14:paraId="6008952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1.1.4.1 开工通知：指监理人按第11.1款通知承包人开工的函件。</w:t>
      </w:r>
    </w:p>
    <w:p w14:paraId="48DA9334">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1.1.4.2 开工日期：指监理人按第11.1款发出的开工通知中写明的开工日期。</w:t>
      </w:r>
    </w:p>
    <w:p w14:paraId="73F6464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1.1.4.3工期：指承包人在投标函中承诺的完成合同工程所需的期限，包括按第11.3款、第11.4款和第11.6款约定所作的变更。</w:t>
      </w:r>
    </w:p>
    <w:p w14:paraId="6595EC3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1.1.4.4 竣工日期：指第1.1.4.3目约定工期届满时的日期。实际竣工日期以工程接收证书中写明的日期为准。</w:t>
      </w:r>
    </w:p>
    <w:p w14:paraId="7300A8B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1.1.4.5 缺陷责任期：指履行第19.2款约定的缺陷责任的期限，具体期限由专用合同条款约定，包括根据第19.3款约定所作的延长。</w:t>
      </w:r>
    </w:p>
    <w:p w14:paraId="32EBD0E3">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1.1.4.6 基准日期：指投标截止时间前28天的日期。</w:t>
      </w:r>
    </w:p>
    <w:p w14:paraId="20DC1E6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1.1.4.7 天：除特别指明外，指日历天。合同中按天计算时间的，开始当天不计入，从次日开始计算。期限最后一天的截止时间为当天24:00。</w:t>
      </w:r>
    </w:p>
    <w:p w14:paraId="5F6421DB">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1.1.5 合同价格和费用</w:t>
      </w:r>
    </w:p>
    <w:p w14:paraId="2E59A5E5">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1.1.5.1 签约合同价：指签定合同时合同协议书中写明的，包括了暂列金额、暂估价的合同总金额。</w:t>
      </w:r>
    </w:p>
    <w:p w14:paraId="61B8FD3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1.1.5.2 合同价格：指承包人按合同约定完成了包括缺陷责任期内的全部承包工作后，发包人应付给承包人的金额，包括在履行合同过程中按合同约定进行的变更和调整。</w:t>
      </w:r>
    </w:p>
    <w:p w14:paraId="4D863352">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1.1.5.3 费用：指为履行合同所发生的或将要发生的所有合理开支，包括管理费和应分摊的其他费用，但不包括利润。</w:t>
      </w:r>
    </w:p>
    <w:p w14:paraId="5C9908F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1.1.5.4 暂列金额：指已标价工程量清单中所列的暂列金额，用于在签订协议书时尚未确定或不可预见变更的施工及其所需材料、工程设备、服务等的金额，包括以计日工方式支付的金额。</w:t>
      </w:r>
    </w:p>
    <w:p w14:paraId="6691CCB7">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1.1.5.5暂估价：指发包人在工程量清单中给定的用于支付必然发生但暂时不能确定价格的材料、设备以及专业工程的金额。</w:t>
      </w:r>
    </w:p>
    <w:p w14:paraId="3F9B66DB">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1.1.5.6 计日工：指对零星工作采取的一种计价方式，按合同中的计日工子目及其单价计价付款。</w:t>
      </w:r>
    </w:p>
    <w:p w14:paraId="24A9E9C7">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1.1.5.7 质量保证金（或称保留金）：指按第17.4.1项约定用于保证在缺陷责任期内履行缺陷修复义务的金额。</w:t>
      </w:r>
    </w:p>
    <w:p w14:paraId="0957A579">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1.1.6 其他</w:t>
      </w:r>
    </w:p>
    <w:p w14:paraId="615EE925">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1.1.6.1 书面形式：指合同文件、信函、电报、传真等可以有形地表现所载内容的形式。</w:t>
      </w:r>
    </w:p>
    <w:p w14:paraId="64BCF3F2">
      <w:pPr>
        <w:pStyle w:val="68"/>
        <w:ind w:firstLine="118"/>
        <w:rPr>
          <w:rFonts w:ascii="宋体" w:eastAsia="宋体"/>
          <w:b/>
          <w:bCs/>
          <w:color w:val="000000" w:themeColor="text1"/>
          <w:szCs w:val="24"/>
          <w:highlight w:val="none"/>
          <w14:textFill>
            <w14:solidFill>
              <w14:schemeClr w14:val="tx1"/>
            </w14:solidFill>
          </w14:textFill>
        </w:rPr>
      </w:pPr>
      <w:bookmarkStart w:id="313" w:name="_Toc330406218"/>
      <w:bookmarkEnd w:id="313"/>
      <w:bookmarkStart w:id="314" w:name="_Toc386467023"/>
      <w:bookmarkEnd w:id="314"/>
      <w:bookmarkStart w:id="315" w:name="_Toc144974581"/>
      <w:bookmarkEnd w:id="315"/>
      <w:bookmarkStart w:id="316" w:name="_Toc152045613"/>
      <w:bookmarkEnd w:id="316"/>
      <w:bookmarkStart w:id="317" w:name="_Toc393546277"/>
      <w:bookmarkEnd w:id="317"/>
      <w:bookmarkStart w:id="318" w:name="_Toc152042391"/>
      <w:bookmarkEnd w:id="318"/>
      <w:bookmarkStart w:id="319" w:name="_Toc179632631"/>
      <w:bookmarkEnd w:id="319"/>
      <w:bookmarkStart w:id="320" w:name="_Toc3256"/>
      <w:r>
        <w:rPr>
          <w:rFonts w:hint="eastAsia" w:ascii="宋体" w:eastAsia="宋体"/>
          <w:b/>
          <w:bCs/>
          <w:color w:val="000000" w:themeColor="text1"/>
          <w:szCs w:val="24"/>
          <w:highlight w:val="none"/>
          <w14:textFill>
            <w14:solidFill>
              <w14:schemeClr w14:val="tx1"/>
            </w14:solidFill>
          </w14:textFill>
        </w:rPr>
        <w:t>1.2 语言文字</w:t>
      </w:r>
      <w:bookmarkEnd w:id="320"/>
    </w:p>
    <w:p w14:paraId="360B556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除专用术语外，合同使用的语言文字为中文。必要时专用术语应附有中文注释。</w:t>
      </w:r>
    </w:p>
    <w:p w14:paraId="47DC1EA6">
      <w:pPr>
        <w:pStyle w:val="68"/>
        <w:ind w:firstLine="118"/>
        <w:rPr>
          <w:rFonts w:ascii="宋体" w:eastAsia="宋体"/>
          <w:b/>
          <w:bCs/>
          <w:color w:val="000000" w:themeColor="text1"/>
          <w:szCs w:val="24"/>
          <w:highlight w:val="none"/>
          <w14:textFill>
            <w14:solidFill>
              <w14:schemeClr w14:val="tx1"/>
            </w14:solidFill>
          </w14:textFill>
        </w:rPr>
      </w:pPr>
      <w:bookmarkStart w:id="321" w:name="_Toc144974582"/>
      <w:bookmarkEnd w:id="321"/>
      <w:bookmarkStart w:id="322" w:name="_Toc386467024"/>
      <w:bookmarkEnd w:id="322"/>
      <w:bookmarkStart w:id="323" w:name="_Toc179632632"/>
      <w:bookmarkEnd w:id="323"/>
      <w:bookmarkStart w:id="324" w:name="_Toc152045614"/>
      <w:bookmarkEnd w:id="324"/>
      <w:bookmarkStart w:id="325" w:name="_Toc393546278"/>
      <w:bookmarkEnd w:id="325"/>
      <w:bookmarkStart w:id="326" w:name="_Toc330406219"/>
      <w:bookmarkEnd w:id="326"/>
      <w:bookmarkStart w:id="327" w:name="_Toc152042392"/>
      <w:bookmarkEnd w:id="327"/>
      <w:bookmarkStart w:id="328" w:name="_Toc20041"/>
      <w:r>
        <w:rPr>
          <w:rFonts w:hint="eastAsia" w:ascii="宋体" w:eastAsia="宋体"/>
          <w:b/>
          <w:bCs/>
          <w:color w:val="000000" w:themeColor="text1"/>
          <w:szCs w:val="24"/>
          <w:highlight w:val="none"/>
          <w14:textFill>
            <w14:solidFill>
              <w14:schemeClr w14:val="tx1"/>
            </w14:solidFill>
          </w14:textFill>
        </w:rPr>
        <w:t>1.3 法律</w:t>
      </w:r>
      <w:bookmarkEnd w:id="328"/>
    </w:p>
    <w:p w14:paraId="2EB72E8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适用于合同的法律包括中华人民共和国法律、行政法规、部门规章，以及工程所在地的地方法规、自治条例、单行条例和地方政府规章。</w:t>
      </w:r>
    </w:p>
    <w:p w14:paraId="1CE0786C">
      <w:pPr>
        <w:pStyle w:val="68"/>
        <w:ind w:firstLine="118"/>
        <w:rPr>
          <w:rFonts w:ascii="宋体" w:eastAsia="宋体"/>
          <w:b/>
          <w:bCs/>
          <w:color w:val="000000" w:themeColor="text1"/>
          <w:szCs w:val="24"/>
          <w:highlight w:val="none"/>
          <w14:textFill>
            <w14:solidFill>
              <w14:schemeClr w14:val="tx1"/>
            </w14:solidFill>
          </w14:textFill>
        </w:rPr>
      </w:pPr>
      <w:bookmarkStart w:id="329" w:name="_Toc393546279"/>
      <w:bookmarkEnd w:id="329"/>
      <w:bookmarkStart w:id="330" w:name="_Toc386467025"/>
      <w:bookmarkEnd w:id="330"/>
      <w:bookmarkStart w:id="331" w:name="_Toc24503"/>
      <w:r>
        <w:rPr>
          <w:rFonts w:hint="eastAsia" w:ascii="宋体" w:eastAsia="宋体"/>
          <w:b/>
          <w:bCs/>
          <w:color w:val="000000" w:themeColor="text1"/>
          <w:szCs w:val="24"/>
          <w:highlight w:val="none"/>
          <w14:textFill>
            <w14:solidFill>
              <w14:schemeClr w14:val="tx1"/>
            </w14:solidFill>
          </w14:textFill>
        </w:rPr>
        <w:t>1.4 合同文件的优先顺序</w:t>
      </w:r>
      <w:bookmarkEnd w:id="331"/>
    </w:p>
    <w:p w14:paraId="0EFF455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组成合同的各项文件应互相解释，互为说明。除专用合同条款另有约定外，解释合同文件的优先顺序如下：</w:t>
      </w:r>
    </w:p>
    <w:p w14:paraId="42ED0E5D">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（1）合同协议书；</w:t>
      </w:r>
    </w:p>
    <w:p w14:paraId="4A5890DF">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（2）中标通知书；</w:t>
      </w:r>
    </w:p>
    <w:p w14:paraId="0CE70804">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（3）投标函及投标函附录；</w:t>
      </w:r>
    </w:p>
    <w:p w14:paraId="4D4EB227">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（4）专用合同条款；</w:t>
      </w:r>
    </w:p>
    <w:p w14:paraId="3968F978">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（5）通用合同条款；</w:t>
      </w:r>
    </w:p>
    <w:p w14:paraId="4D3ECF45">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（6）技术标准和要求；</w:t>
      </w:r>
    </w:p>
    <w:p w14:paraId="538F00F0">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（7）图纸；</w:t>
      </w:r>
    </w:p>
    <w:p w14:paraId="6A4016AF">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（8）已标价工程量清单；</w:t>
      </w:r>
    </w:p>
    <w:p w14:paraId="4B084B6C">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（9）其他合同文件。</w:t>
      </w:r>
    </w:p>
    <w:p w14:paraId="64E80C61">
      <w:pPr>
        <w:pStyle w:val="68"/>
        <w:ind w:firstLine="118"/>
        <w:rPr>
          <w:rFonts w:ascii="宋体" w:eastAsia="宋体"/>
          <w:b/>
          <w:bCs/>
          <w:color w:val="000000" w:themeColor="text1"/>
          <w:szCs w:val="24"/>
          <w:highlight w:val="none"/>
          <w14:textFill>
            <w14:solidFill>
              <w14:schemeClr w14:val="tx1"/>
            </w14:solidFill>
          </w14:textFill>
        </w:rPr>
      </w:pPr>
      <w:bookmarkStart w:id="332" w:name="_Toc386467026"/>
      <w:bookmarkEnd w:id="332"/>
      <w:bookmarkStart w:id="333" w:name="_Toc393546280"/>
      <w:bookmarkEnd w:id="333"/>
      <w:bookmarkStart w:id="334" w:name="_Toc28600"/>
      <w:r>
        <w:rPr>
          <w:rFonts w:hint="eastAsia" w:ascii="宋体" w:eastAsia="宋体"/>
          <w:b/>
          <w:bCs/>
          <w:color w:val="000000" w:themeColor="text1"/>
          <w:szCs w:val="24"/>
          <w:highlight w:val="none"/>
          <w14:textFill>
            <w14:solidFill>
              <w14:schemeClr w14:val="tx1"/>
            </w14:solidFill>
          </w14:textFill>
        </w:rPr>
        <w:t>1.5 合同协议书</w:t>
      </w:r>
      <w:bookmarkEnd w:id="334"/>
    </w:p>
    <w:p w14:paraId="73CEA17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承包人按中标通知书规定的时间与发包人签订合同协议书。除法律另有规定或合同另有约定外，发包人和承包人的法定代表人或其委托代理人在合同协议书上签字并盖单位章后，合同生效。</w:t>
      </w:r>
    </w:p>
    <w:p w14:paraId="70103620">
      <w:pPr>
        <w:pStyle w:val="68"/>
        <w:ind w:firstLine="118"/>
        <w:rPr>
          <w:rFonts w:ascii="宋体" w:eastAsia="宋体"/>
          <w:b/>
          <w:bCs/>
          <w:color w:val="000000" w:themeColor="text1"/>
          <w:szCs w:val="24"/>
          <w:highlight w:val="none"/>
          <w14:textFill>
            <w14:solidFill>
              <w14:schemeClr w14:val="tx1"/>
            </w14:solidFill>
          </w14:textFill>
        </w:rPr>
      </w:pPr>
      <w:bookmarkStart w:id="335" w:name="_Toc393546281"/>
      <w:bookmarkEnd w:id="335"/>
      <w:bookmarkStart w:id="336" w:name="_Toc386467027"/>
      <w:bookmarkEnd w:id="336"/>
      <w:bookmarkStart w:id="337" w:name="_Toc24262"/>
      <w:r>
        <w:rPr>
          <w:rFonts w:hint="eastAsia" w:ascii="宋体" w:eastAsia="宋体"/>
          <w:b/>
          <w:bCs/>
          <w:color w:val="000000" w:themeColor="text1"/>
          <w:szCs w:val="24"/>
          <w:highlight w:val="none"/>
          <w14:textFill>
            <w14:solidFill>
              <w14:schemeClr w14:val="tx1"/>
            </w14:solidFill>
          </w14:textFill>
        </w:rPr>
        <w:t>1.6 图纸和承包人文件</w:t>
      </w:r>
      <w:bookmarkEnd w:id="337"/>
    </w:p>
    <w:p w14:paraId="7BC9246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1.6.1图纸的提供</w:t>
      </w:r>
    </w:p>
    <w:p w14:paraId="521E84E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除专用合同条款另有约定外，图纸应在合理的期限内按照合同约定的数量提供给承包人。由于发包人未按时提供图纸造成工期延误的，按第11.3款的约定办理。</w:t>
      </w:r>
    </w:p>
    <w:p w14:paraId="5F32FAA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 承包人提供的文件</w:t>
      </w:r>
    </w:p>
    <w:p w14:paraId="30210170">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按专用合同条款约定由承包人提供的文件，包括部分工程的大样图、加工图等，承包人应按约定的数量和期限报送监理人。监理人应在专用合同条款约定的期限内批复。</w:t>
      </w:r>
    </w:p>
    <w:p w14:paraId="0EA5D99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1.6.3 图纸的修改</w:t>
      </w:r>
    </w:p>
    <w:p w14:paraId="7F77995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14:paraId="4599DFF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1.6.4 图纸的错误</w:t>
      </w:r>
    </w:p>
    <w:p w14:paraId="0BBCA59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承包人发现发包人提供的图纸存在明显错误或疏忽，应及时通知监理人。</w:t>
      </w:r>
    </w:p>
    <w:p w14:paraId="0751A38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1.6.5 图纸和承包人文件的保管</w:t>
      </w:r>
    </w:p>
    <w:p w14:paraId="031390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监理人和承包人均应在施工场地各保存一套完整的包含第1.6.1项、第1.6.2项、第1.6.3项约定内容的图纸和承包人文件。</w:t>
      </w:r>
    </w:p>
    <w:p w14:paraId="554E7D0D">
      <w:pPr>
        <w:pStyle w:val="68"/>
        <w:ind w:firstLine="118"/>
        <w:rPr>
          <w:rFonts w:ascii="宋体" w:eastAsia="宋体"/>
          <w:b/>
          <w:bCs/>
          <w:color w:val="000000" w:themeColor="text1"/>
          <w:szCs w:val="24"/>
          <w:highlight w:val="none"/>
          <w14:textFill>
            <w14:solidFill>
              <w14:schemeClr w14:val="tx1"/>
            </w14:solidFill>
          </w14:textFill>
        </w:rPr>
      </w:pPr>
      <w:bookmarkStart w:id="338" w:name="_Toc152042396"/>
      <w:bookmarkEnd w:id="338"/>
      <w:bookmarkStart w:id="339" w:name="_Toc144974586"/>
      <w:bookmarkEnd w:id="339"/>
      <w:bookmarkStart w:id="340" w:name="_Toc152045618"/>
      <w:bookmarkEnd w:id="340"/>
      <w:bookmarkStart w:id="341" w:name="_Toc393546282"/>
      <w:bookmarkEnd w:id="341"/>
      <w:bookmarkStart w:id="342" w:name="_Toc179632636"/>
      <w:bookmarkEnd w:id="342"/>
      <w:bookmarkStart w:id="343" w:name="_Toc386467028"/>
      <w:bookmarkEnd w:id="343"/>
      <w:bookmarkStart w:id="344" w:name="_Toc330406223"/>
      <w:bookmarkEnd w:id="344"/>
      <w:bookmarkStart w:id="345" w:name="_Toc12440"/>
      <w:r>
        <w:rPr>
          <w:rFonts w:hint="eastAsia" w:ascii="宋体" w:eastAsia="宋体"/>
          <w:b/>
          <w:bCs/>
          <w:color w:val="000000" w:themeColor="text1"/>
          <w:szCs w:val="24"/>
          <w:highlight w:val="none"/>
          <w14:textFill>
            <w14:solidFill>
              <w14:schemeClr w14:val="tx1"/>
            </w14:solidFill>
          </w14:textFill>
        </w:rPr>
        <w:t>1.7 联络</w:t>
      </w:r>
      <w:bookmarkEnd w:id="345"/>
    </w:p>
    <w:p w14:paraId="564BA7C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 与合同有关的通知、批准、证明、证书、指示、要求、请求、同意、意见、确定和决定等，均应采用书面形式。</w:t>
      </w:r>
    </w:p>
    <w:p w14:paraId="1CAA202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 第1.7.1项中的通知、批准、证明、证书、指示、要求、请求、同意、意见、确定和决定等来往函件，均应在合同约定的期限内送达指定地点和接收人，并办理签收手续。</w:t>
      </w:r>
    </w:p>
    <w:p w14:paraId="418CA2EE">
      <w:pPr>
        <w:pStyle w:val="68"/>
        <w:ind w:firstLine="118"/>
        <w:rPr>
          <w:rFonts w:ascii="宋体" w:eastAsia="宋体"/>
          <w:b/>
          <w:bCs/>
          <w:color w:val="000000" w:themeColor="text1"/>
          <w:szCs w:val="24"/>
          <w:highlight w:val="none"/>
          <w14:textFill>
            <w14:solidFill>
              <w14:schemeClr w14:val="tx1"/>
            </w14:solidFill>
          </w14:textFill>
        </w:rPr>
      </w:pPr>
      <w:bookmarkStart w:id="346" w:name="_Toc152042397"/>
      <w:bookmarkEnd w:id="346"/>
      <w:bookmarkStart w:id="347" w:name="_Toc152045619"/>
      <w:bookmarkEnd w:id="347"/>
      <w:bookmarkStart w:id="348" w:name="_Toc393546283"/>
      <w:bookmarkEnd w:id="348"/>
      <w:bookmarkStart w:id="349" w:name="_Toc330406224"/>
      <w:bookmarkEnd w:id="349"/>
      <w:bookmarkStart w:id="350" w:name="_Toc386467029"/>
      <w:bookmarkEnd w:id="350"/>
      <w:bookmarkStart w:id="351" w:name="_Toc179632637"/>
      <w:bookmarkEnd w:id="351"/>
      <w:bookmarkStart w:id="352" w:name="_Toc144974587"/>
      <w:bookmarkEnd w:id="352"/>
      <w:bookmarkStart w:id="353" w:name="_Toc10653"/>
      <w:r>
        <w:rPr>
          <w:rFonts w:hint="eastAsia" w:ascii="宋体" w:eastAsia="宋体"/>
          <w:b/>
          <w:bCs/>
          <w:color w:val="000000" w:themeColor="text1"/>
          <w:szCs w:val="24"/>
          <w:highlight w:val="none"/>
          <w14:textFill>
            <w14:solidFill>
              <w14:schemeClr w14:val="tx1"/>
            </w14:solidFill>
          </w14:textFill>
        </w:rPr>
        <w:t>1.8 转让</w:t>
      </w:r>
      <w:bookmarkEnd w:id="353"/>
    </w:p>
    <w:p w14:paraId="3D5CF17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除合同另有约定外，未经对方当事人同意，一方当事人不得将合同权利全部或部分转让给第三人，也不得全部或部分转移合同义务。</w:t>
      </w:r>
    </w:p>
    <w:p w14:paraId="4FA0FBB5">
      <w:pPr>
        <w:pStyle w:val="68"/>
        <w:ind w:firstLine="118"/>
        <w:rPr>
          <w:rFonts w:ascii="宋体" w:eastAsia="宋体"/>
          <w:b/>
          <w:bCs/>
          <w:color w:val="000000" w:themeColor="text1"/>
          <w:szCs w:val="24"/>
          <w:highlight w:val="none"/>
          <w14:textFill>
            <w14:solidFill>
              <w14:schemeClr w14:val="tx1"/>
            </w14:solidFill>
          </w14:textFill>
        </w:rPr>
      </w:pPr>
      <w:bookmarkStart w:id="354" w:name="_Toc386467030"/>
      <w:bookmarkEnd w:id="354"/>
      <w:bookmarkStart w:id="355" w:name="_Toc393546284"/>
      <w:bookmarkEnd w:id="355"/>
      <w:bookmarkStart w:id="356" w:name="_Toc20683"/>
      <w:r>
        <w:rPr>
          <w:rFonts w:hint="eastAsia" w:ascii="宋体" w:eastAsia="宋体"/>
          <w:b/>
          <w:bCs/>
          <w:color w:val="000000" w:themeColor="text1"/>
          <w:szCs w:val="24"/>
          <w:highlight w:val="none"/>
          <w14:textFill>
            <w14:solidFill>
              <w14:schemeClr w14:val="tx1"/>
            </w14:solidFill>
          </w14:textFill>
        </w:rPr>
        <w:t>1.9 严禁贿赂</w:t>
      </w:r>
      <w:bookmarkEnd w:id="356"/>
    </w:p>
    <w:p w14:paraId="4A3A1FA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合同双方当事人不得以贿赂或变相贿赂的方式，谋取不当利益或损害对方权益。因贿赂造成对方损失的，行为人应赔偿损失，并承担相应的法律责任。</w:t>
      </w:r>
    </w:p>
    <w:p w14:paraId="4DCE78D5">
      <w:pPr>
        <w:pStyle w:val="68"/>
        <w:ind w:firstLine="118"/>
        <w:rPr>
          <w:rFonts w:ascii="宋体" w:eastAsia="宋体"/>
          <w:color w:val="000000" w:themeColor="text1"/>
          <w:szCs w:val="24"/>
          <w:highlight w:val="none"/>
          <w14:textFill>
            <w14:solidFill>
              <w14:schemeClr w14:val="tx1"/>
            </w14:solidFill>
          </w14:textFill>
        </w:rPr>
      </w:pPr>
      <w:bookmarkStart w:id="357" w:name="_Toc152045621"/>
      <w:bookmarkEnd w:id="357"/>
      <w:bookmarkStart w:id="358" w:name="_Toc152042399"/>
      <w:bookmarkEnd w:id="358"/>
      <w:bookmarkStart w:id="359" w:name="_Toc330406226"/>
      <w:bookmarkEnd w:id="359"/>
      <w:bookmarkStart w:id="360" w:name="_Toc144974589"/>
      <w:bookmarkEnd w:id="360"/>
      <w:bookmarkStart w:id="361" w:name="_Toc179632639"/>
      <w:bookmarkEnd w:id="361"/>
      <w:bookmarkStart w:id="362" w:name="_Toc386467031"/>
      <w:bookmarkEnd w:id="362"/>
      <w:bookmarkStart w:id="363" w:name="_Toc393546285"/>
      <w:bookmarkEnd w:id="363"/>
      <w:bookmarkStart w:id="364" w:name="_Toc19323"/>
      <w:r>
        <w:rPr>
          <w:rFonts w:hint="eastAsia" w:ascii="宋体" w:eastAsia="宋体"/>
          <w:b/>
          <w:bCs/>
          <w:color w:val="000000" w:themeColor="text1"/>
          <w:szCs w:val="24"/>
          <w:highlight w:val="none"/>
          <w14:textFill>
            <w14:solidFill>
              <w14:schemeClr w14:val="tx1"/>
            </w14:solidFill>
          </w14:textFill>
        </w:rPr>
        <w:t>1.10 化石、文物</w:t>
      </w:r>
      <w:bookmarkEnd w:id="364"/>
    </w:p>
    <w:p w14:paraId="3E1371E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7D9CB8D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1.10.2 承包人发现文物后不及时报告或隐瞒不报，致使文物丢失或损坏的，应赔偿损失，并承担相应的法律责任。</w:t>
      </w:r>
    </w:p>
    <w:p w14:paraId="0B491C9D">
      <w:pPr>
        <w:pStyle w:val="68"/>
        <w:ind w:firstLine="118"/>
        <w:rPr>
          <w:rFonts w:ascii="宋体" w:eastAsia="宋体"/>
          <w:b/>
          <w:bCs/>
          <w:color w:val="000000" w:themeColor="text1"/>
          <w:szCs w:val="24"/>
          <w:highlight w:val="none"/>
          <w14:textFill>
            <w14:solidFill>
              <w14:schemeClr w14:val="tx1"/>
            </w14:solidFill>
          </w14:textFill>
        </w:rPr>
      </w:pPr>
      <w:bookmarkStart w:id="365" w:name="_Toc152045622"/>
      <w:bookmarkEnd w:id="365"/>
      <w:bookmarkStart w:id="366" w:name="_Toc144974590"/>
      <w:bookmarkEnd w:id="366"/>
      <w:bookmarkStart w:id="367" w:name="_Toc179632640"/>
      <w:bookmarkEnd w:id="367"/>
      <w:bookmarkStart w:id="368" w:name="_Toc393546286"/>
      <w:bookmarkEnd w:id="368"/>
      <w:bookmarkStart w:id="369" w:name="_Toc152042400"/>
      <w:bookmarkEnd w:id="369"/>
      <w:bookmarkStart w:id="370" w:name="_Toc330406227"/>
      <w:bookmarkEnd w:id="370"/>
      <w:bookmarkStart w:id="371" w:name="_Toc386467032"/>
      <w:bookmarkEnd w:id="371"/>
      <w:bookmarkStart w:id="372" w:name="_Toc22001"/>
      <w:r>
        <w:rPr>
          <w:rFonts w:hint="eastAsia" w:ascii="宋体" w:eastAsia="宋体"/>
          <w:b/>
          <w:bCs/>
          <w:color w:val="000000" w:themeColor="text1"/>
          <w:szCs w:val="24"/>
          <w:highlight w:val="none"/>
          <w14:textFill>
            <w14:solidFill>
              <w14:schemeClr w14:val="tx1"/>
            </w14:solidFill>
          </w14:textFill>
        </w:rPr>
        <w:t>1.11 专利技术</w:t>
      </w:r>
      <w:bookmarkEnd w:id="372"/>
    </w:p>
    <w:p w14:paraId="0A03971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 承包人在使用任何材料、承包人设备、工程设备或采用施工工艺时，因侵犯专利权或其他知识产权所引起的责任，由承包人承担，但由于遵照发包人提供的设计或技术标准和要求引起的除外。</w:t>
      </w:r>
    </w:p>
    <w:p w14:paraId="03D7E31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1.11.2 承包人在投标文件中采用专利技术的，专利技术的使用费包含在投标报价内。</w:t>
      </w:r>
    </w:p>
    <w:p w14:paraId="37D20AE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1.11.3 承包人的技术秘密和声明需要保密的资料和信息，发包人和监理人不得为合同以外的目的泄露给他人。</w:t>
      </w:r>
    </w:p>
    <w:p w14:paraId="3B308BAD">
      <w:pPr>
        <w:pStyle w:val="68"/>
        <w:ind w:firstLine="118"/>
        <w:rPr>
          <w:rFonts w:ascii="宋体" w:eastAsia="宋体"/>
          <w:b/>
          <w:bCs/>
          <w:color w:val="000000" w:themeColor="text1"/>
          <w:szCs w:val="24"/>
          <w:highlight w:val="none"/>
          <w14:textFill>
            <w14:solidFill>
              <w14:schemeClr w14:val="tx1"/>
            </w14:solidFill>
          </w14:textFill>
        </w:rPr>
      </w:pPr>
      <w:bookmarkStart w:id="373" w:name="_Toc330406228"/>
      <w:bookmarkEnd w:id="373"/>
      <w:bookmarkStart w:id="374" w:name="_Toc393546287"/>
      <w:bookmarkEnd w:id="374"/>
      <w:bookmarkStart w:id="375" w:name="_Toc386467033"/>
      <w:bookmarkEnd w:id="375"/>
      <w:bookmarkStart w:id="376" w:name="_Toc152045623"/>
      <w:bookmarkEnd w:id="376"/>
      <w:bookmarkStart w:id="377" w:name="_Toc152042401"/>
      <w:bookmarkEnd w:id="377"/>
      <w:bookmarkStart w:id="378" w:name="_Toc179632641"/>
      <w:bookmarkEnd w:id="378"/>
      <w:bookmarkStart w:id="379" w:name="_Toc144974591"/>
      <w:bookmarkEnd w:id="379"/>
      <w:bookmarkStart w:id="380" w:name="_Toc9585"/>
      <w:r>
        <w:rPr>
          <w:rFonts w:hint="eastAsia" w:ascii="宋体" w:eastAsia="宋体"/>
          <w:b/>
          <w:bCs/>
          <w:color w:val="000000" w:themeColor="text1"/>
          <w:szCs w:val="24"/>
          <w:highlight w:val="none"/>
          <w14:textFill>
            <w14:solidFill>
              <w14:schemeClr w14:val="tx1"/>
            </w14:solidFill>
          </w14:textFill>
        </w:rPr>
        <w:t>1.12 图纸和文件的保密</w:t>
      </w:r>
      <w:bookmarkEnd w:id="380"/>
    </w:p>
    <w:p w14:paraId="0E291B1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 发包人提供的图纸和文件，未经发包人同意，承包人不得为合同以外的目的泄露给他人或公开发表与引用。</w:t>
      </w:r>
    </w:p>
    <w:p w14:paraId="28ADF01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1.12.2 承包人提供的文件，未经承包人同意，发包人和监理人不得为合同以外的目的泄露给他人或公开发表与引用。</w:t>
      </w:r>
    </w:p>
    <w:p w14:paraId="38FA7381">
      <w:pPr>
        <w:pStyle w:val="79"/>
        <w:rPr>
          <w:rFonts w:ascii="宋体" w:hAnsi="宋体"/>
          <w:color w:val="000000" w:themeColor="text1"/>
          <w:sz w:val="24"/>
          <w:szCs w:val="24"/>
          <w:highlight w:val="none"/>
          <w14:textFill>
            <w14:solidFill>
              <w14:schemeClr w14:val="tx1"/>
            </w14:solidFill>
          </w14:textFill>
        </w:rPr>
      </w:pPr>
      <w:bookmarkStart w:id="381" w:name="_Toc393546288"/>
      <w:bookmarkEnd w:id="381"/>
      <w:bookmarkStart w:id="382" w:name="_Toc386467034"/>
      <w:bookmarkEnd w:id="382"/>
      <w:bookmarkStart w:id="383" w:name="_Toc3835"/>
      <w:r>
        <w:rPr>
          <w:rFonts w:hint="eastAsia" w:ascii="宋体" w:hAnsi="宋体"/>
          <w:color w:val="000000" w:themeColor="text1"/>
          <w:sz w:val="24"/>
          <w:szCs w:val="24"/>
          <w:highlight w:val="none"/>
          <w14:textFill>
            <w14:solidFill>
              <w14:schemeClr w14:val="tx1"/>
            </w14:solidFill>
          </w14:textFill>
        </w:rPr>
        <w:t>2. 发包人义务</w:t>
      </w:r>
      <w:bookmarkEnd w:id="383"/>
    </w:p>
    <w:p w14:paraId="48EF81C4">
      <w:pPr>
        <w:pStyle w:val="68"/>
        <w:ind w:firstLine="118"/>
        <w:rPr>
          <w:rFonts w:ascii="宋体" w:eastAsia="宋体"/>
          <w:color w:val="000000" w:themeColor="text1"/>
          <w:szCs w:val="24"/>
          <w:highlight w:val="none"/>
          <w14:textFill>
            <w14:solidFill>
              <w14:schemeClr w14:val="tx1"/>
            </w14:solidFill>
          </w14:textFill>
        </w:rPr>
      </w:pPr>
      <w:bookmarkStart w:id="384" w:name="_Toc393546289"/>
      <w:bookmarkEnd w:id="384"/>
      <w:bookmarkStart w:id="385" w:name="_Toc330406230"/>
      <w:bookmarkEnd w:id="385"/>
      <w:bookmarkStart w:id="386" w:name="_Toc152045625"/>
      <w:bookmarkEnd w:id="386"/>
      <w:bookmarkStart w:id="387" w:name="_Toc179632643"/>
      <w:bookmarkEnd w:id="387"/>
      <w:bookmarkStart w:id="388" w:name="_Toc386467035"/>
      <w:bookmarkEnd w:id="388"/>
      <w:bookmarkStart w:id="389" w:name="_Toc144974593"/>
      <w:bookmarkEnd w:id="389"/>
      <w:bookmarkStart w:id="390" w:name="_Toc152042403"/>
      <w:bookmarkEnd w:id="390"/>
      <w:bookmarkStart w:id="391" w:name="_Toc7211"/>
      <w:r>
        <w:rPr>
          <w:rFonts w:hint="eastAsia" w:ascii="宋体" w:eastAsia="宋体"/>
          <w:color w:val="000000" w:themeColor="text1"/>
          <w:szCs w:val="24"/>
          <w:highlight w:val="none"/>
          <w14:textFill>
            <w14:solidFill>
              <w14:schemeClr w14:val="tx1"/>
            </w14:solidFill>
          </w14:textFill>
        </w:rPr>
        <w:t>2.1 遵守法律</w:t>
      </w:r>
      <w:bookmarkEnd w:id="391"/>
    </w:p>
    <w:p w14:paraId="28A16C7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发包人在履行合同过程中应遵守法律，并保证承包人免于承担因发包人违反法律而引起的任何责任。</w:t>
      </w:r>
    </w:p>
    <w:p w14:paraId="6D0F2F9E">
      <w:pPr>
        <w:pStyle w:val="68"/>
        <w:ind w:firstLine="118"/>
        <w:rPr>
          <w:rFonts w:ascii="宋体" w:eastAsia="宋体"/>
          <w:color w:val="000000" w:themeColor="text1"/>
          <w:szCs w:val="24"/>
          <w:highlight w:val="none"/>
          <w14:textFill>
            <w14:solidFill>
              <w14:schemeClr w14:val="tx1"/>
            </w14:solidFill>
          </w14:textFill>
        </w:rPr>
      </w:pPr>
      <w:bookmarkStart w:id="392" w:name="_Toc330406231"/>
      <w:bookmarkEnd w:id="392"/>
      <w:bookmarkStart w:id="393" w:name="_Toc144974594"/>
      <w:bookmarkEnd w:id="393"/>
      <w:bookmarkStart w:id="394" w:name="_Toc393546290"/>
      <w:bookmarkEnd w:id="394"/>
      <w:bookmarkStart w:id="395" w:name="_Toc152045626"/>
      <w:bookmarkEnd w:id="395"/>
      <w:bookmarkStart w:id="396" w:name="_Toc179632644"/>
      <w:bookmarkEnd w:id="396"/>
      <w:bookmarkStart w:id="397" w:name="_Toc152042404"/>
      <w:bookmarkEnd w:id="397"/>
      <w:bookmarkStart w:id="398" w:name="_Toc386467036"/>
      <w:bookmarkEnd w:id="398"/>
      <w:bookmarkStart w:id="399" w:name="_Toc24932"/>
      <w:r>
        <w:rPr>
          <w:rFonts w:hint="eastAsia" w:ascii="宋体" w:eastAsia="宋体"/>
          <w:color w:val="000000" w:themeColor="text1"/>
          <w:szCs w:val="24"/>
          <w:highlight w:val="none"/>
          <w14:textFill>
            <w14:solidFill>
              <w14:schemeClr w14:val="tx1"/>
            </w14:solidFill>
          </w14:textFill>
        </w:rPr>
        <w:t>2.2 发出开工通知</w:t>
      </w:r>
      <w:bookmarkEnd w:id="399"/>
    </w:p>
    <w:p w14:paraId="7E5E387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发包人应委托监理人按第11.1款的约定向承包人发出开工通知。</w:t>
      </w:r>
    </w:p>
    <w:p w14:paraId="34105DE8">
      <w:pPr>
        <w:pStyle w:val="68"/>
        <w:ind w:firstLine="118"/>
        <w:rPr>
          <w:rFonts w:ascii="宋体" w:eastAsia="宋体"/>
          <w:color w:val="000000" w:themeColor="text1"/>
          <w:szCs w:val="24"/>
          <w:highlight w:val="none"/>
          <w14:textFill>
            <w14:solidFill>
              <w14:schemeClr w14:val="tx1"/>
            </w14:solidFill>
          </w14:textFill>
        </w:rPr>
      </w:pPr>
      <w:bookmarkStart w:id="400" w:name="_Toc386467037"/>
      <w:bookmarkEnd w:id="400"/>
      <w:bookmarkStart w:id="401" w:name="_Toc393546291"/>
      <w:bookmarkEnd w:id="401"/>
      <w:bookmarkStart w:id="402" w:name="_Toc11467"/>
      <w:r>
        <w:rPr>
          <w:rFonts w:hint="eastAsia" w:ascii="宋体" w:eastAsia="宋体"/>
          <w:color w:val="000000" w:themeColor="text1"/>
          <w:szCs w:val="24"/>
          <w:highlight w:val="none"/>
          <w14:textFill>
            <w14:solidFill>
              <w14:schemeClr w14:val="tx1"/>
            </w14:solidFill>
          </w14:textFill>
        </w:rPr>
        <w:t>2.3 提供施工场地</w:t>
      </w:r>
      <w:bookmarkEnd w:id="402"/>
    </w:p>
    <w:p w14:paraId="0AE9029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发包人应按专用合同条款约定向承包人提供施工场地，以及施工场地内地下管线和地下设施等有关资料，并保证资料的真实、准确、完整。</w:t>
      </w:r>
    </w:p>
    <w:p w14:paraId="2AB15497">
      <w:pPr>
        <w:pStyle w:val="68"/>
        <w:ind w:firstLine="118"/>
        <w:rPr>
          <w:rFonts w:ascii="宋体" w:eastAsia="宋体"/>
          <w:color w:val="000000" w:themeColor="text1"/>
          <w:szCs w:val="24"/>
          <w:highlight w:val="none"/>
          <w14:textFill>
            <w14:solidFill>
              <w14:schemeClr w14:val="tx1"/>
            </w14:solidFill>
          </w14:textFill>
        </w:rPr>
      </w:pPr>
      <w:bookmarkStart w:id="403" w:name="_Toc330406233"/>
      <w:bookmarkEnd w:id="403"/>
      <w:bookmarkStart w:id="404" w:name="_Toc179632646"/>
      <w:bookmarkEnd w:id="404"/>
      <w:bookmarkStart w:id="405" w:name="_Toc144974596"/>
      <w:bookmarkEnd w:id="405"/>
      <w:bookmarkStart w:id="406" w:name="_Toc152042406"/>
      <w:bookmarkEnd w:id="406"/>
      <w:bookmarkStart w:id="407" w:name="_Toc152045628"/>
      <w:bookmarkEnd w:id="407"/>
      <w:bookmarkStart w:id="408" w:name="_Toc393546292"/>
      <w:bookmarkEnd w:id="408"/>
      <w:bookmarkStart w:id="409" w:name="_Toc386467038"/>
      <w:bookmarkEnd w:id="409"/>
      <w:bookmarkStart w:id="410" w:name="_Toc5389"/>
      <w:r>
        <w:rPr>
          <w:rFonts w:hint="eastAsia" w:ascii="宋体" w:eastAsia="宋体"/>
          <w:color w:val="000000" w:themeColor="text1"/>
          <w:szCs w:val="24"/>
          <w:highlight w:val="none"/>
          <w14:textFill>
            <w14:solidFill>
              <w14:schemeClr w14:val="tx1"/>
            </w14:solidFill>
          </w14:textFill>
        </w:rPr>
        <w:t>2.4 协助承包人办理证件和批件</w:t>
      </w:r>
      <w:bookmarkEnd w:id="410"/>
    </w:p>
    <w:p w14:paraId="1893D10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发包人应协助承包人办理法律规定的有关施工证件和批件。</w:t>
      </w:r>
    </w:p>
    <w:p w14:paraId="74A46254">
      <w:pPr>
        <w:pStyle w:val="68"/>
        <w:ind w:firstLine="118"/>
        <w:rPr>
          <w:rFonts w:ascii="宋体" w:eastAsia="宋体"/>
          <w:color w:val="000000" w:themeColor="text1"/>
          <w:szCs w:val="24"/>
          <w:highlight w:val="none"/>
          <w14:textFill>
            <w14:solidFill>
              <w14:schemeClr w14:val="tx1"/>
            </w14:solidFill>
          </w14:textFill>
        </w:rPr>
      </w:pPr>
      <w:bookmarkStart w:id="411" w:name="_Toc144974597"/>
      <w:bookmarkEnd w:id="411"/>
      <w:bookmarkStart w:id="412" w:name="_Toc152045629"/>
      <w:bookmarkEnd w:id="412"/>
      <w:bookmarkStart w:id="413" w:name="_Toc152042407"/>
      <w:bookmarkEnd w:id="413"/>
      <w:bookmarkStart w:id="414" w:name="_Toc386467039"/>
      <w:bookmarkEnd w:id="414"/>
      <w:bookmarkStart w:id="415" w:name="_Toc330406234"/>
      <w:bookmarkEnd w:id="415"/>
      <w:bookmarkStart w:id="416" w:name="_Toc393546293"/>
      <w:bookmarkEnd w:id="416"/>
      <w:bookmarkStart w:id="417" w:name="_Toc179632647"/>
      <w:bookmarkEnd w:id="417"/>
      <w:bookmarkStart w:id="418" w:name="_Toc27092"/>
      <w:r>
        <w:rPr>
          <w:rFonts w:hint="eastAsia" w:ascii="宋体" w:eastAsia="宋体"/>
          <w:color w:val="000000" w:themeColor="text1"/>
          <w:szCs w:val="24"/>
          <w:highlight w:val="none"/>
          <w14:textFill>
            <w14:solidFill>
              <w14:schemeClr w14:val="tx1"/>
            </w14:solidFill>
          </w14:textFill>
        </w:rPr>
        <w:t>2.5 组织设计交底</w:t>
      </w:r>
      <w:bookmarkEnd w:id="418"/>
    </w:p>
    <w:p w14:paraId="379B596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发包人应根据合同进度计划，组织设计单位向承包人进行设计交底。</w:t>
      </w:r>
    </w:p>
    <w:p w14:paraId="4C053011">
      <w:pPr>
        <w:pStyle w:val="68"/>
        <w:ind w:firstLine="118"/>
        <w:rPr>
          <w:rFonts w:ascii="宋体" w:eastAsia="宋体"/>
          <w:color w:val="000000" w:themeColor="text1"/>
          <w:szCs w:val="24"/>
          <w:highlight w:val="none"/>
          <w14:textFill>
            <w14:solidFill>
              <w14:schemeClr w14:val="tx1"/>
            </w14:solidFill>
          </w14:textFill>
        </w:rPr>
      </w:pPr>
      <w:bookmarkStart w:id="419" w:name="_Toc152045630"/>
      <w:bookmarkEnd w:id="419"/>
      <w:bookmarkStart w:id="420" w:name="_Toc386467040"/>
      <w:bookmarkEnd w:id="420"/>
      <w:bookmarkStart w:id="421" w:name="_Toc152042408"/>
      <w:bookmarkEnd w:id="421"/>
      <w:bookmarkStart w:id="422" w:name="_Toc144974598"/>
      <w:bookmarkEnd w:id="422"/>
      <w:bookmarkStart w:id="423" w:name="_Toc393546294"/>
      <w:bookmarkEnd w:id="423"/>
      <w:bookmarkStart w:id="424" w:name="_Toc330406235"/>
      <w:bookmarkEnd w:id="424"/>
      <w:bookmarkStart w:id="425" w:name="_Toc179632648"/>
      <w:bookmarkEnd w:id="425"/>
      <w:bookmarkStart w:id="426" w:name="_Toc15370"/>
      <w:r>
        <w:rPr>
          <w:rFonts w:hint="eastAsia" w:ascii="宋体" w:eastAsia="宋体"/>
          <w:color w:val="000000" w:themeColor="text1"/>
          <w:szCs w:val="24"/>
          <w:highlight w:val="none"/>
          <w14:textFill>
            <w14:solidFill>
              <w14:schemeClr w14:val="tx1"/>
            </w14:solidFill>
          </w14:textFill>
        </w:rPr>
        <w:t>2.6 支付合同价款</w:t>
      </w:r>
      <w:bookmarkEnd w:id="426"/>
    </w:p>
    <w:p w14:paraId="5760827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发包人应按合同约定向承包人及时支付合同价款。</w:t>
      </w:r>
    </w:p>
    <w:p w14:paraId="48B9F3BF">
      <w:pPr>
        <w:pStyle w:val="68"/>
        <w:ind w:firstLine="118"/>
        <w:rPr>
          <w:rFonts w:ascii="宋体" w:eastAsia="宋体"/>
          <w:color w:val="000000" w:themeColor="text1"/>
          <w:szCs w:val="24"/>
          <w:highlight w:val="none"/>
          <w14:textFill>
            <w14:solidFill>
              <w14:schemeClr w14:val="tx1"/>
            </w14:solidFill>
          </w14:textFill>
        </w:rPr>
      </w:pPr>
      <w:bookmarkStart w:id="427" w:name="_Toc179632649"/>
      <w:bookmarkEnd w:id="427"/>
      <w:bookmarkStart w:id="428" w:name="_Toc152045631"/>
      <w:bookmarkEnd w:id="428"/>
      <w:bookmarkStart w:id="429" w:name="_Toc152042409"/>
      <w:bookmarkEnd w:id="429"/>
      <w:bookmarkStart w:id="430" w:name="_Toc393546295"/>
      <w:bookmarkEnd w:id="430"/>
      <w:bookmarkStart w:id="431" w:name="_Toc330406236"/>
      <w:bookmarkEnd w:id="431"/>
      <w:bookmarkStart w:id="432" w:name="_Toc386467041"/>
      <w:bookmarkEnd w:id="432"/>
      <w:bookmarkStart w:id="433" w:name="_Toc144974599"/>
      <w:bookmarkEnd w:id="433"/>
      <w:bookmarkStart w:id="434" w:name="_Toc10295"/>
      <w:r>
        <w:rPr>
          <w:rFonts w:hint="eastAsia" w:ascii="宋体" w:eastAsia="宋体"/>
          <w:color w:val="000000" w:themeColor="text1"/>
          <w:szCs w:val="24"/>
          <w:highlight w:val="none"/>
          <w14:textFill>
            <w14:solidFill>
              <w14:schemeClr w14:val="tx1"/>
            </w14:solidFill>
          </w14:textFill>
        </w:rPr>
        <w:t>2.7 组织竣工验收</w:t>
      </w:r>
      <w:bookmarkEnd w:id="434"/>
    </w:p>
    <w:p w14:paraId="38082B9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发包人应按合同约定及时组织竣工验收。</w:t>
      </w:r>
    </w:p>
    <w:p w14:paraId="332037A0">
      <w:pPr>
        <w:pStyle w:val="68"/>
        <w:ind w:firstLine="118"/>
        <w:rPr>
          <w:rFonts w:ascii="宋体" w:eastAsia="宋体"/>
          <w:color w:val="000000" w:themeColor="text1"/>
          <w:szCs w:val="24"/>
          <w:highlight w:val="none"/>
          <w14:textFill>
            <w14:solidFill>
              <w14:schemeClr w14:val="tx1"/>
            </w14:solidFill>
          </w14:textFill>
        </w:rPr>
      </w:pPr>
      <w:bookmarkStart w:id="435" w:name="_Toc179632650"/>
      <w:bookmarkEnd w:id="435"/>
      <w:bookmarkStart w:id="436" w:name="_Toc386467042"/>
      <w:bookmarkEnd w:id="436"/>
      <w:bookmarkStart w:id="437" w:name="_Toc152042410"/>
      <w:bookmarkEnd w:id="437"/>
      <w:bookmarkStart w:id="438" w:name="_Toc144974600"/>
      <w:bookmarkEnd w:id="438"/>
      <w:bookmarkStart w:id="439" w:name="_Toc330406237"/>
      <w:bookmarkEnd w:id="439"/>
      <w:bookmarkStart w:id="440" w:name="_Toc393546296"/>
      <w:bookmarkEnd w:id="440"/>
      <w:bookmarkStart w:id="441" w:name="_Toc152045632"/>
      <w:bookmarkEnd w:id="441"/>
      <w:bookmarkStart w:id="442" w:name="_Toc32239"/>
      <w:r>
        <w:rPr>
          <w:rFonts w:hint="eastAsia" w:ascii="宋体" w:eastAsia="宋体"/>
          <w:color w:val="000000" w:themeColor="text1"/>
          <w:szCs w:val="24"/>
          <w:highlight w:val="none"/>
          <w14:textFill>
            <w14:solidFill>
              <w14:schemeClr w14:val="tx1"/>
            </w14:solidFill>
          </w14:textFill>
        </w:rPr>
        <w:t>2.8 其他义务</w:t>
      </w:r>
      <w:bookmarkEnd w:id="442"/>
    </w:p>
    <w:p w14:paraId="2AD42E2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发包人应履行合同约定的其他义务。</w:t>
      </w:r>
    </w:p>
    <w:p w14:paraId="11E71906">
      <w:pPr>
        <w:pStyle w:val="79"/>
        <w:rPr>
          <w:rFonts w:ascii="宋体" w:hAnsi="宋体"/>
          <w:color w:val="000000" w:themeColor="text1"/>
          <w:sz w:val="24"/>
          <w:szCs w:val="24"/>
          <w:highlight w:val="none"/>
          <w14:textFill>
            <w14:solidFill>
              <w14:schemeClr w14:val="tx1"/>
            </w14:solidFill>
          </w14:textFill>
        </w:rPr>
      </w:pPr>
      <w:bookmarkStart w:id="443" w:name="_Toc393546297"/>
      <w:bookmarkEnd w:id="443"/>
      <w:bookmarkStart w:id="444" w:name="_Toc386467043"/>
      <w:bookmarkEnd w:id="444"/>
      <w:bookmarkStart w:id="445" w:name="_Toc9728"/>
      <w:r>
        <w:rPr>
          <w:rFonts w:hint="eastAsia" w:ascii="宋体" w:hAnsi="宋体"/>
          <w:color w:val="000000" w:themeColor="text1"/>
          <w:sz w:val="24"/>
          <w:szCs w:val="24"/>
          <w:highlight w:val="none"/>
          <w14:textFill>
            <w14:solidFill>
              <w14:schemeClr w14:val="tx1"/>
            </w14:solidFill>
          </w14:textFill>
        </w:rPr>
        <w:t>3. 监理人</w:t>
      </w:r>
      <w:bookmarkEnd w:id="445"/>
    </w:p>
    <w:p w14:paraId="1498A205">
      <w:pPr>
        <w:pStyle w:val="68"/>
        <w:ind w:firstLine="118"/>
        <w:rPr>
          <w:rFonts w:ascii="宋体" w:eastAsia="宋体"/>
          <w:b/>
          <w:bCs/>
          <w:color w:val="000000" w:themeColor="text1"/>
          <w:szCs w:val="24"/>
          <w:highlight w:val="none"/>
          <w14:textFill>
            <w14:solidFill>
              <w14:schemeClr w14:val="tx1"/>
            </w14:solidFill>
          </w14:textFill>
        </w:rPr>
      </w:pPr>
      <w:bookmarkStart w:id="446" w:name="_Toc386467044"/>
      <w:bookmarkEnd w:id="446"/>
      <w:bookmarkStart w:id="447" w:name="_Toc393546298"/>
      <w:bookmarkEnd w:id="447"/>
      <w:bookmarkStart w:id="448" w:name="_Toc2642"/>
      <w:r>
        <w:rPr>
          <w:rFonts w:hint="eastAsia" w:ascii="宋体" w:eastAsia="宋体"/>
          <w:b/>
          <w:bCs/>
          <w:color w:val="000000" w:themeColor="text1"/>
          <w:szCs w:val="24"/>
          <w:highlight w:val="none"/>
          <w14:textFill>
            <w14:solidFill>
              <w14:schemeClr w14:val="tx1"/>
            </w14:solidFill>
          </w14:textFill>
        </w:rPr>
        <w:t>3.1 监理人的职责和权力</w:t>
      </w:r>
      <w:bookmarkEnd w:id="448"/>
    </w:p>
    <w:p w14:paraId="760754A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 监理人受发包人委托，享有合同约定的权力。监理人在行使某项权力前需要经发包人事先批准而通用合同条款没有指明的，应在专用合同条款中指明。</w:t>
      </w:r>
    </w:p>
    <w:p w14:paraId="2CCA4CA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3.1.2 监理人发出的任何指示应视为已得到发包人的批准，但监理人无权免除或变更合同约定的发包人和承包人的权利、义务和责任。</w:t>
      </w:r>
    </w:p>
    <w:p w14:paraId="2ABFE51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3.1.3 合同约定应由承包人承担的义务和责任，不因监理人对承包人提交文件的审查或批准，对工程、材料和设备的检查和检验，以及为实施监理作出的指示等职务行为而减轻或解除。</w:t>
      </w:r>
    </w:p>
    <w:p w14:paraId="527669AA">
      <w:pPr>
        <w:pStyle w:val="68"/>
        <w:ind w:firstLine="118"/>
        <w:rPr>
          <w:rFonts w:ascii="宋体" w:eastAsia="宋体"/>
          <w:b/>
          <w:bCs/>
          <w:color w:val="000000" w:themeColor="text1"/>
          <w:szCs w:val="24"/>
          <w:highlight w:val="none"/>
          <w14:textFill>
            <w14:solidFill>
              <w14:schemeClr w14:val="tx1"/>
            </w14:solidFill>
          </w14:textFill>
        </w:rPr>
      </w:pPr>
      <w:bookmarkStart w:id="449" w:name="_Toc386467045"/>
      <w:bookmarkEnd w:id="449"/>
      <w:bookmarkStart w:id="450" w:name="_Toc179632653"/>
      <w:bookmarkEnd w:id="450"/>
      <w:bookmarkStart w:id="451" w:name="_Toc393546299"/>
      <w:bookmarkEnd w:id="451"/>
      <w:bookmarkStart w:id="452" w:name="_Toc330406240"/>
      <w:bookmarkEnd w:id="452"/>
      <w:bookmarkStart w:id="453" w:name="_Toc144974603"/>
      <w:bookmarkEnd w:id="453"/>
      <w:bookmarkStart w:id="454" w:name="_Toc152045635"/>
      <w:bookmarkEnd w:id="454"/>
      <w:bookmarkStart w:id="455" w:name="_Toc152042413"/>
      <w:bookmarkEnd w:id="455"/>
      <w:bookmarkStart w:id="456" w:name="_Toc32568"/>
      <w:r>
        <w:rPr>
          <w:rFonts w:hint="eastAsia" w:ascii="宋体" w:eastAsia="宋体"/>
          <w:b/>
          <w:bCs/>
          <w:color w:val="000000" w:themeColor="text1"/>
          <w:szCs w:val="24"/>
          <w:highlight w:val="none"/>
          <w14:textFill>
            <w14:solidFill>
              <w14:schemeClr w14:val="tx1"/>
            </w14:solidFill>
          </w14:textFill>
        </w:rPr>
        <w:t>3.2 总监理工程师</w:t>
      </w:r>
      <w:bookmarkEnd w:id="456"/>
    </w:p>
    <w:p w14:paraId="229D42F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发包人应在发出开工通知前将总监理工程师的任命通知承包人。总监理工程师更换时，应在调离14天前通知承包人。总监理工程师短期离开施工场地的，应委派代表代行其职责，并通知承包人。</w:t>
      </w:r>
    </w:p>
    <w:p w14:paraId="76048ABF">
      <w:pPr>
        <w:pStyle w:val="68"/>
        <w:ind w:firstLine="118"/>
        <w:rPr>
          <w:rFonts w:ascii="宋体" w:eastAsia="宋体"/>
          <w:b/>
          <w:bCs/>
          <w:color w:val="000000" w:themeColor="text1"/>
          <w:szCs w:val="24"/>
          <w:highlight w:val="none"/>
          <w14:textFill>
            <w14:solidFill>
              <w14:schemeClr w14:val="tx1"/>
            </w14:solidFill>
          </w14:textFill>
        </w:rPr>
      </w:pPr>
      <w:bookmarkStart w:id="457" w:name="_Toc179632654"/>
      <w:bookmarkEnd w:id="457"/>
      <w:bookmarkStart w:id="458" w:name="_Toc152045636"/>
      <w:bookmarkEnd w:id="458"/>
      <w:bookmarkStart w:id="459" w:name="_Toc393546300"/>
      <w:bookmarkEnd w:id="459"/>
      <w:bookmarkStart w:id="460" w:name="_Toc152042414"/>
      <w:bookmarkEnd w:id="460"/>
      <w:bookmarkStart w:id="461" w:name="_Toc330406241"/>
      <w:bookmarkEnd w:id="461"/>
      <w:bookmarkStart w:id="462" w:name="_Toc386467046"/>
      <w:bookmarkEnd w:id="462"/>
      <w:bookmarkStart w:id="463" w:name="_Toc144974604"/>
      <w:bookmarkEnd w:id="463"/>
      <w:bookmarkStart w:id="464" w:name="_Toc21670"/>
      <w:r>
        <w:rPr>
          <w:rFonts w:hint="eastAsia" w:ascii="宋体" w:eastAsia="宋体"/>
          <w:b/>
          <w:bCs/>
          <w:color w:val="000000" w:themeColor="text1"/>
          <w:szCs w:val="24"/>
          <w:highlight w:val="none"/>
          <w14:textFill>
            <w14:solidFill>
              <w14:schemeClr w14:val="tx1"/>
            </w14:solidFill>
          </w14:textFill>
        </w:rPr>
        <w:t>3.3 监理人员</w:t>
      </w:r>
      <w:bookmarkEnd w:id="464"/>
    </w:p>
    <w:p w14:paraId="7C71192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3003114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3.3.2 监理人员对承包人的任</w:t>
      </w:r>
      <w:r>
        <w:rPr>
          <w:rFonts w:hint="eastAsia" w:ascii="宋体" w:hAnsi="宋体" w:cs="宋体"/>
          <w:color w:val="000000" w:themeColor="text1"/>
          <w:sz w:val="24"/>
          <w:highlight w:val="none"/>
          <w:lang w:eastAsia="zh-CN"/>
          <w14:textFill>
            <w14:solidFill>
              <w14:schemeClr w14:val="tx1"/>
            </w14:solidFill>
          </w14:textFill>
        </w:rPr>
        <w:t>陈工</w:t>
      </w:r>
      <w:r>
        <w:rPr>
          <w:rFonts w:hint="eastAsia" w:ascii="宋体" w:hAnsi="宋体" w:cs="宋体"/>
          <w:color w:val="000000" w:themeColor="text1"/>
          <w:sz w:val="24"/>
          <w:highlight w:val="none"/>
          <w14:textFill>
            <w14:solidFill>
              <w14:schemeClr w14:val="tx1"/>
            </w14:solidFill>
          </w14:textFill>
        </w:rPr>
        <w:t>作、工程或其采用的材料和工程设备未在约定的或合理的期限内提出否定意见的，视为已获批准，但不影响监理人在以后拒绝该项工作、工程、材料或工程设备的权利。</w:t>
      </w:r>
    </w:p>
    <w:p w14:paraId="1FBB4B5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3.3.3 承包人对总监理工程师授权的监理人员发出的指示有疑问的，可向总监理工程师提出书面异议，总监理工程师应在48小时内对该指示予以确认、更改或撤销。</w:t>
      </w:r>
    </w:p>
    <w:p w14:paraId="1C32701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3.3.4 除专用合同条款另有约定外，总监理工程师不应将第3.5款约定应由总监理工程师作出确定的权力授权或委托给其他监理人员。</w:t>
      </w:r>
    </w:p>
    <w:p w14:paraId="053E2AA7">
      <w:pPr>
        <w:pStyle w:val="68"/>
        <w:ind w:firstLine="118"/>
        <w:rPr>
          <w:rFonts w:ascii="宋体" w:eastAsia="宋体"/>
          <w:b/>
          <w:bCs/>
          <w:color w:val="000000" w:themeColor="text1"/>
          <w:szCs w:val="24"/>
          <w:highlight w:val="none"/>
          <w14:textFill>
            <w14:solidFill>
              <w14:schemeClr w14:val="tx1"/>
            </w14:solidFill>
          </w14:textFill>
        </w:rPr>
      </w:pPr>
      <w:bookmarkStart w:id="465" w:name="_Toc393546301"/>
      <w:bookmarkEnd w:id="465"/>
      <w:bookmarkStart w:id="466" w:name="_Toc386467047"/>
      <w:bookmarkEnd w:id="466"/>
      <w:bookmarkStart w:id="467" w:name="_Toc152045637"/>
      <w:bookmarkEnd w:id="467"/>
      <w:bookmarkStart w:id="468" w:name="_Toc144974605"/>
      <w:bookmarkEnd w:id="468"/>
      <w:bookmarkStart w:id="469" w:name="_Toc330406242"/>
      <w:bookmarkEnd w:id="469"/>
      <w:bookmarkStart w:id="470" w:name="_Toc152042415"/>
      <w:bookmarkEnd w:id="470"/>
      <w:bookmarkStart w:id="471" w:name="_Toc179632655"/>
      <w:bookmarkEnd w:id="471"/>
      <w:bookmarkStart w:id="472" w:name="_Toc10989"/>
      <w:r>
        <w:rPr>
          <w:rFonts w:hint="eastAsia" w:ascii="宋体" w:eastAsia="宋体"/>
          <w:b/>
          <w:bCs/>
          <w:color w:val="000000" w:themeColor="text1"/>
          <w:szCs w:val="24"/>
          <w:highlight w:val="none"/>
          <w14:textFill>
            <w14:solidFill>
              <w14:schemeClr w14:val="tx1"/>
            </w14:solidFill>
          </w14:textFill>
        </w:rPr>
        <w:t>3.4 监理人的指示</w:t>
      </w:r>
      <w:bookmarkEnd w:id="472"/>
    </w:p>
    <w:p w14:paraId="52F7543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3.4.1 监理人应按第3.1款的约定向承包人发出指示，监理人的指示应盖有监理人授权的施工场地机构章，并由总监理工程师或总监理工程师按第3.3.1项约定授权的监理人员签字。</w:t>
      </w:r>
    </w:p>
    <w:p w14:paraId="11AB4E6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3.4.2 承包人收到监理人按第3.4.1项作出的指示后应遵照执行。指示构成变更的，应按第15条处理。</w:t>
      </w:r>
    </w:p>
    <w:p w14:paraId="32D3A46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64A5BAE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3.4.4 除合同另有约定外，承包人只从总监理工程师或按第3.3.1项被授权的监理人员处取得指示。</w:t>
      </w:r>
    </w:p>
    <w:p w14:paraId="3FB222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3.4.5 由于监理人未能按合同约定发出指示、指示延误或指示错误而导致承包人费用增加和（或）工期延误的，由发包人承担赔偿责任。 </w:t>
      </w:r>
    </w:p>
    <w:p w14:paraId="477456E1">
      <w:pPr>
        <w:pStyle w:val="68"/>
        <w:ind w:firstLine="118"/>
        <w:rPr>
          <w:rFonts w:ascii="宋体" w:eastAsia="宋体"/>
          <w:b/>
          <w:bCs/>
          <w:color w:val="000000" w:themeColor="text1"/>
          <w:szCs w:val="24"/>
          <w:highlight w:val="none"/>
          <w14:textFill>
            <w14:solidFill>
              <w14:schemeClr w14:val="tx1"/>
            </w14:solidFill>
          </w14:textFill>
        </w:rPr>
      </w:pPr>
      <w:bookmarkStart w:id="473" w:name="_Toc386467048"/>
      <w:bookmarkEnd w:id="473"/>
      <w:bookmarkStart w:id="474" w:name="_Toc393546302"/>
      <w:bookmarkEnd w:id="474"/>
      <w:bookmarkStart w:id="475" w:name="_Toc18829"/>
      <w:r>
        <w:rPr>
          <w:rFonts w:hint="eastAsia" w:ascii="宋体" w:eastAsia="宋体"/>
          <w:b/>
          <w:bCs/>
          <w:color w:val="000000" w:themeColor="text1"/>
          <w:szCs w:val="24"/>
          <w:highlight w:val="none"/>
          <w14:textFill>
            <w14:solidFill>
              <w14:schemeClr w14:val="tx1"/>
            </w14:solidFill>
          </w14:textFill>
        </w:rPr>
        <w:t>3.5 商定或确定</w:t>
      </w:r>
      <w:bookmarkEnd w:id="475"/>
    </w:p>
    <w:p w14:paraId="522BF1F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3.5.1合同约定总监理工程师应按照本款对任何事项进行商定或确定时，总监理工程师应与合同当事人协商，尽量达成一致。不能达成一致的，总监理工程师应认真研究后审慎确定。</w:t>
      </w:r>
    </w:p>
    <w:p w14:paraId="0A07D61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7168611F">
      <w:pPr>
        <w:pStyle w:val="79"/>
        <w:rPr>
          <w:rFonts w:ascii="宋体" w:hAnsi="宋体"/>
          <w:color w:val="000000" w:themeColor="text1"/>
          <w:sz w:val="24"/>
          <w:szCs w:val="24"/>
          <w:highlight w:val="none"/>
          <w14:textFill>
            <w14:solidFill>
              <w14:schemeClr w14:val="tx1"/>
            </w14:solidFill>
          </w14:textFill>
        </w:rPr>
      </w:pPr>
      <w:bookmarkStart w:id="476" w:name="_Toc393546303"/>
      <w:bookmarkEnd w:id="476"/>
      <w:bookmarkStart w:id="477" w:name="_Toc386467049"/>
      <w:bookmarkEnd w:id="477"/>
      <w:bookmarkStart w:id="478" w:name="_Toc4231"/>
      <w:r>
        <w:rPr>
          <w:rFonts w:hint="eastAsia" w:ascii="宋体" w:hAnsi="宋体"/>
          <w:color w:val="000000" w:themeColor="text1"/>
          <w:sz w:val="24"/>
          <w:szCs w:val="24"/>
          <w:highlight w:val="none"/>
          <w14:textFill>
            <w14:solidFill>
              <w14:schemeClr w14:val="tx1"/>
            </w14:solidFill>
          </w14:textFill>
        </w:rPr>
        <w:t>4. 承包人</w:t>
      </w:r>
      <w:bookmarkEnd w:id="478"/>
    </w:p>
    <w:p w14:paraId="7B2E29C2">
      <w:pPr>
        <w:pStyle w:val="68"/>
        <w:ind w:firstLine="118"/>
        <w:rPr>
          <w:rFonts w:ascii="宋体" w:eastAsia="宋体"/>
          <w:color w:val="000000" w:themeColor="text1"/>
          <w:szCs w:val="24"/>
          <w:highlight w:val="none"/>
          <w14:textFill>
            <w14:solidFill>
              <w14:schemeClr w14:val="tx1"/>
            </w14:solidFill>
          </w14:textFill>
        </w:rPr>
      </w:pPr>
      <w:bookmarkStart w:id="479" w:name="_Toc393546304"/>
      <w:bookmarkEnd w:id="479"/>
      <w:bookmarkStart w:id="480" w:name="_Toc386467050"/>
      <w:bookmarkEnd w:id="480"/>
      <w:bookmarkStart w:id="481" w:name="_Toc5868"/>
      <w:r>
        <w:rPr>
          <w:rFonts w:hint="eastAsia" w:ascii="宋体" w:eastAsia="宋体"/>
          <w:color w:val="000000" w:themeColor="text1"/>
          <w:szCs w:val="24"/>
          <w:highlight w:val="none"/>
          <w14:textFill>
            <w14:solidFill>
              <w14:schemeClr w14:val="tx1"/>
            </w14:solidFill>
          </w14:textFill>
        </w:rPr>
        <w:t>4.1 承包人的一般义务</w:t>
      </w:r>
      <w:bookmarkEnd w:id="481"/>
    </w:p>
    <w:p w14:paraId="256248C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 遵守法律</w:t>
      </w:r>
    </w:p>
    <w:p w14:paraId="2EB7C48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承包人在履行合同过程中应遵守法律，并保证发包人免于承担因承包人违反法律而引起的任何责任。</w:t>
      </w:r>
    </w:p>
    <w:p w14:paraId="15F2699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4.1.2 依法纳税</w:t>
      </w:r>
    </w:p>
    <w:p w14:paraId="362B837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承包人应按有关法律规定纳税，应缴纳的税金包括在合同价格内。</w:t>
      </w:r>
    </w:p>
    <w:p w14:paraId="00DF382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4.1.3 完成各项承包工作</w:t>
      </w:r>
    </w:p>
    <w:p w14:paraId="2505B04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5CF2F50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4.1.4 对施工作业和施工方法的完备性负责</w:t>
      </w:r>
    </w:p>
    <w:p w14:paraId="6DC3C3B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承包人应按合同约定的工作内容和施工进度要求，编制施工组织设计和施工措施计划，并对所有施工作业和施工方法的完备性和安全可靠性负责。</w:t>
      </w:r>
    </w:p>
    <w:p w14:paraId="0E820C4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4.1.5 保证工程施工和人员的安全</w:t>
      </w:r>
    </w:p>
    <w:p w14:paraId="11DA79F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承包人应按第9.2款约定采取施工安全措施，确保工程及其人员、材料、设备和设施的安全，防止因工程施工造成的人身伤害和财产损失。</w:t>
      </w:r>
    </w:p>
    <w:p w14:paraId="6B75432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4.1.6 负责施工场地及其周边环境与生态的保护工作</w:t>
      </w:r>
    </w:p>
    <w:p w14:paraId="28B7EE8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承包人应按照第9.4款约定负责施工场地及其周边环境与生态的保护工作。</w:t>
      </w:r>
    </w:p>
    <w:p w14:paraId="6DE5F33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4.1.7 避免施工对公众与他人的利益造成损害</w:t>
      </w:r>
    </w:p>
    <w:p w14:paraId="0189D22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39E8E05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4.1.8 为他人提供方便</w:t>
      </w:r>
    </w:p>
    <w:p w14:paraId="0446768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承包人应按监理人的指示为他人在施工场地或附近实施与工程有关的其他各项工作提供可能的条件。除合同另有约定外，提供有关条件的内容和可能发生的费用，由监理人按第3.5款商定或确定。</w:t>
      </w:r>
    </w:p>
    <w:p w14:paraId="7D5CD68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4.1.9 工程的维护和照管</w:t>
      </w:r>
    </w:p>
    <w:p w14:paraId="04F0A07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工程接收证书颁发前，承包人应负责照管和维护工程。工程接收证书颁发时尚有部分未竣工工程的，承包人还应负责该未竣工工程的照管和维护工作，直至竣工后移交给发包人为止。</w:t>
      </w:r>
    </w:p>
    <w:p w14:paraId="7831CDA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4.1.10 其他义务</w:t>
      </w:r>
    </w:p>
    <w:p w14:paraId="451991A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承包人应履行合同约定的其他义务。</w:t>
      </w:r>
    </w:p>
    <w:p w14:paraId="12308CAD">
      <w:pPr>
        <w:pStyle w:val="68"/>
        <w:ind w:firstLine="118"/>
        <w:rPr>
          <w:rFonts w:ascii="宋体" w:eastAsia="宋体"/>
          <w:color w:val="000000" w:themeColor="text1"/>
          <w:szCs w:val="24"/>
          <w:highlight w:val="none"/>
          <w14:textFill>
            <w14:solidFill>
              <w14:schemeClr w14:val="tx1"/>
            </w14:solidFill>
          </w14:textFill>
        </w:rPr>
      </w:pPr>
      <w:bookmarkStart w:id="482" w:name="_Toc386467051"/>
      <w:bookmarkEnd w:id="482"/>
      <w:bookmarkStart w:id="483" w:name="_Toc393546305"/>
      <w:bookmarkEnd w:id="483"/>
      <w:bookmarkStart w:id="484" w:name="_Toc6130"/>
      <w:r>
        <w:rPr>
          <w:rFonts w:hint="eastAsia" w:ascii="宋体" w:eastAsia="宋体"/>
          <w:color w:val="000000" w:themeColor="text1"/>
          <w:szCs w:val="24"/>
          <w:highlight w:val="none"/>
          <w14:textFill>
            <w14:solidFill>
              <w14:schemeClr w14:val="tx1"/>
            </w14:solidFill>
          </w14:textFill>
        </w:rPr>
        <w:t>4.2 履约担保</w:t>
      </w:r>
      <w:bookmarkEnd w:id="484"/>
    </w:p>
    <w:p w14:paraId="1412376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承包人应保证其履约担保在发包人颁发工程接收证书前一直有效。发包人应在工程接收证书颁发后28天内把履约担保退还给承包人。</w:t>
      </w:r>
    </w:p>
    <w:p w14:paraId="5BE9A5FF">
      <w:pPr>
        <w:pStyle w:val="68"/>
        <w:ind w:firstLine="118"/>
        <w:rPr>
          <w:rFonts w:ascii="宋体" w:eastAsia="宋体"/>
          <w:color w:val="000000" w:themeColor="text1"/>
          <w:szCs w:val="24"/>
          <w:highlight w:val="none"/>
          <w14:textFill>
            <w14:solidFill>
              <w14:schemeClr w14:val="tx1"/>
            </w14:solidFill>
          </w14:textFill>
        </w:rPr>
      </w:pPr>
      <w:bookmarkStart w:id="485" w:name="_Toc393546306"/>
      <w:bookmarkEnd w:id="485"/>
      <w:bookmarkStart w:id="486" w:name="_Toc386467052"/>
      <w:bookmarkEnd w:id="486"/>
      <w:bookmarkStart w:id="487" w:name="_Toc9650"/>
      <w:r>
        <w:rPr>
          <w:rFonts w:hint="eastAsia" w:ascii="宋体" w:eastAsia="宋体"/>
          <w:color w:val="000000" w:themeColor="text1"/>
          <w:szCs w:val="24"/>
          <w:highlight w:val="none"/>
          <w14:textFill>
            <w14:solidFill>
              <w14:schemeClr w14:val="tx1"/>
            </w14:solidFill>
          </w14:textFill>
        </w:rPr>
        <w:t>4.3 分包</w:t>
      </w:r>
      <w:bookmarkEnd w:id="487"/>
    </w:p>
    <w:p w14:paraId="7CE3F8D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4.3.1 承包人不得将其承包的全部工程转包给第三人，或将其承包的全部工程肢解后以分包的名义转包给第三人。</w:t>
      </w:r>
    </w:p>
    <w:p w14:paraId="12E9455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4.3.2 承包人不得将工程主体、关键性工作分包给第三人。除专用合同条款另有约定外，未经发包人同意，承包人不得将工程的其他部分或工作分包给第三人。</w:t>
      </w:r>
    </w:p>
    <w:p w14:paraId="7C5E040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4.3.3 分包人的资格能力应与其分包工程的标准和规模相适应。</w:t>
      </w:r>
    </w:p>
    <w:p w14:paraId="0B900D1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4.3.4 按投标函附录约定分包工程的，承包人应向发包人和监理人提交分包合同副本。</w:t>
      </w:r>
    </w:p>
    <w:p w14:paraId="33A94CB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4.3.5 承包人应与分包人就分包工程向发包人承担连带责任。</w:t>
      </w:r>
    </w:p>
    <w:p w14:paraId="6790FEDD">
      <w:pPr>
        <w:pStyle w:val="68"/>
        <w:ind w:firstLine="118"/>
        <w:rPr>
          <w:rFonts w:ascii="宋体" w:eastAsia="宋体"/>
          <w:color w:val="000000" w:themeColor="text1"/>
          <w:szCs w:val="24"/>
          <w:highlight w:val="none"/>
          <w14:textFill>
            <w14:solidFill>
              <w14:schemeClr w14:val="tx1"/>
            </w14:solidFill>
          </w14:textFill>
        </w:rPr>
      </w:pPr>
      <w:bookmarkStart w:id="488" w:name="_Toc393546307"/>
      <w:bookmarkEnd w:id="488"/>
      <w:bookmarkStart w:id="489" w:name="_Toc386467053"/>
      <w:bookmarkEnd w:id="489"/>
      <w:bookmarkStart w:id="490" w:name="_Toc8618"/>
      <w:r>
        <w:rPr>
          <w:rFonts w:hint="eastAsia" w:ascii="宋体" w:eastAsia="宋体"/>
          <w:color w:val="000000" w:themeColor="text1"/>
          <w:szCs w:val="24"/>
          <w:highlight w:val="none"/>
          <w14:textFill>
            <w14:solidFill>
              <w14:schemeClr w14:val="tx1"/>
            </w14:solidFill>
          </w14:textFill>
        </w:rPr>
        <w:t>4.4 联合体</w:t>
      </w:r>
      <w:bookmarkEnd w:id="490"/>
    </w:p>
    <w:p w14:paraId="27C3D32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4.4.1 联合体各方应共同与发包人签订合同协议书。联合体各方应为履行合同承担连带责任。</w:t>
      </w:r>
    </w:p>
    <w:p w14:paraId="3FA3C0B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4.4.2 联合体协议经发包人确认后作为合同附件。在履行合同过程中，未经发包人同意，不得修改联合体协议。</w:t>
      </w:r>
    </w:p>
    <w:p w14:paraId="1DCB861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4.4.3 联合体牵头人负责与发包人和监理人联系，并接受指示，负责组织联合体各成员全面履行合同。</w:t>
      </w:r>
    </w:p>
    <w:p w14:paraId="76DD9507">
      <w:pPr>
        <w:pStyle w:val="68"/>
        <w:ind w:firstLine="118"/>
        <w:rPr>
          <w:rFonts w:ascii="宋体" w:eastAsia="宋体"/>
          <w:color w:val="000000" w:themeColor="text1"/>
          <w:szCs w:val="24"/>
          <w:highlight w:val="none"/>
          <w14:textFill>
            <w14:solidFill>
              <w14:schemeClr w14:val="tx1"/>
            </w14:solidFill>
          </w14:textFill>
        </w:rPr>
      </w:pPr>
      <w:bookmarkStart w:id="491" w:name="_Toc386467054"/>
      <w:bookmarkEnd w:id="491"/>
      <w:bookmarkStart w:id="492" w:name="_Toc393546308"/>
      <w:bookmarkEnd w:id="492"/>
      <w:bookmarkStart w:id="493" w:name="_Toc30471"/>
      <w:r>
        <w:rPr>
          <w:rFonts w:hint="eastAsia" w:ascii="宋体" w:eastAsia="宋体"/>
          <w:color w:val="000000" w:themeColor="text1"/>
          <w:szCs w:val="24"/>
          <w:highlight w:val="none"/>
          <w14:textFill>
            <w14:solidFill>
              <w14:schemeClr w14:val="tx1"/>
            </w14:solidFill>
          </w14:textFill>
        </w:rPr>
        <w:t>4.5 承包人项目经理</w:t>
      </w:r>
      <w:bookmarkEnd w:id="493"/>
    </w:p>
    <w:p w14:paraId="4E2CA1D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5821CCF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09108C3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4.5.3承包人为履行合同发出的一切函件均应盖有承包人授权的施工场地管理机构章，并由承包人项目经理或其授权代表签字。</w:t>
      </w:r>
    </w:p>
    <w:p w14:paraId="426270C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4.5.4 承包人项目经理可以授权其下属人员履行其某项职责，但事先应将这些人员的姓名和授权范围通知监理人。</w:t>
      </w:r>
    </w:p>
    <w:p w14:paraId="283DBB10">
      <w:pPr>
        <w:pStyle w:val="68"/>
        <w:ind w:firstLine="118"/>
        <w:rPr>
          <w:rFonts w:ascii="宋体" w:eastAsia="宋体"/>
          <w:color w:val="000000" w:themeColor="text1"/>
          <w:szCs w:val="24"/>
          <w:highlight w:val="none"/>
          <w14:textFill>
            <w14:solidFill>
              <w14:schemeClr w14:val="tx1"/>
            </w14:solidFill>
          </w14:textFill>
        </w:rPr>
      </w:pPr>
      <w:bookmarkStart w:id="494" w:name="_Toc179632663"/>
      <w:bookmarkEnd w:id="494"/>
      <w:bookmarkStart w:id="495" w:name="_Toc393546309"/>
      <w:bookmarkEnd w:id="495"/>
      <w:bookmarkStart w:id="496" w:name="_Toc152042423"/>
      <w:bookmarkEnd w:id="496"/>
      <w:bookmarkStart w:id="497" w:name="_Toc144974613"/>
      <w:bookmarkEnd w:id="497"/>
      <w:bookmarkStart w:id="498" w:name="_Toc152045645"/>
      <w:bookmarkEnd w:id="498"/>
      <w:bookmarkStart w:id="499" w:name="_Toc386467055"/>
      <w:bookmarkEnd w:id="499"/>
      <w:bookmarkStart w:id="500" w:name="_Toc330406250"/>
      <w:bookmarkEnd w:id="500"/>
      <w:bookmarkStart w:id="501" w:name="_Toc12373"/>
      <w:r>
        <w:rPr>
          <w:rFonts w:hint="eastAsia" w:ascii="宋体" w:eastAsia="宋体"/>
          <w:color w:val="000000" w:themeColor="text1"/>
          <w:szCs w:val="24"/>
          <w:highlight w:val="none"/>
          <w14:textFill>
            <w14:solidFill>
              <w14:schemeClr w14:val="tx1"/>
            </w14:solidFill>
          </w14:textFill>
        </w:rPr>
        <w:t>4.6 承包人人员的管理</w:t>
      </w:r>
      <w:bookmarkEnd w:id="501"/>
    </w:p>
    <w:p w14:paraId="33DE628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77A4F26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4.6.2 为完成合同约定的各项工作，承包人应向施工场地派遣或雇佣足够数量的下列人员：</w:t>
      </w:r>
    </w:p>
    <w:p w14:paraId="56EDB027">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（1）具有相应资格的专业技工和合格的普工；</w:t>
      </w:r>
    </w:p>
    <w:p w14:paraId="16AC0C9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（2）具有相应施工经验的技术人员；</w:t>
      </w:r>
    </w:p>
    <w:p w14:paraId="12F4916A">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（3）具有相应岗位资格的各级管理人员。</w:t>
      </w:r>
    </w:p>
    <w:p w14:paraId="4FAFFB1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4.6.3 承包人安排在施工场地的主要管理人员和技术骨干应相对稳定。承包人更换主要管理人员和技术骨干时，应取得监理人的同意。</w:t>
      </w:r>
    </w:p>
    <w:p w14:paraId="3E9770F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4.6.4 特殊岗位的工作人员均应持有相应的资格证明，监理人有权随时检查。监理人认为有必要时，可进行现场考核。</w:t>
      </w:r>
    </w:p>
    <w:p w14:paraId="60BDA9DD">
      <w:pPr>
        <w:pStyle w:val="68"/>
        <w:ind w:firstLine="118"/>
        <w:rPr>
          <w:rFonts w:ascii="宋体" w:eastAsia="宋体"/>
          <w:color w:val="000000" w:themeColor="text1"/>
          <w:szCs w:val="24"/>
          <w:highlight w:val="none"/>
          <w14:textFill>
            <w14:solidFill>
              <w14:schemeClr w14:val="tx1"/>
            </w14:solidFill>
          </w14:textFill>
        </w:rPr>
      </w:pPr>
      <w:bookmarkStart w:id="502" w:name="_Toc152045646"/>
      <w:bookmarkEnd w:id="502"/>
      <w:bookmarkStart w:id="503" w:name="_Toc386467056"/>
      <w:bookmarkEnd w:id="503"/>
      <w:bookmarkStart w:id="504" w:name="_Toc144974614"/>
      <w:bookmarkEnd w:id="504"/>
      <w:bookmarkStart w:id="505" w:name="_Toc179632664"/>
      <w:bookmarkEnd w:id="505"/>
      <w:bookmarkStart w:id="506" w:name="_Toc393546310"/>
      <w:bookmarkEnd w:id="506"/>
      <w:bookmarkStart w:id="507" w:name="_Toc152042424"/>
      <w:bookmarkEnd w:id="507"/>
      <w:bookmarkStart w:id="508" w:name="_Toc330406251"/>
      <w:bookmarkEnd w:id="508"/>
      <w:bookmarkStart w:id="509" w:name="_Toc22698"/>
      <w:r>
        <w:rPr>
          <w:rFonts w:hint="eastAsia" w:ascii="宋体" w:eastAsia="宋体"/>
          <w:color w:val="000000" w:themeColor="text1"/>
          <w:szCs w:val="24"/>
          <w:highlight w:val="none"/>
          <w14:textFill>
            <w14:solidFill>
              <w14:schemeClr w14:val="tx1"/>
            </w14:solidFill>
          </w14:textFill>
        </w:rPr>
        <w:t>4.7 撤换承包人项目经理和其他人员</w:t>
      </w:r>
      <w:bookmarkEnd w:id="509"/>
    </w:p>
    <w:p w14:paraId="5E52466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承包人应对其项目经理和其他人员进行有效管理。监理人要求撤换不能胜任本职工作、行为不端或玩忽职守的承包人项目经理和其他人员的，承包人应予以撤换。</w:t>
      </w:r>
    </w:p>
    <w:p w14:paraId="36794E34">
      <w:pPr>
        <w:pStyle w:val="68"/>
        <w:ind w:firstLine="118"/>
        <w:rPr>
          <w:rFonts w:ascii="宋体" w:eastAsia="宋体"/>
          <w:color w:val="000000" w:themeColor="text1"/>
          <w:szCs w:val="24"/>
          <w:highlight w:val="none"/>
          <w14:textFill>
            <w14:solidFill>
              <w14:schemeClr w14:val="tx1"/>
            </w14:solidFill>
          </w14:textFill>
        </w:rPr>
      </w:pPr>
      <w:bookmarkStart w:id="510" w:name="_Toc152045647"/>
      <w:bookmarkEnd w:id="510"/>
      <w:bookmarkStart w:id="511" w:name="_Toc152042425"/>
      <w:bookmarkEnd w:id="511"/>
      <w:bookmarkStart w:id="512" w:name="_Toc330406252"/>
      <w:bookmarkEnd w:id="512"/>
      <w:bookmarkStart w:id="513" w:name="_Toc386467057"/>
      <w:bookmarkEnd w:id="513"/>
      <w:bookmarkStart w:id="514" w:name="_Toc393546311"/>
      <w:bookmarkEnd w:id="514"/>
      <w:bookmarkStart w:id="515" w:name="_Toc179632665"/>
      <w:bookmarkEnd w:id="515"/>
      <w:bookmarkStart w:id="516" w:name="_Toc144974615"/>
      <w:bookmarkEnd w:id="516"/>
      <w:bookmarkStart w:id="517" w:name="_Toc8604"/>
      <w:r>
        <w:rPr>
          <w:rFonts w:hint="eastAsia" w:ascii="宋体" w:eastAsia="宋体"/>
          <w:color w:val="000000" w:themeColor="text1"/>
          <w:szCs w:val="24"/>
          <w:highlight w:val="none"/>
          <w14:textFill>
            <w14:solidFill>
              <w14:schemeClr w14:val="tx1"/>
            </w14:solidFill>
          </w14:textFill>
        </w:rPr>
        <w:t>4.8 保障承包人人员的合法权益</w:t>
      </w:r>
      <w:bookmarkEnd w:id="517"/>
    </w:p>
    <w:p w14:paraId="27E98B7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4.8.1 承包人应与其雇佣的人员签订劳动合同，并按时发放工资。</w:t>
      </w:r>
    </w:p>
    <w:p w14:paraId="620DBE6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4.8.2 承包人应按劳动法的规定安排工作时间，保证其雇佣人员享有休息和休假的权利。因工程施工的特殊需要占用休假日或延长工作时间的，应不超过法律规定的限度，并按法律规定给予补休或付酬。</w:t>
      </w:r>
    </w:p>
    <w:p w14:paraId="2B69A1C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4.8.3 承包人应为其雇佣人员提供必要的食宿条件，以及符合环境保护和卫生要求的生活环境，在远离城镇的施工场地，还应配备必要的伤病防治和急救的医务人员与医疗设施。</w:t>
      </w:r>
    </w:p>
    <w:p w14:paraId="477B10B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62AA5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4.8.5 承包人应按有关法律规定和合同约定，为其雇佣人员办理保险。</w:t>
      </w:r>
    </w:p>
    <w:p w14:paraId="210E32F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4.8.6 承包人应负责处理其雇佣人员因工伤亡事故的善后事宜。</w:t>
      </w:r>
    </w:p>
    <w:p w14:paraId="72663820">
      <w:pPr>
        <w:pStyle w:val="68"/>
        <w:ind w:firstLine="118"/>
        <w:rPr>
          <w:rFonts w:ascii="宋体" w:eastAsia="宋体"/>
          <w:color w:val="000000" w:themeColor="text1"/>
          <w:szCs w:val="24"/>
          <w:highlight w:val="none"/>
          <w14:textFill>
            <w14:solidFill>
              <w14:schemeClr w14:val="tx1"/>
            </w14:solidFill>
          </w14:textFill>
        </w:rPr>
      </w:pPr>
      <w:bookmarkStart w:id="518" w:name="_Toc152042426"/>
      <w:bookmarkEnd w:id="518"/>
      <w:bookmarkStart w:id="519" w:name="_Toc152045648"/>
      <w:bookmarkEnd w:id="519"/>
      <w:bookmarkStart w:id="520" w:name="_Toc330406253"/>
      <w:bookmarkEnd w:id="520"/>
      <w:bookmarkStart w:id="521" w:name="_Toc179632666"/>
      <w:bookmarkEnd w:id="521"/>
      <w:bookmarkStart w:id="522" w:name="_Toc144974616"/>
      <w:bookmarkEnd w:id="522"/>
      <w:bookmarkStart w:id="523" w:name="_Toc386467058"/>
      <w:bookmarkEnd w:id="523"/>
      <w:bookmarkStart w:id="524" w:name="_Toc393546312"/>
      <w:bookmarkEnd w:id="524"/>
      <w:bookmarkStart w:id="525" w:name="_Toc1254"/>
      <w:r>
        <w:rPr>
          <w:rFonts w:hint="eastAsia" w:ascii="宋体" w:eastAsia="宋体"/>
          <w:color w:val="000000" w:themeColor="text1"/>
          <w:szCs w:val="24"/>
          <w:highlight w:val="none"/>
          <w14:textFill>
            <w14:solidFill>
              <w14:schemeClr w14:val="tx1"/>
            </w14:solidFill>
          </w14:textFill>
        </w:rPr>
        <w:t>4.9 工程价款应专款专用</w:t>
      </w:r>
      <w:bookmarkEnd w:id="525"/>
    </w:p>
    <w:p w14:paraId="4EB937A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发包人按合同约定支付给承包人的各项价款应专用于合同工程。</w:t>
      </w:r>
    </w:p>
    <w:p w14:paraId="0FD3FBF3">
      <w:pPr>
        <w:pStyle w:val="68"/>
        <w:ind w:firstLine="118"/>
        <w:rPr>
          <w:rFonts w:ascii="宋体" w:eastAsia="宋体"/>
          <w:color w:val="000000" w:themeColor="text1"/>
          <w:szCs w:val="24"/>
          <w:highlight w:val="none"/>
          <w14:textFill>
            <w14:solidFill>
              <w14:schemeClr w14:val="tx1"/>
            </w14:solidFill>
          </w14:textFill>
        </w:rPr>
      </w:pPr>
      <w:bookmarkStart w:id="526" w:name="_Toc393546313"/>
      <w:bookmarkEnd w:id="526"/>
      <w:bookmarkStart w:id="527" w:name="_Toc386467059"/>
      <w:bookmarkEnd w:id="527"/>
      <w:bookmarkStart w:id="528" w:name="_Toc21720"/>
      <w:r>
        <w:rPr>
          <w:rFonts w:hint="eastAsia" w:ascii="宋体" w:eastAsia="宋体"/>
          <w:color w:val="000000" w:themeColor="text1"/>
          <w:szCs w:val="24"/>
          <w:highlight w:val="none"/>
          <w14:textFill>
            <w14:solidFill>
              <w14:schemeClr w14:val="tx1"/>
            </w14:solidFill>
          </w14:textFill>
        </w:rPr>
        <w:t>4.10 承包人现场查勘</w:t>
      </w:r>
      <w:bookmarkEnd w:id="528"/>
    </w:p>
    <w:p w14:paraId="3604306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4.10.1 发包人应将其持有的现场地质勘探资料、水文气象资料提供给承包人，并对其准确性负责。但承包人应对其阅读上述有关资料后所作出的解释和推断负责。</w:t>
      </w:r>
    </w:p>
    <w:p w14:paraId="3B5C1C0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2B724C25">
      <w:pPr>
        <w:pStyle w:val="68"/>
        <w:ind w:firstLine="118"/>
        <w:rPr>
          <w:rFonts w:ascii="宋体" w:eastAsia="宋体"/>
          <w:color w:val="000000" w:themeColor="text1"/>
          <w:szCs w:val="24"/>
          <w:highlight w:val="none"/>
          <w14:textFill>
            <w14:solidFill>
              <w14:schemeClr w14:val="tx1"/>
            </w14:solidFill>
          </w14:textFill>
        </w:rPr>
      </w:pPr>
      <w:bookmarkStart w:id="529" w:name="_Toc386467060"/>
      <w:bookmarkEnd w:id="529"/>
      <w:bookmarkStart w:id="530" w:name="_Toc393546314"/>
      <w:bookmarkEnd w:id="530"/>
      <w:bookmarkStart w:id="531" w:name="_Toc6908"/>
      <w:r>
        <w:rPr>
          <w:rFonts w:hint="eastAsia" w:ascii="宋体" w:eastAsia="宋体"/>
          <w:color w:val="000000" w:themeColor="text1"/>
          <w:szCs w:val="24"/>
          <w:highlight w:val="none"/>
          <w14:textFill>
            <w14:solidFill>
              <w14:schemeClr w14:val="tx1"/>
            </w14:solidFill>
          </w14:textFill>
        </w:rPr>
        <w:t>4.11 不利物质条件</w:t>
      </w:r>
      <w:bookmarkEnd w:id="531"/>
    </w:p>
    <w:p w14:paraId="729E72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4.11.1 不利物质条件，除专用合同条款另有约定外，是指承包人在施工场地遇到的不可预见的自然物质条件、非自然的物质障碍和污染物，包括地下和水文条件，但不包括气候条件。</w:t>
      </w:r>
    </w:p>
    <w:p w14:paraId="7BD4BE4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3B237AF1">
      <w:pPr>
        <w:pStyle w:val="79"/>
        <w:rPr>
          <w:rFonts w:ascii="宋体" w:hAnsi="宋体"/>
          <w:color w:val="000000" w:themeColor="text1"/>
          <w:sz w:val="24"/>
          <w:szCs w:val="24"/>
          <w:highlight w:val="none"/>
          <w14:textFill>
            <w14:solidFill>
              <w14:schemeClr w14:val="tx1"/>
            </w14:solidFill>
          </w14:textFill>
        </w:rPr>
      </w:pPr>
      <w:bookmarkStart w:id="532" w:name="_Toc386467061"/>
      <w:bookmarkEnd w:id="532"/>
      <w:bookmarkStart w:id="533" w:name="_Toc393546315"/>
      <w:bookmarkEnd w:id="533"/>
      <w:bookmarkStart w:id="534" w:name="_Toc31828"/>
      <w:r>
        <w:rPr>
          <w:rFonts w:hint="eastAsia" w:ascii="宋体" w:hAnsi="宋体"/>
          <w:color w:val="000000" w:themeColor="text1"/>
          <w:sz w:val="24"/>
          <w:szCs w:val="24"/>
          <w:highlight w:val="none"/>
          <w14:textFill>
            <w14:solidFill>
              <w14:schemeClr w14:val="tx1"/>
            </w14:solidFill>
          </w14:textFill>
        </w:rPr>
        <w:t>5. 材料和工程设备</w:t>
      </w:r>
      <w:bookmarkEnd w:id="534"/>
    </w:p>
    <w:p w14:paraId="09538D83">
      <w:pPr>
        <w:pStyle w:val="68"/>
        <w:ind w:firstLine="118"/>
        <w:rPr>
          <w:rFonts w:ascii="宋体" w:eastAsia="宋体"/>
          <w:color w:val="000000" w:themeColor="text1"/>
          <w:szCs w:val="24"/>
          <w:highlight w:val="none"/>
          <w14:textFill>
            <w14:solidFill>
              <w14:schemeClr w14:val="tx1"/>
            </w14:solidFill>
          </w14:textFill>
        </w:rPr>
      </w:pPr>
      <w:bookmarkStart w:id="535" w:name="_Toc330406257"/>
      <w:bookmarkEnd w:id="535"/>
      <w:bookmarkStart w:id="536" w:name="_Toc179632670"/>
      <w:bookmarkEnd w:id="536"/>
      <w:bookmarkStart w:id="537" w:name="_Toc152045652"/>
      <w:bookmarkEnd w:id="537"/>
      <w:bookmarkStart w:id="538" w:name="_Toc393546316"/>
      <w:bookmarkEnd w:id="538"/>
      <w:bookmarkStart w:id="539" w:name="_Toc144974620"/>
      <w:bookmarkEnd w:id="539"/>
      <w:bookmarkStart w:id="540" w:name="_Toc386467062"/>
      <w:bookmarkEnd w:id="540"/>
      <w:bookmarkStart w:id="541" w:name="_Toc152042430"/>
      <w:bookmarkEnd w:id="541"/>
      <w:bookmarkStart w:id="542" w:name="_Toc31732"/>
      <w:r>
        <w:rPr>
          <w:rFonts w:hint="eastAsia" w:ascii="宋体" w:eastAsia="宋体"/>
          <w:color w:val="000000" w:themeColor="text1"/>
          <w:szCs w:val="24"/>
          <w:highlight w:val="none"/>
          <w14:textFill>
            <w14:solidFill>
              <w14:schemeClr w14:val="tx1"/>
            </w14:solidFill>
          </w14:textFill>
        </w:rPr>
        <w:t>5.1 承包人提供的材料和工程设备</w:t>
      </w:r>
      <w:bookmarkEnd w:id="542"/>
    </w:p>
    <w:p w14:paraId="4C4350D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5.1.1 除专用合同条款另有约定外，承包人提供的材料和工程设备均由承包人负责采购、运输和保管。承包人应对其采购的材料和工程设备负责。</w:t>
      </w:r>
    </w:p>
    <w:p w14:paraId="2C81CA2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5F12B10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7CBB62DA">
      <w:pPr>
        <w:pStyle w:val="68"/>
        <w:ind w:firstLine="118"/>
        <w:rPr>
          <w:rFonts w:ascii="宋体" w:eastAsia="宋体"/>
          <w:color w:val="000000" w:themeColor="text1"/>
          <w:szCs w:val="24"/>
          <w:highlight w:val="none"/>
          <w14:textFill>
            <w14:solidFill>
              <w14:schemeClr w14:val="tx1"/>
            </w14:solidFill>
          </w14:textFill>
        </w:rPr>
      </w:pPr>
      <w:bookmarkStart w:id="543" w:name="_Toc393546317"/>
      <w:bookmarkEnd w:id="543"/>
      <w:bookmarkStart w:id="544" w:name="_Toc386467063"/>
      <w:bookmarkEnd w:id="544"/>
      <w:bookmarkStart w:id="545" w:name="_Toc5455"/>
      <w:r>
        <w:rPr>
          <w:rFonts w:hint="eastAsia" w:ascii="宋体" w:eastAsia="宋体"/>
          <w:color w:val="000000" w:themeColor="text1"/>
          <w:szCs w:val="24"/>
          <w:highlight w:val="none"/>
          <w14:textFill>
            <w14:solidFill>
              <w14:schemeClr w14:val="tx1"/>
            </w14:solidFill>
          </w14:textFill>
        </w:rPr>
        <w:t>5.2 发包人提供的材料和工程设备</w:t>
      </w:r>
      <w:bookmarkEnd w:id="545"/>
    </w:p>
    <w:p w14:paraId="19F66D9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5.2.1 发包人提供的材料和工程设备，应在专用合同条款中写明材料和工程设备的名称、规格、数量、价格、交货方式、交货地点和计划交货日期等。</w:t>
      </w:r>
    </w:p>
    <w:p w14:paraId="0D3CF3C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5.2.2 承包人应根据合同进度计划的安排，向监理人报送要求发包人交货的日期计划。发包人应按照监理人与合同双方当事人商定的交货日期，向承包人提交材料和工程设备。</w:t>
      </w:r>
    </w:p>
    <w:p w14:paraId="478153F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3D59913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5.2.4 发包人要求向承包人提前交货的，承包人不得拒绝，但发包人应承担承包人由此增加的费用。 </w:t>
      </w:r>
    </w:p>
    <w:p w14:paraId="18AE4EE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5.2.5 承包人要求更改交货日期或地点的，应事先报请监理人批准。由于承包人要求更改交货时间或地点所增加的费用和（或）工期延误由承包人承担。 </w:t>
      </w:r>
    </w:p>
    <w:p w14:paraId="613EAEB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595EEE92">
      <w:pPr>
        <w:pStyle w:val="68"/>
        <w:ind w:firstLine="118"/>
        <w:rPr>
          <w:rFonts w:ascii="宋体" w:eastAsia="宋体"/>
          <w:color w:val="000000" w:themeColor="text1"/>
          <w:szCs w:val="24"/>
          <w:highlight w:val="none"/>
          <w14:textFill>
            <w14:solidFill>
              <w14:schemeClr w14:val="tx1"/>
            </w14:solidFill>
          </w14:textFill>
        </w:rPr>
      </w:pPr>
      <w:bookmarkStart w:id="546" w:name="_Toc330406259"/>
      <w:bookmarkEnd w:id="546"/>
      <w:bookmarkStart w:id="547" w:name="_Toc179632672"/>
      <w:bookmarkEnd w:id="547"/>
      <w:bookmarkStart w:id="548" w:name="_Toc152042432"/>
      <w:bookmarkEnd w:id="548"/>
      <w:bookmarkStart w:id="549" w:name="_Toc386467064"/>
      <w:bookmarkEnd w:id="549"/>
      <w:bookmarkStart w:id="550" w:name="_Toc152045654"/>
      <w:bookmarkEnd w:id="550"/>
      <w:bookmarkStart w:id="551" w:name="_Toc393546318"/>
      <w:bookmarkEnd w:id="551"/>
      <w:bookmarkStart w:id="552" w:name="_Toc144974622"/>
      <w:bookmarkEnd w:id="552"/>
      <w:bookmarkStart w:id="553" w:name="_Toc14076"/>
      <w:r>
        <w:rPr>
          <w:rFonts w:hint="eastAsia" w:ascii="宋体" w:eastAsia="宋体"/>
          <w:color w:val="000000" w:themeColor="text1"/>
          <w:szCs w:val="24"/>
          <w:highlight w:val="none"/>
          <w14:textFill>
            <w14:solidFill>
              <w14:schemeClr w14:val="tx1"/>
            </w14:solidFill>
          </w14:textFill>
        </w:rPr>
        <w:t>5.3 材料和工程设备专用于合同工程</w:t>
      </w:r>
      <w:bookmarkEnd w:id="553"/>
    </w:p>
    <w:p w14:paraId="28D447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5.3.1运入施工场地的材料、工程设备，包括备品备件、安装专用工器具与随机资料，必须专用于合同工程，未经监理人同意，承包人不得运出施工场地或挪作他用。</w:t>
      </w:r>
    </w:p>
    <w:p w14:paraId="12DF061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4892274">
      <w:pPr>
        <w:pStyle w:val="68"/>
        <w:ind w:firstLine="118"/>
        <w:rPr>
          <w:rFonts w:ascii="宋体" w:eastAsia="宋体"/>
          <w:color w:val="000000" w:themeColor="text1"/>
          <w:szCs w:val="24"/>
          <w:highlight w:val="none"/>
          <w14:textFill>
            <w14:solidFill>
              <w14:schemeClr w14:val="tx1"/>
            </w14:solidFill>
          </w14:textFill>
        </w:rPr>
      </w:pPr>
      <w:bookmarkStart w:id="554" w:name="_Toc179632673"/>
      <w:bookmarkEnd w:id="554"/>
      <w:bookmarkStart w:id="555" w:name="_Toc393546319"/>
      <w:bookmarkEnd w:id="555"/>
      <w:bookmarkStart w:id="556" w:name="_Toc386467065"/>
      <w:bookmarkEnd w:id="556"/>
      <w:bookmarkStart w:id="557" w:name="_Toc330406260"/>
      <w:bookmarkEnd w:id="557"/>
      <w:bookmarkStart w:id="558" w:name="_Toc144974623"/>
      <w:bookmarkEnd w:id="558"/>
      <w:bookmarkStart w:id="559" w:name="_Toc152042433"/>
      <w:bookmarkEnd w:id="559"/>
      <w:bookmarkStart w:id="560" w:name="_Toc152045655"/>
      <w:bookmarkEnd w:id="560"/>
      <w:bookmarkStart w:id="561" w:name="_Toc9576"/>
      <w:r>
        <w:rPr>
          <w:rFonts w:hint="eastAsia" w:ascii="宋体" w:eastAsia="宋体"/>
          <w:color w:val="000000" w:themeColor="text1"/>
          <w:szCs w:val="24"/>
          <w:highlight w:val="none"/>
          <w14:textFill>
            <w14:solidFill>
              <w14:schemeClr w14:val="tx1"/>
            </w14:solidFill>
          </w14:textFill>
        </w:rPr>
        <w:t>5.4 禁止使用不合格的材料和工程设备</w:t>
      </w:r>
      <w:bookmarkEnd w:id="561"/>
    </w:p>
    <w:p w14:paraId="63CA635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5.4.1 监理人有权拒绝承包人提供的不合格材料或工程设备，并要求承包人立即进行更换。监理人应在更换后再次进行检查和检验，由此增加的费用和（或）工期延误由承包人承担。</w:t>
      </w:r>
    </w:p>
    <w:p w14:paraId="6A8DA1A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5.4.2 监理人发现承包人使用了不合格的材料和工程设备，应即时发出指示要求承包人立即改正，并禁止在工程中继续使用不合格的材料和工程设备。</w:t>
      </w:r>
    </w:p>
    <w:p w14:paraId="3000606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5.4.3 发包人提供的材料或工程设备不符合合同要求的，承包人有权拒绝，并可要求发包人更换，由此增加的费用和（或）工期延误由发包人承担。</w:t>
      </w:r>
    </w:p>
    <w:p w14:paraId="47BF5696">
      <w:pPr>
        <w:pStyle w:val="79"/>
        <w:rPr>
          <w:rFonts w:ascii="宋体" w:hAnsi="宋体"/>
          <w:color w:val="000000" w:themeColor="text1"/>
          <w:sz w:val="24"/>
          <w:szCs w:val="24"/>
          <w:highlight w:val="none"/>
          <w14:textFill>
            <w14:solidFill>
              <w14:schemeClr w14:val="tx1"/>
            </w14:solidFill>
          </w14:textFill>
        </w:rPr>
      </w:pPr>
      <w:bookmarkStart w:id="562" w:name="_Toc386467066"/>
      <w:bookmarkEnd w:id="562"/>
      <w:bookmarkStart w:id="563" w:name="_Toc393546320"/>
      <w:bookmarkEnd w:id="563"/>
      <w:bookmarkStart w:id="564" w:name="_Toc18877"/>
      <w:r>
        <w:rPr>
          <w:rFonts w:hint="eastAsia" w:ascii="宋体" w:hAnsi="宋体"/>
          <w:color w:val="000000" w:themeColor="text1"/>
          <w:sz w:val="24"/>
          <w:szCs w:val="24"/>
          <w:highlight w:val="none"/>
          <w14:textFill>
            <w14:solidFill>
              <w14:schemeClr w14:val="tx1"/>
            </w14:solidFill>
          </w14:textFill>
        </w:rPr>
        <w:t>6. 施工设备和临时设施</w:t>
      </w:r>
      <w:bookmarkEnd w:id="564"/>
    </w:p>
    <w:p w14:paraId="778CC080">
      <w:pPr>
        <w:pStyle w:val="68"/>
        <w:ind w:firstLine="118"/>
        <w:rPr>
          <w:rFonts w:ascii="宋体" w:eastAsia="宋体"/>
          <w:color w:val="000000" w:themeColor="text1"/>
          <w:szCs w:val="24"/>
          <w:highlight w:val="none"/>
          <w14:textFill>
            <w14:solidFill>
              <w14:schemeClr w14:val="tx1"/>
            </w14:solidFill>
          </w14:textFill>
        </w:rPr>
      </w:pPr>
      <w:bookmarkStart w:id="565" w:name="_Toc386467067"/>
      <w:bookmarkEnd w:id="565"/>
      <w:bookmarkStart w:id="566" w:name="_Toc393546321"/>
      <w:bookmarkEnd w:id="566"/>
      <w:bookmarkStart w:id="567" w:name="_Toc4126"/>
      <w:r>
        <w:rPr>
          <w:rFonts w:hint="eastAsia" w:ascii="宋体" w:eastAsia="宋体"/>
          <w:color w:val="000000" w:themeColor="text1"/>
          <w:szCs w:val="24"/>
          <w:highlight w:val="none"/>
          <w14:textFill>
            <w14:solidFill>
              <w14:schemeClr w14:val="tx1"/>
            </w14:solidFill>
          </w14:textFill>
        </w:rPr>
        <w:t>6.1 承包人提供的施工设备和临时设施</w:t>
      </w:r>
      <w:bookmarkEnd w:id="567"/>
    </w:p>
    <w:p w14:paraId="1E9E71E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6.1.1 承包人应按合同进度计划的要求，及时配置施工设备和修建临时设施。进入施工场地的承包人设备需经监理人核查后才能投入使用。承包人更换合同约定的承包人设备的，应报监理人批准。</w:t>
      </w:r>
    </w:p>
    <w:p w14:paraId="3F5F2AB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6.1.2除专用合同条款另有约定外，承包人应自行承担修建临时设施的费用，需要临时占地的，应由发包人办理申请手续并承担相应费用。</w:t>
      </w:r>
    </w:p>
    <w:p w14:paraId="1CC1172F">
      <w:pPr>
        <w:pStyle w:val="68"/>
        <w:ind w:firstLine="118"/>
        <w:rPr>
          <w:rFonts w:ascii="宋体" w:eastAsia="宋体"/>
          <w:color w:val="000000" w:themeColor="text1"/>
          <w:szCs w:val="24"/>
          <w:highlight w:val="none"/>
          <w14:textFill>
            <w14:solidFill>
              <w14:schemeClr w14:val="tx1"/>
            </w14:solidFill>
          </w14:textFill>
        </w:rPr>
      </w:pPr>
      <w:bookmarkStart w:id="568" w:name="_Toc152042436"/>
      <w:bookmarkEnd w:id="568"/>
      <w:bookmarkStart w:id="569" w:name="_Toc386467068"/>
      <w:bookmarkEnd w:id="569"/>
      <w:bookmarkStart w:id="570" w:name="_Toc179632676"/>
      <w:bookmarkEnd w:id="570"/>
      <w:bookmarkStart w:id="571" w:name="_Toc330406263"/>
      <w:bookmarkEnd w:id="571"/>
      <w:bookmarkStart w:id="572" w:name="_Toc152045658"/>
      <w:bookmarkEnd w:id="572"/>
      <w:bookmarkStart w:id="573" w:name="_Toc393546322"/>
      <w:bookmarkEnd w:id="573"/>
      <w:bookmarkStart w:id="574" w:name="_Toc144974626"/>
      <w:bookmarkEnd w:id="574"/>
      <w:bookmarkStart w:id="575" w:name="_Toc23627"/>
      <w:r>
        <w:rPr>
          <w:rFonts w:hint="eastAsia" w:ascii="宋体" w:eastAsia="宋体"/>
          <w:color w:val="000000" w:themeColor="text1"/>
          <w:szCs w:val="24"/>
          <w:highlight w:val="none"/>
          <w14:textFill>
            <w14:solidFill>
              <w14:schemeClr w14:val="tx1"/>
            </w14:solidFill>
          </w14:textFill>
        </w:rPr>
        <w:t>6.2 发包人提供的施工设备和临时设施</w:t>
      </w:r>
      <w:bookmarkEnd w:id="575"/>
    </w:p>
    <w:p w14:paraId="518DE5F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发包人提供的施工设备或临时设施在专用合同条款中约定。</w:t>
      </w:r>
    </w:p>
    <w:p w14:paraId="57D1571F">
      <w:pPr>
        <w:pStyle w:val="68"/>
        <w:ind w:firstLine="118"/>
        <w:rPr>
          <w:rFonts w:ascii="宋体" w:eastAsia="宋体"/>
          <w:color w:val="000000" w:themeColor="text1"/>
          <w:szCs w:val="24"/>
          <w:highlight w:val="none"/>
          <w14:textFill>
            <w14:solidFill>
              <w14:schemeClr w14:val="tx1"/>
            </w14:solidFill>
          </w14:textFill>
        </w:rPr>
      </w:pPr>
      <w:bookmarkStart w:id="576" w:name="_Toc393546323"/>
      <w:bookmarkEnd w:id="576"/>
      <w:bookmarkStart w:id="577" w:name="_Toc386467069"/>
      <w:bookmarkEnd w:id="577"/>
      <w:bookmarkStart w:id="578" w:name="_Toc11649"/>
      <w:r>
        <w:rPr>
          <w:rFonts w:hint="eastAsia" w:ascii="宋体" w:eastAsia="宋体"/>
          <w:color w:val="000000" w:themeColor="text1"/>
          <w:szCs w:val="24"/>
          <w:highlight w:val="none"/>
          <w14:textFill>
            <w14:solidFill>
              <w14:schemeClr w14:val="tx1"/>
            </w14:solidFill>
          </w14:textFill>
        </w:rPr>
        <w:t>6.3 要求承包人增加或更换施工设备</w:t>
      </w:r>
      <w:bookmarkEnd w:id="578"/>
    </w:p>
    <w:p w14:paraId="675C07C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承包人使用的施工设备不能满足合同进度计划和（或）质量要求时，监理人有权要求承包人增加或更换施工设备，承包人应及时增加或更换，由此增加的费用和（或）工期延误由承包人承担。</w:t>
      </w:r>
    </w:p>
    <w:p w14:paraId="1470535C">
      <w:pPr>
        <w:pStyle w:val="68"/>
        <w:ind w:firstLine="118"/>
        <w:rPr>
          <w:rFonts w:ascii="宋体" w:eastAsia="宋体"/>
          <w:color w:val="000000" w:themeColor="text1"/>
          <w:szCs w:val="24"/>
          <w:highlight w:val="none"/>
          <w14:textFill>
            <w14:solidFill>
              <w14:schemeClr w14:val="tx1"/>
            </w14:solidFill>
          </w14:textFill>
        </w:rPr>
      </w:pPr>
      <w:bookmarkStart w:id="579" w:name="_Toc152042438"/>
      <w:bookmarkEnd w:id="579"/>
      <w:bookmarkStart w:id="580" w:name="_Toc330406265"/>
      <w:bookmarkEnd w:id="580"/>
      <w:bookmarkStart w:id="581" w:name="_Toc152045660"/>
      <w:bookmarkEnd w:id="581"/>
      <w:bookmarkStart w:id="582" w:name="_Toc179632678"/>
      <w:bookmarkEnd w:id="582"/>
      <w:bookmarkStart w:id="583" w:name="_Toc393546324"/>
      <w:bookmarkEnd w:id="583"/>
      <w:bookmarkStart w:id="584" w:name="_Toc144974628"/>
      <w:bookmarkEnd w:id="584"/>
      <w:bookmarkStart w:id="585" w:name="_Toc386467070"/>
      <w:bookmarkEnd w:id="585"/>
      <w:bookmarkStart w:id="586" w:name="_Toc7578"/>
      <w:r>
        <w:rPr>
          <w:rFonts w:hint="eastAsia" w:ascii="宋体" w:eastAsia="宋体"/>
          <w:color w:val="000000" w:themeColor="text1"/>
          <w:szCs w:val="24"/>
          <w:highlight w:val="none"/>
          <w14:textFill>
            <w14:solidFill>
              <w14:schemeClr w14:val="tx1"/>
            </w14:solidFill>
          </w14:textFill>
        </w:rPr>
        <w:t>6.4 施工设备和临时设施专用于合同工程</w:t>
      </w:r>
      <w:bookmarkEnd w:id="586"/>
    </w:p>
    <w:p w14:paraId="144FFD6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6.4.1除合同另有约定外，运入施工场地的所有施工设备以及在施工场地建设的临时设施应专用于合同工程。未经监理人同意，不得将上述施工设备和临时设施中的任何部分运出施工场地或挪作他用。</w:t>
      </w:r>
    </w:p>
    <w:p w14:paraId="3F8E6B3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6.4.2 经监理人同意，承包人可根据合同进度计划撤走闲置的施工设备。</w:t>
      </w:r>
    </w:p>
    <w:p w14:paraId="5E7D6FF9">
      <w:pPr>
        <w:pStyle w:val="79"/>
        <w:rPr>
          <w:rFonts w:ascii="宋体" w:hAnsi="宋体"/>
          <w:color w:val="000000" w:themeColor="text1"/>
          <w:sz w:val="24"/>
          <w:szCs w:val="24"/>
          <w:highlight w:val="none"/>
          <w14:textFill>
            <w14:solidFill>
              <w14:schemeClr w14:val="tx1"/>
            </w14:solidFill>
          </w14:textFill>
        </w:rPr>
      </w:pPr>
      <w:bookmarkStart w:id="587" w:name="_Toc386467071"/>
      <w:bookmarkEnd w:id="587"/>
      <w:bookmarkStart w:id="588" w:name="_Toc393546325"/>
      <w:bookmarkEnd w:id="588"/>
      <w:bookmarkStart w:id="589" w:name="_Toc21327"/>
      <w:r>
        <w:rPr>
          <w:rFonts w:hint="eastAsia" w:ascii="宋体" w:hAnsi="宋体"/>
          <w:color w:val="000000" w:themeColor="text1"/>
          <w:sz w:val="24"/>
          <w:szCs w:val="24"/>
          <w:highlight w:val="none"/>
          <w14:textFill>
            <w14:solidFill>
              <w14:schemeClr w14:val="tx1"/>
            </w14:solidFill>
          </w14:textFill>
        </w:rPr>
        <w:t>7. 交通运输</w:t>
      </w:r>
      <w:bookmarkEnd w:id="589"/>
    </w:p>
    <w:p w14:paraId="5DDC8E96">
      <w:pPr>
        <w:pStyle w:val="68"/>
        <w:ind w:firstLine="118"/>
        <w:rPr>
          <w:rFonts w:ascii="宋体" w:eastAsia="宋体"/>
          <w:color w:val="000000" w:themeColor="text1"/>
          <w:szCs w:val="24"/>
          <w:highlight w:val="none"/>
          <w14:textFill>
            <w14:solidFill>
              <w14:schemeClr w14:val="tx1"/>
            </w14:solidFill>
          </w14:textFill>
        </w:rPr>
      </w:pPr>
      <w:bookmarkStart w:id="590" w:name="_Toc393546326"/>
      <w:bookmarkEnd w:id="590"/>
      <w:bookmarkStart w:id="591" w:name="_Toc386467072"/>
      <w:bookmarkEnd w:id="591"/>
      <w:bookmarkStart w:id="592" w:name="_Toc19617"/>
      <w:r>
        <w:rPr>
          <w:rFonts w:hint="eastAsia" w:ascii="宋体" w:eastAsia="宋体"/>
          <w:color w:val="000000" w:themeColor="text1"/>
          <w:szCs w:val="24"/>
          <w:highlight w:val="none"/>
          <w14:textFill>
            <w14:solidFill>
              <w14:schemeClr w14:val="tx1"/>
            </w14:solidFill>
          </w14:textFill>
        </w:rPr>
        <w:t>7.1 道路通行权和场外设施</w:t>
      </w:r>
      <w:bookmarkEnd w:id="592"/>
    </w:p>
    <w:p w14:paraId="572F0E6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19DB2A16">
      <w:pPr>
        <w:pStyle w:val="68"/>
        <w:ind w:firstLine="118"/>
        <w:rPr>
          <w:rFonts w:ascii="宋体" w:eastAsia="宋体"/>
          <w:color w:val="000000" w:themeColor="text1"/>
          <w:szCs w:val="24"/>
          <w:highlight w:val="none"/>
          <w14:textFill>
            <w14:solidFill>
              <w14:schemeClr w14:val="tx1"/>
            </w14:solidFill>
          </w14:textFill>
        </w:rPr>
      </w:pPr>
      <w:bookmarkStart w:id="593" w:name="_Toc330406268"/>
      <w:bookmarkEnd w:id="593"/>
      <w:bookmarkStart w:id="594" w:name="_Toc144974631"/>
      <w:bookmarkEnd w:id="594"/>
      <w:bookmarkStart w:id="595" w:name="_Toc152045663"/>
      <w:bookmarkEnd w:id="595"/>
      <w:bookmarkStart w:id="596" w:name="_Toc152042441"/>
      <w:bookmarkEnd w:id="596"/>
      <w:bookmarkStart w:id="597" w:name="_Toc393546327"/>
      <w:bookmarkEnd w:id="597"/>
      <w:bookmarkStart w:id="598" w:name="_Toc386467073"/>
      <w:bookmarkEnd w:id="598"/>
      <w:bookmarkStart w:id="599" w:name="_Toc179632681"/>
      <w:bookmarkEnd w:id="599"/>
      <w:bookmarkStart w:id="600" w:name="_Toc19469"/>
      <w:r>
        <w:rPr>
          <w:rFonts w:hint="eastAsia" w:ascii="宋体" w:eastAsia="宋体"/>
          <w:color w:val="000000" w:themeColor="text1"/>
          <w:szCs w:val="24"/>
          <w:highlight w:val="none"/>
          <w14:textFill>
            <w14:solidFill>
              <w14:schemeClr w14:val="tx1"/>
            </w14:solidFill>
          </w14:textFill>
        </w:rPr>
        <w:t>7.2 场内施工道路</w:t>
      </w:r>
      <w:bookmarkEnd w:id="600"/>
    </w:p>
    <w:p w14:paraId="67C6863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7.2.1 除专用合同条款另有约定外，承包人应负责修建、维修、养护和管理施工所需的临时道路和交通设施，包括维修、养护和管理发包人提供的道路和交通设施，并承担相应费用。</w:t>
      </w:r>
    </w:p>
    <w:p w14:paraId="1C6C00E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7.2.2 除专用合同条款另有约定外，承包人修建的临时道路和交通设施应免费提供发包人和监理人使用。</w:t>
      </w:r>
    </w:p>
    <w:p w14:paraId="094B4351">
      <w:pPr>
        <w:pStyle w:val="68"/>
        <w:ind w:firstLine="118"/>
        <w:rPr>
          <w:rFonts w:ascii="宋体" w:eastAsia="宋体"/>
          <w:color w:val="000000" w:themeColor="text1"/>
          <w:szCs w:val="24"/>
          <w:highlight w:val="none"/>
          <w14:textFill>
            <w14:solidFill>
              <w14:schemeClr w14:val="tx1"/>
            </w14:solidFill>
          </w14:textFill>
        </w:rPr>
      </w:pPr>
      <w:bookmarkStart w:id="601" w:name="_Toc386467074"/>
      <w:bookmarkEnd w:id="601"/>
      <w:bookmarkStart w:id="602" w:name="_Toc144974632"/>
      <w:bookmarkEnd w:id="602"/>
      <w:bookmarkStart w:id="603" w:name="_Toc393546328"/>
      <w:bookmarkEnd w:id="603"/>
      <w:bookmarkStart w:id="604" w:name="_Toc330406269"/>
      <w:bookmarkEnd w:id="604"/>
      <w:bookmarkStart w:id="605" w:name="_Toc179632682"/>
      <w:bookmarkEnd w:id="605"/>
      <w:bookmarkStart w:id="606" w:name="_Toc152045664"/>
      <w:bookmarkEnd w:id="606"/>
      <w:bookmarkStart w:id="607" w:name="_Toc152042442"/>
      <w:bookmarkEnd w:id="607"/>
      <w:bookmarkStart w:id="608" w:name="_Toc7057"/>
      <w:r>
        <w:rPr>
          <w:rFonts w:hint="eastAsia" w:ascii="宋体" w:eastAsia="宋体"/>
          <w:color w:val="000000" w:themeColor="text1"/>
          <w:szCs w:val="24"/>
          <w:highlight w:val="none"/>
          <w14:textFill>
            <w14:solidFill>
              <w14:schemeClr w14:val="tx1"/>
            </w14:solidFill>
          </w14:textFill>
        </w:rPr>
        <w:t>7.3 场外交通</w:t>
      </w:r>
      <w:bookmarkEnd w:id="608"/>
    </w:p>
    <w:p w14:paraId="4AE9246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7.3.1 承包人车辆外出行驶所需的场外公共道路的通行费、养路费和税款等由承包人承担。</w:t>
      </w:r>
    </w:p>
    <w:p w14:paraId="7871B04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7.3.2 承包人应遵守有关交通法规，严格按照道路和桥梁的限制荷重安全行驶，并服从交通管理部门的检查和监督。</w:t>
      </w:r>
    </w:p>
    <w:p w14:paraId="656BCA67">
      <w:pPr>
        <w:pStyle w:val="68"/>
        <w:ind w:firstLine="118"/>
        <w:rPr>
          <w:rFonts w:ascii="宋体" w:eastAsia="宋体"/>
          <w:color w:val="000000" w:themeColor="text1"/>
          <w:szCs w:val="24"/>
          <w:highlight w:val="none"/>
          <w14:textFill>
            <w14:solidFill>
              <w14:schemeClr w14:val="tx1"/>
            </w14:solidFill>
          </w14:textFill>
        </w:rPr>
      </w:pPr>
      <w:bookmarkStart w:id="609" w:name="_Toc179632683"/>
      <w:bookmarkEnd w:id="609"/>
      <w:bookmarkStart w:id="610" w:name="_Toc144974633"/>
      <w:bookmarkEnd w:id="610"/>
      <w:bookmarkStart w:id="611" w:name="_Toc152042443"/>
      <w:bookmarkEnd w:id="611"/>
      <w:bookmarkStart w:id="612" w:name="_Toc330406270"/>
      <w:bookmarkEnd w:id="612"/>
      <w:bookmarkStart w:id="613" w:name="_Toc386467075"/>
      <w:bookmarkEnd w:id="613"/>
      <w:bookmarkStart w:id="614" w:name="_Toc152045665"/>
      <w:bookmarkEnd w:id="614"/>
      <w:bookmarkStart w:id="615" w:name="_Toc393546329"/>
      <w:bookmarkEnd w:id="615"/>
      <w:bookmarkStart w:id="616" w:name="_Toc21473"/>
      <w:r>
        <w:rPr>
          <w:rFonts w:hint="eastAsia" w:ascii="宋体" w:eastAsia="宋体"/>
          <w:color w:val="000000" w:themeColor="text1"/>
          <w:szCs w:val="24"/>
          <w:highlight w:val="none"/>
          <w14:textFill>
            <w14:solidFill>
              <w14:schemeClr w14:val="tx1"/>
            </w14:solidFill>
          </w14:textFill>
        </w:rPr>
        <w:t>7.4 超大件和超重件的运输</w:t>
      </w:r>
      <w:bookmarkEnd w:id="616"/>
    </w:p>
    <w:p w14:paraId="0667C0A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317FE89F">
      <w:pPr>
        <w:pStyle w:val="68"/>
        <w:ind w:firstLine="118"/>
        <w:rPr>
          <w:rFonts w:ascii="宋体" w:eastAsia="宋体"/>
          <w:color w:val="000000" w:themeColor="text1"/>
          <w:szCs w:val="24"/>
          <w:highlight w:val="none"/>
          <w14:textFill>
            <w14:solidFill>
              <w14:schemeClr w14:val="tx1"/>
            </w14:solidFill>
          </w14:textFill>
        </w:rPr>
      </w:pPr>
      <w:bookmarkStart w:id="617" w:name="_Toc179632684"/>
      <w:bookmarkEnd w:id="617"/>
      <w:bookmarkStart w:id="618" w:name="_Toc393546330"/>
      <w:bookmarkEnd w:id="618"/>
      <w:bookmarkStart w:id="619" w:name="_Toc152045666"/>
      <w:bookmarkEnd w:id="619"/>
      <w:bookmarkStart w:id="620" w:name="_Toc386467076"/>
      <w:bookmarkEnd w:id="620"/>
      <w:bookmarkStart w:id="621" w:name="_Toc330406271"/>
      <w:bookmarkEnd w:id="621"/>
      <w:bookmarkStart w:id="622" w:name="_Toc152042444"/>
      <w:bookmarkEnd w:id="622"/>
      <w:bookmarkStart w:id="623" w:name="_Toc144974634"/>
      <w:bookmarkEnd w:id="623"/>
      <w:bookmarkStart w:id="624" w:name="_Toc17866"/>
      <w:r>
        <w:rPr>
          <w:rFonts w:hint="eastAsia" w:ascii="宋体" w:eastAsia="宋体"/>
          <w:color w:val="000000" w:themeColor="text1"/>
          <w:szCs w:val="24"/>
          <w:highlight w:val="none"/>
          <w14:textFill>
            <w14:solidFill>
              <w14:schemeClr w14:val="tx1"/>
            </w14:solidFill>
          </w14:textFill>
        </w:rPr>
        <w:t>7.5 道路和桥梁的损坏责任</w:t>
      </w:r>
      <w:bookmarkEnd w:id="624"/>
    </w:p>
    <w:p w14:paraId="6DE8DE5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因承包人运输造成施工场地内外公共道路和桥梁损坏的，由承包人承担修复损坏的全部费用和可能引起的赔偿。</w:t>
      </w:r>
    </w:p>
    <w:p w14:paraId="025BCEFC">
      <w:pPr>
        <w:pStyle w:val="68"/>
        <w:ind w:firstLine="118"/>
        <w:rPr>
          <w:rFonts w:ascii="宋体" w:eastAsia="宋体"/>
          <w:color w:val="000000" w:themeColor="text1"/>
          <w:szCs w:val="24"/>
          <w:highlight w:val="none"/>
          <w14:textFill>
            <w14:solidFill>
              <w14:schemeClr w14:val="tx1"/>
            </w14:solidFill>
          </w14:textFill>
        </w:rPr>
      </w:pPr>
      <w:bookmarkStart w:id="625" w:name="_Toc152045667"/>
      <w:bookmarkEnd w:id="625"/>
      <w:bookmarkStart w:id="626" w:name="_Toc144974635"/>
      <w:bookmarkEnd w:id="626"/>
      <w:bookmarkStart w:id="627" w:name="_Toc393546331"/>
      <w:bookmarkEnd w:id="627"/>
      <w:bookmarkStart w:id="628" w:name="_Toc330406272"/>
      <w:bookmarkEnd w:id="628"/>
      <w:bookmarkStart w:id="629" w:name="_Toc152042445"/>
      <w:bookmarkEnd w:id="629"/>
      <w:bookmarkStart w:id="630" w:name="_Toc179632685"/>
      <w:bookmarkEnd w:id="630"/>
      <w:bookmarkStart w:id="631" w:name="_Toc386467077"/>
      <w:bookmarkEnd w:id="631"/>
      <w:bookmarkStart w:id="632" w:name="_Toc12595"/>
      <w:r>
        <w:rPr>
          <w:rFonts w:hint="eastAsia" w:ascii="宋体" w:eastAsia="宋体"/>
          <w:color w:val="000000" w:themeColor="text1"/>
          <w:szCs w:val="24"/>
          <w:highlight w:val="none"/>
          <w14:textFill>
            <w14:solidFill>
              <w14:schemeClr w14:val="tx1"/>
            </w14:solidFill>
          </w14:textFill>
        </w:rPr>
        <w:t>7.6 水路和航空运输</w:t>
      </w:r>
      <w:bookmarkEnd w:id="632"/>
    </w:p>
    <w:p w14:paraId="5A298CF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本条上述各款的内容适用于水路运输和航空运输，其中“道路”一词的涵义包括河道、航线、船闸、机场、码头、堤防以及水路或航空运输中其他相似结构物；“车辆”一词的涵义包括船舶和飞机等。 </w:t>
      </w:r>
    </w:p>
    <w:p w14:paraId="4A4FC5DE">
      <w:pPr>
        <w:pStyle w:val="79"/>
        <w:rPr>
          <w:rFonts w:ascii="宋体" w:hAnsi="宋体"/>
          <w:color w:val="000000" w:themeColor="text1"/>
          <w:sz w:val="24"/>
          <w:szCs w:val="24"/>
          <w:highlight w:val="none"/>
          <w14:textFill>
            <w14:solidFill>
              <w14:schemeClr w14:val="tx1"/>
            </w14:solidFill>
          </w14:textFill>
        </w:rPr>
      </w:pPr>
      <w:bookmarkStart w:id="633" w:name="_Toc393546332"/>
      <w:bookmarkEnd w:id="633"/>
      <w:bookmarkStart w:id="634" w:name="_Toc386467078"/>
      <w:bookmarkEnd w:id="634"/>
      <w:bookmarkStart w:id="635" w:name="_Toc13943"/>
      <w:r>
        <w:rPr>
          <w:rFonts w:hint="eastAsia" w:ascii="宋体" w:hAnsi="宋体"/>
          <w:color w:val="000000" w:themeColor="text1"/>
          <w:sz w:val="24"/>
          <w:szCs w:val="24"/>
          <w:highlight w:val="none"/>
          <w14:textFill>
            <w14:solidFill>
              <w14:schemeClr w14:val="tx1"/>
            </w14:solidFill>
          </w14:textFill>
        </w:rPr>
        <w:t>8. 测量放线</w:t>
      </w:r>
      <w:bookmarkEnd w:id="635"/>
    </w:p>
    <w:p w14:paraId="45549108">
      <w:pPr>
        <w:pStyle w:val="68"/>
        <w:ind w:firstLine="118"/>
        <w:rPr>
          <w:rFonts w:ascii="宋体" w:eastAsia="宋体"/>
          <w:color w:val="000000" w:themeColor="text1"/>
          <w:szCs w:val="24"/>
          <w:highlight w:val="none"/>
          <w14:textFill>
            <w14:solidFill>
              <w14:schemeClr w14:val="tx1"/>
            </w14:solidFill>
          </w14:textFill>
        </w:rPr>
      </w:pPr>
      <w:bookmarkStart w:id="636" w:name="_Toc393546333"/>
      <w:bookmarkEnd w:id="636"/>
      <w:bookmarkStart w:id="637" w:name="_Toc179632687"/>
      <w:bookmarkEnd w:id="637"/>
      <w:bookmarkStart w:id="638" w:name="_Toc330406274"/>
      <w:bookmarkEnd w:id="638"/>
      <w:bookmarkStart w:id="639" w:name="_Toc152045669"/>
      <w:bookmarkEnd w:id="639"/>
      <w:bookmarkStart w:id="640" w:name="_Toc152042447"/>
      <w:bookmarkEnd w:id="640"/>
      <w:bookmarkStart w:id="641" w:name="_Toc386467079"/>
      <w:bookmarkEnd w:id="641"/>
      <w:bookmarkStart w:id="642" w:name="_Toc144974637"/>
      <w:bookmarkEnd w:id="642"/>
      <w:bookmarkStart w:id="643" w:name="_Toc28514"/>
      <w:r>
        <w:rPr>
          <w:rFonts w:hint="eastAsia" w:ascii="宋体" w:eastAsia="宋体"/>
          <w:color w:val="000000" w:themeColor="text1"/>
          <w:szCs w:val="24"/>
          <w:highlight w:val="none"/>
          <w14:textFill>
            <w14:solidFill>
              <w14:schemeClr w14:val="tx1"/>
            </w14:solidFill>
          </w14:textFill>
        </w:rPr>
        <w:t>8.1 施工控制网</w:t>
      </w:r>
      <w:bookmarkEnd w:id="643"/>
    </w:p>
    <w:p w14:paraId="4A6D1F9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554B5E1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8.1.2承包人应负责管理施工控制网点。施工控制网点丢失或损坏的，承包人应及时修复。承包人应承担施工控制网点的管理与修复费用，并在工程竣工后将施工控制网点移交发包人。</w:t>
      </w:r>
    </w:p>
    <w:p w14:paraId="10B42597">
      <w:pPr>
        <w:pStyle w:val="68"/>
        <w:ind w:firstLine="118"/>
        <w:rPr>
          <w:rFonts w:ascii="宋体" w:eastAsia="宋体"/>
          <w:color w:val="000000" w:themeColor="text1"/>
          <w:szCs w:val="24"/>
          <w:highlight w:val="none"/>
          <w14:textFill>
            <w14:solidFill>
              <w14:schemeClr w14:val="tx1"/>
            </w14:solidFill>
          </w14:textFill>
        </w:rPr>
      </w:pPr>
      <w:bookmarkStart w:id="644" w:name="_Toc152042448"/>
      <w:bookmarkEnd w:id="644"/>
      <w:bookmarkStart w:id="645" w:name="_Toc152045670"/>
      <w:bookmarkEnd w:id="645"/>
      <w:bookmarkStart w:id="646" w:name="_Toc179632688"/>
      <w:bookmarkEnd w:id="646"/>
      <w:bookmarkStart w:id="647" w:name="_Toc144974638"/>
      <w:bookmarkEnd w:id="647"/>
      <w:bookmarkStart w:id="648" w:name="_Toc393546334"/>
      <w:bookmarkEnd w:id="648"/>
      <w:bookmarkStart w:id="649" w:name="_Toc386467080"/>
      <w:bookmarkEnd w:id="649"/>
      <w:bookmarkStart w:id="650" w:name="_Toc330406275"/>
      <w:bookmarkEnd w:id="650"/>
      <w:bookmarkStart w:id="651" w:name="_Toc19695"/>
      <w:r>
        <w:rPr>
          <w:rFonts w:hint="eastAsia" w:ascii="宋体" w:eastAsia="宋体"/>
          <w:color w:val="000000" w:themeColor="text1"/>
          <w:szCs w:val="24"/>
          <w:highlight w:val="none"/>
          <w14:textFill>
            <w14:solidFill>
              <w14:schemeClr w14:val="tx1"/>
            </w14:solidFill>
          </w14:textFill>
        </w:rPr>
        <w:t>8.2 施工测量</w:t>
      </w:r>
      <w:bookmarkEnd w:id="651"/>
    </w:p>
    <w:p w14:paraId="31041E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8.2.1承包人应负责施工过程中的全部施工测量放线工作，并配置合格的人员、仪器、设备和其他物品。</w:t>
      </w:r>
    </w:p>
    <w:p w14:paraId="4287D8D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8.2.2监理人可以指示承包人进行抽样复测，当复测中发现错误或出现超过合同约定的误差时，承包人应按监理人指示进行修正或补测，并承担相应的复测费用。</w:t>
      </w:r>
    </w:p>
    <w:p w14:paraId="3F9F79AE">
      <w:pPr>
        <w:pStyle w:val="68"/>
        <w:ind w:firstLine="118"/>
        <w:rPr>
          <w:rFonts w:ascii="宋体" w:eastAsia="宋体"/>
          <w:color w:val="000000" w:themeColor="text1"/>
          <w:szCs w:val="24"/>
          <w:highlight w:val="none"/>
          <w14:textFill>
            <w14:solidFill>
              <w14:schemeClr w14:val="tx1"/>
            </w14:solidFill>
          </w14:textFill>
        </w:rPr>
      </w:pPr>
      <w:bookmarkStart w:id="652" w:name="_Toc152042449"/>
      <w:bookmarkEnd w:id="652"/>
      <w:bookmarkStart w:id="653" w:name="_Toc330406276"/>
      <w:bookmarkEnd w:id="653"/>
      <w:bookmarkStart w:id="654" w:name="_Toc393546335"/>
      <w:bookmarkEnd w:id="654"/>
      <w:bookmarkStart w:id="655" w:name="_Toc152045671"/>
      <w:bookmarkEnd w:id="655"/>
      <w:bookmarkStart w:id="656" w:name="_Toc386467081"/>
      <w:bookmarkEnd w:id="656"/>
      <w:bookmarkStart w:id="657" w:name="_Toc144974639"/>
      <w:bookmarkEnd w:id="657"/>
      <w:bookmarkStart w:id="658" w:name="_Toc179632689"/>
      <w:bookmarkEnd w:id="658"/>
      <w:bookmarkStart w:id="659" w:name="_Toc13324"/>
      <w:r>
        <w:rPr>
          <w:rFonts w:hint="eastAsia" w:ascii="宋体" w:eastAsia="宋体"/>
          <w:color w:val="000000" w:themeColor="text1"/>
          <w:szCs w:val="24"/>
          <w:highlight w:val="none"/>
          <w14:textFill>
            <w14:solidFill>
              <w14:schemeClr w14:val="tx1"/>
            </w14:solidFill>
          </w14:textFill>
        </w:rPr>
        <w:t>8.3 基准资料错误的责任</w:t>
      </w:r>
      <w:bookmarkEnd w:id="659"/>
    </w:p>
    <w:p w14:paraId="1757B1D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53F5D3D0">
      <w:pPr>
        <w:pStyle w:val="68"/>
        <w:ind w:firstLine="118"/>
        <w:rPr>
          <w:rFonts w:ascii="宋体" w:eastAsia="宋体"/>
          <w:color w:val="000000" w:themeColor="text1"/>
          <w:szCs w:val="24"/>
          <w:highlight w:val="none"/>
          <w14:textFill>
            <w14:solidFill>
              <w14:schemeClr w14:val="tx1"/>
            </w14:solidFill>
          </w14:textFill>
        </w:rPr>
      </w:pPr>
      <w:bookmarkStart w:id="660" w:name="_Toc386467082"/>
      <w:bookmarkEnd w:id="660"/>
      <w:bookmarkStart w:id="661" w:name="_Toc393546336"/>
      <w:bookmarkEnd w:id="661"/>
      <w:bookmarkStart w:id="662" w:name="_Toc30039"/>
      <w:r>
        <w:rPr>
          <w:rFonts w:hint="eastAsia" w:ascii="宋体" w:eastAsia="宋体"/>
          <w:color w:val="000000" w:themeColor="text1"/>
          <w:szCs w:val="24"/>
          <w:highlight w:val="none"/>
          <w14:textFill>
            <w14:solidFill>
              <w14:schemeClr w14:val="tx1"/>
            </w14:solidFill>
          </w14:textFill>
        </w:rPr>
        <w:t>8.4 监理人使用施工控制网</w:t>
      </w:r>
      <w:bookmarkEnd w:id="662"/>
    </w:p>
    <w:p w14:paraId="397D4C7E">
      <w:pPr>
        <w:spacing w:line="400" w:lineRule="exact"/>
        <w:ind w:firstLine="480" w:firstLineChars="200"/>
        <w:rPr>
          <w:rFonts w:ascii="宋体" w:hAnsi="宋体" w:cs="宋体"/>
          <w:dstrike/>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监理人需要使用施工控制网的，承包人应提供必要的协助，发包人不再为此支付费用。</w:t>
      </w:r>
    </w:p>
    <w:p w14:paraId="3384CB27">
      <w:pPr>
        <w:pStyle w:val="79"/>
        <w:rPr>
          <w:rFonts w:ascii="宋体" w:hAnsi="宋体"/>
          <w:color w:val="000000" w:themeColor="text1"/>
          <w:sz w:val="24"/>
          <w:szCs w:val="24"/>
          <w:highlight w:val="none"/>
          <w14:textFill>
            <w14:solidFill>
              <w14:schemeClr w14:val="tx1"/>
            </w14:solidFill>
          </w14:textFill>
        </w:rPr>
      </w:pPr>
      <w:bookmarkStart w:id="663" w:name="_Toc393546337"/>
      <w:bookmarkEnd w:id="663"/>
      <w:bookmarkStart w:id="664" w:name="_Toc386467083"/>
      <w:bookmarkEnd w:id="664"/>
      <w:bookmarkStart w:id="665" w:name="_Toc11200"/>
      <w:r>
        <w:rPr>
          <w:rFonts w:hint="eastAsia" w:ascii="宋体" w:hAnsi="宋体"/>
          <w:color w:val="000000" w:themeColor="text1"/>
          <w:sz w:val="24"/>
          <w:szCs w:val="24"/>
          <w:highlight w:val="none"/>
          <w14:textFill>
            <w14:solidFill>
              <w14:schemeClr w14:val="tx1"/>
            </w14:solidFill>
          </w14:textFill>
        </w:rPr>
        <w:t>9. 施工安全、治安保卫和环境保护</w:t>
      </w:r>
      <w:bookmarkEnd w:id="665"/>
    </w:p>
    <w:p w14:paraId="7D6C96D7">
      <w:pPr>
        <w:pStyle w:val="68"/>
        <w:ind w:firstLine="118"/>
        <w:rPr>
          <w:rFonts w:ascii="宋体" w:eastAsia="宋体"/>
          <w:color w:val="000000" w:themeColor="text1"/>
          <w:szCs w:val="24"/>
          <w:highlight w:val="none"/>
          <w14:textFill>
            <w14:solidFill>
              <w14:schemeClr w14:val="tx1"/>
            </w14:solidFill>
          </w14:textFill>
        </w:rPr>
      </w:pPr>
      <w:bookmarkStart w:id="666" w:name="_Toc386467084"/>
      <w:bookmarkEnd w:id="666"/>
      <w:bookmarkStart w:id="667" w:name="_Toc144974642"/>
      <w:bookmarkEnd w:id="667"/>
      <w:bookmarkStart w:id="668" w:name="_Toc152045674"/>
      <w:bookmarkEnd w:id="668"/>
      <w:bookmarkStart w:id="669" w:name="_Toc179632692"/>
      <w:bookmarkEnd w:id="669"/>
      <w:bookmarkStart w:id="670" w:name="_Toc330406279"/>
      <w:bookmarkEnd w:id="670"/>
      <w:bookmarkStart w:id="671" w:name="_Toc393546338"/>
      <w:bookmarkEnd w:id="671"/>
      <w:bookmarkStart w:id="672" w:name="_Toc152042452"/>
      <w:bookmarkEnd w:id="672"/>
      <w:bookmarkStart w:id="673" w:name="_Toc16151"/>
      <w:r>
        <w:rPr>
          <w:rFonts w:hint="eastAsia" w:ascii="宋体" w:eastAsia="宋体"/>
          <w:color w:val="000000" w:themeColor="text1"/>
          <w:szCs w:val="24"/>
          <w:highlight w:val="none"/>
          <w14:textFill>
            <w14:solidFill>
              <w14:schemeClr w14:val="tx1"/>
            </w14:solidFill>
          </w14:textFill>
        </w:rPr>
        <w:t>9.1 发包人的施工安全责任</w:t>
      </w:r>
      <w:bookmarkEnd w:id="673"/>
    </w:p>
    <w:p w14:paraId="2963E69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9.1.1 发包人应按合同约定履行安全职责，授权监理人按合同约定的安全工作内容监督、检查承包人安全工作的实施，组织承包人和有关单位进行安全检查。</w:t>
      </w:r>
    </w:p>
    <w:p w14:paraId="7C82A3B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9.1.2 发包人应对其现场机构雇佣的全部人员的工伤事故承担责任，但由于承包人原因造成发包人人员工伤的，应由承包人承担责任。</w:t>
      </w:r>
    </w:p>
    <w:p w14:paraId="2C28BD2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9.1.3 发包人应负责赔偿以下各种情况造成的第三者人身伤亡和财产损失：</w:t>
      </w:r>
    </w:p>
    <w:p w14:paraId="1890757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工程或工程的任何部分对土地的占用所造成的第三者财产损失；</w:t>
      </w:r>
    </w:p>
    <w:p w14:paraId="1321F85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由于发包人原因在施工场地及其毗邻地带造成的第三者人身伤亡和财产损失。</w:t>
      </w:r>
    </w:p>
    <w:p w14:paraId="5C84ECCF">
      <w:pPr>
        <w:pStyle w:val="68"/>
        <w:ind w:firstLine="118"/>
        <w:rPr>
          <w:rFonts w:ascii="宋体" w:eastAsia="宋体"/>
          <w:color w:val="000000" w:themeColor="text1"/>
          <w:szCs w:val="24"/>
          <w:highlight w:val="none"/>
          <w14:textFill>
            <w14:solidFill>
              <w14:schemeClr w14:val="tx1"/>
            </w14:solidFill>
          </w14:textFill>
        </w:rPr>
      </w:pPr>
      <w:bookmarkStart w:id="674" w:name="_Toc393546339"/>
      <w:bookmarkEnd w:id="674"/>
      <w:bookmarkStart w:id="675" w:name="_Toc386467085"/>
      <w:bookmarkEnd w:id="675"/>
      <w:bookmarkStart w:id="676" w:name="_Toc12560"/>
      <w:r>
        <w:rPr>
          <w:rFonts w:hint="eastAsia" w:ascii="宋体" w:eastAsia="宋体"/>
          <w:color w:val="000000" w:themeColor="text1"/>
          <w:szCs w:val="24"/>
          <w:highlight w:val="none"/>
          <w14:textFill>
            <w14:solidFill>
              <w14:schemeClr w14:val="tx1"/>
            </w14:solidFill>
          </w14:textFill>
        </w:rPr>
        <w:t>9.2 承包人的施工安全责任</w:t>
      </w:r>
      <w:bookmarkEnd w:id="676"/>
    </w:p>
    <w:p w14:paraId="7D7F47F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 承包人应按合同约定履行安全职责,执行监理人有关安全工作的指示,并在专用合同条款约定的期限内，按合同约定的安全工作内容，编制施工安全措施计划报送监理人审批。</w:t>
      </w:r>
    </w:p>
    <w:p w14:paraId="7AA2198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9.2.2 承包人应加强施工作业安全管理，特别应加强易燃、易爆材料、火工器材、有毒与腐蚀性材料和其他危险品的管理，以及对爆破作业和地下工程施工等危险作业的管理。</w:t>
      </w:r>
    </w:p>
    <w:p w14:paraId="00F887A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9.2.3 承包人应严格按照国家安全标准制定施工安全操作规程，配备必要的安全生产和劳动保护设施，加强对承包人人员的安全教育，并发放安全工作手册和劳动保护用具。</w:t>
      </w:r>
    </w:p>
    <w:p w14:paraId="3BD7E09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9.2.4 承包人应按监理人的指示制定应对灾害的紧急预案，报送监理人审批。承包人还应按预案做好安全检查，配置必要的救助物资和器材，切实保护好有关人员的人身和财产安全。</w:t>
      </w:r>
    </w:p>
    <w:p w14:paraId="75D9634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6AF63BE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9.2.6 承包人应对其履行合同所雇佣的全部人员，包括分包人人员的工伤事故承担责任，但由于发包人原因造成承包人人员工伤事故的，应由发包人承担责任。</w:t>
      </w:r>
    </w:p>
    <w:p w14:paraId="49EE79D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9.2.7 由于承包人原因在施工场地内及其毗邻地带造成的第三者人员伤亡和财产损失，由承包人负责赔偿。</w:t>
      </w:r>
    </w:p>
    <w:p w14:paraId="535FCD32">
      <w:pPr>
        <w:pStyle w:val="68"/>
        <w:ind w:firstLine="118"/>
        <w:rPr>
          <w:rFonts w:ascii="宋体" w:eastAsia="宋体"/>
          <w:color w:val="000000" w:themeColor="text1"/>
          <w:szCs w:val="24"/>
          <w:highlight w:val="none"/>
          <w14:textFill>
            <w14:solidFill>
              <w14:schemeClr w14:val="tx1"/>
            </w14:solidFill>
          </w14:textFill>
        </w:rPr>
      </w:pPr>
      <w:bookmarkStart w:id="677" w:name="_Toc179632694"/>
      <w:bookmarkEnd w:id="677"/>
      <w:bookmarkStart w:id="678" w:name="_Toc152045676"/>
      <w:bookmarkEnd w:id="678"/>
      <w:bookmarkStart w:id="679" w:name="_Toc144974644"/>
      <w:bookmarkEnd w:id="679"/>
      <w:bookmarkStart w:id="680" w:name="_Toc386467086"/>
      <w:bookmarkEnd w:id="680"/>
      <w:bookmarkStart w:id="681" w:name="_Toc330406281"/>
      <w:bookmarkEnd w:id="681"/>
      <w:bookmarkStart w:id="682" w:name="_Toc393546340"/>
      <w:bookmarkEnd w:id="682"/>
      <w:bookmarkStart w:id="683" w:name="_Toc152042454"/>
      <w:bookmarkEnd w:id="683"/>
      <w:bookmarkStart w:id="684" w:name="_Toc10264"/>
      <w:r>
        <w:rPr>
          <w:rFonts w:hint="eastAsia" w:ascii="宋体" w:eastAsia="宋体"/>
          <w:color w:val="000000" w:themeColor="text1"/>
          <w:szCs w:val="24"/>
          <w:highlight w:val="none"/>
          <w14:textFill>
            <w14:solidFill>
              <w14:schemeClr w14:val="tx1"/>
            </w14:solidFill>
          </w14:textFill>
        </w:rPr>
        <w:t>9.3 治安保卫</w:t>
      </w:r>
      <w:bookmarkEnd w:id="684"/>
    </w:p>
    <w:p w14:paraId="768D816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9.3.1 除合同另有约定外，发包人应与当地公安部门协商，在现场建立治安管理机构或联防组织，统一管理施工场地的治安保卫事项，履行合同工程的治安保卫职责。</w:t>
      </w:r>
    </w:p>
    <w:p w14:paraId="0A9FE01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9.3.2 发包人和承包人除应协助现场治安管理机构或联防组织维护施工场地的社会治安外，还应做好包括生活区在内的各自管辖区的治安保卫工作。</w:t>
      </w:r>
    </w:p>
    <w:p w14:paraId="4CD24EC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C6F439E">
      <w:pPr>
        <w:pStyle w:val="68"/>
        <w:ind w:firstLine="118"/>
        <w:rPr>
          <w:rFonts w:ascii="宋体" w:eastAsia="宋体"/>
          <w:color w:val="000000" w:themeColor="text1"/>
          <w:szCs w:val="24"/>
          <w:highlight w:val="none"/>
          <w14:textFill>
            <w14:solidFill>
              <w14:schemeClr w14:val="tx1"/>
            </w14:solidFill>
          </w14:textFill>
        </w:rPr>
      </w:pPr>
      <w:bookmarkStart w:id="685" w:name="_Toc393546341"/>
      <w:bookmarkEnd w:id="685"/>
      <w:bookmarkStart w:id="686" w:name="_Toc386467087"/>
      <w:bookmarkEnd w:id="686"/>
      <w:bookmarkStart w:id="687" w:name="_Toc10588"/>
      <w:r>
        <w:rPr>
          <w:rFonts w:hint="eastAsia" w:ascii="宋体" w:eastAsia="宋体"/>
          <w:color w:val="000000" w:themeColor="text1"/>
          <w:szCs w:val="24"/>
          <w:highlight w:val="none"/>
          <w14:textFill>
            <w14:solidFill>
              <w14:schemeClr w14:val="tx1"/>
            </w14:solidFill>
          </w14:textFill>
        </w:rPr>
        <w:t>9.4 环境保护</w:t>
      </w:r>
      <w:bookmarkEnd w:id="687"/>
    </w:p>
    <w:p w14:paraId="501670A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 承包人在施工过程中，应遵守有关环境保护的法律，履行合同约定的环境保护义务，并对违反法律和合同约定义务所造成的环境破坏、人身伤害和财产损失负责。</w:t>
      </w:r>
    </w:p>
    <w:p w14:paraId="617CA48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9.4.2 承包人应按合同约定的环保工作内容，编制施工环保措施计划，报送监理人审批。</w:t>
      </w:r>
    </w:p>
    <w:p w14:paraId="0882C5A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25AE741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9.4.4 承包人应按合同约定采取有效措施，对施工开挖的边坡及时进行支护,维护排水设施，并进行水土保护，避免因施工造成的地质灾害。</w:t>
      </w:r>
    </w:p>
    <w:p w14:paraId="33F9220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9.4.5 承包人应按国家饮用水管理标准定期对饮用水源进行监测，防止施工活动污染饮用水源。</w:t>
      </w:r>
    </w:p>
    <w:p w14:paraId="234B945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9.4.6 承包人应按合同约定，加强对噪声、粉尘、废气、废水和废油的控制，努力降低噪声，控制粉尘和废气浓度，做好废水和废油的治理和排放。</w:t>
      </w:r>
    </w:p>
    <w:p w14:paraId="43F700DD">
      <w:pPr>
        <w:pStyle w:val="68"/>
        <w:ind w:firstLine="118"/>
        <w:rPr>
          <w:rFonts w:ascii="宋体" w:eastAsia="宋体"/>
          <w:color w:val="000000" w:themeColor="text1"/>
          <w:szCs w:val="24"/>
          <w:highlight w:val="none"/>
          <w14:textFill>
            <w14:solidFill>
              <w14:schemeClr w14:val="tx1"/>
            </w14:solidFill>
          </w14:textFill>
        </w:rPr>
      </w:pPr>
      <w:bookmarkStart w:id="688" w:name="_Toc330406283"/>
      <w:bookmarkEnd w:id="688"/>
      <w:bookmarkStart w:id="689" w:name="_Toc144974646"/>
      <w:bookmarkEnd w:id="689"/>
      <w:bookmarkStart w:id="690" w:name="_Toc179632696"/>
      <w:bookmarkEnd w:id="690"/>
      <w:bookmarkStart w:id="691" w:name="_Toc152042456"/>
      <w:bookmarkEnd w:id="691"/>
      <w:bookmarkStart w:id="692" w:name="_Toc393546342"/>
      <w:bookmarkEnd w:id="692"/>
      <w:bookmarkStart w:id="693" w:name="_Toc386467088"/>
      <w:bookmarkEnd w:id="693"/>
      <w:bookmarkStart w:id="694" w:name="_Toc152045678"/>
      <w:bookmarkEnd w:id="694"/>
      <w:bookmarkStart w:id="695" w:name="_Toc19181"/>
      <w:r>
        <w:rPr>
          <w:rFonts w:hint="eastAsia" w:ascii="宋体" w:eastAsia="宋体"/>
          <w:color w:val="000000" w:themeColor="text1"/>
          <w:szCs w:val="24"/>
          <w:highlight w:val="none"/>
          <w14:textFill>
            <w14:solidFill>
              <w14:schemeClr w14:val="tx1"/>
            </w14:solidFill>
          </w14:textFill>
        </w:rPr>
        <w:t>9.5 事故处理</w:t>
      </w:r>
      <w:bookmarkEnd w:id="695"/>
    </w:p>
    <w:p w14:paraId="60D48BB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967A628">
      <w:pPr>
        <w:pStyle w:val="79"/>
        <w:rPr>
          <w:rFonts w:ascii="宋体" w:hAnsi="宋体"/>
          <w:color w:val="000000" w:themeColor="text1"/>
          <w:sz w:val="24"/>
          <w:szCs w:val="24"/>
          <w:highlight w:val="none"/>
          <w14:textFill>
            <w14:solidFill>
              <w14:schemeClr w14:val="tx1"/>
            </w14:solidFill>
          </w14:textFill>
        </w:rPr>
      </w:pPr>
      <w:bookmarkStart w:id="696" w:name="_Toc393546343"/>
      <w:bookmarkEnd w:id="696"/>
      <w:bookmarkStart w:id="697" w:name="_Toc386467089"/>
      <w:bookmarkEnd w:id="697"/>
      <w:bookmarkStart w:id="698" w:name="_Toc11470"/>
      <w:r>
        <w:rPr>
          <w:rFonts w:hint="eastAsia" w:ascii="宋体" w:hAnsi="宋体"/>
          <w:color w:val="000000" w:themeColor="text1"/>
          <w:sz w:val="24"/>
          <w:szCs w:val="24"/>
          <w:highlight w:val="none"/>
          <w14:textFill>
            <w14:solidFill>
              <w14:schemeClr w14:val="tx1"/>
            </w14:solidFill>
          </w14:textFill>
        </w:rPr>
        <w:t>10. 进度计划</w:t>
      </w:r>
      <w:bookmarkEnd w:id="698"/>
    </w:p>
    <w:p w14:paraId="137EC129">
      <w:pPr>
        <w:pStyle w:val="68"/>
        <w:ind w:firstLine="118"/>
        <w:rPr>
          <w:rFonts w:ascii="宋体" w:eastAsia="宋体"/>
          <w:color w:val="000000" w:themeColor="text1"/>
          <w:szCs w:val="24"/>
          <w:highlight w:val="none"/>
          <w14:textFill>
            <w14:solidFill>
              <w14:schemeClr w14:val="tx1"/>
            </w14:solidFill>
          </w14:textFill>
        </w:rPr>
      </w:pPr>
      <w:bookmarkStart w:id="699" w:name="_Toc393546344"/>
      <w:bookmarkEnd w:id="699"/>
      <w:bookmarkStart w:id="700" w:name="_Toc386467090"/>
      <w:bookmarkEnd w:id="700"/>
      <w:bookmarkStart w:id="701" w:name="_Toc20313"/>
      <w:r>
        <w:rPr>
          <w:rFonts w:hint="eastAsia" w:ascii="宋体" w:eastAsia="宋体"/>
          <w:color w:val="000000" w:themeColor="text1"/>
          <w:szCs w:val="24"/>
          <w:highlight w:val="none"/>
          <w14:textFill>
            <w14:solidFill>
              <w14:schemeClr w14:val="tx1"/>
            </w14:solidFill>
          </w14:textFill>
        </w:rPr>
        <w:t>10.1 合同进度计划</w:t>
      </w:r>
      <w:bookmarkEnd w:id="701"/>
    </w:p>
    <w:p w14:paraId="5812A6C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72D20E4B">
      <w:pPr>
        <w:pStyle w:val="68"/>
        <w:ind w:firstLine="118"/>
        <w:rPr>
          <w:rFonts w:ascii="宋体" w:eastAsia="宋体"/>
          <w:color w:val="000000" w:themeColor="text1"/>
          <w:szCs w:val="24"/>
          <w:highlight w:val="none"/>
          <w14:textFill>
            <w14:solidFill>
              <w14:schemeClr w14:val="tx1"/>
            </w14:solidFill>
          </w14:textFill>
        </w:rPr>
      </w:pPr>
      <w:bookmarkStart w:id="702" w:name="_Toc393546345"/>
      <w:bookmarkEnd w:id="702"/>
      <w:bookmarkStart w:id="703" w:name="_Toc386467091"/>
      <w:bookmarkEnd w:id="703"/>
      <w:bookmarkStart w:id="704" w:name="_Toc31584"/>
      <w:r>
        <w:rPr>
          <w:rFonts w:hint="eastAsia" w:ascii="宋体" w:eastAsia="宋体"/>
          <w:color w:val="000000" w:themeColor="text1"/>
          <w:szCs w:val="24"/>
          <w:highlight w:val="none"/>
          <w14:textFill>
            <w14:solidFill>
              <w14:schemeClr w14:val="tx1"/>
            </w14:solidFill>
          </w14:textFill>
        </w:rPr>
        <w:t>10.2 合同进度计划的修订</w:t>
      </w:r>
      <w:bookmarkEnd w:id="704"/>
    </w:p>
    <w:p w14:paraId="66A826A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36D7D824">
      <w:pPr>
        <w:pStyle w:val="79"/>
        <w:rPr>
          <w:rFonts w:ascii="宋体" w:hAnsi="宋体"/>
          <w:color w:val="000000" w:themeColor="text1"/>
          <w:sz w:val="24"/>
          <w:szCs w:val="24"/>
          <w:highlight w:val="none"/>
          <w14:textFill>
            <w14:solidFill>
              <w14:schemeClr w14:val="tx1"/>
            </w14:solidFill>
          </w14:textFill>
        </w:rPr>
      </w:pPr>
      <w:bookmarkStart w:id="705" w:name="_Toc393546346"/>
      <w:bookmarkEnd w:id="705"/>
      <w:bookmarkStart w:id="706" w:name="_Toc386467092"/>
      <w:bookmarkEnd w:id="706"/>
      <w:bookmarkStart w:id="707" w:name="_Toc14276"/>
      <w:r>
        <w:rPr>
          <w:rFonts w:hint="eastAsia" w:ascii="宋体" w:hAnsi="宋体"/>
          <w:color w:val="000000" w:themeColor="text1"/>
          <w:sz w:val="24"/>
          <w:szCs w:val="24"/>
          <w:highlight w:val="none"/>
          <w14:textFill>
            <w14:solidFill>
              <w14:schemeClr w14:val="tx1"/>
            </w14:solidFill>
          </w14:textFill>
        </w:rPr>
        <w:t>11. 开工和竣工</w:t>
      </w:r>
      <w:bookmarkEnd w:id="707"/>
    </w:p>
    <w:p w14:paraId="5A66840A">
      <w:pPr>
        <w:pStyle w:val="68"/>
        <w:ind w:firstLine="118"/>
        <w:rPr>
          <w:rFonts w:ascii="宋体" w:eastAsia="宋体"/>
          <w:color w:val="000000" w:themeColor="text1"/>
          <w:szCs w:val="24"/>
          <w:highlight w:val="none"/>
          <w14:textFill>
            <w14:solidFill>
              <w14:schemeClr w14:val="tx1"/>
            </w14:solidFill>
          </w14:textFill>
        </w:rPr>
      </w:pPr>
      <w:bookmarkStart w:id="708" w:name="_Toc386467093"/>
      <w:bookmarkEnd w:id="708"/>
      <w:bookmarkStart w:id="709" w:name="_Toc393546347"/>
      <w:bookmarkEnd w:id="709"/>
      <w:bookmarkStart w:id="710" w:name="_Toc3809"/>
      <w:r>
        <w:rPr>
          <w:rFonts w:hint="eastAsia" w:ascii="宋体" w:eastAsia="宋体"/>
          <w:color w:val="000000" w:themeColor="text1"/>
          <w:szCs w:val="24"/>
          <w:highlight w:val="none"/>
          <w14:textFill>
            <w14:solidFill>
              <w14:schemeClr w14:val="tx1"/>
            </w14:solidFill>
          </w14:textFill>
        </w:rPr>
        <w:t>11.1 开工</w:t>
      </w:r>
      <w:bookmarkEnd w:id="710"/>
    </w:p>
    <w:p w14:paraId="63AB44D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 监理人应在开工日期7天前向承包人发出开工通知。监理人在发出开工通知前应获得发包人同意。工期自监理人发出的开工通知中载明的开工日期起计算。承包人应在开工日期后尽快施工。</w:t>
      </w:r>
    </w:p>
    <w:p w14:paraId="4359732E">
      <w:pPr>
        <w:spacing w:line="400" w:lineRule="exact"/>
        <w:ind w:firstLine="480" w:firstLineChars="200"/>
        <w:rPr>
          <w:rFonts w:ascii="宋体" w:hAnsi="宋体" w:cs="宋体"/>
          <w:color w:val="000000" w:themeColor="text1"/>
          <w:sz w:val="24"/>
          <w:highlight w:val="none"/>
          <w:shd w:val="pct10" w:color="auto" w:fill="FFFFFF"/>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3EC58058">
      <w:pPr>
        <w:pStyle w:val="68"/>
        <w:ind w:firstLine="118"/>
        <w:rPr>
          <w:rFonts w:ascii="宋体" w:eastAsia="宋体"/>
          <w:color w:val="000000" w:themeColor="text1"/>
          <w:szCs w:val="24"/>
          <w:highlight w:val="none"/>
          <w14:textFill>
            <w14:solidFill>
              <w14:schemeClr w14:val="tx1"/>
            </w14:solidFill>
          </w14:textFill>
        </w:rPr>
      </w:pPr>
      <w:bookmarkStart w:id="711" w:name="_Toc179632702"/>
      <w:bookmarkEnd w:id="711"/>
      <w:bookmarkStart w:id="712" w:name="_Toc386467094"/>
      <w:bookmarkEnd w:id="712"/>
      <w:bookmarkStart w:id="713" w:name="_Toc152042462"/>
      <w:bookmarkEnd w:id="713"/>
      <w:bookmarkStart w:id="714" w:name="_Toc330406289"/>
      <w:bookmarkEnd w:id="714"/>
      <w:bookmarkStart w:id="715" w:name="_Toc144974652"/>
      <w:bookmarkEnd w:id="715"/>
      <w:bookmarkStart w:id="716" w:name="_Toc393546348"/>
      <w:bookmarkEnd w:id="716"/>
      <w:bookmarkStart w:id="717" w:name="_Toc152045684"/>
      <w:bookmarkEnd w:id="717"/>
      <w:bookmarkStart w:id="718" w:name="_Toc15264"/>
      <w:r>
        <w:rPr>
          <w:rFonts w:hint="eastAsia" w:ascii="宋体" w:eastAsia="宋体"/>
          <w:color w:val="000000" w:themeColor="text1"/>
          <w:szCs w:val="24"/>
          <w:highlight w:val="none"/>
          <w14:textFill>
            <w14:solidFill>
              <w14:schemeClr w14:val="tx1"/>
            </w14:solidFill>
          </w14:textFill>
        </w:rPr>
        <w:t>11.2 竣工</w:t>
      </w:r>
      <w:bookmarkEnd w:id="718"/>
    </w:p>
    <w:p w14:paraId="662E5E2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承包人应在第1.1.4.3目约定的期限内完成合同工程。实际竣工日期在接收证书中写明。</w:t>
      </w:r>
    </w:p>
    <w:p w14:paraId="264D12B6">
      <w:pPr>
        <w:pStyle w:val="68"/>
        <w:ind w:firstLine="118"/>
        <w:rPr>
          <w:rFonts w:ascii="宋体" w:eastAsia="宋体"/>
          <w:color w:val="000000" w:themeColor="text1"/>
          <w:szCs w:val="24"/>
          <w:highlight w:val="none"/>
          <w14:textFill>
            <w14:solidFill>
              <w14:schemeClr w14:val="tx1"/>
            </w14:solidFill>
          </w14:textFill>
        </w:rPr>
      </w:pPr>
      <w:bookmarkStart w:id="719" w:name="_Toc386467095"/>
      <w:bookmarkEnd w:id="719"/>
      <w:bookmarkStart w:id="720" w:name="_Toc393546349"/>
      <w:bookmarkEnd w:id="720"/>
      <w:bookmarkStart w:id="721" w:name="_Toc23123"/>
      <w:r>
        <w:rPr>
          <w:rFonts w:hint="eastAsia" w:ascii="宋体" w:eastAsia="宋体"/>
          <w:color w:val="000000" w:themeColor="text1"/>
          <w:szCs w:val="24"/>
          <w:highlight w:val="none"/>
          <w14:textFill>
            <w14:solidFill>
              <w14:schemeClr w14:val="tx1"/>
            </w14:solidFill>
          </w14:textFill>
        </w:rPr>
        <w:t>11.3 发包人的工期延误</w:t>
      </w:r>
      <w:bookmarkEnd w:id="721"/>
    </w:p>
    <w:p w14:paraId="0C8FCDB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在履行合同过程中，由于发包人的下列原因造成工期延误的，承包人有权要求发包人延长工期和（或）增加费用，并支付合理利润。需要修订合同进度计划的，按照第10.2款的约定办理。</w:t>
      </w:r>
    </w:p>
    <w:p w14:paraId="3507D5F0">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（1）增加合同工作内容；</w:t>
      </w:r>
    </w:p>
    <w:p w14:paraId="54C3B8CE">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（2）改变合同中任何一项工作的质量要求或其他特性；</w:t>
      </w:r>
    </w:p>
    <w:p w14:paraId="49C1F31D">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（3）发包人迟延提供材料、工程设备或变更交货地点的；</w:t>
      </w:r>
    </w:p>
    <w:p w14:paraId="576D310A">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（4）因发包人原因导致的暂停施工；</w:t>
      </w:r>
    </w:p>
    <w:p w14:paraId="686230C8">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（5）提供图纸延误；</w:t>
      </w:r>
    </w:p>
    <w:p w14:paraId="521EAA57">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（6）未按合同约定及时支付预付款、进度款；</w:t>
      </w:r>
    </w:p>
    <w:p w14:paraId="65E69664">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（7）发包人造成工期延误的其他原因。</w:t>
      </w:r>
    </w:p>
    <w:p w14:paraId="4561BED5">
      <w:pPr>
        <w:pStyle w:val="68"/>
        <w:ind w:firstLine="118"/>
        <w:rPr>
          <w:rFonts w:ascii="宋体" w:eastAsia="宋体"/>
          <w:color w:val="000000" w:themeColor="text1"/>
          <w:szCs w:val="24"/>
          <w:highlight w:val="none"/>
          <w14:textFill>
            <w14:solidFill>
              <w14:schemeClr w14:val="tx1"/>
            </w14:solidFill>
          </w14:textFill>
        </w:rPr>
      </w:pPr>
      <w:bookmarkStart w:id="722" w:name="_Toc386467096"/>
      <w:bookmarkEnd w:id="722"/>
      <w:bookmarkStart w:id="723" w:name="_Toc393546350"/>
      <w:bookmarkEnd w:id="723"/>
      <w:bookmarkStart w:id="724" w:name="_Toc7640"/>
      <w:r>
        <w:rPr>
          <w:rFonts w:hint="eastAsia" w:ascii="宋体" w:eastAsia="宋体"/>
          <w:color w:val="000000" w:themeColor="text1"/>
          <w:szCs w:val="24"/>
          <w:highlight w:val="none"/>
          <w14:textFill>
            <w14:solidFill>
              <w14:schemeClr w14:val="tx1"/>
            </w14:solidFill>
          </w14:textFill>
        </w:rPr>
        <w:t>11.4 异常恶劣的气候条件</w:t>
      </w:r>
      <w:bookmarkEnd w:id="724"/>
    </w:p>
    <w:p w14:paraId="77A2FAF7">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由于出现专用合同条款规定的异常恶劣气候的条件导致工期延误的，承包人有权要求发包人延长工期。</w:t>
      </w:r>
    </w:p>
    <w:p w14:paraId="6F43850B">
      <w:pPr>
        <w:pStyle w:val="68"/>
        <w:ind w:firstLine="118"/>
        <w:rPr>
          <w:rFonts w:ascii="宋体" w:eastAsia="宋体"/>
          <w:color w:val="000000" w:themeColor="text1"/>
          <w:szCs w:val="24"/>
          <w:highlight w:val="none"/>
          <w14:textFill>
            <w14:solidFill>
              <w14:schemeClr w14:val="tx1"/>
            </w14:solidFill>
          </w14:textFill>
        </w:rPr>
      </w:pPr>
      <w:bookmarkStart w:id="725" w:name="_Toc386467097"/>
      <w:bookmarkEnd w:id="725"/>
      <w:bookmarkStart w:id="726" w:name="_Toc393546351"/>
      <w:bookmarkEnd w:id="726"/>
      <w:bookmarkStart w:id="727" w:name="_Toc2335"/>
      <w:r>
        <w:rPr>
          <w:rFonts w:hint="eastAsia" w:ascii="宋体" w:eastAsia="宋体"/>
          <w:color w:val="000000" w:themeColor="text1"/>
          <w:szCs w:val="24"/>
          <w:highlight w:val="none"/>
          <w14:textFill>
            <w14:solidFill>
              <w14:schemeClr w14:val="tx1"/>
            </w14:solidFill>
          </w14:textFill>
        </w:rPr>
        <w:t>11.5 承包人的工期延误</w:t>
      </w:r>
      <w:bookmarkEnd w:id="727"/>
    </w:p>
    <w:p w14:paraId="3C44E21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122AAE74">
      <w:pPr>
        <w:pStyle w:val="68"/>
        <w:ind w:firstLine="118"/>
        <w:rPr>
          <w:rFonts w:ascii="宋体" w:eastAsia="宋体"/>
          <w:color w:val="000000" w:themeColor="text1"/>
          <w:szCs w:val="24"/>
          <w:highlight w:val="none"/>
          <w14:textFill>
            <w14:solidFill>
              <w14:schemeClr w14:val="tx1"/>
            </w14:solidFill>
          </w14:textFill>
        </w:rPr>
      </w:pPr>
      <w:bookmarkStart w:id="728" w:name="_Toc393546352"/>
      <w:bookmarkEnd w:id="728"/>
      <w:bookmarkStart w:id="729" w:name="_Toc386467098"/>
      <w:bookmarkEnd w:id="729"/>
      <w:bookmarkStart w:id="730" w:name="_Toc10164"/>
      <w:r>
        <w:rPr>
          <w:rFonts w:hint="eastAsia" w:ascii="宋体" w:eastAsia="宋体"/>
          <w:color w:val="000000" w:themeColor="text1"/>
          <w:szCs w:val="24"/>
          <w:highlight w:val="none"/>
          <w14:textFill>
            <w14:solidFill>
              <w14:schemeClr w14:val="tx1"/>
            </w14:solidFill>
          </w14:textFill>
        </w:rPr>
        <w:t>11.6 工期提前</w:t>
      </w:r>
      <w:bookmarkEnd w:id="730"/>
    </w:p>
    <w:p w14:paraId="6DF0E60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40DC7F3D">
      <w:pPr>
        <w:pStyle w:val="79"/>
        <w:rPr>
          <w:rFonts w:ascii="宋体" w:hAnsi="宋体"/>
          <w:color w:val="000000" w:themeColor="text1"/>
          <w:sz w:val="24"/>
          <w:szCs w:val="24"/>
          <w:highlight w:val="none"/>
          <w14:textFill>
            <w14:solidFill>
              <w14:schemeClr w14:val="tx1"/>
            </w14:solidFill>
          </w14:textFill>
        </w:rPr>
      </w:pPr>
      <w:bookmarkStart w:id="731" w:name="_Toc386467099"/>
      <w:bookmarkEnd w:id="731"/>
      <w:bookmarkStart w:id="732" w:name="_Toc393546353"/>
      <w:bookmarkEnd w:id="732"/>
      <w:bookmarkStart w:id="733" w:name="_Toc25834"/>
      <w:r>
        <w:rPr>
          <w:rFonts w:hint="eastAsia" w:ascii="宋体" w:hAnsi="宋体"/>
          <w:color w:val="000000" w:themeColor="text1"/>
          <w:sz w:val="24"/>
          <w:szCs w:val="24"/>
          <w:highlight w:val="none"/>
          <w14:textFill>
            <w14:solidFill>
              <w14:schemeClr w14:val="tx1"/>
            </w14:solidFill>
          </w14:textFill>
        </w:rPr>
        <w:t>12. 暂停施工</w:t>
      </w:r>
      <w:bookmarkEnd w:id="733"/>
    </w:p>
    <w:p w14:paraId="759C7D11">
      <w:pPr>
        <w:pStyle w:val="68"/>
        <w:ind w:firstLine="118"/>
        <w:rPr>
          <w:rFonts w:ascii="宋体" w:eastAsia="宋体"/>
          <w:color w:val="000000" w:themeColor="text1"/>
          <w:szCs w:val="24"/>
          <w:highlight w:val="none"/>
          <w14:textFill>
            <w14:solidFill>
              <w14:schemeClr w14:val="tx1"/>
            </w14:solidFill>
          </w14:textFill>
        </w:rPr>
      </w:pPr>
      <w:bookmarkStart w:id="734" w:name="_Toc386467100"/>
      <w:bookmarkEnd w:id="734"/>
      <w:bookmarkStart w:id="735" w:name="_Toc393546354"/>
      <w:bookmarkEnd w:id="735"/>
      <w:bookmarkStart w:id="736" w:name="_Toc29655"/>
      <w:r>
        <w:rPr>
          <w:rFonts w:hint="eastAsia" w:ascii="宋体" w:eastAsia="宋体"/>
          <w:color w:val="000000" w:themeColor="text1"/>
          <w:szCs w:val="24"/>
          <w:highlight w:val="none"/>
          <w14:textFill>
            <w14:solidFill>
              <w14:schemeClr w14:val="tx1"/>
            </w14:solidFill>
          </w14:textFill>
        </w:rPr>
        <w:t>12.1 承包人暂停施工的责任</w:t>
      </w:r>
      <w:bookmarkEnd w:id="736"/>
    </w:p>
    <w:p w14:paraId="08498E5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因下列暂停施工增加的费用和（或）工期延误由承包人承担：</w:t>
      </w:r>
    </w:p>
    <w:p w14:paraId="0ADD356A">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（1）承包人违约引起的暂停施工；</w:t>
      </w:r>
    </w:p>
    <w:p w14:paraId="67ADEF6B">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（2）由于承包人原因为工程合理施工和安全保障所必需的暂停施工；</w:t>
      </w:r>
    </w:p>
    <w:p w14:paraId="14CD7A26">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（3）承包人擅自暂停施工；</w:t>
      </w:r>
    </w:p>
    <w:p w14:paraId="3DE5A139">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（4）承包人其他原因引起的暂停施工；</w:t>
      </w:r>
    </w:p>
    <w:p w14:paraId="545CE3D8">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（5）专用合同条款约定由承包人承担的其他暂停施工。</w:t>
      </w:r>
    </w:p>
    <w:p w14:paraId="129A7794">
      <w:pPr>
        <w:pStyle w:val="68"/>
        <w:ind w:firstLine="118"/>
        <w:rPr>
          <w:rFonts w:ascii="宋体" w:eastAsia="宋体"/>
          <w:color w:val="000000" w:themeColor="text1"/>
          <w:szCs w:val="24"/>
          <w:highlight w:val="none"/>
          <w14:textFill>
            <w14:solidFill>
              <w14:schemeClr w14:val="tx1"/>
            </w14:solidFill>
          </w14:textFill>
        </w:rPr>
      </w:pPr>
      <w:bookmarkStart w:id="737" w:name="_Toc152042469"/>
      <w:bookmarkEnd w:id="737"/>
      <w:bookmarkStart w:id="738" w:name="_Toc144974660"/>
      <w:bookmarkEnd w:id="738"/>
      <w:bookmarkStart w:id="739" w:name="_Toc393546355"/>
      <w:bookmarkEnd w:id="739"/>
      <w:bookmarkStart w:id="740" w:name="_Toc152045691"/>
      <w:bookmarkEnd w:id="740"/>
      <w:bookmarkStart w:id="741" w:name="_Toc330406296"/>
      <w:bookmarkEnd w:id="741"/>
      <w:bookmarkStart w:id="742" w:name="_Toc179632709"/>
      <w:bookmarkEnd w:id="742"/>
      <w:bookmarkStart w:id="743" w:name="_Toc386467101"/>
      <w:bookmarkEnd w:id="743"/>
      <w:bookmarkStart w:id="744" w:name="_Toc32531"/>
      <w:r>
        <w:rPr>
          <w:rFonts w:hint="eastAsia" w:ascii="宋体" w:eastAsia="宋体"/>
          <w:color w:val="000000" w:themeColor="text1"/>
          <w:szCs w:val="24"/>
          <w:highlight w:val="none"/>
          <w14:textFill>
            <w14:solidFill>
              <w14:schemeClr w14:val="tx1"/>
            </w14:solidFill>
          </w14:textFill>
        </w:rPr>
        <w:t>12.2 发包人暂停施工的责任</w:t>
      </w:r>
      <w:bookmarkEnd w:id="744"/>
    </w:p>
    <w:p w14:paraId="7FD58E8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由于发包人原因引起的暂停施工造成工期延误的，承包人有权要求发包人延长工期和（或）增加费用，并支付合理利润。</w:t>
      </w:r>
    </w:p>
    <w:p w14:paraId="475CC71B">
      <w:pPr>
        <w:pStyle w:val="68"/>
        <w:ind w:firstLine="118"/>
        <w:rPr>
          <w:rFonts w:ascii="宋体" w:eastAsia="宋体"/>
          <w:color w:val="000000" w:themeColor="text1"/>
          <w:szCs w:val="24"/>
          <w:highlight w:val="none"/>
          <w14:textFill>
            <w14:solidFill>
              <w14:schemeClr w14:val="tx1"/>
            </w14:solidFill>
          </w14:textFill>
        </w:rPr>
      </w:pPr>
      <w:bookmarkStart w:id="745" w:name="_Toc152045692"/>
      <w:bookmarkEnd w:id="745"/>
      <w:bookmarkStart w:id="746" w:name="_Toc386467102"/>
      <w:bookmarkEnd w:id="746"/>
      <w:bookmarkStart w:id="747" w:name="_Toc144974661"/>
      <w:bookmarkEnd w:id="747"/>
      <w:bookmarkStart w:id="748" w:name="_Toc152042470"/>
      <w:bookmarkEnd w:id="748"/>
      <w:bookmarkStart w:id="749" w:name="_Toc393546356"/>
      <w:bookmarkEnd w:id="749"/>
      <w:bookmarkStart w:id="750" w:name="_Toc330406297"/>
      <w:bookmarkEnd w:id="750"/>
      <w:bookmarkStart w:id="751" w:name="_Toc179632710"/>
      <w:bookmarkEnd w:id="751"/>
      <w:bookmarkStart w:id="752" w:name="_Toc21063"/>
      <w:r>
        <w:rPr>
          <w:rFonts w:hint="eastAsia" w:ascii="宋体" w:eastAsia="宋体"/>
          <w:color w:val="000000" w:themeColor="text1"/>
          <w:szCs w:val="24"/>
          <w:highlight w:val="none"/>
          <w14:textFill>
            <w14:solidFill>
              <w14:schemeClr w14:val="tx1"/>
            </w14:solidFill>
          </w14:textFill>
        </w:rPr>
        <w:t>12.3 监理人暂停施工指示</w:t>
      </w:r>
      <w:bookmarkEnd w:id="752"/>
    </w:p>
    <w:p w14:paraId="1051C05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12.3.1 监理人认为有必要时，可向承包人作出暂停施工的指示，承包人应按监理人指示暂停施工。不论由于何种原因引起的暂停施工，暂停施工期间承包人应负责妥善保护工程并提供安全保障。</w:t>
      </w:r>
    </w:p>
    <w:p w14:paraId="74F4DED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593E67BF">
      <w:pPr>
        <w:pStyle w:val="68"/>
        <w:ind w:firstLine="118"/>
        <w:rPr>
          <w:rFonts w:ascii="宋体" w:eastAsia="宋体"/>
          <w:color w:val="000000" w:themeColor="text1"/>
          <w:szCs w:val="24"/>
          <w:highlight w:val="none"/>
          <w14:textFill>
            <w14:solidFill>
              <w14:schemeClr w14:val="tx1"/>
            </w14:solidFill>
          </w14:textFill>
        </w:rPr>
      </w:pPr>
      <w:bookmarkStart w:id="753" w:name="_Toc152045693"/>
      <w:bookmarkEnd w:id="753"/>
      <w:bookmarkStart w:id="754" w:name="_Toc152042471"/>
      <w:bookmarkEnd w:id="754"/>
      <w:bookmarkStart w:id="755" w:name="_Toc144974662"/>
      <w:bookmarkEnd w:id="755"/>
      <w:bookmarkStart w:id="756" w:name="_Toc393546357"/>
      <w:bookmarkEnd w:id="756"/>
      <w:bookmarkStart w:id="757" w:name="_Toc179632711"/>
      <w:bookmarkEnd w:id="757"/>
      <w:bookmarkStart w:id="758" w:name="_Toc330406298"/>
      <w:bookmarkEnd w:id="758"/>
      <w:bookmarkStart w:id="759" w:name="_Toc386467103"/>
      <w:bookmarkEnd w:id="759"/>
      <w:bookmarkStart w:id="760" w:name="_Toc25377"/>
      <w:r>
        <w:rPr>
          <w:rFonts w:hint="eastAsia" w:ascii="宋体" w:eastAsia="宋体"/>
          <w:color w:val="000000" w:themeColor="text1"/>
          <w:szCs w:val="24"/>
          <w:highlight w:val="none"/>
          <w14:textFill>
            <w14:solidFill>
              <w14:schemeClr w14:val="tx1"/>
            </w14:solidFill>
          </w14:textFill>
        </w:rPr>
        <w:t>12.4 暂停施工后的复工</w:t>
      </w:r>
      <w:bookmarkEnd w:id="760"/>
    </w:p>
    <w:p w14:paraId="3282084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7CBAD85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12.4.2 承包人无故拖延和拒绝复工的，由此增加的费用和工期延误由承包人承担；因发包人原因无法按时复工的，承包人有权要求发包人延长工期和（或）增加费用，并支付合理利润。</w:t>
      </w:r>
    </w:p>
    <w:p w14:paraId="248445C6">
      <w:pPr>
        <w:pStyle w:val="68"/>
        <w:ind w:firstLine="118"/>
        <w:rPr>
          <w:rFonts w:ascii="宋体" w:eastAsia="宋体"/>
          <w:color w:val="000000" w:themeColor="text1"/>
          <w:szCs w:val="24"/>
          <w:highlight w:val="none"/>
          <w14:textFill>
            <w14:solidFill>
              <w14:schemeClr w14:val="tx1"/>
            </w14:solidFill>
          </w14:textFill>
        </w:rPr>
      </w:pPr>
      <w:bookmarkStart w:id="761" w:name="_Toc179632712"/>
      <w:bookmarkEnd w:id="761"/>
      <w:bookmarkStart w:id="762" w:name="_Toc386467104"/>
      <w:bookmarkEnd w:id="762"/>
      <w:bookmarkStart w:id="763" w:name="_Toc152045694"/>
      <w:bookmarkEnd w:id="763"/>
      <w:bookmarkStart w:id="764" w:name="_Toc152042472"/>
      <w:bookmarkEnd w:id="764"/>
      <w:bookmarkStart w:id="765" w:name="_Toc393546358"/>
      <w:bookmarkEnd w:id="765"/>
      <w:bookmarkStart w:id="766" w:name="_Toc330406299"/>
      <w:bookmarkEnd w:id="766"/>
      <w:bookmarkStart w:id="767" w:name="_Toc144974663"/>
      <w:bookmarkEnd w:id="767"/>
      <w:bookmarkStart w:id="768" w:name="_Toc5536"/>
      <w:r>
        <w:rPr>
          <w:rFonts w:hint="eastAsia" w:ascii="宋体" w:eastAsia="宋体"/>
          <w:color w:val="000000" w:themeColor="text1"/>
          <w:szCs w:val="24"/>
          <w:highlight w:val="none"/>
          <w14:textFill>
            <w14:solidFill>
              <w14:schemeClr w14:val="tx1"/>
            </w14:solidFill>
          </w14:textFill>
        </w:rPr>
        <w:t>12.5 暂停施工持续56天以上</w:t>
      </w:r>
      <w:bookmarkEnd w:id="768"/>
    </w:p>
    <w:p w14:paraId="466B57BB">
      <w:pPr>
        <w:spacing w:line="40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28A966C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12.5.2 由于承包人责任引起的暂停施工，如承包人在收到监理人暂停施工指示后56天内不认真采取有效的复工措施，造成工期延误，可视为承包人违约，应按第22.1款的规定办理。</w:t>
      </w:r>
    </w:p>
    <w:p w14:paraId="271C2512">
      <w:pPr>
        <w:pStyle w:val="79"/>
        <w:rPr>
          <w:rFonts w:ascii="宋体" w:hAnsi="宋体"/>
          <w:color w:val="000000" w:themeColor="text1"/>
          <w:sz w:val="24"/>
          <w:szCs w:val="24"/>
          <w:highlight w:val="none"/>
          <w14:textFill>
            <w14:solidFill>
              <w14:schemeClr w14:val="tx1"/>
            </w14:solidFill>
          </w14:textFill>
        </w:rPr>
      </w:pPr>
      <w:bookmarkStart w:id="769" w:name="_Toc393546359"/>
      <w:bookmarkEnd w:id="769"/>
      <w:bookmarkStart w:id="770" w:name="_Toc386467105"/>
      <w:bookmarkEnd w:id="770"/>
      <w:bookmarkStart w:id="771" w:name="_Toc430"/>
      <w:r>
        <w:rPr>
          <w:rFonts w:hint="eastAsia" w:ascii="宋体" w:hAnsi="宋体"/>
          <w:color w:val="000000" w:themeColor="text1"/>
          <w:sz w:val="24"/>
          <w:szCs w:val="24"/>
          <w:highlight w:val="none"/>
          <w14:textFill>
            <w14:solidFill>
              <w14:schemeClr w14:val="tx1"/>
            </w14:solidFill>
          </w14:textFill>
        </w:rPr>
        <w:t>13. 工程质量</w:t>
      </w:r>
      <w:bookmarkEnd w:id="771"/>
    </w:p>
    <w:p w14:paraId="0A5DA5FC">
      <w:pPr>
        <w:pStyle w:val="68"/>
        <w:ind w:firstLine="118"/>
        <w:rPr>
          <w:rFonts w:ascii="宋体" w:eastAsia="宋体"/>
          <w:color w:val="000000" w:themeColor="text1"/>
          <w:szCs w:val="24"/>
          <w:highlight w:val="none"/>
          <w14:textFill>
            <w14:solidFill>
              <w14:schemeClr w14:val="tx1"/>
            </w14:solidFill>
          </w14:textFill>
        </w:rPr>
      </w:pPr>
      <w:bookmarkStart w:id="772" w:name="_Toc386467106"/>
      <w:bookmarkEnd w:id="772"/>
      <w:bookmarkStart w:id="773" w:name="_Toc393546360"/>
      <w:bookmarkEnd w:id="773"/>
      <w:bookmarkStart w:id="774" w:name="_Toc23256"/>
      <w:r>
        <w:rPr>
          <w:rFonts w:hint="eastAsia" w:ascii="宋体" w:eastAsia="宋体"/>
          <w:color w:val="000000" w:themeColor="text1"/>
          <w:szCs w:val="24"/>
          <w:highlight w:val="none"/>
          <w14:textFill>
            <w14:solidFill>
              <w14:schemeClr w14:val="tx1"/>
            </w14:solidFill>
          </w14:textFill>
        </w:rPr>
        <w:t>13.1 工程质量要求</w:t>
      </w:r>
      <w:bookmarkEnd w:id="774"/>
    </w:p>
    <w:p w14:paraId="6FCC0C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13.1.1 工程质量验收按合同约定验收标准执行。</w:t>
      </w:r>
    </w:p>
    <w:p w14:paraId="58AFA9A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13.1.2 因承包人原因造成工程质量达不到合同约定验收标准的，监理人有权要求承包人返工直至符合合同要求为止，由此造成的费用增加和（或）工期延误由承包人承担。</w:t>
      </w:r>
    </w:p>
    <w:p w14:paraId="5FFBF8C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13.1.3 因发包人原因造成工程质量达不到合同约定验收标准的，发包人应承担由于承包人返工造成的费用增加和（或）工期延误，并支付承包人合理利润。</w:t>
      </w:r>
    </w:p>
    <w:p w14:paraId="0767961E">
      <w:pPr>
        <w:pStyle w:val="68"/>
        <w:ind w:firstLine="118"/>
        <w:rPr>
          <w:rFonts w:ascii="宋体" w:eastAsia="宋体"/>
          <w:color w:val="000000" w:themeColor="text1"/>
          <w:szCs w:val="24"/>
          <w:highlight w:val="none"/>
          <w14:textFill>
            <w14:solidFill>
              <w14:schemeClr w14:val="tx1"/>
            </w14:solidFill>
          </w14:textFill>
        </w:rPr>
      </w:pPr>
      <w:bookmarkStart w:id="775" w:name="_Toc386467107"/>
      <w:bookmarkEnd w:id="775"/>
      <w:bookmarkStart w:id="776" w:name="_Toc393546361"/>
      <w:bookmarkEnd w:id="776"/>
      <w:bookmarkStart w:id="777" w:name="_Toc16267"/>
      <w:r>
        <w:rPr>
          <w:rFonts w:hint="eastAsia" w:ascii="宋体" w:eastAsia="宋体"/>
          <w:color w:val="000000" w:themeColor="text1"/>
          <w:szCs w:val="24"/>
          <w:highlight w:val="none"/>
          <w14:textFill>
            <w14:solidFill>
              <w14:schemeClr w14:val="tx1"/>
            </w14:solidFill>
          </w14:textFill>
        </w:rPr>
        <w:t>13.2 承包人的质量管理</w:t>
      </w:r>
      <w:bookmarkEnd w:id="777"/>
    </w:p>
    <w:p w14:paraId="100C414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4FEBDE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13.2.2 承包人应加强对施工人员的质量教育和技术培训，定期考核施工人员的劳动技能，严格执行规范和操作规程。</w:t>
      </w:r>
    </w:p>
    <w:p w14:paraId="05CBE7A4">
      <w:pPr>
        <w:pStyle w:val="68"/>
        <w:ind w:firstLine="118"/>
        <w:rPr>
          <w:rFonts w:ascii="宋体" w:eastAsia="宋体"/>
          <w:color w:val="000000" w:themeColor="text1"/>
          <w:szCs w:val="24"/>
          <w:highlight w:val="none"/>
          <w14:textFill>
            <w14:solidFill>
              <w14:schemeClr w14:val="tx1"/>
            </w14:solidFill>
          </w14:textFill>
        </w:rPr>
      </w:pPr>
      <w:bookmarkStart w:id="778" w:name="_Toc144974667"/>
      <w:bookmarkEnd w:id="778"/>
      <w:bookmarkStart w:id="779" w:name="_Toc152045698"/>
      <w:bookmarkEnd w:id="779"/>
      <w:bookmarkStart w:id="780" w:name="_Toc386467108"/>
      <w:bookmarkEnd w:id="780"/>
      <w:bookmarkStart w:id="781" w:name="_Toc179632716"/>
      <w:bookmarkEnd w:id="781"/>
      <w:bookmarkStart w:id="782" w:name="_Toc152042476"/>
      <w:bookmarkEnd w:id="782"/>
      <w:bookmarkStart w:id="783" w:name="_Toc393546362"/>
      <w:bookmarkEnd w:id="783"/>
      <w:bookmarkStart w:id="784" w:name="_Toc330406303"/>
      <w:bookmarkEnd w:id="784"/>
      <w:bookmarkStart w:id="785" w:name="_Toc10314"/>
      <w:r>
        <w:rPr>
          <w:rFonts w:hint="eastAsia" w:ascii="宋体" w:eastAsia="宋体"/>
          <w:color w:val="000000" w:themeColor="text1"/>
          <w:szCs w:val="24"/>
          <w:highlight w:val="none"/>
          <w14:textFill>
            <w14:solidFill>
              <w14:schemeClr w14:val="tx1"/>
            </w14:solidFill>
          </w14:textFill>
        </w:rPr>
        <w:t>13.3 承包人的质量检查</w:t>
      </w:r>
      <w:bookmarkEnd w:id="785"/>
    </w:p>
    <w:p w14:paraId="16ED1F9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承包人应按合同约定对材料、工程设备以及工程的所有部位及其施工工艺进行全过程的质量检查和检验，并作详细记录，编制工程质量报表，报送监理人审查。</w:t>
      </w:r>
    </w:p>
    <w:p w14:paraId="528F58A3">
      <w:pPr>
        <w:pStyle w:val="68"/>
        <w:ind w:firstLine="118"/>
        <w:rPr>
          <w:rFonts w:ascii="宋体" w:eastAsia="宋体"/>
          <w:color w:val="000000" w:themeColor="text1"/>
          <w:szCs w:val="24"/>
          <w:highlight w:val="none"/>
          <w14:textFill>
            <w14:solidFill>
              <w14:schemeClr w14:val="tx1"/>
            </w14:solidFill>
          </w14:textFill>
        </w:rPr>
      </w:pPr>
      <w:bookmarkStart w:id="786" w:name="_Toc386467109"/>
      <w:bookmarkEnd w:id="786"/>
      <w:bookmarkStart w:id="787" w:name="_Toc393546363"/>
      <w:bookmarkEnd w:id="787"/>
      <w:bookmarkStart w:id="788" w:name="_Toc13113"/>
      <w:r>
        <w:rPr>
          <w:rFonts w:hint="eastAsia" w:ascii="宋体" w:eastAsia="宋体"/>
          <w:color w:val="000000" w:themeColor="text1"/>
          <w:szCs w:val="24"/>
          <w:highlight w:val="none"/>
          <w14:textFill>
            <w14:solidFill>
              <w14:schemeClr w14:val="tx1"/>
            </w14:solidFill>
          </w14:textFill>
        </w:rPr>
        <w:t>13.4 监理人的质量检查</w:t>
      </w:r>
      <w:bookmarkEnd w:id="788"/>
    </w:p>
    <w:p w14:paraId="65F6352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450D9E3C">
      <w:pPr>
        <w:pStyle w:val="68"/>
        <w:ind w:firstLine="118"/>
        <w:rPr>
          <w:rFonts w:ascii="宋体" w:eastAsia="宋体"/>
          <w:color w:val="000000" w:themeColor="text1"/>
          <w:szCs w:val="24"/>
          <w:highlight w:val="none"/>
          <w14:textFill>
            <w14:solidFill>
              <w14:schemeClr w14:val="tx1"/>
            </w14:solidFill>
          </w14:textFill>
        </w:rPr>
      </w:pPr>
      <w:bookmarkStart w:id="789" w:name="_Toc386467110"/>
      <w:bookmarkEnd w:id="789"/>
      <w:bookmarkStart w:id="790" w:name="_Toc393546364"/>
      <w:bookmarkEnd w:id="790"/>
      <w:bookmarkStart w:id="791" w:name="_Toc26072"/>
      <w:r>
        <w:rPr>
          <w:rFonts w:hint="eastAsia" w:ascii="宋体" w:eastAsia="宋体"/>
          <w:color w:val="000000" w:themeColor="text1"/>
          <w:szCs w:val="24"/>
          <w:highlight w:val="none"/>
          <w14:textFill>
            <w14:solidFill>
              <w14:schemeClr w14:val="tx1"/>
            </w14:solidFill>
          </w14:textFill>
        </w:rPr>
        <w:t>13.5 工程隐蔽部位覆盖前的检查</w:t>
      </w:r>
      <w:bookmarkEnd w:id="791"/>
    </w:p>
    <w:p w14:paraId="011C29F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13.5.1 通知监理人检查</w:t>
      </w:r>
    </w:p>
    <w:p w14:paraId="1433105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600097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13.5.2 监理人未到场检查</w:t>
      </w:r>
    </w:p>
    <w:p w14:paraId="6B5B114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49CB0A9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13.5.3 监理人重新检查</w:t>
      </w:r>
    </w:p>
    <w:p w14:paraId="12911EF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0ABD4C2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13.5.4 承包人私自覆盖</w:t>
      </w:r>
    </w:p>
    <w:p w14:paraId="4777962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承包人未通知监理人到场检查，私自将工程隐蔽部位覆盖的，监理人有权指示承包人钻孔探测或揭开检查，由此增加的费用和（或）工期延误由承包人承担。</w:t>
      </w:r>
    </w:p>
    <w:p w14:paraId="334F3B6E">
      <w:pPr>
        <w:pStyle w:val="68"/>
        <w:ind w:firstLine="118"/>
        <w:rPr>
          <w:rFonts w:ascii="宋体" w:eastAsia="宋体"/>
          <w:color w:val="000000" w:themeColor="text1"/>
          <w:szCs w:val="24"/>
          <w:highlight w:val="none"/>
          <w14:textFill>
            <w14:solidFill>
              <w14:schemeClr w14:val="tx1"/>
            </w14:solidFill>
          </w14:textFill>
        </w:rPr>
      </w:pPr>
      <w:bookmarkStart w:id="792" w:name="_Toc393546365"/>
      <w:bookmarkEnd w:id="792"/>
      <w:bookmarkStart w:id="793" w:name="_Toc386467111"/>
      <w:bookmarkEnd w:id="793"/>
      <w:bookmarkStart w:id="794" w:name="_Toc10982"/>
      <w:r>
        <w:rPr>
          <w:rFonts w:hint="eastAsia" w:ascii="宋体" w:eastAsia="宋体"/>
          <w:color w:val="000000" w:themeColor="text1"/>
          <w:szCs w:val="24"/>
          <w:highlight w:val="none"/>
          <w14:textFill>
            <w14:solidFill>
              <w14:schemeClr w14:val="tx1"/>
            </w14:solidFill>
          </w14:textFill>
        </w:rPr>
        <w:t>13.6 清除不合格工程</w:t>
      </w:r>
      <w:bookmarkEnd w:id="794"/>
    </w:p>
    <w:p w14:paraId="14E0AC8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368A3CF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13.6.2 由于发包人提供的材料或工程设备不合格造成的工程不合格，需要承包人采取措施补救的，发包人应承担由此增加的费用和（或）工期延误，并支付承包人合理利润。</w:t>
      </w:r>
    </w:p>
    <w:p w14:paraId="79C45179">
      <w:pPr>
        <w:pStyle w:val="79"/>
        <w:rPr>
          <w:rFonts w:ascii="宋体" w:hAnsi="宋体"/>
          <w:color w:val="000000" w:themeColor="text1"/>
          <w:sz w:val="24"/>
          <w:szCs w:val="24"/>
          <w:highlight w:val="none"/>
          <w14:textFill>
            <w14:solidFill>
              <w14:schemeClr w14:val="tx1"/>
            </w14:solidFill>
          </w14:textFill>
        </w:rPr>
      </w:pPr>
      <w:bookmarkStart w:id="795" w:name="_Toc386467112"/>
      <w:bookmarkEnd w:id="795"/>
      <w:bookmarkStart w:id="796" w:name="_Toc393546366"/>
      <w:bookmarkEnd w:id="796"/>
      <w:bookmarkStart w:id="797" w:name="_Toc32616"/>
      <w:r>
        <w:rPr>
          <w:rFonts w:hint="eastAsia" w:ascii="宋体" w:hAnsi="宋体"/>
          <w:color w:val="000000" w:themeColor="text1"/>
          <w:sz w:val="24"/>
          <w:szCs w:val="24"/>
          <w:highlight w:val="none"/>
          <w14:textFill>
            <w14:solidFill>
              <w14:schemeClr w14:val="tx1"/>
            </w14:solidFill>
          </w14:textFill>
        </w:rPr>
        <w:t>14. 试验和检验</w:t>
      </w:r>
      <w:bookmarkEnd w:id="797"/>
    </w:p>
    <w:p w14:paraId="17603488">
      <w:pPr>
        <w:pStyle w:val="68"/>
        <w:ind w:firstLine="118"/>
        <w:rPr>
          <w:rFonts w:ascii="宋体" w:eastAsia="宋体"/>
          <w:color w:val="000000" w:themeColor="text1"/>
          <w:szCs w:val="24"/>
          <w:highlight w:val="none"/>
          <w14:textFill>
            <w14:solidFill>
              <w14:schemeClr w14:val="tx1"/>
            </w14:solidFill>
          </w14:textFill>
        </w:rPr>
      </w:pPr>
      <w:bookmarkStart w:id="798" w:name="_Toc179632721"/>
      <w:bookmarkEnd w:id="798"/>
      <w:bookmarkStart w:id="799" w:name="_Toc330406308"/>
      <w:bookmarkEnd w:id="799"/>
      <w:bookmarkStart w:id="800" w:name="_Toc386467113"/>
      <w:bookmarkEnd w:id="800"/>
      <w:bookmarkStart w:id="801" w:name="_Toc144974672"/>
      <w:bookmarkEnd w:id="801"/>
      <w:bookmarkStart w:id="802" w:name="_Toc393546367"/>
      <w:bookmarkEnd w:id="802"/>
      <w:bookmarkStart w:id="803" w:name="_Toc152045703"/>
      <w:bookmarkEnd w:id="803"/>
      <w:bookmarkStart w:id="804" w:name="_Toc152042481"/>
      <w:bookmarkEnd w:id="804"/>
      <w:bookmarkStart w:id="805" w:name="_Toc10126"/>
      <w:r>
        <w:rPr>
          <w:rFonts w:hint="eastAsia" w:ascii="宋体" w:eastAsia="宋体"/>
          <w:color w:val="000000" w:themeColor="text1"/>
          <w:szCs w:val="24"/>
          <w:highlight w:val="none"/>
          <w14:textFill>
            <w14:solidFill>
              <w14:schemeClr w14:val="tx1"/>
            </w14:solidFill>
          </w14:textFill>
        </w:rPr>
        <w:t>14.1 材料、工程设备和工程的试验和检验</w:t>
      </w:r>
      <w:bookmarkEnd w:id="805"/>
    </w:p>
    <w:p w14:paraId="220A6D4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9E0108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14.1.2 监理人未按合同约定派员参加试验和检验的，除监理人另有指示外，承包人可自行试验和检验，并应立即将试验和检验结果报送监理人，监理人应签字确认。</w:t>
      </w:r>
    </w:p>
    <w:p w14:paraId="2029CCC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60829785">
      <w:pPr>
        <w:pStyle w:val="68"/>
        <w:ind w:firstLine="118"/>
        <w:rPr>
          <w:rFonts w:ascii="宋体" w:eastAsia="宋体"/>
          <w:color w:val="000000" w:themeColor="text1"/>
          <w:szCs w:val="24"/>
          <w:highlight w:val="none"/>
          <w14:textFill>
            <w14:solidFill>
              <w14:schemeClr w14:val="tx1"/>
            </w14:solidFill>
          </w14:textFill>
        </w:rPr>
      </w:pPr>
      <w:bookmarkStart w:id="806" w:name="_Toc330406309"/>
      <w:bookmarkEnd w:id="806"/>
      <w:bookmarkStart w:id="807" w:name="_Toc393546368"/>
      <w:bookmarkEnd w:id="807"/>
      <w:bookmarkStart w:id="808" w:name="_Toc152045704"/>
      <w:bookmarkEnd w:id="808"/>
      <w:bookmarkStart w:id="809" w:name="_Toc386467114"/>
      <w:bookmarkEnd w:id="809"/>
      <w:bookmarkStart w:id="810" w:name="_Toc144974673"/>
      <w:bookmarkEnd w:id="810"/>
      <w:bookmarkStart w:id="811" w:name="_Toc179632722"/>
      <w:bookmarkEnd w:id="811"/>
      <w:bookmarkStart w:id="812" w:name="_Toc152042482"/>
      <w:bookmarkEnd w:id="812"/>
      <w:bookmarkStart w:id="813" w:name="_Toc19468"/>
      <w:r>
        <w:rPr>
          <w:rFonts w:hint="eastAsia" w:ascii="宋体" w:eastAsia="宋体"/>
          <w:color w:val="000000" w:themeColor="text1"/>
          <w:szCs w:val="24"/>
          <w:highlight w:val="none"/>
          <w14:textFill>
            <w14:solidFill>
              <w14:schemeClr w14:val="tx1"/>
            </w14:solidFill>
          </w14:textFill>
        </w:rPr>
        <w:t>14.2 现场材料试验</w:t>
      </w:r>
      <w:bookmarkEnd w:id="813"/>
    </w:p>
    <w:p w14:paraId="724469B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14.2.1 承包人根据合同约定或监理人指示进行的现场材料试验，应由承包人提供试验场所、试验人员、试验设备器材以及其他必要的试验条件。</w:t>
      </w:r>
    </w:p>
    <w:p w14:paraId="3F2EB00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14.2.2 监理人在必要时可以使用承包人的试验场所、试验设备器材以及其他试验条件，进行以工程质量检查为目的的复核性材料试验，承包人应予以协助。</w:t>
      </w:r>
    </w:p>
    <w:p w14:paraId="7163BCE1">
      <w:pPr>
        <w:pStyle w:val="68"/>
        <w:ind w:firstLine="118"/>
        <w:rPr>
          <w:rFonts w:ascii="宋体" w:eastAsia="宋体"/>
          <w:color w:val="000000" w:themeColor="text1"/>
          <w:szCs w:val="24"/>
          <w:highlight w:val="none"/>
          <w14:textFill>
            <w14:solidFill>
              <w14:schemeClr w14:val="tx1"/>
            </w14:solidFill>
          </w14:textFill>
        </w:rPr>
      </w:pPr>
      <w:bookmarkStart w:id="814" w:name="_Toc386467115"/>
      <w:bookmarkEnd w:id="814"/>
      <w:bookmarkStart w:id="815" w:name="_Toc393546369"/>
      <w:bookmarkEnd w:id="815"/>
      <w:bookmarkStart w:id="816" w:name="_Toc7667"/>
      <w:r>
        <w:rPr>
          <w:rFonts w:hint="eastAsia" w:ascii="宋体" w:eastAsia="宋体"/>
          <w:color w:val="000000" w:themeColor="text1"/>
          <w:szCs w:val="24"/>
          <w:highlight w:val="none"/>
          <w14:textFill>
            <w14:solidFill>
              <w14:schemeClr w14:val="tx1"/>
            </w14:solidFill>
          </w14:textFill>
        </w:rPr>
        <w:t>14.3 现场工艺试验</w:t>
      </w:r>
      <w:bookmarkEnd w:id="816"/>
    </w:p>
    <w:p w14:paraId="333FF17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承包人应按合同约定或监理人指示进行现场工艺试验。对大型的现场工艺试验，监理人认为必要时，应由承包人根据监理人提出的工艺试验要求，编制工艺试验措施计划，报送监理人审批。</w:t>
      </w:r>
    </w:p>
    <w:p w14:paraId="7B13AC38">
      <w:pPr>
        <w:pStyle w:val="79"/>
        <w:rPr>
          <w:rFonts w:ascii="宋体" w:hAnsi="宋体"/>
          <w:color w:val="000000" w:themeColor="text1"/>
          <w:sz w:val="24"/>
          <w:szCs w:val="24"/>
          <w:highlight w:val="none"/>
          <w14:textFill>
            <w14:solidFill>
              <w14:schemeClr w14:val="tx1"/>
            </w14:solidFill>
          </w14:textFill>
        </w:rPr>
      </w:pPr>
      <w:bookmarkStart w:id="817" w:name="_Toc393546370"/>
      <w:bookmarkEnd w:id="817"/>
      <w:bookmarkStart w:id="818" w:name="_Toc386467116"/>
      <w:bookmarkEnd w:id="818"/>
      <w:bookmarkStart w:id="819" w:name="_Toc26507"/>
      <w:r>
        <w:rPr>
          <w:rFonts w:hint="eastAsia" w:ascii="宋体" w:hAnsi="宋体"/>
          <w:color w:val="000000" w:themeColor="text1"/>
          <w:sz w:val="24"/>
          <w:szCs w:val="24"/>
          <w:highlight w:val="none"/>
          <w14:textFill>
            <w14:solidFill>
              <w14:schemeClr w14:val="tx1"/>
            </w14:solidFill>
          </w14:textFill>
        </w:rPr>
        <w:t>15. 变更</w:t>
      </w:r>
      <w:bookmarkEnd w:id="819"/>
    </w:p>
    <w:p w14:paraId="53EE1A00">
      <w:pPr>
        <w:pStyle w:val="68"/>
        <w:ind w:firstLine="118"/>
        <w:rPr>
          <w:rFonts w:ascii="宋体" w:eastAsia="宋体"/>
          <w:color w:val="000000" w:themeColor="text1"/>
          <w:szCs w:val="24"/>
          <w:highlight w:val="none"/>
          <w14:textFill>
            <w14:solidFill>
              <w14:schemeClr w14:val="tx1"/>
            </w14:solidFill>
          </w14:textFill>
        </w:rPr>
      </w:pPr>
      <w:bookmarkStart w:id="820" w:name="_Toc393546371"/>
      <w:bookmarkEnd w:id="820"/>
      <w:bookmarkStart w:id="821" w:name="_Toc386467117"/>
      <w:bookmarkEnd w:id="821"/>
      <w:bookmarkStart w:id="822" w:name="_Toc5256"/>
      <w:r>
        <w:rPr>
          <w:rFonts w:hint="eastAsia" w:ascii="宋体" w:eastAsia="宋体"/>
          <w:color w:val="000000" w:themeColor="text1"/>
          <w:szCs w:val="24"/>
          <w:highlight w:val="none"/>
          <w14:textFill>
            <w14:solidFill>
              <w14:schemeClr w14:val="tx1"/>
            </w14:solidFill>
          </w14:textFill>
        </w:rPr>
        <w:t>15.1 变更的范围和内容</w:t>
      </w:r>
      <w:bookmarkEnd w:id="822"/>
    </w:p>
    <w:p w14:paraId="51FA6E7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除专用合同条款另有约定外，在履行合同中发生以下情形之一，应按照本条规定进行变更。</w:t>
      </w:r>
    </w:p>
    <w:p w14:paraId="50EEDA05">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（1）取消合同中任何一项工作，但被取消的工作不能转由发包人或其他人实施；</w:t>
      </w:r>
    </w:p>
    <w:p w14:paraId="7CD3C49C">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（2）改变合同中任何一项工作的质量或其他特性；</w:t>
      </w:r>
    </w:p>
    <w:p w14:paraId="3BABE2BB">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（3）改变合同工程的基线、标高、位置或尺寸；</w:t>
      </w:r>
    </w:p>
    <w:p w14:paraId="739DA876">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（4）改变合同中任何一项工作的施工时间或改变已批准的施工工艺或顺序；</w:t>
      </w:r>
    </w:p>
    <w:p w14:paraId="50314CE0">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（5）为完成工程需要追加的额外工作。</w:t>
      </w:r>
    </w:p>
    <w:p w14:paraId="36E4B4D1">
      <w:pPr>
        <w:pStyle w:val="68"/>
        <w:ind w:firstLine="118"/>
        <w:rPr>
          <w:rFonts w:ascii="宋体" w:eastAsia="宋体"/>
          <w:color w:val="000000" w:themeColor="text1"/>
          <w:szCs w:val="24"/>
          <w:highlight w:val="none"/>
          <w14:textFill>
            <w14:solidFill>
              <w14:schemeClr w14:val="tx1"/>
            </w14:solidFill>
          </w14:textFill>
        </w:rPr>
      </w:pPr>
      <w:bookmarkStart w:id="823" w:name="_Toc152042486"/>
      <w:bookmarkEnd w:id="823"/>
      <w:bookmarkStart w:id="824" w:name="_Toc393546372"/>
      <w:bookmarkEnd w:id="824"/>
      <w:bookmarkStart w:id="825" w:name="_Toc179632726"/>
      <w:bookmarkEnd w:id="825"/>
      <w:bookmarkStart w:id="826" w:name="_Toc330406313"/>
      <w:bookmarkEnd w:id="826"/>
      <w:bookmarkStart w:id="827" w:name="_Toc386467118"/>
      <w:bookmarkEnd w:id="827"/>
      <w:bookmarkStart w:id="828" w:name="_Toc144974677"/>
      <w:bookmarkEnd w:id="828"/>
      <w:bookmarkStart w:id="829" w:name="_Toc152045708"/>
      <w:bookmarkEnd w:id="829"/>
      <w:bookmarkStart w:id="830" w:name="_Toc22834"/>
      <w:r>
        <w:rPr>
          <w:rFonts w:hint="eastAsia" w:ascii="宋体" w:eastAsia="宋体"/>
          <w:color w:val="000000" w:themeColor="text1"/>
          <w:szCs w:val="24"/>
          <w:highlight w:val="none"/>
          <w14:textFill>
            <w14:solidFill>
              <w14:schemeClr w14:val="tx1"/>
            </w14:solidFill>
          </w14:textFill>
        </w:rPr>
        <w:t>15.2 变更权</w:t>
      </w:r>
      <w:bookmarkEnd w:id="830"/>
    </w:p>
    <w:p w14:paraId="75F6F12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在履行合同过程中，经发包人同意，监理人可按第15.3款约定的变更程序向承包人作出变更指示，承包人应遵照执行。没有监理人的变更指示，承包人不得擅自变更。</w:t>
      </w:r>
    </w:p>
    <w:p w14:paraId="74892EC0">
      <w:pPr>
        <w:pStyle w:val="68"/>
        <w:ind w:firstLine="118"/>
        <w:rPr>
          <w:rFonts w:ascii="宋体" w:eastAsia="宋体"/>
          <w:color w:val="000000" w:themeColor="text1"/>
          <w:szCs w:val="24"/>
          <w:highlight w:val="none"/>
          <w14:textFill>
            <w14:solidFill>
              <w14:schemeClr w14:val="tx1"/>
            </w14:solidFill>
          </w14:textFill>
        </w:rPr>
      </w:pPr>
      <w:bookmarkStart w:id="831" w:name="_Toc386467119"/>
      <w:bookmarkEnd w:id="831"/>
      <w:bookmarkStart w:id="832" w:name="_Toc393546373"/>
      <w:bookmarkEnd w:id="832"/>
      <w:bookmarkStart w:id="833" w:name="_Toc11653"/>
      <w:r>
        <w:rPr>
          <w:rFonts w:hint="eastAsia" w:ascii="宋体" w:eastAsia="宋体"/>
          <w:color w:val="000000" w:themeColor="text1"/>
          <w:szCs w:val="24"/>
          <w:highlight w:val="none"/>
          <w14:textFill>
            <w14:solidFill>
              <w14:schemeClr w14:val="tx1"/>
            </w14:solidFill>
          </w14:textFill>
        </w:rPr>
        <w:t>15.3 变更程序</w:t>
      </w:r>
      <w:bookmarkEnd w:id="833"/>
    </w:p>
    <w:p w14:paraId="2323405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15.3.1 变更的提出</w:t>
      </w:r>
    </w:p>
    <w:p w14:paraId="778F2F4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11D378A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（2）在合同履行过程中，发生第15.1款约定情形的，监理人应按照第15.3.3项约定向承包人发出变更指示。</w:t>
      </w:r>
    </w:p>
    <w:p w14:paraId="7FD9C59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4198156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（4）若承包人收到监理人的变更意向书后认为难以实施此项变更，应立即通知监理人，说明原因并附详细依据。监理人与承包人和发包人协商后确定撤销、改变或不改变原变更意向书。</w:t>
      </w:r>
    </w:p>
    <w:p w14:paraId="460EDB0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15.3.2 变更估价</w:t>
      </w:r>
    </w:p>
    <w:p w14:paraId="1FCEE9A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7DADC34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（2）变更工作影响工期的，承包人应提出调整工期的具体细节。监理人认为有必要时，可要求承包人提交要求提前或延长工期的施工进度计划及相应施工措施等详细资料。</w:t>
      </w:r>
    </w:p>
    <w:p w14:paraId="3F03935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（3）除专用合同条款对期限另有约定外，监理人收到承包人变更报价书后的14天内，根据第15.4款约定的估价原则，按照第3.5款商定或确定变更价格。</w:t>
      </w:r>
    </w:p>
    <w:p w14:paraId="30E2133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15.3.3 变更指示</w:t>
      </w:r>
    </w:p>
    <w:p w14:paraId="7D75858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（1）变更指示只能由监理人发出。</w:t>
      </w:r>
    </w:p>
    <w:p w14:paraId="437F88E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（2）变更指示应说明变更的目的、范围、变更内容以及变更的工程量及其进度和技术要求，并附有关图纸和文件。承包人收到变更指示后，应按变更指示进行变更工作。</w:t>
      </w:r>
    </w:p>
    <w:p w14:paraId="70FB13AF">
      <w:pPr>
        <w:pStyle w:val="68"/>
        <w:ind w:firstLine="118"/>
        <w:rPr>
          <w:rFonts w:ascii="宋体" w:eastAsia="宋体"/>
          <w:color w:val="000000" w:themeColor="text1"/>
          <w:szCs w:val="24"/>
          <w:highlight w:val="none"/>
          <w14:textFill>
            <w14:solidFill>
              <w14:schemeClr w14:val="tx1"/>
            </w14:solidFill>
          </w14:textFill>
        </w:rPr>
      </w:pPr>
      <w:bookmarkStart w:id="834" w:name="_Toc386467120"/>
      <w:bookmarkEnd w:id="834"/>
      <w:bookmarkStart w:id="835" w:name="_Toc393546374"/>
      <w:bookmarkEnd w:id="835"/>
      <w:bookmarkStart w:id="836" w:name="_Toc31241"/>
      <w:r>
        <w:rPr>
          <w:rFonts w:hint="eastAsia" w:ascii="宋体" w:eastAsia="宋体"/>
          <w:color w:val="000000" w:themeColor="text1"/>
          <w:szCs w:val="24"/>
          <w:highlight w:val="none"/>
          <w14:textFill>
            <w14:solidFill>
              <w14:schemeClr w14:val="tx1"/>
            </w14:solidFill>
          </w14:textFill>
        </w:rPr>
        <w:t>15.4 变更的估价原则</w:t>
      </w:r>
      <w:bookmarkEnd w:id="836"/>
    </w:p>
    <w:p w14:paraId="32FB903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除专用合同条款另有约定外，因变更引起的价格调整按照本款约定处理。</w:t>
      </w:r>
    </w:p>
    <w:p w14:paraId="3955FB3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15.4.1 已标价工程量清单中有适用于变更工作的子目的，采用该子目的单价。</w:t>
      </w:r>
    </w:p>
    <w:p w14:paraId="454B382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15.4.2 已标价工程量清单中无适用于变更工作的子目，但有类似子目的，可在合理范围内参照类似子目的单价，由监理人按第3.5款商定或确定变更工作的单价。</w:t>
      </w:r>
    </w:p>
    <w:p w14:paraId="310960E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15.4.3 已标价工程量清单中无适用或类似子目的单价，可按照成本加利润的原则，由监理人按第3.5款商定或确定变更工作的单价。</w:t>
      </w:r>
    </w:p>
    <w:p w14:paraId="02810FC9">
      <w:pPr>
        <w:pStyle w:val="68"/>
        <w:ind w:firstLine="118"/>
        <w:rPr>
          <w:rFonts w:ascii="宋体" w:eastAsia="宋体"/>
          <w:color w:val="000000" w:themeColor="text1"/>
          <w:szCs w:val="24"/>
          <w:highlight w:val="none"/>
          <w14:textFill>
            <w14:solidFill>
              <w14:schemeClr w14:val="tx1"/>
            </w14:solidFill>
          </w14:textFill>
        </w:rPr>
      </w:pPr>
      <w:bookmarkStart w:id="837" w:name="_Toc393546375"/>
      <w:bookmarkEnd w:id="837"/>
      <w:bookmarkStart w:id="838" w:name="_Toc386467121"/>
      <w:bookmarkEnd w:id="838"/>
      <w:bookmarkStart w:id="839" w:name="_Toc26296"/>
      <w:r>
        <w:rPr>
          <w:rFonts w:hint="eastAsia" w:ascii="宋体" w:eastAsia="宋体"/>
          <w:color w:val="000000" w:themeColor="text1"/>
          <w:szCs w:val="24"/>
          <w:highlight w:val="none"/>
          <w14:textFill>
            <w14:solidFill>
              <w14:schemeClr w14:val="tx1"/>
            </w14:solidFill>
          </w14:textFill>
        </w:rPr>
        <w:t>15.5 承包人的合理化建议</w:t>
      </w:r>
      <w:bookmarkEnd w:id="839"/>
    </w:p>
    <w:p w14:paraId="5B1E203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01CC030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15.5.2 承包人提出的合理化建议降低了合同价格、缩短了工期或者提高了工程经济效益的，发包人可按国家有关规定在专用合同条款中约定给予奖励。</w:t>
      </w:r>
    </w:p>
    <w:p w14:paraId="3ADEF1AF">
      <w:pPr>
        <w:pStyle w:val="68"/>
        <w:ind w:firstLine="118"/>
        <w:rPr>
          <w:rFonts w:ascii="宋体" w:eastAsia="宋体"/>
          <w:color w:val="000000" w:themeColor="text1"/>
          <w:szCs w:val="24"/>
          <w:highlight w:val="none"/>
          <w14:textFill>
            <w14:solidFill>
              <w14:schemeClr w14:val="tx1"/>
            </w14:solidFill>
          </w14:textFill>
        </w:rPr>
      </w:pPr>
      <w:bookmarkStart w:id="840" w:name="_Toc386467122"/>
      <w:bookmarkEnd w:id="840"/>
      <w:bookmarkStart w:id="841" w:name="_Toc393546376"/>
      <w:bookmarkEnd w:id="841"/>
      <w:bookmarkStart w:id="842" w:name="_Toc24039"/>
      <w:r>
        <w:rPr>
          <w:rFonts w:hint="eastAsia" w:ascii="宋体" w:eastAsia="宋体"/>
          <w:color w:val="000000" w:themeColor="text1"/>
          <w:szCs w:val="24"/>
          <w:highlight w:val="none"/>
          <w14:textFill>
            <w14:solidFill>
              <w14:schemeClr w14:val="tx1"/>
            </w14:solidFill>
          </w14:textFill>
        </w:rPr>
        <w:t>15.6 暂列金额</w:t>
      </w:r>
      <w:bookmarkEnd w:id="842"/>
    </w:p>
    <w:p w14:paraId="536ACA5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暂列金额只能按照监理人的指示使用，并对合同价格进行相应调整。</w:t>
      </w:r>
    </w:p>
    <w:p w14:paraId="028F1AD5">
      <w:pPr>
        <w:pStyle w:val="68"/>
        <w:ind w:firstLine="118"/>
        <w:rPr>
          <w:rFonts w:ascii="宋体" w:eastAsia="宋体"/>
          <w:color w:val="000000" w:themeColor="text1"/>
          <w:szCs w:val="24"/>
          <w:highlight w:val="none"/>
          <w14:textFill>
            <w14:solidFill>
              <w14:schemeClr w14:val="tx1"/>
            </w14:solidFill>
          </w14:textFill>
        </w:rPr>
      </w:pPr>
      <w:bookmarkStart w:id="843" w:name="_Toc393546377"/>
      <w:bookmarkEnd w:id="843"/>
      <w:bookmarkStart w:id="844" w:name="_Toc179632731"/>
      <w:bookmarkEnd w:id="844"/>
      <w:bookmarkStart w:id="845" w:name="_Toc386467123"/>
      <w:bookmarkEnd w:id="845"/>
      <w:bookmarkStart w:id="846" w:name="_Toc152042491"/>
      <w:bookmarkEnd w:id="846"/>
      <w:bookmarkStart w:id="847" w:name="_Toc152045713"/>
      <w:bookmarkEnd w:id="847"/>
      <w:bookmarkStart w:id="848" w:name="_Toc330406318"/>
      <w:bookmarkEnd w:id="848"/>
      <w:bookmarkStart w:id="849" w:name="_Toc144974682"/>
      <w:bookmarkEnd w:id="849"/>
      <w:bookmarkStart w:id="850" w:name="_Toc25815"/>
      <w:r>
        <w:rPr>
          <w:rFonts w:hint="eastAsia" w:ascii="宋体" w:eastAsia="宋体"/>
          <w:color w:val="000000" w:themeColor="text1"/>
          <w:szCs w:val="24"/>
          <w:highlight w:val="none"/>
          <w14:textFill>
            <w14:solidFill>
              <w14:schemeClr w14:val="tx1"/>
            </w14:solidFill>
          </w14:textFill>
        </w:rPr>
        <w:t>15.7 计日工</w:t>
      </w:r>
      <w:bookmarkEnd w:id="850"/>
    </w:p>
    <w:p w14:paraId="23DEE20A">
      <w:pPr>
        <w:spacing w:line="400" w:lineRule="exact"/>
        <w:ind w:firstLine="480" w:firstLineChars="200"/>
        <w:rPr>
          <w:rFonts w:ascii="宋体" w:hAnsi="宋体" w:cs="宋体"/>
          <w:color w:val="000000" w:themeColor="text1"/>
          <w:sz w:val="24"/>
          <w:highlight w:val="none"/>
          <w:shd w:val="pct10" w:color="auto" w:fill="FFFFFF"/>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15.7.1 发包人认为有必要时，由监理人通知承包人以计日工方式实施变更的零星工作。其价款按列入已标价工程量清单中的计日工计价子目及其单价进行计算。</w:t>
      </w:r>
    </w:p>
    <w:p w14:paraId="035DBF9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15.7.2 采用计日工计价的任何一项变更工作，应从暂列金额中支付，承包人应在该项变更的实施过程中，每天提交以下报表和有关凭证报送监理人审批：</w:t>
      </w:r>
    </w:p>
    <w:p w14:paraId="310488B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（1）工作名称、内容和数量；</w:t>
      </w:r>
    </w:p>
    <w:p w14:paraId="6F65EA8E">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（2）投入该工作所有人员的姓名、工种、级别和耗用工时；</w:t>
      </w:r>
    </w:p>
    <w:p w14:paraId="1EDC0C4E">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（3）投入该工作的材料类别和数量；</w:t>
      </w:r>
    </w:p>
    <w:p w14:paraId="2EDEDAA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（4）投入该工作的施工设备型号、台数和耗用台时；</w:t>
      </w:r>
    </w:p>
    <w:p w14:paraId="499EB254">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（5）监理人要求提交的其他资料和凭证。</w:t>
      </w:r>
    </w:p>
    <w:p w14:paraId="3283AF4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15.7.3 计日工由承包人汇总后，按第17.3.2项的约定列入进度付款申请单，由监理人复核并经发包人同意后列入进度付款。</w:t>
      </w:r>
    </w:p>
    <w:p w14:paraId="068E6159">
      <w:pPr>
        <w:pStyle w:val="68"/>
        <w:ind w:firstLine="118"/>
        <w:rPr>
          <w:rFonts w:ascii="宋体" w:eastAsia="宋体"/>
          <w:color w:val="000000" w:themeColor="text1"/>
          <w:szCs w:val="24"/>
          <w:highlight w:val="none"/>
          <w14:textFill>
            <w14:solidFill>
              <w14:schemeClr w14:val="tx1"/>
            </w14:solidFill>
          </w14:textFill>
        </w:rPr>
      </w:pPr>
      <w:bookmarkStart w:id="851" w:name="_Toc386467124"/>
      <w:bookmarkEnd w:id="851"/>
      <w:bookmarkStart w:id="852" w:name="_Toc152042492"/>
      <w:bookmarkEnd w:id="852"/>
      <w:bookmarkStart w:id="853" w:name="_Toc144974683"/>
      <w:bookmarkEnd w:id="853"/>
      <w:bookmarkStart w:id="854" w:name="_Toc179632732"/>
      <w:bookmarkEnd w:id="854"/>
      <w:bookmarkStart w:id="855" w:name="_Toc393546378"/>
      <w:bookmarkEnd w:id="855"/>
      <w:bookmarkStart w:id="856" w:name="_Toc330406319"/>
      <w:bookmarkEnd w:id="856"/>
      <w:bookmarkStart w:id="857" w:name="_Toc152045714"/>
      <w:bookmarkEnd w:id="857"/>
      <w:bookmarkStart w:id="858" w:name="_Toc24061"/>
      <w:r>
        <w:rPr>
          <w:rFonts w:hint="eastAsia" w:ascii="宋体" w:eastAsia="宋体"/>
          <w:color w:val="000000" w:themeColor="text1"/>
          <w:szCs w:val="24"/>
          <w:highlight w:val="none"/>
          <w14:textFill>
            <w14:solidFill>
              <w14:schemeClr w14:val="tx1"/>
            </w14:solidFill>
          </w14:textFill>
        </w:rPr>
        <w:t>15.8 暂估价</w:t>
      </w:r>
      <w:bookmarkEnd w:id="858"/>
    </w:p>
    <w:p w14:paraId="534B27ED">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5AC40AB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2324C16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1A13CE1D">
      <w:pPr>
        <w:pStyle w:val="79"/>
        <w:rPr>
          <w:rFonts w:ascii="宋体" w:hAnsi="宋体"/>
          <w:color w:val="000000" w:themeColor="text1"/>
          <w:sz w:val="24"/>
          <w:szCs w:val="24"/>
          <w:highlight w:val="none"/>
          <w14:textFill>
            <w14:solidFill>
              <w14:schemeClr w14:val="tx1"/>
            </w14:solidFill>
          </w14:textFill>
        </w:rPr>
      </w:pPr>
      <w:bookmarkStart w:id="859" w:name="_Toc393546379"/>
      <w:bookmarkEnd w:id="859"/>
      <w:bookmarkStart w:id="860" w:name="_Toc386467125"/>
      <w:bookmarkEnd w:id="860"/>
      <w:bookmarkStart w:id="861" w:name="_Toc3673"/>
      <w:r>
        <w:rPr>
          <w:rFonts w:hint="eastAsia" w:ascii="宋体" w:hAnsi="宋体"/>
          <w:color w:val="000000" w:themeColor="text1"/>
          <w:sz w:val="24"/>
          <w:szCs w:val="24"/>
          <w:highlight w:val="none"/>
          <w14:textFill>
            <w14:solidFill>
              <w14:schemeClr w14:val="tx1"/>
            </w14:solidFill>
          </w14:textFill>
        </w:rPr>
        <w:t>16. 价格调整</w:t>
      </w:r>
      <w:bookmarkEnd w:id="861"/>
    </w:p>
    <w:p w14:paraId="6CD9EE81">
      <w:pPr>
        <w:pStyle w:val="68"/>
        <w:ind w:firstLine="118"/>
        <w:rPr>
          <w:rFonts w:ascii="宋体" w:eastAsia="宋体"/>
          <w:color w:val="000000" w:themeColor="text1"/>
          <w:szCs w:val="24"/>
          <w:highlight w:val="none"/>
          <w14:textFill>
            <w14:solidFill>
              <w14:schemeClr w14:val="tx1"/>
            </w14:solidFill>
          </w14:textFill>
        </w:rPr>
      </w:pPr>
      <w:bookmarkStart w:id="862" w:name="_Toc386467126"/>
      <w:bookmarkEnd w:id="862"/>
      <w:bookmarkStart w:id="863" w:name="_Toc393546380"/>
      <w:bookmarkEnd w:id="863"/>
      <w:bookmarkStart w:id="864" w:name="_Toc6344"/>
      <w:r>
        <w:rPr>
          <w:rFonts w:hint="eastAsia" w:ascii="宋体" w:eastAsia="宋体"/>
          <w:color w:val="000000" w:themeColor="text1"/>
          <w:szCs w:val="24"/>
          <w:highlight w:val="none"/>
          <w14:textFill>
            <w14:solidFill>
              <w14:schemeClr w14:val="tx1"/>
            </w14:solidFill>
          </w14:textFill>
        </w:rPr>
        <w:t>16.1 物价波动引起的价格调整</w:t>
      </w:r>
      <w:bookmarkEnd w:id="864"/>
    </w:p>
    <w:p w14:paraId="1C9C1CC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除专用合同条款另有约定外，因物价波动引起的价格调整按照本款约定处理。</w:t>
      </w:r>
    </w:p>
    <w:p w14:paraId="5C8DD17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 采用价格指数调整价格差额</w:t>
      </w:r>
    </w:p>
    <w:p w14:paraId="1120B8F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16.1.1.1 价格调整公式</w:t>
      </w:r>
    </w:p>
    <w:p w14:paraId="4B00EC1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因人工、材料和设备等价格波动影响合同价格时，根据投标函附录中的价格指数和权重表约定的数据，按以下公式计算差额并调整合同价格。</w:t>
      </w:r>
    </w:p>
    <w:p w14:paraId="0CEFBA19">
      <w:pPr>
        <w:autoSpaceDE w:val="0"/>
        <w:autoSpaceDN w:val="0"/>
        <w:adjustRightInd w:val="0"/>
        <w:spacing w:line="1200" w:lineRule="exact"/>
        <w:ind w:right="248" w:firstLine="955" w:firstLineChars="398"/>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position w:val="-34"/>
          <w:sz w:val="24"/>
          <w:highlight w:val="none"/>
          <w14:textFill>
            <w14:solidFill>
              <w14:schemeClr w14:val="tx1"/>
            </w14:solidFill>
          </w14:textFill>
        </w:rPr>
        <w:drawing>
          <wp:inline distT="0" distB="0" distL="0" distR="0">
            <wp:extent cx="3891280" cy="520700"/>
            <wp:effectExtent l="0" t="0" r="13970" b="13335"/>
            <wp:docPr id="1" name="_x0000_i1025"/>
            <wp:cNvGraphicFramePr/>
            <a:graphic xmlns:a="http://schemas.openxmlformats.org/drawingml/2006/main">
              <a:graphicData uri="http://schemas.openxmlformats.org/drawingml/2006/picture">
                <pic:pic xmlns:pic="http://schemas.openxmlformats.org/drawingml/2006/picture">
                  <pic:nvPicPr>
                    <pic:cNvPr id="1" name="_x0000_i1025"/>
                    <pic:cNvPicPr/>
                  </pic:nvPicPr>
                  <pic:blipFill>
                    <a:blip r:embed="rId22" cstate="print"/>
                    <a:stretch>
                      <a:fillRect/>
                    </a:stretch>
                  </pic:blipFill>
                  <pic:spPr>
                    <a:xfrm>
                      <a:off x="0" y="0"/>
                      <a:ext cx="3891280" cy="520700"/>
                    </a:xfrm>
                    <a:prstGeom prst="rect">
                      <a:avLst/>
                    </a:prstGeom>
                  </pic:spPr>
                </pic:pic>
              </a:graphicData>
            </a:graphic>
          </wp:inline>
        </w:drawing>
      </w:r>
    </w:p>
    <w:p w14:paraId="638C4AB1">
      <w:pPr>
        <w:tabs>
          <w:tab w:val="left" w:pos="1260"/>
        </w:tabs>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5FA0F542">
      <w:pPr>
        <w:tabs>
          <w:tab w:val="left" w:pos="1260"/>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式中： △P -- 需调整的价格差额；</w:t>
      </w:r>
    </w:p>
    <w:p w14:paraId="32D29067">
      <w:pPr>
        <w:tabs>
          <w:tab w:val="left" w:pos="1260"/>
        </w:tabs>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P</w:t>
      </w:r>
      <w:r>
        <w:rPr>
          <w:rFonts w:hint="eastAsia" w:ascii="宋体" w:hAnsi="宋体" w:cs="宋体"/>
          <w:color w:val="000000" w:themeColor="text1"/>
          <w:sz w:val="24"/>
          <w:highlight w:val="none"/>
          <w:vertAlign w:val="subscript"/>
          <w14:textFill>
            <w14:solidFill>
              <w14:schemeClr w14:val="tx1"/>
            </w14:solidFill>
          </w14:textFill>
        </w:rPr>
        <w:t>0</w:t>
      </w:r>
      <w:r>
        <w:rPr>
          <w:rFonts w:hint="eastAsia" w:ascii="宋体" w:hAnsi="宋体" w:cs="宋体"/>
          <w:color w:val="000000" w:themeColor="text1"/>
          <w:sz w:val="24"/>
          <w:highlight w:val="none"/>
          <w14:textFill>
            <w14:solidFill>
              <w14:schemeClr w14:val="tx1"/>
            </w14:solidFill>
          </w14:textFill>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728C6657">
      <w:pPr>
        <w:tabs>
          <w:tab w:val="left" w:pos="1260"/>
        </w:tabs>
        <w:spacing w:line="400" w:lineRule="exact"/>
        <w:rPr>
          <w:rFonts w:ascii="宋体" w:hAnsi="宋体" w:cs="宋体"/>
          <w:color w:val="000000" w:themeColor="text1"/>
          <w:sz w:val="24"/>
          <w:highlight w:val="none"/>
          <w14:textFill>
            <w14:solidFill>
              <w14:schemeClr w14:val="tx1"/>
            </w14:solidFill>
          </w14:textFill>
        </w:rPr>
      </w:pPr>
      <w:bookmarkStart w:id="865" w:name="_Toc152042495"/>
      <w:bookmarkEnd w:id="865"/>
      <w:bookmarkStart w:id="866" w:name="_Toc144974686"/>
      <w:bookmarkEnd w:id="866"/>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A -- 定值权重(即不调部分的权重)；</w:t>
      </w:r>
    </w:p>
    <w:p w14:paraId="3DC97D19">
      <w:pPr>
        <w:tabs>
          <w:tab w:val="left" w:pos="1260"/>
        </w:tabs>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vertAlign w:val="subscript"/>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 B</w:t>
      </w:r>
      <w:r>
        <w:rPr>
          <w:rFonts w:hint="eastAsia" w:ascii="宋体" w:hAnsi="宋体" w:cs="宋体"/>
          <w:color w:val="000000" w:themeColor="text1"/>
          <w:sz w:val="24"/>
          <w:highlight w:val="none"/>
          <w:vertAlign w:val="subscript"/>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 xml:space="preserve"> ；B</w:t>
      </w:r>
      <w:r>
        <w:rPr>
          <w:rFonts w:hint="eastAsia" w:ascii="宋体" w:hAnsi="宋体" w:cs="宋体"/>
          <w:color w:val="000000" w:themeColor="text1"/>
          <w:sz w:val="24"/>
          <w:highlight w:val="none"/>
          <w:vertAlign w:val="subscript"/>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vertAlign w:val="subscript"/>
          <w14:textFill>
            <w14:solidFill>
              <w14:schemeClr w14:val="tx1"/>
            </w14:solidFill>
          </w14:textFill>
        </w:rPr>
        <w:t>n</w:t>
      </w:r>
      <w:r>
        <w:rPr>
          <w:rFonts w:hint="eastAsia" w:ascii="宋体" w:hAnsi="宋体" w:cs="宋体"/>
          <w:color w:val="000000" w:themeColor="text1"/>
          <w:sz w:val="24"/>
          <w:highlight w:val="none"/>
          <w14:textFill>
            <w14:solidFill>
              <w14:schemeClr w14:val="tx1"/>
            </w14:solidFill>
          </w14:textFill>
        </w:rPr>
        <w:t xml:space="preserve"> -- 各可调因子的变值权重(即可调部分的权重)为各可调因子在投标函投标总报价中所占的比例；</w:t>
      </w:r>
    </w:p>
    <w:p w14:paraId="2DB97ED9">
      <w:pPr>
        <w:tabs>
          <w:tab w:val="left" w:pos="1260"/>
        </w:tabs>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F</w:t>
      </w:r>
      <w:r>
        <w:rPr>
          <w:rFonts w:hint="eastAsia" w:ascii="宋体" w:hAnsi="宋体" w:cs="宋体"/>
          <w:color w:val="000000" w:themeColor="text1"/>
          <w:sz w:val="24"/>
          <w:highlight w:val="none"/>
          <w:vertAlign w:val="subscript"/>
          <w14:textFill>
            <w14:solidFill>
              <w14:schemeClr w14:val="tx1"/>
            </w14:solidFill>
          </w14:textFill>
        </w:rPr>
        <w:t>t1</w:t>
      </w:r>
      <w:r>
        <w:rPr>
          <w:rFonts w:hint="eastAsia" w:ascii="宋体" w:hAnsi="宋体" w:cs="宋体"/>
          <w:color w:val="000000" w:themeColor="text1"/>
          <w:sz w:val="24"/>
          <w:highlight w:val="none"/>
          <w14:textFill>
            <w14:solidFill>
              <w14:schemeClr w14:val="tx1"/>
            </w14:solidFill>
          </w14:textFill>
        </w:rPr>
        <w:t xml:space="preserve"> ；F</w:t>
      </w:r>
      <w:r>
        <w:rPr>
          <w:rFonts w:hint="eastAsia" w:ascii="宋体" w:hAnsi="宋体" w:cs="宋体"/>
          <w:color w:val="000000" w:themeColor="text1"/>
          <w:sz w:val="24"/>
          <w:highlight w:val="none"/>
          <w:vertAlign w:val="subscript"/>
          <w14:textFill>
            <w14:solidFill>
              <w14:schemeClr w14:val="tx1"/>
            </w14:solidFill>
          </w14:textFill>
        </w:rPr>
        <w:t>t2</w:t>
      </w:r>
      <w:r>
        <w:rPr>
          <w:rFonts w:hint="eastAsia" w:ascii="宋体" w:hAnsi="宋体" w:cs="宋体"/>
          <w:color w:val="000000" w:themeColor="text1"/>
          <w:sz w:val="24"/>
          <w:highlight w:val="none"/>
          <w14:textFill>
            <w14:solidFill>
              <w14:schemeClr w14:val="tx1"/>
            </w14:solidFill>
          </w14:textFill>
        </w:rPr>
        <w:t xml:space="preserve"> ；F</w:t>
      </w:r>
      <w:r>
        <w:rPr>
          <w:rFonts w:hint="eastAsia" w:ascii="宋体" w:hAnsi="宋体" w:cs="宋体"/>
          <w:color w:val="000000" w:themeColor="text1"/>
          <w:sz w:val="24"/>
          <w:highlight w:val="none"/>
          <w:vertAlign w:val="subscript"/>
          <w14:textFill>
            <w14:solidFill>
              <w14:schemeClr w14:val="tx1"/>
            </w14:solidFill>
          </w14:textFill>
        </w:rPr>
        <w:t>t3</w:t>
      </w:r>
      <w:r>
        <w:rPr>
          <w:rFonts w:hint="eastAsia" w:ascii="宋体" w:hAnsi="宋体" w:cs="宋体"/>
          <w:color w:val="000000" w:themeColor="text1"/>
          <w:sz w:val="24"/>
          <w:highlight w:val="none"/>
          <w14:textFill>
            <w14:solidFill>
              <w14:schemeClr w14:val="tx1"/>
            </w14:solidFill>
          </w14:textFill>
        </w:rPr>
        <w:t>·····F</w:t>
      </w:r>
      <w:r>
        <w:rPr>
          <w:rFonts w:hint="eastAsia" w:ascii="宋体" w:hAnsi="宋体" w:cs="宋体"/>
          <w:color w:val="000000" w:themeColor="text1"/>
          <w:sz w:val="24"/>
          <w:highlight w:val="none"/>
          <w:vertAlign w:val="subscript"/>
          <w14:textFill>
            <w14:solidFill>
              <w14:schemeClr w14:val="tx1"/>
            </w14:solidFill>
          </w14:textFill>
        </w:rPr>
        <w:t>tn</w:t>
      </w:r>
      <w:r>
        <w:rPr>
          <w:rFonts w:hint="eastAsia" w:ascii="宋体" w:hAnsi="宋体" w:cs="宋体"/>
          <w:color w:val="000000" w:themeColor="text1"/>
          <w:sz w:val="24"/>
          <w:highlight w:val="none"/>
          <w14:textFill>
            <w14:solidFill>
              <w14:schemeClr w14:val="tx1"/>
            </w14:solidFill>
          </w14:textFill>
        </w:rPr>
        <w:t xml:space="preserve"> -- 各可调因子的现行价格指数，指第17.3.3项、第17.5.2项和第17.6.2项约定的付款证书相关周期最后一天的前42天的各可调因子的价格指数；</w:t>
      </w:r>
    </w:p>
    <w:p w14:paraId="4F919933">
      <w:pPr>
        <w:tabs>
          <w:tab w:val="left" w:pos="1260"/>
        </w:tabs>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F</w:t>
      </w:r>
      <w:r>
        <w:rPr>
          <w:rFonts w:hint="eastAsia" w:ascii="宋体" w:hAnsi="宋体" w:cs="宋体"/>
          <w:color w:val="000000" w:themeColor="text1"/>
          <w:sz w:val="24"/>
          <w:highlight w:val="none"/>
          <w:vertAlign w:val="subscript"/>
          <w14:textFill>
            <w14:solidFill>
              <w14:schemeClr w14:val="tx1"/>
            </w14:solidFill>
          </w14:textFill>
        </w:rPr>
        <w:t>o1</w:t>
      </w:r>
      <w:r>
        <w:rPr>
          <w:rFonts w:hint="eastAsia" w:ascii="宋体" w:hAnsi="宋体" w:cs="宋体"/>
          <w:color w:val="000000" w:themeColor="text1"/>
          <w:sz w:val="24"/>
          <w:highlight w:val="none"/>
          <w14:textFill>
            <w14:solidFill>
              <w14:schemeClr w14:val="tx1"/>
            </w14:solidFill>
          </w14:textFill>
        </w:rPr>
        <w:t>； F</w:t>
      </w:r>
      <w:r>
        <w:rPr>
          <w:rFonts w:hint="eastAsia" w:ascii="宋体" w:hAnsi="宋体" w:cs="宋体"/>
          <w:color w:val="000000" w:themeColor="text1"/>
          <w:sz w:val="24"/>
          <w:highlight w:val="none"/>
          <w:vertAlign w:val="subscript"/>
          <w14:textFill>
            <w14:solidFill>
              <w14:schemeClr w14:val="tx1"/>
            </w14:solidFill>
          </w14:textFill>
        </w:rPr>
        <w:t>o2</w:t>
      </w:r>
      <w:r>
        <w:rPr>
          <w:rFonts w:hint="eastAsia" w:ascii="宋体" w:hAnsi="宋体" w:cs="宋体"/>
          <w:color w:val="000000" w:themeColor="text1"/>
          <w:sz w:val="24"/>
          <w:highlight w:val="none"/>
          <w14:textFill>
            <w14:solidFill>
              <w14:schemeClr w14:val="tx1"/>
            </w14:solidFill>
          </w14:textFill>
        </w:rPr>
        <w:t>； F</w:t>
      </w:r>
      <w:r>
        <w:rPr>
          <w:rFonts w:hint="eastAsia" w:ascii="宋体" w:hAnsi="宋体" w:cs="宋体"/>
          <w:color w:val="000000" w:themeColor="text1"/>
          <w:sz w:val="24"/>
          <w:highlight w:val="none"/>
          <w:vertAlign w:val="subscript"/>
          <w14:textFill>
            <w14:solidFill>
              <w14:schemeClr w14:val="tx1"/>
            </w14:solidFill>
          </w14:textFill>
        </w:rPr>
        <w:t>o3</w:t>
      </w:r>
      <w:r>
        <w:rPr>
          <w:rFonts w:hint="eastAsia" w:ascii="宋体" w:hAnsi="宋体" w:cs="宋体"/>
          <w:color w:val="000000" w:themeColor="text1"/>
          <w:sz w:val="24"/>
          <w:highlight w:val="none"/>
          <w14:textFill>
            <w14:solidFill>
              <w14:schemeClr w14:val="tx1"/>
            </w14:solidFill>
          </w14:textFill>
        </w:rPr>
        <w:t>·····F</w:t>
      </w:r>
      <w:r>
        <w:rPr>
          <w:rFonts w:hint="eastAsia" w:ascii="宋体" w:hAnsi="宋体" w:cs="宋体"/>
          <w:color w:val="000000" w:themeColor="text1"/>
          <w:sz w:val="24"/>
          <w:highlight w:val="none"/>
          <w:vertAlign w:val="subscript"/>
          <w14:textFill>
            <w14:solidFill>
              <w14:schemeClr w14:val="tx1"/>
            </w14:solidFill>
          </w14:textFill>
        </w:rPr>
        <w:t>on</w:t>
      </w:r>
      <w:r>
        <w:rPr>
          <w:rFonts w:hint="eastAsia" w:ascii="宋体" w:hAnsi="宋体" w:cs="宋体"/>
          <w:color w:val="000000" w:themeColor="text1"/>
          <w:sz w:val="24"/>
          <w:highlight w:val="none"/>
          <w14:textFill>
            <w14:solidFill>
              <w14:schemeClr w14:val="tx1"/>
            </w14:solidFill>
          </w14:textFill>
        </w:rPr>
        <w:t xml:space="preserve"> -- 各可调因子的基本价格指数，指基准日期的各可调因子的价格指数。</w:t>
      </w:r>
    </w:p>
    <w:p w14:paraId="6D806BF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76CE75D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16.1.1.2 暂时确定调整差额</w:t>
      </w:r>
    </w:p>
    <w:p w14:paraId="101BF05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在计算调整差额时得不到现行价格指数的，可暂用上一次价格指数计算，并在以后的付款中再按实际价格指数进行调整。</w:t>
      </w:r>
    </w:p>
    <w:p w14:paraId="24F2298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16.1.1.3 权重的调整</w:t>
      </w:r>
    </w:p>
    <w:p w14:paraId="1CE80C5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按第15.1款约定的变更导致原定合同中的权重不合理时，由监理人与承包人和发包人协商后进行调整。</w:t>
      </w:r>
    </w:p>
    <w:p w14:paraId="7376DF5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16.1.1.4 承包人工期延误后的价格调整</w:t>
      </w:r>
    </w:p>
    <w:p w14:paraId="0593877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6392C25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 采用造价信息调整价格差额</w:t>
      </w:r>
    </w:p>
    <w:p w14:paraId="05921E5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257411EC">
      <w:pPr>
        <w:pStyle w:val="68"/>
        <w:ind w:firstLine="118"/>
        <w:rPr>
          <w:rFonts w:ascii="宋体" w:eastAsia="宋体"/>
          <w:color w:val="000000" w:themeColor="text1"/>
          <w:szCs w:val="24"/>
          <w:highlight w:val="none"/>
          <w14:textFill>
            <w14:solidFill>
              <w14:schemeClr w14:val="tx1"/>
            </w14:solidFill>
          </w14:textFill>
        </w:rPr>
      </w:pPr>
      <w:bookmarkStart w:id="867" w:name="_Toc179632735"/>
      <w:bookmarkEnd w:id="867"/>
      <w:bookmarkStart w:id="868" w:name="_Toc144974688"/>
      <w:bookmarkEnd w:id="868"/>
      <w:bookmarkStart w:id="869" w:name="_Toc152042496"/>
      <w:bookmarkEnd w:id="869"/>
      <w:bookmarkStart w:id="870" w:name="_Toc330406322"/>
      <w:bookmarkEnd w:id="870"/>
      <w:bookmarkStart w:id="871" w:name="_Toc386467127"/>
      <w:bookmarkEnd w:id="871"/>
      <w:bookmarkStart w:id="872" w:name="_Toc393546381"/>
      <w:bookmarkEnd w:id="872"/>
      <w:bookmarkStart w:id="873" w:name="_Toc152045717"/>
      <w:bookmarkEnd w:id="873"/>
      <w:bookmarkStart w:id="874" w:name="_Toc6690"/>
      <w:r>
        <w:rPr>
          <w:rFonts w:hint="eastAsia" w:ascii="宋体" w:eastAsia="宋体"/>
          <w:color w:val="000000" w:themeColor="text1"/>
          <w:szCs w:val="24"/>
          <w:highlight w:val="none"/>
          <w14:textFill>
            <w14:solidFill>
              <w14:schemeClr w14:val="tx1"/>
            </w14:solidFill>
          </w14:textFill>
        </w:rPr>
        <w:t>16.2 法律变化引起的价格调整</w:t>
      </w:r>
      <w:bookmarkEnd w:id="874"/>
    </w:p>
    <w:p w14:paraId="0FC0C37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0741D8D1">
      <w:pPr>
        <w:pStyle w:val="79"/>
        <w:rPr>
          <w:rFonts w:ascii="宋体" w:hAnsi="宋体"/>
          <w:color w:val="000000" w:themeColor="text1"/>
          <w:sz w:val="24"/>
          <w:szCs w:val="24"/>
          <w:highlight w:val="none"/>
          <w14:textFill>
            <w14:solidFill>
              <w14:schemeClr w14:val="tx1"/>
            </w14:solidFill>
          </w14:textFill>
        </w:rPr>
      </w:pPr>
      <w:bookmarkStart w:id="875" w:name="_Toc386467128"/>
      <w:bookmarkEnd w:id="875"/>
      <w:bookmarkStart w:id="876" w:name="_Toc393546382"/>
      <w:bookmarkEnd w:id="876"/>
      <w:bookmarkStart w:id="877" w:name="_Toc6799"/>
      <w:r>
        <w:rPr>
          <w:rFonts w:hint="eastAsia" w:ascii="宋体" w:hAnsi="宋体"/>
          <w:color w:val="000000" w:themeColor="text1"/>
          <w:sz w:val="24"/>
          <w:szCs w:val="24"/>
          <w:highlight w:val="none"/>
          <w14:textFill>
            <w14:solidFill>
              <w14:schemeClr w14:val="tx1"/>
            </w14:solidFill>
          </w14:textFill>
        </w:rPr>
        <w:t>17. 计量与支付</w:t>
      </w:r>
      <w:bookmarkEnd w:id="877"/>
    </w:p>
    <w:p w14:paraId="253978DB">
      <w:pPr>
        <w:pStyle w:val="68"/>
        <w:ind w:firstLine="118"/>
        <w:rPr>
          <w:rFonts w:ascii="宋体" w:eastAsia="宋体"/>
          <w:color w:val="000000" w:themeColor="text1"/>
          <w:szCs w:val="24"/>
          <w:highlight w:val="none"/>
          <w14:textFill>
            <w14:solidFill>
              <w14:schemeClr w14:val="tx1"/>
            </w14:solidFill>
          </w14:textFill>
        </w:rPr>
      </w:pPr>
      <w:bookmarkStart w:id="878" w:name="_Toc386467129"/>
      <w:bookmarkEnd w:id="878"/>
      <w:bookmarkStart w:id="879" w:name="_Toc393546383"/>
      <w:bookmarkEnd w:id="879"/>
      <w:bookmarkStart w:id="880" w:name="_Toc6278"/>
      <w:r>
        <w:rPr>
          <w:rFonts w:hint="eastAsia" w:ascii="宋体" w:eastAsia="宋体"/>
          <w:color w:val="000000" w:themeColor="text1"/>
          <w:szCs w:val="24"/>
          <w:highlight w:val="none"/>
          <w14:textFill>
            <w14:solidFill>
              <w14:schemeClr w14:val="tx1"/>
            </w14:solidFill>
          </w14:textFill>
        </w:rPr>
        <w:t>17.1 计量</w:t>
      </w:r>
      <w:bookmarkEnd w:id="880"/>
    </w:p>
    <w:p w14:paraId="3A52331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17.1.1 计量单位</w:t>
      </w:r>
    </w:p>
    <w:p w14:paraId="1AEFC05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计量采用国家法定的计量单位。</w:t>
      </w:r>
    </w:p>
    <w:p w14:paraId="7C4AFF5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17.1.2 计量方法</w:t>
      </w:r>
    </w:p>
    <w:p w14:paraId="47B4C09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工程量清单中的工程量计算规则应按有关国家标准、行业标准的规定，并在合同中约定执行。</w:t>
      </w:r>
    </w:p>
    <w:p w14:paraId="233376D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17.1.3 计量周期</w:t>
      </w:r>
    </w:p>
    <w:p w14:paraId="25AAC97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除专用合同条款另有约定外，单价子目已完成工程量按月计量，总价子目的计量周期按批准的支付分解报告确定。</w:t>
      </w:r>
    </w:p>
    <w:p w14:paraId="69005E6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17.1.4 单价子目的计量</w:t>
      </w:r>
    </w:p>
    <w:p w14:paraId="49B843D8">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（1）已标价工程量清单中的单价子目工程量为估算工程量。结算工程量是承包人实际完成的，并按合同约定的计量方法进行计量的工程量。</w:t>
      </w:r>
    </w:p>
    <w:p w14:paraId="131F127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（2）承包人对已完成的工程进行计量，向监理人提交进度付款申请单、已完成工程量报表和有关计量资料。</w:t>
      </w:r>
    </w:p>
    <w:p w14:paraId="071D0F95">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1B2CB9A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（4）监理人认为有必要时，可通知承包人共同进行联合测量、计量，承包人应遵照执行。</w:t>
      </w:r>
    </w:p>
    <w:p w14:paraId="12F3AD24">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756D202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（6）监理人应在收到承包人提交的工程量报表后的7天内进行复核，监理人未在约定时间内复核的，承包人提交的工程量报表中的工程量视为承包人实际完成的工程量，据此计算工程价款。</w:t>
      </w:r>
    </w:p>
    <w:p w14:paraId="5337714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17.1.5 总价子目的计量</w:t>
      </w:r>
    </w:p>
    <w:p w14:paraId="15206BF5">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除专用合同条款另有约定外，总价子目的分解和计量按照下述约定进行。</w:t>
      </w:r>
    </w:p>
    <w:p w14:paraId="6DD11D89">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（1）总价子目的计量和支付应以总价为基础，不因第16.1款中的因素而进行调整。承包人实际完成的工程量，是进行工程目标管理和控制进度支付的依据。</w:t>
      </w:r>
    </w:p>
    <w:p w14:paraId="0C875E03">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494FC3E5">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（3）监理人对承包人提交的上述资料进行复核，以确定分阶段实际完成的工程量和工程形象目标。对其有异议的，可要求承包人按第8.2款约定进行共同复核和抽样复测。</w:t>
      </w:r>
    </w:p>
    <w:p w14:paraId="50FDBF69">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（4）除按照第15条约定的变更外，总价子目的工程量是承包人用于结算的最终工程量。 </w:t>
      </w:r>
    </w:p>
    <w:p w14:paraId="524D884F">
      <w:pPr>
        <w:pStyle w:val="68"/>
        <w:ind w:firstLine="118"/>
        <w:rPr>
          <w:rFonts w:ascii="宋体" w:eastAsia="宋体"/>
          <w:color w:val="000000" w:themeColor="text1"/>
          <w:szCs w:val="24"/>
          <w:highlight w:val="none"/>
          <w14:textFill>
            <w14:solidFill>
              <w14:schemeClr w14:val="tx1"/>
            </w14:solidFill>
          </w14:textFill>
        </w:rPr>
      </w:pPr>
      <w:bookmarkStart w:id="881" w:name="_Toc386467130"/>
      <w:bookmarkEnd w:id="881"/>
      <w:bookmarkStart w:id="882" w:name="_Toc393546384"/>
      <w:bookmarkEnd w:id="882"/>
      <w:bookmarkStart w:id="883" w:name="_Toc15064"/>
      <w:r>
        <w:rPr>
          <w:rFonts w:hint="eastAsia" w:ascii="宋体" w:eastAsia="宋体"/>
          <w:color w:val="000000" w:themeColor="text1"/>
          <w:szCs w:val="24"/>
          <w:highlight w:val="none"/>
          <w14:textFill>
            <w14:solidFill>
              <w14:schemeClr w14:val="tx1"/>
            </w14:solidFill>
          </w14:textFill>
        </w:rPr>
        <w:t>17.2 预付款</w:t>
      </w:r>
      <w:bookmarkEnd w:id="883"/>
    </w:p>
    <w:p w14:paraId="4E49BC4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17.2.1 预付款</w:t>
      </w:r>
    </w:p>
    <w:p w14:paraId="4230ACE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预付款用于承包人为合同工程施工购置材料、工程设备、施工设备、修建临时设施以及组织施工队伍进场等。预付款的额度和预付办法在专用合同条款中约定。预付款必须专用于合同工程。</w:t>
      </w:r>
    </w:p>
    <w:p w14:paraId="44DFE7D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17.2.2 预付款保函</w:t>
      </w:r>
    </w:p>
    <w:p w14:paraId="0EB8520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除专用合同条款另有约定外，承包人应在收到预付款的同时向发包人提交预付款保函，预付款保函的担保金额应与预付款金额相同。保函的担保金额可根据预付款扣回的金额相应递减。</w:t>
      </w:r>
    </w:p>
    <w:p w14:paraId="076DE72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17.2.3 预付款的扣回与还清</w:t>
      </w:r>
    </w:p>
    <w:p w14:paraId="7CCC87F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预付款在进度付款中扣回，扣回办法在专用合同条款中约定。在颁发工程接收证书前，由于不可抗力或其他原因解除合同时，预付款尚未扣清的，尚未扣清的预付款余额应作为承包人的到期应付款。</w:t>
      </w:r>
    </w:p>
    <w:p w14:paraId="0322CFBE">
      <w:pPr>
        <w:pStyle w:val="68"/>
        <w:ind w:firstLine="118"/>
        <w:rPr>
          <w:rFonts w:ascii="宋体" w:eastAsia="宋体"/>
          <w:color w:val="000000" w:themeColor="text1"/>
          <w:szCs w:val="24"/>
          <w:highlight w:val="none"/>
          <w14:textFill>
            <w14:solidFill>
              <w14:schemeClr w14:val="tx1"/>
            </w14:solidFill>
          </w14:textFill>
        </w:rPr>
      </w:pPr>
      <w:bookmarkStart w:id="884" w:name="_Toc393546385"/>
      <w:bookmarkEnd w:id="884"/>
      <w:bookmarkStart w:id="885" w:name="_Toc386467131"/>
      <w:bookmarkEnd w:id="885"/>
      <w:bookmarkStart w:id="886" w:name="_Toc29039"/>
      <w:r>
        <w:rPr>
          <w:rFonts w:hint="eastAsia" w:ascii="宋体" w:eastAsia="宋体"/>
          <w:color w:val="000000" w:themeColor="text1"/>
          <w:szCs w:val="24"/>
          <w:highlight w:val="none"/>
          <w14:textFill>
            <w14:solidFill>
              <w14:schemeClr w14:val="tx1"/>
            </w14:solidFill>
          </w14:textFill>
        </w:rPr>
        <w:t>17.3 工程进度付款</w:t>
      </w:r>
      <w:bookmarkEnd w:id="886"/>
    </w:p>
    <w:p w14:paraId="2A527A7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17.3.1 付款周期</w:t>
      </w:r>
    </w:p>
    <w:p w14:paraId="1DFA86C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付款周期同计量周期。</w:t>
      </w:r>
    </w:p>
    <w:p w14:paraId="089CB2B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17.3.2 进度付款申请单</w:t>
      </w:r>
    </w:p>
    <w:p w14:paraId="6C0D99FA">
      <w:pPr>
        <w:spacing w:line="400" w:lineRule="exact"/>
        <w:ind w:firstLine="480" w:firstLineChars="200"/>
        <w:rPr>
          <w:rFonts w:ascii="宋体" w:hAnsi="宋体" w:cs="宋体"/>
          <w:dstrike/>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2F58636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（1）截至本次付款周期末已实施工程的价款；</w:t>
      </w:r>
    </w:p>
    <w:p w14:paraId="2DDD221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（2）根据第15条应增加和扣减的变更金额；</w:t>
      </w:r>
    </w:p>
    <w:p w14:paraId="458F1AE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（3）根据第23条应增加和扣减的索赔金额；</w:t>
      </w:r>
    </w:p>
    <w:p w14:paraId="0BA652B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（4）根据第17.2款约定应支付的预付款和扣减的返还预付款；</w:t>
      </w:r>
    </w:p>
    <w:p w14:paraId="1DA937A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（5）根据第17.4.1项约定应扣减的质量保证金；</w:t>
      </w:r>
    </w:p>
    <w:p w14:paraId="3566A28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（6）根据合同应增加和扣减的其他金额。</w:t>
      </w:r>
    </w:p>
    <w:p w14:paraId="23B1AFB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17.3.3 进度付款证书和支付时间</w:t>
      </w:r>
    </w:p>
    <w:p w14:paraId="66FC2248">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w:t>
      </w:r>
      <w:r>
        <w:rPr>
          <w:rFonts w:hint="eastAsia" w:ascii="宋体" w:hAnsi="宋体" w:cs="宋体"/>
          <w:color w:val="000000" w:themeColor="text1"/>
          <w:sz w:val="24"/>
          <w:highlight w:val="none"/>
          <w:lang w:eastAsia="zh-CN"/>
          <w14:textFill>
            <w14:solidFill>
              <w14:schemeClr w14:val="tx1"/>
            </w14:solidFill>
          </w14:textFill>
        </w:rPr>
        <w:t>陈工</w:t>
      </w:r>
      <w:r>
        <w:rPr>
          <w:rFonts w:hint="eastAsia" w:ascii="宋体" w:hAnsi="宋体" w:cs="宋体"/>
          <w:color w:val="000000" w:themeColor="text1"/>
          <w:sz w:val="24"/>
          <w:highlight w:val="none"/>
          <w14:textFill>
            <w14:solidFill>
              <w14:schemeClr w14:val="tx1"/>
            </w14:solidFill>
          </w14:textFill>
        </w:rPr>
        <w:t>作或义务的相应金额。</w:t>
      </w:r>
    </w:p>
    <w:p w14:paraId="6025A80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（2）发包人应在监理人收到进度付款申请单后的28天内，将进度应付款支付给承包人。发包人不按期支付的，按专用合同条款的约定支付逾期付款违约金。</w:t>
      </w:r>
    </w:p>
    <w:p w14:paraId="60189D63">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（3）监理人出具进度付款证书，不应视为监理人已同意、批准或接受了承包人完成的该部分工作。</w:t>
      </w:r>
    </w:p>
    <w:p w14:paraId="5A2915F7">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（4）进度付款涉及政府投资资金的，按照国库集中支付等国家相关规定和专用合同条款的约定办理。</w:t>
      </w:r>
    </w:p>
    <w:p w14:paraId="6E6B014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17.3.4 工程进度付款的修正</w:t>
      </w:r>
    </w:p>
    <w:p w14:paraId="35E8118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在对以往历次已签发的进度付款证书进行汇总和复核中发现错、漏或重复的，监理人有权予以修正，承包人也有权提出修正申请。经双方复核同意的修正，应在本次进度付款中支付或扣除。</w:t>
      </w:r>
    </w:p>
    <w:p w14:paraId="042AFA69">
      <w:pPr>
        <w:pStyle w:val="68"/>
        <w:ind w:firstLine="118"/>
        <w:rPr>
          <w:rFonts w:ascii="宋体" w:eastAsia="宋体"/>
          <w:color w:val="000000" w:themeColor="text1"/>
          <w:szCs w:val="24"/>
          <w:highlight w:val="none"/>
          <w14:textFill>
            <w14:solidFill>
              <w14:schemeClr w14:val="tx1"/>
            </w14:solidFill>
          </w14:textFill>
        </w:rPr>
      </w:pPr>
      <w:bookmarkStart w:id="887" w:name="_Toc386467132"/>
      <w:bookmarkEnd w:id="887"/>
      <w:bookmarkStart w:id="888" w:name="_Toc393546386"/>
      <w:bookmarkEnd w:id="888"/>
      <w:bookmarkStart w:id="889" w:name="_Toc24182"/>
      <w:r>
        <w:rPr>
          <w:rFonts w:hint="eastAsia" w:ascii="宋体" w:eastAsia="宋体"/>
          <w:color w:val="000000" w:themeColor="text1"/>
          <w:szCs w:val="24"/>
          <w:highlight w:val="none"/>
          <w14:textFill>
            <w14:solidFill>
              <w14:schemeClr w14:val="tx1"/>
            </w14:solidFill>
          </w14:textFill>
        </w:rPr>
        <w:t>17.4 质量保证金</w:t>
      </w:r>
      <w:bookmarkEnd w:id="889"/>
    </w:p>
    <w:p w14:paraId="1C820F2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7347C59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3F0F3C2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5B02D318">
      <w:pPr>
        <w:pStyle w:val="68"/>
        <w:ind w:firstLine="118"/>
        <w:rPr>
          <w:rFonts w:ascii="宋体" w:eastAsia="宋体"/>
          <w:color w:val="000000" w:themeColor="text1"/>
          <w:szCs w:val="24"/>
          <w:highlight w:val="none"/>
          <w14:textFill>
            <w14:solidFill>
              <w14:schemeClr w14:val="tx1"/>
            </w14:solidFill>
          </w14:textFill>
        </w:rPr>
      </w:pPr>
      <w:bookmarkStart w:id="890" w:name="_Toc393546387"/>
      <w:bookmarkEnd w:id="890"/>
      <w:bookmarkStart w:id="891" w:name="_Toc386467133"/>
      <w:bookmarkEnd w:id="891"/>
      <w:bookmarkStart w:id="892" w:name="_Toc26795"/>
      <w:r>
        <w:rPr>
          <w:rFonts w:hint="eastAsia" w:ascii="宋体" w:eastAsia="宋体"/>
          <w:color w:val="000000" w:themeColor="text1"/>
          <w:szCs w:val="24"/>
          <w:highlight w:val="none"/>
          <w14:textFill>
            <w14:solidFill>
              <w14:schemeClr w14:val="tx1"/>
            </w14:solidFill>
          </w14:textFill>
        </w:rPr>
        <w:t>17.5 竣工结算</w:t>
      </w:r>
      <w:bookmarkEnd w:id="892"/>
    </w:p>
    <w:p w14:paraId="0B07DF0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17.5.1 竣工付款申请单</w:t>
      </w:r>
    </w:p>
    <w:p w14:paraId="4D87B7D5">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4C7C214B">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（2）监理人对竣工付款申请单有异议的，有权要求承包人进行修正和提供补充资料。经监理人和承包人协商后，由承包人向监理人提交修正后的竣工付款申请单。</w:t>
      </w:r>
    </w:p>
    <w:p w14:paraId="503D5E3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17.5.2 竣工付款证书及支付时间</w:t>
      </w:r>
    </w:p>
    <w:p w14:paraId="1DAC5112">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6594A7D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（2）发包人应在监理人出具竣工付款证书后的14天内，将应支付款支付给承包人。发包人不按期支付的，按第17.3.3（2）目的约定，将逾期付款违约金支付给承包人。</w:t>
      </w:r>
    </w:p>
    <w:p w14:paraId="09E5BB2B">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（3）承包人对发包人签认的竣工付款证书有异议的，发包人可出具竣工付款申请单中承包人已同意部分的临时付款证书。存在争议的部分，按第24条的约定办理。</w:t>
      </w:r>
    </w:p>
    <w:p w14:paraId="6777C7EF">
      <w:pPr>
        <w:spacing w:line="400" w:lineRule="exact"/>
        <w:ind w:firstLine="720" w:firstLine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（4）竣工付款涉及政府投资资金的，按第17.3.3（4）目的约定办理。</w:t>
      </w:r>
    </w:p>
    <w:p w14:paraId="15E11A28">
      <w:pPr>
        <w:pStyle w:val="68"/>
        <w:ind w:firstLine="118"/>
        <w:rPr>
          <w:rFonts w:ascii="宋体" w:eastAsia="宋体"/>
          <w:color w:val="000000" w:themeColor="text1"/>
          <w:szCs w:val="24"/>
          <w:highlight w:val="none"/>
          <w14:textFill>
            <w14:solidFill>
              <w14:schemeClr w14:val="tx1"/>
            </w14:solidFill>
          </w14:textFill>
        </w:rPr>
      </w:pPr>
      <w:bookmarkStart w:id="893" w:name="_Toc393546388"/>
      <w:bookmarkEnd w:id="893"/>
      <w:bookmarkStart w:id="894" w:name="_Toc386467134"/>
      <w:bookmarkEnd w:id="894"/>
      <w:bookmarkStart w:id="895" w:name="_Toc2850"/>
      <w:r>
        <w:rPr>
          <w:rFonts w:hint="eastAsia" w:ascii="宋体" w:eastAsia="宋体"/>
          <w:color w:val="000000" w:themeColor="text1"/>
          <w:szCs w:val="24"/>
          <w:highlight w:val="none"/>
          <w14:textFill>
            <w14:solidFill>
              <w14:schemeClr w14:val="tx1"/>
            </w14:solidFill>
          </w14:textFill>
        </w:rPr>
        <w:t>17.6 最终结清</w:t>
      </w:r>
      <w:bookmarkEnd w:id="895"/>
    </w:p>
    <w:p w14:paraId="77BD344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17.6.1 最终结清申请单</w:t>
      </w:r>
    </w:p>
    <w:p w14:paraId="54BDDDCA">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（1）缺陷责任期终止证书签发后，承包人可按专用合同条款约定的份数和期限向监理人提交最终结清申请单，并提供相关证明材料。</w:t>
      </w:r>
    </w:p>
    <w:p w14:paraId="3E0EFFF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（2）发包人对最终结清申请单内容有异议的，有权要求承包人进行修正和提供补充资料，由承包人向监理人提交修正后的最终结清申请单。</w:t>
      </w:r>
    </w:p>
    <w:p w14:paraId="7E8AD8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17.6.2 最终结清证书和支付时间</w:t>
      </w:r>
    </w:p>
    <w:p w14:paraId="72DED1A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7464332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（2）发包人应在监理人出具最终结清证书后的14天内，将应支付款支付给承包人。发包人不按期支付的，按第17.3.3（2）目的约定，将逾期付款违约金支付给承包人。</w:t>
      </w:r>
    </w:p>
    <w:p w14:paraId="1CBDF12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（3）承包人对发包人签认的最终结清证书有异议的，按第24条的约定办理。</w:t>
      </w:r>
    </w:p>
    <w:p w14:paraId="39BF217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（4）最终结清付款涉及政府投资资金的，按第17.3.3（4）目的约定办理。</w:t>
      </w:r>
    </w:p>
    <w:p w14:paraId="7CFC020E">
      <w:pPr>
        <w:pStyle w:val="79"/>
        <w:rPr>
          <w:rFonts w:ascii="宋体" w:hAnsi="宋体"/>
          <w:color w:val="000000" w:themeColor="text1"/>
          <w:sz w:val="24"/>
          <w:szCs w:val="24"/>
          <w:highlight w:val="none"/>
          <w14:textFill>
            <w14:solidFill>
              <w14:schemeClr w14:val="tx1"/>
            </w14:solidFill>
          </w14:textFill>
        </w:rPr>
      </w:pPr>
      <w:bookmarkStart w:id="896" w:name="_Toc393546389"/>
      <w:bookmarkEnd w:id="896"/>
      <w:bookmarkStart w:id="897" w:name="_Toc386467135"/>
      <w:bookmarkEnd w:id="897"/>
      <w:bookmarkStart w:id="898" w:name="_Toc426"/>
      <w:r>
        <w:rPr>
          <w:rFonts w:hint="eastAsia" w:ascii="宋体" w:hAnsi="宋体"/>
          <w:color w:val="000000" w:themeColor="text1"/>
          <w:sz w:val="24"/>
          <w:szCs w:val="24"/>
          <w:highlight w:val="none"/>
          <w14:textFill>
            <w14:solidFill>
              <w14:schemeClr w14:val="tx1"/>
            </w14:solidFill>
          </w14:textFill>
        </w:rPr>
        <w:t>18. 竣工验收</w:t>
      </w:r>
      <w:bookmarkEnd w:id="898"/>
    </w:p>
    <w:p w14:paraId="48EEBEEA">
      <w:pPr>
        <w:pStyle w:val="68"/>
        <w:ind w:firstLine="118"/>
        <w:rPr>
          <w:rFonts w:ascii="宋体" w:eastAsia="宋体"/>
          <w:color w:val="000000" w:themeColor="text1"/>
          <w:szCs w:val="24"/>
          <w:highlight w:val="none"/>
          <w14:textFill>
            <w14:solidFill>
              <w14:schemeClr w14:val="tx1"/>
            </w14:solidFill>
          </w14:textFill>
        </w:rPr>
      </w:pPr>
      <w:bookmarkStart w:id="899" w:name="_Toc386467136"/>
      <w:bookmarkEnd w:id="899"/>
      <w:bookmarkStart w:id="900" w:name="_Toc144974697"/>
      <w:bookmarkEnd w:id="900"/>
      <w:bookmarkStart w:id="901" w:name="_Toc152045726"/>
      <w:bookmarkEnd w:id="901"/>
      <w:bookmarkStart w:id="902" w:name="_Toc152042505"/>
      <w:bookmarkEnd w:id="902"/>
      <w:bookmarkStart w:id="903" w:name="_Toc330406331"/>
      <w:bookmarkEnd w:id="903"/>
      <w:bookmarkStart w:id="904" w:name="_Toc393546390"/>
      <w:bookmarkEnd w:id="904"/>
      <w:bookmarkStart w:id="905" w:name="_Toc179632744"/>
      <w:bookmarkEnd w:id="905"/>
      <w:bookmarkStart w:id="906" w:name="_Toc24763"/>
      <w:r>
        <w:rPr>
          <w:rFonts w:hint="eastAsia" w:ascii="宋体" w:eastAsia="宋体"/>
          <w:color w:val="000000" w:themeColor="text1"/>
          <w:szCs w:val="24"/>
          <w:highlight w:val="none"/>
          <w14:textFill>
            <w14:solidFill>
              <w14:schemeClr w14:val="tx1"/>
            </w14:solidFill>
          </w14:textFill>
        </w:rPr>
        <w:t>18.1 竣工验收的含义</w:t>
      </w:r>
      <w:bookmarkEnd w:id="906"/>
    </w:p>
    <w:p w14:paraId="5B2A49B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18.1.1 竣工验收指承包人完成了全部合同工作后，发包人按合同要求进行的验收。</w:t>
      </w:r>
    </w:p>
    <w:p w14:paraId="56B941E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18.1.2 国家验收是政府有关部门根据法律、规范、规程和政策要求，针对发包人全面组织实施的整个工程正式交付投运前的验收。</w:t>
      </w:r>
    </w:p>
    <w:p w14:paraId="5729FB7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48AFC862">
      <w:pPr>
        <w:pStyle w:val="68"/>
        <w:ind w:firstLine="118"/>
        <w:rPr>
          <w:rFonts w:ascii="宋体" w:eastAsia="宋体"/>
          <w:color w:val="000000" w:themeColor="text1"/>
          <w:szCs w:val="24"/>
          <w:highlight w:val="none"/>
          <w14:textFill>
            <w14:solidFill>
              <w14:schemeClr w14:val="tx1"/>
            </w14:solidFill>
          </w14:textFill>
        </w:rPr>
      </w:pPr>
      <w:bookmarkStart w:id="907" w:name="_Toc393546391"/>
      <w:bookmarkEnd w:id="907"/>
      <w:bookmarkStart w:id="908" w:name="_Toc386467137"/>
      <w:bookmarkEnd w:id="908"/>
      <w:bookmarkStart w:id="909" w:name="_Toc9786"/>
      <w:r>
        <w:rPr>
          <w:rFonts w:hint="eastAsia" w:ascii="宋体" w:eastAsia="宋体"/>
          <w:color w:val="000000" w:themeColor="text1"/>
          <w:szCs w:val="24"/>
          <w:highlight w:val="none"/>
          <w14:textFill>
            <w14:solidFill>
              <w14:schemeClr w14:val="tx1"/>
            </w14:solidFill>
          </w14:textFill>
        </w:rPr>
        <w:t>18.2 竣工验收申请报告</w:t>
      </w:r>
      <w:bookmarkEnd w:id="909"/>
    </w:p>
    <w:p w14:paraId="0742CCC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当工程具备以下条件时，承包人即可向监理人报送竣工验收申请报告：</w:t>
      </w:r>
    </w:p>
    <w:p w14:paraId="05E3B45F">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（1）除监理人同意列入缺陷责任期内完成的尾工（甩项）工程和缺陷修补工作外，合同范围内的全部单位工程以及有关工作，包括合同要求的试验、试运行以及检验和验收均已完成，并符合合同要求；</w:t>
      </w:r>
    </w:p>
    <w:p w14:paraId="0D0CCC2E">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（2）已按合同约定的内容和份数备齐了符合要求的竣工资料； </w:t>
      </w:r>
    </w:p>
    <w:p w14:paraId="3DF4082C">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（3）已按监理人的要求编制了在缺陷责任期内完成的尾工（甩项）工程和缺陷修补工作清单以及相应施工计划；</w:t>
      </w:r>
    </w:p>
    <w:p w14:paraId="013047E3">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（4）监理人要求在竣工验收前应完成的其他工作；</w:t>
      </w:r>
    </w:p>
    <w:p w14:paraId="6FB2EDF4">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（5）监理人要求提交的竣工验收资料清单。</w:t>
      </w:r>
    </w:p>
    <w:p w14:paraId="3A4C050F">
      <w:pPr>
        <w:pStyle w:val="68"/>
        <w:ind w:firstLine="118"/>
        <w:rPr>
          <w:rFonts w:ascii="宋体" w:eastAsia="宋体"/>
          <w:color w:val="000000" w:themeColor="text1"/>
          <w:szCs w:val="24"/>
          <w:highlight w:val="none"/>
          <w14:textFill>
            <w14:solidFill>
              <w14:schemeClr w14:val="tx1"/>
            </w14:solidFill>
          </w14:textFill>
        </w:rPr>
      </w:pPr>
      <w:bookmarkStart w:id="910" w:name="_Toc386467138"/>
      <w:bookmarkEnd w:id="910"/>
      <w:bookmarkStart w:id="911" w:name="_Toc393546392"/>
      <w:bookmarkEnd w:id="911"/>
      <w:bookmarkStart w:id="912" w:name="_Toc28063"/>
      <w:r>
        <w:rPr>
          <w:rFonts w:hint="eastAsia" w:ascii="宋体" w:eastAsia="宋体"/>
          <w:color w:val="000000" w:themeColor="text1"/>
          <w:szCs w:val="24"/>
          <w:highlight w:val="none"/>
          <w14:textFill>
            <w14:solidFill>
              <w14:schemeClr w14:val="tx1"/>
            </w14:solidFill>
          </w14:textFill>
        </w:rPr>
        <w:t>18.3 验收</w:t>
      </w:r>
      <w:bookmarkEnd w:id="912"/>
    </w:p>
    <w:p w14:paraId="3A76022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监理人收到承包人按第18.2款约定提交的竣工验收申请报告后，应审查申请报告的各项内容，并按以下不同情况进行处理。</w:t>
      </w:r>
    </w:p>
    <w:p w14:paraId="7231D21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014D964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18.3.2 监理人审查后认为已具备竣工验收条件的，应在收到竣工验收申请报告后的28天内提请发包人进行工程验收。</w:t>
      </w:r>
    </w:p>
    <w:p w14:paraId="3C6FD28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5FDCF3A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4AE6FC6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18.3.5 除专用合同条款另有约定外，经验收合格工程的实际竣工日期，以提交竣工验收申请报告的日期为准，并在工程接收证书中写明。</w:t>
      </w:r>
    </w:p>
    <w:p w14:paraId="17DFE63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18.3.6 发包人在收到承包人竣工验收申请报告56天后未进行验收的，视为验收合格，实际竣工日期以提交竣工验收申请报告的日期为准，但发包人由于不可抗力不能进行验收的除外。</w:t>
      </w:r>
    </w:p>
    <w:p w14:paraId="34ABE130">
      <w:pPr>
        <w:pStyle w:val="68"/>
        <w:ind w:firstLine="118"/>
        <w:rPr>
          <w:rFonts w:ascii="宋体" w:eastAsia="宋体"/>
          <w:color w:val="000000" w:themeColor="text1"/>
          <w:szCs w:val="24"/>
          <w:highlight w:val="none"/>
          <w14:textFill>
            <w14:solidFill>
              <w14:schemeClr w14:val="tx1"/>
            </w14:solidFill>
          </w14:textFill>
        </w:rPr>
      </w:pPr>
      <w:bookmarkStart w:id="913" w:name="_Toc179632747"/>
      <w:bookmarkEnd w:id="913"/>
      <w:bookmarkStart w:id="914" w:name="_Toc330406334"/>
      <w:bookmarkEnd w:id="914"/>
      <w:bookmarkStart w:id="915" w:name="_Toc386467139"/>
      <w:bookmarkEnd w:id="915"/>
      <w:bookmarkStart w:id="916" w:name="_Toc393546393"/>
      <w:bookmarkEnd w:id="916"/>
      <w:bookmarkStart w:id="917" w:name="_Toc152042508"/>
      <w:bookmarkEnd w:id="917"/>
      <w:bookmarkStart w:id="918" w:name="_Toc152045729"/>
      <w:bookmarkEnd w:id="918"/>
      <w:bookmarkStart w:id="919" w:name="_Toc144974700"/>
      <w:bookmarkEnd w:id="919"/>
      <w:bookmarkStart w:id="920" w:name="_Toc20473"/>
      <w:r>
        <w:rPr>
          <w:rFonts w:hint="eastAsia" w:ascii="宋体" w:eastAsia="宋体"/>
          <w:color w:val="000000" w:themeColor="text1"/>
          <w:szCs w:val="24"/>
          <w:highlight w:val="none"/>
          <w14:textFill>
            <w14:solidFill>
              <w14:schemeClr w14:val="tx1"/>
            </w14:solidFill>
          </w14:textFill>
        </w:rPr>
        <w:t>18.4 单位工程验收</w:t>
      </w:r>
      <w:bookmarkEnd w:id="920"/>
    </w:p>
    <w:p w14:paraId="73130B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62D4135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18.4.2 发包人在全部工程竣工前，使用已接收的单位工程导致承包人费用增加的，发包人应承担由此增加的费用和（或）工期延误，并支付承包人合理利润。</w:t>
      </w:r>
    </w:p>
    <w:p w14:paraId="654A9364">
      <w:pPr>
        <w:pStyle w:val="68"/>
        <w:ind w:firstLine="118"/>
        <w:rPr>
          <w:rFonts w:ascii="宋体" w:eastAsia="宋体"/>
          <w:color w:val="000000" w:themeColor="text1"/>
          <w:szCs w:val="24"/>
          <w:highlight w:val="none"/>
          <w14:textFill>
            <w14:solidFill>
              <w14:schemeClr w14:val="tx1"/>
            </w14:solidFill>
          </w14:textFill>
        </w:rPr>
      </w:pPr>
      <w:bookmarkStart w:id="921" w:name="_Toc386467140"/>
      <w:bookmarkEnd w:id="921"/>
      <w:bookmarkStart w:id="922" w:name="_Toc330406335"/>
      <w:bookmarkEnd w:id="922"/>
      <w:bookmarkStart w:id="923" w:name="_Toc179632748"/>
      <w:bookmarkEnd w:id="923"/>
      <w:bookmarkStart w:id="924" w:name="_Toc152045730"/>
      <w:bookmarkEnd w:id="924"/>
      <w:bookmarkStart w:id="925" w:name="_Toc393546394"/>
      <w:bookmarkEnd w:id="925"/>
      <w:bookmarkStart w:id="926" w:name="_Toc144974701"/>
      <w:bookmarkEnd w:id="926"/>
      <w:bookmarkStart w:id="927" w:name="_Toc152042509"/>
      <w:bookmarkEnd w:id="927"/>
      <w:bookmarkStart w:id="928" w:name="_Toc16063"/>
      <w:r>
        <w:rPr>
          <w:rFonts w:hint="eastAsia" w:ascii="宋体" w:eastAsia="宋体"/>
          <w:color w:val="000000" w:themeColor="text1"/>
          <w:szCs w:val="24"/>
          <w:highlight w:val="none"/>
          <w14:textFill>
            <w14:solidFill>
              <w14:schemeClr w14:val="tx1"/>
            </w14:solidFill>
          </w14:textFill>
        </w:rPr>
        <w:t>18.5 施工期运行</w:t>
      </w:r>
      <w:bookmarkEnd w:id="928"/>
    </w:p>
    <w:p w14:paraId="4624AB6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3184B86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18.5.2 在施工期运行中发现工程或工程设备损坏或存在缺陷的，由承包人按第19.2款约定进行修复。</w:t>
      </w:r>
    </w:p>
    <w:p w14:paraId="46409F81">
      <w:pPr>
        <w:pStyle w:val="68"/>
        <w:ind w:firstLine="118"/>
        <w:rPr>
          <w:rFonts w:ascii="宋体" w:eastAsia="宋体"/>
          <w:color w:val="000000" w:themeColor="text1"/>
          <w:szCs w:val="24"/>
          <w:highlight w:val="none"/>
          <w14:textFill>
            <w14:solidFill>
              <w14:schemeClr w14:val="tx1"/>
            </w14:solidFill>
          </w14:textFill>
        </w:rPr>
      </w:pPr>
      <w:bookmarkStart w:id="929" w:name="_Toc393546395"/>
      <w:bookmarkEnd w:id="929"/>
      <w:bookmarkStart w:id="930" w:name="_Toc152042510"/>
      <w:bookmarkEnd w:id="930"/>
      <w:bookmarkStart w:id="931" w:name="_Toc179632749"/>
      <w:bookmarkEnd w:id="931"/>
      <w:bookmarkStart w:id="932" w:name="_Toc152045731"/>
      <w:bookmarkEnd w:id="932"/>
      <w:bookmarkStart w:id="933" w:name="_Toc330406336"/>
      <w:bookmarkEnd w:id="933"/>
      <w:bookmarkStart w:id="934" w:name="_Toc144974702"/>
      <w:bookmarkEnd w:id="934"/>
      <w:bookmarkStart w:id="935" w:name="_Toc386467141"/>
      <w:bookmarkEnd w:id="935"/>
      <w:bookmarkStart w:id="936" w:name="_Toc12959"/>
      <w:r>
        <w:rPr>
          <w:rFonts w:hint="eastAsia" w:ascii="宋体" w:eastAsia="宋体"/>
          <w:color w:val="000000" w:themeColor="text1"/>
          <w:szCs w:val="24"/>
          <w:highlight w:val="none"/>
          <w14:textFill>
            <w14:solidFill>
              <w14:schemeClr w14:val="tx1"/>
            </w14:solidFill>
          </w14:textFill>
        </w:rPr>
        <w:t>18.6 试运行</w:t>
      </w:r>
      <w:bookmarkEnd w:id="936"/>
    </w:p>
    <w:p w14:paraId="6CB37D0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18.6.1 除专用合同条款另有约定外，承包人应按专用合同条款约定进行工程及工程设备试运行，负责提供试运行所需的人员、器材和必要的条件，并承担全部试运行费用。</w:t>
      </w:r>
    </w:p>
    <w:p w14:paraId="5864B74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73949DEC">
      <w:pPr>
        <w:pStyle w:val="68"/>
        <w:ind w:firstLine="118"/>
        <w:rPr>
          <w:rFonts w:ascii="宋体" w:eastAsia="宋体"/>
          <w:color w:val="000000" w:themeColor="text1"/>
          <w:szCs w:val="24"/>
          <w:highlight w:val="none"/>
          <w14:textFill>
            <w14:solidFill>
              <w14:schemeClr w14:val="tx1"/>
            </w14:solidFill>
          </w14:textFill>
        </w:rPr>
      </w:pPr>
      <w:bookmarkStart w:id="937" w:name="_Toc144974703"/>
      <w:bookmarkEnd w:id="937"/>
      <w:bookmarkStart w:id="938" w:name="_Toc152045732"/>
      <w:bookmarkEnd w:id="938"/>
      <w:bookmarkStart w:id="939" w:name="_Toc393546396"/>
      <w:bookmarkEnd w:id="939"/>
      <w:bookmarkStart w:id="940" w:name="_Toc179632750"/>
      <w:bookmarkEnd w:id="940"/>
      <w:bookmarkStart w:id="941" w:name="_Toc152042511"/>
      <w:bookmarkEnd w:id="941"/>
      <w:bookmarkStart w:id="942" w:name="_Toc386467142"/>
      <w:bookmarkEnd w:id="942"/>
      <w:bookmarkStart w:id="943" w:name="_Toc330406337"/>
      <w:bookmarkEnd w:id="943"/>
      <w:bookmarkStart w:id="944" w:name="_Toc20825"/>
      <w:r>
        <w:rPr>
          <w:rFonts w:hint="eastAsia" w:ascii="宋体" w:eastAsia="宋体"/>
          <w:color w:val="000000" w:themeColor="text1"/>
          <w:szCs w:val="24"/>
          <w:highlight w:val="none"/>
          <w14:textFill>
            <w14:solidFill>
              <w14:schemeClr w14:val="tx1"/>
            </w14:solidFill>
          </w14:textFill>
        </w:rPr>
        <w:t>18.7 竣工清场</w:t>
      </w:r>
      <w:bookmarkEnd w:id="944"/>
    </w:p>
    <w:p w14:paraId="41F071A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18.7.1 除合同另有约定外，工程接收证书颁发后，承包人应按以下要求对施工场地进行清理，直至监理人检验合格为止。竣工清场费用由承包人承担。</w:t>
      </w:r>
    </w:p>
    <w:p w14:paraId="0ECC9607">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（1）施工场地内残留的垃圾已全部清除出场；</w:t>
      </w:r>
    </w:p>
    <w:p w14:paraId="52419C0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（2）临时工程已拆除，场地已按合同要求进行清理、平整或复原；</w:t>
      </w:r>
    </w:p>
    <w:p w14:paraId="1B82D3C8">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（3）按合同约定应撤离的承包人设备和剩余的材料，包括废弃的施工设备和材料，已按计划撤离施工场地；</w:t>
      </w:r>
    </w:p>
    <w:p w14:paraId="27802BA3">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（4）工程建筑物周边及其附近道路、河道的施工堆积物，已按监理人指示全部清理；</w:t>
      </w:r>
    </w:p>
    <w:p w14:paraId="1741827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（5）监理人指示的其他场地清理工作已全部完成。</w:t>
      </w:r>
    </w:p>
    <w:p w14:paraId="7659ED3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18.7.2 承包人未按监理人的要求恢复临时占地，或者场地清理未达到合同约定的，发包人有权委托其他人恢复或清理，所发生的金额从拟支付给承包人的款项中扣除。</w:t>
      </w:r>
    </w:p>
    <w:p w14:paraId="267BB6C9">
      <w:pPr>
        <w:pStyle w:val="68"/>
        <w:ind w:firstLine="118"/>
        <w:rPr>
          <w:rFonts w:ascii="宋体" w:eastAsia="宋体"/>
          <w:color w:val="000000" w:themeColor="text1"/>
          <w:szCs w:val="24"/>
          <w:highlight w:val="none"/>
          <w14:textFill>
            <w14:solidFill>
              <w14:schemeClr w14:val="tx1"/>
            </w14:solidFill>
          </w14:textFill>
        </w:rPr>
      </w:pPr>
      <w:bookmarkStart w:id="945" w:name="_Toc386467143"/>
      <w:bookmarkEnd w:id="945"/>
      <w:bookmarkStart w:id="946" w:name="_Toc393546397"/>
      <w:bookmarkEnd w:id="946"/>
      <w:bookmarkStart w:id="947" w:name="_Toc5452"/>
      <w:r>
        <w:rPr>
          <w:rFonts w:hint="eastAsia" w:ascii="宋体" w:eastAsia="宋体"/>
          <w:color w:val="000000" w:themeColor="text1"/>
          <w:szCs w:val="24"/>
          <w:highlight w:val="none"/>
          <w14:textFill>
            <w14:solidFill>
              <w14:schemeClr w14:val="tx1"/>
            </w14:solidFill>
          </w14:textFill>
        </w:rPr>
        <w:t>18.8 施工队伍的撤离</w:t>
      </w:r>
      <w:bookmarkEnd w:id="947"/>
    </w:p>
    <w:p w14:paraId="231F0D7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48C84FE0">
      <w:pPr>
        <w:pStyle w:val="79"/>
        <w:rPr>
          <w:rFonts w:ascii="宋体" w:hAnsi="宋体"/>
          <w:color w:val="000000" w:themeColor="text1"/>
          <w:sz w:val="24"/>
          <w:szCs w:val="24"/>
          <w:highlight w:val="none"/>
          <w14:textFill>
            <w14:solidFill>
              <w14:schemeClr w14:val="tx1"/>
            </w14:solidFill>
          </w14:textFill>
        </w:rPr>
      </w:pPr>
      <w:bookmarkStart w:id="948" w:name="_Toc393546398"/>
      <w:bookmarkEnd w:id="948"/>
      <w:bookmarkStart w:id="949" w:name="_Toc386467144"/>
      <w:bookmarkEnd w:id="949"/>
      <w:bookmarkStart w:id="950" w:name="_Toc31615"/>
      <w:r>
        <w:rPr>
          <w:rFonts w:hint="eastAsia" w:ascii="宋体" w:hAnsi="宋体"/>
          <w:color w:val="000000" w:themeColor="text1"/>
          <w:sz w:val="24"/>
          <w:szCs w:val="24"/>
          <w:highlight w:val="none"/>
          <w14:textFill>
            <w14:solidFill>
              <w14:schemeClr w14:val="tx1"/>
            </w14:solidFill>
          </w14:textFill>
        </w:rPr>
        <w:t>19. 缺陷责任与保修责任</w:t>
      </w:r>
      <w:bookmarkEnd w:id="950"/>
    </w:p>
    <w:p w14:paraId="5A1A6355">
      <w:pPr>
        <w:pStyle w:val="68"/>
        <w:ind w:firstLine="118"/>
        <w:rPr>
          <w:rFonts w:ascii="宋体" w:eastAsia="宋体"/>
          <w:color w:val="000000" w:themeColor="text1"/>
          <w:szCs w:val="24"/>
          <w:highlight w:val="none"/>
          <w14:textFill>
            <w14:solidFill>
              <w14:schemeClr w14:val="tx1"/>
            </w14:solidFill>
          </w14:textFill>
        </w:rPr>
      </w:pPr>
      <w:bookmarkStart w:id="951" w:name="_Toc386467145"/>
      <w:bookmarkEnd w:id="951"/>
      <w:bookmarkStart w:id="952" w:name="_Toc152042514"/>
      <w:bookmarkEnd w:id="952"/>
      <w:bookmarkStart w:id="953" w:name="_Toc144974706"/>
      <w:bookmarkEnd w:id="953"/>
      <w:bookmarkStart w:id="954" w:name="_Toc393546399"/>
      <w:bookmarkEnd w:id="954"/>
      <w:bookmarkStart w:id="955" w:name="_Toc179632753"/>
      <w:bookmarkEnd w:id="955"/>
      <w:bookmarkStart w:id="956" w:name="_Toc330406340"/>
      <w:bookmarkEnd w:id="956"/>
      <w:bookmarkStart w:id="957" w:name="_Toc152045735"/>
      <w:bookmarkEnd w:id="957"/>
      <w:bookmarkStart w:id="958" w:name="_Toc15221"/>
      <w:r>
        <w:rPr>
          <w:rFonts w:hint="eastAsia" w:ascii="宋体" w:eastAsia="宋体"/>
          <w:color w:val="000000" w:themeColor="text1"/>
          <w:szCs w:val="24"/>
          <w:highlight w:val="none"/>
          <w14:textFill>
            <w14:solidFill>
              <w14:schemeClr w14:val="tx1"/>
            </w14:solidFill>
          </w14:textFill>
        </w:rPr>
        <w:t>19.1 缺陷责任期的起算时间</w:t>
      </w:r>
      <w:bookmarkEnd w:id="958"/>
    </w:p>
    <w:p w14:paraId="311989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缺陷责任期自实际竣工日期起计算。在全部工程竣工验收前，已经发包人提前验收的单位工程，其缺陷责任期的起算日期相应提前。</w:t>
      </w:r>
    </w:p>
    <w:p w14:paraId="0A2C5773">
      <w:pPr>
        <w:pStyle w:val="68"/>
        <w:ind w:firstLine="118"/>
        <w:rPr>
          <w:rFonts w:ascii="宋体" w:eastAsia="宋体"/>
          <w:color w:val="000000" w:themeColor="text1"/>
          <w:szCs w:val="24"/>
          <w:highlight w:val="none"/>
          <w14:textFill>
            <w14:solidFill>
              <w14:schemeClr w14:val="tx1"/>
            </w14:solidFill>
          </w14:textFill>
        </w:rPr>
      </w:pPr>
      <w:bookmarkStart w:id="959" w:name="_Toc393546400"/>
      <w:bookmarkEnd w:id="959"/>
      <w:bookmarkStart w:id="960" w:name="_Toc386467146"/>
      <w:bookmarkEnd w:id="960"/>
      <w:bookmarkStart w:id="961" w:name="_Toc18897"/>
      <w:r>
        <w:rPr>
          <w:rFonts w:hint="eastAsia" w:ascii="宋体" w:eastAsia="宋体"/>
          <w:color w:val="000000" w:themeColor="text1"/>
          <w:szCs w:val="24"/>
          <w:highlight w:val="none"/>
          <w14:textFill>
            <w14:solidFill>
              <w14:schemeClr w14:val="tx1"/>
            </w14:solidFill>
          </w14:textFill>
        </w:rPr>
        <w:t>19.2 缺陷责任</w:t>
      </w:r>
      <w:bookmarkEnd w:id="961"/>
    </w:p>
    <w:p w14:paraId="0D2D9E6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19.2.1 承包人应在缺陷责任期内对已交付使用的工程承担缺陷责任。</w:t>
      </w:r>
    </w:p>
    <w:p w14:paraId="49A863F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01EB745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32C6B4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19.2.4 承包人不能在合理时间内修复缺陷的，发包人可自行修复或委托其他人修复，所需费用和利润的承担，按第19.2.3项约定办理。</w:t>
      </w:r>
    </w:p>
    <w:p w14:paraId="0382386F">
      <w:pPr>
        <w:pStyle w:val="68"/>
        <w:ind w:firstLine="118"/>
        <w:rPr>
          <w:rFonts w:ascii="宋体" w:eastAsia="宋体"/>
          <w:color w:val="000000" w:themeColor="text1"/>
          <w:szCs w:val="24"/>
          <w:highlight w:val="none"/>
          <w14:textFill>
            <w14:solidFill>
              <w14:schemeClr w14:val="tx1"/>
            </w14:solidFill>
          </w14:textFill>
        </w:rPr>
      </w:pPr>
      <w:bookmarkStart w:id="962" w:name="_Toc144974708"/>
      <w:bookmarkEnd w:id="962"/>
      <w:bookmarkStart w:id="963" w:name="_Toc152042516"/>
      <w:bookmarkEnd w:id="963"/>
      <w:bookmarkStart w:id="964" w:name="_Toc179632755"/>
      <w:bookmarkEnd w:id="964"/>
      <w:bookmarkStart w:id="965" w:name="_Toc393546401"/>
      <w:bookmarkEnd w:id="965"/>
      <w:bookmarkStart w:id="966" w:name="_Toc330406342"/>
      <w:bookmarkEnd w:id="966"/>
      <w:bookmarkStart w:id="967" w:name="_Toc152045737"/>
      <w:bookmarkEnd w:id="967"/>
      <w:bookmarkStart w:id="968" w:name="_Toc386467147"/>
      <w:bookmarkEnd w:id="968"/>
      <w:bookmarkStart w:id="969" w:name="_Toc564"/>
      <w:r>
        <w:rPr>
          <w:rFonts w:hint="eastAsia" w:ascii="宋体" w:eastAsia="宋体"/>
          <w:color w:val="000000" w:themeColor="text1"/>
          <w:szCs w:val="24"/>
          <w:highlight w:val="none"/>
          <w14:textFill>
            <w14:solidFill>
              <w14:schemeClr w14:val="tx1"/>
            </w14:solidFill>
          </w14:textFill>
        </w:rPr>
        <w:t>19.3 缺陷责任期的延长</w:t>
      </w:r>
      <w:bookmarkEnd w:id="969"/>
    </w:p>
    <w:p w14:paraId="36CCC84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由于承包人原因造成某项缺陷或损坏使某项工程或工程设备不能按原定目标使用而需要再次检查、检验和修复的，发包人有权要求承包人相应延长缺陷责任期，但缺陷责任期最长不超过2年。</w:t>
      </w:r>
    </w:p>
    <w:p w14:paraId="56582AA0">
      <w:pPr>
        <w:pStyle w:val="68"/>
        <w:ind w:firstLine="118"/>
        <w:rPr>
          <w:rFonts w:ascii="宋体" w:eastAsia="宋体"/>
          <w:color w:val="000000" w:themeColor="text1"/>
          <w:szCs w:val="24"/>
          <w:highlight w:val="none"/>
          <w14:textFill>
            <w14:solidFill>
              <w14:schemeClr w14:val="tx1"/>
            </w14:solidFill>
          </w14:textFill>
        </w:rPr>
      </w:pPr>
      <w:bookmarkStart w:id="970" w:name="_Toc152042517"/>
      <w:bookmarkEnd w:id="970"/>
      <w:bookmarkStart w:id="971" w:name="_Toc330406343"/>
      <w:bookmarkEnd w:id="971"/>
      <w:bookmarkStart w:id="972" w:name="_Toc144974709"/>
      <w:bookmarkEnd w:id="972"/>
      <w:bookmarkStart w:id="973" w:name="_Toc386467148"/>
      <w:bookmarkEnd w:id="973"/>
      <w:bookmarkStart w:id="974" w:name="_Toc152045738"/>
      <w:bookmarkEnd w:id="974"/>
      <w:bookmarkStart w:id="975" w:name="_Toc179632756"/>
      <w:bookmarkEnd w:id="975"/>
      <w:bookmarkStart w:id="976" w:name="_Toc393546402"/>
      <w:bookmarkEnd w:id="976"/>
      <w:bookmarkStart w:id="977" w:name="_Toc1047"/>
      <w:r>
        <w:rPr>
          <w:rFonts w:hint="eastAsia" w:ascii="宋体" w:eastAsia="宋体"/>
          <w:color w:val="000000" w:themeColor="text1"/>
          <w:szCs w:val="24"/>
          <w:highlight w:val="none"/>
          <w14:textFill>
            <w14:solidFill>
              <w14:schemeClr w14:val="tx1"/>
            </w14:solidFill>
          </w14:textFill>
        </w:rPr>
        <w:t>19.4 进一步试验和试运行</w:t>
      </w:r>
      <w:bookmarkEnd w:id="977"/>
    </w:p>
    <w:p w14:paraId="0D2605D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任何一项缺陷或损坏修复后，经检查证明其影响了工程或工程设备的使用性能，承包人应重新进行合同约定的试验和试运行，试验和试运行的全部费用应由责任方承担。</w:t>
      </w:r>
    </w:p>
    <w:p w14:paraId="0F29E126">
      <w:pPr>
        <w:pStyle w:val="68"/>
        <w:ind w:firstLine="118"/>
        <w:rPr>
          <w:rFonts w:ascii="宋体" w:eastAsia="宋体"/>
          <w:color w:val="000000" w:themeColor="text1"/>
          <w:szCs w:val="24"/>
          <w:highlight w:val="none"/>
          <w14:textFill>
            <w14:solidFill>
              <w14:schemeClr w14:val="tx1"/>
            </w14:solidFill>
          </w14:textFill>
        </w:rPr>
      </w:pPr>
      <w:bookmarkStart w:id="978" w:name="_Toc393546403"/>
      <w:bookmarkEnd w:id="978"/>
      <w:bookmarkStart w:id="979" w:name="_Toc386467149"/>
      <w:bookmarkEnd w:id="979"/>
      <w:bookmarkStart w:id="980" w:name="_Toc15610"/>
      <w:r>
        <w:rPr>
          <w:rFonts w:hint="eastAsia" w:ascii="宋体" w:eastAsia="宋体"/>
          <w:color w:val="000000" w:themeColor="text1"/>
          <w:szCs w:val="24"/>
          <w:highlight w:val="none"/>
          <w14:textFill>
            <w14:solidFill>
              <w14:schemeClr w14:val="tx1"/>
            </w14:solidFill>
          </w14:textFill>
        </w:rPr>
        <w:t>19.5 承包人的进入权</w:t>
      </w:r>
      <w:bookmarkEnd w:id="980"/>
    </w:p>
    <w:p w14:paraId="119A076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缺陷责任期内承包人为缺陷修复工作需要，有权进入工程现场，但应遵守发包人的保安和保密规定。</w:t>
      </w:r>
    </w:p>
    <w:p w14:paraId="63BBE103">
      <w:pPr>
        <w:pStyle w:val="68"/>
        <w:ind w:firstLine="118"/>
        <w:rPr>
          <w:rFonts w:ascii="宋体" w:eastAsia="宋体"/>
          <w:color w:val="000000" w:themeColor="text1"/>
          <w:szCs w:val="24"/>
          <w:highlight w:val="none"/>
          <w14:textFill>
            <w14:solidFill>
              <w14:schemeClr w14:val="tx1"/>
            </w14:solidFill>
          </w14:textFill>
        </w:rPr>
      </w:pPr>
      <w:bookmarkStart w:id="981" w:name="_Toc179632758"/>
      <w:bookmarkEnd w:id="981"/>
      <w:bookmarkStart w:id="982" w:name="_Toc330406345"/>
      <w:bookmarkEnd w:id="982"/>
      <w:bookmarkStart w:id="983" w:name="_Toc152042519"/>
      <w:bookmarkEnd w:id="983"/>
      <w:bookmarkStart w:id="984" w:name="_Toc144974711"/>
      <w:bookmarkEnd w:id="984"/>
      <w:bookmarkStart w:id="985" w:name="_Toc152045740"/>
      <w:bookmarkEnd w:id="985"/>
      <w:bookmarkStart w:id="986" w:name="_Toc393546404"/>
      <w:bookmarkEnd w:id="986"/>
      <w:bookmarkStart w:id="987" w:name="_Toc386467150"/>
      <w:bookmarkEnd w:id="987"/>
      <w:bookmarkStart w:id="988" w:name="_Toc22430"/>
      <w:r>
        <w:rPr>
          <w:rFonts w:hint="eastAsia" w:ascii="宋体" w:eastAsia="宋体"/>
          <w:color w:val="000000" w:themeColor="text1"/>
          <w:szCs w:val="24"/>
          <w:highlight w:val="none"/>
          <w14:textFill>
            <w14:solidFill>
              <w14:schemeClr w14:val="tx1"/>
            </w14:solidFill>
          </w14:textFill>
        </w:rPr>
        <w:t>19.6 缺陷责任期终止证书</w:t>
      </w:r>
      <w:bookmarkEnd w:id="988"/>
    </w:p>
    <w:p w14:paraId="074FF8C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在第1.1.4.5目约定的缺陷责任期，包括根据第19.3款延长的期限终止后14天内，由监理人向承包人出具经发包人签认的缺陷责任期终止证书，并退还剩余的质量保证金。</w:t>
      </w:r>
    </w:p>
    <w:p w14:paraId="58481CAA">
      <w:pPr>
        <w:pStyle w:val="68"/>
        <w:ind w:firstLine="118"/>
        <w:rPr>
          <w:rFonts w:ascii="宋体" w:eastAsia="宋体"/>
          <w:color w:val="000000" w:themeColor="text1"/>
          <w:szCs w:val="24"/>
          <w:highlight w:val="none"/>
          <w14:textFill>
            <w14:solidFill>
              <w14:schemeClr w14:val="tx1"/>
            </w14:solidFill>
          </w14:textFill>
        </w:rPr>
      </w:pPr>
      <w:bookmarkStart w:id="989" w:name="_Toc393546405"/>
      <w:bookmarkEnd w:id="989"/>
      <w:bookmarkStart w:id="990" w:name="_Toc386467151"/>
      <w:bookmarkEnd w:id="990"/>
      <w:bookmarkStart w:id="991" w:name="_Toc29944"/>
      <w:r>
        <w:rPr>
          <w:rFonts w:hint="eastAsia" w:ascii="宋体" w:eastAsia="宋体"/>
          <w:color w:val="000000" w:themeColor="text1"/>
          <w:szCs w:val="24"/>
          <w:highlight w:val="none"/>
          <w14:textFill>
            <w14:solidFill>
              <w14:schemeClr w14:val="tx1"/>
            </w14:solidFill>
          </w14:textFill>
        </w:rPr>
        <w:t>19.7 保修责任</w:t>
      </w:r>
      <w:bookmarkEnd w:id="991"/>
    </w:p>
    <w:p w14:paraId="5739374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677B7C61">
      <w:pPr>
        <w:pStyle w:val="79"/>
        <w:rPr>
          <w:rFonts w:ascii="宋体" w:hAnsi="宋体"/>
          <w:color w:val="000000" w:themeColor="text1"/>
          <w:sz w:val="24"/>
          <w:szCs w:val="24"/>
          <w:highlight w:val="none"/>
          <w14:textFill>
            <w14:solidFill>
              <w14:schemeClr w14:val="tx1"/>
            </w14:solidFill>
          </w14:textFill>
        </w:rPr>
      </w:pPr>
      <w:bookmarkStart w:id="992" w:name="_Toc393546406"/>
      <w:bookmarkEnd w:id="992"/>
      <w:bookmarkStart w:id="993" w:name="_Toc386467152"/>
      <w:bookmarkEnd w:id="993"/>
      <w:bookmarkStart w:id="994" w:name="_Toc23941"/>
      <w:r>
        <w:rPr>
          <w:rFonts w:hint="eastAsia" w:ascii="宋体" w:hAnsi="宋体"/>
          <w:color w:val="000000" w:themeColor="text1"/>
          <w:sz w:val="24"/>
          <w:szCs w:val="24"/>
          <w:highlight w:val="none"/>
          <w14:textFill>
            <w14:solidFill>
              <w14:schemeClr w14:val="tx1"/>
            </w14:solidFill>
          </w14:textFill>
        </w:rPr>
        <w:t>20. 保险</w:t>
      </w:r>
      <w:bookmarkEnd w:id="994"/>
    </w:p>
    <w:p w14:paraId="4213FB72">
      <w:pPr>
        <w:pStyle w:val="68"/>
        <w:ind w:firstLine="118"/>
        <w:rPr>
          <w:rFonts w:ascii="宋体" w:eastAsia="宋体"/>
          <w:color w:val="000000" w:themeColor="text1"/>
          <w:szCs w:val="24"/>
          <w:highlight w:val="none"/>
          <w14:textFill>
            <w14:solidFill>
              <w14:schemeClr w14:val="tx1"/>
            </w14:solidFill>
          </w14:textFill>
        </w:rPr>
      </w:pPr>
      <w:bookmarkStart w:id="995" w:name="_Toc393546407"/>
      <w:bookmarkEnd w:id="995"/>
      <w:bookmarkStart w:id="996" w:name="_Toc386467153"/>
      <w:bookmarkEnd w:id="996"/>
      <w:bookmarkStart w:id="997" w:name="_Toc2240"/>
      <w:r>
        <w:rPr>
          <w:rFonts w:hint="eastAsia" w:ascii="宋体" w:eastAsia="宋体"/>
          <w:color w:val="000000" w:themeColor="text1"/>
          <w:szCs w:val="24"/>
          <w:highlight w:val="none"/>
          <w14:textFill>
            <w14:solidFill>
              <w14:schemeClr w14:val="tx1"/>
            </w14:solidFill>
          </w14:textFill>
        </w:rPr>
        <w:t>20.1 工程保险</w:t>
      </w:r>
      <w:bookmarkEnd w:id="997"/>
    </w:p>
    <w:p w14:paraId="58184DDF">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B2B13CA">
      <w:pPr>
        <w:pStyle w:val="68"/>
        <w:ind w:firstLine="118"/>
        <w:rPr>
          <w:rFonts w:ascii="宋体" w:eastAsia="宋体"/>
          <w:color w:val="000000" w:themeColor="text1"/>
          <w:szCs w:val="24"/>
          <w:highlight w:val="none"/>
          <w14:textFill>
            <w14:solidFill>
              <w14:schemeClr w14:val="tx1"/>
            </w14:solidFill>
          </w14:textFill>
        </w:rPr>
      </w:pPr>
      <w:bookmarkStart w:id="998" w:name="_Toc152042523"/>
      <w:bookmarkEnd w:id="998"/>
      <w:bookmarkStart w:id="999" w:name="_Toc386467154"/>
      <w:bookmarkEnd w:id="999"/>
      <w:bookmarkStart w:id="1000" w:name="_Toc330406349"/>
      <w:bookmarkEnd w:id="1000"/>
      <w:bookmarkStart w:id="1001" w:name="_Toc179632762"/>
      <w:bookmarkEnd w:id="1001"/>
      <w:bookmarkStart w:id="1002" w:name="_Toc144974715"/>
      <w:bookmarkEnd w:id="1002"/>
      <w:bookmarkStart w:id="1003" w:name="_Toc152045744"/>
      <w:bookmarkEnd w:id="1003"/>
      <w:bookmarkStart w:id="1004" w:name="_Toc393546408"/>
      <w:bookmarkEnd w:id="1004"/>
      <w:bookmarkStart w:id="1005" w:name="_Toc9304"/>
      <w:r>
        <w:rPr>
          <w:rFonts w:hint="eastAsia" w:ascii="宋体" w:eastAsia="宋体"/>
          <w:color w:val="000000" w:themeColor="text1"/>
          <w:szCs w:val="24"/>
          <w:highlight w:val="none"/>
          <w14:textFill>
            <w14:solidFill>
              <w14:schemeClr w14:val="tx1"/>
            </w14:solidFill>
          </w14:textFill>
        </w:rPr>
        <w:t>20.2 人员工伤事故的保险</w:t>
      </w:r>
      <w:bookmarkEnd w:id="1005"/>
    </w:p>
    <w:p w14:paraId="7B6661F9">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20.2.1 承包人员工伤事故的保险</w:t>
      </w:r>
    </w:p>
    <w:p w14:paraId="052D6C8F">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承包人应依照有关法律规定参加工伤保险，为其履行合同所雇佣的全部人员，缴纳工伤保险费，并要求其分包人也进行此项保险。</w:t>
      </w:r>
    </w:p>
    <w:p w14:paraId="053F555F">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20.2.2 发包人员工伤事故的保险</w:t>
      </w:r>
    </w:p>
    <w:p w14:paraId="55B01783">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发包人应依照有关法律规定参加工伤保险，为其现场机构雇佣的全部人员，缴纳工伤保险费，并要求其监理人也进行此项保险。</w:t>
      </w:r>
    </w:p>
    <w:p w14:paraId="0A3F26B9">
      <w:pPr>
        <w:pStyle w:val="68"/>
        <w:ind w:firstLine="118"/>
        <w:rPr>
          <w:rFonts w:ascii="宋体" w:eastAsia="宋体"/>
          <w:color w:val="000000" w:themeColor="text1"/>
          <w:szCs w:val="24"/>
          <w:highlight w:val="none"/>
          <w14:textFill>
            <w14:solidFill>
              <w14:schemeClr w14:val="tx1"/>
            </w14:solidFill>
          </w14:textFill>
        </w:rPr>
      </w:pPr>
      <w:bookmarkStart w:id="1006" w:name="_Toc393546409"/>
      <w:bookmarkEnd w:id="1006"/>
      <w:bookmarkStart w:id="1007" w:name="_Toc152045745"/>
      <w:bookmarkEnd w:id="1007"/>
      <w:bookmarkStart w:id="1008" w:name="_Toc152042524"/>
      <w:bookmarkEnd w:id="1008"/>
      <w:bookmarkStart w:id="1009" w:name="_Toc386467155"/>
      <w:bookmarkEnd w:id="1009"/>
      <w:bookmarkStart w:id="1010" w:name="_Toc144974716"/>
      <w:bookmarkEnd w:id="1010"/>
      <w:bookmarkStart w:id="1011" w:name="_Toc179632763"/>
      <w:bookmarkEnd w:id="1011"/>
      <w:bookmarkStart w:id="1012" w:name="_Toc330406350"/>
      <w:bookmarkEnd w:id="1012"/>
      <w:bookmarkStart w:id="1013" w:name="_Toc21990"/>
      <w:r>
        <w:rPr>
          <w:rFonts w:hint="eastAsia" w:ascii="宋体" w:eastAsia="宋体"/>
          <w:color w:val="000000" w:themeColor="text1"/>
          <w:szCs w:val="24"/>
          <w:highlight w:val="none"/>
          <w14:textFill>
            <w14:solidFill>
              <w14:schemeClr w14:val="tx1"/>
            </w14:solidFill>
          </w14:textFill>
        </w:rPr>
        <w:t>20.3 人身意外伤害险</w:t>
      </w:r>
      <w:bookmarkEnd w:id="1013"/>
    </w:p>
    <w:p w14:paraId="4BE2BDC3">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20.3.1 发包人应在整个施工期间为其现场机构雇用的全部人员，投保人身意外伤害险，缴纳保险费，并要求其监理人也进行此项保险。</w:t>
      </w:r>
    </w:p>
    <w:p w14:paraId="3C0FEE8F">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20.3.2 承包人应在整个施工期间为其现场机构雇用的全部人员，投保人身意外伤害险，缴纳保险费，并要求其分包人也进行此项保险。</w:t>
      </w:r>
    </w:p>
    <w:p w14:paraId="3DCD539B">
      <w:pPr>
        <w:pStyle w:val="68"/>
        <w:ind w:firstLine="118"/>
        <w:rPr>
          <w:rFonts w:ascii="宋体" w:eastAsia="宋体"/>
          <w:color w:val="000000" w:themeColor="text1"/>
          <w:szCs w:val="24"/>
          <w:highlight w:val="none"/>
          <w14:textFill>
            <w14:solidFill>
              <w14:schemeClr w14:val="tx1"/>
            </w14:solidFill>
          </w14:textFill>
        </w:rPr>
      </w:pPr>
      <w:bookmarkStart w:id="1014" w:name="_Toc386467156"/>
      <w:bookmarkEnd w:id="1014"/>
      <w:bookmarkStart w:id="1015" w:name="_Toc393546410"/>
      <w:bookmarkEnd w:id="1015"/>
      <w:bookmarkStart w:id="1016" w:name="_Toc24496"/>
      <w:r>
        <w:rPr>
          <w:rFonts w:hint="eastAsia" w:ascii="宋体" w:eastAsia="宋体"/>
          <w:color w:val="000000" w:themeColor="text1"/>
          <w:szCs w:val="24"/>
          <w:highlight w:val="none"/>
          <w14:textFill>
            <w14:solidFill>
              <w14:schemeClr w14:val="tx1"/>
            </w14:solidFill>
          </w14:textFill>
        </w:rPr>
        <w:t>20.4 第三者责任险</w:t>
      </w:r>
      <w:bookmarkEnd w:id="1016"/>
    </w:p>
    <w:p w14:paraId="42D06E04">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498ACBBC">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20.4.2 在缺陷责任期终止证书颁发前，承包人应以承包人和发包人的共同名义，投保第20.4.1项约定的第三者责任险，其保险费率、保险金额等有关内容在专用合同条款中约定。</w:t>
      </w:r>
    </w:p>
    <w:p w14:paraId="4AC425EA">
      <w:pPr>
        <w:pStyle w:val="68"/>
        <w:ind w:firstLine="118"/>
        <w:rPr>
          <w:rFonts w:ascii="宋体" w:eastAsia="宋体"/>
          <w:color w:val="000000" w:themeColor="text1"/>
          <w:szCs w:val="24"/>
          <w:highlight w:val="none"/>
          <w14:textFill>
            <w14:solidFill>
              <w14:schemeClr w14:val="tx1"/>
            </w14:solidFill>
          </w14:textFill>
        </w:rPr>
      </w:pPr>
      <w:bookmarkStart w:id="1017" w:name="_Toc393546411"/>
      <w:bookmarkEnd w:id="1017"/>
      <w:bookmarkStart w:id="1018" w:name="_Toc386467157"/>
      <w:bookmarkEnd w:id="1018"/>
      <w:bookmarkStart w:id="1019" w:name="_Toc9382"/>
      <w:r>
        <w:rPr>
          <w:rFonts w:hint="eastAsia" w:ascii="宋体" w:eastAsia="宋体"/>
          <w:color w:val="000000" w:themeColor="text1"/>
          <w:szCs w:val="24"/>
          <w:highlight w:val="none"/>
          <w14:textFill>
            <w14:solidFill>
              <w14:schemeClr w14:val="tx1"/>
            </w14:solidFill>
          </w14:textFill>
        </w:rPr>
        <w:t>20.5 其他保险</w:t>
      </w:r>
      <w:bookmarkEnd w:id="1019"/>
    </w:p>
    <w:p w14:paraId="030B5C8C">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除专用合同条款另有约定外，承包人应为其施工设备、进场的材料和工程设备等办理保险。</w:t>
      </w:r>
    </w:p>
    <w:p w14:paraId="6EB89DEF">
      <w:pPr>
        <w:pStyle w:val="68"/>
        <w:ind w:firstLine="118"/>
        <w:rPr>
          <w:rFonts w:ascii="宋体" w:eastAsia="宋体"/>
          <w:color w:val="000000" w:themeColor="text1"/>
          <w:szCs w:val="24"/>
          <w:highlight w:val="none"/>
          <w14:textFill>
            <w14:solidFill>
              <w14:schemeClr w14:val="tx1"/>
            </w14:solidFill>
          </w14:textFill>
        </w:rPr>
      </w:pPr>
      <w:bookmarkStart w:id="1020" w:name="_Toc393546412"/>
      <w:bookmarkEnd w:id="1020"/>
      <w:bookmarkStart w:id="1021" w:name="_Toc386467158"/>
      <w:bookmarkEnd w:id="1021"/>
      <w:bookmarkStart w:id="1022" w:name="_Toc13748"/>
      <w:r>
        <w:rPr>
          <w:rFonts w:hint="eastAsia" w:ascii="宋体" w:eastAsia="宋体"/>
          <w:color w:val="000000" w:themeColor="text1"/>
          <w:szCs w:val="24"/>
          <w:highlight w:val="none"/>
          <w14:textFill>
            <w14:solidFill>
              <w14:schemeClr w14:val="tx1"/>
            </w14:solidFill>
          </w14:textFill>
        </w:rPr>
        <w:t>20.6 对各项保险的一般要求</w:t>
      </w:r>
      <w:bookmarkEnd w:id="1022"/>
    </w:p>
    <w:p w14:paraId="1D85A3C5">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20.6.1 保险凭证</w:t>
      </w:r>
    </w:p>
    <w:p w14:paraId="085C8165">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承包人应在专用合同条款约定的期限内向发包人提交各项保险生效的证据和保险单副本，保险单必须与专用合同条款约定的条件保持一致。</w:t>
      </w:r>
    </w:p>
    <w:p w14:paraId="66841CDD">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20.6.2 保险合同条款的变动</w:t>
      </w:r>
    </w:p>
    <w:p w14:paraId="2D91A465">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承包人需要变动保险合同条款时，应事先征得发包人同意，并通知监理人。保险人作出变动的，承包人应在收到保险人通知后立即通知发包人和监理人。</w:t>
      </w:r>
    </w:p>
    <w:p w14:paraId="3BBDD04D">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20.6.3 持续保险</w:t>
      </w:r>
    </w:p>
    <w:p w14:paraId="7565DAE1">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承包人应与保险人保持联系，使保险人能够随时了解工程实施中的变动，并确保按保险合同条款要求持续保险。</w:t>
      </w:r>
    </w:p>
    <w:p w14:paraId="0EFBDD47">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20.6.4 保险金不足的补偿</w:t>
      </w:r>
    </w:p>
    <w:p w14:paraId="6CC50B0A">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保险金不足以补偿损失的，应由承包人和（或）发包人按合同约定负责补偿。</w:t>
      </w:r>
    </w:p>
    <w:p w14:paraId="3FBF07FD">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20.6.5 未按约定投保的补救</w:t>
      </w:r>
    </w:p>
    <w:p w14:paraId="1F1EA11A">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（1）由于负有投保义务的一方当事人未按合同约定办理保险，或未能使保险持续有效的，另一方当事人可代为办理，所需费用由对方当事人承担。</w:t>
      </w:r>
    </w:p>
    <w:p w14:paraId="2DB7D7E3">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（2）由于负有投保义务的一方当事人未按合同约定办理某项保险，导致受益人未能得到保险人的赔偿，原应从该项保险得到的保险金应由负有投保义务的一方当事人支付。</w:t>
      </w:r>
    </w:p>
    <w:p w14:paraId="4A85C079">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20.6.6 报告义务</w:t>
      </w:r>
    </w:p>
    <w:p w14:paraId="2F2F07D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当保险事故发生时，投保人应按照保险单规定的条件和期限及时向保险人报告。</w:t>
      </w:r>
    </w:p>
    <w:p w14:paraId="7CA9995A">
      <w:pPr>
        <w:pStyle w:val="79"/>
        <w:rPr>
          <w:rFonts w:ascii="宋体" w:hAnsi="宋体"/>
          <w:color w:val="000000" w:themeColor="text1"/>
          <w:sz w:val="24"/>
          <w:szCs w:val="24"/>
          <w:highlight w:val="none"/>
          <w14:textFill>
            <w14:solidFill>
              <w14:schemeClr w14:val="tx1"/>
            </w14:solidFill>
          </w14:textFill>
        </w:rPr>
      </w:pPr>
      <w:bookmarkStart w:id="1023" w:name="_Toc386467159"/>
      <w:bookmarkEnd w:id="1023"/>
      <w:bookmarkStart w:id="1024" w:name="_Toc393546413"/>
      <w:bookmarkEnd w:id="1024"/>
      <w:bookmarkStart w:id="1025" w:name="_Toc3559"/>
      <w:r>
        <w:rPr>
          <w:rFonts w:hint="eastAsia" w:ascii="宋体" w:hAnsi="宋体"/>
          <w:color w:val="000000" w:themeColor="text1"/>
          <w:sz w:val="24"/>
          <w:szCs w:val="24"/>
          <w:highlight w:val="none"/>
          <w14:textFill>
            <w14:solidFill>
              <w14:schemeClr w14:val="tx1"/>
            </w14:solidFill>
          </w14:textFill>
        </w:rPr>
        <w:t>21. 不可抗力</w:t>
      </w:r>
      <w:bookmarkEnd w:id="1025"/>
    </w:p>
    <w:p w14:paraId="0E72847F">
      <w:pPr>
        <w:pStyle w:val="68"/>
        <w:ind w:firstLine="118"/>
        <w:rPr>
          <w:rFonts w:ascii="宋体" w:eastAsia="宋体"/>
          <w:color w:val="000000" w:themeColor="text1"/>
          <w:szCs w:val="24"/>
          <w:highlight w:val="none"/>
          <w14:textFill>
            <w14:solidFill>
              <w14:schemeClr w14:val="tx1"/>
            </w14:solidFill>
          </w14:textFill>
        </w:rPr>
      </w:pPr>
      <w:bookmarkStart w:id="1026" w:name="_Toc393546414"/>
      <w:bookmarkEnd w:id="1026"/>
      <w:bookmarkStart w:id="1027" w:name="_Toc386467160"/>
      <w:bookmarkEnd w:id="1027"/>
      <w:bookmarkStart w:id="1028" w:name="_Toc8617"/>
      <w:r>
        <w:rPr>
          <w:rFonts w:hint="eastAsia" w:ascii="宋体" w:eastAsia="宋体"/>
          <w:color w:val="000000" w:themeColor="text1"/>
          <w:szCs w:val="24"/>
          <w:highlight w:val="none"/>
          <w14:textFill>
            <w14:solidFill>
              <w14:schemeClr w14:val="tx1"/>
            </w14:solidFill>
          </w14:textFill>
        </w:rPr>
        <w:t>21.1 不可抗力的确认</w:t>
      </w:r>
      <w:bookmarkEnd w:id="1028"/>
    </w:p>
    <w:p w14:paraId="4278335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371AE32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66836320">
      <w:pPr>
        <w:pStyle w:val="68"/>
        <w:ind w:firstLine="118"/>
        <w:rPr>
          <w:rFonts w:ascii="宋体" w:eastAsia="宋体"/>
          <w:color w:val="000000" w:themeColor="text1"/>
          <w:szCs w:val="24"/>
          <w:highlight w:val="none"/>
          <w14:textFill>
            <w14:solidFill>
              <w14:schemeClr w14:val="tx1"/>
            </w14:solidFill>
          </w14:textFill>
        </w:rPr>
      </w:pPr>
      <w:bookmarkStart w:id="1029" w:name="_Toc144974722"/>
      <w:bookmarkEnd w:id="1029"/>
      <w:bookmarkStart w:id="1030" w:name="_Toc152045751"/>
      <w:bookmarkEnd w:id="1030"/>
      <w:bookmarkStart w:id="1031" w:name="_Toc386467161"/>
      <w:bookmarkEnd w:id="1031"/>
      <w:bookmarkStart w:id="1032" w:name="_Toc152042530"/>
      <w:bookmarkEnd w:id="1032"/>
      <w:bookmarkStart w:id="1033" w:name="_Toc330406356"/>
      <w:bookmarkEnd w:id="1033"/>
      <w:bookmarkStart w:id="1034" w:name="_Toc179632769"/>
      <w:bookmarkEnd w:id="1034"/>
      <w:bookmarkStart w:id="1035" w:name="_Toc393546415"/>
      <w:bookmarkEnd w:id="1035"/>
      <w:bookmarkStart w:id="1036" w:name="_Toc5639"/>
      <w:r>
        <w:rPr>
          <w:rFonts w:hint="eastAsia" w:ascii="宋体" w:eastAsia="宋体"/>
          <w:color w:val="000000" w:themeColor="text1"/>
          <w:szCs w:val="24"/>
          <w:highlight w:val="none"/>
          <w14:textFill>
            <w14:solidFill>
              <w14:schemeClr w14:val="tx1"/>
            </w14:solidFill>
          </w14:textFill>
        </w:rPr>
        <w:t>21.2 不可抗力的通知</w:t>
      </w:r>
      <w:bookmarkEnd w:id="1036"/>
    </w:p>
    <w:p w14:paraId="7EB8CB6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21.2.1 合同一方当事人遇到不可抗力事件，使其履行合同义务受到阻碍时，应立即通知合同另一方当事人和监理人，书面说明不可抗力和受阻碍的详细情况，并提供必要的证明。</w:t>
      </w:r>
    </w:p>
    <w:p w14:paraId="7811E41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21.2.2 如不可抗力持续发生，合同一方当事人应及时向合同另一方当事人和监理人提交中间报告，说明不可抗力和履行合同受阻的情况，并于不可抗力事件结束后28天内提交最终报告及有关资料。</w:t>
      </w:r>
    </w:p>
    <w:p w14:paraId="6C21F35D">
      <w:pPr>
        <w:pStyle w:val="68"/>
        <w:ind w:firstLine="118"/>
        <w:rPr>
          <w:rFonts w:ascii="宋体" w:eastAsia="宋体"/>
          <w:color w:val="000000" w:themeColor="text1"/>
          <w:szCs w:val="24"/>
          <w:highlight w:val="none"/>
          <w14:textFill>
            <w14:solidFill>
              <w14:schemeClr w14:val="tx1"/>
            </w14:solidFill>
          </w14:textFill>
        </w:rPr>
      </w:pPr>
      <w:bookmarkStart w:id="1037" w:name="_Toc386467162"/>
      <w:bookmarkEnd w:id="1037"/>
      <w:bookmarkStart w:id="1038" w:name="_Toc393546416"/>
      <w:bookmarkEnd w:id="1038"/>
      <w:bookmarkStart w:id="1039" w:name="_Toc23536"/>
      <w:r>
        <w:rPr>
          <w:rFonts w:hint="eastAsia" w:ascii="宋体" w:eastAsia="宋体"/>
          <w:color w:val="000000" w:themeColor="text1"/>
          <w:szCs w:val="24"/>
          <w:highlight w:val="none"/>
          <w14:textFill>
            <w14:solidFill>
              <w14:schemeClr w14:val="tx1"/>
            </w14:solidFill>
          </w14:textFill>
        </w:rPr>
        <w:t>21.3 不可抗力后果及其处理</w:t>
      </w:r>
      <w:bookmarkEnd w:id="1039"/>
    </w:p>
    <w:p w14:paraId="7950F4DE">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21.3.1 不可抗力造成损害的责任</w:t>
      </w:r>
    </w:p>
    <w:p w14:paraId="51B7E16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除专用合同条款另有约定外，不可抗力导致的人员伤亡、财产损失、费用增加和（或）工期延误等后果，由合同双方按以下原则承担：</w:t>
      </w:r>
    </w:p>
    <w:p w14:paraId="4358E99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（1）永久工程，包括已运至施工场地的材料和工程设备的损害，以及因工程损害造成的第三者人员伤亡和财产损失由发包人承担；</w:t>
      </w:r>
    </w:p>
    <w:p w14:paraId="496E5D73">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（2）承包人设备的损坏由承包人承担；</w:t>
      </w:r>
    </w:p>
    <w:p w14:paraId="31FE3CF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（3）发包人和承包人各自承担其人员伤亡和其他财产损失及其相关费用；</w:t>
      </w:r>
    </w:p>
    <w:p w14:paraId="6D63C57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（4）承包人的停工损失由承包人承担，但停工期间应监理人要求照管工程和清理、修复工程的金额由发包人承担；</w:t>
      </w:r>
    </w:p>
    <w:p w14:paraId="6EDAC0AB">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（5）不能按期竣工的，应合理延长工期，承包人不需支付逾期竣工违约金。发包人要求赶工的，承包人应采取赶工措施，赶工费用由发包人承担。</w:t>
      </w:r>
    </w:p>
    <w:p w14:paraId="20B77BB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21.3.2 延迟履行期间发生的不可抗力</w:t>
      </w:r>
    </w:p>
    <w:p w14:paraId="24CBC79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合同一方当事人延迟履行，在延迟履行期间发生不可抗力的，不免除其责任。</w:t>
      </w:r>
    </w:p>
    <w:p w14:paraId="60B064A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21.3.3 避免和减少不可抗力损失</w:t>
      </w:r>
    </w:p>
    <w:p w14:paraId="3DAE443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不可抗力发生后，发包人和承包人均应采取措施尽量避免和减少损失的扩大，任何一方没有采取有效措施导致损失扩大的，应对扩大的损失承担责任。</w:t>
      </w:r>
    </w:p>
    <w:p w14:paraId="3049A04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21.3.4 因不可抗力解除合同</w:t>
      </w:r>
    </w:p>
    <w:p w14:paraId="63EA509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1898DDB4">
      <w:pPr>
        <w:pStyle w:val="79"/>
        <w:rPr>
          <w:rFonts w:ascii="宋体" w:hAnsi="宋体"/>
          <w:color w:val="000000" w:themeColor="text1"/>
          <w:sz w:val="24"/>
          <w:szCs w:val="24"/>
          <w:highlight w:val="none"/>
          <w14:textFill>
            <w14:solidFill>
              <w14:schemeClr w14:val="tx1"/>
            </w14:solidFill>
          </w14:textFill>
        </w:rPr>
      </w:pPr>
      <w:bookmarkStart w:id="1040" w:name="_Toc393546417"/>
      <w:bookmarkEnd w:id="1040"/>
      <w:bookmarkStart w:id="1041" w:name="_Toc386467163"/>
      <w:bookmarkEnd w:id="1041"/>
      <w:bookmarkStart w:id="1042" w:name="_Toc19286"/>
      <w:r>
        <w:rPr>
          <w:rFonts w:hint="eastAsia" w:ascii="宋体" w:hAnsi="宋体"/>
          <w:color w:val="000000" w:themeColor="text1"/>
          <w:sz w:val="24"/>
          <w:szCs w:val="24"/>
          <w:highlight w:val="none"/>
          <w14:textFill>
            <w14:solidFill>
              <w14:schemeClr w14:val="tx1"/>
            </w14:solidFill>
          </w14:textFill>
        </w:rPr>
        <w:t>22. 违约</w:t>
      </w:r>
      <w:bookmarkEnd w:id="1042"/>
    </w:p>
    <w:p w14:paraId="138E2F8D">
      <w:pPr>
        <w:pStyle w:val="68"/>
        <w:ind w:firstLine="118"/>
        <w:rPr>
          <w:rFonts w:ascii="宋体" w:eastAsia="宋体"/>
          <w:color w:val="000000" w:themeColor="text1"/>
          <w:szCs w:val="24"/>
          <w:highlight w:val="none"/>
          <w14:textFill>
            <w14:solidFill>
              <w14:schemeClr w14:val="tx1"/>
            </w14:solidFill>
          </w14:textFill>
        </w:rPr>
      </w:pPr>
      <w:bookmarkStart w:id="1043" w:name="_Toc386467164"/>
      <w:bookmarkEnd w:id="1043"/>
      <w:bookmarkStart w:id="1044" w:name="_Toc393546418"/>
      <w:bookmarkEnd w:id="1044"/>
      <w:bookmarkStart w:id="1045" w:name="_Toc31536"/>
      <w:r>
        <w:rPr>
          <w:rFonts w:hint="eastAsia" w:ascii="宋体" w:eastAsia="宋体"/>
          <w:color w:val="000000" w:themeColor="text1"/>
          <w:szCs w:val="24"/>
          <w:highlight w:val="none"/>
          <w14:textFill>
            <w14:solidFill>
              <w14:schemeClr w14:val="tx1"/>
            </w14:solidFill>
          </w14:textFill>
        </w:rPr>
        <w:t>22.1 承包人违约</w:t>
      </w:r>
      <w:bookmarkEnd w:id="1045"/>
    </w:p>
    <w:p w14:paraId="6CF711B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22.1.1 承包人违约的情形</w:t>
      </w:r>
    </w:p>
    <w:p w14:paraId="7FAD392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在履行合同过程中发生的下列情况属承包人违约：</w:t>
      </w:r>
    </w:p>
    <w:p w14:paraId="48B0E20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（1）承包人违反第1.8款或第4.3款的约定，私自将合同的全部或部分权利转让给其他人，或私自将合同的全部或部分义务转移给其他人；</w:t>
      </w:r>
    </w:p>
    <w:p w14:paraId="4F05723C">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（2）承包人违反第5.3款或第6.4款的约定，未经监理人批准，私自将已按合同约定进入施工场地的施工设备、临时设施或材料撤离施工场地；</w:t>
      </w:r>
    </w:p>
    <w:p w14:paraId="11E078C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（3）承包人违反第5.4款的约定使用了不合格材料或工程设备，工程质量达不到标准要求，又拒绝清除不合格工程；</w:t>
      </w:r>
    </w:p>
    <w:p w14:paraId="26C4241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（4）承包人未能按合同进度计划及时完成合同约定的工作，已造成或预期造成工期延误；</w:t>
      </w:r>
    </w:p>
    <w:p w14:paraId="0DBF3CD9">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（5）承包人在缺陷责任期内，未能对工程接收证书所列的缺陷清单的内容或缺陷责任期内发生的缺陷进行修复，而又拒绝按监理人指示再进行修补；</w:t>
      </w:r>
    </w:p>
    <w:p w14:paraId="4A263D2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（6）承包人无法继续履行或明确表示不履行或实质上已停止履行合同；</w:t>
      </w:r>
    </w:p>
    <w:p w14:paraId="2050C286">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（7）承包人不按合同约定履行义务的其他情况。</w:t>
      </w:r>
    </w:p>
    <w:p w14:paraId="6435B4F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22.1.2 对承包人违约的处理</w:t>
      </w:r>
    </w:p>
    <w:p w14:paraId="37DD91F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（1）承包人发生第22.1.1（6）目约定的违约情况时，发包人可通知承包人立即解除合同，并按有关法律处理。</w:t>
      </w:r>
    </w:p>
    <w:p w14:paraId="476693C7">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（2）承包人发生除第22.1.1（6）目约定以外的其他违约情况时，监理人可向承包人发出整改通知，要求其在指定的期限内改正。承包人应承担其违约所引起的费用增加和（或）工期延误。</w:t>
      </w:r>
    </w:p>
    <w:p w14:paraId="3C7CFEF0">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（3）经检查证明承包人已采取了有效措施纠正违约行为，具备复工条件的，可由监理人签发复工通知复工。</w:t>
      </w:r>
    </w:p>
    <w:p w14:paraId="5FE14A3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22.1.3 承包人违约解除合同</w:t>
      </w:r>
    </w:p>
    <w:p w14:paraId="35CFB06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0E28E08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22.1.4 合同解除后的估价、付款和结清</w:t>
      </w:r>
    </w:p>
    <w:p w14:paraId="452CF24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（1）合同解除后，监理人按第3.5款商定或确定承包人实际完成工作的价值，以及承包人已提供的材料、施工设备、工程设备和临时工程等的价值。 </w:t>
      </w:r>
    </w:p>
    <w:p w14:paraId="391CAED3">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（2）合同解除后，发包人应暂停对承包人的一切付款，查清各项付款和已扣款金额，包括承包人应支付的违约金。 </w:t>
      </w:r>
    </w:p>
    <w:p w14:paraId="0C7E3014">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（3）合同解除后，发包人应按第23.4款的约定向承包人索赔由于解除合同给发包人造成的损失。</w:t>
      </w:r>
    </w:p>
    <w:p w14:paraId="0F6A5098">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（4）合同双方确认上述往来款项后，出具最终结清付款证书，结清全部合同款项。</w:t>
      </w:r>
    </w:p>
    <w:p w14:paraId="1CBF2F7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（5）发包人和承包人未能就解除合同后的结清达成一致而形成争议的，按第24条的约定办理。</w:t>
      </w:r>
    </w:p>
    <w:p w14:paraId="01C372C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22.1.5 协议利益的转让</w:t>
      </w:r>
    </w:p>
    <w:p w14:paraId="45C9D2C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因承包人违约解除合同的，发包人有权要求承包人将其为实施合同而签订的材料和设备的订货协议或任何服务协议利益转让给发包人，并在解除合同后的14天内，依法办理转让手续。 </w:t>
      </w:r>
    </w:p>
    <w:p w14:paraId="3815407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22.1.6 紧急情况下无能力或不愿进行抢救</w:t>
      </w:r>
    </w:p>
    <w:p w14:paraId="490218E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5820F047">
      <w:pPr>
        <w:pStyle w:val="68"/>
        <w:ind w:firstLine="118"/>
        <w:rPr>
          <w:rFonts w:ascii="宋体" w:eastAsia="宋体"/>
          <w:color w:val="000000" w:themeColor="text1"/>
          <w:szCs w:val="24"/>
          <w:highlight w:val="none"/>
          <w14:textFill>
            <w14:solidFill>
              <w14:schemeClr w14:val="tx1"/>
            </w14:solidFill>
          </w14:textFill>
        </w:rPr>
      </w:pPr>
      <w:bookmarkStart w:id="1046" w:name="_Toc393546419"/>
      <w:bookmarkEnd w:id="1046"/>
      <w:bookmarkStart w:id="1047" w:name="_Toc386467165"/>
      <w:bookmarkEnd w:id="1047"/>
      <w:bookmarkStart w:id="1048" w:name="_Toc27953"/>
      <w:r>
        <w:rPr>
          <w:rFonts w:hint="eastAsia" w:ascii="宋体" w:eastAsia="宋体"/>
          <w:color w:val="000000" w:themeColor="text1"/>
          <w:szCs w:val="24"/>
          <w:highlight w:val="none"/>
          <w14:textFill>
            <w14:solidFill>
              <w14:schemeClr w14:val="tx1"/>
            </w14:solidFill>
          </w14:textFill>
        </w:rPr>
        <w:t>22.2 发包人违约</w:t>
      </w:r>
      <w:bookmarkEnd w:id="1048"/>
    </w:p>
    <w:p w14:paraId="6C35A18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22.2.1 发包人违约的情形</w:t>
      </w:r>
    </w:p>
    <w:p w14:paraId="24D3E46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在履行合同过程中发生的下列情形，属发包人违约：</w:t>
      </w:r>
    </w:p>
    <w:p w14:paraId="12712122">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（1）发包人未能按合同约定支付预付款或合同价款，或拖延、拒绝批准付款申请和支付凭证，导致付款延误的；</w:t>
      </w:r>
    </w:p>
    <w:p w14:paraId="7A43BBCF">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（2）发包人原因造成停工的；</w:t>
      </w:r>
    </w:p>
    <w:p w14:paraId="28B02E2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（3）监理人无正当理由没有在约定期限内发出复工指示，导致承包人无法复工的；</w:t>
      </w:r>
    </w:p>
    <w:p w14:paraId="4CCFC342">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（4）发包人无法继续履行或明确表示不履行或实质上已停止履行合同的；</w:t>
      </w:r>
    </w:p>
    <w:p w14:paraId="2D5FD05A">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（5）发包人不履行合同约定其他义务的。</w:t>
      </w:r>
    </w:p>
    <w:p w14:paraId="251723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22.2.2 承包人有权暂停施工</w:t>
      </w:r>
    </w:p>
    <w:p w14:paraId="326375B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1FA2110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22.2.3 发包人违约解除合同 </w:t>
      </w:r>
    </w:p>
    <w:p w14:paraId="6B2DC2E1">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（1）发生第22.2.1（4）目的违约情况时，承包人可书面通知发包人解除合同。   </w:t>
      </w:r>
    </w:p>
    <w:p w14:paraId="6FAA3D3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（2）承包人按22.2.2项暂停施工28天后，发包人仍不纠正违约行为的，承包人可向发包人发出解除合同通知。但承包人的这一行动不免除发包人承担的违约责任，也不影响承包人根据合同约定享有的索赔权利。</w:t>
      </w:r>
    </w:p>
    <w:p w14:paraId="1364FF9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22.2.4 解除合同后的付款</w:t>
      </w:r>
    </w:p>
    <w:p w14:paraId="139B0FF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因发包人违约解除合同的，发包人应在解除合同后28天内向承包人支付下列金额，承包人应在此期限内及时向发包人提交要求支付下列金额的有关资料和凭证：</w:t>
      </w:r>
    </w:p>
    <w:p w14:paraId="03A40033">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（1）合同解除日以前所完成工作的价款；</w:t>
      </w:r>
    </w:p>
    <w:p w14:paraId="50DA863D">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（2）承包人为该工程施工订购并已付款的材料、工程设备和其他物品的金额。发包人付还后，该材料、工程设备和其他物品归发包人所有；</w:t>
      </w:r>
    </w:p>
    <w:p w14:paraId="349956D4">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（3）承包人为完成工程所发生的，而发包人未支付的金额；</w:t>
      </w:r>
    </w:p>
    <w:p w14:paraId="588E19BE">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（4）承包人撤离施工场地以及遣散承包人人员的金额；</w:t>
      </w:r>
    </w:p>
    <w:p w14:paraId="738AFDA5">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（5）由于解除合同应赔偿的承包人损失；</w:t>
      </w:r>
    </w:p>
    <w:p w14:paraId="577C45DA">
      <w:pPr>
        <w:spacing w:line="400" w:lineRule="exact"/>
        <w:ind w:firstLine="820" w:firstLineChars="34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（6）按合同约定在合同解除日前应支付给承包人的其他金额。</w:t>
      </w:r>
    </w:p>
    <w:p w14:paraId="7683F08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发包人应按本项约定支付上述金额并退还质量保证金和履约担保，但有权要求承包人支付应偿还给发包人的各项金额。</w:t>
      </w:r>
    </w:p>
    <w:p w14:paraId="2389313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22.2.5 解除合同后的承包人撤离</w:t>
      </w:r>
    </w:p>
    <w:p w14:paraId="377D8CE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7F627EF4">
      <w:pPr>
        <w:pStyle w:val="68"/>
        <w:ind w:firstLine="118"/>
        <w:rPr>
          <w:rFonts w:ascii="宋体" w:eastAsia="宋体"/>
          <w:color w:val="000000" w:themeColor="text1"/>
          <w:szCs w:val="24"/>
          <w:highlight w:val="none"/>
          <w14:textFill>
            <w14:solidFill>
              <w14:schemeClr w14:val="tx1"/>
            </w14:solidFill>
          </w14:textFill>
        </w:rPr>
      </w:pPr>
      <w:bookmarkStart w:id="1049" w:name="_Toc152042535"/>
      <w:bookmarkEnd w:id="1049"/>
      <w:bookmarkStart w:id="1050" w:name="_Toc393546420"/>
      <w:bookmarkEnd w:id="1050"/>
      <w:bookmarkStart w:id="1051" w:name="_Toc152045756"/>
      <w:bookmarkEnd w:id="1051"/>
      <w:bookmarkStart w:id="1052" w:name="_Toc386467166"/>
      <w:bookmarkEnd w:id="1052"/>
      <w:bookmarkStart w:id="1053" w:name="_Toc330406361"/>
      <w:bookmarkEnd w:id="1053"/>
      <w:bookmarkStart w:id="1054" w:name="_Toc179632774"/>
      <w:bookmarkEnd w:id="1054"/>
      <w:bookmarkStart w:id="1055" w:name="_Toc24434"/>
      <w:r>
        <w:rPr>
          <w:rFonts w:hint="eastAsia" w:ascii="宋体" w:eastAsia="宋体"/>
          <w:color w:val="000000" w:themeColor="text1"/>
          <w:szCs w:val="24"/>
          <w:highlight w:val="none"/>
          <w14:textFill>
            <w14:solidFill>
              <w14:schemeClr w14:val="tx1"/>
            </w14:solidFill>
          </w14:textFill>
        </w:rPr>
        <w:t>22.3 第三人造成的违约</w:t>
      </w:r>
      <w:bookmarkEnd w:id="1055"/>
    </w:p>
    <w:p w14:paraId="4DDF4F7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在履行合同过程中，一方当事人因第三人的原因造成违约的，应当向对方当事人承担违约责任。一方当事人和第三人之间的纠纷，依照法律规定或者按照约定解决。</w:t>
      </w:r>
    </w:p>
    <w:p w14:paraId="13C2A748">
      <w:pPr>
        <w:pStyle w:val="79"/>
        <w:rPr>
          <w:rFonts w:ascii="宋体" w:hAnsi="宋体"/>
          <w:color w:val="000000" w:themeColor="text1"/>
          <w:sz w:val="24"/>
          <w:szCs w:val="24"/>
          <w:highlight w:val="none"/>
          <w14:textFill>
            <w14:solidFill>
              <w14:schemeClr w14:val="tx1"/>
            </w14:solidFill>
          </w14:textFill>
        </w:rPr>
      </w:pPr>
      <w:bookmarkStart w:id="1056" w:name="_Toc386467167"/>
      <w:bookmarkEnd w:id="1056"/>
      <w:bookmarkStart w:id="1057" w:name="_Toc393546421"/>
      <w:bookmarkEnd w:id="1057"/>
      <w:bookmarkStart w:id="1058" w:name="_Toc2322"/>
      <w:r>
        <w:rPr>
          <w:rFonts w:hint="eastAsia" w:ascii="宋体" w:hAnsi="宋体"/>
          <w:color w:val="000000" w:themeColor="text1"/>
          <w:sz w:val="24"/>
          <w:szCs w:val="24"/>
          <w:highlight w:val="none"/>
          <w14:textFill>
            <w14:solidFill>
              <w14:schemeClr w14:val="tx1"/>
            </w14:solidFill>
          </w14:textFill>
        </w:rPr>
        <w:t>23. 索赔</w:t>
      </w:r>
      <w:bookmarkEnd w:id="1058"/>
    </w:p>
    <w:p w14:paraId="3AC09F59">
      <w:pPr>
        <w:pStyle w:val="68"/>
        <w:ind w:firstLine="118"/>
        <w:rPr>
          <w:rFonts w:ascii="宋体" w:eastAsia="宋体"/>
          <w:color w:val="000000" w:themeColor="text1"/>
          <w:szCs w:val="24"/>
          <w:highlight w:val="none"/>
          <w14:textFill>
            <w14:solidFill>
              <w14:schemeClr w14:val="tx1"/>
            </w14:solidFill>
          </w14:textFill>
        </w:rPr>
      </w:pPr>
      <w:bookmarkStart w:id="1059" w:name="_Toc393546422"/>
      <w:bookmarkEnd w:id="1059"/>
      <w:bookmarkStart w:id="1060" w:name="_Toc386467168"/>
      <w:bookmarkEnd w:id="1060"/>
      <w:bookmarkStart w:id="1061" w:name="_Toc16250"/>
      <w:r>
        <w:rPr>
          <w:rFonts w:hint="eastAsia" w:ascii="宋体" w:eastAsia="宋体"/>
          <w:color w:val="000000" w:themeColor="text1"/>
          <w:szCs w:val="24"/>
          <w:highlight w:val="none"/>
          <w14:textFill>
            <w14:solidFill>
              <w14:schemeClr w14:val="tx1"/>
            </w14:solidFill>
          </w14:textFill>
        </w:rPr>
        <w:t>23.1 承包人索赔的提出</w:t>
      </w:r>
      <w:bookmarkEnd w:id="1061"/>
    </w:p>
    <w:p w14:paraId="0BA365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根据合同约定，承包人认为有权得到追加付款和（或）延长工期的，应按以下程序向发包人提出索赔：</w:t>
      </w:r>
    </w:p>
    <w:p w14:paraId="0734A861">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5FB4F4">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（2）承包人应在发出索赔意向通知书后28天内，向监理人正式递交索赔通知书。索赔通知书应详细说明索赔理由以及要求追加的付款金额和（或）延长的工期，并附必要的记录和证明材料；</w:t>
      </w:r>
    </w:p>
    <w:p w14:paraId="31FA4941">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（3）索赔事件具有连续影响的，承包人应按合理时间间隔继续递交延续索赔通知，说明连续影响的实际情况和记录，列出累计的追加付款金额和（或）工期延长天数；</w:t>
      </w:r>
    </w:p>
    <w:p w14:paraId="20678CC8">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（4）在索赔事件影响结束后的28天内，承包人应向监理人递交最终索赔通知书，说明最终要求索赔的追加付款金额和延长的工期，并附必要的记录和证明材料。</w:t>
      </w:r>
    </w:p>
    <w:p w14:paraId="4720F34C">
      <w:pPr>
        <w:pStyle w:val="68"/>
        <w:ind w:firstLine="118"/>
        <w:rPr>
          <w:rFonts w:ascii="宋体" w:eastAsia="宋体"/>
          <w:color w:val="000000" w:themeColor="text1"/>
          <w:szCs w:val="24"/>
          <w:highlight w:val="none"/>
          <w14:textFill>
            <w14:solidFill>
              <w14:schemeClr w14:val="tx1"/>
            </w14:solidFill>
          </w14:textFill>
        </w:rPr>
      </w:pPr>
      <w:bookmarkStart w:id="1062" w:name="_Toc386467169"/>
      <w:bookmarkEnd w:id="1062"/>
      <w:bookmarkStart w:id="1063" w:name="_Toc393546423"/>
      <w:bookmarkEnd w:id="1063"/>
      <w:bookmarkStart w:id="1064" w:name="_Toc9497"/>
      <w:r>
        <w:rPr>
          <w:rFonts w:hint="eastAsia" w:ascii="宋体" w:eastAsia="宋体"/>
          <w:color w:val="000000" w:themeColor="text1"/>
          <w:szCs w:val="24"/>
          <w:highlight w:val="none"/>
          <w14:textFill>
            <w14:solidFill>
              <w14:schemeClr w14:val="tx1"/>
            </w14:solidFill>
          </w14:textFill>
        </w:rPr>
        <w:t>23.2 承包人索赔处理程序</w:t>
      </w:r>
      <w:bookmarkEnd w:id="1064"/>
    </w:p>
    <w:p w14:paraId="636B46E5">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（1）监理人收到承包人提交的索赔通知书后，应及时审查索赔通知书的内容、查验承包人的记录和证明材料，必要时监理人可要求承包人提交全部原始记录副本。</w:t>
      </w:r>
    </w:p>
    <w:p w14:paraId="581D777B">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（2）监理人应按第3.5款商定或确定追加的付款和（或）延长的工期，并在收到上述索赔通知书或有关索赔的进一步证明材料后的42天内，将索赔处理结果答复承包人。</w:t>
      </w:r>
    </w:p>
    <w:p w14:paraId="07FB5B91">
      <w:pPr>
        <w:spacing w:line="400" w:lineRule="exact"/>
        <w:ind w:firstLine="410" w:firstLineChars="171"/>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（3）承包人接受索赔处理结果的，发包人应在作出索赔处理结果答复后28天内完成赔付。承包人不接受索赔处理结果的，按第24条的约定办理。</w:t>
      </w:r>
    </w:p>
    <w:p w14:paraId="56FECF17">
      <w:pPr>
        <w:pStyle w:val="68"/>
        <w:ind w:firstLine="118"/>
        <w:rPr>
          <w:rFonts w:ascii="宋体" w:eastAsia="宋体"/>
          <w:color w:val="000000" w:themeColor="text1"/>
          <w:szCs w:val="24"/>
          <w:highlight w:val="none"/>
          <w14:textFill>
            <w14:solidFill>
              <w14:schemeClr w14:val="tx1"/>
            </w14:solidFill>
          </w14:textFill>
        </w:rPr>
      </w:pPr>
      <w:bookmarkStart w:id="1065" w:name="_Toc330406365"/>
      <w:bookmarkEnd w:id="1065"/>
      <w:bookmarkStart w:id="1066" w:name="_Toc393546424"/>
      <w:bookmarkEnd w:id="1066"/>
      <w:bookmarkStart w:id="1067" w:name="_Toc144974730"/>
      <w:bookmarkEnd w:id="1067"/>
      <w:bookmarkStart w:id="1068" w:name="_Toc386467170"/>
      <w:bookmarkEnd w:id="1068"/>
      <w:bookmarkStart w:id="1069" w:name="_Toc179632778"/>
      <w:bookmarkEnd w:id="1069"/>
      <w:bookmarkStart w:id="1070" w:name="_Toc152042539"/>
      <w:bookmarkEnd w:id="1070"/>
      <w:bookmarkStart w:id="1071" w:name="_Toc152045760"/>
      <w:bookmarkEnd w:id="1071"/>
      <w:bookmarkStart w:id="1072" w:name="_Toc12716"/>
      <w:r>
        <w:rPr>
          <w:rFonts w:hint="eastAsia" w:ascii="宋体" w:eastAsia="宋体"/>
          <w:color w:val="000000" w:themeColor="text1"/>
          <w:szCs w:val="24"/>
          <w:highlight w:val="none"/>
          <w14:textFill>
            <w14:solidFill>
              <w14:schemeClr w14:val="tx1"/>
            </w14:solidFill>
          </w14:textFill>
        </w:rPr>
        <w:t>23.3 承包人提出索赔的期限</w:t>
      </w:r>
      <w:bookmarkEnd w:id="1072"/>
    </w:p>
    <w:p w14:paraId="29979E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23.3.1 承包人按第17.5款的约定接受了竣工付款证书后，应被认为已无权再提出在合同工程接收证书颁发前所发生的任何索赔。</w:t>
      </w:r>
    </w:p>
    <w:p w14:paraId="12A6CD49">
      <w:pPr>
        <w:spacing w:line="380" w:lineRule="exact"/>
        <w:ind w:firstLine="480" w:firstLineChars="200"/>
        <w:rPr>
          <w:rFonts w:ascii="宋体" w:hAnsi="宋体" w:cs="宋体"/>
          <w:color w:val="000000" w:themeColor="text1"/>
          <w:sz w:val="24"/>
          <w:highlight w:val="none"/>
          <w:shd w:val="pct10" w:color="auto" w:fill="FFFFFF"/>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23.3.2 承包人按第17.6款的约定提交的最终结清申请单中，只限于提出工程接收证书颁发后发生的索赔。提出索赔的期限自接受最终结清证书时终止。 </w:t>
      </w:r>
    </w:p>
    <w:p w14:paraId="185AD523">
      <w:pPr>
        <w:pStyle w:val="68"/>
        <w:spacing w:line="380" w:lineRule="exact"/>
        <w:ind w:firstLine="118"/>
        <w:rPr>
          <w:rFonts w:ascii="宋体" w:eastAsia="宋体"/>
          <w:color w:val="000000" w:themeColor="text1"/>
          <w:szCs w:val="24"/>
          <w:highlight w:val="none"/>
          <w14:textFill>
            <w14:solidFill>
              <w14:schemeClr w14:val="tx1"/>
            </w14:solidFill>
          </w14:textFill>
        </w:rPr>
      </w:pPr>
      <w:bookmarkStart w:id="1073" w:name="_Toc330406366"/>
      <w:bookmarkEnd w:id="1073"/>
      <w:bookmarkStart w:id="1074" w:name="_Toc152045761"/>
      <w:bookmarkEnd w:id="1074"/>
      <w:bookmarkStart w:id="1075" w:name="_Toc144974731"/>
      <w:bookmarkEnd w:id="1075"/>
      <w:bookmarkStart w:id="1076" w:name="_Toc393546425"/>
      <w:bookmarkEnd w:id="1076"/>
      <w:bookmarkStart w:id="1077" w:name="_Toc179632779"/>
      <w:bookmarkEnd w:id="1077"/>
      <w:bookmarkStart w:id="1078" w:name="_Toc152042540"/>
      <w:bookmarkEnd w:id="1078"/>
      <w:bookmarkStart w:id="1079" w:name="_Toc386467171"/>
      <w:bookmarkEnd w:id="1079"/>
      <w:bookmarkStart w:id="1080" w:name="_Toc3026"/>
      <w:r>
        <w:rPr>
          <w:rFonts w:hint="eastAsia" w:ascii="宋体" w:eastAsia="宋体"/>
          <w:color w:val="000000" w:themeColor="text1"/>
          <w:szCs w:val="24"/>
          <w:highlight w:val="none"/>
          <w14:textFill>
            <w14:solidFill>
              <w14:schemeClr w14:val="tx1"/>
            </w14:solidFill>
          </w14:textFill>
        </w:rPr>
        <w:t>23.4 发包人的索赔</w:t>
      </w:r>
      <w:bookmarkEnd w:id="1080"/>
    </w:p>
    <w:p w14:paraId="4D4CE754">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3100CB47">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28E7344D">
      <w:pPr>
        <w:pStyle w:val="79"/>
        <w:spacing w:line="380" w:lineRule="exact"/>
        <w:rPr>
          <w:rFonts w:ascii="宋体" w:hAnsi="宋体"/>
          <w:color w:val="000000" w:themeColor="text1"/>
          <w:sz w:val="24"/>
          <w:szCs w:val="24"/>
          <w:highlight w:val="none"/>
          <w14:textFill>
            <w14:solidFill>
              <w14:schemeClr w14:val="tx1"/>
            </w14:solidFill>
          </w14:textFill>
        </w:rPr>
      </w:pPr>
      <w:bookmarkStart w:id="1081" w:name="_Toc386467172"/>
      <w:bookmarkEnd w:id="1081"/>
      <w:bookmarkStart w:id="1082" w:name="_Toc393546426"/>
      <w:bookmarkEnd w:id="1082"/>
      <w:bookmarkStart w:id="1083" w:name="_Toc5425"/>
      <w:r>
        <w:rPr>
          <w:rFonts w:hint="eastAsia" w:ascii="宋体" w:hAnsi="宋体"/>
          <w:color w:val="000000" w:themeColor="text1"/>
          <w:sz w:val="24"/>
          <w:szCs w:val="24"/>
          <w:highlight w:val="none"/>
          <w14:textFill>
            <w14:solidFill>
              <w14:schemeClr w14:val="tx1"/>
            </w14:solidFill>
          </w14:textFill>
        </w:rPr>
        <w:t>24. 争议的解决</w:t>
      </w:r>
      <w:bookmarkEnd w:id="1083"/>
    </w:p>
    <w:p w14:paraId="27277B4C">
      <w:pPr>
        <w:pStyle w:val="68"/>
        <w:spacing w:line="380" w:lineRule="exact"/>
        <w:ind w:firstLine="118"/>
        <w:rPr>
          <w:rFonts w:ascii="宋体" w:eastAsia="宋体"/>
          <w:color w:val="000000" w:themeColor="text1"/>
          <w:szCs w:val="24"/>
          <w:highlight w:val="none"/>
          <w14:textFill>
            <w14:solidFill>
              <w14:schemeClr w14:val="tx1"/>
            </w14:solidFill>
          </w14:textFill>
        </w:rPr>
      </w:pPr>
      <w:bookmarkStart w:id="1084" w:name="_Toc152045763"/>
      <w:bookmarkEnd w:id="1084"/>
      <w:bookmarkStart w:id="1085" w:name="_Toc393546429"/>
      <w:bookmarkEnd w:id="1085"/>
      <w:bookmarkStart w:id="1086" w:name="_Toc330406368"/>
      <w:bookmarkEnd w:id="1086"/>
      <w:bookmarkStart w:id="1087" w:name="_Toc393546427"/>
      <w:bookmarkEnd w:id="1087"/>
      <w:bookmarkStart w:id="1088" w:name="_Toc179632781"/>
      <w:bookmarkEnd w:id="1088"/>
      <w:bookmarkStart w:id="1089" w:name="_Toc144974733"/>
      <w:bookmarkEnd w:id="1089"/>
      <w:bookmarkStart w:id="1090" w:name="_Toc386467175"/>
      <w:bookmarkEnd w:id="1090"/>
      <w:bookmarkStart w:id="1091" w:name="_Toc152042542"/>
      <w:bookmarkEnd w:id="1091"/>
      <w:bookmarkStart w:id="1092" w:name="_Toc386467173"/>
      <w:bookmarkEnd w:id="1092"/>
      <w:bookmarkStart w:id="1093" w:name="_Toc11085"/>
      <w:r>
        <w:rPr>
          <w:rFonts w:hint="eastAsia" w:ascii="宋体" w:eastAsia="宋体"/>
          <w:color w:val="000000" w:themeColor="text1"/>
          <w:szCs w:val="24"/>
          <w:highlight w:val="none"/>
          <w14:textFill>
            <w14:solidFill>
              <w14:schemeClr w14:val="tx1"/>
            </w14:solidFill>
          </w14:textFill>
        </w:rPr>
        <w:t>24.324.1 争议的解决方式</w:t>
      </w:r>
      <w:bookmarkEnd w:id="1093"/>
    </w:p>
    <w:p w14:paraId="66B514D5">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6C7A798">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（1）向约定的仲裁委员会申请仲裁；</w:t>
      </w:r>
    </w:p>
    <w:p w14:paraId="31D8F7A5">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（2）向有管辖权的人民法院提起诉讼。</w:t>
      </w:r>
    </w:p>
    <w:p w14:paraId="5F1C0E7A">
      <w:pPr>
        <w:pStyle w:val="68"/>
        <w:spacing w:line="380" w:lineRule="exact"/>
        <w:ind w:firstLine="118"/>
        <w:rPr>
          <w:rFonts w:ascii="宋体" w:eastAsia="宋体"/>
          <w:color w:val="000000" w:themeColor="text1"/>
          <w:szCs w:val="24"/>
          <w:highlight w:val="none"/>
          <w14:textFill>
            <w14:solidFill>
              <w14:schemeClr w14:val="tx1"/>
            </w14:solidFill>
          </w14:textFill>
        </w:rPr>
      </w:pPr>
      <w:bookmarkStart w:id="1094" w:name="_Toc144974734"/>
      <w:bookmarkEnd w:id="1094"/>
      <w:bookmarkStart w:id="1095" w:name="_Toc330406369"/>
      <w:bookmarkEnd w:id="1095"/>
      <w:bookmarkStart w:id="1096" w:name="_Toc393546428"/>
      <w:bookmarkEnd w:id="1096"/>
      <w:bookmarkStart w:id="1097" w:name="_Toc152042543"/>
      <w:bookmarkEnd w:id="1097"/>
      <w:bookmarkStart w:id="1098" w:name="_Toc152045764"/>
      <w:bookmarkEnd w:id="1098"/>
      <w:bookmarkStart w:id="1099" w:name="_Toc179632782"/>
      <w:bookmarkEnd w:id="1099"/>
      <w:bookmarkStart w:id="1100" w:name="_Toc386467174"/>
      <w:bookmarkEnd w:id="1100"/>
      <w:bookmarkStart w:id="1101" w:name="_Toc9538"/>
      <w:r>
        <w:rPr>
          <w:rFonts w:hint="eastAsia" w:ascii="宋体" w:eastAsia="宋体"/>
          <w:color w:val="000000" w:themeColor="text1"/>
          <w:szCs w:val="24"/>
          <w:highlight w:val="none"/>
          <w14:textFill>
            <w14:solidFill>
              <w14:schemeClr w14:val="tx1"/>
            </w14:solidFill>
          </w14:textFill>
        </w:rPr>
        <w:t>24.2 友好解决</w:t>
      </w:r>
      <w:bookmarkEnd w:id="1101"/>
    </w:p>
    <w:p w14:paraId="23207ADB">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在提请争议评审、仲裁或者诉讼前，以及在争议评审、仲裁或诉讼过程中，发包人和承包人均可共同努力友好协商解决争议。</w:t>
      </w:r>
    </w:p>
    <w:p w14:paraId="659E1B3E">
      <w:pPr>
        <w:pStyle w:val="68"/>
        <w:spacing w:line="380" w:lineRule="exact"/>
        <w:ind w:firstLine="118"/>
        <w:rPr>
          <w:rFonts w:ascii="宋体" w:eastAsia="宋体"/>
          <w:color w:val="000000" w:themeColor="text1"/>
          <w:szCs w:val="24"/>
          <w:highlight w:val="none"/>
          <w14:textFill>
            <w14:solidFill>
              <w14:schemeClr w14:val="tx1"/>
            </w14:solidFill>
          </w14:textFill>
        </w:rPr>
      </w:pPr>
      <w:bookmarkStart w:id="1102" w:name="_Toc18873"/>
      <w:r>
        <w:rPr>
          <w:rFonts w:hint="eastAsia" w:ascii="宋体" w:eastAsia="宋体"/>
          <w:color w:val="000000" w:themeColor="text1"/>
          <w:szCs w:val="24"/>
          <w:highlight w:val="none"/>
          <w14:textFill>
            <w14:solidFill>
              <w14:schemeClr w14:val="tx1"/>
            </w14:solidFill>
          </w14:textFill>
        </w:rPr>
        <w:t>24.3 争议评审</w:t>
      </w:r>
      <w:bookmarkEnd w:id="1102"/>
    </w:p>
    <w:p w14:paraId="243471E8">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24.3.1 采用争议评审的，发包人和承包人应在开工日后的28天内或在争议发生后，协商成立争议评审组。争议评审组由有合同管理和工程实践经验的专家组成。</w:t>
      </w:r>
    </w:p>
    <w:p w14:paraId="0211C661">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24.3.2 合同双方的争议，应首先由申请人向争议评审组提交一份详细的评审申请报告，并附必要的文件、图纸和证明材料，申请人还应将上述报告的副本同时提交给被申请人和监理人。</w:t>
      </w:r>
    </w:p>
    <w:p w14:paraId="704A9750">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24.3.3 被申请人在收到申请人评审申请报告副本后的28天内，向争议评审组提交一份答辩报告，并附证明材料。被申请人应将答辩报告的副本同时提交给申请人和监理人。</w:t>
      </w:r>
    </w:p>
    <w:p w14:paraId="55FFEE3A">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24.3.4 除专用合同条款另有约定外，争议评审组在收到合同双方报告后的14天内，邀请双方代表和有关人员举行调查会，向双方调查争议细节；必要时争议评审组可要求双方进一步提供补充材料。</w:t>
      </w:r>
    </w:p>
    <w:p w14:paraId="6B3BB183">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50A6B295">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24.3.6 发包人和承包人接受评审意见的，由监理人根据评审意见拟定执行协议，经争议双方签字后作为合同的补充文件，并遵照执行。</w:t>
      </w:r>
    </w:p>
    <w:p w14:paraId="5055907F">
      <w:pPr>
        <w:spacing w:line="3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1B95E615">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1502DBC8">
      <w:pPr>
        <w:pStyle w:val="4"/>
        <w:jc w:val="center"/>
        <w:rPr>
          <w:rFonts w:ascii="宋体" w:hAnsi="宋体" w:eastAsia="宋体" w:cs="宋体"/>
          <w:color w:val="000000" w:themeColor="text1"/>
          <w:highlight w:val="none"/>
          <w14:textFill>
            <w14:solidFill>
              <w14:schemeClr w14:val="tx1"/>
            </w14:solidFill>
          </w14:textFill>
        </w:rPr>
      </w:pPr>
      <w:bookmarkStart w:id="1103" w:name="_Toc4029"/>
      <w:r>
        <w:rPr>
          <w:rFonts w:hint="eastAsia" w:ascii="宋体" w:hAnsi="宋体" w:eastAsia="宋体" w:cs="宋体"/>
          <w:color w:val="000000" w:themeColor="text1"/>
          <w:highlight w:val="none"/>
          <w14:textFill>
            <w14:solidFill>
              <w14:schemeClr w14:val="tx1"/>
            </w14:solidFill>
          </w14:textFill>
        </w:rPr>
        <w:t>第二节 专用合同条款</w:t>
      </w:r>
      <w:bookmarkEnd w:id="1103"/>
    </w:p>
    <w:p w14:paraId="1CE792C2">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包括：</w:t>
      </w:r>
    </w:p>
    <w:p w14:paraId="5A324302">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    A  公路工程专用合同条款详见«公路工程标准施工招标文件»</w:t>
      </w:r>
    </w:p>
    <w:p w14:paraId="5DE837AD">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      （2018 版）的第四章第二节</w:t>
      </w:r>
    </w:p>
    <w:p w14:paraId="273FE2FC">
      <w:pPr>
        <w:pStyle w:val="56"/>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B  项目专用合同条款     </w:t>
      </w:r>
    </w:p>
    <w:p w14:paraId="4AEA3E89">
      <w:pPr>
        <w:spacing w:after="120" w:line="240" w:lineRule="auto"/>
        <w:outlineLvl w:val="9"/>
        <w:rPr>
          <w:rFonts w:ascii="宋体" w:hAnsi="宋体"/>
          <w:color w:val="000000" w:themeColor="text1"/>
          <w:sz w:val="44"/>
          <w:szCs w:val="44"/>
          <w:highlight w:val="none"/>
          <w14:textFill>
            <w14:solidFill>
              <w14:schemeClr w14:val="tx1"/>
            </w14:solidFill>
          </w14:textFill>
        </w:rPr>
      </w:pPr>
      <w:r>
        <w:rPr>
          <w:rFonts w:hint="eastAsia" w:ascii="宋体" w:hAnsi="宋体"/>
          <w:color w:val="000000" w:themeColor="text1"/>
          <w:sz w:val="44"/>
          <w:szCs w:val="44"/>
          <w:highlight w:val="none"/>
          <w14:textFill>
            <w14:solidFill>
              <w14:schemeClr w14:val="tx1"/>
            </w14:solidFill>
          </w14:textFill>
        </w:rPr>
        <w:br w:type="page"/>
      </w:r>
    </w:p>
    <w:p w14:paraId="4B614F98">
      <w:pPr>
        <w:ind w:left="420"/>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A.公路工程专用合同条款</w:t>
      </w:r>
    </w:p>
    <w:p w14:paraId="1F20C12D">
      <w:pPr>
        <w:rPr>
          <w:rFonts w:ascii="宋体" w:hAnsi="宋体" w:cs="宋体"/>
          <w:color w:val="000000" w:themeColor="text1"/>
          <w:highlight w:val="none"/>
          <w14:textFill>
            <w14:solidFill>
              <w14:schemeClr w14:val="tx1"/>
            </w14:solidFill>
          </w14:textFill>
        </w:rPr>
      </w:pPr>
    </w:p>
    <w:p w14:paraId="064C09E1">
      <w:pPr>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(注：以下内容为“公路工程专用合同条款”，如有与“《中华人民共和国交通运输部公路工程标准施工招标文件》（2018 版）的第四章第二节”不一致之处，以“《中华人民共和国交通运输部公路工程标准施工招标文件》（2018 版）的第四章第二节”为准。)</w:t>
      </w:r>
    </w:p>
    <w:p w14:paraId="673A0910">
      <w:pPr>
        <w:rPr>
          <w:rFonts w:ascii="宋体" w:hAnsi="宋体" w:cs="宋体"/>
          <w:color w:val="000000" w:themeColor="text1"/>
          <w:highlight w:val="none"/>
          <w14:textFill>
            <w14:solidFill>
              <w14:schemeClr w14:val="tx1"/>
            </w14:solidFill>
          </w14:textFill>
        </w:rPr>
      </w:pPr>
    </w:p>
    <w:p w14:paraId="40C5E5DD">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104" w:name="_Toc451261281"/>
      <w:bookmarkEnd w:id="1104"/>
      <w:bookmarkStart w:id="1105" w:name="_Toc393546431"/>
      <w:bookmarkEnd w:id="1105"/>
      <w:bookmarkStart w:id="1106" w:name="_Toc330406372"/>
      <w:bookmarkEnd w:id="1106"/>
      <w:bookmarkStart w:id="1107" w:name="_Toc453057091"/>
      <w:bookmarkEnd w:id="1107"/>
      <w:bookmarkStart w:id="1108" w:name="_Toc386467177"/>
      <w:bookmarkEnd w:id="1108"/>
      <w:bookmarkStart w:id="1109" w:name="_Toc9257"/>
      <w:r>
        <w:rPr>
          <w:rFonts w:hint="eastAsia" w:ascii="宋体" w:hAnsi="宋体" w:cs="宋体"/>
          <w:color w:val="000000" w:themeColor="text1"/>
          <w:sz w:val="28"/>
          <w:szCs w:val="28"/>
          <w:highlight w:val="none"/>
          <w14:textFill>
            <w14:solidFill>
              <w14:schemeClr w14:val="tx1"/>
            </w14:solidFill>
          </w14:textFill>
        </w:rPr>
        <w:t>1.一般约定</w:t>
      </w:r>
      <w:bookmarkEnd w:id="1109"/>
    </w:p>
    <w:p w14:paraId="28B5ED54">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10" w:name="_Toc451261282"/>
      <w:bookmarkEnd w:id="1110"/>
      <w:bookmarkStart w:id="1111" w:name="_Toc386467178"/>
      <w:bookmarkEnd w:id="1111"/>
      <w:bookmarkStart w:id="1112" w:name="_Toc393546432"/>
      <w:bookmarkEnd w:id="1112"/>
      <w:bookmarkStart w:id="1113" w:name="_Toc453057092"/>
      <w:bookmarkEnd w:id="1113"/>
      <w:bookmarkStart w:id="1114" w:name="_Toc330406373"/>
      <w:bookmarkEnd w:id="1114"/>
      <w:bookmarkStart w:id="1115" w:name="_Toc28715"/>
      <w:r>
        <w:rPr>
          <w:rFonts w:hint="eastAsia" w:ascii="宋体" w:hAnsi="宋体" w:cs="宋体"/>
          <w:color w:val="000000" w:themeColor="text1"/>
          <w:sz w:val="24"/>
          <w:szCs w:val="24"/>
          <w:highlight w:val="none"/>
          <w14:textFill>
            <w14:solidFill>
              <w14:schemeClr w14:val="tx1"/>
            </w14:solidFill>
          </w14:textFill>
        </w:rPr>
        <w:t>1.1词语定义</w:t>
      </w:r>
      <w:bookmarkEnd w:id="1115"/>
    </w:p>
    <w:p w14:paraId="1A0645E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1.1.1合同</w:t>
      </w:r>
    </w:p>
    <w:p w14:paraId="58C1BFE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第1.1.1.6目细化为：</w:t>
      </w:r>
    </w:p>
    <w:p w14:paraId="33CBE32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技术规范：指本合同所约定的技术标准和要求，是合同文件的组成部分。通用合同条款中“技术标准和要求”一词具有相同含义。</w:t>
      </w:r>
    </w:p>
    <w:p w14:paraId="1375D6D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第1.1.1.8目细化为：</w:t>
      </w:r>
    </w:p>
    <w:p w14:paraId="58A0D7B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己标价工程量清单：指构成合同文件组成部分的己标明价格、经算术性错误 修正及其他错误修正（如有）且承包人己确认的最终的工程量清单，包括工程量清单说明、投标报价说明、计日工说明、其他说明及工程量清单各项表格（工程量清 单表</w:t>
      </w:r>
      <w:r>
        <w:rPr>
          <w:rFonts w:hint="eastAsia" w:ascii="宋体" w:hAnsi="宋体" w:cs="宋体"/>
          <w:color w:val="000000" w:themeColor="text1"/>
          <w:sz w:val="24"/>
          <w:highlight w:val="none"/>
          <w14:textFill>
            <w14:solidFill>
              <w14:schemeClr w14:val="tx1"/>
            </w14:solidFill>
          </w14:textFill>
        </w:rPr>
        <w:t>5.1</w:t>
      </w:r>
      <w:r>
        <w:rPr>
          <w:rFonts w:hint="eastAsia" w:ascii="宋体" w:hAnsi="宋体" w:cs="宋体"/>
          <w:color w:val="000000" w:themeColor="text1"/>
          <w:sz w:val="24"/>
          <w:highlight w:val="none"/>
          <w:lang w:val="zh-CN"/>
          <w14:textFill>
            <w14:solidFill>
              <w14:schemeClr w14:val="tx1"/>
            </w14:solidFill>
          </w14:textFill>
        </w:rPr>
        <w:t>〜表</w:t>
      </w:r>
      <w:r>
        <w:rPr>
          <w:rFonts w:hint="eastAsia" w:ascii="宋体" w:hAnsi="宋体" w:cs="宋体"/>
          <w:color w:val="000000" w:themeColor="text1"/>
          <w:sz w:val="24"/>
          <w:highlight w:val="none"/>
          <w14:textFill>
            <w14:solidFill>
              <w14:schemeClr w14:val="tx1"/>
            </w14:solidFill>
          </w14:textFill>
        </w:rPr>
        <w:t>5.5）。</w:t>
      </w:r>
    </w:p>
    <w:p w14:paraId="1AC6E63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本项补充第1.1.1.10目：</w:t>
      </w:r>
    </w:p>
    <w:p w14:paraId="2D582E9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1.1.1.10补遗书：指发出招标文件之后由招标人向已取得招标文件的投标人发出的、编号的对招标文件所作的澄清、修改书。</w:t>
      </w:r>
    </w:p>
    <w:p w14:paraId="296033B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1.1.2合同当事人和人员</w:t>
      </w:r>
    </w:p>
    <w:p w14:paraId="13C6892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本项补充第1.1.2.8目：</w:t>
      </w:r>
    </w:p>
    <w:p w14:paraId="15893F4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1.1.2.8 承包人项目总工：指由承包人书面委派常驻现场负责管理本合同工程的总工程师或技术总负责人。</w:t>
      </w:r>
    </w:p>
    <w:p w14:paraId="6ABC34B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 工程和设备</w:t>
      </w:r>
    </w:p>
    <w:p w14:paraId="49D7518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第1.1.3.4目细化为：</w:t>
      </w:r>
    </w:p>
    <w:p w14:paraId="2ADE17B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单位工程：指在建设项目中，根据签订的合同，具有独立施工条件的工程。</w:t>
      </w:r>
    </w:p>
    <w:p w14:paraId="09ACB2C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1.1.3.10目细化为：</w:t>
      </w:r>
    </w:p>
    <w:p w14:paraId="57DB9C4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永久占地：指为实施本合同工程而需要的一切永久占用的土地，包括公路两侧路权范围内的用地。</w:t>
      </w:r>
    </w:p>
    <w:p w14:paraId="4B954BE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第1.1.3.11目细化为：</w:t>
      </w:r>
    </w:p>
    <w:p w14:paraId="6DAA73C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临时占地：指为实施本合同工程而需要的一切临时占用的土地，包括施工所用的临时支线、便道、便桥和现场的临时出入通道，以及生产（办公）、生活等临时设施用地等。</w:t>
      </w:r>
    </w:p>
    <w:p w14:paraId="5454713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本项补充第1.1.3.12目、第1.1.3.13目：</w:t>
      </w:r>
    </w:p>
    <w:p w14:paraId="16B04F5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1.1.3.12 分部工程：指在单位工程中，按结构部位、路段长度及施工特点或施工任务划分的若干个工程。</w:t>
      </w:r>
    </w:p>
    <w:p w14:paraId="392E401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1.1.3.13 分项工程：指在分部工程中，按不同的施工方法、材料、工序及路段长度等划分的若干个过程。</w:t>
      </w:r>
    </w:p>
    <w:p w14:paraId="13DDC90E">
      <w:pPr>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 其他</w:t>
      </w:r>
    </w:p>
    <w:p w14:paraId="7665E234">
      <w:pPr>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本项补充第1.1.6.2目～1.1.6.9目：</w:t>
      </w:r>
    </w:p>
    <w:p w14:paraId="0E584C1F">
      <w:pPr>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1.1.6.2 竣工验收：指《公路工程竣（交）工验收办法》中的竣工验收。通用合同条款中“国家验收”一词具有相同含义。</w:t>
      </w:r>
    </w:p>
    <w:p w14:paraId="2F76A312">
      <w:pPr>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1.1.6.3 交工：指《公路工程竣（交）工验收办法》中的交工通用合同条款中“竣工”一词具有相同含义。</w:t>
      </w:r>
    </w:p>
    <w:p w14:paraId="30D66335">
      <w:pPr>
        <w:spacing w:line="400" w:lineRule="exact"/>
        <w:ind w:firstLine="48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1.1.6.4 交工验收：指《公路工程竣（交）工验收办法》中的交工验收。通用合同条款中“竣工验收”一词具有相同含义。</w:t>
      </w:r>
    </w:p>
    <w:p w14:paraId="0E9D7E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1.1.6.5 交工验收证书：指《公路工程竣（交）工验收办法》中的交工验收证书。通用合同条款中“工程接收证书”一词具有相同含义。</w:t>
      </w:r>
    </w:p>
    <w:p w14:paraId="3621F0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1.1.6.6 转包：指承包人违反法律和不履行合同规定的责任和义务，将中标工程全部委托或以专业分包的名义将中标工程肢解后全部委托给其他施工企业施工的行为。</w:t>
      </w:r>
    </w:p>
    <w:p w14:paraId="21EDD20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1.1.6.7 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5464570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1.1.6.8 劳务分包：指承包人与具有劳务分包资质的劳务企业签订劳务分包，由劳务企业提供劳务人员及机具，由承包人统一组织施工，统一控制工程质量、施工进度、材料采购、生产安全的施工行为。</w:t>
      </w:r>
    </w:p>
    <w:p w14:paraId="6890B64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1.1.6.9 雇佣民工：指承包人与具有相应劳动能力的自然人签订劳动合同，由承包人统一组织管理，从事分项工程施工或配套工程施工的行为。</w:t>
      </w:r>
    </w:p>
    <w:p w14:paraId="50C64D48">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16" w:name="_Toc386467179"/>
      <w:bookmarkEnd w:id="1116"/>
      <w:bookmarkStart w:id="1117" w:name="_Toc330406374"/>
      <w:bookmarkEnd w:id="1117"/>
      <w:bookmarkStart w:id="1118" w:name="_Toc451261283"/>
      <w:bookmarkEnd w:id="1118"/>
      <w:bookmarkStart w:id="1119" w:name="_Toc453057093"/>
      <w:bookmarkEnd w:id="1119"/>
      <w:bookmarkStart w:id="1120" w:name="_Toc393546433"/>
      <w:bookmarkEnd w:id="1120"/>
      <w:bookmarkStart w:id="1121" w:name="_Toc28098"/>
      <w:r>
        <w:rPr>
          <w:rFonts w:hint="eastAsia" w:ascii="宋体" w:hAnsi="宋体" w:cs="宋体"/>
          <w:color w:val="000000" w:themeColor="text1"/>
          <w:sz w:val="24"/>
          <w:szCs w:val="24"/>
          <w:highlight w:val="none"/>
          <w14:textFill>
            <w14:solidFill>
              <w14:schemeClr w14:val="tx1"/>
            </w14:solidFill>
          </w14:textFill>
        </w:rPr>
        <w:t>1.4合同文件的优先顺序</w:t>
      </w:r>
      <w:bookmarkEnd w:id="1121"/>
    </w:p>
    <w:p w14:paraId="1D95774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本款约定为：</w:t>
      </w:r>
    </w:p>
    <w:p w14:paraId="4390843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组成合同的各项文件应互相解释，互为说明。除项目专用合同条款另有约定外，解释合同文件的优先顺序如下：</w:t>
      </w:r>
    </w:p>
    <w:p w14:paraId="09E2D39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（1）合同协议书及各种合同附件（含评标期间和合同谈判过程中的澄清文件和补充资料）；</w:t>
      </w:r>
    </w:p>
    <w:p w14:paraId="1CC8D6E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（2）中标通知书；</w:t>
      </w:r>
    </w:p>
    <w:p w14:paraId="08B8929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（3）投标函及投标函附录；</w:t>
      </w:r>
    </w:p>
    <w:p w14:paraId="4DB3B3C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（4）项目专用合同条款；</w:t>
      </w:r>
    </w:p>
    <w:p w14:paraId="53F8E3E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（5）公路工程专用合同条款；</w:t>
      </w:r>
    </w:p>
    <w:p w14:paraId="3E1DE11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（6）通用合同条款；</w:t>
      </w:r>
    </w:p>
    <w:p w14:paraId="46AE711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lang w:val="zh-CN"/>
          <w14:textFill>
            <w14:solidFill>
              <w14:schemeClr w14:val="tx1"/>
            </w14:solidFill>
          </w14:textFill>
        </w:rPr>
        <w:t>工程量清单计量规则</w:t>
      </w:r>
      <w:r>
        <w:rPr>
          <w:rFonts w:hint="eastAsia" w:ascii="宋体" w:hAnsi="宋体" w:cs="宋体"/>
          <w:color w:val="000000" w:themeColor="text1"/>
          <w:sz w:val="24"/>
          <w:highlight w:val="none"/>
          <w14:textFill>
            <w14:solidFill>
              <w14:schemeClr w14:val="tx1"/>
            </w14:solidFill>
          </w14:textFill>
        </w:rPr>
        <w:t>；</w:t>
      </w:r>
    </w:p>
    <w:p w14:paraId="1FC2678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（8）技术规范；</w:t>
      </w:r>
    </w:p>
    <w:p w14:paraId="7518EB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（9）图纸；</w:t>
      </w:r>
    </w:p>
    <w:p w14:paraId="3D73EF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（10）已标价工程量清单；</w:t>
      </w:r>
    </w:p>
    <w:p w14:paraId="0E1E82E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（11）承包人有关人员、设备投入的承诺及投标文件中的施工组织设计；</w:t>
      </w:r>
    </w:p>
    <w:p w14:paraId="6E316EC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（12）其他合同文件。</w:t>
      </w:r>
    </w:p>
    <w:p w14:paraId="6D116CCB">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22" w:name="_Toc451261284"/>
      <w:bookmarkEnd w:id="1122"/>
      <w:bookmarkStart w:id="1123" w:name="_Toc330406375"/>
      <w:bookmarkEnd w:id="1123"/>
      <w:bookmarkStart w:id="1124" w:name="_Toc386467180"/>
      <w:bookmarkEnd w:id="1124"/>
      <w:bookmarkStart w:id="1125" w:name="_Toc393546434"/>
      <w:bookmarkEnd w:id="1125"/>
      <w:bookmarkStart w:id="1126" w:name="_Toc453057094"/>
      <w:bookmarkEnd w:id="1126"/>
      <w:bookmarkStart w:id="1127" w:name="_Toc16206"/>
      <w:r>
        <w:rPr>
          <w:rFonts w:hint="eastAsia" w:ascii="宋体" w:hAnsi="宋体" w:cs="宋体"/>
          <w:color w:val="000000" w:themeColor="text1"/>
          <w:sz w:val="24"/>
          <w:szCs w:val="24"/>
          <w:highlight w:val="none"/>
          <w14:textFill>
            <w14:solidFill>
              <w14:schemeClr w14:val="tx1"/>
            </w14:solidFill>
          </w14:textFill>
        </w:rPr>
        <w:t>1.5合同协议书</w:t>
      </w:r>
      <w:bookmarkEnd w:id="1127"/>
    </w:p>
    <w:p w14:paraId="494072D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19F8F39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制备本合同文件的费用由发包人承担。在合同协议书签订并生效之前，投标函和中标通知书将对双方具有约束力。</w:t>
      </w:r>
    </w:p>
    <w:p w14:paraId="53BBF40E">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28" w:name="_Toc451261285"/>
      <w:bookmarkEnd w:id="1128"/>
      <w:bookmarkStart w:id="1129" w:name="_Toc393546435"/>
      <w:bookmarkEnd w:id="1129"/>
      <w:bookmarkStart w:id="1130" w:name="_Toc453057095"/>
      <w:bookmarkEnd w:id="1130"/>
      <w:bookmarkStart w:id="1131" w:name="_Toc386467181"/>
      <w:bookmarkEnd w:id="1131"/>
      <w:bookmarkStart w:id="1132" w:name="_Toc330406376"/>
      <w:bookmarkEnd w:id="1132"/>
      <w:bookmarkStart w:id="1133" w:name="_Toc1189"/>
      <w:r>
        <w:rPr>
          <w:rFonts w:hint="eastAsia" w:ascii="宋体" w:hAnsi="宋体" w:cs="宋体"/>
          <w:color w:val="000000" w:themeColor="text1"/>
          <w:sz w:val="24"/>
          <w:szCs w:val="24"/>
          <w:highlight w:val="none"/>
          <w14:textFill>
            <w14:solidFill>
              <w14:schemeClr w14:val="tx1"/>
            </w14:solidFill>
          </w14:textFill>
        </w:rPr>
        <w:t>1.6图纸和承包人文件</w:t>
      </w:r>
      <w:bookmarkEnd w:id="1133"/>
    </w:p>
    <w:p w14:paraId="4014B98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 图纸的提供</w:t>
      </w:r>
    </w:p>
    <w:p w14:paraId="26D1D9B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605872A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79AD4B5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1.6.2承包人提供的文件</w:t>
      </w:r>
    </w:p>
    <w:p w14:paraId="7ACBD18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468FE95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有下列情形之一的，承包人应免费向监理人提交相关部分工程的施工图纸3份，并附必要的计算书、技术资料，或施工工艺图、设备安装图及安装设备的使用和维护手册各2份供监理人批准。</w:t>
      </w:r>
    </w:p>
    <w:p w14:paraId="0323B30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（1）为使第1.6.1项所述的施工图纸适合于经现场测量后的纵、横断面；</w:t>
      </w:r>
    </w:p>
    <w:p w14:paraId="0F1B73E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（2）为使第1.6.1项所述的施工图纸适合于现场具体地形；</w:t>
      </w:r>
    </w:p>
    <w:p w14:paraId="24BF24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（3）为使第1.6.1项所述的施工图纸适合于因尺寸与位置变化而引起局部变更；</w:t>
      </w:r>
    </w:p>
    <w:p w14:paraId="1393214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（4）由于合同要求与施工需要。</w:t>
      </w:r>
    </w:p>
    <w:p w14:paraId="6B32D90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此类图纸应按监理人规定的格式和图幅绘制。监理人在收到由承包人绘制的上述工程、工艺图纸、计算书和有关技术资料后14天内应予批准或提出修改要求，承包人应按监理人提出的要求做出修改，重新向监理人提交，监理人应在7天内批准或提出进一步的修改意见。</w:t>
      </w:r>
    </w:p>
    <w:p w14:paraId="067C09D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1.6.4图纸的错误</w:t>
      </w:r>
    </w:p>
    <w:p w14:paraId="2B5B586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393D5B4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当承包人在查阅合同文件或在本合同工程实施过程中，发现有关的工程设计、技术规范、图纸或其他资料中的任何差错、遗漏或缺陷后，应及时通知监理人。监理人接到该通知后，应立即就此做出决定，并通知承包人和发包人。</w:t>
      </w:r>
    </w:p>
    <w:p w14:paraId="2126F753">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34" w:name="_Toc451261286"/>
      <w:bookmarkEnd w:id="1134"/>
      <w:bookmarkStart w:id="1135" w:name="_Toc453057096"/>
      <w:bookmarkEnd w:id="1135"/>
      <w:bookmarkStart w:id="1136" w:name="_Toc386467182"/>
      <w:bookmarkEnd w:id="1136"/>
      <w:bookmarkStart w:id="1137" w:name="_Toc330406377"/>
      <w:bookmarkEnd w:id="1137"/>
      <w:bookmarkStart w:id="1138" w:name="_Toc393546436"/>
      <w:bookmarkEnd w:id="1138"/>
      <w:bookmarkStart w:id="1139" w:name="_Toc31710"/>
      <w:r>
        <w:rPr>
          <w:rFonts w:hint="eastAsia" w:ascii="宋体" w:hAnsi="宋体" w:cs="宋体"/>
          <w:color w:val="000000" w:themeColor="text1"/>
          <w:sz w:val="24"/>
          <w:szCs w:val="24"/>
          <w:highlight w:val="none"/>
          <w14:textFill>
            <w14:solidFill>
              <w14:schemeClr w14:val="tx1"/>
            </w14:solidFill>
          </w14:textFill>
        </w:rPr>
        <w:t>1.9严禁贿赂</w:t>
      </w:r>
      <w:bookmarkEnd w:id="1139"/>
    </w:p>
    <w:p w14:paraId="423719A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2C5AE2C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上述行为造成的工程损耗害、发包人的经济损失等承担一切责任，并予赔偿。情节严重者，发包人有权终止承包人在本合同项下的承包。</w:t>
      </w:r>
    </w:p>
    <w:p w14:paraId="6C334998">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140" w:name="_Toc451261287"/>
      <w:bookmarkEnd w:id="1140"/>
      <w:bookmarkStart w:id="1141" w:name="_Toc386467183"/>
      <w:bookmarkEnd w:id="1141"/>
      <w:bookmarkStart w:id="1142" w:name="_Toc393546437"/>
      <w:bookmarkEnd w:id="1142"/>
      <w:bookmarkStart w:id="1143" w:name="_Toc330406378"/>
      <w:bookmarkEnd w:id="1143"/>
      <w:bookmarkStart w:id="1144" w:name="_Toc453057097"/>
      <w:bookmarkEnd w:id="1144"/>
      <w:bookmarkStart w:id="1145" w:name="_Toc8425"/>
      <w:r>
        <w:rPr>
          <w:rFonts w:hint="eastAsia" w:ascii="宋体" w:hAnsi="宋体" w:cs="宋体"/>
          <w:color w:val="000000" w:themeColor="text1"/>
          <w:sz w:val="28"/>
          <w:szCs w:val="28"/>
          <w:highlight w:val="none"/>
          <w14:textFill>
            <w14:solidFill>
              <w14:schemeClr w14:val="tx1"/>
            </w14:solidFill>
          </w14:textFill>
        </w:rPr>
        <w:t>2.发包人义务</w:t>
      </w:r>
      <w:bookmarkEnd w:id="1145"/>
    </w:p>
    <w:p w14:paraId="37DE9A5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46" w:name="_Toc330406379"/>
      <w:bookmarkEnd w:id="1146"/>
      <w:bookmarkStart w:id="1147" w:name="_Toc393546438"/>
      <w:bookmarkEnd w:id="1147"/>
      <w:bookmarkStart w:id="1148" w:name="_Toc453057098"/>
      <w:bookmarkEnd w:id="1148"/>
      <w:bookmarkStart w:id="1149" w:name="_Toc386467184"/>
      <w:bookmarkEnd w:id="1149"/>
      <w:bookmarkStart w:id="1150" w:name="_Toc451261288"/>
      <w:bookmarkEnd w:id="1150"/>
      <w:bookmarkStart w:id="1151" w:name="_Toc12368"/>
      <w:r>
        <w:rPr>
          <w:rFonts w:hint="eastAsia" w:ascii="宋体" w:hAnsi="宋体" w:cs="宋体"/>
          <w:color w:val="000000" w:themeColor="text1"/>
          <w:sz w:val="24"/>
          <w:szCs w:val="24"/>
          <w:highlight w:val="none"/>
          <w14:textFill>
            <w14:solidFill>
              <w14:schemeClr w14:val="tx1"/>
            </w14:solidFill>
          </w14:textFill>
        </w:rPr>
        <w:t>2.3提供施工场地</w:t>
      </w:r>
      <w:bookmarkEnd w:id="1151"/>
    </w:p>
    <w:p w14:paraId="207B079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19D7896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及拆迁赔偿手续，通知承包人使用，以使承包人能够连续不间断地施工。由于承包人施工考虑不周或措施不当等原因而造成的超计划占地或拆迁等发生的征用和赔偿费用，应由承包人承担。</w:t>
      </w:r>
    </w:p>
    <w:p w14:paraId="4EFF5E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145F9CD2">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152" w:name="_Toc451261289"/>
      <w:bookmarkEnd w:id="1152"/>
      <w:bookmarkStart w:id="1153" w:name="_Toc330406380"/>
      <w:bookmarkEnd w:id="1153"/>
      <w:bookmarkStart w:id="1154" w:name="_Toc393546439"/>
      <w:bookmarkEnd w:id="1154"/>
      <w:bookmarkStart w:id="1155" w:name="_Toc386467185"/>
      <w:bookmarkEnd w:id="1155"/>
      <w:bookmarkStart w:id="1156" w:name="_Toc453057099"/>
      <w:bookmarkEnd w:id="1156"/>
      <w:bookmarkStart w:id="1157" w:name="_Toc27251"/>
      <w:r>
        <w:rPr>
          <w:rFonts w:hint="eastAsia" w:ascii="宋体" w:hAnsi="宋体" w:cs="宋体"/>
          <w:color w:val="000000" w:themeColor="text1"/>
          <w:sz w:val="28"/>
          <w:szCs w:val="28"/>
          <w:highlight w:val="none"/>
          <w14:textFill>
            <w14:solidFill>
              <w14:schemeClr w14:val="tx1"/>
            </w14:solidFill>
          </w14:textFill>
        </w:rPr>
        <w:t>3.监理人</w:t>
      </w:r>
      <w:bookmarkEnd w:id="1157"/>
    </w:p>
    <w:p w14:paraId="4F808D12">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58" w:name="_Toc393546440"/>
      <w:bookmarkEnd w:id="1158"/>
      <w:bookmarkStart w:id="1159" w:name="_Toc453057100"/>
      <w:bookmarkEnd w:id="1159"/>
      <w:bookmarkStart w:id="1160" w:name="_Toc386467186"/>
      <w:bookmarkEnd w:id="1160"/>
      <w:bookmarkStart w:id="1161" w:name="_Toc330406381"/>
      <w:bookmarkEnd w:id="1161"/>
      <w:bookmarkStart w:id="1162" w:name="_Toc451261290"/>
      <w:bookmarkEnd w:id="1162"/>
      <w:bookmarkStart w:id="1163" w:name="_Toc5940"/>
      <w:r>
        <w:rPr>
          <w:rFonts w:hint="eastAsia" w:ascii="宋体" w:hAnsi="宋体" w:cs="宋体"/>
          <w:color w:val="000000" w:themeColor="text1"/>
          <w:sz w:val="24"/>
          <w:szCs w:val="24"/>
          <w:highlight w:val="none"/>
          <w14:textFill>
            <w14:solidFill>
              <w14:schemeClr w14:val="tx1"/>
            </w14:solidFill>
          </w14:textFill>
        </w:rPr>
        <w:t>3.1监理人的职责和权力</w:t>
      </w:r>
      <w:bookmarkEnd w:id="1163"/>
    </w:p>
    <w:p w14:paraId="5E831FF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第3.1.1项补充：</w:t>
      </w:r>
    </w:p>
    <w:p w14:paraId="0E620EE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监理人在行使下列权力前需要经发包人事先批准：</w:t>
      </w:r>
    </w:p>
    <w:p w14:paraId="5968B8D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（1）根据第4.3款，同意分包</w:t>
      </w:r>
      <w:r>
        <w:rPr>
          <w:rFonts w:hint="eastAsia" w:ascii="宋体" w:hAnsi="宋体" w:cs="宋体"/>
          <w:color w:val="000000" w:themeColor="text1"/>
          <w:highlight w:val="none"/>
          <w14:textFill>
            <w14:solidFill>
              <w14:schemeClr w14:val="tx1"/>
            </w14:solidFill>
          </w14:textFill>
        </w:rPr>
        <w:t>本工程的某些非关键性工作或者适合专业化队伍施工的专项工程</w:t>
      </w:r>
      <w:r>
        <w:rPr>
          <w:rFonts w:hint="eastAsia" w:ascii="宋体" w:hAnsi="宋体" w:cs="宋体"/>
          <w:color w:val="000000" w:themeColor="text1"/>
          <w:sz w:val="24"/>
          <w:highlight w:val="none"/>
          <w14:textFill>
            <w14:solidFill>
              <w14:schemeClr w14:val="tx1"/>
            </w14:solidFill>
          </w14:textFill>
        </w:rPr>
        <w:t>；</w:t>
      </w:r>
    </w:p>
    <w:p w14:paraId="3E3D420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（2）确定第4.11款下产生的费用增加额；</w:t>
      </w:r>
    </w:p>
    <w:p w14:paraId="746696F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（3）根据第11.1款、第12.3款、第12.4款发布开工通知、暂停施工指示或复工通知；</w:t>
      </w:r>
    </w:p>
    <w:p w14:paraId="73A7999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（4）决定第11.3款、第11.4款下的工期延长；</w:t>
      </w:r>
    </w:p>
    <w:p w14:paraId="3EF810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（5）审查批准技术方案设计的变更；</w:t>
      </w:r>
    </w:p>
    <w:p w14:paraId="682E40B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（6）根据第15.3款发出的变更指令，其单项工程变更或累计变更涉及的金额超过了项目专用合同条款数据表中规定的金额；</w:t>
      </w:r>
    </w:p>
    <w:p w14:paraId="03102F6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（7）确定第15.4款下变更工作的单价；</w:t>
      </w:r>
    </w:p>
    <w:p w14:paraId="3403327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（8）按照第15.6款决定有关暂列金额的使用；</w:t>
      </w:r>
    </w:p>
    <w:p w14:paraId="687B27D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（9）确定第15.8款项下的暂估价金额；</w:t>
      </w:r>
    </w:p>
    <w:p w14:paraId="4624E3C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（10）确定第23.1款项下的索赔额。</w:t>
      </w:r>
    </w:p>
    <w:p w14:paraId="4CCBC5C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72344E58">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64" w:name="_Toc393546441"/>
      <w:bookmarkEnd w:id="1164"/>
      <w:bookmarkStart w:id="1165" w:name="_Toc330406382"/>
      <w:bookmarkEnd w:id="1165"/>
      <w:bookmarkStart w:id="1166" w:name="_Toc386467187"/>
      <w:bookmarkEnd w:id="1166"/>
      <w:bookmarkStart w:id="1167" w:name="_Toc453057101"/>
      <w:bookmarkEnd w:id="1167"/>
      <w:bookmarkStart w:id="1168" w:name="_Toc451261291"/>
      <w:bookmarkEnd w:id="1168"/>
      <w:bookmarkStart w:id="1169" w:name="_Toc740"/>
      <w:r>
        <w:rPr>
          <w:rFonts w:hint="eastAsia" w:ascii="宋体" w:hAnsi="宋体" w:cs="宋体"/>
          <w:color w:val="000000" w:themeColor="text1"/>
          <w:sz w:val="24"/>
          <w:szCs w:val="24"/>
          <w:highlight w:val="none"/>
          <w14:textFill>
            <w14:solidFill>
              <w14:schemeClr w14:val="tx1"/>
            </w14:solidFill>
          </w14:textFill>
        </w:rPr>
        <w:t>3.5商定或确定</w:t>
      </w:r>
      <w:bookmarkEnd w:id="1169"/>
    </w:p>
    <w:p w14:paraId="42750FF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第3.5.1 项补充：</w:t>
      </w:r>
    </w:p>
    <w:p w14:paraId="5D028D9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如果这项商定或确定导致费用增加和（或）工期延长，或者涉及确定变更工程的价格，则总监理工程师在发出通知前，应征得发包人的同意。</w:t>
      </w:r>
    </w:p>
    <w:p w14:paraId="72555087">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170" w:name="_Toc451261292"/>
      <w:bookmarkEnd w:id="1170"/>
      <w:bookmarkStart w:id="1171" w:name="_Toc453057102"/>
      <w:bookmarkEnd w:id="1171"/>
      <w:bookmarkStart w:id="1172" w:name="_Toc393546442"/>
      <w:bookmarkEnd w:id="1172"/>
      <w:bookmarkStart w:id="1173" w:name="_Toc330406383"/>
      <w:bookmarkEnd w:id="1173"/>
      <w:bookmarkStart w:id="1174" w:name="_Toc386467188"/>
      <w:bookmarkEnd w:id="1174"/>
      <w:bookmarkStart w:id="1175" w:name="_Toc8111"/>
      <w:r>
        <w:rPr>
          <w:rFonts w:hint="eastAsia" w:ascii="宋体" w:hAnsi="宋体" w:cs="宋体"/>
          <w:color w:val="000000" w:themeColor="text1"/>
          <w:sz w:val="28"/>
          <w:szCs w:val="28"/>
          <w:highlight w:val="none"/>
          <w14:textFill>
            <w14:solidFill>
              <w14:schemeClr w14:val="tx1"/>
            </w14:solidFill>
          </w14:textFill>
        </w:rPr>
        <w:t>4.承包人</w:t>
      </w:r>
      <w:bookmarkEnd w:id="1175"/>
    </w:p>
    <w:p w14:paraId="3C470589">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76" w:name="_Toc451261293"/>
      <w:bookmarkEnd w:id="1176"/>
      <w:bookmarkStart w:id="1177" w:name="_Toc386467189"/>
      <w:bookmarkEnd w:id="1177"/>
      <w:bookmarkStart w:id="1178" w:name="_Toc393546443"/>
      <w:bookmarkEnd w:id="1178"/>
      <w:bookmarkStart w:id="1179" w:name="_Toc330406384"/>
      <w:bookmarkEnd w:id="1179"/>
      <w:bookmarkStart w:id="1180" w:name="_Toc453057103"/>
      <w:bookmarkEnd w:id="1180"/>
      <w:bookmarkStart w:id="1181" w:name="_Toc18604"/>
      <w:r>
        <w:rPr>
          <w:rFonts w:hint="eastAsia" w:ascii="宋体" w:hAnsi="宋体" w:cs="宋体"/>
          <w:color w:val="000000" w:themeColor="text1"/>
          <w:sz w:val="24"/>
          <w:szCs w:val="24"/>
          <w:highlight w:val="none"/>
          <w14:textFill>
            <w14:solidFill>
              <w14:schemeClr w14:val="tx1"/>
            </w14:solidFill>
          </w14:textFill>
        </w:rPr>
        <w:t>4.1承包工的一般义务</w:t>
      </w:r>
      <w:bookmarkEnd w:id="1181"/>
    </w:p>
    <w:p w14:paraId="447579DE">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4.1.9工程的维护和照管</w:t>
      </w:r>
    </w:p>
    <w:p w14:paraId="010D1DF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3034013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534A885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承包人负责照管与维护期间，如果本工程或材料、设备等发生损失或损害，除不可抗力原因之外，承包人均应自费弥补，并达到合同要求。承包人还应对按第19条规定而实施作业的过程中由承包人造成的对工程的任何损失或损害负责。</w:t>
      </w:r>
    </w:p>
    <w:p w14:paraId="2887C8AA">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4.1.10其他义务</w:t>
      </w:r>
    </w:p>
    <w:p w14:paraId="667264F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6674418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（1）临时占地由承包人向当地政府土地管理部门申请，并办理租用手续，承包人按有关规定直接支付其费用，发包人对此将予以协调。</w:t>
      </w:r>
    </w:p>
    <w:p w14:paraId="2AC0561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临时占地范围包括承包人驻地的办公室、食堂、宿舍、道路和机械设备停放场、材料堆放场地、弃土场、预制场、拌和场、仓库、进场临时道路、临时便道、便桥等。承包人应在“临时占地计划表”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100章中由承包人按总额报价。</w:t>
      </w:r>
    </w:p>
    <w:p w14:paraId="72BAFA7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临时占地退还前，承包人应自费恢复到临时占地使用前的状态。如因承包人撤离后未按要求对临时占地进行恢复或虽进行了恢复但未达到使用标准的，将由发包人委托第三方对其恢复，所发生的费用将从应付给承包人的任何款项内扣除。</w:t>
      </w:r>
    </w:p>
    <w:p w14:paraId="30B499C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除项目专用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24BD318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应严格遵守国家有关解决拖欠工程款和民工工资的法律、法规，及时支付工程中的材料、设备贷款及民工工资等费用。承包人不得以任何借口拖欠材料、设备贷款及民工工资等费用，如果出现此种现象，发包人有权代为支付其拖欠的材料、设备贷款及民工工资，并从应付给承包人的工程款中扣除相应款项。对恶意拖欠和拒不按计划支付的，作为不良记录纳入公路建设市场信用信息管理系统。</w:t>
      </w:r>
    </w:p>
    <w:p w14:paraId="1A3D067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包工头”或其他不具备用工主体资格的组织和个人。</w:t>
      </w:r>
    </w:p>
    <w:p w14:paraId="1FAFEF3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工资支付表应如实记录支付单位、支付时间、支付对象、支付数额、支付对象的身份证号和签字等信息。民工花名册和工资支付表应报监理人备查。</w:t>
      </w:r>
    </w:p>
    <w:p w14:paraId="355872D1">
      <w:pPr>
        <w:numPr>
          <w:ilvl w:val="0"/>
          <w:numId w:val="14"/>
        </w:num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承包人应分解工程价款中的人工费用，在工程项目所在地银行开设民工工 资(劳务费)专用账户，专项用于支付民工工资。发包人应按照本合同约定的比例 或承包人提供的人工费用数额，将应付工程款中的人工费单独拨付到承包人开设的 民工工资(劳务费)专用账户。民工工资(劳务费)专用账户应向人力资源社会保 障部门和交通运输主管部门备案，并委托开户银行负责日常监管，确保专款专用。 开户银行发现账户资金不足、被挪用等情况，应及时向人力资源社会保障部门和交 通运输主管部门报告。</w:t>
      </w:r>
    </w:p>
    <w:p w14:paraId="02003176">
      <w:pPr>
        <w:numPr>
          <w:ilvl w:val="0"/>
          <w:numId w:val="14"/>
        </w:num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承包人应严格执行招标文件技术规范对施工标准化提出的具体要求，结合 本单位施工能力和技术优势，积极采取有利于标准化施工的组织方式和工艺流程， 加强工地建设、工艺控制、人员管理和内业资料管理，强化对施工一线操作人员的 培训，改善职工生产生活条件，与此相关的费用承包人应列入工程量清单100章中。</w:t>
      </w:r>
    </w:p>
    <w:p w14:paraId="736BE188">
      <w:pPr>
        <w:numPr>
          <w:ilvl w:val="0"/>
          <w:numId w:val="14"/>
        </w:num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承包人应履行项目专用合同条款约定的其他义务。</w:t>
      </w:r>
    </w:p>
    <w:p w14:paraId="2DFAB4E2">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82" w:name="_Toc13000"/>
      <w:r>
        <w:rPr>
          <w:rFonts w:hint="eastAsia" w:ascii="宋体" w:hAnsi="宋体" w:cs="宋体"/>
          <w:color w:val="000000" w:themeColor="text1"/>
          <w:sz w:val="24"/>
          <w:szCs w:val="24"/>
          <w:highlight w:val="none"/>
          <w14:textFill>
            <w14:solidFill>
              <w14:schemeClr w14:val="tx1"/>
            </w14:solidFill>
          </w14:textFill>
        </w:rPr>
        <w:t>4.2</w:t>
      </w:r>
      <w:r>
        <w:rPr>
          <w:rFonts w:hint="eastAsia" w:ascii="宋体" w:hAnsi="宋体" w:cs="宋体"/>
          <w:color w:val="000000" w:themeColor="text1"/>
          <w:sz w:val="24"/>
          <w:szCs w:val="24"/>
          <w:highlight w:val="none"/>
          <w:lang w:val="zh-CN"/>
          <w14:textFill>
            <w14:solidFill>
              <w14:schemeClr w14:val="tx1"/>
            </w14:solidFill>
          </w14:textFill>
        </w:rPr>
        <w:t>履约保证金</w:t>
      </w:r>
      <w:bookmarkEnd w:id="1182"/>
    </w:p>
    <w:p w14:paraId="50E046C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本款细化为：</w:t>
      </w:r>
    </w:p>
    <w:p w14:paraId="659CA99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承包人应保证其履约保证金在发包人签发交工验收证书且承包人按照合同约定 缴纳质量保证金前一直有效。发包人应在收到承包人缴纳的质量保证金后28天内把 履约保证金退还给承包人。</w:t>
      </w:r>
    </w:p>
    <w:p w14:paraId="565B149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承包人拒绝按照本合同约定缴纳质量保证金的，发包人有权从竣工付款证书中 扣留相应金额作为质量保证金，或者直接将履约保证金金额用于保证承包人在缺陷 责任期内履行缺陷修复义务。</w:t>
      </w:r>
    </w:p>
    <w:p w14:paraId="1A3FC364">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83" w:name="_Toc453057104"/>
      <w:bookmarkEnd w:id="1183"/>
      <w:bookmarkStart w:id="1184" w:name="_Toc330406385"/>
      <w:bookmarkEnd w:id="1184"/>
      <w:bookmarkStart w:id="1185" w:name="_Toc386467190"/>
      <w:bookmarkEnd w:id="1185"/>
      <w:bookmarkStart w:id="1186" w:name="_Toc393546444"/>
      <w:bookmarkEnd w:id="1186"/>
      <w:bookmarkStart w:id="1187" w:name="_Toc451261294"/>
      <w:bookmarkEnd w:id="1187"/>
      <w:bookmarkStart w:id="1188" w:name="_Toc23468"/>
      <w:r>
        <w:rPr>
          <w:rFonts w:hint="eastAsia" w:ascii="宋体" w:hAnsi="宋体" w:cs="宋体"/>
          <w:color w:val="000000" w:themeColor="text1"/>
          <w:sz w:val="24"/>
          <w:szCs w:val="24"/>
          <w:highlight w:val="none"/>
          <w14:textFill>
            <w14:solidFill>
              <w14:schemeClr w14:val="tx1"/>
            </w14:solidFill>
          </w14:textFill>
        </w:rPr>
        <w:t>4.3 分包</w:t>
      </w:r>
      <w:bookmarkEnd w:id="1188"/>
    </w:p>
    <w:p w14:paraId="37FD431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第4.3.2项～第4.3.4项细化为：</w:t>
      </w:r>
    </w:p>
    <w:p w14:paraId="3CFDC47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4.3.2 承包人不得将4关键性工作分包给第三人。经发包人同意，承包人可将工程的其他部分或工作分包给第三人。分包包括专业分包和劳务分包。</w:t>
      </w:r>
    </w:p>
    <w:p w14:paraId="5FE33F64">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4.3.3专业分包</w:t>
      </w:r>
    </w:p>
    <w:p w14:paraId="49A936A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在工程施工过程中，承包人进行专业分包必须遵守以下规定：</w:t>
      </w:r>
    </w:p>
    <w:p w14:paraId="5749A26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zh-CN"/>
          <w14:textFill>
            <w14:solidFill>
              <w14:schemeClr w14:val="tx1"/>
            </w14:solidFill>
          </w14:textFill>
        </w:rPr>
        <w:t>允许专业分包的工程范围仅限于非关键性工程或者适合专业化队伍施工的 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57393D00">
      <w:pPr>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专业分包人的资格能力(含安全生产能力)应与其分包工程的标准和规模 相适应，且应当具备如下条件：</w:t>
      </w:r>
    </w:p>
    <w:p w14:paraId="0255986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w:t>
      </w:r>
      <w:r>
        <w:rPr>
          <w:rFonts w:hint="eastAsia" w:ascii="宋体" w:hAnsi="宋体" w:cs="宋体"/>
          <w:color w:val="000000" w:themeColor="text1"/>
          <w:sz w:val="24"/>
          <w:highlight w:val="none"/>
          <w:lang w:val="zh-CN"/>
          <w14:textFill>
            <w14:solidFill>
              <w14:schemeClr w14:val="tx1"/>
            </w14:solidFill>
          </w14:textFill>
        </w:rPr>
        <w:t>具有经工商登记的法人资格；</w:t>
      </w:r>
    </w:p>
    <w:p w14:paraId="289F11E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lang w:val="zh-CN"/>
          <w14:textFill>
            <w14:solidFill>
              <w14:schemeClr w14:val="tx1"/>
            </w14:solidFill>
          </w14:textFill>
        </w:rPr>
        <w:t>具有从事类似工程经验的管理与技术人员；</w:t>
      </w:r>
    </w:p>
    <w:p w14:paraId="4326805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w:t>
      </w:r>
      <w:r>
        <w:rPr>
          <w:rFonts w:hint="eastAsia" w:ascii="宋体" w:hAnsi="宋体" w:cs="宋体"/>
          <w:color w:val="000000" w:themeColor="text1"/>
          <w:sz w:val="24"/>
          <w:highlight w:val="none"/>
          <w:lang w:val="zh-CN"/>
          <w14:textFill>
            <w14:solidFill>
              <w14:schemeClr w14:val="tx1"/>
            </w14:solidFill>
          </w14:textFill>
        </w:rPr>
        <w:t>具有(自有或租赁)分包工程所需的施工设备。</w:t>
      </w:r>
    </w:p>
    <w:p w14:paraId="13280D72">
      <w:pPr>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承包人应向监理人提交专业分包人的资格能力证明材料，经监理人审查并报发 包人批准后，可以将相应专业工程分包给该专业分包人。</w:t>
      </w:r>
    </w:p>
    <w:p w14:paraId="2695471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（3）专业分工程不得再次分包。</w:t>
      </w:r>
    </w:p>
    <w:p w14:paraId="77B3AD7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lang w:val="zh-CN"/>
          <w14:textFill>
            <w14:solidFill>
              <w14:schemeClr w14:val="tx1"/>
            </w14:solidFill>
          </w14:textFill>
        </w:rPr>
        <w:t>承包人和专业分包人应当按照交通运输主管部门制定的统一格式依法签订 专业分包合同，并履行合同约定的义务。专业分包合同必须遵循承包合同的各项原 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4F704C0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zh-CN"/>
          <w14:textFill>
            <w14:solidFill>
              <w14:schemeClr w14:val="tx1"/>
            </w14:solidFill>
          </w14:textFill>
        </w:rPr>
        <w:t>专业分包人应当设立项目管理机构，对所分包工程的施工活动实施管理。 项目管理机构应当具有与分包工程的规模、技术复杂程度相适应的技术、经济管理人员，其中项目负责人和技术、财务、计量、质量、安全等主要管理人员必须是专业分包人本单位人员。</w:t>
      </w:r>
    </w:p>
    <w:p w14:paraId="415E4BA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r>
        <w:rPr>
          <w:rFonts w:hint="eastAsia" w:ascii="宋体" w:hAnsi="宋体" w:cs="宋体"/>
          <w:color w:val="000000" w:themeColor="text1"/>
          <w:sz w:val="24"/>
          <w:highlight w:val="none"/>
          <w:lang w:val="zh-CN"/>
          <w14:textFill>
            <w14:solidFill>
              <w14:schemeClr w14:val="tx1"/>
            </w14:solidFill>
          </w14:textFill>
        </w:rPr>
        <w:t>承包人应当建立健全相关分包管理制度和台账，对专业分包工程的质量、 安全、进度和专业分包人的行为等实施全过程管理，按照本办法规定和合同约定对专业分包工程的实施向发包人负责，并承担赔偿责任。专业分包合同不免除承包合同中规定的承包人的责任或者义务。</w:t>
      </w:r>
    </w:p>
    <w:p w14:paraId="769207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r>
        <w:rPr>
          <w:rFonts w:hint="eastAsia" w:ascii="宋体" w:hAnsi="宋体" w:cs="宋体"/>
          <w:color w:val="000000" w:themeColor="text1"/>
          <w:sz w:val="24"/>
          <w:highlight w:val="none"/>
          <w:lang w:val="zh-CN"/>
          <w14:textFill>
            <w14:solidFill>
              <w14:schemeClr w14:val="tx1"/>
            </w14:solidFill>
          </w14:textFill>
        </w:rPr>
        <w:t>专业分包人应当依据专业分包合同的约定，组织分包工程的施工，并对分包工程的质量、安全和进度等实施有效控制。专业分包人对其分包的工程向承包人负责，并就所分包的工程向发包人承担连带责任。</w:t>
      </w:r>
    </w:p>
    <w:p w14:paraId="498002A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2A1177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违反上述规定之一者属违规分包。</w:t>
      </w:r>
    </w:p>
    <w:p w14:paraId="1DBFEDE3">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4.3.4劳务分包</w:t>
      </w:r>
    </w:p>
    <w:p w14:paraId="0325497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在工程施工过程中，承包人进行劳务分包必须遵守以下规定：</w:t>
      </w:r>
    </w:p>
    <w:p w14:paraId="3FC31E5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（1）劳务分包人应具有劳务分包资质。</w:t>
      </w:r>
    </w:p>
    <w:p w14:paraId="4F62F28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5FC6CA8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雇用的劳务作业应加入到承包人的施工班组统一管理。有关施工质量、施工安全、施工进度、环境保护、技术方案、试验检测、材料保管与供应、机械设备等都必须由承包人管理与调配，不得以包代管。</w:t>
      </w:r>
    </w:p>
    <w:p w14:paraId="2D109D4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（4）承包人应当对劳务分包人员进行安全培训和管理，劳务分包人不得将其分包的劳务作业再次分包。</w:t>
      </w:r>
    </w:p>
    <w:p w14:paraId="252A17F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违反上述规定之一者属违规分包。</w:t>
      </w:r>
    </w:p>
    <w:p w14:paraId="0D7A070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本款补充第4.3.6项：</w:t>
      </w:r>
    </w:p>
    <w:p w14:paraId="6E80022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4.3.6、发包人对承包人与分包人之间的法律与经济纠纷不承担任何责任和义务。</w:t>
      </w:r>
    </w:p>
    <w:p w14:paraId="4103E48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4.3.7、本项目的各项分包工作均应遵守《公路工程施工分包管理办法》的有关规定。</w:t>
      </w:r>
    </w:p>
    <w:p w14:paraId="5A314F57">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89" w:name="_Toc393546445"/>
      <w:bookmarkEnd w:id="1189"/>
      <w:bookmarkStart w:id="1190" w:name="_Toc330406386"/>
      <w:bookmarkEnd w:id="1190"/>
      <w:bookmarkStart w:id="1191" w:name="_Toc451261295"/>
      <w:bookmarkEnd w:id="1191"/>
      <w:bookmarkStart w:id="1192" w:name="_Toc453057105"/>
      <w:bookmarkEnd w:id="1192"/>
      <w:bookmarkStart w:id="1193" w:name="_Toc386467191"/>
      <w:bookmarkEnd w:id="1193"/>
      <w:bookmarkStart w:id="1194" w:name="_Toc10249"/>
      <w:r>
        <w:rPr>
          <w:rFonts w:hint="eastAsia" w:ascii="宋体" w:hAnsi="宋体" w:cs="宋体"/>
          <w:color w:val="000000" w:themeColor="text1"/>
          <w:sz w:val="24"/>
          <w:szCs w:val="24"/>
          <w:highlight w:val="none"/>
          <w14:textFill>
            <w14:solidFill>
              <w14:schemeClr w14:val="tx1"/>
            </w14:solidFill>
          </w14:textFill>
        </w:rPr>
        <w:t>4.4联合体</w:t>
      </w:r>
      <w:bookmarkEnd w:id="1194"/>
    </w:p>
    <w:p w14:paraId="7A3B72E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本款增加第4.4.4项：</w:t>
      </w:r>
    </w:p>
    <w:p w14:paraId="2D2DD81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4.4.4未经发包人事先同意，联合体的组成与结构不得变动。</w:t>
      </w:r>
    </w:p>
    <w:p w14:paraId="68335F26">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195" w:name="_Toc393546446"/>
      <w:bookmarkEnd w:id="1195"/>
      <w:bookmarkStart w:id="1196" w:name="_Toc453057106"/>
      <w:bookmarkEnd w:id="1196"/>
      <w:bookmarkStart w:id="1197" w:name="_Toc386467192"/>
      <w:bookmarkEnd w:id="1197"/>
      <w:bookmarkStart w:id="1198" w:name="_Toc330406387"/>
      <w:bookmarkEnd w:id="1198"/>
      <w:bookmarkStart w:id="1199" w:name="_Toc451261296"/>
      <w:bookmarkEnd w:id="1199"/>
      <w:bookmarkStart w:id="1200" w:name="_Toc14278"/>
      <w:r>
        <w:rPr>
          <w:rFonts w:hint="eastAsia" w:ascii="宋体" w:hAnsi="宋体" w:cs="宋体"/>
          <w:color w:val="000000" w:themeColor="text1"/>
          <w:sz w:val="24"/>
          <w:szCs w:val="24"/>
          <w:highlight w:val="none"/>
          <w14:textFill>
            <w14:solidFill>
              <w14:schemeClr w14:val="tx1"/>
            </w14:solidFill>
          </w14:textFill>
        </w:rPr>
        <w:t>4.6承包人人员的管理</w:t>
      </w:r>
      <w:bookmarkEnd w:id="1200"/>
    </w:p>
    <w:p w14:paraId="2EEAAB7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第4.6.3项细化为：</w:t>
      </w:r>
    </w:p>
    <w:p w14:paraId="276AF2D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6B50CAC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本款补充第4.6.5项：</w:t>
      </w:r>
    </w:p>
    <w:p w14:paraId="6758F59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4.6.5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次增加的费用和（或）工期延误由承包人承担。</w:t>
      </w:r>
    </w:p>
    <w:p w14:paraId="506D726D">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01" w:name="_Toc330406388"/>
      <w:bookmarkEnd w:id="1201"/>
      <w:bookmarkStart w:id="1202" w:name="_Toc453057107"/>
      <w:bookmarkEnd w:id="1202"/>
      <w:bookmarkStart w:id="1203" w:name="_Toc393546447"/>
      <w:bookmarkEnd w:id="1203"/>
      <w:bookmarkStart w:id="1204" w:name="_Toc386467193"/>
      <w:bookmarkEnd w:id="1204"/>
      <w:bookmarkStart w:id="1205" w:name="_Toc451261297"/>
      <w:bookmarkEnd w:id="1205"/>
      <w:bookmarkStart w:id="1206" w:name="_Toc3142"/>
      <w:r>
        <w:rPr>
          <w:rFonts w:hint="eastAsia" w:ascii="宋体" w:hAnsi="宋体" w:cs="宋体"/>
          <w:color w:val="000000" w:themeColor="text1"/>
          <w:sz w:val="24"/>
          <w:szCs w:val="24"/>
          <w:highlight w:val="none"/>
          <w14:textFill>
            <w14:solidFill>
              <w14:schemeClr w14:val="tx1"/>
            </w14:solidFill>
          </w14:textFill>
        </w:rPr>
        <w:t>4.7撤换承包人项目经理和其他人员</w:t>
      </w:r>
      <w:bookmarkEnd w:id="1206"/>
    </w:p>
    <w:p w14:paraId="614BCBB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2072622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4C4372E4">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07" w:name="_Toc393546448"/>
      <w:bookmarkEnd w:id="1207"/>
      <w:bookmarkStart w:id="1208" w:name="_Toc451261298"/>
      <w:bookmarkEnd w:id="1208"/>
      <w:bookmarkStart w:id="1209" w:name="_Toc453057108"/>
      <w:bookmarkEnd w:id="1209"/>
      <w:bookmarkStart w:id="1210" w:name="_Toc386467194"/>
      <w:bookmarkEnd w:id="1210"/>
      <w:bookmarkStart w:id="1211" w:name="_Toc330406389"/>
      <w:bookmarkEnd w:id="1211"/>
      <w:bookmarkStart w:id="1212" w:name="_Toc7437"/>
      <w:r>
        <w:rPr>
          <w:rFonts w:hint="eastAsia" w:ascii="宋体" w:hAnsi="宋体" w:cs="宋体"/>
          <w:color w:val="000000" w:themeColor="text1"/>
          <w:sz w:val="24"/>
          <w:szCs w:val="24"/>
          <w:highlight w:val="none"/>
          <w14:textFill>
            <w14:solidFill>
              <w14:schemeClr w14:val="tx1"/>
            </w14:solidFill>
          </w14:textFill>
        </w:rPr>
        <w:t>4.9工程价款应专款专用</w:t>
      </w:r>
      <w:bookmarkEnd w:id="1212"/>
    </w:p>
    <w:p w14:paraId="4F9F055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6D821D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0C3ABB79">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13" w:name="_Toc330406390"/>
      <w:bookmarkEnd w:id="1213"/>
      <w:bookmarkStart w:id="1214" w:name="_Toc393546449"/>
      <w:bookmarkEnd w:id="1214"/>
      <w:bookmarkStart w:id="1215" w:name="_Toc386467195"/>
      <w:bookmarkEnd w:id="1215"/>
      <w:bookmarkStart w:id="1216" w:name="_Toc453057109"/>
      <w:bookmarkEnd w:id="1216"/>
      <w:bookmarkStart w:id="1217" w:name="_Toc451261299"/>
      <w:bookmarkEnd w:id="1217"/>
      <w:bookmarkStart w:id="1218" w:name="_Toc13197"/>
      <w:r>
        <w:rPr>
          <w:rFonts w:hint="eastAsia" w:ascii="宋体" w:hAnsi="宋体" w:cs="宋体"/>
          <w:color w:val="000000" w:themeColor="text1"/>
          <w:sz w:val="24"/>
          <w:szCs w:val="24"/>
          <w:highlight w:val="none"/>
          <w14:textFill>
            <w14:solidFill>
              <w14:schemeClr w14:val="tx1"/>
            </w14:solidFill>
          </w14:textFill>
        </w:rPr>
        <w:t>4.10承包人现场查勘</w:t>
      </w:r>
      <w:bookmarkEnd w:id="1218"/>
    </w:p>
    <w:p w14:paraId="4DDD646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第4.10.1项细化为：</w:t>
      </w:r>
    </w:p>
    <w:p w14:paraId="0785E62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提供的本合同工程的水文、地质、气象和料场分布、取土场、弃土场位置等资料均属于参考资料，并不构成合同文件的组成部分，承包人应对自己就上述资料的解释、推论和应用负责，发包人不对承包人据此做出的判断和决策承担任何责任。</w:t>
      </w:r>
    </w:p>
    <w:p w14:paraId="49CACC64">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19" w:name="_Toc451261300"/>
      <w:bookmarkEnd w:id="1219"/>
      <w:bookmarkStart w:id="1220" w:name="_Toc386467196"/>
      <w:bookmarkEnd w:id="1220"/>
      <w:bookmarkStart w:id="1221" w:name="_Toc330406391"/>
      <w:bookmarkEnd w:id="1221"/>
      <w:bookmarkStart w:id="1222" w:name="_Toc393546450"/>
      <w:bookmarkEnd w:id="1222"/>
      <w:bookmarkStart w:id="1223" w:name="_Toc453057110"/>
      <w:bookmarkEnd w:id="1223"/>
      <w:bookmarkStart w:id="1224" w:name="_Toc31360"/>
      <w:r>
        <w:rPr>
          <w:rFonts w:hint="eastAsia" w:ascii="宋体" w:hAnsi="宋体" w:cs="宋体"/>
          <w:color w:val="000000" w:themeColor="text1"/>
          <w:sz w:val="24"/>
          <w:szCs w:val="24"/>
          <w:highlight w:val="none"/>
          <w14:textFill>
            <w14:solidFill>
              <w14:schemeClr w14:val="tx1"/>
            </w14:solidFill>
          </w14:textFill>
        </w:rPr>
        <w:t>4.11不利物质条件</w:t>
      </w:r>
      <w:bookmarkEnd w:id="1224"/>
    </w:p>
    <w:p w14:paraId="2E1E446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第4.11.2项细化为：</w:t>
      </w:r>
    </w:p>
    <w:p w14:paraId="26175D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08C4FF7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本款补充第4.11.3项：</w:t>
      </w:r>
    </w:p>
    <w:p w14:paraId="0DC81D1F">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4.11.3 可预见的不利物质条件</w:t>
      </w:r>
    </w:p>
    <w:p w14:paraId="0A16BBE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（1）对于项目专用合同条款中已经明确指出的不利物质条件无论承包人是否有其经历和经验均视为承包人在接受合同时已预见其影响，并已在签约合同价中计入因其影响而可能发生的一切费用。</w:t>
      </w:r>
    </w:p>
    <w:p w14:paraId="21323F9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（2）对于项目专用合同条款未明确指出，但是在不利物质条件发生之前，监理人已经指示承包人有可能发生，但承包人未能及时采取有效措施，而导致的损失和后果均由承包人承担。</w:t>
      </w:r>
    </w:p>
    <w:p w14:paraId="19406946">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7218A50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补充第4.12、</w:t>
      </w:r>
      <w:r>
        <w:rPr>
          <w:rFonts w:hint="eastAsia" w:ascii="宋体" w:hAnsi="宋体" w:cs="宋体"/>
          <w:color w:val="000000" w:themeColor="text1"/>
          <w:sz w:val="24"/>
          <w:highlight w:val="none"/>
          <w14:textFill>
            <w14:solidFill>
              <w14:schemeClr w14:val="tx1"/>
            </w14:solidFill>
          </w14:textFill>
        </w:rPr>
        <w:t>4.13</w:t>
      </w:r>
      <w:r>
        <w:rPr>
          <w:rFonts w:hint="eastAsia" w:ascii="宋体" w:hAnsi="宋体" w:cs="宋体"/>
          <w:color w:val="000000" w:themeColor="text1"/>
          <w:sz w:val="24"/>
          <w:highlight w:val="none"/>
          <w:lang w:val="zh-CN"/>
          <w14:textFill>
            <w14:solidFill>
              <w14:schemeClr w14:val="tx1"/>
            </w14:solidFill>
          </w14:textFill>
        </w:rPr>
        <w:t>款：</w:t>
      </w:r>
    </w:p>
    <w:p w14:paraId="6D7A96C3">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25" w:name="_Toc386467197"/>
      <w:bookmarkEnd w:id="1225"/>
      <w:bookmarkStart w:id="1226" w:name="_Toc451261301"/>
      <w:bookmarkEnd w:id="1226"/>
      <w:bookmarkStart w:id="1227" w:name="_Toc393546451"/>
      <w:bookmarkEnd w:id="1227"/>
      <w:bookmarkStart w:id="1228" w:name="_Toc453057111"/>
      <w:bookmarkEnd w:id="1228"/>
      <w:bookmarkStart w:id="1229" w:name="_Toc330406392"/>
      <w:bookmarkEnd w:id="1229"/>
      <w:bookmarkStart w:id="1230" w:name="_Toc6017"/>
      <w:r>
        <w:rPr>
          <w:rFonts w:hint="eastAsia" w:ascii="宋体" w:hAnsi="宋体" w:cs="宋体"/>
          <w:color w:val="000000" w:themeColor="text1"/>
          <w:sz w:val="24"/>
          <w:szCs w:val="24"/>
          <w:highlight w:val="none"/>
          <w14:textFill>
            <w14:solidFill>
              <w14:schemeClr w14:val="tx1"/>
            </w14:solidFill>
          </w14:textFill>
        </w:rPr>
        <w:t>4.12投标文件的完备性</w:t>
      </w:r>
      <w:bookmarkEnd w:id="1230"/>
    </w:p>
    <w:p w14:paraId="0ED0DD7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双方一致认为，承包人在递交投标文件前，对本合同工程的投标文件和已标价工程量清单中开列的单价和总额价已查明正确的和完备的。投标的单价和总额价应已包括了合同中规定的承包人的全部义务（包括提供货物、材料、设备、服务的义务，并包括了暂列金额和暂估价范围内的额外工作的义务）以及为实施和完成本合同工程和其缺陷修复所必需的一切工作和条件。</w:t>
      </w:r>
    </w:p>
    <w:p w14:paraId="4C248CF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31" w:name="bookmark15"/>
      <w:bookmarkEnd w:id="1231"/>
      <w:bookmarkStart w:id="1232" w:name="_Toc30565"/>
      <w:r>
        <w:rPr>
          <w:rFonts w:hint="eastAsia" w:ascii="宋体" w:hAnsi="宋体" w:cs="宋体"/>
          <w:color w:val="000000" w:themeColor="text1"/>
          <w:sz w:val="24"/>
          <w:szCs w:val="24"/>
          <w:highlight w:val="none"/>
          <w14:textFill>
            <w14:solidFill>
              <w14:schemeClr w14:val="tx1"/>
            </w14:solidFill>
          </w14:textFill>
        </w:rPr>
        <w:t>4.13</w:t>
      </w:r>
      <w:r>
        <w:rPr>
          <w:rFonts w:hint="eastAsia" w:ascii="宋体" w:hAnsi="宋体" w:cs="宋体"/>
          <w:color w:val="000000" w:themeColor="text1"/>
          <w:sz w:val="24"/>
          <w:szCs w:val="24"/>
          <w:highlight w:val="none"/>
          <w:lang w:val="zh-CN"/>
          <w14:textFill>
            <w14:solidFill>
              <w14:schemeClr w14:val="tx1"/>
            </w14:solidFill>
          </w14:textFill>
        </w:rPr>
        <w:t>开展党建工作要求</w:t>
      </w:r>
      <w:bookmarkEnd w:id="1232"/>
    </w:p>
    <w:p w14:paraId="372925F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对于政府投资的国家高速公路项目，或承包人为国有控股或参股企业的，承包 人应按规定在项目现场设立基层党组织。不满足上述情形的，应创造条件使党员能够参加党组织生活并接受相应管理。</w:t>
      </w:r>
    </w:p>
    <w:p w14:paraId="0BC84F5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承包人在项目现场设立基层党组织的，应明确党组织机构设置、党组织负责人 及党务工作人员配备情况，编制党务工作开展预案，并按照预案要求在项目实施过 程中同步开展党务工作，充分发挥基层党组织在项目实施中的作用。</w:t>
      </w:r>
    </w:p>
    <w:p w14:paraId="798B47B4">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233" w:name="_Toc451261302"/>
      <w:bookmarkEnd w:id="1233"/>
      <w:bookmarkStart w:id="1234" w:name="_Toc386467198"/>
      <w:bookmarkEnd w:id="1234"/>
      <w:bookmarkStart w:id="1235" w:name="_Toc453057112"/>
      <w:bookmarkEnd w:id="1235"/>
      <w:bookmarkStart w:id="1236" w:name="_Toc330406393"/>
      <w:bookmarkEnd w:id="1236"/>
      <w:bookmarkStart w:id="1237" w:name="_Toc393546452"/>
      <w:bookmarkEnd w:id="1237"/>
      <w:bookmarkStart w:id="1238" w:name="_Toc19891"/>
      <w:r>
        <w:rPr>
          <w:rFonts w:hint="eastAsia" w:ascii="宋体" w:hAnsi="宋体" w:cs="宋体"/>
          <w:color w:val="000000" w:themeColor="text1"/>
          <w:sz w:val="28"/>
          <w:szCs w:val="28"/>
          <w:highlight w:val="none"/>
          <w14:textFill>
            <w14:solidFill>
              <w14:schemeClr w14:val="tx1"/>
            </w14:solidFill>
          </w14:textFill>
        </w:rPr>
        <w:t>5.材料和工程设备</w:t>
      </w:r>
      <w:bookmarkEnd w:id="1238"/>
    </w:p>
    <w:p w14:paraId="3EC255DC">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39" w:name="_Toc330406394"/>
      <w:bookmarkEnd w:id="1239"/>
      <w:bookmarkStart w:id="1240" w:name="_Toc451261303"/>
      <w:bookmarkEnd w:id="1240"/>
      <w:bookmarkStart w:id="1241" w:name="_Toc453057113"/>
      <w:bookmarkEnd w:id="1241"/>
      <w:bookmarkStart w:id="1242" w:name="_Toc386467199"/>
      <w:bookmarkEnd w:id="1242"/>
      <w:bookmarkStart w:id="1243" w:name="_Toc393546453"/>
      <w:bookmarkEnd w:id="1243"/>
      <w:bookmarkStart w:id="1244" w:name="_Toc22727"/>
      <w:r>
        <w:rPr>
          <w:rFonts w:hint="eastAsia" w:ascii="宋体" w:hAnsi="宋体" w:cs="宋体"/>
          <w:color w:val="000000" w:themeColor="text1"/>
          <w:sz w:val="24"/>
          <w:szCs w:val="24"/>
          <w:highlight w:val="none"/>
          <w14:textFill>
            <w14:solidFill>
              <w14:schemeClr w14:val="tx1"/>
            </w14:solidFill>
          </w14:textFill>
        </w:rPr>
        <w:t>5.2发包人提供的材料和工程设备</w:t>
      </w:r>
      <w:bookmarkEnd w:id="1244"/>
    </w:p>
    <w:p w14:paraId="533837A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第5.2.3项补充：</w:t>
      </w:r>
    </w:p>
    <w:p w14:paraId="785CF42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4F156194">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245" w:name="_Toc393546454"/>
      <w:bookmarkEnd w:id="1245"/>
      <w:bookmarkStart w:id="1246" w:name="_Toc453057114"/>
      <w:bookmarkEnd w:id="1246"/>
      <w:bookmarkStart w:id="1247" w:name="_Toc386467200"/>
      <w:bookmarkEnd w:id="1247"/>
      <w:bookmarkStart w:id="1248" w:name="_Toc330406395"/>
      <w:bookmarkEnd w:id="1248"/>
      <w:bookmarkStart w:id="1249" w:name="_Toc451261304"/>
      <w:bookmarkEnd w:id="1249"/>
      <w:bookmarkStart w:id="1250" w:name="_Toc32191"/>
      <w:r>
        <w:rPr>
          <w:rFonts w:hint="eastAsia" w:ascii="宋体" w:hAnsi="宋体" w:cs="宋体"/>
          <w:color w:val="000000" w:themeColor="text1"/>
          <w:sz w:val="28"/>
          <w:szCs w:val="28"/>
          <w:highlight w:val="none"/>
          <w14:textFill>
            <w14:solidFill>
              <w14:schemeClr w14:val="tx1"/>
            </w14:solidFill>
          </w14:textFill>
        </w:rPr>
        <w:t>6.施工设备和临时设施</w:t>
      </w:r>
      <w:bookmarkEnd w:id="1250"/>
    </w:p>
    <w:p w14:paraId="21656227">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51" w:name="_Toc386467201"/>
      <w:bookmarkEnd w:id="1251"/>
      <w:bookmarkStart w:id="1252" w:name="_Toc393546455"/>
      <w:bookmarkEnd w:id="1252"/>
      <w:bookmarkStart w:id="1253" w:name="_Toc453057115"/>
      <w:bookmarkEnd w:id="1253"/>
      <w:bookmarkStart w:id="1254" w:name="_Toc330406396"/>
      <w:bookmarkEnd w:id="1254"/>
      <w:bookmarkStart w:id="1255" w:name="_Toc451261305"/>
      <w:bookmarkEnd w:id="1255"/>
      <w:bookmarkStart w:id="1256" w:name="_Toc11177"/>
      <w:r>
        <w:rPr>
          <w:rFonts w:hint="eastAsia" w:ascii="宋体" w:hAnsi="宋体" w:cs="宋体"/>
          <w:color w:val="000000" w:themeColor="text1"/>
          <w:sz w:val="24"/>
          <w:szCs w:val="24"/>
          <w:highlight w:val="none"/>
          <w14:textFill>
            <w14:solidFill>
              <w14:schemeClr w14:val="tx1"/>
            </w14:solidFill>
          </w14:textFill>
        </w:rPr>
        <w:t>6.2承包人提供的施工设备和临时设施</w:t>
      </w:r>
      <w:bookmarkEnd w:id="1256"/>
    </w:p>
    <w:p w14:paraId="7115AC9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第6.1.2项约定为：</w:t>
      </w:r>
    </w:p>
    <w:p w14:paraId="623F0D7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承包人应自行承担修建临时设施的费用，需要临时占地的，应由承包人按第4.1.10项（1）目的规定办理。</w:t>
      </w:r>
    </w:p>
    <w:p w14:paraId="0F49E1F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57" w:name="_Toc393546456"/>
      <w:bookmarkEnd w:id="1257"/>
      <w:bookmarkStart w:id="1258" w:name="_Toc453057116"/>
      <w:bookmarkEnd w:id="1258"/>
      <w:bookmarkStart w:id="1259" w:name="_Toc451261306"/>
      <w:bookmarkEnd w:id="1259"/>
      <w:bookmarkStart w:id="1260" w:name="_Toc386467202"/>
      <w:bookmarkEnd w:id="1260"/>
      <w:bookmarkStart w:id="1261" w:name="_Toc330406397"/>
      <w:bookmarkEnd w:id="1261"/>
      <w:bookmarkStart w:id="1262" w:name="_Toc15658"/>
      <w:r>
        <w:rPr>
          <w:rFonts w:hint="eastAsia" w:ascii="宋体" w:hAnsi="宋体" w:cs="宋体"/>
          <w:color w:val="000000" w:themeColor="text1"/>
          <w:sz w:val="24"/>
          <w:szCs w:val="24"/>
          <w:highlight w:val="none"/>
          <w14:textFill>
            <w14:solidFill>
              <w14:schemeClr w14:val="tx1"/>
            </w14:solidFill>
          </w14:textFill>
        </w:rPr>
        <w:t>6.3要求承包人增加或更换施工设备</w:t>
      </w:r>
      <w:bookmarkEnd w:id="1262"/>
    </w:p>
    <w:p w14:paraId="027A941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7902EC8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承诺的施工设备必须按时达到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72B91763">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263" w:name="_Toc393546457"/>
      <w:bookmarkEnd w:id="1263"/>
      <w:bookmarkStart w:id="1264" w:name="_Toc453057117"/>
      <w:bookmarkEnd w:id="1264"/>
      <w:bookmarkStart w:id="1265" w:name="_Toc386467203"/>
      <w:bookmarkEnd w:id="1265"/>
      <w:bookmarkStart w:id="1266" w:name="_Toc330406398"/>
      <w:bookmarkEnd w:id="1266"/>
      <w:bookmarkStart w:id="1267" w:name="_Toc451261307"/>
      <w:bookmarkEnd w:id="1267"/>
      <w:bookmarkStart w:id="1268" w:name="_Toc8667"/>
      <w:r>
        <w:rPr>
          <w:rFonts w:hint="eastAsia" w:ascii="宋体" w:hAnsi="宋体" w:cs="宋体"/>
          <w:color w:val="000000" w:themeColor="text1"/>
          <w:sz w:val="28"/>
          <w:szCs w:val="28"/>
          <w:highlight w:val="none"/>
          <w14:textFill>
            <w14:solidFill>
              <w14:schemeClr w14:val="tx1"/>
            </w14:solidFill>
          </w14:textFill>
        </w:rPr>
        <w:t>7.交通运输</w:t>
      </w:r>
      <w:bookmarkEnd w:id="1268"/>
    </w:p>
    <w:p w14:paraId="6FBC37FC">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69" w:name="_Toc386467204"/>
      <w:bookmarkEnd w:id="1269"/>
      <w:bookmarkStart w:id="1270" w:name="_Toc393546458"/>
      <w:bookmarkEnd w:id="1270"/>
      <w:bookmarkStart w:id="1271" w:name="_Toc330406399"/>
      <w:bookmarkEnd w:id="1271"/>
      <w:bookmarkStart w:id="1272" w:name="_Toc451261308"/>
      <w:bookmarkEnd w:id="1272"/>
      <w:bookmarkStart w:id="1273" w:name="_Toc453057118"/>
      <w:bookmarkEnd w:id="1273"/>
      <w:bookmarkStart w:id="1274" w:name="_Toc10071"/>
      <w:r>
        <w:rPr>
          <w:rFonts w:hint="eastAsia" w:ascii="宋体" w:hAnsi="宋体" w:cs="宋体"/>
          <w:color w:val="000000" w:themeColor="text1"/>
          <w:sz w:val="24"/>
          <w:szCs w:val="24"/>
          <w:highlight w:val="none"/>
          <w14:textFill>
            <w14:solidFill>
              <w14:schemeClr w14:val="tx1"/>
            </w14:solidFill>
          </w14:textFill>
        </w:rPr>
        <w:t>7.1道路通行权和场外设施</w:t>
      </w:r>
      <w:bookmarkEnd w:id="1274"/>
    </w:p>
    <w:p w14:paraId="1CE2B06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本款约定为：</w:t>
      </w:r>
    </w:p>
    <w:p w14:paraId="18FA67A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根据合同工程的施工需要，负责办理取得出入施工场地的专用和临时道路的通行权，以及取得为工程建设所需修建场外设施的权利，并承担有权费用。需要发包人协调时，发包人应协助承包人办理相关手续。</w:t>
      </w:r>
    </w:p>
    <w:p w14:paraId="17D5CC8A">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275" w:name="_Toc330406400"/>
      <w:bookmarkEnd w:id="1275"/>
      <w:bookmarkStart w:id="1276" w:name="_Toc393546459"/>
      <w:bookmarkEnd w:id="1276"/>
      <w:bookmarkStart w:id="1277" w:name="_Toc386467205"/>
      <w:bookmarkEnd w:id="1277"/>
      <w:bookmarkStart w:id="1278" w:name="_Toc453057119"/>
      <w:bookmarkEnd w:id="1278"/>
      <w:bookmarkStart w:id="1279" w:name="_Toc451261309"/>
      <w:bookmarkEnd w:id="1279"/>
      <w:bookmarkStart w:id="1280" w:name="_Toc16040"/>
      <w:r>
        <w:rPr>
          <w:rFonts w:hint="eastAsia" w:ascii="宋体" w:hAnsi="宋体" w:cs="宋体"/>
          <w:color w:val="000000" w:themeColor="text1"/>
          <w:sz w:val="28"/>
          <w:szCs w:val="28"/>
          <w:highlight w:val="none"/>
          <w14:textFill>
            <w14:solidFill>
              <w14:schemeClr w14:val="tx1"/>
            </w14:solidFill>
          </w14:textFill>
        </w:rPr>
        <w:t>8.测量放线</w:t>
      </w:r>
      <w:bookmarkEnd w:id="1280"/>
    </w:p>
    <w:p w14:paraId="77159FA2">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81" w:name="_Toc330406401"/>
      <w:bookmarkEnd w:id="1281"/>
      <w:bookmarkStart w:id="1282" w:name="_Toc453057120"/>
      <w:bookmarkEnd w:id="1282"/>
      <w:bookmarkStart w:id="1283" w:name="_Toc386467206"/>
      <w:bookmarkEnd w:id="1283"/>
      <w:bookmarkStart w:id="1284" w:name="_Toc451261310"/>
      <w:bookmarkEnd w:id="1284"/>
      <w:bookmarkStart w:id="1285" w:name="_Toc393546460"/>
      <w:bookmarkEnd w:id="1285"/>
      <w:bookmarkStart w:id="1286" w:name="_Toc31250"/>
      <w:r>
        <w:rPr>
          <w:rFonts w:hint="eastAsia" w:ascii="宋体" w:hAnsi="宋体" w:cs="宋体"/>
          <w:color w:val="000000" w:themeColor="text1"/>
          <w:sz w:val="24"/>
          <w:szCs w:val="24"/>
          <w:highlight w:val="none"/>
          <w14:textFill>
            <w14:solidFill>
              <w14:schemeClr w14:val="tx1"/>
            </w14:solidFill>
          </w14:textFill>
        </w:rPr>
        <w:t>8.4监理人使用施工控制网</w:t>
      </w:r>
      <w:bookmarkEnd w:id="1286"/>
    </w:p>
    <w:p w14:paraId="6955FDC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0D1D04D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经监理人批准，其他相关承包人也可免费使用施工控制网。</w:t>
      </w:r>
    </w:p>
    <w:p w14:paraId="4E842533">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287" w:name="_Toc393546461"/>
      <w:bookmarkEnd w:id="1287"/>
      <w:bookmarkStart w:id="1288" w:name="_Toc386467207"/>
      <w:bookmarkEnd w:id="1288"/>
      <w:bookmarkStart w:id="1289" w:name="_Toc330406402"/>
      <w:bookmarkEnd w:id="1289"/>
      <w:bookmarkStart w:id="1290" w:name="_Toc451261311"/>
      <w:bookmarkEnd w:id="1290"/>
      <w:bookmarkStart w:id="1291" w:name="_Toc453057121"/>
      <w:bookmarkEnd w:id="1291"/>
      <w:bookmarkStart w:id="1292" w:name="_Toc6574"/>
      <w:r>
        <w:rPr>
          <w:rFonts w:hint="eastAsia" w:ascii="宋体" w:hAnsi="宋体" w:cs="宋体"/>
          <w:color w:val="000000" w:themeColor="text1"/>
          <w:sz w:val="28"/>
          <w:szCs w:val="28"/>
          <w:highlight w:val="none"/>
          <w14:textFill>
            <w14:solidFill>
              <w14:schemeClr w14:val="tx1"/>
            </w14:solidFill>
          </w14:textFill>
        </w:rPr>
        <w:t>9.施工安全、治安保卫和环境保护</w:t>
      </w:r>
      <w:bookmarkEnd w:id="1292"/>
    </w:p>
    <w:p w14:paraId="78027327">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93" w:name="_Toc453057122"/>
      <w:bookmarkEnd w:id="1293"/>
      <w:bookmarkStart w:id="1294" w:name="_Toc386467208"/>
      <w:bookmarkEnd w:id="1294"/>
      <w:bookmarkStart w:id="1295" w:name="_Toc451261312"/>
      <w:bookmarkEnd w:id="1295"/>
      <w:bookmarkStart w:id="1296" w:name="_Toc330406403"/>
      <w:bookmarkEnd w:id="1296"/>
      <w:bookmarkStart w:id="1297" w:name="_Toc393546462"/>
      <w:bookmarkEnd w:id="1297"/>
      <w:bookmarkStart w:id="1298" w:name="_Toc895"/>
      <w:r>
        <w:rPr>
          <w:rFonts w:hint="eastAsia" w:ascii="宋体" w:hAnsi="宋体" w:cs="宋体"/>
          <w:color w:val="000000" w:themeColor="text1"/>
          <w:sz w:val="24"/>
          <w:szCs w:val="24"/>
          <w:highlight w:val="none"/>
          <w14:textFill>
            <w14:solidFill>
              <w14:schemeClr w14:val="tx1"/>
            </w14:solidFill>
          </w14:textFill>
        </w:rPr>
        <w:t>9.2承包人的施工安全责任</w:t>
      </w:r>
      <w:bookmarkEnd w:id="1298"/>
    </w:p>
    <w:p w14:paraId="131032B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第9.2.1项细化为：</w:t>
      </w:r>
    </w:p>
    <w:p w14:paraId="0195D0A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5137C9B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3FB3D4A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本项目需要编制专项施工方案的工程包括但不限于以下内容：</w:t>
      </w:r>
    </w:p>
    <w:p w14:paraId="4F2B63C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（1）不良地质条件下有潜在危险性的土方、石方开挖；</w:t>
      </w:r>
    </w:p>
    <w:p w14:paraId="1330A79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（2）滑坡和高边坡处理；</w:t>
      </w:r>
    </w:p>
    <w:p w14:paraId="53D21A9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（3）桩基础、挡墙基础、深水基础及围堰工程；</w:t>
      </w:r>
    </w:p>
    <w:p w14:paraId="43D928B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（4）桥梁工程中的梁、拱、柱等构件施工等；</w:t>
      </w:r>
    </w:p>
    <w:p w14:paraId="72F155B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（5）隧道工程中的不良地质隧道、高瓦斯隧道等；</w:t>
      </w:r>
    </w:p>
    <w:p w14:paraId="7C90C81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（6）水上工程中的打桩船作业、施工船作业、外海孤岛作业、边通航边施工作业等；</w:t>
      </w:r>
    </w:p>
    <w:p w14:paraId="59E9910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（7）水下工程中的水下焊接、混凝土浇筑、爆破工程等；</w:t>
      </w:r>
    </w:p>
    <w:p w14:paraId="560AA62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（8）爆破工程；</w:t>
      </w:r>
    </w:p>
    <w:p w14:paraId="5CD132A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（9）大型临时工程中的大型支架、模板、便桥的架设与拆除；桥梁、码头的加固与拆除；</w:t>
      </w:r>
    </w:p>
    <w:p w14:paraId="779BECE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（10）其他危险性较大的工程。</w:t>
      </w:r>
    </w:p>
    <w:p w14:paraId="5528A87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监理人和发包人在检查中发现有安全问题或有违反安全管理规章制度的情况时，可视其为承包人违约，应按第22.1款的规定处理。</w:t>
      </w:r>
    </w:p>
    <w:p w14:paraId="715992B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第9.2.5项细化为：</w:t>
      </w:r>
    </w:p>
    <w:p w14:paraId="27360195">
      <w:pPr>
        <w:pStyle w:val="14"/>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r>
        <w:rPr>
          <w:rFonts w:hint="eastAsia" w:ascii="宋体" w:hAnsi="宋体" w:cs="宋体"/>
          <w:color w:val="000000" w:themeColor="text1"/>
          <w:sz w:val="24"/>
          <w:highlight w:val="none"/>
          <w14:textFill>
            <w14:solidFill>
              <w14:schemeClr w14:val="tx1"/>
            </w14:solidFill>
          </w14:textFill>
        </w:rPr>
        <w:t>。</w:t>
      </w:r>
    </w:p>
    <w:p w14:paraId="4356A7C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本款补充第9.2.8项～9.2.11项：</w:t>
      </w:r>
    </w:p>
    <w:p w14:paraId="30E053A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9.2.8承包人应充分关注和保障所有在现场工作的人员的安全，采取以下有效措施，使现场和本合同工程的实施保持有条不紊，以免使让述人员的安全受到威胁。</w:t>
      </w:r>
    </w:p>
    <w:p w14:paraId="2D87135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（1）按《公路水运工程安全生产临督管理办法》规定的最低数量和资质条件配备专职安全生产管理人员；</w:t>
      </w:r>
    </w:p>
    <w:p w14:paraId="514C38F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3C8A386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（3）所有施工机具设备和高空作业设备均应定期检查，并有安全员的签字记录。</w:t>
      </w:r>
    </w:p>
    <w:p w14:paraId="22EF881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（4）根据本合同各单位工程的特点，严格执行《公路水运工程安全生产监督管理办法》、《公路工程施工安全技术规程》与《公路筑养路机械操作规程》的具体规定。</w:t>
      </w:r>
    </w:p>
    <w:p w14:paraId="050D1B4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9.2.9为保护本合同工程免遭损坏，或为了现场附近和过往群众的安全与方便，在确有必要的时候和地方，或当监理人或有关主管部门要求时，承包人应自费提供照明、警卫、护栅、警告标志等安全防护设施。</w:t>
      </w:r>
    </w:p>
    <w:p w14:paraId="53A1ADF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9.2.10在通航水域施工时，承包人应与当地主管部门取得联系，设置必要的导航标志，及时发布航行通告，确保施工水域安全。</w:t>
      </w:r>
    </w:p>
    <w:p w14:paraId="287299A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9.2.11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037B780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299" w:name="_Toc451261313"/>
      <w:bookmarkEnd w:id="1299"/>
      <w:bookmarkStart w:id="1300" w:name="_Toc393546463"/>
      <w:bookmarkEnd w:id="1300"/>
      <w:bookmarkStart w:id="1301" w:name="_Toc386467209"/>
      <w:bookmarkEnd w:id="1301"/>
      <w:bookmarkStart w:id="1302" w:name="_Toc453057123"/>
      <w:bookmarkEnd w:id="1302"/>
      <w:bookmarkStart w:id="1303" w:name="_Toc330406404"/>
      <w:bookmarkEnd w:id="1303"/>
      <w:bookmarkStart w:id="1304" w:name="_Toc29076"/>
      <w:r>
        <w:rPr>
          <w:rFonts w:hint="eastAsia" w:ascii="宋体" w:hAnsi="宋体" w:cs="宋体"/>
          <w:color w:val="000000" w:themeColor="text1"/>
          <w:sz w:val="24"/>
          <w:szCs w:val="24"/>
          <w:highlight w:val="none"/>
          <w14:textFill>
            <w14:solidFill>
              <w14:schemeClr w14:val="tx1"/>
            </w14:solidFill>
          </w14:textFill>
        </w:rPr>
        <w:t>9.4环境保护</w:t>
      </w:r>
      <w:bookmarkEnd w:id="1304"/>
    </w:p>
    <w:p w14:paraId="4154752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本款补充第9.4.7～第9.4.11项：</w:t>
      </w:r>
    </w:p>
    <w:p w14:paraId="7F61BC3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9.4.7 承包人应切实执行技术规范中有关环境保护方面的条款和规定。</w:t>
      </w:r>
    </w:p>
    <w:p w14:paraId="41B47B3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256CDA8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（2）对于公路施工中粉尘污染的主要污染源——灰土拌和、施工车辆和筑路机械运行及运输产生的扬尘，应采取有效措施减轻施工现场的大气污染，保护人民健康，如：</w:t>
      </w:r>
    </w:p>
    <w:p w14:paraId="563F1EF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a.拌和设备应有较好的密封，或有防尘设备。</w:t>
      </w:r>
    </w:p>
    <w:p w14:paraId="5442436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b.施工通道、沥青混凝土拌和站及灰土拌和站应经常进行洒水降尘。</w:t>
      </w:r>
    </w:p>
    <w:p w14:paraId="68DEBE6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c.路面施工应注意保持水分，以免扬尘。</w:t>
      </w:r>
    </w:p>
    <w:p w14:paraId="48EA965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d.隧道出渣和桥梁钻孔灌注桩施工时排出的泥浆要进行妥善处理，严禁向河流或农田排放。</w:t>
      </w:r>
    </w:p>
    <w:p w14:paraId="0C6B50A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（3）采取可靠措施保证原有交通的正常通行，维持沿线村镇的居民饮水、农田灌溉、生产生活用电及通讯等管线的正常使用。</w:t>
      </w:r>
    </w:p>
    <w:p w14:paraId="58766C7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9.4.8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6BB67D5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9.4.9在施工期间，承包人应随时保持现场整洁，施工设备和材料、工程设备应整齐妥善存放和储存，废料与垃圾及不再需要的临时设施应及时从现场清除、拆除并运走。</w:t>
      </w:r>
    </w:p>
    <w:p w14:paraId="7D6A3AD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460CB85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压，要完善施工中的临时排水系统，加强施工便道的管理。取（弃）土场必须先挡后弃，严禁在指定的取（弃）土场以外的地方乱挖乱弃。</w:t>
      </w:r>
    </w:p>
    <w:p w14:paraId="649FBF3C">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305" w:name="_Toc386467210"/>
      <w:bookmarkEnd w:id="1305"/>
      <w:bookmarkStart w:id="1306" w:name="_Toc453057124"/>
      <w:bookmarkEnd w:id="1306"/>
      <w:bookmarkStart w:id="1307" w:name="_Toc451261314"/>
      <w:bookmarkEnd w:id="1307"/>
      <w:bookmarkStart w:id="1308" w:name="_Toc393546464"/>
      <w:bookmarkEnd w:id="1308"/>
      <w:bookmarkStart w:id="1309" w:name="_Toc330406405"/>
      <w:bookmarkEnd w:id="1309"/>
      <w:bookmarkStart w:id="1310" w:name="_Toc21612"/>
      <w:r>
        <w:rPr>
          <w:rFonts w:hint="eastAsia" w:ascii="宋体" w:hAnsi="宋体" w:cs="宋体"/>
          <w:color w:val="000000" w:themeColor="text1"/>
          <w:sz w:val="28"/>
          <w:szCs w:val="28"/>
          <w:highlight w:val="none"/>
          <w14:textFill>
            <w14:solidFill>
              <w14:schemeClr w14:val="tx1"/>
            </w14:solidFill>
          </w14:textFill>
        </w:rPr>
        <w:t>10.进度计划</w:t>
      </w:r>
      <w:bookmarkEnd w:id="1310"/>
    </w:p>
    <w:p w14:paraId="419474E4">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11" w:name="_Toc451261315"/>
      <w:bookmarkEnd w:id="1311"/>
      <w:bookmarkStart w:id="1312" w:name="_Toc330406406"/>
      <w:bookmarkEnd w:id="1312"/>
      <w:bookmarkStart w:id="1313" w:name="_Toc386467211"/>
      <w:bookmarkEnd w:id="1313"/>
      <w:bookmarkStart w:id="1314" w:name="_Toc453057125"/>
      <w:bookmarkEnd w:id="1314"/>
      <w:bookmarkStart w:id="1315" w:name="_Toc393546465"/>
      <w:bookmarkEnd w:id="1315"/>
      <w:bookmarkStart w:id="1316" w:name="_Toc21901"/>
      <w:r>
        <w:rPr>
          <w:rFonts w:hint="eastAsia" w:ascii="宋体" w:hAnsi="宋体" w:cs="宋体"/>
          <w:color w:val="000000" w:themeColor="text1"/>
          <w:sz w:val="24"/>
          <w:szCs w:val="24"/>
          <w:highlight w:val="none"/>
          <w14:textFill>
            <w14:solidFill>
              <w14:schemeClr w14:val="tx1"/>
            </w14:solidFill>
          </w14:textFill>
        </w:rPr>
        <w:t>10.1合同进度计划</w:t>
      </w:r>
      <w:bookmarkEnd w:id="1316"/>
    </w:p>
    <w:p w14:paraId="2D96CA5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54A2C4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承包人编制施工方案说明的内容见项目专用合同条款。</w:t>
      </w:r>
    </w:p>
    <w:p w14:paraId="60BC897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承包人向监理人报送施工进度计划和施工方案说明的期限：签订合同协议书后28天之内。</w:t>
      </w:r>
    </w:p>
    <w:p w14:paraId="761F3A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监理人应在14天内对承包人施工进度计划和施工方案说明予以批复或提出修改意见。</w:t>
      </w:r>
    </w:p>
    <w:p w14:paraId="0E1233A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合同进度计划应按照关键线路网络图和主要工作横道图两种形式分别编绘，并应包括每月预计完成的工作量和形象进度。</w:t>
      </w:r>
    </w:p>
    <w:p w14:paraId="5F890D80">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17" w:name="_Toc386467212"/>
      <w:bookmarkEnd w:id="1317"/>
      <w:bookmarkStart w:id="1318" w:name="_Toc451261316"/>
      <w:bookmarkEnd w:id="1318"/>
      <w:bookmarkStart w:id="1319" w:name="_Toc330406407"/>
      <w:bookmarkEnd w:id="1319"/>
      <w:bookmarkStart w:id="1320" w:name="_Toc453057126"/>
      <w:bookmarkEnd w:id="1320"/>
      <w:bookmarkStart w:id="1321" w:name="_Toc393546466"/>
      <w:bookmarkEnd w:id="1321"/>
      <w:bookmarkStart w:id="1322" w:name="_Toc607"/>
      <w:r>
        <w:rPr>
          <w:rFonts w:hint="eastAsia" w:ascii="宋体" w:hAnsi="宋体" w:cs="宋体"/>
          <w:color w:val="000000" w:themeColor="text1"/>
          <w:sz w:val="24"/>
          <w:szCs w:val="24"/>
          <w:highlight w:val="none"/>
          <w14:textFill>
            <w14:solidFill>
              <w14:schemeClr w14:val="tx1"/>
            </w14:solidFill>
          </w14:textFill>
        </w:rPr>
        <w:t>10.2合同进度计划的修订</w:t>
      </w:r>
      <w:bookmarkEnd w:id="1322"/>
    </w:p>
    <w:p w14:paraId="737EF87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057E5AD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承包人提交合同进度计划修订申请报告，并附有关措施和相关资料的期限：实际进度发生滞后的当月25日前。</w:t>
      </w:r>
    </w:p>
    <w:p w14:paraId="004ED19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监理人批复修订合同进度计划的期限：收到修订合同进度计划后14天内。</w:t>
      </w:r>
    </w:p>
    <w:p w14:paraId="1E34C5F2">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4427C432">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补充第10.3、10.4款：</w:t>
      </w:r>
    </w:p>
    <w:p w14:paraId="3EF93833">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23" w:name="_Toc453057127"/>
      <w:bookmarkEnd w:id="1323"/>
      <w:bookmarkStart w:id="1324" w:name="_Toc393546467"/>
      <w:bookmarkEnd w:id="1324"/>
      <w:bookmarkStart w:id="1325" w:name="_Toc330406408"/>
      <w:bookmarkEnd w:id="1325"/>
      <w:bookmarkStart w:id="1326" w:name="_Toc451261317"/>
      <w:bookmarkEnd w:id="1326"/>
      <w:bookmarkStart w:id="1327" w:name="_Toc386467213"/>
      <w:bookmarkEnd w:id="1327"/>
      <w:bookmarkStart w:id="1328" w:name="_Toc9150"/>
      <w:r>
        <w:rPr>
          <w:rFonts w:hint="eastAsia" w:ascii="宋体" w:hAnsi="宋体" w:cs="宋体"/>
          <w:color w:val="000000" w:themeColor="text1"/>
          <w:sz w:val="24"/>
          <w:szCs w:val="24"/>
          <w:highlight w:val="none"/>
          <w14:textFill>
            <w14:solidFill>
              <w14:schemeClr w14:val="tx1"/>
            </w14:solidFill>
          </w14:textFill>
        </w:rPr>
        <w:t>10.3年度施工计划</w:t>
      </w:r>
      <w:bookmarkEnd w:id="1328"/>
    </w:p>
    <w:p w14:paraId="7EBCF76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2F67CA17">
      <w:pPr>
        <w:pStyle w:val="3"/>
        <w:spacing w:beforeLines="50" w:line="400" w:lineRule="exact"/>
        <w:rPr>
          <w:rFonts w:ascii="宋体" w:hAnsi="宋体" w:cs="宋体"/>
          <w:color w:val="000000" w:themeColor="text1"/>
          <w:sz w:val="24"/>
          <w:highlight w:val="none"/>
          <w14:textFill>
            <w14:solidFill>
              <w14:schemeClr w14:val="tx1"/>
            </w14:solidFill>
          </w14:textFill>
        </w:rPr>
      </w:pPr>
      <w:bookmarkStart w:id="1329" w:name="_Toc386467214"/>
      <w:bookmarkEnd w:id="1329"/>
      <w:bookmarkStart w:id="1330" w:name="_Toc330406409"/>
      <w:bookmarkEnd w:id="1330"/>
      <w:bookmarkStart w:id="1331" w:name="_Toc393546468"/>
      <w:bookmarkEnd w:id="1331"/>
      <w:bookmarkStart w:id="1332" w:name="_Toc453057128"/>
      <w:bookmarkEnd w:id="1332"/>
      <w:bookmarkStart w:id="1333" w:name="_Toc451261318"/>
      <w:bookmarkEnd w:id="1333"/>
      <w:bookmarkStart w:id="1334" w:name="_Toc24271"/>
      <w:r>
        <w:rPr>
          <w:rFonts w:hint="eastAsia" w:ascii="宋体" w:hAnsi="宋体" w:cs="宋体"/>
          <w:color w:val="000000" w:themeColor="text1"/>
          <w:sz w:val="24"/>
          <w:szCs w:val="24"/>
          <w:highlight w:val="none"/>
          <w14:textFill>
            <w14:solidFill>
              <w14:schemeClr w14:val="tx1"/>
            </w14:solidFill>
          </w14:textFill>
        </w:rPr>
        <w:t>10.4合同用款计划</w:t>
      </w:r>
      <w:bookmarkEnd w:id="1334"/>
    </w:p>
    <w:p w14:paraId="6DF16FB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1C46E3B5">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335" w:name="_Toc330406410"/>
      <w:bookmarkEnd w:id="1335"/>
      <w:bookmarkStart w:id="1336" w:name="_Toc393546469"/>
      <w:bookmarkEnd w:id="1336"/>
      <w:bookmarkStart w:id="1337" w:name="_Toc453057129"/>
      <w:bookmarkEnd w:id="1337"/>
      <w:bookmarkStart w:id="1338" w:name="_Toc451261319"/>
      <w:bookmarkEnd w:id="1338"/>
      <w:bookmarkStart w:id="1339" w:name="_Toc386467215"/>
      <w:bookmarkEnd w:id="1339"/>
      <w:bookmarkStart w:id="1340" w:name="_Toc30058"/>
      <w:r>
        <w:rPr>
          <w:rFonts w:hint="eastAsia" w:ascii="宋体" w:hAnsi="宋体" w:cs="宋体"/>
          <w:color w:val="000000" w:themeColor="text1"/>
          <w:sz w:val="28"/>
          <w:szCs w:val="28"/>
          <w:highlight w:val="none"/>
          <w14:textFill>
            <w14:solidFill>
              <w14:schemeClr w14:val="tx1"/>
            </w14:solidFill>
          </w14:textFill>
        </w:rPr>
        <w:t>11.开工和交工</w:t>
      </w:r>
      <w:bookmarkEnd w:id="1340"/>
    </w:p>
    <w:p w14:paraId="1AE168A9">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41" w:name="_Toc393546470"/>
      <w:bookmarkEnd w:id="1341"/>
      <w:bookmarkStart w:id="1342" w:name="_Toc330406411"/>
      <w:bookmarkEnd w:id="1342"/>
      <w:bookmarkStart w:id="1343" w:name="_Toc453057130"/>
      <w:bookmarkEnd w:id="1343"/>
      <w:bookmarkStart w:id="1344" w:name="_Toc451261320"/>
      <w:bookmarkEnd w:id="1344"/>
      <w:bookmarkStart w:id="1345" w:name="_Toc386467216"/>
      <w:bookmarkEnd w:id="1345"/>
      <w:bookmarkStart w:id="1346" w:name="_Toc417"/>
      <w:r>
        <w:rPr>
          <w:rFonts w:hint="eastAsia" w:ascii="宋体" w:hAnsi="宋体" w:cs="宋体"/>
          <w:color w:val="000000" w:themeColor="text1"/>
          <w:sz w:val="24"/>
          <w:szCs w:val="24"/>
          <w:highlight w:val="none"/>
          <w14:textFill>
            <w14:solidFill>
              <w14:schemeClr w14:val="tx1"/>
            </w14:solidFill>
          </w14:textFill>
        </w:rPr>
        <w:t>11.1开工</w:t>
      </w:r>
      <w:bookmarkEnd w:id="1346"/>
    </w:p>
    <w:p w14:paraId="0B55BE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第11.1.2项补充：</w:t>
      </w:r>
    </w:p>
    <w:p w14:paraId="5123679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承包人应在分部工程开工前14天向监理人提交分部工程开工报审表，若承包人的开工准备、工作计划和质量控制方法是可接受的且已获得批准，则经监理人书面同意，分部工程才能开工。</w:t>
      </w:r>
    </w:p>
    <w:p w14:paraId="65F08127">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47" w:name="_Toc453057131"/>
      <w:bookmarkEnd w:id="1347"/>
      <w:bookmarkStart w:id="1348" w:name="_Toc330406412"/>
      <w:bookmarkEnd w:id="1348"/>
      <w:bookmarkStart w:id="1349" w:name="_Toc451261321"/>
      <w:bookmarkEnd w:id="1349"/>
      <w:bookmarkStart w:id="1350" w:name="_Toc386467217"/>
      <w:bookmarkEnd w:id="1350"/>
      <w:bookmarkStart w:id="1351" w:name="_Toc393546471"/>
      <w:bookmarkEnd w:id="1351"/>
      <w:bookmarkStart w:id="1352" w:name="_Toc29020"/>
      <w:r>
        <w:rPr>
          <w:rFonts w:hint="eastAsia" w:ascii="宋体" w:hAnsi="宋体" w:cs="宋体"/>
          <w:color w:val="000000" w:themeColor="text1"/>
          <w:sz w:val="24"/>
          <w:szCs w:val="24"/>
          <w:highlight w:val="none"/>
          <w14:textFill>
            <w14:solidFill>
              <w14:schemeClr w14:val="tx1"/>
            </w14:solidFill>
          </w14:textFill>
        </w:rPr>
        <w:t>11.3发包人的工期延误</w:t>
      </w:r>
      <w:bookmarkEnd w:id="1352"/>
    </w:p>
    <w:p w14:paraId="39902EB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37437AA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即使由于上述原因造成工期延误，如果受影响的工程并非处在工程施工进度网络计划的关键线路上，则承包人无权要求延长总工期。</w:t>
      </w:r>
    </w:p>
    <w:p w14:paraId="6BEF92AB">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53" w:name="_Toc386467218"/>
      <w:bookmarkEnd w:id="1353"/>
      <w:bookmarkStart w:id="1354" w:name="_Toc393546472"/>
      <w:bookmarkEnd w:id="1354"/>
      <w:bookmarkStart w:id="1355" w:name="_Toc330406413"/>
      <w:bookmarkEnd w:id="1355"/>
      <w:bookmarkStart w:id="1356" w:name="_Toc451261322"/>
      <w:bookmarkEnd w:id="1356"/>
      <w:bookmarkStart w:id="1357" w:name="_Toc453057132"/>
      <w:bookmarkEnd w:id="1357"/>
      <w:bookmarkStart w:id="1358" w:name="_Toc7160"/>
      <w:r>
        <w:rPr>
          <w:rFonts w:hint="eastAsia" w:ascii="宋体" w:hAnsi="宋体" w:cs="宋体"/>
          <w:color w:val="000000" w:themeColor="text1"/>
          <w:sz w:val="24"/>
          <w:szCs w:val="24"/>
          <w:highlight w:val="none"/>
          <w14:textFill>
            <w14:solidFill>
              <w14:schemeClr w14:val="tx1"/>
            </w14:solidFill>
          </w14:textFill>
        </w:rPr>
        <w:t>11.4异常恶劣的气候条件</w:t>
      </w:r>
      <w:bookmarkEnd w:id="1358"/>
    </w:p>
    <w:p w14:paraId="5224222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2D18B1B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异常气候条件是指项目所在地30年一遇的罕见气候现象（包括温度、降水、降雪、风等）。异常恶劣的气候条件在项目专用合同条款中作具体规定。</w:t>
      </w:r>
    </w:p>
    <w:p w14:paraId="25A379D1">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59" w:name="_Toc386467219"/>
      <w:bookmarkEnd w:id="1359"/>
      <w:bookmarkStart w:id="1360" w:name="_Toc393546473"/>
      <w:bookmarkEnd w:id="1360"/>
      <w:bookmarkStart w:id="1361" w:name="_Toc451261323"/>
      <w:bookmarkEnd w:id="1361"/>
      <w:bookmarkStart w:id="1362" w:name="_Toc330406414"/>
      <w:bookmarkEnd w:id="1362"/>
      <w:bookmarkStart w:id="1363" w:name="_Toc453057133"/>
      <w:bookmarkEnd w:id="1363"/>
      <w:bookmarkStart w:id="1364" w:name="_Toc18925"/>
      <w:r>
        <w:rPr>
          <w:rFonts w:hint="eastAsia" w:ascii="宋体" w:hAnsi="宋体" w:cs="宋体"/>
          <w:color w:val="000000" w:themeColor="text1"/>
          <w:sz w:val="24"/>
          <w:szCs w:val="24"/>
          <w:highlight w:val="none"/>
          <w14:textFill>
            <w14:solidFill>
              <w14:schemeClr w14:val="tx1"/>
            </w14:solidFill>
          </w14:textFill>
        </w:rPr>
        <w:t>11.5承包人的工期延误</w:t>
      </w:r>
      <w:bookmarkEnd w:id="1364"/>
    </w:p>
    <w:p w14:paraId="080CB56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2743344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应严格执行监理人批准的合同进度计划，对工作量计划和形象进度计划分别控制。除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245D410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0DC284A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6D07541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（4）承包人支付逾期竣工建约金，不免除承包人完成工程及修补缺陷的义务。</w:t>
      </w:r>
    </w:p>
    <w:p w14:paraId="25D8A5E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如果在合同工作完工之前，已对合同工程内按时完工的单位工程签发了工程接收证书，则合同工程的逾期竣工违约金，应按已签发工程接收证书的单位工程的价值占合同工程价值的比例予以减少，但本规定不应影响逾期竣工违约金的规定限额。</w:t>
      </w:r>
    </w:p>
    <w:p w14:paraId="068B960A">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65" w:name="_Toc451261324"/>
      <w:bookmarkEnd w:id="1365"/>
      <w:bookmarkStart w:id="1366" w:name="_Toc453057134"/>
      <w:bookmarkEnd w:id="1366"/>
      <w:bookmarkStart w:id="1367" w:name="_Toc330406415"/>
      <w:bookmarkEnd w:id="1367"/>
      <w:bookmarkStart w:id="1368" w:name="_Toc393546474"/>
      <w:bookmarkEnd w:id="1368"/>
      <w:bookmarkStart w:id="1369" w:name="_Toc386467220"/>
      <w:bookmarkEnd w:id="1369"/>
      <w:bookmarkStart w:id="1370" w:name="_Toc9506"/>
      <w:r>
        <w:rPr>
          <w:rFonts w:hint="eastAsia" w:ascii="宋体" w:hAnsi="宋体" w:cs="宋体"/>
          <w:color w:val="000000" w:themeColor="text1"/>
          <w:sz w:val="24"/>
          <w:szCs w:val="24"/>
          <w:highlight w:val="none"/>
          <w14:textFill>
            <w14:solidFill>
              <w14:schemeClr w14:val="tx1"/>
            </w14:solidFill>
          </w14:textFill>
        </w:rPr>
        <w:t>11.6工期提前</w:t>
      </w:r>
      <w:bookmarkEnd w:id="1370"/>
    </w:p>
    <w:p w14:paraId="17B7659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4CCF979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发包人不得随意要求承包人提前交工，承包人也不得随意提出提前交工的建议。如遇特殊情况，确需将工期提前的，发包人和承包人必须采取有效措施，确保工程质量。</w:t>
      </w:r>
    </w:p>
    <w:p w14:paraId="5CDCAE2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563384F2">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1741FCE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本条补充11.7款：</w:t>
      </w:r>
    </w:p>
    <w:p w14:paraId="6E7BEAC2">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71" w:name="_Toc386467221"/>
      <w:bookmarkEnd w:id="1371"/>
      <w:bookmarkStart w:id="1372" w:name="_Toc393546475"/>
      <w:bookmarkEnd w:id="1372"/>
      <w:bookmarkStart w:id="1373" w:name="_Toc330406416"/>
      <w:bookmarkEnd w:id="1373"/>
      <w:bookmarkStart w:id="1374" w:name="_Toc451261325"/>
      <w:bookmarkEnd w:id="1374"/>
      <w:bookmarkStart w:id="1375" w:name="_Toc453057135"/>
      <w:bookmarkEnd w:id="1375"/>
      <w:bookmarkStart w:id="1376" w:name="_Toc22772"/>
      <w:r>
        <w:rPr>
          <w:rFonts w:hint="eastAsia" w:ascii="宋体" w:hAnsi="宋体" w:cs="宋体"/>
          <w:color w:val="000000" w:themeColor="text1"/>
          <w:sz w:val="24"/>
          <w:szCs w:val="24"/>
          <w:highlight w:val="none"/>
          <w14:textFill>
            <w14:solidFill>
              <w14:schemeClr w14:val="tx1"/>
            </w14:solidFill>
          </w14:textFill>
        </w:rPr>
        <w:t>11.7工作时间的限制</w:t>
      </w:r>
      <w:bookmarkEnd w:id="1376"/>
    </w:p>
    <w:p w14:paraId="30230EF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承包人在夜间或国家规定的节假日进行永久工程的施工，应向监理人报告，以便监理人履行监理人履行监理职责和义务。</w:t>
      </w:r>
    </w:p>
    <w:p w14:paraId="432DC05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但是，为了抢救生命或保护财产，或为了工程的安全、质量而不可避免地短暂作业，则不必事先向监理人报告。但承包人应在事后立即向监理人报告。</w:t>
      </w:r>
    </w:p>
    <w:p w14:paraId="3980636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本款规定不适用于习惯上或施工本身要求实行连续生产的作业。</w:t>
      </w:r>
    </w:p>
    <w:p w14:paraId="5E0114E2">
      <w:pPr>
        <w:pStyle w:val="3"/>
        <w:spacing w:beforeLines="50" w:line="400" w:lineRule="exact"/>
        <w:rPr>
          <w:rFonts w:ascii="宋体" w:hAnsi="宋体" w:cs="宋体"/>
          <w:color w:val="000000" w:themeColor="text1"/>
          <w:sz w:val="28"/>
          <w:szCs w:val="28"/>
          <w:highlight w:val="none"/>
          <w14:textFill>
            <w14:solidFill>
              <w14:schemeClr w14:val="tx1"/>
            </w14:solidFill>
          </w14:textFill>
        </w:rPr>
      </w:pPr>
      <w:bookmarkStart w:id="1377" w:name="_Toc330406417"/>
      <w:bookmarkEnd w:id="1377"/>
      <w:bookmarkStart w:id="1378" w:name="_Toc386467222"/>
      <w:bookmarkEnd w:id="1378"/>
      <w:bookmarkStart w:id="1379" w:name="_Toc453057136"/>
      <w:bookmarkEnd w:id="1379"/>
      <w:bookmarkStart w:id="1380" w:name="_Toc393546476"/>
      <w:bookmarkEnd w:id="1380"/>
      <w:bookmarkStart w:id="1381" w:name="_Toc451261326"/>
      <w:bookmarkEnd w:id="1381"/>
      <w:bookmarkStart w:id="1382" w:name="_Toc20256"/>
      <w:r>
        <w:rPr>
          <w:rFonts w:hint="eastAsia" w:ascii="宋体" w:hAnsi="宋体" w:cs="宋体"/>
          <w:color w:val="000000" w:themeColor="text1"/>
          <w:sz w:val="28"/>
          <w:szCs w:val="28"/>
          <w:highlight w:val="none"/>
          <w14:textFill>
            <w14:solidFill>
              <w14:schemeClr w14:val="tx1"/>
            </w14:solidFill>
          </w14:textFill>
        </w:rPr>
        <w:t>12.暂停施工</w:t>
      </w:r>
      <w:bookmarkEnd w:id="1382"/>
    </w:p>
    <w:p w14:paraId="308E922C">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83" w:name="_Toc330406418"/>
      <w:bookmarkEnd w:id="1383"/>
      <w:bookmarkStart w:id="1384" w:name="_Toc453057137"/>
      <w:bookmarkEnd w:id="1384"/>
      <w:bookmarkStart w:id="1385" w:name="_Toc386467223"/>
      <w:bookmarkEnd w:id="1385"/>
      <w:bookmarkStart w:id="1386" w:name="_Toc451261327"/>
      <w:bookmarkEnd w:id="1386"/>
      <w:bookmarkStart w:id="1387" w:name="_Toc393546477"/>
      <w:bookmarkEnd w:id="1387"/>
      <w:bookmarkStart w:id="1388" w:name="_Toc20968"/>
      <w:r>
        <w:rPr>
          <w:rFonts w:hint="eastAsia" w:ascii="宋体" w:hAnsi="宋体" w:cs="宋体"/>
          <w:color w:val="000000" w:themeColor="text1"/>
          <w:sz w:val="24"/>
          <w:szCs w:val="24"/>
          <w:highlight w:val="none"/>
          <w14:textFill>
            <w14:solidFill>
              <w14:schemeClr w14:val="tx1"/>
            </w14:solidFill>
          </w14:textFill>
        </w:rPr>
        <w:t>12.1承包人暂停施工的责任</w:t>
      </w:r>
      <w:bookmarkEnd w:id="1388"/>
    </w:p>
    <w:p w14:paraId="529EEF2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本款第（5）项细化为：</w:t>
      </w:r>
    </w:p>
    <w:p w14:paraId="0FA40BD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（5）现场气候条件导致的必要停工（第11.4款规定的异常恶劣的气候条件除外）；</w:t>
      </w:r>
    </w:p>
    <w:p w14:paraId="6BAB7B1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（6）项目专用合同条款约定的由承包人承担的其他暂停施工。</w:t>
      </w:r>
    </w:p>
    <w:p w14:paraId="5A81078C">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389" w:name="_Toc393546478"/>
      <w:bookmarkEnd w:id="1389"/>
      <w:bookmarkStart w:id="1390" w:name="_Toc453057138"/>
      <w:bookmarkEnd w:id="1390"/>
      <w:bookmarkStart w:id="1391" w:name="_Toc451261328"/>
      <w:bookmarkEnd w:id="1391"/>
      <w:bookmarkStart w:id="1392" w:name="_Toc330406419"/>
      <w:bookmarkEnd w:id="1392"/>
      <w:bookmarkStart w:id="1393" w:name="_Toc386467224"/>
      <w:bookmarkEnd w:id="1393"/>
      <w:bookmarkStart w:id="1394" w:name="_Toc2838"/>
      <w:r>
        <w:rPr>
          <w:rFonts w:hint="eastAsia" w:ascii="宋体" w:hAnsi="宋体" w:cs="宋体"/>
          <w:color w:val="000000" w:themeColor="text1"/>
          <w:sz w:val="28"/>
          <w:szCs w:val="28"/>
          <w:highlight w:val="none"/>
          <w14:textFill>
            <w14:solidFill>
              <w14:schemeClr w14:val="tx1"/>
            </w14:solidFill>
          </w14:textFill>
        </w:rPr>
        <w:t>13.工程质量</w:t>
      </w:r>
      <w:bookmarkEnd w:id="1394"/>
    </w:p>
    <w:p w14:paraId="632FA11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395" w:name="_Toc393546479"/>
      <w:bookmarkEnd w:id="1395"/>
      <w:bookmarkStart w:id="1396" w:name="_Toc330406420"/>
      <w:bookmarkEnd w:id="1396"/>
      <w:bookmarkStart w:id="1397" w:name="_Toc386467225"/>
      <w:bookmarkEnd w:id="1397"/>
      <w:bookmarkStart w:id="1398" w:name="_Toc453057139"/>
      <w:bookmarkEnd w:id="1398"/>
      <w:bookmarkStart w:id="1399" w:name="_Toc451261329"/>
      <w:bookmarkEnd w:id="1399"/>
      <w:bookmarkStart w:id="1400" w:name="_Toc1704"/>
      <w:r>
        <w:rPr>
          <w:rFonts w:hint="eastAsia" w:ascii="宋体" w:hAnsi="宋体" w:cs="宋体"/>
          <w:color w:val="000000" w:themeColor="text1"/>
          <w:sz w:val="24"/>
          <w:szCs w:val="24"/>
          <w:highlight w:val="none"/>
          <w14:textFill>
            <w14:solidFill>
              <w14:schemeClr w14:val="tx1"/>
            </w14:solidFill>
          </w14:textFill>
        </w:rPr>
        <w:t>13.1工程质量要求</w:t>
      </w:r>
      <w:bookmarkEnd w:id="1400"/>
    </w:p>
    <w:p w14:paraId="7DF94CD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第13.1.1项约定为：</w:t>
      </w:r>
    </w:p>
    <w:p w14:paraId="14FAE9C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工程质量验收按技术规范及《公路工程质量检验评定标准》执行。</w:t>
      </w:r>
    </w:p>
    <w:p w14:paraId="1B214C7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本款补充第13.1.4和13.1.5项：</w:t>
      </w:r>
    </w:p>
    <w:p w14:paraId="76967FC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13.1.4发包人和承包人应严格遵守《关于严格落实公路工程质量责任制的若干意见》的相关规定，认真执行工程质量责任登记制度并按要求填写工程质量责任登记表。</w:t>
      </w:r>
    </w:p>
    <w:p w14:paraId="75B49A3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13.1.5本项目严格执行质量责任追究制度。质量事故处理实行“四不放过”原则：事故原因调查不清不放过；事故责任者没有受到教育不放过；没有防范措施不放过；相关责任人没受到处理不放过。</w:t>
      </w:r>
    </w:p>
    <w:p w14:paraId="58997F87">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01" w:name="_Toc386467226"/>
      <w:bookmarkEnd w:id="1401"/>
      <w:bookmarkStart w:id="1402" w:name="_Toc330406421"/>
      <w:bookmarkEnd w:id="1402"/>
      <w:bookmarkStart w:id="1403" w:name="_Toc451261330"/>
      <w:bookmarkEnd w:id="1403"/>
      <w:bookmarkStart w:id="1404" w:name="_Toc393546480"/>
      <w:bookmarkEnd w:id="1404"/>
      <w:bookmarkStart w:id="1405" w:name="_Toc453057140"/>
      <w:bookmarkEnd w:id="1405"/>
      <w:bookmarkStart w:id="1406" w:name="_Toc7060"/>
      <w:r>
        <w:rPr>
          <w:rFonts w:hint="eastAsia" w:ascii="宋体" w:hAnsi="宋体" w:cs="宋体"/>
          <w:color w:val="000000" w:themeColor="text1"/>
          <w:sz w:val="24"/>
          <w:szCs w:val="24"/>
          <w:highlight w:val="none"/>
          <w14:textFill>
            <w14:solidFill>
              <w14:schemeClr w14:val="tx1"/>
            </w14:solidFill>
          </w14:textFill>
        </w:rPr>
        <w:t>13.2承包人的质量管理</w:t>
      </w:r>
      <w:bookmarkEnd w:id="1406"/>
    </w:p>
    <w:p w14:paraId="344A7EE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第13.2.1项补充：</w:t>
      </w:r>
    </w:p>
    <w:p w14:paraId="32FB94D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承包人提交工程质量保证措施文件的期限：签订合同协议书后28天之内。</w:t>
      </w:r>
    </w:p>
    <w:p w14:paraId="2B95D2F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本款补充第</w:t>
      </w:r>
      <w:r>
        <w:rPr>
          <w:rFonts w:hint="eastAsia" w:ascii="宋体" w:hAnsi="宋体" w:cs="宋体"/>
          <w:color w:val="000000" w:themeColor="text1"/>
          <w:sz w:val="24"/>
          <w:highlight w:val="none"/>
          <w14:textFill>
            <w14:solidFill>
              <w14:schemeClr w14:val="tx1"/>
            </w14:solidFill>
          </w14:textFill>
        </w:rPr>
        <w:t>13.2.3</w:t>
      </w:r>
      <w:r>
        <w:rPr>
          <w:rFonts w:hint="eastAsia" w:ascii="宋体" w:hAnsi="宋体" w:cs="宋体"/>
          <w:color w:val="000000" w:themeColor="text1"/>
          <w:sz w:val="24"/>
          <w:highlight w:val="none"/>
          <w:lang w:val="zh-CN"/>
          <w14:textFill>
            <w14:solidFill>
              <w14:schemeClr w14:val="tx1"/>
            </w14:solidFill>
          </w14:textFill>
        </w:rPr>
        <w:t>项〜第</w:t>
      </w:r>
      <w:r>
        <w:rPr>
          <w:rFonts w:hint="eastAsia" w:ascii="宋体" w:hAnsi="宋体" w:cs="宋体"/>
          <w:color w:val="000000" w:themeColor="text1"/>
          <w:sz w:val="24"/>
          <w:highlight w:val="none"/>
          <w14:textFill>
            <w14:solidFill>
              <w14:schemeClr w14:val="tx1"/>
            </w14:solidFill>
          </w14:textFill>
        </w:rPr>
        <w:t>13.2.10</w:t>
      </w:r>
      <w:r>
        <w:rPr>
          <w:rFonts w:hint="eastAsia" w:ascii="宋体" w:hAnsi="宋体" w:cs="宋体"/>
          <w:color w:val="000000" w:themeColor="text1"/>
          <w:sz w:val="24"/>
          <w:highlight w:val="none"/>
          <w:lang w:val="zh-CN"/>
          <w14:textFill>
            <w14:solidFill>
              <w14:schemeClr w14:val="tx1"/>
            </w14:solidFill>
          </w14:textFill>
        </w:rPr>
        <w:t>项：</w:t>
      </w:r>
    </w:p>
    <w:p w14:paraId="5E4D530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13.2.3</w:t>
      </w:r>
      <w:r>
        <w:rPr>
          <w:rFonts w:hint="eastAsia" w:ascii="宋体" w:hAnsi="宋体" w:cs="宋体"/>
          <w:color w:val="000000" w:themeColor="text1"/>
          <w:sz w:val="24"/>
          <w:highlight w:val="none"/>
          <w:lang w:val="zh-CN"/>
          <w14:textFill>
            <w14:solidFill>
              <w14:schemeClr w14:val="tx1"/>
            </w14:solidFill>
          </w14:textFill>
        </w:rPr>
        <w:t>公路工程施行质量责任终身制。承包人应当书面明确相应的项目负责人 和质量负责人。承包人的相关人员按照国家法律法规和有关规定在工程合理使用年 限内承担相应的质量责任。</w:t>
      </w:r>
    </w:p>
    <w:p w14:paraId="63BC948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13.2.4</w:t>
      </w:r>
      <w:r>
        <w:rPr>
          <w:rFonts w:hint="eastAsia" w:ascii="宋体" w:hAnsi="宋体" w:cs="宋体"/>
          <w:color w:val="000000" w:themeColor="text1"/>
          <w:sz w:val="24"/>
          <w:highlight w:val="none"/>
          <w:lang w:val="zh-CN"/>
          <w14:textFill>
            <w14:solidFill>
              <w14:schemeClr w14:val="tx1"/>
            </w14:solidFill>
          </w14:textFill>
        </w:rPr>
        <w:t>承包人应当建立健全工程质量保证体系，制定质量管理制度，强化工程质量管理措施，完善工程质量目标保障机制；严格遵守国家有关法律、法规和规章， 严格执行公路工程强制性技术标准、各类技术规范及规程，全面履行工程合同义务。</w:t>
      </w:r>
    </w:p>
    <w:p w14:paraId="0FBB5A2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13.2.5</w:t>
      </w:r>
      <w:r>
        <w:rPr>
          <w:rFonts w:hint="eastAsia" w:ascii="宋体" w:hAnsi="宋体" w:cs="宋体"/>
          <w:color w:val="000000" w:themeColor="text1"/>
          <w:sz w:val="24"/>
          <w:highlight w:val="none"/>
          <w:lang w:val="zh-CN"/>
          <w14:textFill>
            <w14:solidFill>
              <w14:schemeClr w14:val="tx1"/>
            </w14:solidFill>
          </w14:textFill>
        </w:rPr>
        <w:t>承包人对工程施工质量负责，应当按合同约定设立现场质量管理机构、 配备工程技术人员和质量管理人员，落实工程施工质量责任制。</w:t>
      </w:r>
    </w:p>
    <w:p w14:paraId="5161ACE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13.2.6</w:t>
      </w:r>
      <w:r>
        <w:rPr>
          <w:rFonts w:hint="eastAsia" w:ascii="宋体" w:hAnsi="宋体" w:cs="宋体"/>
          <w:color w:val="000000" w:themeColor="text1"/>
          <w:sz w:val="24"/>
          <w:highlight w:val="none"/>
          <w:lang w:val="zh-CN"/>
          <w14:textFill>
            <w14:solidFill>
              <w14:schemeClr w14:val="tx1"/>
            </w14:solidFill>
          </w14:textFill>
        </w:rPr>
        <w:t>承包人应当严格按照工程设计图纸、施工技术标准和合同约定施工，对 原材料、混合料、构配件、工程实体、机电设备等进行检验；按规定施行班组自检、 工序交接检、专职质检员检验的质量控制程序；对分项工程、分部工程和单位工程进行质量自评。检验或者自评不合格的，不得进入下道工序或者投入使用。</w:t>
      </w:r>
    </w:p>
    <w:p w14:paraId="6ECB901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13.2.7</w:t>
      </w:r>
      <w:r>
        <w:rPr>
          <w:rFonts w:hint="eastAsia" w:ascii="宋体" w:hAnsi="宋体" w:cs="宋体"/>
          <w:color w:val="000000" w:themeColor="text1"/>
          <w:sz w:val="24"/>
          <w:highlight w:val="none"/>
          <w:lang w:val="zh-CN"/>
          <w14:textFill>
            <w14:solidFill>
              <w14:schemeClr w14:val="tx1"/>
            </w14:solidFill>
          </w14:textFill>
        </w:rPr>
        <w:t>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26A394E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13.2.8</w:t>
      </w:r>
      <w:r>
        <w:rPr>
          <w:rFonts w:hint="eastAsia" w:ascii="宋体" w:hAnsi="宋体" w:cs="宋体"/>
          <w:color w:val="000000" w:themeColor="text1"/>
          <w:sz w:val="24"/>
          <w:highlight w:val="none"/>
          <w:lang w:val="zh-CN"/>
          <w14:textFill>
            <w14:solidFill>
              <w14:schemeClr w14:val="tx1"/>
            </w14:solidFill>
          </w14:textFill>
        </w:rPr>
        <w:t>承包人应当按照合同约定设立工地临时试验室，配齐检测和试验仪器、 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09ECD57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13.2.9</w:t>
      </w:r>
      <w:r>
        <w:rPr>
          <w:rFonts w:hint="eastAsia" w:ascii="宋体" w:hAnsi="宋体" w:cs="宋体"/>
          <w:color w:val="000000" w:themeColor="text1"/>
          <w:sz w:val="24"/>
          <w:highlight w:val="none"/>
          <w:lang w:val="zh-CN"/>
          <w14:textFill>
            <w14:solidFill>
              <w14:schemeClr w14:val="tx1"/>
            </w14:solidFill>
          </w14:textFill>
        </w:rPr>
        <w:t>承包人应当依法规范分包行为，并对承担的工程质量负总责，分包单位 对分包合同范围内的工程质量负责。</w:t>
      </w:r>
    </w:p>
    <w:p w14:paraId="1A5380E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13.2.10</w:t>
      </w:r>
      <w:r>
        <w:rPr>
          <w:rFonts w:hint="eastAsia" w:ascii="宋体" w:hAnsi="宋体" w:cs="宋体"/>
          <w:color w:val="000000" w:themeColor="text1"/>
          <w:sz w:val="24"/>
          <w:highlight w:val="none"/>
          <w:lang w:val="zh-CN"/>
          <w14:textFill>
            <w14:solidFill>
              <w14:schemeClr w14:val="tx1"/>
            </w14:solidFill>
          </w14:textFill>
        </w:rPr>
        <w:t>承包人驻工程现场机构应在现场驻地和重要的分部、分项工程施工现场 设置明显的工程质量责任登记表公示牌</w:t>
      </w:r>
    </w:p>
    <w:p w14:paraId="45A9F52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07" w:name="_Toc393546481"/>
      <w:bookmarkEnd w:id="1407"/>
      <w:bookmarkStart w:id="1408" w:name="_Toc451261331"/>
      <w:bookmarkEnd w:id="1408"/>
      <w:bookmarkStart w:id="1409" w:name="_Toc453057141"/>
      <w:bookmarkEnd w:id="1409"/>
      <w:bookmarkStart w:id="1410" w:name="_Toc330406422"/>
      <w:bookmarkEnd w:id="1410"/>
      <w:bookmarkStart w:id="1411" w:name="_Toc386467227"/>
      <w:bookmarkEnd w:id="1411"/>
      <w:bookmarkStart w:id="1412" w:name="_Toc3870"/>
      <w:r>
        <w:rPr>
          <w:rFonts w:hint="eastAsia" w:ascii="宋体" w:hAnsi="宋体" w:cs="宋体"/>
          <w:color w:val="000000" w:themeColor="text1"/>
          <w:sz w:val="24"/>
          <w:szCs w:val="24"/>
          <w:highlight w:val="none"/>
          <w14:textFill>
            <w14:solidFill>
              <w14:schemeClr w14:val="tx1"/>
            </w14:solidFill>
          </w14:textFill>
        </w:rPr>
        <w:t>13.4监理人的质量检查</w:t>
      </w:r>
      <w:bookmarkEnd w:id="1412"/>
    </w:p>
    <w:p w14:paraId="09C30F0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57FC5B0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监理人及其委派的检验人员，应能进入工程现场，以及材料或工程设备的制造、加工或制配的车间和场所，包括不属于承包人的车间或场所进行检查，承包人应为此提供便利和协助。</w:t>
      </w:r>
    </w:p>
    <w:p w14:paraId="34BD914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监理人可以将材料或工程设备的检查委托给一家独立的有质量检验认证资格的检验单位。该独立检验单位的检验结果应视为监理人完成的。监理人应将这种委托的通知书不少于7天交给承包人。</w:t>
      </w:r>
    </w:p>
    <w:p w14:paraId="0F01E4F8">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13" w:name="_Toc386467228"/>
      <w:bookmarkEnd w:id="1413"/>
      <w:bookmarkStart w:id="1414" w:name="_Toc453057142"/>
      <w:bookmarkEnd w:id="1414"/>
      <w:bookmarkStart w:id="1415" w:name="_Toc393546482"/>
      <w:bookmarkEnd w:id="1415"/>
      <w:bookmarkStart w:id="1416" w:name="_Toc451261332"/>
      <w:bookmarkEnd w:id="1416"/>
      <w:bookmarkStart w:id="1417" w:name="_Toc330406423"/>
      <w:bookmarkEnd w:id="1417"/>
      <w:bookmarkStart w:id="1418" w:name="_Toc517"/>
      <w:r>
        <w:rPr>
          <w:rFonts w:hint="eastAsia" w:ascii="宋体" w:hAnsi="宋体" w:cs="宋体"/>
          <w:color w:val="000000" w:themeColor="text1"/>
          <w:sz w:val="24"/>
          <w:szCs w:val="24"/>
          <w:highlight w:val="none"/>
          <w14:textFill>
            <w14:solidFill>
              <w14:schemeClr w14:val="tx1"/>
            </w14:solidFill>
          </w14:textFill>
        </w:rPr>
        <w:t>13.5工程隐蔽部位覆盖前的检查</w:t>
      </w:r>
      <w:bookmarkEnd w:id="1418"/>
    </w:p>
    <w:p w14:paraId="7E820A8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第13.5.1项补充：</w:t>
      </w:r>
    </w:p>
    <w:p w14:paraId="37FE1B9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当监理人有指示时，承包人应对重要隐蔽工程进行拍摄或照相并应保证监理人有充分的机会对将要覆盖或隐蔽的工程进行检查或量测，特别是在基础以上的任一部分工程修筑之前，对该基础进行检查。</w:t>
      </w:r>
    </w:p>
    <w:p w14:paraId="4174EE51">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19" w:name="_Toc453057143"/>
      <w:bookmarkEnd w:id="1419"/>
      <w:bookmarkStart w:id="1420" w:name="_Toc451261333"/>
      <w:bookmarkEnd w:id="1420"/>
      <w:bookmarkStart w:id="1421" w:name="_Toc393546483"/>
      <w:bookmarkEnd w:id="1421"/>
      <w:bookmarkStart w:id="1422" w:name="_Toc386467229"/>
      <w:bookmarkEnd w:id="1422"/>
      <w:bookmarkStart w:id="1423" w:name="_Toc330406424"/>
      <w:bookmarkEnd w:id="1423"/>
      <w:bookmarkStart w:id="1424" w:name="_Toc21360"/>
      <w:r>
        <w:rPr>
          <w:rFonts w:hint="eastAsia" w:ascii="宋体" w:hAnsi="宋体" w:cs="宋体"/>
          <w:color w:val="000000" w:themeColor="text1"/>
          <w:sz w:val="24"/>
          <w:szCs w:val="24"/>
          <w:highlight w:val="none"/>
          <w14:textFill>
            <w14:solidFill>
              <w14:schemeClr w14:val="tx1"/>
            </w14:solidFill>
          </w14:textFill>
        </w:rPr>
        <w:t>13.6清除不合格工程</w:t>
      </w:r>
      <w:bookmarkEnd w:id="1424"/>
    </w:p>
    <w:p w14:paraId="60CC2F7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第13.6.1项细化为：</w:t>
      </w:r>
    </w:p>
    <w:p w14:paraId="0082C14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61B6425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（2）如果承包人未在规定时间内执行监理人的指示，发包人有权雇用他人执行，由此增加的费用和（或）工期延误由承包人承担。</w:t>
      </w:r>
    </w:p>
    <w:p w14:paraId="6E219C7F">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425" w:name="_Toc453057144"/>
      <w:bookmarkEnd w:id="1425"/>
      <w:bookmarkStart w:id="1426" w:name="_Toc330406425"/>
      <w:bookmarkEnd w:id="1426"/>
      <w:bookmarkStart w:id="1427" w:name="_Toc386467230"/>
      <w:bookmarkEnd w:id="1427"/>
      <w:bookmarkStart w:id="1428" w:name="_Toc451261334"/>
      <w:bookmarkEnd w:id="1428"/>
      <w:bookmarkStart w:id="1429" w:name="_Toc393546484"/>
      <w:bookmarkEnd w:id="1429"/>
      <w:bookmarkStart w:id="1430" w:name="_Toc26810"/>
      <w:r>
        <w:rPr>
          <w:rFonts w:hint="eastAsia" w:ascii="宋体" w:hAnsi="宋体" w:cs="宋体"/>
          <w:color w:val="000000" w:themeColor="text1"/>
          <w:sz w:val="28"/>
          <w:szCs w:val="28"/>
          <w:highlight w:val="none"/>
          <w14:textFill>
            <w14:solidFill>
              <w14:schemeClr w14:val="tx1"/>
            </w14:solidFill>
          </w14:textFill>
        </w:rPr>
        <w:t>14.试验和检验</w:t>
      </w:r>
      <w:bookmarkEnd w:id="1430"/>
    </w:p>
    <w:p w14:paraId="207A3AF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补充第14.4款：</w:t>
      </w:r>
    </w:p>
    <w:p w14:paraId="0C99626A">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31" w:name="_Toc330406426"/>
      <w:bookmarkEnd w:id="1431"/>
      <w:bookmarkStart w:id="1432" w:name="_Toc393546485"/>
      <w:bookmarkEnd w:id="1432"/>
      <w:bookmarkStart w:id="1433" w:name="_Toc386467231"/>
      <w:bookmarkEnd w:id="1433"/>
      <w:bookmarkStart w:id="1434" w:name="_Toc453057145"/>
      <w:bookmarkEnd w:id="1434"/>
      <w:bookmarkStart w:id="1435" w:name="_Toc451261335"/>
      <w:bookmarkEnd w:id="1435"/>
      <w:bookmarkStart w:id="1436" w:name="_Toc13416"/>
      <w:r>
        <w:rPr>
          <w:rFonts w:hint="eastAsia" w:ascii="宋体" w:hAnsi="宋体" w:cs="宋体"/>
          <w:color w:val="000000" w:themeColor="text1"/>
          <w:sz w:val="24"/>
          <w:szCs w:val="24"/>
          <w:highlight w:val="none"/>
          <w14:textFill>
            <w14:solidFill>
              <w14:schemeClr w14:val="tx1"/>
            </w14:solidFill>
          </w14:textFill>
        </w:rPr>
        <w:t>14.4试验和检验费用</w:t>
      </w:r>
      <w:bookmarkEnd w:id="1436"/>
    </w:p>
    <w:p w14:paraId="59F4310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（1）承包人应负责提供合同和技术规范规定的试验和检验所需的全部样品，并承担其费用。</w:t>
      </w:r>
    </w:p>
    <w:p w14:paraId="1BC5D30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（2）在合同中明确规定的试验和检验，包括无须在工程量清单中单独列项和已在工程量清单中单独列项的试验和检验，其试验和检验的费用由承包人承担。</w:t>
      </w:r>
    </w:p>
    <w:p w14:paraId="4EAEA9A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如果监理人所要求做的试验和检验为合同未规定的或是在该材料或工程设备的制造、加工、制配场地以外的场地进行的，则检验结束后，如表明操作工艺或材料、工程设备未能符合合同规定，其费用应由承包人承担，否则，其费用应由发包人承担。</w:t>
      </w:r>
    </w:p>
    <w:p w14:paraId="1046AF39">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437" w:name="_Toc453057146"/>
      <w:bookmarkEnd w:id="1437"/>
      <w:bookmarkStart w:id="1438" w:name="_Toc451261336"/>
      <w:bookmarkEnd w:id="1438"/>
      <w:bookmarkStart w:id="1439" w:name="_Toc386467232"/>
      <w:bookmarkEnd w:id="1439"/>
      <w:bookmarkStart w:id="1440" w:name="_Toc330406427"/>
      <w:bookmarkEnd w:id="1440"/>
      <w:bookmarkStart w:id="1441" w:name="_Toc393546486"/>
      <w:bookmarkEnd w:id="1441"/>
      <w:bookmarkStart w:id="1442" w:name="_Toc30253"/>
      <w:r>
        <w:rPr>
          <w:rFonts w:hint="eastAsia" w:ascii="宋体" w:hAnsi="宋体" w:cs="宋体"/>
          <w:color w:val="000000" w:themeColor="text1"/>
          <w:sz w:val="28"/>
          <w:szCs w:val="28"/>
          <w:highlight w:val="none"/>
          <w14:textFill>
            <w14:solidFill>
              <w14:schemeClr w14:val="tx1"/>
            </w14:solidFill>
          </w14:textFill>
        </w:rPr>
        <w:t>15.变更</w:t>
      </w:r>
      <w:bookmarkEnd w:id="1442"/>
    </w:p>
    <w:p w14:paraId="09FBBAE9">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43" w:name="_Toc386467233"/>
      <w:bookmarkEnd w:id="1443"/>
      <w:bookmarkStart w:id="1444" w:name="_Toc451261337"/>
      <w:bookmarkEnd w:id="1444"/>
      <w:bookmarkStart w:id="1445" w:name="_Toc453057147"/>
      <w:bookmarkEnd w:id="1445"/>
      <w:bookmarkStart w:id="1446" w:name="_Toc393546487"/>
      <w:bookmarkEnd w:id="1446"/>
      <w:bookmarkStart w:id="1447" w:name="_Toc330406428"/>
      <w:bookmarkEnd w:id="1447"/>
      <w:bookmarkStart w:id="1448" w:name="_Toc11296"/>
      <w:r>
        <w:rPr>
          <w:rFonts w:hint="eastAsia" w:ascii="宋体" w:hAnsi="宋体" w:cs="宋体"/>
          <w:color w:val="000000" w:themeColor="text1"/>
          <w:sz w:val="24"/>
          <w:szCs w:val="24"/>
          <w:highlight w:val="none"/>
          <w14:textFill>
            <w14:solidFill>
              <w14:schemeClr w14:val="tx1"/>
            </w14:solidFill>
          </w14:textFill>
        </w:rPr>
        <w:t>15.1变更的范围和内容</w:t>
      </w:r>
      <w:bookmarkEnd w:id="1448"/>
    </w:p>
    <w:p w14:paraId="12D56B2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本款第（1）项细化为：</w:t>
      </w:r>
    </w:p>
    <w:p w14:paraId="5DCA09C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（1）取消合同中任何一项工作，但被取消的工作不能转由发包人或其他人实施，由于承包人违约造成的情况除外；</w:t>
      </w:r>
    </w:p>
    <w:p w14:paraId="76276B3B">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49" w:name="_Toc330406429"/>
      <w:bookmarkEnd w:id="1449"/>
      <w:bookmarkStart w:id="1450" w:name="_Toc393546488"/>
      <w:bookmarkEnd w:id="1450"/>
      <w:bookmarkStart w:id="1451" w:name="_Toc451261338"/>
      <w:bookmarkEnd w:id="1451"/>
      <w:bookmarkStart w:id="1452" w:name="_Toc386467234"/>
      <w:bookmarkEnd w:id="1452"/>
      <w:bookmarkStart w:id="1453" w:name="_Toc453057148"/>
      <w:bookmarkEnd w:id="1453"/>
      <w:bookmarkStart w:id="1454" w:name="_Toc7019"/>
      <w:r>
        <w:rPr>
          <w:rFonts w:hint="eastAsia" w:ascii="宋体" w:hAnsi="宋体" w:cs="宋体"/>
          <w:color w:val="000000" w:themeColor="text1"/>
          <w:sz w:val="24"/>
          <w:szCs w:val="24"/>
          <w:highlight w:val="none"/>
          <w14:textFill>
            <w14:solidFill>
              <w14:schemeClr w14:val="tx1"/>
            </w14:solidFill>
          </w14:textFill>
        </w:rPr>
        <w:t>15.3变更程序</w:t>
      </w:r>
      <w:bookmarkEnd w:id="1454"/>
    </w:p>
    <w:p w14:paraId="242F476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本款补充第15.3.4项：</w:t>
      </w:r>
    </w:p>
    <w:p w14:paraId="705BD21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15.3.4设计变更程序应执行《公路工程设计变更管理办法》的相关规定。</w:t>
      </w:r>
    </w:p>
    <w:p w14:paraId="444A677E">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55" w:name="_Toc453057149"/>
      <w:bookmarkEnd w:id="1455"/>
      <w:bookmarkStart w:id="1456" w:name="_Toc386467235"/>
      <w:bookmarkEnd w:id="1456"/>
      <w:bookmarkStart w:id="1457" w:name="_Toc393546489"/>
      <w:bookmarkEnd w:id="1457"/>
      <w:bookmarkStart w:id="1458" w:name="_Toc330406430"/>
      <w:bookmarkEnd w:id="1458"/>
      <w:bookmarkStart w:id="1459" w:name="_Toc451261339"/>
      <w:bookmarkEnd w:id="1459"/>
      <w:bookmarkStart w:id="1460" w:name="_Toc20814"/>
      <w:r>
        <w:rPr>
          <w:rFonts w:hint="eastAsia" w:ascii="宋体" w:hAnsi="宋体" w:cs="宋体"/>
          <w:color w:val="000000" w:themeColor="text1"/>
          <w:sz w:val="24"/>
          <w:szCs w:val="24"/>
          <w:highlight w:val="none"/>
          <w14:textFill>
            <w14:solidFill>
              <w14:schemeClr w14:val="tx1"/>
            </w14:solidFill>
          </w14:textFill>
        </w:rPr>
        <w:t>15.4变更的估价原则</w:t>
      </w:r>
      <w:bookmarkEnd w:id="1460"/>
    </w:p>
    <w:p w14:paraId="37F2C66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61A427F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除项目专用合同条款另有约定外，因变更引起的价格调整按照本款约定处理。</w:t>
      </w:r>
    </w:p>
    <w:p w14:paraId="0C9D90C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15.4.1如果取消某项工作，则该项工作的总额价不予以支付；</w:t>
      </w:r>
    </w:p>
    <w:p w14:paraId="070454D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15.4.2已标价工程量清单中有适用于变更工作的子目的，采用该子目的单价。</w:t>
      </w:r>
    </w:p>
    <w:p w14:paraId="0178099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15.4.3已标价工程量清单中无适用于变更工作的子目，但有类似子目的，可在合理范围内参照类似子目的单价，由监理人按第3.5款商定或确定变更工作的单价。</w:t>
      </w:r>
    </w:p>
    <w:p w14:paraId="3CB714F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15.4.4已标价工程量清单中无适用或类似子目的单价，可在综合考虑承包人在投标时所提供的单价分析表的基础上，由监理人按第3.5款商定或确定变更工作的单价。</w:t>
      </w:r>
    </w:p>
    <w:p w14:paraId="36CC757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15.4.5如果本工程的变更指示是因承包人过错、承包人违反合同或承包人责任造成的，则这种违约引起的任何额外费用应由承包人承担。</w:t>
      </w:r>
    </w:p>
    <w:p w14:paraId="12DF1C5B">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61" w:name="_Toc393546490"/>
      <w:bookmarkEnd w:id="1461"/>
      <w:bookmarkStart w:id="1462" w:name="_Toc386467236"/>
      <w:bookmarkEnd w:id="1462"/>
      <w:bookmarkStart w:id="1463" w:name="_Toc330406431"/>
      <w:bookmarkEnd w:id="1463"/>
      <w:bookmarkStart w:id="1464" w:name="_Toc451261340"/>
      <w:bookmarkEnd w:id="1464"/>
      <w:bookmarkStart w:id="1465" w:name="_Toc453057150"/>
      <w:bookmarkEnd w:id="1465"/>
      <w:bookmarkStart w:id="1466" w:name="_Toc16074"/>
      <w:r>
        <w:rPr>
          <w:rFonts w:hint="eastAsia" w:ascii="宋体" w:hAnsi="宋体" w:cs="宋体"/>
          <w:color w:val="000000" w:themeColor="text1"/>
          <w:sz w:val="24"/>
          <w:szCs w:val="24"/>
          <w:highlight w:val="none"/>
          <w14:textFill>
            <w14:solidFill>
              <w14:schemeClr w14:val="tx1"/>
            </w14:solidFill>
          </w14:textFill>
        </w:rPr>
        <w:t>15.5承包人的合理化建议</w:t>
      </w:r>
      <w:bookmarkEnd w:id="1466"/>
    </w:p>
    <w:p w14:paraId="196B23D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第15.5.2项约定为：</w:t>
      </w:r>
    </w:p>
    <w:p w14:paraId="25F5975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承包人提出的合理化建议缩短了工期，发包人按第11.6款的规定给予奖励。</w:t>
      </w:r>
    </w:p>
    <w:p w14:paraId="3DC292A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承包人提出的合理化建议降低了合同价格或者提高了工程经济效益的，发包人按项目专用合同条款数据表中规定的金额给予奖励。</w:t>
      </w:r>
    </w:p>
    <w:p w14:paraId="226AD28D">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67" w:name="_Toc453057151"/>
      <w:bookmarkEnd w:id="1467"/>
      <w:bookmarkStart w:id="1468" w:name="_Toc451261341"/>
      <w:bookmarkEnd w:id="1468"/>
      <w:bookmarkStart w:id="1469" w:name="_Toc330406432"/>
      <w:bookmarkEnd w:id="1469"/>
      <w:bookmarkStart w:id="1470" w:name="_Toc393546491"/>
      <w:bookmarkEnd w:id="1470"/>
      <w:bookmarkStart w:id="1471" w:name="_Toc386467237"/>
      <w:bookmarkEnd w:id="1471"/>
      <w:bookmarkStart w:id="1472" w:name="_Toc14745"/>
      <w:r>
        <w:rPr>
          <w:rFonts w:hint="eastAsia" w:ascii="宋体" w:hAnsi="宋体" w:cs="宋体"/>
          <w:color w:val="000000" w:themeColor="text1"/>
          <w:sz w:val="24"/>
          <w:szCs w:val="24"/>
          <w:highlight w:val="none"/>
          <w14:textFill>
            <w14:solidFill>
              <w14:schemeClr w14:val="tx1"/>
            </w14:solidFill>
          </w14:textFill>
        </w:rPr>
        <w:t>15.6暂列金额</w:t>
      </w:r>
      <w:bookmarkEnd w:id="1472"/>
    </w:p>
    <w:p w14:paraId="5AFA4B1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4935FA3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15.6.l暂列金额应由监理人报发包人批准后指令全部或部分地使用，或者根本不予动用。</w:t>
      </w:r>
    </w:p>
    <w:p w14:paraId="44F33AB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15.6.2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275C2F8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15.6.3当监理人提出要求时，承包人应提供有关暂列金额支出的所有报价单、发票、凭证和账单或收据，除非该工作是根据已标价工程量清单列明的单价或总额价进行的估价。</w:t>
      </w:r>
    </w:p>
    <w:p w14:paraId="44F3C144">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473" w:name="_Toc386467238"/>
      <w:bookmarkEnd w:id="1473"/>
      <w:bookmarkStart w:id="1474" w:name="_Toc451261342"/>
      <w:bookmarkEnd w:id="1474"/>
      <w:bookmarkStart w:id="1475" w:name="_Toc393546492"/>
      <w:bookmarkEnd w:id="1475"/>
      <w:bookmarkStart w:id="1476" w:name="_Toc453057152"/>
      <w:bookmarkEnd w:id="1476"/>
      <w:bookmarkStart w:id="1477" w:name="_Toc330406433"/>
      <w:bookmarkEnd w:id="1477"/>
      <w:bookmarkStart w:id="1478" w:name="_Toc27989"/>
      <w:r>
        <w:rPr>
          <w:rFonts w:hint="eastAsia" w:ascii="宋体" w:hAnsi="宋体" w:cs="宋体"/>
          <w:color w:val="000000" w:themeColor="text1"/>
          <w:sz w:val="28"/>
          <w:szCs w:val="28"/>
          <w:highlight w:val="none"/>
          <w14:textFill>
            <w14:solidFill>
              <w14:schemeClr w14:val="tx1"/>
            </w14:solidFill>
          </w14:textFill>
        </w:rPr>
        <w:t>16.价格调整</w:t>
      </w:r>
      <w:bookmarkEnd w:id="1478"/>
    </w:p>
    <w:p w14:paraId="6E798CF2">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79" w:name="_Toc451261343"/>
      <w:bookmarkEnd w:id="1479"/>
      <w:bookmarkStart w:id="1480" w:name="_Toc330406434"/>
      <w:bookmarkEnd w:id="1480"/>
      <w:bookmarkStart w:id="1481" w:name="_Toc393546493"/>
      <w:bookmarkEnd w:id="1481"/>
      <w:bookmarkStart w:id="1482" w:name="_Toc386467239"/>
      <w:bookmarkEnd w:id="1482"/>
      <w:bookmarkStart w:id="1483" w:name="_Toc453057153"/>
      <w:bookmarkEnd w:id="1483"/>
      <w:bookmarkStart w:id="1484" w:name="_Toc20629"/>
      <w:r>
        <w:rPr>
          <w:rFonts w:hint="eastAsia" w:ascii="宋体" w:hAnsi="宋体" w:cs="宋体"/>
          <w:color w:val="000000" w:themeColor="text1"/>
          <w:sz w:val="24"/>
          <w:szCs w:val="24"/>
          <w:highlight w:val="none"/>
          <w14:textFill>
            <w14:solidFill>
              <w14:schemeClr w14:val="tx1"/>
            </w14:solidFill>
          </w14:textFill>
        </w:rPr>
        <w:t>16.1物价波动引起的价格调整</w:t>
      </w:r>
      <w:bookmarkEnd w:id="1484"/>
    </w:p>
    <w:p w14:paraId="086E6D1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本款约定为：</w:t>
      </w:r>
    </w:p>
    <w:p w14:paraId="25EE89F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（1）除项目专用合同条款另有约定外，因物价波动引起的价格调整应按项目专用合同条款数据表的规定，按照第16.1.1项或第16.1.2项约定的原则处理；或者</w:t>
      </w:r>
    </w:p>
    <w:p w14:paraId="3EB0B7C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（2）在合同执行期间（包括工期拖延期间），由于人工、材料和设备价格的上涨而引起工程施工成本增加的风险由承包人自行承担，合同价格不会因此而调整。</w:t>
      </w:r>
    </w:p>
    <w:p w14:paraId="368E767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16.1.1采用价格指数调整价格差额</w:t>
      </w:r>
    </w:p>
    <w:p w14:paraId="20868E8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16.1.1价格调整公式</w:t>
      </w:r>
    </w:p>
    <w:p w14:paraId="6DCB48F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价格调整公式后增加备注如下：</w:t>
      </w:r>
    </w:p>
    <w:p w14:paraId="654BB3D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式中，</w:t>
      </w:r>
      <w:r>
        <w:rPr>
          <w:rFonts w:hint="eastAsia" w:ascii="宋体" w:hAnsi="宋体" w:cs="宋体"/>
          <w:i/>
          <w:color w:val="000000" w:themeColor="text1"/>
          <w:sz w:val="24"/>
          <w:highlight w:val="none"/>
          <w14:textFill>
            <w14:solidFill>
              <w14:schemeClr w14:val="tx1"/>
            </w14:solidFill>
          </w14:textFill>
        </w:rPr>
        <w:t>A</w:t>
      </w:r>
      <w:r>
        <w:rPr>
          <w:rFonts w:hint="eastAsia" w:ascii="宋体" w:hAnsi="宋体" w:cs="宋体"/>
          <w:color w:val="000000" w:themeColor="text1"/>
          <w:sz w:val="24"/>
          <w:highlight w:val="none"/>
          <w14:textFill>
            <w14:solidFill>
              <w14:schemeClr w14:val="tx1"/>
            </w14:solidFill>
          </w14:textFill>
        </w:rPr>
        <w:t xml:space="preserve"> ＝ 1 － （</w:t>
      </w:r>
      <w:r>
        <w:rPr>
          <w:rFonts w:hint="eastAsia" w:ascii="宋体" w:hAnsi="宋体" w:cs="宋体"/>
          <w:i/>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vertAlign w:val="subscript"/>
          <w14:textFill>
            <w14:solidFill>
              <w14:schemeClr w14:val="tx1"/>
            </w14:solidFill>
          </w14:textFill>
        </w:rPr>
        <w:t xml:space="preserve">1 </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i/>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vertAlign w:val="subscript"/>
          <w14:textFill>
            <w14:solidFill>
              <w14:schemeClr w14:val="tx1"/>
            </w14:solidFill>
          </w14:textFill>
        </w:rPr>
        <w:t xml:space="preserve">2 </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i/>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vertAlign w:val="subscript"/>
          <w14:textFill>
            <w14:solidFill>
              <w14:schemeClr w14:val="tx1"/>
            </w14:solidFill>
          </w14:textFill>
        </w:rPr>
        <w:t xml:space="preserve">3 </w:t>
      </w:r>
      <w:r>
        <w:rPr>
          <w:rFonts w:hint="eastAsia" w:ascii="宋体" w:hAnsi="宋体" w:cs="宋体"/>
          <w:color w:val="000000" w:themeColor="text1"/>
          <w:sz w:val="24"/>
          <w:highlight w:val="none"/>
          <w14:textFill>
            <w14:solidFill>
              <w14:schemeClr w14:val="tx1"/>
            </w14:solidFill>
          </w14:textFill>
        </w:rPr>
        <w:t xml:space="preserve">＋ ... ＋ </w:t>
      </w:r>
      <w:r>
        <w:rPr>
          <w:rFonts w:hint="eastAsia" w:ascii="宋体" w:hAnsi="宋体" w:cs="宋体"/>
          <w:i/>
          <w:color w:val="000000" w:themeColor="text1"/>
          <w:sz w:val="24"/>
          <w:highlight w:val="none"/>
          <w14:textFill>
            <w14:solidFill>
              <w14:schemeClr w14:val="tx1"/>
            </w14:solidFill>
          </w14:textFill>
        </w:rPr>
        <w:t>B</w:t>
      </w:r>
      <w:r>
        <w:rPr>
          <w:rFonts w:hint="eastAsia" w:ascii="宋体" w:hAnsi="宋体" w:cs="宋体"/>
          <w:color w:val="000000" w:themeColor="text1"/>
          <w:sz w:val="24"/>
          <w:highlight w:val="none"/>
          <w:vertAlign w:val="subscript"/>
          <w14:textFill>
            <w14:solidFill>
              <w14:schemeClr w14:val="tx1"/>
            </w14:solidFill>
          </w14:textFill>
        </w:rPr>
        <w:t xml:space="preserve">n </w:t>
      </w:r>
      <w:r>
        <w:rPr>
          <w:rFonts w:hint="eastAsia" w:ascii="宋体" w:hAnsi="宋体" w:cs="宋体"/>
          <w:color w:val="000000" w:themeColor="text1"/>
          <w:sz w:val="24"/>
          <w:highlight w:val="none"/>
          <w14:textFill>
            <w14:solidFill>
              <w14:schemeClr w14:val="tx1"/>
            </w14:solidFill>
          </w14:textFill>
        </w:rPr>
        <w:t>）</w:t>
      </w:r>
    </w:p>
    <w:p w14:paraId="4B13451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本目最后一段文字细化为：</w:t>
      </w:r>
    </w:p>
    <w:p w14:paraId="4CB093FD">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在采用价格调整公式进行调价时，还应遵守以下规定：</w:t>
      </w:r>
    </w:p>
    <w:p w14:paraId="0901704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593C447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769BCD93">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485" w:name="_Toc386467240"/>
      <w:bookmarkEnd w:id="1485"/>
      <w:bookmarkStart w:id="1486" w:name="_Toc451261344"/>
      <w:bookmarkEnd w:id="1486"/>
      <w:bookmarkStart w:id="1487" w:name="_Toc453057154"/>
      <w:bookmarkEnd w:id="1487"/>
      <w:bookmarkStart w:id="1488" w:name="_Toc330406435"/>
      <w:bookmarkEnd w:id="1488"/>
      <w:bookmarkStart w:id="1489" w:name="_Toc393546494"/>
      <w:bookmarkEnd w:id="1489"/>
      <w:bookmarkStart w:id="1490" w:name="_Toc22844"/>
      <w:r>
        <w:rPr>
          <w:rFonts w:hint="eastAsia" w:ascii="宋体" w:hAnsi="宋体" w:cs="宋体"/>
          <w:color w:val="000000" w:themeColor="text1"/>
          <w:sz w:val="28"/>
          <w:szCs w:val="28"/>
          <w:highlight w:val="none"/>
          <w14:textFill>
            <w14:solidFill>
              <w14:schemeClr w14:val="tx1"/>
            </w14:solidFill>
          </w14:textFill>
        </w:rPr>
        <w:t>17.计量与支付</w:t>
      </w:r>
      <w:bookmarkEnd w:id="1490"/>
    </w:p>
    <w:p w14:paraId="36D307C9">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91" w:name="_Toc453057155"/>
      <w:bookmarkEnd w:id="1491"/>
      <w:bookmarkStart w:id="1492" w:name="_Toc386467241"/>
      <w:bookmarkEnd w:id="1492"/>
      <w:bookmarkStart w:id="1493" w:name="_Toc330406436"/>
      <w:bookmarkEnd w:id="1493"/>
      <w:bookmarkStart w:id="1494" w:name="_Toc451261345"/>
      <w:bookmarkEnd w:id="1494"/>
      <w:bookmarkStart w:id="1495" w:name="_Toc393546495"/>
      <w:bookmarkEnd w:id="1495"/>
      <w:bookmarkStart w:id="1496" w:name="_Toc21406"/>
      <w:r>
        <w:rPr>
          <w:rFonts w:hint="eastAsia" w:ascii="宋体" w:hAnsi="宋体" w:cs="宋体"/>
          <w:color w:val="000000" w:themeColor="text1"/>
          <w:sz w:val="24"/>
          <w:szCs w:val="24"/>
          <w:highlight w:val="none"/>
          <w14:textFill>
            <w14:solidFill>
              <w14:schemeClr w14:val="tx1"/>
            </w14:solidFill>
          </w14:textFill>
        </w:rPr>
        <w:t>17.1计量</w:t>
      </w:r>
      <w:bookmarkEnd w:id="1496"/>
    </w:p>
    <w:p w14:paraId="52B53433">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17.1.2计量方法</w:t>
      </w:r>
    </w:p>
    <w:p w14:paraId="04982AD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本项约定为：</w:t>
      </w:r>
    </w:p>
    <w:p w14:paraId="68E4577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工程的计量应以净值为准，除非项目专用合同条款另有约定。工程量清单中各个子目的具体计量方法按本合同文件技术标准中的规定执行。</w:t>
      </w:r>
    </w:p>
    <w:p w14:paraId="44F52111">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17.1.4单价子目的计量</w:t>
      </w:r>
    </w:p>
    <w:p w14:paraId="1003416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60315D1B">
      <w:pPr>
        <w:numPr>
          <w:ilvl w:val="0"/>
          <w:numId w:val="14"/>
        </w:num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承包人未在已标价工程量清单中填入单价或总额价的工程子目，将被认为其已包含在本合同的其他子目的单价和总额价中，发包人将不另行支付。</w:t>
      </w:r>
    </w:p>
    <w:p w14:paraId="53862DEE">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17.1.5总价子目的计量</w:t>
      </w:r>
    </w:p>
    <w:p w14:paraId="390343F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525AEAB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本项目工程量清单中要求承包人以“总额”方式报价的子目，各子目的支付原则和支付进度按项目专用合同条款的规定执行。</w:t>
      </w:r>
    </w:p>
    <w:p w14:paraId="1A75A792">
      <w:pPr>
        <w:spacing w:line="400" w:lineRule="exact"/>
        <w:ind w:left="420" w:leftChars="200"/>
        <w:rPr>
          <w:rFonts w:ascii="宋体" w:hAnsi="宋体" w:cs="宋体"/>
          <w:color w:val="000000" w:themeColor="text1"/>
          <w:sz w:val="24"/>
          <w:highlight w:val="none"/>
          <w14:textFill>
            <w14:solidFill>
              <w14:schemeClr w14:val="tx1"/>
            </w14:solidFill>
          </w14:textFill>
        </w:rPr>
      </w:pPr>
    </w:p>
    <w:p w14:paraId="5C082A12">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497" w:name="_Toc453057156"/>
      <w:bookmarkEnd w:id="1497"/>
      <w:bookmarkStart w:id="1498" w:name="_Toc330406437"/>
      <w:bookmarkEnd w:id="1498"/>
      <w:bookmarkStart w:id="1499" w:name="_Toc393546496"/>
      <w:bookmarkEnd w:id="1499"/>
      <w:bookmarkStart w:id="1500" w:name="_Toc386467242"/>
      <w:bookmarkEnd w:id="1500"/>
      <w:bookmarkStart w:id="1501" w:name="_Toc451261346"/>
      <w:bookmarkEnd w:id="1501"/>
      <w:bookmarkStart w:id="1502" w:name="_Toc3234"/>
      <w:r>
        <w:rPr>
          <w:rFonts w:hint="eastAsia" w:ascii="宋体" w:hAnsi="宋体" w:cs="宋体"/>
          <w:color w:val="000000" w:themeColor="text1"/>
          <w:sz w:val="24"/>
          <w:szCs w:val="24"/>
          <w:highlight w:val="none"/>
          <w14:textFill>
            <w14:solidFill>
              <w14:schemeClr w14:val="tx1"/>
            </w14:solidFill>
          </w14:textFill>
        </w:rPr>
        <w:t>17.2预付款</w:t>
      </w:r>
      <w:bookmarkEnd w:id="1502"/>
    </w:p>
    <w:p w14:paraId="1061ACB4">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17.2.1预付款</w:t>
      </w:r>
    </w:p>
    <w:p w14:paraId="52494F5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本项约定为：</w:t>
      </w:r>
    </w:p>
    <w:p w14:paraId="01C616C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预付款包括开工预付款和材料、设备预付款。具体额度和预付办法如下：</w:t>
      </w:r>
    </w:p>
    <w:p w14:paraId="187AD12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（1）开工预付款的金额在项目专用条款数据表中约定。在承包人签订了合同协议书且承包人承诺的主要设备进场后，监理人应在当期进度付款证书中向承包人支付开工预付款。</w:t>
      </w:r>
    </w:p>
    <w:p w14:paraId="0B629B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承包人不得将该预付款用于与本工程无关的支出，监理人有权监督承包人对该项费用的使用，如经查实承包人滥用开工预付款，发包人有权立即向银行索赔履约保证金，并解除合同。</w:t>
      </w:r>
    </w:p>
    <w:p w14:paraId="246A00A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（2）材料、设备预付款按项目专用合同条款数据表中所列主要材料、设备单据费用（进口的材料、设备为到岸价，国内采购的为出厂价或销售价，地方材料为堆场价）的百分比支付。其预付条件为：</w:t>
      </w:r>
    </w:p>
    <w:p w14:paraId="67EA83D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a.材料、设备符合规范要求并经监理人认可；</w:t>
      </w:r>
    </w:p>
    <w:p w14:paraId="45A43ED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b.承包人已出具材料、设备费用凭证或支付单据；</w:t>
      </w:r>
    </w:p>
    <w:p w14:paraId="656AAB8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c.材料、设备已在现场交货，且存储良好，监理人认为材料、设备的存储方法符合要求。</w:t>
      </w:r>
    </w:p>
    <w:p w14:paraId="19E0B1F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则监理人应将此项金额作为材料、设备预付款计入下一次的进度付款证书中。在预计交工前3个月，将不再支付材料、设备预付款。</w:t>
      </w:r>
    </w:p>
    <w:p w14:paraId="1094EFF6">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17.2.2预付款保函</w:t>
      </w:r>
    </w:p>
    <w:p w14:paraId="155CBC2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33F39F6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承包人无须向发包人提交预付款保函。发包人向承包人支付的预付款，应按照本合同第17.2.1项规定使用，承包人提交的履约保证金对预付款的正常使用承担保证责任。</w:t>
      </w:r>
    </w:p>
    <w:p w14:paraId="1DAB3805">
      <w:pPr>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17.2.3预付款的扣回与还清</w:t>
      </w:r>
    </w:p>
    <w:p w14:paraId="5A384C3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本项约定为：</w:t>
      </w:r>
    </w:p>
    <w:p w14:paraId="292982F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l）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4623226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（2）当材料、设备已用于或安装在永久工程之中时，材料、设备预付款应从进度付款证书中扣回，扣回期不超过3个月。已经支付材料、设备预付款的材料、设备的所有权应属于发包人。</w:t>
      </w:r>
    </w:p>
    <w:p w14:paraId="65C909FC">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03" w:name="_Toc393546497"/>
      <w:bookmarkEnd w:id="1503"/>
      <w:bookmarkStart w:id="1504" w:name="_Toc330406438"/>
      <w:bookmarkEnd w:id="1504"/>
      <w:bookmarkStart w:id="1505" w:name="_Toc453057157"/>
      <w:bookmarkEnd w:id="1505"/>
      <w:bookmarkStart w:id="1506" w:name="_Toc386467243"/>
      <w:bookmarkEnd w:id="1506"/>
      <w:bookmarkStart w:id="1507" w:name="_Toc451261347"/>
      <w:bookmarkEnd w:id="1507"/>
      <w:bookmarkStart w:id="1508" w:name="_Toc31115"/>
      <w:r>
        <w:rPr>
          <w:rFonts w:hint="eastAsia" w:ascii="宋体" w:hAnsi="宋体" w:cs="宋体"/>
          <w:color w:val="000000" w:themeColor="text1"/>
          <w:sz w:val="24"/>
          <w:szCs w:val="24"/>
          <w:highlight w:val="none"/>
          <w14:textFill>
            <w14:solidFill>
              <w14:schemeClr w14:val="tx1"/>
            </w14:solidFill>
          </w14:textFill>
        </w:rPr>
        <w:t>17.3工程进度付款</w:t>
      </w:r>
      <w:bookmarkEnd w:id="1508"/>
    </w:p>
    <w:p w14:paraId="1694BBA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17.3.3进度付款证书和支付时间</w:t>
      </w:r>
    </w:p>
    <w:p w14:paraId="5D4ECAE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本项（1）目补充：</w:t>
      </w:r>
    </w:p>
    <w:p w14:paraId="67176CE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3541FBD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目细化为：</w:t>
      </w:r>
    </w:p>
    <w:p w14:paraId="4457C4C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发包人应在监理人收到进度付款申请单且承包人提交了合格的增值税专用发票 后的28天内，将进度应付款支付给承包人。</w:t>
      </w:r>
    </w:p>
    <w:p w14:paraId="5A5D8609">
      <w:pPr>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发包人不按期支付的，按项目专用合同条款数据表中约定的利率向承包人支付 逾期付款违约金。违约金计算基数为发包人的全部未付款额，时间从应付而未付该 款额之日算起（不计复利）。</w:t>
      </w:r>
    </w:p>
    <w:p w14:paraId="66556D0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本款补充第</w:t>
      </w:r>
      <w:r>
        <w:rPr>
          <w:rFonts w:hint="eastAsia" w:ascii="宋体" w:hAnsi="宋体" w:cs="宋体"/>
          <w:color w:val="000000" w:themeColor="text1"/>
          <w:sz w:val="24"/>
          <w:highlight w:val="none"/>
          <w14:textFill>
            <w14:solidFill>
              <w14:schemeClr w14:val="tx1"/>
            </w14:solidFill>
          </w14:textFill>
        </w:rPr>
        <w:t>17.3.5</w:t>
      </w:r>
      <w:r>
        <w:rPr>
          <w:rFonts w:hint="eastAsia" w:ascii="宋体" w:hAnsi="宋体" w:cs="宋体"/>
          <w:color w:val="000000" w:themeColor="text1"/>
          <w:sz w:val="24"/>
          <w:highlight w:val="none"/>
          <w:lang w:val="zh-CN"/>
          <w14:textFill>
            <w14:solidFill>
              <w14:schemeClr w14:val="tx1"/>
            </w14:solidFill>
          </w14:textFill>
        </w:rPr>
        <w:t>项：</w:t>
      </w:r>
    </w:p>
    <w:p w14:paraId="14DE6A2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17.3.5</w:t>
      </w:r>
      <w:r>
        <w:rPr>
          <w:rFonts w:hint="eastAsia" w:ascii="宋体" w:hAnsi="宋体" w:cs="宋体"/>
          <w:color w:val="000000" w:themeColor="text1"/>
          <w:sz w:val="24"/>
          <w:highlight w:val="none"/>
          <w:lang w:val="zh-CN"/>
          <w14:textFill>
            <w14:solidFill>
              <w14:schemeClr w14:val="tx1"/>
            </w14:solidFill>
          </w14:textFill>
        </w:rPr>
        <w:t>农民工工资保证金</w:t>
      </w:r>
    </w:p>
    <w:p w14:paraId="1105213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val="zh-CN"/>
          <w14:textFill>
            <w14:solidFill>
              <w14:schemeClr w14:val="tx1"/>
            </w14:solidFill>
          </w14:textFill>
        </w:rPr>
        <w:t>为确保施工过程中农民工工资实时、足额发放到位，承包人应按照项目专 用合同条款约定的时间和金额缴存农民工工资保证金。</w:t>
      </w:r>
    </w:p>
    <w:p w14:paraId="1339824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农民工工资保证金可采用银行保函或现金、支票形式。采用银行保函时，出具保函的银行须具有相应担保能力，且按照发包人批准的格式出具，所需费用由承包人承担。</w:t>
      </w:r>
    </w:p>
    <w:p w14:paraId="24035524">
      <w:pPr>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val="zh-CN"/>
          <w14:textFill>
            <w14:solidFill>
              <w14:schemeClr w14:val="tx1"/>
            </w14:solidFill>
          </w14:textFill>
        </w:rPr>
        <w:t>农民工工资保证金的扣留条件、返还时间按照项目专用合同条款的约定执 行。</w:t>
      </w:r>
    </w:p>
    <w:p w14:paraId="187319D3">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09" w:name="_Toc386467244"/>
      <w:bookmarkEnd w:id="1509"/>
      <w:bookmarkStart w:id="1510" w:name="_Toc453057158"/>
      <w:bookmarkEnd w:id="1510"/>
      <w:bookmarkStart w:id="1511" w:name="_Toc393546498"/>
      <w:bookmarkEnd w:id="1511"/>
      <w:bookmarkStart w:id="1512" w:name="_Toc330406439"/>
      <w:bookmarkEnd w:id="1512"/>
      <w:bookmarkStart w:id="1513" w:name="_Toc451261348"/>
      <w:bookmarkEnd w:id="1513"/>
      <w:bookmarkStart w:id="1514" w:name="_Toc31141"/>
      <w:r>
        <w:rPr>
          <w:rFonts w:hint="eastAsia" w:ascii="宋体" w:hAnsi="宋体" w:cs="宋体"/>
          <w:color w:val="000000" w:themeColor="text1"/>
          <w:sz w:val="24"/>
          <w:szCs w:val="24"/>
          <w:highlight w:val="none"/>
          <w14:textFill>
            <w14:solidFill>
              <w14:schemeClr w14:val="tx1"/>
            </w14:solidFill>
          </w14:textFill>
        </w:rPr>
        <w:t>17.4质量保证金</w:t>
      </w:r>
      <w:bookmarkEnd w:id="1514"/>
    </w:p>
    <w:p w14:paraId="6F6BBCE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第17.4.1、</w:t>
      </w:r>
      <w:r>
        <w:rPr>
          <w:rFonts w:hint="eastAsia" w:ascii="宋体" w:hAnsi="宋体" w:cs="宋体"/>
          <w:color w:val="000000" w:themeColor="text1"/>
          <w:sz w:val="24"/>
          <w:highlight w:val="none"/>
          <w14:textFill>
            <w14:solidFill>
              <w14:schemeClr w14:val="tx1"/>
            </w14:solidFill>
          </w14:textFill>
        </w:rPr>
        <w:t>17.4.2</w:t>
      </w:r>
      <w:r>
        <w:rPr>
          <w:rFonts w:hint="eastAsia" w:ascii="宋体" w:hAnsi="宋体" w:cs="宋体"/>
          <w:color w:val="000000" w:themeColor="text1"/>
          <w:sz w:val="24"/>
          <w:highlight w:val="none"/>
          <w:lang w:val="zh-CN"/>
          <w14:textFill>
            <w14:solidFill>
              <w14:schemeClr w14:val="tx1"/>
            </w14:solidFill>
          </w14:textFill>
        </w:rPr>
        <w:t>项细化为：</w:t>
      </w:r>
    </w:p>
    <w:p w14:paraId="67F37B4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17.4.1</w:t>
      </w:r>
      <w:r>
        <w:rPr>
          <w:rFonts w:hint="eastAsia" w:ascii="宋体" w:hAnsi="宋体" w:cs="宋体"/>
          <w:color w:val="000000" w:themeColor="text1"/>
          <w:sz w:val="24"/>
          <w:highlight w:val="none"/>
          <w:lang w:val="zh-CN"/>
          <w14:textFill>
            <w14:solidFill>
              <w14:schemeClr w14:val="tx1"/>
            </w14:solidFill>
          </w14:textFill>
        </w:rPr>
        <w:t>交工验收证书签发后14天内，承包人应向发包人缴纳质量保证金。质量 保证金可采用银行保函或现金、支票形式，金额应符合项目专用合同条款数据表的规定。采用银行保函时，出具保函的银行须具有相应担保能力，且按照发包人批准的格式出具，所需费用由承包人承担。</w:t>
      </w:r>
    </w:p>
    <w:p w14:paraId="49EC9CA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质量保证金采用现金、支票形式提交的，发包人应在项目专用合同条款数据表中明确是否计付利息以及利息的计算方式。</w:t>
      </w:r>
    </w:p>
    <w:p w14:paraId="2E46B60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17.4.2</w:t>
      </w:r>
      <w:r>
        <w:rPr>
          <w:rFonts w:hint="eastAsia" w:ascii="宋体" w:hAnsi="宋体" w:cs="宋体"/>
          <w:color w:val="000000" w:themeColor="text1"/>
          <w:sz w:val="24"/>
          <w:highlight w:val="none"/>
          <w:lang w:val="zh-CN"/>
          <w14:textFill>
            <w14:solidFill>
              <w14:schemeClr w14:val="tx1"/>
            </w14:solidFill>
          </w14:textFill>
        </w:rPr>
        <w:t>在第</w:t>
      </w:r>
      <w:r>
        <w:rPr>
          <w:rFonts w:hint="eastAsia" w:ascii="宋体" w:hAnsi="宋体" w:cs="宋体"/>
          <w:color w:val="000000" w:themeColor="text1"/>
          <w:sz w:val="24"/>
          <w:highlight w:val="none"/>
          <w14:textFill>
            <w14:solidFill>
              <w14:schemeClr w14:val="tx1"/>
            </w14:solidFill>
          </w14:textFill>
        </w:rPr>
        <w:t>1.1.4.5</w:t>
      </w:r>
      <w:r>
        <w:rPr>
          <w:rFonts w:hint="eastAsia" w:ascii="宋体" w:hAnsi="宋体" w:cs="宋体"/>
          <w:color w:val="000000" w:themeColor="text1"/>
          <w:sz w:val="24"/>
          <w:highlight w:val="none"/>
          <w:lang w:val="zh-CN"/>
          <w14:textFill>
            <w14:solidFill>
              <w14:schemeClr w14:val="tx1"/>
            </w14:solidFill>
          </w14:textFill>
        </w:rPr>
        <w:t>目约定的缺陷责任期满，且质量监督机构己按规定对工程质 量检测鉴定合格，承包人向发包人申请到期应返还承包人剩余的质量保证金金额， 发包人应在14天内会同承包人按照合同约定的内容核实承包人是否完成缺陷责任。 如无异议，发包人应当在核实后将剩余保证金返还承包人。</w:t>
      </w:r>
    </w:p>
    <w:p w14:paraId="6CDA9875">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15" w:name="_Toc451261349"/>
      <w:bookmarkEnd w:id="1515"/>
      <w:bookmarkStart w:id="1516" w:name="_Toc453057159"/>
      <w:bookmarkEnd w:id="1516"/>
      <w:bookmarkStart w:id="1517" w:name="_Toc386467245"/>
      <w:bookmarkEnd w:id="1517"/>
      <w:bookmarkStart w:id="1518" w:name="_Toc393546499"/>
      <w:bookmarkEnd w:id="1518"/>
      <w:bookmarkStart w:id="1519" w:name="_Toc330406440"/>
      <w:bookmarkEnd w:id="1519"/>
      <w:bookmarkStart w:id="1520" w:name="_Toc14538"/>
      <w:r>
        <w:rPr>
          <w:rFonts w:hint="eastAsia" w:ascii="宋体" w:hAnsi="宋体" w:cs="宋体"/>
          <w:color w:val="000000" w:themeColor="text1"/>
          <w:sz w:val="24"/>
          <w:szCs w:val="24"/>
          <w:highlight w:val="none"/>
          <w14:textFill>
            <w14:solidFill>
              <w14:schemeClr w14:val="tx1"/>
            </w14:solidFill>
          </w14:textFill>
        </w:rPr>
        <w:t>17.5交工结算</w:t>
      </w:r>
      <w:bookmarkEnd w:id="1520"/>
    </w:p>
    <w:p w14:paraId="1F806D61">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17.5.l交工付款申请单</w:t>
      </w:r>
    </w:p>
    <w:p w14:paraId="7113578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本项（l）目约定为：</w:t>
      </w:r>
    </w:p>
    <w:p w14:paraId="01E2F6D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承包人向监理人提交交工付款申请单（包括相关证明材料）的份数在项目专用合同条款数据表中约定；期限：交工验收证书签发后42天内。</w:t>
      </w:r>
    </w:p>
    <w:p w14:paraId="6612BB62">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17.5.2</w:t>
      </w:r>
      <w:r>
        <w:rPr>
          <w:rFonts w:hint="eastAsia" w:ascii="宋体" w:hAnsi="宋体" w:cs="宋体"/>
          <w:b/>
          <w:bCs/>
          <w:color w:val="000000" w:themeColor="text1"/>
          <w:sz w:val="24"/>
          <w:highlight w:val="none"/>
          <w:lang w:val="zh-CN"/>
          <w14:textFill>
            <w14:solidFill>
              <w14:schemeClr w14:val="tx1"/>
            </w14:solidFill>
          </w14:textFill>
        </w:rPr>
        <w:t>交工付款证书及支付时间</w:t>
      </w:r>
    </w:p>
    <w:p w14:paraId="73A65CA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目细化为：</w:t>
      </w:r>
    </w:p>
    <w:p w14:paraId="4124800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发包人应在监理人出具交工付款证书且承包人提交了合格的增值税专用发票后 的14天内，将应支付款支付给承包人。发包人不按期支付的，按第</w:t>
      </w:r>
      <w:r>
        <w:rPr>
          <w:rFonts w:hint="eastAsia" w:ascii="宋体" w:hAnsi="宋体" w:cs="宋体"/>
          <w:color w:val="000000" w:themeColor="text1"/>
          <w:sz w:val="24"/>
          <w:highlight w:val="none"/>
          <w14:textFill>
            <w14:solidFill>
              <w14:schemeClr w14:val="tx1"/>
            </w14:solidFill>
          </w14:textFill>
        </w:rPr>
        <w:t>17.3.3 （2）</w:t>
      </w:r>
      <w:r>
        <w:rPr>
          <w:rFonts w:hint="eastAsia" w:ascii="宋体" w:hAnsi="宋体" w:cs="宋体"/>
          <w:color w:val="000000" w:themeColor="text1"/>
          <w:sz w:val="24"/>
          <w:highlight w:val="none"/>
          <w:lang w:val="zh-CN"/>
          <w14:textFill>
            <w14:solidFill>
              <w14:schemeClr w14:val="tx1"/>
            </w14:solidFill>
          </w14:textFill>
        </w:rPr>
        <w:t>目 的约定，将逾期付款违约金支付给承包人。</w:t>
      </w:r>
    </w:p>
    <w:p w14:paraId="14C14F2D">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21" w:name="_Toc330406441"/>
      <w:bookmarkEnd w:id="1521"/>
      <w:bookmarkStart w:id="1522" w:name="_Toc453057160"/>
      <w:bookmarkEnd w:id="1522"/>
      <w:bookmarkStart w:id="1523" w:name="_Toc386467246"/>
      <w:bookmarkEnd w:id="1523"/>
      <w:bookmarkStart w:id="1524" w:name="_Toc451261350"/>
      <w:bookmarkEnd w:id="1524"/>
      <w:bookmarkStart w:id="1525" w:name="_Toc393546500"/>
      <w:bookmarkEnd w:id="1525"/>
      <w:bookmarkStart w:id="1526" w:name="_Toc16687"/>
      <w:r>
        <w:rPr>
          <w:rFonts w:hint="eastAsia" w:ascii="宋体" w:hAnsi="宋体" w:cs="宋体"/>
          <w:color w:val="000000" w:themeColor="text1"/>
          <w:sz w:val="24"/>
          <w:szCs w:val="24"/>
          <w:highlight w:val="none"/>
          <w14:textFill>
            <w14:solidFill>
              <w14:schemeClr w14:val="tx1"/>
            </w14:solidFill>
          </w14:textFill>
        </w:rPr>
        <w:t>17.6最终结清</w:t>
      </w:r>
      <w:bookmarkEnd w:id="1526"/>
    </w:p>
    <w:p w14:paraId="28A2FE22">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17.6.1最终结清申请单</w:t>
      </w:r>
    </w:p>
    <w:p w14:paraId="2E26C3E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本项（1）目约定为：</w:t>
      </w:r>
    </w:p>
    <w:p w14:paraId="38C65B6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承包人向监理人提交最终结清申请单（包括相关证明材料）的份数在项目专用合同条款数据表中约定；期限：缺陷责任期终止证书签发后28天内。</w:t>
      </w:r>
    </w:p>
    <w:p w14:paraId="2B4EC83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最终结清申请单中的总金额应认为是代表了根据合同规定应付给承包人的全部款项的最后结算。</w:t>
      </w:r>
    </w:p>
    <w:p w14:paraId="628EE66C">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17.6.2</w:t>
      </w:r>
      <w:r>
        <w:rPr>
          <w:rFonts w:hint="eastAsia" w:ascii="宋体" w:hAnsi="宋体" w:cs="宋体"/>
          <w:b/>
          <w:bCs/>
          <w:color w:val="000000" w:themeColor="text1"/>
          <w:sz w:val="24"/>
          <w:highlight w:val="none"/>
          <w:lang w:val="zh-CN"/>
          <w14:textFill>
            <w14:solidFill>
              <w14:schemeClr w14:val="tx1"/>
            </w14:solidFill>
          </w14:textFill>
        </w:rPr>
        <w:t>最终结清证书和支付时间</w:t>
      </w:r>
    </w:p>
    <w:p w14:paraId="5AFEADA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w:t>
      </w: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目细化为：</w:t>
      </w:r>
    </w:p>
    <w:p w14:paraId="72C94BD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val="zh-CN"/>
          <w14:textFill>
            <w14:solidFill>
              <w14:schemeClr w14:val="tx1"/>
            </w14:solidFill>
          </w14:textFill>
        </w:rPr>
        <w:t>发包人应在监理人出具最终结清证书且承包人提交了合格的增值税专用发 票后的14天内，将应支付款支付给承包人。发包人不按期支付的，按第</w:t>
      </w:r>
      <w:r>
        <w:rPr>
          <w:rFonts w:hint="eastAsia" w:ascii="宋体" w:hAnsi="宋体" w:cs="宋体"/>
          <w:color w:val="000000" w:themeColor="text1"/>
          <w:sz w:val="24"/>
          <w:highlight w:val="none"/>
          <w14:textFill>
            <w14:solidFill>
              <w14:schemeClr w14:val="tx1"/>
            </w14:solidFill>
          </w14:textFill>
        </w:rPr>
        <w:t xml:space="preserve">17.3.3 （2） </w:t>
      </w:r>
      <w:r>
        <w:rPr>
          <w:rFonts w:hint="eastAsia" w:ascii="宋体" w:hAnsi="宋体" w:cs="宋体"/>
          <w:color w:val="000000" w:themeColor="text1"/>
          <w:sz w:val="24"/>
          <w:highlight w:val="none"/>
          <w:lang w:val="zh-CN"/>
          <w14:textFill>
            <w14:solidFill>
              <w14:schemeClr w14:val="tx1"/>
            </w14:solidFill>
          </w14:textFill>
        </w:rPr>
        <w:t>目的约定，将逾期付款违约金支付给承包人。</w:t>
      </w:r>
    </w:p>
    <w:p w14:paraId="2A8E623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3DF66593">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527" w:name="_Toc453057161"/>
      <w:bookmarkEnd w:id="1527"/>
      <w:bookmarkStart w:id="1528" w:name="_Toc386467247"/>
      <w:bookmarkEnd w:id="1528"/>
      <w:bookmarkStart w:id="1529" w:name="_Toc451261351"/>
      <w:bookmarkEnd w:id="1529"/>
      <w:bookmarkStart w:id="1530" w:name="_Toc330406442"/>
      <w:bookmarkEnd w:id="1530"/>
      <w:bookmarkStart w:id="1531" w:name="_Toc393546501"/>
      <w:bookmarkEnd w:id="1531"/>
      <w:bookmarkStart w:id="1532" w:name="_Toc2543"/>
      <w:r>
        <w:rPr>
          <w:rFonts w:hint="eastAsia" w:ascii="宋体" w:hAnsi="宋体" w:cs="宋体"/>
          <w:color w:val="000000" w:themeColor="text1"/>
          <w:sz w:val="28"/>
          <w:szCs w:val="28"/>
          <w:highlight w:val="none"/>
          <w14:textFill>
            <w14:solidFill>
              <w14:schemeClr w14:val="tx1"/>
            </w14:solidFill>
          </w14:textFill>
        </w:rPr>
        <w:t>18.交工验收</w:t>
      </w:r>
      <w:bookmarkEnd w:id="1532"/>
    </w:p>
    <w:p w14:paraId="6281E42D">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33" w:name="_Toc393546502"/>
      <w:bookmarkEnd w:id="1533"/>
      <w:bookmarkStart w:id="1534" w:name="_Toc386467248"/>
      <w:bookmarkEnd w:id="1534"/>
      <w:bookmarkStart w:id="1535" w:name="_Toc453057162"/>
      <w:bookmarkEnd w:id="1535"/>
      <w:bookmarkStart w:id="1536" w:name="_Toc451261352"/>
      <w:bookmarkEnd w:id="1536"/>
      <w:bookmarkStart w:id="1537" w:name="_Toc330406443"/>
      <w:bookmarkEnd w:id="1537"/>
      <w:bookmarkStart w:id="1538" w:name="_Toc12181"/>
      <w:r>
        <w:rPr>
          <w:rFonts w:hint="eastAsia" w:ascii="宋体" w:hAnsi="宋体" w:cs="宋体"/>
          <w:color w:val="000000" w:themeColor="text1"/>
          <w:sz w:val="24"/>
          <w:szCs w:val="24"/>
          <w:highlight w:val="none"/>
          <w14:textFill>
            <w14:solidFill>
              <w14:schemeClr w14:val="tx1"/>
            </w14:solidFill>
          </w14:textFill>
        </w:rPr>
        <w:t>18.2交工验收申请报告</w:t>
      </w:r>
      <w:bookmarkEnd w:id="1538"/>
    </w:p>
    <w:p w14:paraId="72153E2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本款第（2）项约定为：</w:t>
      </w:r>
    </w:p>
    <w:p w14:paraId="6953298C">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竣工资料的内容：承包人应按照《公路工程竣（交）工验收办法》和相关规定编制竣工资料。</w:t>
      </w:r>
    </w:p>
    <w:p w14:paraId="51DFECE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竣工资料的份数在项目专用合同条款数据表中约定。</w:t>
      </w:r>
    </w:p>
    <w:p w14:paraId="7423C078">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39" w:name="_Toc330406444"/>
      <w:bookmarkEnd w:id="1539"/>
      <w:bookmarkStart w:id="1540" w:name="_Toc393546503"/>
      <w:bookmarkEnd w:id="1540"/>
      <w:bookmarkStart w:id="1541" w:name="_Toc453057163"/>
      <w:bookmarkEnd w:id="1541"/>
      <w:bookmarkStart w:id="1542" w:name="_Toc451261353"/>
      <w:bookmarkEnd w:id="1542"/>
      <w:bookmarkStart w:id="1543" w:name="_Toc386467249"/>
      <w:bookmarkEnd w:id="1543"/>
      <w:bookmarkStart w:id="1544" w:name="_Toc3551"/>
      <w:r>
        <w:rPr>
          <w:rFonts w:hint="eastAsia" w:ascii="宋体" w:hAnsi="宋体" w:cs="宋体"/>
          <w:color w:val="000000" w:themeColor="text1"/>
          <w:sz w:val="24"/>
          <w:szCs w:val="24"/>
          <w:highlight w:val="none"/>
          <w14:textFill>
            <w14:solidFill>
              <w14:schemeClr w14:val="tx1"/>
            </w14:solidFill>
          </w14:textFill>
        </w:rPr>
        <w:t>18.3 验收</w:t>
      </w:r>
      <w:bookmarkEnd w:id="1544"/>
    </w:p>
    <w:p w14:paraId="77C620A5">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第18.3.2项补充：</w:t>
      </w:r>
    </w:p>
    <w:p w14:paraId="30085FD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工验收由发包人主持，由发包人、监理人、质监、设计、施工、运营、管理养护等有关部门代表组成交工验收小组，对本项目的工程质量进行评定，并写出交工验收报告报交通主管部门备案。承包人应按发包人的要求提交竣工资料，完成交工验收准备工作。</w:t>
      </w:r>
    </w:p>
    <w:p w14:paraId="51985716">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第18.3.5项约定为：</w:t>
      </w:r>
    </w:p>
    <w:p w14:paraId="5740491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经验收合格工程的实际交工日期，以最终提交交工验收申请报告的日期为准，并在交工验收证书中写明。</w:t>
      </w:r>
    </w:p>
    <w:p w14:paraId="2733950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本款补充第18.3.7项：</w:t>
      </w:r>
    </w:p>
    <w:p w14:paraId="371CECA1">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组织办理交工验收和签发交工验收证书的费用由发包人承担。但按照第18.3.4项规定达不到合格标准的交工验收费用由承包人承担。</w:t>
      </w:r>
    </w:p>
    <w:p w14:paraId="074228A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5265AC5B">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本条补充第18.9款：</w:t>
      </w:r>
    </w:p>
    <w:p w14:paraId="08D60C4E">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45" w:name="_Toc453057164"/>
      <w:bookmarkEnd w:id="1545"/>
      <w:bookmarkStart w:id="1546" w:name="_Toc393546504"/>
      <w:bookmarkEnd w:id="1546"/>
      <w:bookmarkStart w:id="1547" w:name="_Toc386467250"/>
      <w:bookmarkEnd w:id="1547"/>
      <w:bookmarkStart w:id="1548" w:name="_Toc330406445"/>
      <w:bookmarkEnd w:id="1548"/>
      <w:bookmarkStart w:id="1549" w:name="_Toc451261354"/>
      <w:bookmarkEnd w:id="1549"/>
      <w:bookmarkStart w:id="1550" w:name="_Toc22655"/>
      <w:r>
        <w:rPr>
          <w:rFonts w:hint="eastAsia" w:ascii="宋体" w:hAnsi="宋体" w:cs="宋体"/>
          <w:color w:val="000000" w:themeColor="text1"/>
          <w:sz w:val="24"/>
          <w:szCs w:val="24"/>
          <w:highlight w:val="none"/>
          <w14:textFill>
            <w14:solidFill>
              <w14:schemeClr w14:val="tx1"/>
            </w14:solidFill>
          </w14:textFill>
        </w:rPr>
        <w:t>18.9竣工文件</w:t>
      </w:r>
      <w:bookmarkEnd w:id="1550"/>
    </w:p>
    <w:p w14:paraId="7791D1E6">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承包人应按照《公路工程竣（交）工验收办法》中的相关规定，在缺陷责任期内为竣工验收补充竣工资料，并在签发缺陷责任期终止证书之前提交。</w:t>
      </w:r>
    </w:p>
    <w:p w14:paraId="523F673C">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551" w:name="_Toc386467251"/>
      <w:bookmarkEnd w:id="1551"/>
      <w:bookmarkStart w:id="1552" w:name="_Toc451261355"/>
      <w:bookmarkEnd w:id="1552"/>
      <w:bookmarkStart w:id="1553" w:name="_Toc453057165"/>
      <w:bookmarkEnd w:id="1553"/>
      <w:bookmarkStart w:id="1554" w:name="_Toc393546505"/>
      <w:bookmarkEnd w:id="1554"/>
      <w:bookmarkStart w:id="1555" w:name="_Toc330406446"/>
      <w:bookmarkEnd w:id="1555"/>
      <w:bookmarkStart w:id="1556" w:name="_Toc3730"/>
      <w:r>
        <w:rPr>
          <w:rFonts w:hint="eastAsia" w:ascii="宋体" w:hAnsi="宋体" w:cs="宋体"/>
          <w:color w:val="000000" w:themeColor="text1"/>
          <w:sz w:val="28"/>
          <w:szCs w:val="28"/>
          <w:highlight w:val="none"/>
          <w14:textFill>
            <w14:solidFill>
              <w14:schemeClr w14:val="tx1"/>
            </w14:solidFill>
          </w14:textFill>
        </w:rPr>
        <w:t>19.缺陷责任与保修责任</w:t>
      </w:r>
      <w:bookmarkEnd w:id="1556"/>
    </w:p>
    <w:p w14:paraId="379265D4">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57" w:name="_Toc453057166"/>
      <w:bookmarkEnd w:id="1557"/>
      <w:bookmarkStart w:id="1558" w:name="_Toc393546506"/>
      <w:bookmarkEnd w:id="1558"/>
      <w:bookmarkStart w:id="1559" w:name="_Toc330406447"/>
      <w:bookmarkEnd w:id="1559"/>
      <w:bookmarkStart w:id="1560" w:name="_Toc386467252"/>
      <w:bookmarkEnd w:id="1560"/>
      <w:bookmarkStart w:id="1561" w:name="_Toc451261356"/>
      <w:bookmarkEnd w:id="1561"/>
      <w:bookmarkStart w:id="1562" w:name="_Toc5935"/>
      <w:r>
        <w:rPr>
          <w:rFonts w:hint="eastAsia" w:ascii="宋体" w:hAnsi="宋体" w:cs="宋体"/>
          <w:color w:val="000000" w:themeColor="text1"/>
          <w:sz w:val="24"/>
          <w:szCs w:val="24"/>
          <w:highlight w:val="none"/>
          <w14:textFill>
            <w14:solidFill>
              <w14:schemeClr w14:val="tx1"/>
            </w14:solidFill>
          </w14:textFill>
        </w:rPr>
        <w:t>19.2缺陷责任</w:t>
      </w:r>
      <w:bookmarkEnd w:id="1562"/>
    </w:p>
    <w:p w14:paraId="35C9C5F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第19.2.2项补充：</w:t>
      </w:r>
    </w:p>
    <w:p w14:paraId="72914B1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在缺陷责任期内，承包人应尽快完成在交工验收证书中写明的未完成工作，并完成对本工程缺陷的修复或监理人指令的修补工作。</w:t>
      </w:r>
    </w:p>
    <w:p w14:paraId="7DABE473">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63" w:name="_Toc330406448"/>
      <w:bookmarkEnd w:id="1563"/>
      <w:bookmarkStart w:id="1564" w:name="_Toc451261357"/>
      <w:bookmarkEnd w:id="1564"/>
      <w:bookmarkStart w:id="1565" w:name="_Toc386467253"/>
      <w:bookmarkEnd w:id="1565"/>
      <w:bookmarkStart w:id="1566" w:name="_Toc393546507"/>
      <w:bookmarkEnd w:id="1566"/>
      <w:bookmarkStart w:id="1567" w:name="_Toc453057167"/>
      <w:bookmarkEnd w:id="1567"/>
      <w:bookmarkStart w:id="1568" w:name="_Toc30407"/>
      <w:r>
        <w:rPr>
          <w:rFonts w:hint="eastAsia" w:ascii="宋体" w:hAnsi="宋体" w:cs="宋体"/>
          <w:color w:val="000000" w:themeColor="text1"/>
          <w:sz w:val="24"/>
          <w:szCs w:val="24"/>
          <w:highlight w:val="none"/>
          <w14:textFill>
            <w14:solidFill>
              <w14:schemeClr w14:val="tx1"/>
            </w14:solidFill>
          </w14:textFill>
        </w:rPr>
        <w:t>19.5承包人的进入权</w:t>
      </w:r>
      <w:bookmarkEnd w:id="1568"/>
    </w:p>
    <w:p w14:paraId="5D0AFAD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0558F3A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承包人在缺陷修复施工过程中，应服从管养单位的有关安全管理规定，由于承包人自身原因造成的人员伤亡、设备和材料的损毁及罚款等责任由承包人自负。</w:t>
      </w:r>
    </w:p>
    <w:p w14:paraId="3642D81B">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69" w:name="_Toc453057168"/>
      <w:bookmarkEnd w:id="1569"/>
      <w:bookmarkStart w:id="1570" w:name="_Toc330406449"/>
      <w:bookmarkEnd w:id="1570"/>
      <w:bookmarkStart w:id="1571" w:name="_Toc451261358"/>
      <w:bookmarkEnd w:id="1571"/>
      <w:bookmarkStart w:id="1572" w:name="_Toc393546508"/>
      <w:bookmarkEnd w:id="1572"/>
      <w:bookmarkStart w:id="1573" w:name="_Toc386467254"/>
      <w:bookmarkEnd w:id="1573"/>
      <w:bookmarkStart w:id="1574" w:name="_Toc15844"/>
      <w:r>
        <w:rPr>
          <w:rFonts w:hint="eastAsia" w:ascii="宋体" w:hAnsi="宋体" w:cs="宋体"/>
          <w:color w:val="000000" w:themeColor="text1"/>
          <w:sz w:val="24"/>
          <w:szCs w:val="24"/>
          <w:highlight w:val="none"/>
          <w14:textFill>
            <w14:solidFill>
              <w14:schemeClr w14:val="tx1"/>
            </w14:solidFill>
          </w14:textFill>
        </w:rPr>
        <w:t>19.7保修责任</w:t>
      </w:r>
      <w:bookmarkEnd w:id="1574"/>
    </w:p>
    <w:p w14:paraId="366D837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52A07E90">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2C3CFCC8">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（2）在全部工程交工验收前，已经发包人提前验收的单位工程，其保修期的起算日期相应提前。</w:t>
      </w:r>
    </w:p>
    <w:p w14:paraId="6812D22C">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（3）工程保修期终止后28天内，监理人签发保修期终止证书。</w:t>
      </w:r>
    </w:p>
    <w:p w14:paraId="14CB1B66">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（4）若承包人不履行保修义务和责任，则承包人应承担由于违约造成的法律后果，并由发包人将其违约行为上报省级交通主管部门，作为不良记录纳入公路建设市场信用信息管理系统。</w:t>
      </w:r>
    </w:p>
    <w:p w14:paraId="357EE036">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575" w:name="_Toc453057169"/>
      <w:bookmarkEnd w:id="1575"/>
      <w:bookmarkStart w:id="1576" w:name="_Toc386467255"/>
      <w:bookmarkEnd w:id="1576"/>
      <w:bookmarkStart w:id="1577" w:name="_Toc330406450"/>
      <w:bookmarkEnd w:id="1577"/>
      <w:bookmarkStart w:id="1578" w:name="_Toc451261359"/>
      <w:bookmarkEnd w:id="1578"/>
      <w:bookmarkStart w:id="1579" w:name="_Toc393546509"/>
      <w:bookmarkEnd w:id="1579"/>
      <w:bookmarkStart w:id="1580" w:name="_Toc82"/>
      <w:r>
        <w:rPr>
          <w:rFonts w:hint="eastAsia" w:ascii="宋体" w:hAnsi="宋体" w:cs="宋体"/>
          <w:color w:val="000000" w:themeColor="text1"/>
          <w:sz w:val="28"/>
          <w:szCs w:val="28"/>
          <w:highlight w:val="none"/>
          <w14:textFill>
            <w14:solidFill>
              <w14:schemeClr w14:val="tx1"/>
            </w14:solidFill>
          </w14:textFill>
        </w:rPr>
        <w:t>20.保险</w:t>
      </w:r>
      <w:bookmarkEnd w:id="1580"/>
    </w:p>
    <w:p w14:paraId="3F6F3FB0">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81" w:name="_Toc330406451"/>
      <w:bookmarkEnd w:id="1581"/>
      <w:bookmarkStart w:id="1582" w:name="_Toc386467256"/>
      <w:bookmarkEnd w:id="1582"/>
      <w:bookmarkStart w:id="1583" w:name="_Toc393546510"/>
      <w:bookmarkEnd w:id="1583"/>
      <w:bookmarkStart w:id="1584" w:name="_Toc453057170"/>
      <w:bookmarkEnd w:id="1584"/>
      <w:bookmarkStart w:id="1585" w:name="_Toc451261360"/>
      <w:bookmarkEnd w:id="1585"/>
      <w:bookmarkStart w:id="1586" w:name="_Toc21864"/>
      <w:r>
        <w:rPr>
          <w:rFonts w:hint="eastAsia" w:ascii="宋体" w:hAnsi="宋体" w:cs="宋体"/>
          <w:color w:val="000000" w:themeColor="text1"/>
          <w:sz w:val="24"/>
          <w:szCs w:val="24"/>
          <w:highlight w:val="none"/>
          <w14:textFill>
            <w14:solidFill>
              <w14:schemeClr w14:val="tx1"/>
            </w14:solidFill>
          </w14:textFill>
        </w:rPr>
        <w:t>20.1工程保险</w:t>
      </w:r>
      <w:bookmarkEnd w:id="1586"/>
    </w:p>
    <w:p w14:paraId="3042691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本款约定为：</w:t>
      </w:r>
    </w:p>
    <w:p w14:paraId="200D655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建筑工程—切险的投保内容：为本合同工程的永久工程、临时工程和设备及已运至施工工地用于永久工程的材料和设备所投的保险。</w:t>
      </w:r>
    </w:p>
    <w:p w14:paraId="2105FA4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保险金额：工程量清单第100章（不含建筑工程一切险及第三者责任险的保险费）至700章的合计金额。</w:t>
      </w:r>
    </w:p>
    <w:p w14:paraId="1EF8A1F8">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保险费率：在项目专用合同条款数据表中约定。</w:t>
      </w:r>
    </w:p>
    <w:p w14:paraId="6022886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保险期限：开工日起直至本合同工程签发缺陷责任期终止证书止（即合同工期＋缺陷责任期）</w:t>
      </w:r>
    </w:p>
    <w:p w14:paraId="1B70A7C6">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承包人应以发包人和承包人的共同名义投保建筑工程一切险。建筑工程一切险的保险费由承包人报价时列入工程量清单100章内。发包人在接到保险单后，将按照保险单的费用直接向承包人支付。</w:t>
      </w:r>
    </w:p>
    <w:p w14:paraId="649BACA9">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87" w:name="_Toc393546511"/>
      <w:bookmarkEnd w:id="1587"/>
      <w:bookmarkStart w:id="1588" w:name="_Toc453057171"/>
      <w:bookmarkEnd w:id="1588"/>
      <w:bookmarkStart w:id="1589" w:name="_Toc330406452"/>
      <w:bookmarkEnd w:id="1589"/>
      <w:bookmarkStart w:id="1590" w:name="_Toc451261361"/>
      <w:bookmarkEnd w:id="1590"/>
      <w:bookmarkStart w:id="1591" w:name="_Toc386467257"/>
      <w:bookmarkEnd w:id="1591"/>
      <w:bookmarkStart w:id="1592" w:name="_Toc5621"/>
      <w:r>
        <w:rPr>
          <w:rFonts w:hint="eastAsia" w:ascii="宋体" w:hAnsi="宋体" w:cs="宋体"/>
          <w:color w:val="000000" w:themeColor="text1"/>
          <w:sz w:val="24"/>
          <w:szCs w:val="24"/>
          <w:highlight w:val="none"/>
          <w14:textFill>
            <w14:solidFill>
              <w14:schemeClr w14:val="tx1"/>
            </w14:solidFill>
          </w14:textFill>
        </w:rPr>
        <w:t>20.4第三者责任险</w:t>
      </w:r>
      <w:bookmarkEnd w:id="1592"/>
    </w:p>
    <w:p w14:paraId="07FCF8E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第20.4.2项补充：</w:t>
      </w:r>
    </w:p>
    <w:p w14:paraId="12282C3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第三者责任险的保险费由承包人报价时列入工程量清单100章内。发包人在接到保险单后，将按照保险单的费用直接向承包人支付。</w:t>
      </w:r>
    </w:p>
    <w:p w14:paraId="62299833">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93" w:name="_Toc330406453"/>
      <w:bookmarkEnd w:id="1593"/>
      <w:bookmarkStart w:id="1594" w:name="_Toc453057172"/>
      <w:bookmarkEnd w:id="1594"/>
      <w:bookmarkStart w:id="1595" w:name="_Toc451261362"/>
      <w:bookmarkEnd w:id="1595"/>
      <w:bookmarkStart w:id="1596" w:name="_Toc393546512"/>
      <w:bookmarkEnd w:id="1596"/>
      <w:bookmarkStart w:id="1597" w:name="_Toc386467258"/>
      <w:bookmarkEnd w:id="1597"/>
      <w:bookmarkStart w:id="1598" w:name="_Toc5649"/>
      <w:r>
        <w:rPr>
          <w:rFonts w:hint="eastAsia" w:ascii="宋体" w:hAnsi="宋体" w:cs="宋体"/>
          <w:color w:val="000000" w:themeColor="text1"/>
          <w:sz w:val="24"/>
          <w:szCs w:val="24"/>
          <w:highlight w:val="none"/>
          <w14:textFill>
            <w14:solidFill>
              <w14:schemeClr w14:val="tx1"/>
            </w14:solidFill>
          </w14:textFill>
        </w:rPr>
        <w:t>20.5其他保险</w:t>
      </w:r>
      <w:bookmarkEnd w:id="1598"/>
    </w:p>
    <w:p w14:paraId="29F8D0E5">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本款约定为：</w:t>
      </w:r>
    </w:p>
    <w:p w14:paraId="5E2E082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承包人应为其施工设备等办理保险，其投保金额应足以现场重量。办理本款保险的一切费用均由承包人承担，并包括在工程量清单的单价及总额价中，发包人不单独支付。</w:t>
      </w:r>
    </w:p>
    <w:p w14:paraId="2CB34FCC">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599" w:name="_Toc451261363"/>
      <w:bookmarkEnd w:id="1599"/>
      <w:bookmarkStart w:id="1600" w:name="_Toc330406454"/>
      <w:bookmarkEnd w:id="1600"/>
      <w:bookmarkStart w:id="1601" w:name="_Toc393546513"/>
      <w:bookmarkEnd w:id="1601"/>
      <w:bookmarkStart w:id="1602" w:name="_Toc453057173"/>
      <w:bookmarkEnd w:id="1602"/>
      <w:bookmarkStart w:id="1603" w:name="_Toc386467259"/>
      <w:bookmarkEnd w:id="1603"/>
      <w:bookmarkStart w:id="1604" w:name="_Toc3297"/>
      <w:r>
        <w:rPr>
          <w:rFonts w:hint="eastAsia" w:ascii="宋体" w:hAnsi="宋体" w:cs="宋体"/>
          <w:color w:val="000000" w:themeColor="text1"/>
          <w:sz w:val="24"/>
          <w:szCs w:val="24"/>
          <w:highlight w:val="none"/>
          <w14:textFill>
            <w14:solidFill>
              <w14:schemeClr w14:val="tx1"/>
            </w14:solidFill>
          </w14:textFill>
        </w:rPr>
        <w:t>20.6对各项保险的一般要求</w:t>
      </w:r>
      <w:bookmarkEnd w:id="1604"/>
    </w:p>
    <w:p w14:paraId="5016B0DB">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20.6.1保险凭证</w:t>
      </w:r>
    </w:p>
    <w:p w14:paraId="5D395FA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本项约定为：</w:t>
      </w:r>
    </w:p>
    <w:p w14:paraId="25B4425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承包人向发包人提交各项保险生效的证据和保险单副本的期限：开工后56天内。</w:t>
      </w:r>
    </w:p>
    <w:p w14:paraId="62F09836">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20.6.3 持续保险</w:t>
      </w:r>
    </w:p>
    <w:p w14:paraId="591590D5">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1FAA88E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在整个合同期内，承包人应按合同条款保证足够的保险额。</w:t>
      </w:r>
    </w:p>
    <w:p w14:paraId="3D07FE3C">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20.6.4保险金不足的补偿</w:t>
      </w:r>
    </w:p>
    <w:p w14:paraId="3BB099EB">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10AEC90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保险金不足以补偿损失的（包括免赔额和超过赔偿限额的部分），应由承包人和（或）发包人按合同约定负责补偿。</w:t>
      </w:r>
    </w:p>
    <w:p w14:paraId="586FDE39">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20.6.5未按约定投保的补救</w:t>
      </w:r>
    </w:p>
    <w:p w14:paraId="6C46076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本项（2）目细化为：</w:t>
      </w:r>
    </w:p>
    <w:p w14:paraId="5BE64A39">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3EEE6C45">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605" w:name="_Toc451261364"/>
      <w:bookmarkEnd w:id="1605"/>
      <w:bookmarkStart w:id="1606" w:name="_Toc386467260"/>
      <w:bookmarkEnd w:id="1606"/>
      <w:bookmarkStart w:id="1607" w:name="_Toc393546514"/>
      <w:bookmarkEnd w:id="1607"/>
      <w:bookmarkStart w:id="1608" w:name="_Toc330406455"/>
      <w:bookmarkEnd w:id="1608"/>
      <w:bookmarkStart w:id="1609" w:name="_Toc453057174"/>
      <w:bookmarkEnd w:id="1609"/>
      <w:bookmarkStart w:id="1610" w:name="_Toc19897"/>
      <w:r>
        <w:rPr>
          <w:rFonts w:hint="eastAsia" w:ascii="宋体" w:hAnsi="宋体" w:cs="宋体"/>
          <w:color w:val="000000" w:themeColor="text1"/>
          <w:sz w:val="28"/>
          <w:szCs w:val="28"/>
          <w:highlight w:val="none"/>
          <w14:textFill>
            <w14:solidFill>
              <w14:schemeClr w14:val="tx1"/>
            </w14:solidFill>
          </w14:textFill>
        </w:rPr>
        <w:t>21.不可抗力</w:t>
      </w:r>
      <w:bookmarkEnd w:id="1610"/>
    </w:p>
    <w:p w14:paraId="6C04881D">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11" w:name="_Toc393546515"/>
      <w:bookmarkEnd w:id="1611"/>
      <w:bookmarkStart w:id="1612" w:name="_Toc330406456"/>
      <w:bookmarkEnd w:id="1612"/>
      <w:bookmarkStart w:id="1613" w:name="_Toc453057175"/>
      <w:bookmarkEnd w:id="1613"/>
      <w:bookmarkStart w:id="1614" w:name="_Toc451261365"/>
      <w:bookmarkEnd w:id="1614"/>
      <w:bookmarkStart w:id="1615" w:name="_Toc386467261"/>
      <w:bookmarkEnd w:id="1615"/>
      <w:bookmarkStart w:id="1616" w:name="_Toc15180"/>
      <w:r>
        <w:rPr>
          <w:rFonts w:hint="eastAsia" w:ascii="宋体" w:hAnsi="宋体" w:cs="宋体"/>
          <w:color w:val="000000" w:themeColor="text1"/>
          <w:sz w:val="24"/>
          <w:szCs w:val="24"/>
          <w:highlight w:val="none"/>
          <w14:textFill>
            <w14:solidFill>
              <w14:schemeClr w14:val="tx1"/>
            </w14:solidFill>
          </w14:textFill>
        </w:rPr>
        <w:t>21.1不可抗力的确认</w:t>
      </w:r>
      <w:bookmarkEnd w:id="1616"/>
    </w:p>
    <w:p w14:paraId="2FACABD1">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21.1.1项细化为：</w:t>
      </w:r>
    </w:p>
    <w:p w14:paraId="5A6DF41E">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不可抗力是指承包人和发包人在订立合同时不可预见，在工程施工过程中不可避免发生并不能克服的自然灾害和社会性突发事件。包括但不限于：</w:t>
      </w:r>
    </w:p>
    <w:p w14:paraId="0B86D246">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（1）地震、海啸、火山爆发、泥石流、暴雨（雪）、台风、龙卷风、水灾等自然灾害；</w:t>
      </w:r>
    </w:p>
    <w:p w14:paraId="37067C9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（2）战争、骚乱、暴动，但纯属承包人或其分包人派遣与雇用的人员由于本合同工程施工原因引起者除外；</w:t>
      </w:r>
    </w:p>
    <w:p w14:paraId="139F8890">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（3）核反应、辐射或放射性污染；</w:t>
      </w:r>
    </w:p>
    <w:p w14:paraId="19DCE2A1">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（4）空中飞行物体附落或非发包人或承包人责任造成的爆炸、火灾；</w:t>
      </w:r>
    </w:p>
    <w:p w14:paraId="46A511E0">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（5）瘟疫；</w:t>
      </w:r>
    </w:p>
    <w:p w14:paraId="7856A34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（6）项目专用合同条款约定的其他情形。</w:t>
      </w:r>
    </w:p>
    <w:p w14:paraId="061A5D81">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17" w:name="_Toc330406457"/>
      <w:bookmarkEnd w:id="1617"/>
      <w:bookmarkStart w:id="1618" w:name="_Toc386467262"/>
      <w:bookmarkEnd w:id="1618"/>
      <w:bookmarkStart w:id="1619" w:name="_Toc451261366"/>
      <w:bookmarkEnd w:id="1619"/>
      <w:bookmarkStart w:id="1620" w:name="_Toc393546516"/>
      <w:bookmarkEnd w:id="1620"/>
      <w:bookmarkStart w:id="1621" w:name="_Toc453057176"/>
      <w:bookmarkEnd w:id="1621"/>
      <w:bookmarkStart w:id="1622" w:name="_Toc17012"/>
      <w:r>
        <w:rPr>
          <w:rFonts w:hint="eastAsia" w:ascii="宋体" w:hAnsi="宋体" w:cs="宋体"/>
          <w:color w:val="000000" w:themeColor="text1"/>
          <w:sz w:val="24"/>
          <w:szCs w:val="24"/>
          <w:highlight w:val="none"/>
          <w14:textFill>
            <w14:solidFill>
              <w14:schemeClr w14:val="tx1"/>
            </w14:solidFill>
          </w14:textFill>
        </w:rPr>
        <w:t>21.3不可抗力后果及其处理</w:t>
      </w:r>
      <w:bookmarkEnd w:id="1622"/>
    </w:p>
    <w:p w14:paraId="0A007054">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21.3.4因不可抗力解除合同</w:t>
      </w:r>
    </w:p>
    <w:p w14:paraId="3BF05FE1">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3646398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作，由发包人承担，因未有时退货造成的损失由责任方承担。合同解除后的付款，参照第22.2.4 项约定，由监理人按第3.5款商定或确定，但由于解除合同应赔偿的承包人损失不予考虑。</w:t>
      </w:r>
    </w:p>
    <w:p w14:paraId="4A4E7667">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623" w:name="_Toc453057177"/>
      <w:bookmarkEnd w:id="1623"/>
      <w:bookmarkStart w:id="1624" w:name="_Toc330406458"/>
      <w:bookmarkEnd w:id="1624"/>
      <w:bookmarkStart w:id="1625" w:name="_Toc451261367"/>
      <w:bookmarkEnd w:id="1625"/>
      <w:bookmarkStart w:id="1626" w:name="_Toc386467263"/>
      <w:bookmarkEnd w:id="1626"/>
      <w:bookmarkStart w:id="1627" w:name="_Toc393546517"/>
      <w:bookmarkEnd w:id="1627"/>
      <w:bookmarkStart w:id="1628" w:name="_Toc23752"/>
      <w:r>
        <w:rPr>
          <w:rFonts w:hint="eastAsia" w:ascii="宋体" w:hAnsi="宋体" w:cs="宋体"/>
          <w:color w:val="000000" w:themeColor="text1"/>
          <w:sz w:val="28"/>
          <w:szCs w:val="28"/>
          <w:highlight w:val="none"/>
          <w14:textFill>
            <w14:solidFill>
              <w14:schemeClr w14:val="tx1"/>
            </w14:solidFill>
          </w14:textFill>
        </w:rPr>
        <w:t>22.违约</w:t>
      </w:r>
      <w:bookmarkEnd w:id="1628"/>
    </w:p>
    <w:p w14:paraId="1083545B">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29" w:name="_Toc330406459"/>
      <w:bookmarkEnd w:id="1629"/>
      <w:bookmarkStart w:id="1630" w:name="_Toc451261368"/>
      <w:bookmarkEnd w:id="1630"/>
      <w:bookmarkStart w:id="1631" w:name="_Toc453057178"/>
      <w:bookmarkEnd w:id="1631"/>
      <w:bookmarkStart w:id="1632" w:name="_Toc393546518"/>
      <w:bookmarkEnd w:id="1632"/>
      <w:bookmarkStart w:id="1633" w:name="_Toc386467264"/>
      <w:bookmarkEnd w:id="1633"/>
      <w:bookmarkStart w:id="1634" w:name="_Toc24598"/>
      <w:r>
        <w:rPr>
          <w:rFonts w:hint="eastAsia" w:ascii="宋体" w:hAnsi="宋体" w:cs="宋体"/>
          <w:color w:val="000000" w:themeColor="text1"/>
          <w:sz w:val="24"/>
          <w:szCs w:val="24"/>
          <w:highlight w:val="none"/>
          <w14:textFill>
            <w14:solidFill>
              <w14:schemeClr w14:val="tx1"/>
            </w14:solidFill>
          </w14:textFill>
        </w:rPr>
        <w:t>22.1承包人违约</w:t>
      </w:r>
      <w:bookmarkEnd w:id="1634"/>
    </w:p>
    <w:p w14:paraId="3DEA1DE9">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22.1.1承包人违约的情形</w:t>
      </w:r>
    </w:p>
    <w:p w14:paraId="0AD51D69">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本项（2）目细化为：</w:t>
      </w:r>
    </w:p>
    <w:p w14:paraId="31261FA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（2）承包人违反第5.3款或第6.4款的约定，未经监理人批准，私自将已按合同约定进入施工场地的施工设备、临时设施、材料或工程设备撤离施工场地；</w:t>
      </w:r>
    </w:p>
    <w:p w14:paraId="6759EDE0">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本项（7）目细化为：</w:t>
      </w:r>
    </w:p>
    <w:p w14:paraId="39910DE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（7）承包人未能按期开工；</w:t>
      </w:r>
    </w:p>
    <w:p w14:paraId="22ABB12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（8）承包人违反第4.6款或6.3款的规定，未按承诺或未按监理人的要求及时配备称职的主要管理人员、技术骨干或关键施工设备；</w:t>
      </w:r>
    </w:p>
    <w:p w14:paraId="1D4D3B8C">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（9）经监理人和发包人检查，发现承包人有安全问题或有违反安全管理规章制度的情况；</w:t>
      </w:r>
    </w:p>
    <w:p w14:paraId="0BFD8B2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（10）承包人不按合同约定履行义务的其他情况。</w:t>
      </w:r>
    </w:p>
    <w:p w14:paraId="359FF81D">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22.1.2对承包人违约的处理</w:t>
      </w:r>
    </w:p>
    <w:p w14:paraId="53AAF413">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7B9C68E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发生第22.1.1项约定的违约情况时，无论发包人是否解除合同，发包人均有权向承包人课以项目专用合同条款中规定的违约金，并由发包人将其违约行为上报省级交通主管部门，作为不良记录纳入公路建设市场信用信息管理系统。</w:t>
      </w:r>
    </w:p>
    <w:p w14:paraId="64E6DADF">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35" w:name="_Toc386467265"/>
      <w:bookmarkEnd w:id="1635"/>
      <w:bookmarkStart w:id="1636" w:name="_Toc453057179"/>
      <w:bookmarkEnd w:id="1636"/>
      <w:bookmarkStart w:id="1637" w:name="_Toc451261369"/>
      <w:bookmarkEnd w:id="1637"/>
      <w:bookmarkStart w:id="1638" w:name="_Toc330406460"/>
      <w:bookmarkEnd w:id="1638"/>
      <w:bookmarkStart w:id="1639" w:name="_Toc393546519"/>
      <w:bookmarkEnd w:id="1639"/>
      <w:bookmarkStart w:id="1640" w:name="_Toc31292"/>
      <w:r>
        <w:rPr>
          <w:rFonts w:hint="eastAsia" w:ascii="宋体" w:hAnsi="宋体" w:cs="宋体"/>
          <w:color w:val="000000" w:themeColor="text1"/>
          <w:sz w:val="24"/>
          <w:szCs w:val="24"/>
          <w:highlight w:val="none"/>
          <w14:textFill>
            <w14:solidFill>
              <w14:schemeClr w14:val="tx1"/>
            </w14:solidFill>
          </w14:textFill>
        </w:rPr>
        <w:t>22.2发包人违约</w:t>
      </w:r>
      <w:bookmarkEnd w:id="1640"/>
    </w:p>
    <w:p w14:paraId="25E05AD5">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22.2.1</w:t>
      </w:r>
      <w:r>
        <w:rPr>
          <w:rFonts w:hint="eastAsia" w:ascii="宋体" w:hAnsi="宋体" w:cs="宋体"/>
          <w:b/>
          <w:bCs/>
          <w:color w:val="000000" w:themeColor="text1"/>
          <w:sz w:val="24"/>
          <w:highlight w:val="none"/>
          <w:lang w:val="zh-CN"/>
          <w14:textFill>
            <w14:solidFill>
              <w14:schemeClr w14:val="tx1"/>
            </w14:solidFill>
          </w14:textFill>
        </w:rPr>
        <w:t>发包人违约的情形</w:t>
      </w:r>
    </w:p>
    <w:p w14:paraId="393C7B40">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w:t>
      </w: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zh-CN"/>
          <w14:textFill>
            <w14:solidFill>
              <w14:schemeClr w14:val="tx1"/>
            </w14:solidFill>
          </w14:textFill>
        </w:rPr>
        <w:t>目细化为：</w:t>
      </w:r>
    </w:p>
    <w:p w14:paraId="13A92BB8">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发包人无正当理由不按时返还履约保证金、质量保证金或农民工工资保证金的；</w:t>
      </w:r>
    </w:p>
    <w:p w14:paraId="58F7329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发包人不履行合同约定其他义务的。</w:t>
      </w:r>
    </w:p>
    <w:p w14:paraId="1574E691">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22.2.2</w:t>
      </w:r>
      <w:r>
        <w:rPr>
          <w:rFonts w:hint="eastAsia" w:ascii="宋体" w:hAnsi="宋体" w:cs="宋体"/>
          <w:b/>
          <w:bCs/>
          <w:color w:val="000000" w:themeColor="text1"/>
          <w:sz w:val="24"/>
          <w:highlight w:val="none"/>
          <w:lang w:val="zh-CN"/>
          <w14:textFill>
            <w14:solidFill>
              <w14:schemeClr w14:val="tx1"/>
            </w14:solidFill>
          </w14:textFill>
        </w:rPr>
        <w:t>承包人有权暂停施工</w:t>
      </w:r>
    </w:p>
    <w:p w14:paraId="50A0B633">
      <w:pPr>
        <w:tabs>
          <w:tab w:val="left" w:pos="3193"/>
        </w:tabs>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本项细化为：</w:t>
      </w:r>
    </w:p>
    <w:p w14:paraId="4BFA1E7B">
      <w:pPr>
        <w:tabs>
          <w:tab w:val="left" w:pos="3193"/>
        </w:tabs>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发包人发生除第</w:t>
      </w:r>
      <w:r>
        <w:rPr>
          <w:rFonts w:hint="eastAsia" w:ascii="宋体" w:hAnsi="宋体" w:cs="宋体"/>
          <w:color w:val="000000" w:themeColor="text1"/>
          <w:sz w:val="24"/>
          <w:highlight w:val="none"/>
          <w14:textFill>
            <w14:solidFill>
              <w14:schemeClr w14:val="tx1"/>
            </w14:solidFill>
          </w14:textFill>
        </w:rPr>
        <w:t xml:space="preserve">22.2.1 </w:t>
      </w:r>
      <w:r>
        <w:rPr>
          <w:rFonts w:hint="eastAsia" w:ascii="宋体" w:hAnsi="宋体" w:cs="宋体"/>
          <w:color w:val="000000" w:themeColor="text1"/>
          <w:sz w:val="24"/>
          <w:highlight w:val="none"/>
          <w:lang w:val="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lang w:val="zh-CN"/>
          <w14:textFill>
            <w14:solidFill>
              <w14:schemeClr w14:val="tx1"/>
            </w14:solidFill>
          </w14:textFill>
        </w:rPr>
        <w:t>目以外的违约情况时，承包人可向发包人发</w:t>
      </w:r>
    </w:p>
    <w:p w14:paraId="7521BA3C">
      <w:pPr>
        <w:tabs>
          <w:tab w:val="left" w:pos="3193"/>
        </w:tabs>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出通知，要求发包人采取有效措施纠正违约行为。发包人收到承包人通知后的28天 内仍不履行合同义务，承包人有权暂停施工，并通知监理人，发包人应承担由此增 加的费用和（或）工期延误，并支付承包人合理利润。</w:t>
      </w:r>
    </w:p>
    <w:p w14:paraId="2741DF07">
      <w:pPr>
        <w:tabs>
          <w:tab w:val="left" w:pos="3193"/>
        </w:tabs>
        <w:spacing w:line="4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发包人发生第</w:t>
      </w:r>
      <w:r>
        <w:rPr>
          <w:rFonts w:hint="eastAsia" w:ascii="宋体" w:hAnsi="宋体" w:cs="宋体"/>
          <w:color w:val="000000" w:themeColor="text1"/>
          <w:sz w:val="24"/>
          <w:highlight w:val="none"/>
          <w14:textFill>
            <w14:solidFill>
              <w14:schemeClr w14:val="tx1"/>
            </w14:solidFill>
          </w14:textFill>
        </w:rPr>
        <w:t>22.2.1 （5）</w:t>
      </w:r>
      <w:r>
        <w:rPr>
          <w:rFonts w:hint="eastAsia" w:ascii="宋体" w:hAnsi="宋体" w:cs="宋体"/>
          <w:color w:val="000000" w:themeColor="text1"/>
          <w:sz w:val="24"/>
          <w:highlight w:val="none"/>
          <w:lang w:val="zh-CN"/>
          <w14:textFill>
            <w14:solidFill>
              <w14:schemeClr w14:val="tx1"/>
            </w14:solidFill>
          </w14:textFill>
        </w:rPr>
        <w:t>目的违约情况时，承包人可向发包人发出通知，要求 发包人采取有效措施纠正违约行为。发包人收到承包人通知后的28天内仍不返还履 约保证金、质量保证金或农民工工资保证金的，发包人应按项目专用合同条款的约 定向承包人支付逾期返还保证金的违约金。</w:t>
      </w:r>
    </w:p>
    <w:p w14:paraId="3D955DB7">
      <w:pPr>
        <w:tabs>
          <w:tab w:val="left" w:pos="3193"/>
        </w:tabs>
        <w:spacing w:line="4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22.2.4 解除合同后的付款</w:t>
      </w:r>
    </w:p>
    <w:p w14:paraId="29B5AE55">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本项（2）目细化为：</w:t>
      </w:r>
    </w:p>
    <w:p w14:paraId="7A6E02C2">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（2）承包人为该工程施工订购并已付款的材料、工程设备和其他物品的金额，发包人付款后，该材料、工程设备和其他物品归发包人所有；</w:t>
      </w:r>
    </w:p>
    <w:p w14:paraId="2C0E73F3">
      <w:pPr>
        <w:pStyle w:val="3"/>
        <w:spacing w:before="120" w:line="400" w:lineRule="exact"/>
        <w:rPr>
          <w:rFonts w:ascii="宋体" w:hAnsi="宋体" w:cs="宋体"/>
          <w:color w:val="000000" w:themeColor="text1"/>
          <w:sz w:val="28"/>
          <w:szCs w:val="28"/>
          <w:highlight w:val="none"/>
          <w14:textFill>
            <w14:solidFill>
              <w14:schemeClr w14:val="tx1"/>
            </w14:solidFill>
          </w14:textFill>
        </w:rPr>
      </w:pPr>
      <w:bookmarkStart w:id="1641" w:name="_Toc451261370"/>
      <w:bookmarkEnd w:id="1641"/>
      <w:bookmarkStart w:id="1642" w:name="_Toc386467266"/>
      <w:bookmarkEnd w:id="1642"/>
      <w:bookmarkStart w:id="1643" w:name="_Toc393546520"/>
      <w:bookmarkEnd w:id="1643"/>
      <w:bookmarkStart w:id="1644" w:name="_Toc453057180"/>
      <w:bookmarkEnd w:id="1644"/>
      <w:bookmarkStart w:id="1645" w:name="_Toc330406461"/>
      <w:bookmarkEnd w:id="1645"/>
      <w:bookmarkStart w:id="1646" w:name="_Toc11974"/>
      <w:r>
        <w:rPr>
          <w:rFonts w:hint="eastAsia" w:ascii="宋体" w:hAnsi="宋体" w:cs="宋体"/>
          <w:color w:val="000000" w:themeColor="text1"/>
          <w:sz w:val="28"/>
          <w:szCs w:val="28"/>
          <w:highlight w:val="none"/>
          <w14:textFill>
            <w14:solidFill>
              <w14:schemeClr w14:val="tx1"/>
            </w14:solidFill>
          </w14:textFill>
        </w:rPr>
        <w:t>23.索赔</w:t>
      </w:r>
      <w:bookmarkEnd w:id="1646"/>
    </w:p>
    <w:p w14:paraId="369F5F51">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47" w:name="_Toc393546521"/>
      <w:bookmarkEnd w:id="1647"/>
      <w:bookmarkStart w:id="1648" w:name="_Toc453057181"/>
      <w:bookmarkEnd w:id="1648"/>
      <w:bookmarkStart w:id="1649" w:name="_Toc451261371"/>
      <w:bookmarkEnd w:id="1649"/>
      <w:bookmarkStart w:id="1650" w:name="_Toc330406462"/>
      <w:bookmarkEnd w:id="1650"/>
      <w:bookmarkStart w:id="1651" w:name="_Toc386467267"/>
      <w:bookmarkEnd w:id="1651"/>
      <w:bookmarkStart w:id="1652" w:name="_Toc31403"/>
      <w:r>
        <w:rPr>
          <w:rFonts w:hint="eastAsia" w:ascii="宋体" w:hAnsi="宋体" w:cs="宋体"/>
          <w:color w:val="000000" w:themeColor="text1"/>
          <w:sz w:val="24"/>
          <w:szCs w:val="24"/>
          <w:highlight w:val="none"/>
          <w14:textFill>
            <w14:solidFill>
              <w14:schemeClr w14:val="tx1"/>
            </w14:solidFill>
          </w14:textFill>
        </w:rPr>
        <w:t>23.1承包人索赔的提出</w:t>
      </w:r>
      <w:bookmarkEnd w:id="1652"/>
    </w:p>
    <w:p w14:paraId="73B37C35">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本款第（4）项细化为：</w:t>
      </w:r>
    </w:p>
    <w:p w14:paraId="65D04FC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（4）在索赔事件影响结束后的28天内，承包人应向监理人递交最终索赔通知书，说明最终要求索赔的追加付款金额和（或）延长的工期，并附必要的记录和证明材料。</w:t>
      </w:r>
    </w:p>
    <w:p w14:paraId="5CFF234C">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53" w:name="_Toc386467268"/>
      <w:bookmarkEnd w:id="1653"/>
      <w:bookmarkStart w:id="1654" w:name="_Toc453057182"/>
      <w:bookmarkEnd w:id="1654"/>
      <w:bookmarkStart w:id="1655" w:name="_Toc330406463"/>
      <w:bookmarkEnd w:id="1655"/>
      <w:bookmarkStart w:id="1656" w:name="_Toc393546522"/>
      <w:bookmarkEnd w:id="1656"/>
      <w:bookmarkStart w:id="1657" w:name="_Toc451261372"/>
      <w:bookmarkEnd w:id="1657"/>
      <w:bookmarkStart w:id="1658" w:name="_Toc17188"/>
      <w:r>
        <w:rPr>
          <w:rFonts w:hint="eastAsia" w:ascii="宋体" w:hAnsi="宋体" w:cs="宋体"/>
          <w:color w:val="000000" w:themeColor="text1"/>
          <w:sz w:val="24"/>
          <w:szCs w:val="24"/>
          <w:highlight w:val="none"/>
          <w14:textFill>
            <w14:solidFill>
              <w14:schemeClr w14:val="tx1"/>
            </w14:solidFill>
          </w14:textFill>
        </w:rPr>
        <w:t>23.2承包人索赔处理程序</w:t>
      </w:r>
      <w:bookmarkEnd w:id="1658"/>
    </w:p>
    <w:p w14:paraId="30EF0DAF">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本款第（2）项细化为：</w:t>
      </w:r>
    </w:p>
    <w:p w14:paraId="35BD9B91">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34C7F3A7">
      <w:pPr>
        <w:pStyle w:val="3"/>
        <w:spacing w:beforeLines="50" w:after="120" w:line="400" w:lineRule="exact"/>
        <w:rPr>
          <w:rFonts w:ascii="宋体" w:hAnsi="宋体" w:cs="宋体"/>
          <w:color w:val="000000" w:themeColor="text1"/>
          <w:sz w:val="28"/>
          <w:szCs w:val="28"/>
          <w:highlight w:val="none"/>
          <w14:textFill>
            <w14:solidFill>
              <w14:schemeClr w14:val="tx1"/>
            </w14:solidFill>
          </w14:textFill>
        </w:rPr>
      </w:pPr>
      <w:bookmarkStart w:id="1659" w:name="_Toc453057183"/>
      <w:bookmarkEnd w:id="1659"/>
      <w:bookmarkStart w:id="1660" w:name="_Toc386467269"/>
      <w:bookmarkEnd w:id="1660"/>
      <w:bookmarkStart w:id="1661" w:name="_Toc451261373"/>
      <w:bookmarkEnd w:id="1661"/>
      <w:bookmarkStart w:id="1662" w:name="_Toc393546523"/>
      <w:bookmarkEnd w:id="1662"/>
      <w:bookmarkStart w:id="1663" w:name="_Toc330406464"/>
      <w:bookmarkEnd w:id="1663"/>
      <w:bookmarkStart w:id="1664" w:name="_Toc27438"/>
      <w:r>
        <w:rPr>
          <w:rFonts w:hint="eastAsia" w:ascii="宋体" w:hAnsi="宋体" w:cs="宋体"/>
          <w:color w:val="000000" w:themeColor="text1"/>
          <w:sz w:val="28"/>
          <w:szCs w:val="28"/>
          <w:highlight w:val="none"/>
          <w14:textFill>
            <w14:solidFill>
              <w14:schemeClr w14:val="tx1"/>
            </w14:solidFill>
          </w14:textFill>
        </w:rPr>
        <w:t>24.争议的解决</w:t>
      </w:r>
      <w:bookmarkEnd w:id="1664"/>
    </w:p>
    <w:p w14:paraId="231389EE">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65" w:name="_Toc451261374"/>
      <w:bookmarkEnd w:id="1665"/>
      <w:bookmarkStart w:id="1666" w:name="_Toc393546524"/>
      <w:bookmarkEnd w:id="1666"/>
      <w:bookmarkStart w:id="1667" w:name="_Toc453057184"/>
      <w:bookmarkEnd w:id="1667"/>
      <w:bookmarkStart w:id="1668" w:name="_Toc386467270"/>
      <w:bookmarkEnd w:id="1668"/>
      <w:bookmarkStart w:id="1669" w:name="_Toc330406465"/>
      <w:bookmarkEnd w:id="1669"/>
      <w:bookmarkStart w:id="1670" w:name="_Toc7392"/>
      <w:r>
        <w:rPr>
          <w:rFonts w:hint="eastAsia" w:ascii="宋体" w:hAnsi="宋体" w:cs="宋体"/>
          <w:color w:val="000000" w:themeColor="text1"/>
          <w:sz w:val="24"/>
          <w:szCs w:val="24"/>
          <w:highlight w:val="none"/>
          <w14:textFill>
            <w14:solidFill>
              <w14:schemeClr w14:val="tx1"/>
            </w14:solidFill>
          </w14:textFill>
        </w:rPr>
        <w:t>24.3争议评审</w:t>
      </w:r>
      <w:bookmarkEnd w:id="1670"/>
    </w:p>
    <w:p w14:paraId="546E86F9">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第24.3.1项补充：</w:t>
      </w:r>
    </w:p>
    <w:p w14:paraId="14C0AB78">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176C1838">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本条补充第24.4、第24.5款（适用于采用仲裁方式最终解决争议的项目）：</w:t>
      </w:r>
    </w:p>
    <w:p w14:paraId="3FC19BAE">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71" w:name="_Toc393546525"/>
      <w:bookmarkEnd w:id="1671"/>
      <w:bookmarkStart w:id="1672" w:name="_Toc330406466"/>
      <w:bookmarkEnd w:id="1672"/>
      <w:bookmarkStart w:id="1673" w:name="_Toc453057185"/>
      <w:bookmarkEnd w:id="1673"/>
      <w:bookmarkStart w:id="1674" w:name="_Toc451261375"/>
      <w:bookmarkEnd w:id="1674"/>
      <w:bookmarkStart w:id="1675" w:name="_Toc386467271"/>
      <w:bookmarkEnd w:id="1675"/>
      <w:bookmarkStart w:id="1676" w:name="_Toc16334"/>
      <w:r>
        <w:rPr>
          <w:rFonts w:hint="eastAsia" w:ascii="宋体" w:hAnsi="宋体" w:cs="宋体"/>
          <w:color w:val="000000" w:themeColor="text1"/>
          <w:sz w:val="24"/>
          <w:szCs w:val="24"/>
          <w:highlight w:val="none"/>
          <w14:textFill>
            <w14:solidFill>
              <w14:schemeClr w14:val="tx1"/>
            </w14:solidFill>
          </w14:textFill>
        </w:rPr>
        <w:t>24.4仲裁</w:t>
      </w:r>
      <w:bookmarkEnd w:id="1676"/>
    </w:p>
    <w:p w14:paraId="31552F8A">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（1）对于未能友好解决或通过争议评审解决的争议，发包人或承包人任一方均有权提交给第24.1款约定的仲裁委员会仲裁。</w:t>
      </w:r>
    </w:p>
    <w:p w14:paraId="18C97C38">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026DE01D">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（3）仲裁裁决是终局性的并对发包人和承包人双方具有约束力。</w:t>
      </w:r>
    </w:p>
    <w:p w14:paraId="3DD0252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（4）全部仲裁费用应由败诉方承担；或按仲裁员会裁决的比例分担。</w:t>
      </w:r>
    </w:p>
    <w:p w14:paraId="79039A91">
      <w:pPr>
        <w:pStyle w:val="3"/>
        <w:spacing w:beforeLines="50" w:line="400" w:lineRule="exact"/>
        <w:rPr>
          <w:rFonts w:ascii="宋体" w:hAnsi="宋体" w:cs="宋体"/>
          <w:color w:val="000000" w:themeColor="text1"/>
          <w:sz w:val="24"/>
          <w:szCs w:val="24"/>
          <w:highlight w:val="none"/>
          <w14:textFill>
            <w14:solidFill>
              <w14:schemeClr w14:val="tx1"/>
            </w14:solidFill>
          </w14:textFill>
        </w:rPr>
      </w:pPr>
      <w:bookmarkStart w:id="1677" w:name="_Toc451261376"/>
      <w:bookmarkEnd w:id="1677"/>
      <w:bookmarkStart w:id="1678" w:name="_Toc393546526"/>
      <w:bookmarkEnd w:id="1678"/>
      <w:bookmarkStart w:id="1679" w:name="_Toc453057186"/>
      <w:bookmarkEnd w:id="1679"/>
      <w:bookmarkStart w:id="1680" w:name="_Toc330406467"/>
      <w:bookmarkEnd w:id="1680"/>
      <w:bookmarkStart w:id="1681" w:name="_Toc386467272"/>
      <w:bookmarkEnd w:id="1681"/>
      <w:bookmarkStart w:id="1682" w:name="_Toc20135"/>
      <w:r>
        <w:rPr>
          <w:rFonts w:hint="eastAsia" w:ascii="宋体" w:hAnsi="宋体" w:cs="宋体"/>
          <w:color w:val="000000" w:themeColor="text1"/>
          <w:sz w:val="24"/>
          <w:szCs w:val="24"/>
          <w:highlight w:val="none"/>
          <w14:textFill>
            <w14:solidFill>
              <w14:schemeClr w14:val="tx1"/>
            </w14:solidFill>
          </w14:textFill>
        </w:rPr>
        <w:t>24.5仲裁的执行</w:t>
      </w:r>
      <w:bookmarkEnd w:id="1682"/>
    </w:p>
    <w:p w14:paraId="040D15D5">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（1）任何一方不履行仲裁机构的裁决的，对方可以向有管辖权的人民法院申请执行。</w:t>
      </w:r>
    </w:p>
    <w:p w14:paraId="4FEF5137">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68184669">
      <w:pPr>
        <w:tabs>
          <w:tab w:val="left" w:pos="3193"/>
        </w:tabs>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14:paraId="0D412F00">
      <w:pPr>
        <w:pStyle w:val="4"/>
        <w:jc w:val="center"/>
        <w:rPr>
          <w:rFonts w:ascii="宋体" w:hAnsi="宋体"/>
          <w:color w:val="000000" w:themeColor="text1"/>
          <w:szCs w:val="36"/>
          <w:highlight w:val="none"/>
          <w14:textFill>
            <w14:solidFill>
              <w14:schemeClr w14:val="tx1"/>
            </w14:solidFill>
          </w14:textFill>
        </w:rPr>
      </w:pPr>
      <w:bookmarkStart w:id="1683" w:name="_Toc7202"/>
      <w:r>
        <w:rPr>
          <w:rFonts w:hint="eastAsia"/>
          <w:color w:val="000000" w:themeColor="text1"/>
          <w:highlight w:val="none"/>
          <w14:textFill>
            <w14:solidFill>
              <w14:schemeClr w14:val="tx1"/>
            </w14:solidFill>
          </w14:textFill>
        </w:rPr>
        <w:t>B.项目专用合同条款</w:t>
      </w:r>
      <w:bookmarkEnd w:id="1683"/>
    </w:p>
    <w:p w14:paraId="28BAE3C2">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说明：</w:t>
      </w:r>
    </w:p>
    <w:p w14:paraId="42A5252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招标人在根据本范本编制项目招标文件中的“项目专用合同条款”时，可根据招标项目的具体特点和实际需要，对“通用合同条款”及“公路工程专用合同条款”进行补充和细化，除“通用合同条款”明确“专用合同条款”可做出不同约定及“公路工程专用合同条款”明确“项目专用合同条款” 可做出不同约定外，补充和细化的内容不得与“通用合同条款”及“公路工程专用合同条款”强制性规定相抵触。同时，补充、细化或约定的不同内容，不得违反法律、行政法规的强制性规定和平等、自愿、公平和诚实信用原则。</w:t>
      </w:r>
    </w:p>
    <w:p w14:paraId="21EBFB6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项目专用合同条款的编号应与通用合同条款和公路工程专用合同条款一致。</w:t>
      </w:r>
    </w:p>
    <w:p w14:paraId="743243AE">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 项目专用合同条款可对下列内容进行补充和细化：</w:t>
      </w:r>
    </w:p>
    <w:p w14:paraId="2C0E5B4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6E2C431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2BEE517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(3)其他需要补充、细化的内容。</w:t>
      </w:r>
    </w:p>
    <w:p w14:paraId="2CA0F61A">
      <w:pPr>
        <w:pStyle w:val="5"/>
        <w:jc w:val="center"/>
        <w:rPr>
          <w:color w:val="000000" w:themeColor="text1"/>
          <w:highlight w:val="none"/>
          <w14:textFill>
            <w14:solidFill>
              <w14:schemeClr w14:val="tx1"/>
            </w14:solidFill>
          </w14:textFill>
        </w:rPr>
      </w:pPr>
      <w:bookmarkStart w:id="1684" w:name="_Toc505844493"/>
      <w:bookmarkEnd w:id="1684"/>
      <w:r>
        <w:rPr>
          <w:rFonts w:hint="eastAsia"/>
          <w:color w:val="000000" w:themeColor="text1"/>
          <w:highlight w:val="none"/>
          <w14:textFill>
            <w14:solidFill>
              <w14:schemeClr w14:val="tx1"/>
            </w14:solidFill>
          </w14:textFill>
        </w:rPr>
        <w:br w:type="page"/>
      </w:r>
      <w:bookmarkStart w:id="1685" w:name="_Toc25296"/>
      <w:r>
        <w:rPr>
          <w:rFonts w:hint="eastAsia"/>
          <w:color w:val="000000" w:themeColor="text1"/>
          <w:highlight w:val="none"/>
          <w14:textFill>
            <w14:solidFill>
              <w14:schemeClr w14:val="tx1"/>
            </w14:solidFill>
          </w14:textFill>
        </w:rPr>
        <w:t>项目专用条款数据表</w:t>
      </w:r>
      <w:bookmarkEnd w:id="1685"/>
    </w:p>
    <w:p w14:paraId="767C566B">
      <w:pPr>
        <w:rPr>
          <w:color w:val="000000" w:themeColor="text1"/>
          <w:highlight w:val="none"/>
          <w14:textFill>
            <w14:solidFill>
              <w14:schemeClr w14:val="tx1"/>
            </w14:solidFill>
          </w14:textFill>
        </w:rPr>
      </w:pPr>
    </w:p>
    <w:p w14:paraId="7A29570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说明：： 本数据表是项目专用合同条款中适用于本项目的信息和数据的归纳与提示，是项目专用合同条款的组成部分。第九章“投标文件格式”的投标函附录中的数据（供投标人确认）与本表所列有重复。编写招标文件的单位应仔细校核，不使数据出现差错或不一致。</w:t>
      </w:r>
    </w:p>
    <w:tbl>
      <w:tblPr>
        <w:tblStyle w:val="43"/>
        <w:tblW w:w="97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20"/>
        <w:gridCol w:w="1464"/>
        <w:gridCol w:w="7426"/>
      </w:tblGrid>
      <w:tr w14:paraId="00FAD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6" w:type="dxa"/>
            <w:vAlign w:val="center"/>
          </w:tcPr>
          <w:p w14:paraId="62947F19">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1484" w:type="dxa"/>
            <w:gridSpan w:val="2"/>
            <w:vAlign w:val="center"/>
          </w:tcPr>
          <w:p w14:paraId="6B1278F1">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426" w:type="dxa"/>
            <w:vAlign w:val="center"/>
          </w:tcPr>
          <w:p w14:paraId="5E4501D2">
            <w:pPr>
              <w:keepNext w:val="0"/>
              <w:keepLines w:val="0"/>
              <w:suppressLineNumbers w:val="0"/>
              <w:spacing w:before="0" w:beforeAutospacing="0" w:after="0" w:afterAutospacing="0"/>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信息或数据</w:t>
            </w:r>
          </w:p>
        </w:tc>
      </w:tr>
      <w:tr w14:paraId="36673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7907049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484" w:type="dxa"/>
            <w:gridSpan w:val="2"/>
            <w:vAlign w:val="center"/>
          </w:tcPr>
          <w:p w14:paraId="2279596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1.1.2.2</w:t>
            </w:r>
          </w:p>
        </w:tc>
        <w:tc>
          <w:tcPr>
            <w:tcW w:w="7426" w:type="dxa"/>
            <w:vAlign w:val="center"/>
          </w:tcPr>
          <w:p w14:paraId="737917E7">
            <w:pPr>
              <w:pStyle w:val="74"/>
              <w:keepNext w:val="0"/>
              <w:keepLines w:val="0"/>
              <w:widowControl/>
              <w:suppressLineNumbers w:val="0"/>
              <w:snapToGrid w:val="0"/>
              <w:spacing w:before="0" w:beforeAutospacing="0" w:after="0" w:afterAutospacing="0" w:line="400" w:lineRule="exact"/>
              <w:ind w:left="0" w:right="0"/>
              <w:jc w:val="left"/>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单位名称：</w:t>
            </w:r>
            <w:r>
              <w:rPr>
                <w:rFonts w:hint="eastAsia" w:hAnsi="宋体" w:cs="宋体"/>
                <w:color w:val="000000" w:themeColor="text1"/>
                <w:sz w:val="21"/>
                <w:szCs w:val="21"/>
                <w:highlight w:val="none"/>
                <w:lang w:eastAsia="zh-CN"/>
                <w14:textFill>
                  <w14:solidFill>
                    <w14:schemeClr w14:val="tx1"/>
                  </w14:solidFill>
                </w14:textFill>
              </w:rPr>
              <w:t>始兴县地方公路事务中心</w:t>
            </w:r>
          </w:p>
          <w:p w14:paraId="2767FAE7">
            <w:pPr>
              <w:pStyle w:val="74"/>
              <w:keepNext w:val="0"/>
              <w:keepLines w:val="0"/>
              <w:widowControl/>
              <w:suppressLineNumbers w:val="0"/>
              <w:snapToGrid w:val="0"/>
              <w:spacing w:before="0" w:beforeAutospacing="0" w:after="0" w:afterAutospacing="0" w:line="400" w:lineRule="exact"/>
              <w:ind w:left="0" w:right="0"/>
              <w:jc w:val="left"/>
              <w:rPr>
                <w:rFonts w:hint="default"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地址：</w:t>
            </w:r>
            <w:r>
              <w:rPr>
                <w:rFonts w:hint="eastAsia" w:hAnsi="宋体" w:cs="宋体"/>
                <w:color w:val="000000" w:themeColor="text1"/>
                <w:sz w:val="21"/>
                <w:szCs w:val="21"/>
                <w:highlight w:val="none"/>
                <w:lang w:eastAsia="zh-CN"/>
                <w14:textFill>
                  <w14:solidFill>
                    <w14:schemeClr w14:val="tx1"/>
                  </w14:solidFill>
                </w14:textFill>
              </w:rPr>
              <w:t>始兴县太平镇北门路420号</w:t>
            </w:r>
            <w:r>
              <w:rPr>
                <w:rFonts w:hint="eastAsia" w:hAnsi="宋体" w:cs="宋体"/>
                <w:color w:val="000000" w:themeColor="text1"/>
                <w:sz w:val="21"/>
                <w:szCs w:val="21"/>
                <w:highlight w:val="none"/>
                <w14:textFill>
                  <w14:solidFill>
                    <w14:schemeClr w14:val="tx1"/>
                  </w14:solidFill>
                </w14:textFill>
              </w:rPr>
              <w:t xml:space="preserve">          邮政编码：</w:t>
            </w:r>
            <w:r>
              <w:rPr>
                <w:rFonts w:hint="eastAsia" w:hAnsi="宋体" w:cs="宋体"/>
                <w:color w:val="000000" w:themeColor="text1"/>
                <w:sz w:val="21"/>
                <w:szCs w:val="21"/>
                <w:highlight w:val="none"/>
                <w:lang w:eastAsia="zh-CN"/>
                <w14:textFill>
                  <w14:solidFill>
                    <w14:schemeClr w14:val="tx1"/>
                  </w14:solidFill>
                </w14:textFill>
              </w:rPr>
              <w:t>512500</w:t>
            </w:r>
          </w:p>
        </w:tc>
      </w:tr>
      <w:tr w14:paraId="66771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7C8B819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484" w:type="dxa"/>
            <w:gridSpan w:val="2"/>
            <w:vAlign w:val="center"/>
          </w:tcPr>
          <w:p w14:paraId="51FFAF2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1.1.2.6</w:t>
            </w:r>
          </w:p>
        </w:tc>
        <w:tc>
          <w:tcPr>
            <w:tcW w:w="7426" w:type="dxa"/>
            <w:vAlign w:val="center"/>
          </w:tcPr>
          <w:p w14:paraId="3F28DF96">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监 理 人：/</w:t>
            </w:r>
          </w:p>
          <w:p w14:paraId="48A124C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                       邮政编码：/</w:t>
            </w:r>
          </w:p>
        </w:tc>
      </w:tr>
      <w:tr w14:paraId="1C0CC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7B7F60E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484" w:type="dxa"/>
            <w:gridSpan w:val="2"/>
            <w:vAlign w:val="center"/>
          </w:tcPr>
          <w:p w14:paraId="05EA61F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1.1.2.10</w:t>
            </w:r>
          </w:p>
        </w:tc>
        <w:tc>
          <w:tcPr>
            <w:tcW w:w="7426" w:type="dxa"/>
            <w:vAlign w:val="center"/>
          </w:tcPr>
          <w:p w14:paraId="020C47A7">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1"/>
                <w:szCs w:val="21"/>
                <w:highlight w:val="none"/>
                <w14:textFill>
                  <w14:solidFill>
                    <w14:schemeClr w14:val="tx1"/>
                  </w14:solidFill>
                </w14:textFill>
              </w:rPr>
              <w:t>试验人</w:t>
            </w:r>
            <w:r>
              <w:rPr>
                <w:rFonts w:hint="eastAsia" w:ascii="宋体" w:hAnsi="宋体" w:cs="宋体"/>
                <w:color w:val="000000" w:themeColor="text1"/>
                <w:szCs w:val="21"/>
                <w:highlight w:val="none"/>
                <w14:textFill>
                  <w14:solidFill>
                    <w14:schemeClr w14:val="tx1"/>
                  </w14:solidFill>
                </w14:textFill>
              </w:rPr>
              <w:t>：/</w:t>
            </w:r>
          </w:p>
          <w:p w14:paraId="1167262B">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pacing w:val="-1"/>
                <w:szCs w:val="21"/>
                <w:highlight w:val="none"/>
                <w14:textFill>
                  <w14:solidFill>
                    <w14:schemeClr w14:val="tx1"/>
                  </w14:solidFill>
                </w14:textFill>
              </w:rPr>
              <w:t>邮政</w:t>
            </w:r>
            <w:r>
              <w:rPr>
                <w:rFonts w:hint="eastAsia" w:ascii="宋体" w:hAnsi="宋体" w:cs="宋体"/>
                <w:color w:val="000000" w:themeColor="text1"/>
                <w:szCs w:val="21"/>
                <w:highlight w:val="none"/>
                <w14:textFill>
                  <w14:solidFill>
                    <w14:schemeClr w14:val="tx1"/>
                  </w14:solidFill>
                </w14:textFill>
              </w:rPr>
              <w:t>编码：/</w:t>
            </w:r>
          </w:p>
        </w:tc>
      </w:tr>
      <w:tr w14:paraId="1F70C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6A40D3C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484" w:type="dxa"/>
            <w:gridSpan w:val="2"/>
            <w:vAlign w:val="center"/>
          </w:tcPr>
          <w:p w14:paraId="12BAD2A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1.1.4.5</w:t>
            </w:r>
          </w:p>
        </w:tc>
        <w:tc>
          <w:tcPr>
            <w:tcW w:w="7426" w:type="dxa"/>
            <w:vAlign w:val="center"/>
          </w:tcPr>
          <w:p w14:paraId="407D5610">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缺陷责任期：自实际交工日期起计算</w:t>
            </w:r>
            <w:r>
              <w:rPr>
                <w:rFonts w:hint="eastAsia" w:ascii="宋体" w:hAnsi="宋体" w:eastAsia="宋体" w:cs="宋体"/>
                <w:color w:val="000000" w:themeColor="text1"/>
                <w:sz w:val="21"/>
                <w:szCs w:val="21"/>
                <w:highlight w:val="none"/>
                <w:u w:val="single"/>
                <w14:textFill>
                  <w14:solidFill>
                    <w14:schemeClr w14:val="tx1"/>
                  </w14:solidFill>
                </w14:textFill>
              </w:rPr>
              <w:t xml:space="preserve"> 2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lang w:eastAsia="zh-CN"/>
                <w14:textFill>
                  <w14:solidFill>
                    <w14:schemeClr w14:val="tx1"/>
                  </w14:solidFill>
                </w14:textFill>
              </w:rPr>
              <w:t>，其中绿化工程自实际交工日期起计算</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个月。</w:t>
            </w:r>
          </w:p>
        </w:tc>
      </w:tr>
      <w:tr w14:paraId="1ACA08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28DA677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484" w:type="dxa"/>
            <w:gridSpan w:val="2"/>
            <w:vAlign w:val="center"/>
          </w:tcPr>
          <w:p w14:paraId="7D01C04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w:t>
            </w:r>
          </w:p>
        </w:tc>
        <w:tc>
          <w:tcPr>
            <w:tcW w:w="7426" w:type="dxa"/>
            <w:vAlign w:val="center"/>
          </w:tcPr>
          <w:p w14:paraId="594B4DD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图纸需要修改和补充的，应由监理人取得发包人同意后，在该项工程或工程相应部位施工前</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天签发图纸修改图给承包人</w:t>
            </w:r>
          </w:p>
        </w:tc>
      </w:tr>
      <w:tr w14:paraId="611A1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0233ED7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484" w:type="dxa"/>
            <w:gridSpan w:val="2"/>
            <w:vAlign w:val="center"/>
          </w:tcPr>
          <w:p w14:paraId="0DF0730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3.1.1</w:t>
            </w:r>
          </w:p>
        </w:tc>
        <w:tc>
          <w:tcPr>
            <w:tcW w:w="7426" w:type="dxa"/>
            <w:vAlign w:val="center"/>
          </w:tcPr>
          <w:p w14:paraId="1523B88F">
            <w:pPr>
              <w:keepNext w:val="0"/>
              <w:keepLines w:val="0"/>
              <w:suppressLineNumbers w:val="0"/>
              <w:spacing w:before="0" w:beforeAutospacing="0" w:after="0" w:afterAutospacing="0"/>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监理人在行使下列权力前需要经发包人事先批准：</w:t>
            </w:r>
          </w:p>
          <w:p w14:paraId="4B7A22C2">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（6）根据第15.3款发出的变更指示，均需要经发包人事先批准</w:t>
            </w:r>
          </w:p>
        </w:tc>
      </w:tr>
      <w:tr w14:paraId="33D66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8AE915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484" w:type="dxa"/>
            <w:gridSpan w:val="2"/>
            <w:vAlign w:val="center"/>
          </w:tcPr>
          <w:p w14:paraId="65930FF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4.6.3(1)</w:t>
            </w:r>
          </w:p>
        </w:tc>
        <w:tc>
          <w:tcPr>
            <w:tcW w:w="7426" w:type="dxa"/>
            <w:vAlign w:val="top"/>
          </w:tcPr>
          <w:p w14:paraId="7A54EB0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需缴纳违约金金额：项目经理</w:t>
            </w:r>
            <w:r>
              <w:rPr>
                <w:rFonts w:hint="eastAsia" w:ascii="宋体" w:hAnsi="宋体" w:eastAsia="宋体" w:cs="宋体"/>
                <w:color w:val="000000" w:themeColor="text1"/>
                <w:szCs w:val="21"/>
                <w:highlight w:val="none"/>
                <w14:textFill>
                  <w14:solidFill>
                    <w14:schemeClr w14:val="tx1"/>
                  </w14:solidFill>
                </w14:textFill>
              </w:rPr>
              <w:t>0.6</w:t>
            </w:r>
            <w:r>
              <w:rPr>
                <w:rFonts w:hint="eastAsia" w:ascii="宋体" w:hAnsi="宋体" w:eastAsia="宋体" w:cs="宋体"/>
                <w:color w:val="000000" w:themeColor="text1"/>
                <w:sz w:val="21"/>
                <w:szCs w:val="21"/>
                <w:highlight w:val="none"/>
                <w14:textFill>
                  <w14:solidFill>
                    <w14:schemeClr w14:val="tx1"/>
                  </w14:solidFill>
                </w14:textFill>
              </w:rPr>
              <w:t>万元/人次，总工程师</w:t>
            </w:r>
            <w:r>
              <w:rPr>
                <w:rFonts w:hint="eastAsia" w:ascii="宋体" w:hAnsi="宋体" w:eastAsia="宋体" w:cs="宋体"/>
                <w:color w:val="000000" w:themeColor="text1"/>
                <w:szCs w:val="21"/>
                <w:highlight w:val="none"/>
                <w14:textFill>
                  <w14:solidFill>
                    <w14:schemeClr w14:val="tx1"/>
                  </w14:solidFill>
                </w14:textFill>
              </w:rPr>
              <w:t>0.5</w:t>
            </w:r>
            <w:r>
              <w:rPr>
                <w:rFonts w:hint="eastAsia" w:ascii="宋体" w:hAnsi="宋体" w:eastAsia="宋体" w:cs="宋体"/>
                <w:color w:val="000000" w:themeColor="text1"/>
                <w:sz w:val="21"/>
                <w:szCs w:val="21"/>
                <w:highlight w:val="none"/>
                <w14:textFill>
                  <w14:solidFill>
                    <w14:schemeClr w14:val="tx1"/>
                  </w14:solidFill>
                </w14:textFill>
              </w:rPr>
              <w:t>万元/人次，其他主要管理人员</w:t>
            </w:r>
            <w:r>
              <w:rPr>
                <w:rFonts w:hint="eastAsia" w:ascii="宋体" w:hAnsi="宋体" w:eastAsia="宋体" w:cs="宋体"/>
                <w:color w:val="000000" w:themeColor="text1"/>
                <w:szCs w:val="21"/>
                <w:highlight w:val="none"/>
                <w14:textFill>
                  <w14:solidFill>
                    <w14:schemeClr w14:val="tx1"/>
                  </w14:solidFill>
                </w14:textFill>
              </w:rPr>
              <w:t>0.3</w:t>
            </w:r>
            <w:r>
              <w:rPr>
                <w:rFonts w:hint="eastAsia" w:ascii="宋体" w:hAnsi="宋体" w:eastAsia="宋体" w:cs="宋体"/>
                <w:color w:val="000000" w:themeColor="text1"/>
                <w:sz w:val="21"/>
                <w:szCs w:val="21"/>
                <w:highlight w:val="none"/>
                <w14:textFill>
                  <w14:solidFill>
                    <w14:schemeClr w14:val="tx1"/>
                  </w14:solidFill>
                </w14:textFill>
              </w:rPr>
              <w:t>万元/人次。</w:t>
            </w:r>
          </w:p>
        </w:tc>
      </w:tr>
      <w:tr w14:paraId="4EAB63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F19ADB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484" w:type="dxa"/>
            <w:gridSpan w:val="2"/>
            <w:vAlign w:val="center"/>
          </w:tcPr>
          <w:p w14:paraId="1EC9115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5.2.1</w:t>
            </w:r>
          </w:p>
        </w:tc>
        <w:tc>
          <w:tcPr>
            <w:tcW w:w="7426" w:type="dxa"/>
            <w:vAlign w:val="center"/>
          </w:tcPr>
          <w:p w14:paraId="078EFC8E">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发包人是否提供材料或工程设备：</w:t>
            </w:r>
            <w:r>
              <w:rPr>
                <w:rFonts w:hint="eastAsia" w:ascii="宋体" w:hAnsi="宋体" w:cs="宋体"/>
                <w:color w:val="000000" w:themeColor="text1"/>
                <w:szCs w:val="21"/>
                <w:highlight w:val="none"/>
                <w:u w:val="single"/>
                <w14:textFill>
                  <w14:solidFill>
                    <w14:schemeClr w14:val="tx1"/>
                  </w14:solidFill>
                </w14:textFill>
              </w:rPr>
              <w:t>否</w:t>
            </w:r>
          </w:p>
          <w:p w14:paraId="38CF5BB6">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如发包人负责提供部分材料或工程设备，相关规定如下：</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7A28A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6E03558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484" w:type="dxa"/>
            <w:gridSpan w:val="2"/>
            <w:vAlign w:val="center"/>
          </w:tcPr>
          <w:p w14:paraId="0D249BC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w:t>
            </w:r>
          </w:p>
        </w:tc>
        <w:tc>
          <w:tcPr>
            <w:tcW w:w="7426" w:type="dxa"/>
            <w:vAlign w:val="center"/>
          </w:tcPr>
          <w:p w14:paraId="73C47F5C">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发包人是否提供施工设备和临时设施：</w:t>
            </w:r>
            <w:r>
              <w:rPr>
                <w:rFonts w:hint="eastAsia" w:ascii="宋体" w:hAnsi="宋体" w:cs="宋体"/>
                <w:color w:val="000000" w:themeColor="text1"/>
                <w:szCs w:val="21"/>
                <w:highlight w:val="none"/>
                <w:u w:val="single"/>
                <w14:textFill>
                  <w14:solidFill>
                    <w14:schemeClr w14:val="tx1"/>
                  </w14:solidFill>
                </w14:textFill>
              </w:rPr>
              <w:t>否</w:t>
            </w:r>
          </w:p>
          <w:p w14:paraId="3437A29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如发包人负责提供部分施工设备和临时设施，相关规定如下：</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089B5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6" w:type="dxa"/>
            <w:vAlign w:val="center"/>
          </w:tcPr>
          <w:p w14:paraId="38CDC2B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484" w:type="dxa"/>
            <w:gridSpan w:val="2"/>
            <w:vAlign w:val="center"/>
          </w:tcPr>
          <w:p w14:paraId="30212EB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8.1.1</w:t>
            </w:r>
          </w:p>
        </w:tc>
        <w:tc>
          <w:tcPr>
            <w:tcW w:w="7426" w:type="dxa"/>
            <w:vAlign w:val="center"/>
          </w:tcPr>
          <w:p w14:paraId="49EDEBA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发包人提供测量基准点、基准线和水准点及其书面资料的期限：</w:t>
            </w:r>
            <w:r>
              <w:rPr>
                <w:rFonts w:hint="eastAsia" w:ascii="宋体" w:hAnsi="宋体" w:cs="宋体"/>
                <w:color w:val="000000" w:themeColor="text1"/>
                <w:szCs w:val="21"/>
                <w:highlight w:val="none"/>
                <w:u w:val="single"/>
                <w14:textFill>
                  <w14:solidFill>
                    <w14:schemeClr w14:val="tx1"/>
                  </w14:solidFill>
                </w14:textFill>
              </w:rPr>
              <w:t>在签订施工承包合同后一个月内。</w:t>
            </w:r>
          </w:p>
          <w:p w14:paraId="6DF2AD6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承包人将施工控制网资料报送监理人审批的期限：</w:t>
            </w:r>
            <w:r>
              <w:rPr>
                <w:rFonts w:hint="eastAsia" w:ascii="宋体" w:hAnsi="宋体" w:cs="宋体"/>
                <w:color w:val="000000" w:themeColor="text1"/>
                <w:szCs w:val="21"/>
                <w:highlight w:val="none"/>
                <w:u w:val="single"/>
                <w14:textFill>
                  <w14:solidFill>
                    <w14:schemeClr w14:val="tx1"/>
                  </w14:solidFill>
                </w14:textFill>
              </w:rPr>
              <w:t>在收到发包人提供的上述资料一个月内。</w:t>
            </w:r>
          </w:p>
        </w:tc>
      </w:tr>
      <w:tr w14:paraId="49C99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4C4BD4E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484" w:type="dxa"/>
            <w:gridSpan w:val="2"/>
            <w:vAlign w:val="center"/>
          </w:tcPr>
          <w:p w14:paraId="49C55F4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11.3（2）</w:t>
            </w:r>
          </w:p>
        </w:tc>
        <w:tc>
          <w:tcPr>
            <w:tcW w:w="7426" w:type="dxa"/>
            <w:vAlign w:val="center"/>
          </w:tcPr>
          <w:p w14:paraId="3AAFE855">
            <w:pPr>
              <w:keepNext w:val="0"/>
              <w:keepLines w:val="0"/>
              <w:suppressLineNumbers w:val="0"/>
              <w:spacing w:before="0" w:beforeAutospacing="0" w:after="0" w:afterAutospacing="0"/>
              <w:ind w:left="0" w:right="0"/>
              <w:jc w:val="left"/>
              <w:rPr>
                <w:rFonts w:hint="eastAsia" w:ascii="宋体" w:hAnsi="宋体" w:eastAsia="宋体" w:cs="宋体"/>
                <w:color w:val="000000" w:themeColor="text1"/>
                <w:sz w:val="21"/>
                <w:szCs w:val="21"/>
                <w:highlight w:val="none"/>
                <w:shd w:val="clear" w:color="auto" w:fill="auto"/>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如顺延合同工期在</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shd w:val="clear" w:color="auto" w:fill="auto"/>
                <w:lang w:val="en-US" w:eastAsia="zh-CN"/>
                <w14:textFill>
                  <w14:solidFill>
                    <w14:schemeClr w14:val="tx1"/>
                  </w14:solidFill>
                </w14:textFill>
              </w:rPr>
              <w:t>6</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个月及以内的，发包人将不予增加费用；</w:t>
            </w:r>
          </w:p>
          <w:p w14:paraId="286FF8BC">
            <w:pPr>
              <w:keepNext w:val="0"/>
              <w:keepLines w:val="0"/>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如顺延合同工期在</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shd w:val="clear" w:color="auto" w:fill="auto"/>
                <w:lang w:val="en-US" w:eastAsia="zh-CN"/>
                <w14:textFill>
                  <w14:solidFill>
                    <w14:schemeClr w14:val="tx1"/>
                  </w14:solidFill>
                </w14:textFill>
              </w:rPr>
              <w:t>6</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个月以上的，发包人将按如下原则给予补偿：</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详见 专用合同条款</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w:t>
            </w:r>
          </w:p>
        </w:tc>
      </w:tr>
      <w:tr w14:paraId="296D6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6215443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484" w:type="dxa"/>
            <w:gridSpan w:val="2"/>
            <w:vAlign w:val="center"/>
          </w:tcPr>
          <w:p w14:paraId="3293E28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11.3（4）</w:t>
            </w:r>
          </w:p>
        </w:tc>
        <w:tc>
          <w:tcPr>
            <w:tcW w:w="7426" w:type="dxa"/>
            <w:vAlign w:val="center"/>
          </w:tcPr>
          <w:p w14:paraId="310170C7">
            <w:pPr>
              <w:keepNext w:val="0"/>
              <w:keepLines w:val="0"/>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仅对超出</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shd w:val="clear" w:color="auto" w:fill="auto"/>
                <w:lang w:val="en-US" w:eastAsia="zh-CN"/>
                <w14:textFill>
                  <w14:solidFill>
                    <w14:schemeClr w14:val="tx1"/>
                  </w14:solidFill>
                </w14:textFill>
              </w:rPr>
              <w:t>6</w:t>
            </w:r>
            <w:r>
              <w:rPr>
                <w:rFonts w:hint="eastAsia" w:ascii="宋体" w:hAnsi="宋体" w:eastAsia="宋体" w:cs="宋体"/>
                <w:color w:val="000000" w:themeColor="text1"/>
                <w:sz w:val="21"/>
                <w:szCs w:val="21"/>
                <w:highlight w:val="none"/>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个月以上部分进行补偿。</w:t>
            </w:r>
          </w:p>
        </w:tc>
      </w:tr>
      <w:tr w14:paraId="28CF14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7C97E0D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1484" w:type="dxa"/>
            <w:gridSpan w:val="2"/>
            <w:vAlign w:val="center"/>
          </w:tcPr>
          <w:p w14:paraId="13E1D25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11.5（3）</w:t>
            </w:r>
          </w:p>
        </w:tc>
        <w:tc>
          <w:tcPr>
            <w:tcW w:w="7426" w:type="dxa"/>
            <w:vAlign w:val="center"/>
          </w:tcPr>
          <w:p w14:paraId="60233617">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逾期交工违约金：</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u w:val="single"/>
                <w14:textFill>
                  <w14:solidFill>
                    <w14:schemeClr w14:val="tx1"/>
                  </w14:solidFill>
                </w14:textFill>
              </w:rPr>
              <w:t>000元/天</w:t>
            </w:r>
          </w:p>
        </w:tc>
      </w:tr>
      <w:tr w14:paraId="7F336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5984A6D">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1484" w:type="dxa"/>
            <w:gridSpan w:val="2"/>
            <w:vAlign w:val="center"/>
          </w:tcPr>
          <w:p w14:paraId="2A27FC3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11.5（3）</w:t>
            </w:r>
          </w:p>
        </w:tc>
        <w:tc>
          <w:tcPr>
            <w:tcW w:w="7426" w:type="dxa"/>
            <w:vAlign w:val="center"/>
          </w:tcPr>
          <w:p w14:paraId="7C6C95DF">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逾期交工违约金限额：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10 </w:t>
            </w:r>
            <w:r>
              <w:rPr>
                <w:rFonts w:hint="eastAsia" w:ascii="宋体" w:hAnsi="宋体" w:eastAsia="宋体" w:cs="宋体"/>
                <w:color w:val="000000" w:themeColor="text1"/>
                <w:sz w:val="21"/>
                <w:szCs w:val="21"/>
                <w:highlight w:val="none"/>
                <w14:textFill>
                  <w14:solidFill>
                    <w14:schemeClr w14:val="tx1"/>
                  </w14:solidFill>
                </w14:textFill>
              </w:rPr>
              <w:t>%签约合同价</w:t>
            </w:r>
          </w:p>
        </w:tc>
      </w:tr>
      <w:tr w14:paraId="758FF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735FE104">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1484" w:type="dxa"/>
            <w:gridSpan w:val="2"/>
            <w:vAlign w:val="center"/>
          </w:tcPr>
          <w:p w14:paraId="209A8E7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11.6</w:t>
            </w:r>
          </w:p>
        </w:tc>
        <w:tc>
          <w:tcPr>
            <w:tcW w:w="7426" w:type="dxa"/>
            <w:vAlign w:val="center"/>
          </w:tcPr>
          <w:p w14:paraId="01C32AF2">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提前交工的奖金：</w:t>
            </w:r>
            <w:r>
              <w:rPr>
                <w:rFonts w:hint="eastAsia" w:ascii="宋体" w:hAnsi="宋体" w:eastAsia="宋体" w:cs="宋体"/>
                <w:color w:val="000000" w:themeColor="text1"/>
                <w:sz w:val="21"/>
                <w:szCs w:val="21"/>
                <w:highlight w:val="none"/>
                <w:u w:val="single"/>
                <w14:textFill>
                  <w14:solidFill>
                    <w14:schemeClr w14:val="tx1"/>
                  </w14:solidFill>
                </w14:textFill>
              </w:rPr>
              <w:t xml:space="preserve">  0  </w:t>
            </w:r>
            <w:r>
              <w:rPr>
                <w:rFonts w:hint="eastAsia" w:ascii="宋体" w:hAnsi="宋体" w:eastAsia="宋体" w:cs="宋体"/>
                <w:color w:val="000000" w:themeColor="text1"/>
                <w:sz w:val="21"/>
                <w:szCs w:val="21"/>
                <w:highlight w:val="none"/>
                <w14:textFill>
                  <w14:solidFill>
                    <w14:schemeClr w14:val="tx1"/>
                  </w14:solidFill>
                </w14:textFill>
              </w:rPr>
              <w:t>元/天</w:t>
            </w:r>
          </w:p>
        </w:tc>
      </w:tr>
      <w:tr w14:paraId="1DCA4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C2DDCE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1484" w:type="dxa"/>
            <w:gridSpan w:val="2"/>
            <w:vAlign w:val="center"/>
          </w:tcPr>
          <w:p w14:paraId="051FC0E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11.6</w:t>
            </w:r>
          </w:p>
        </w:tc>
        <w:tc>
          <w:tcPr>
            <w:tcW w:w="7426" w:type="dxa"/>
            <w:vAlign w:val="center"/>
          </w:tcPr>
          <w:p w14:paraId="2DCB0EF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提前交工的奖金限额：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0  </w:t>
            </w:r>
            <w:r>
              <w:rPr>
                <w:rFonts w:hint="eastAsia" w:ascii="宋体" w:hAnsi="宋体" w:eastAsia="宋体" w:cs="宋体"/>
                <w:color w:val="000000" w:themeColor="text1"/>
                <w:sz w:val="21"/>
                <w:szCs w:val="21"/>
                <w:highlight w:val="none"/>
                <w14:textFill>
                  <w14:solidFill>
                    <w14:schemeClr w14:val="tx1"/>
                  </w14:solidFill>
                </w14:textFill>
              </w:rPr>
              <w:t>%签约合同价</w:t>
            </w:r>
          </w:p>
        </w:tc>
      </w:tr>
      <w:tr w14:paraId="6A213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68C8CBB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w:t>
            </w:r>
          </w:p>
        </w:tc>
        <w:tc>
          <w:tcPr>
            <w:tcW w:w="1484" w:type="dxa"/>
            <w:gridSpan w:val="2"/>
            <w:vAlign w:val="center"/>
          </w:tcPr>
          <w:p w14:paraId="7685277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13.11</w:t>
            </w:r>
          </w:p>
        </w:tc>
        <w:tc>
          <w:tcPr>
            <w:tcW w:w="7426" w:type="dxa"/>
            <w:vAlign w:val="center"/>
          </w:tcPr>
          <w:p w14:paraId="713B5E4D">
            <w:pPr>
              <w:keepNext w:val="0"/>
              <w:keepLines w:val="0"/>
              <w:suppressLineNumbers w:val="0"/>
              <w:spacing w:before="0" w:beforeAutospacing="0" w:after="0" w:afterAutospacing="0" w:line="243" w:lineRule="auto"/>
              <w:ind w:left="0" w:right="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优质优价价款：合同工程量清单第200章~900章合计金额的</w:t>
            </w:r>
            <w:r>
              <w:rPr>
                <w:rFonts w:hint="eastAsia" w:ascii="宋体" w:hAnsi="宋体" w:eastAsia="宋体" w:cs="宋体"/>
                <w:color w:val="000000" w:themeColor="text1"/>
                <w:sz w:val="21"/>
                <w:szCs w:val="21"/>
                <w:highlight w:val="none"/>
                <w:u w:val="single"/>
                <w14:textFill>
                  <w14:solidFill>
                    <w14:schemeClr w14:val="tx1"/>
                  </w14:solidFill>
                </w14:textFill>
              </w:rPr>
              <w:t xml:space="preserve"> 0 </w:t>
            </w:r>
            <w:r>
              <w:rPr>
                <w:rFonts w:hint="eastAsia" w:ascii="宋体" w:hAnsi="宋体" w:eastAsia="宋体" w:cs="宋体"/>
                <w:color w:val="000000" w:themeColor="text1"/>
                <w:sz w:val="21"/>
                <w:szCs w:val="21"/>
                <w:highlight w:val="none"/>
                <w14:textFill>
                  <w14:solidFill>
                    <w14:schemeClr w14:val="tx1"/>
                  </w14:solidFill>
                </w14:textFill>
              </w:rPr>
              <w:t>% (含税金)</w:t>
            </w:r>
          </w:p>
        </w:tc>
      </w:tr>
      <w:tr w14:paraId="4599F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BD330C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p>
        </w:tc>
        <w:tc>
          <w:tcPr>
            <w:tcW w:w="1484" w:type="dxa"/>
            <w:gridSpan w:val="2"/>
            <w:vAlign w:val="center"/>
          </w:tcPr>
          <w:p w14:paraId="1B3CE90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15.4.4.2</w:t>
            </w:r>
          </w:p>
        </w:tc>
        <w:tc>
          <w:tcPr>
            <w:tcW w:w="7426" w:type="dxa"/>
            <w:vAlign w:val="center"/>
          </w:tcPr>
          <w:p w14:paraId="1CEDF9B3">
            <w:pPr>
              <w:pStyle w:val="56"/>
              <w:keepNext w:val="0"/>
              <w:keepLines w:val="0"/>
              <w:suppressLineNumbers w:val="0"/>
              <w:spacing w:before="0" w:beforeAutospacing="0" w:after="0" w:afterAutospacing="0" w:line="240" w:lineRule="auto"/>
              <w:ind w:left="0" w:right="0" w:firstLine="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应急抢险工程变更金额确定原则：</w:t>
            </w:r>
          </w:p>
          <w:p w14:paraId="08E852CF">
            <w:pPr>
              <w:pStyle w:val="56"/>
              <w:keepNext w:val="0"/>
              <w:keepLines w:val="0"/>
              <w:suppressLineNumbers w:val="0"/>
              <w:spacing w:before="0" w:beforeAutospacing="0" w:after="0" w:afterAutospacing="0" w:line="240" w:lineRule="auto"/>
              <w:ind w:left="0" w:right="0" w:firstLine="0"/>
              <w:rPr>
                <w:rFonts w:hint="default"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□变更金额=审批的变更预算</w:t>
            </w:r>
          </w:p>
          <w:p w14:paraId="208E2EEA">
            <w:pPr>
              <w:pStyle w:val="56"/>
              <w:keepNext w:val="0"/>
              <w:keepLines w:val="0"/>
              <w:suppressLineNumbers w:val="0"/>
              <w:spacing w:before="0" w:beforeAutospacing="0" w:after="0" w:afterAutospacing="0" w:line="240" w:lineRule="auto"/>
              <w:ind w:left="0" w:right="0" w:firstLine="0"/>
              <w:rPr>
                <w:rFonts w:hint="default" w:ascii="宋体" w:hAnsi="宋体" w:cs="宋体"/>
                <w:i/>
                <w:iCs/>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fldChar w:fldCharType="begin"/>
            </w:r>
            <w:r>
              <w:rPr>
                <w:rFonts w:hint="eastAsia" w:ascii="宋体" w:hAnsi="宋体" w:cs="宋体"/>
                <w:color w:val="000000" w:themeColor="text1"/>
                <w:sz w:val="21"/>
                <w:szCs w:val="21"/>
                <w:highlight w:val="none"/>
                <w14:textFill>
                  <w14:solidFill>
                    <w14:schemeClr w14:val="tx1"/>
                  </w14:solidFill>
                </w14:textFill>
              </w:rPr>
              <w:instrText xml:space="preserve"> eq \o\ac(</w:instrText>
            </w:r>
            <w:r>
              <w:rPr>
                <w:rFonts w:hint="eastAsia" w:ascii="宋体" w:hAnsi="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sz w:val="21"/>
                <w:szCs w:val="21"/>
                <w:highlight w:val="none"/>
                <w14:textFill>
                  <w14:solidFill>
                    <w14:schemeClr w14:val="tx1"/>
                  </w14:solidFill>
                </w14:textFill>
              </w:rPr>
              <w:instrText xml:space="preserve">,√)</w:instrText>
            </w:r>
            <w:r>
              <w:rPr>
                <w:rFonts w:hint="eastAsia" w:ascii="宋体" w:hAnsi="宋体" w:cs="宋体"/>
                <w:color w:val="000000" w:themeColor="text1"/>
                <w:sz w:val="21"/>
                <w:szCs w:val="21"/>
                <w:highlight w:val="none"/>
                <w14:textFill>
                  <w14:solidFill>
                    <w14:schemeClr w14:val="tx1"/>
                  </w14:solidFill>
                </w14:textFill>
              </w:rPr>
              <w:fldChar w:fldCharType="end"/>
            </w:r>
            <w:r>
              <w:rPr>
                <w:rFonts w:hint="eastAsia" w:ascii="宋体" w:hAnsi="宋体" w:cs="宋体"/>
                <w:color w:val="000000" w:themeColor="text1"/>
                <w:sz w:val="21"/>
                <w:szCs w:val="21"/>
                <w:highlight w:val="none"/>
                <w14:textFill>
                  <w14:solidFill>
                    <w14:schemeClr w14:val="tx1"/>
                  </w14:solidFill>
                </w14:textFill>
              </w:rPr>
              <w:t>变更金额=审批的变更预算×（1-中标下浮率）</w:t>
            </w:r>
          </w:p>
        </w:tc>
      </w:tr>
      <w:tr w14:paraId="02CFD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7E10F8C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1484" w:type="dxa"/>
            <w:gridSpan w:val="2"/>
            <w:vAlign w:val="center"/>
          </w:tcPr>
          <w:p w14:paraId="7790A47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15.5.2</w:t>
            </w:r>
          </w:p>
        </w:tc>
        <w:tc>
          <w:tcPr>
            <w:tcW w:w="7426" w:type="dxa"/>
            <w:vAlign w:val="center"/>
          </w:tcPr>
          <w:p w14:paraId="073AC040">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承包人提出的合理化建议降低了合同价格或者提高了工程经济效益的，发包人按所节约成本的</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%或增加收益的</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%给予奖励。</w:t>
            </w:r>
          </w:p>
        </w:tc>
      </w:tr>
      <w:tr w14:paraId="2F34D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4FC264B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484" w:type="dxa"/>
            <w:gridSpan w:val="2"/>
            <w:vAlign w:val="center"/>
          </w:tcPr>
          <w:p w14:paraId="09FD2BAF">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w:t>
            </w:r>
          </w:p>
        </w:tc>
        <w:tc>
          <w:tcPr>
            <w:tcW w:w="7426" w:type="dxa"/>
            <w:vAlign w:val="center"/>
          </w:tcPr>
          <w:p w14:paraId="2AB2387C">
            <w:pPr>
              <w:keepNext w:val="0"/>
              <w:keepLines w:val="0"/>
              <w:suppressLineNumbers w:val="0"/>
              <w:spacing w:before="0" w:beforeAutospacing="0" w:after="0" w:afterAutospacing="0" w:line="40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□因物价波动引起的价格调整按照第16.1项约定的原则处理</w:t>
            </w:r>
          </w:p>
          <w:p w14:paraId="6FB2448E">
            <w:pPr>
              <w:keepNext w:val="0"/>
              <w:keepLines w:val="0"/>
              <w:suppressLineNumbers w:val="0"/>
              <w:spacing w:before="0" w:beforeAutospacing="0" w:after="0" w:afterAutospacing="0" w:line="40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eq \o\ac(</w:instrText>
            </w:r>
            <w:r>
              <w:rPr>
                <w:rFonts w:hint="eastAsia" w:ascii="宋体" w:hAnsi="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合同期内不调价</w:t>
            </w:r>
          </w:p>
        </w:tc>
      </w:tr>
      <w:tr w14:paraId="7DF76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3DED786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1484" w:type="dxa"/>
            <w:gridSpan w:val="2"/>
            <w:vAlign w:val="center"/>
          </w:tcPr>
          <w:p w14:paraId="79528A7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17.1.7</w:t>
            </w:r>
          </w:p>
        </w:tc>
        <w:tc>
          <w:tcPr>
            <w:tcW w:w="7426" w:type="dxa"/>
            <w:vAlign w:val="center"/>
          </w:tcPr>
          <w:p w14:paraId="3C3BC855">
            <w:pPr>
              <w:keepNext w:val="0"/>
              <w:keepLines w:val="0"/>
              <w:suppressLineNumbers w:val="0"/>
              <w:spacing w:before="0" w:beforeAutospacing="0" w:after="0" w:afterAutospacing="0" w:line="40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路面备料款的暂定计量和支付：</w:t>
            </w:r>
          </w:p>
          <w:p w14:paraId="3B00C33F">
            <w:pPr>
              <w:keepNext w:val="0"/>
              <w:keepLines w:val="0"/>
              <w:suppressLineNumbers w:val="0"/>
              <w:spacing w:before="0" w:beforeAutospacing="0" w:after="0" w:afterAutospacing="0" w:line="40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计量数量：以承包人实际进场并经监理人和发包人代表验收确认数量的</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%计。</w:t>
            </w:r>
          </w:p>
        </w:tc>
      </w:tr>
      <w:tr w14:paraId="79B4E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0623318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1484" w:type="dxa"/>
            <w:gridSpan w:val="2"/>
            <w:vAlign w:val="center"/>
          </w:tcPr>
          <w:p w14:paraId="1A58CB6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17.2.1（1）</w:t>
            </w:r>
          </w:p>
        </w:tc>
        <w:tc>
          <w:tcPr>
            <w:tcW w:w="7426" w:type="dxa"/>
            <w:vAlign w:val="center"/>
          </w:tcPr>
          <w:p w14:paraId="0B8039D0">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开工预付款金额：</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 xml:space="preserve">0 </w:t>
            </w:r>
            <w:r>
              <w:rPr>
                <w:rFonts w:hint="eastAsia" w:ascii="宋体" w:hAnsi="宋体" w:cs="宋体"/>
                <w:color w:val="000000" w:themeColor="text1"/>
                <w:szCs w:val="21"/>
                <w:highlight w:val="none"/>
                <w14:textFill>
                  <w14:solidFill>
                    <w14:schemeClr w14:val="tx1"/>
                  </w14:solidFill>
                </w14:textFill>
              </w:rPr>
              <w:t>%签约合同价</w:t>
            </w:r>
          </w:p>
        </w:tc>
      </w:tr>
      <w:tr w14:paraId="4D18F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DE50FD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w:t>
            </w:r>
          </w:p>
        </w:tc>
        <w:tc>
          <w:tcPr>
            <w:tcW w:w="1484" w:type="dxa"/>
            <w:gridSpan w:val="2"/>
            <w:vAlign w:val="center"/>
          </w:tcPr>
          <w:p w14:paraId="4F67BB4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17.2.1（2）</w:t>
            </w:r>
          </w:p>
        </w:tc>
        <w:tc>
          <w:tcPr>
            <w:tcW w:w="7426" w:type="dxa"/>
            <w:vAlign w:val="center"/>
          </w:tcPr>
          <w:p w14:paraId="02227BA5">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材料、设备预付款比例：</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等主要材料、设备单据所列费用的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0</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tc>
      </w:tr>
      <w:tr w14:paraId="3E63D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46CE01E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w:t>
            </w:r>
          </w:p>
        </w:tc>
        <w:tc>
          <w:tcPr>
            <w:tcW w:w="1484" w:type="dxa"/>
            <w:gridSpan w:val="2"/>
            <w:vAlign w:val="center"/>
          </w:tcPr>
          <w:p w14:paraId="3DE1935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17.3.2</w:t>
            </w:r>
          </w:p>
        </w:tc>
        <w:tc>
          <w:tcPr>
            <w:tcW w:w="7426" w:type="dxa"/>
            <w:vAlign w:val="center"/>
          </w:tcPr>
          <w:p w14:paraId="44AFAE0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承包人在每个付款周期末向监理人提交进度付款申请单的份数：</w:t>
            </w:r>
            <w:r>
              <w:rPr>
                <w:rFonts w:hint="eastAsia" w:ascii="宋体" w:hAnsi="宋体" w:cs="宋体"/>
                <w:color w:val="000000" w:themeColor="text1"/>
                <w:szCs w:val="21"/>
                <w:highlight w:val="none"/>
                <w:u w:val="single"/>
                <w14:textFill>
                  <w14:solidFill>
                    <w14:schemeClr w14:val="tx1"/>
                  </w14:solidFill>
                </w14:textFill>
              </w:rPr>
              <w:t xml:space="preserve"> 6 </w:t>
            </w:r>
            <w:r>
              <w:rPr>
                <w:rFonts w:hint="eastAsia" w:ascii="宋体" w:hAnsi="宋体" w:cs="宋体"/>
                <w:color w:val="000000" w:themeColor="text1"/>
                <w:szCs w:val="21"/>
                <w:highlight w:val="none"/>
                <w14:textFill>
                  <w14:solidFill>
                    <w14:schemeClr w14:val="tx1"/>
                  </w14:solidFill>
                </w14:textFill>
              </w:rPr>
              <w:t>份</w:t>
            </w:r>
          </w:p>
        </w:tc>
      </w:tr>
      <w:tr w14:paraId="2BBFF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3F27F99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w:t>
            </w:r>
          </w:p>
        </w:tc>
        <w:tc>
          <w:tcPr>
            <w:tcW w:w="1484" w:type="dxa"/>
            <w:gridSpan w:val="2"/>
            <w:vAlign w:val="center"/>
          </w:tcPr>
          <w:p w14:paraId="7165917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17.3.3（1）</w:t>
            </w:r>
          </w:p>
        </w:tc>
        <w:tc>
          <w:tcPr>
            <w:tcW w:w="7426" w:type="dxa"/>
            <w:vAlign w:val="center"/>
          </w:tcPr>
          <w:p w14:paraId="2C5EBCD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进度付款证书最低限额：</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u w:val="singl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万元</w:t>
            </w:r>
          </w:p>
        </w:tc>
      </w:tr>
      <w:tr w14:paraId="6FD72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3B18E5C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w:t>
            </w:r>
          </w:p>
        </w:tc>
        <w:tc>
          <w:tcPr>
            <w:tcW w:w="1484" w:type="dxa"/>
            <w:gridSpan w:val="2"/>
            <w:vAlign w:val="center"/>
          </w:tcPr>
          <w:p w14:paraId="2D92AA9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17.3.3（2）</w:t>
            </w:r>
          </w:p>
        </w:tc>
        <w:tc>
          <w:tcPr>
            <w:tcW w:w="7426" w:type="dxa"/>
            <w:vAlign w:val="center"/>
          </w:tcPr>
          <w:p w14:paraId="33273D3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逾期付款违约金的利率：</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‰/天</w:t>
            </w:r>
          </w:p>
        </w:tc>
      </w:tr>
      <w:tr w14:paraId="551CF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50ADB35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w:t>
            </w:r>
          </w:p>
        </w:tc>
        <w:tc>
          <w:tcPr>
            <w:tcW w:w="1484" w:type="dxa"/>
            <w:gridSpan w:val="2"/>
            <w:vAlign w:val="center"/>
          </w:tcPr>
          <w:p w14:paraId="3F85237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17.4.1</w:t>
            </w:r>
          </w:p>
        </w:tc>
        <w:tc>
          <w:tcPr>
            <w:tcW w:w="7426" w:type="dxa"/>
            <w:vAlign w:val="center"/>
          </w:tcPr>
          <w:p w14:paraId="221E446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质量保证金限额：</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%合同价格，若交工验收时承包人具备被招标项目所在地省级交通运输主管部门评定的最高信用等级，发包人给予</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%合同价格质量保证金的优惠。</w:t>
            </w:r>
          </w:p>
          <w:p w14:paraId="537EC83C">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质量保证金是否计付利息：</w:t>
            </w:r>
          </w:p>
          <w:p w14:paraId="70184C0B">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□是，利息的计算方式：</w:t>
            </w:r>
          </w:p>
          <w:p w14:paraId="5C4A353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eq \o\ac(</w:instrText>
            </w:r>
            <w:r>
              <w:rPr>
                <w:rFonts w:hint="eastAsia" w:ascii="宋体" w:hAnsi="宋体" w:cs="宋体"/>
                <w:color w:val="000000" w:themeColor="text1"/>
                <w:position w:val="-4"/>
                <w:sz w:val="3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instrText xml:space="preserve">,√)</w:instrTex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否</w:t>
            </w:r>
          </w:p>
        </w:tc>
      </w:tr>
      <w:tr w14:paraId="5FE01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856" w:type="dxa"/>
            <w:vAlign w:val="center"/>
          </w:tcPr>
          <w:p w14:paraId="6A885D7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w:t>
            </w:r>
          </w:p>
        </w:tc>
        <w:tc>
          <w:tcPr>
            <w:tcW w:w="1484" w:type="dxa"/>
            <w:gridSpan w:val="2"/>
            <w:vAlign w:val="center"/>
          </w:tcPr>
          <w:p w14:paraId="234BF40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17.5.1（1）</w:t>
            </w:r>
          </w:p>
        </w:tc>
        <w:tc>
          <w:tcPr>
            <w:tcW w:w="7426" w:type="dxa"/>
            <w:vAlign w:val="center"/>
          </w:tcPr>
          <w:p w14:paraId="1C6EF0AC">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承包人向监理人提交交工付款申请单（包括相关证明材料）的份数：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份</w:t>
            </w:r>
          </w:p>
        </w:tc>
      </w:tr>
      <w:tr w14:paraId="3119F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856" w:type="dxa"/>
            <w:vAlign w:val="center"/>
          </w:tcPr>
          <w:p w14:paraId="406A6713">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w:t>
            </w:r>
          </w:p>
        </w:tc>
        <w:tc>
          <w:tcPr>
            <w:tcW w:w="1484" w:type="dxa"/>
            <w:gridSpan w:val="2"/>
            <w:vAlign w:val="center"/>
          </w:tcPr>
          <w:p w14:paraId="47E3B4CC">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17.6.1（1）</w:t>
            </w:r>
          </w:p>
        </w:tc>
        <w:tc>
          <w:tcPr>
            <w:tcW w:w="7426" w:type="dxa"/>
            <w:vAlign w:val="center"/>
          </w:tcPr>
          <w:p w14:paraId="5F68CE84">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承包人向监理人提交最终结清申请单（包括相关证明材料）的份数：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份</w:t>
            </w:r>
          </w:p>
        </w:tc>
      </w:tr>
      <w:tr w14:paraId="56226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63F9132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1484" w:type="dxa"/>
            <w:gridSpan w:val="2"/>
            <w:vAlign w:val="center"/>
          </w:tcPr>
          <w:p w14:paraId="0F25A9D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18.2（2）</w:t>
            </w:r>
          </w:p>
        </w:tc>
        <w:tc>
          <w:tcPr>
            <w:tcW w:w="7426" w:type="dxa"/>
            <w:vAlign w:val="center"/>
          </w:tcPr>
          <w:p w14:paraId="37A018D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竣工资料的份数：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份。</w:t>
            </w:r>
          </w:p>
        </w:tc>
      </w:tr>
      <w:tr w14:paraId="0A16D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12AD24F6">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w:t>
            </w:r>
          </w:p>
        </w:tc>
        <w:tc>
          <w:tcPr>
            <w:tcW w:w="1484" w:type="dxa"/>
            <w:gridSpan w:val="2"/>
            <w:vAlign w:val="center"/>
          </w:tcPr>
          <w:p w14:paraId="690A124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18.5.1</w:t>
            </w:r>
          </w:p>
        </w:tc>
        <w:tc>
          <w:tcPr>
            <w:tcW w:w="7426" w:type="dxa"/>
            <w:vAlign w:val="center"/>
          </w:tcPr>
          <w:p w14:paraId="3363E28B">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单位工程或工程设备是否需投入施工期运行： </w:t>
            </w:r>
            <w:r>
              <w:rPr>
                <w:rFonts w:hint="eastAsia" w:ascii="宋体" w:hAnsi="宋体" w:cs="宋体"/>
                <w:color w:val="000000" w:themeColor="text1"/>
                <w:szCs w:val="21"/>
                <w:highlight w:val="none"/>
                <w:u w:val="single"/>
                <w14:textFill>
                  <w14:solidFill>
                    <w14:schemeClr w14:val="tx1"/>
                  </w14:solidFill>
                </w14:textFill>
              </w:rPr>
              <w:t>是</w:t>
            </w:r>
          </w:p>
          <w:p w14:paraId="016B396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如单位工程或工程设备需要进行施工期运行，需要施工期运行的单位工程或工程设备规定如下：</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w:t>
            </w:r>
          </w:p>
        </w:tc>
      </w:tr>
      <w:tr w14:paraId="765F6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6" w:type="dxa"/>
            <w:vAlign w:val="center"/>
          </w:tcPr>
          <w:p w14:paraId="4ED3D5ED">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w:t>
            </w:r>
          </w:p>
        </w:tc>
        <w:tc>
          <w:tcPr>
            <w:tcW w:w="1484" w:type="dxa"/>
            <w:gridSpan w:val="2"/>
            <w:vAlign w:val="center"/>
          </w:tcPr>
          <w:p w14:paraId="57CEEB27">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18.6.1</w:t>
            </w:r>
          </w:p>
        </w:tc>
        <w:tc>
          <w:tcPr>
            <w:tcW w:w="7426" w:type="dxa"/>
            <w:vAlign w:val="center"/>
          </w:tcPr>
          <w:p w14:paraId="4250BF5E">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本工程及工程设备是否进行试运行：</w:t>
            </w:r>
            <w:r>
              <w:rPr>
                <w:rFonts w:hint="eastAsia" w:ascii="宋体" w:hAnsi="宋体" w:cs="宋体"/>
                <w:color w:val="000000" w:themeColor="text1"/>
                <w:szCs w:val="21"/>
                <w:highlight w:val="none"/>
                <w:u w:val="single"/>
                <w14:textFill>
                  <w14:solidFill>
                    <w14:schemeClr w14:val="tx1"/>
                  </w14:solidFill>
                </w14:textFill>
              </w:rPr>
              <w:t>否</w:t>
            </w:r>
          </w:p>
          <w:p w14:paraId="45AA5D8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如本工程及工程设备需要进行试运行，试运行的具体规定如下：</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2F064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856" w:type="dxa"/>
            <w:vAlign w:val="center"/>
          </w:tcPr>
          <w:p w14:paraId="5F94A10E">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w:t>
            </w:r>
          </w:p>
        </w:tc>
        <w:tc>
          <w:tcPr>
            <w:tcW w:w="1484" w:type="dxa"/>
            <w:gridSpan w:val="2"/>
            <w:vAlign w:val="center"/>
          </w:tcPr>
          <w:p w14:paraId="0E2FCA9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19.7（1）</w:t>
            </w:r>
          </w:p>
        </w:tc>
        <w:tc>
          <w:tcPr>
            <w:tcW w:w="7426" w:type="dxa"/>
            <w:vAlign w:val="center"/>
          </w:tcPr>
          <w:p w14:paraId="49FF3022">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保修期：</w:t>
            </w:r>
          </w:p>
          <w:p w14:paraId="6ED42FDE">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自本项目实际交工日期之日起计算</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年（绿化工程、房建工程除外）；</w:t>
            </w:r>
          </w:p>
          <w:p w14:paraId="563A2D1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绿化工程：自本项目实际交工日期之日起计算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个月后，移交发包人或发包人委托的养护单位进行后续的管理养护工作；</w:t>
            </w:r>
          </w:p>
          <w:p w14:paraId="2FBBB26C">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房建工程：自该房建工程竣工验收合格之日起计算，其中：</w:t>
            </w:r>
          </w:p>
          <w:p w14:paraId="54E70339">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（1）地基基础工程和主体结构工程，为设计文件规定的该工程的合理使用年限；</w:t>
            </w:r>
          </w:p>
          <w:p w14:paraId="1AB10417">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（2）屋面防水工程、有防水要求的卫生间、房间和外墙面的防渗漏，为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5DA69501">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（3）装修工程为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6F4F4A8B">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（4）电气管线、给排水管道、设备安装工程为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2E229F92">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（5）供热与供冷系统，为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个采暖期、供冷期；</w:t>
            </w:r>
          </w:p>
          <w:p w14:paraId="68A746F2">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（6）住宅小区内的给排水设施、道路、电力等配套工程为</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年；</w:t>
            </w:r>
          </w:p>
          <w:p w14:paraId="3A220963">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（7）其他约定如下：</w:t>
            </w:r>
            <w:r>
              <w:rPr>
                <w:rFonts w:hint="eastAsia" w:ascii="宋体" w:hAnsi="宋体" w:cs="宋体"/>
                <w:color w:val="000000" w:themeColor="text1"/>
                <w:szCs w:val="21"/>
                <w:highlight w:val="none"/>
                <w:u w:val="single"/>
                <w14:textFill>
                  <w14:solidFill>
                    <w14:schemeClr w14:val="tx1"/>
                  </w14:solidFill>
                </w14:textFill>
              </w:rPr>
              <w:t xml:space="preserve">    /   </w:t>
            </w:r>
            <w:r>
              <w:rPr>
                <w:rFonts w:hint="eastAsia" w:ascii="宋体" w:hAnsi="宋体" w:cs="宋体"/>
                <w:color w:val="000000" w:themeColor="text1"/>
                <w:szCs w:val="21"/>
                <w:highlight w:val="none"/>
                <w14:textFill>
                  <w14:solidFill>
                    <w14:schemeClr w14:val="tx1"/>
                  </w14:solidFill>
                </w14:textFill>
              </w:rPr>
              <w:t>。</w:t>
            </w:r>
          </w:p>
        </w:tc>
      </w:tr>
      <w:tr w14:paraId="4015C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856" w:type="dxa"/>
            <w:vAlign w:val="center"/>
          </w:tcPr>
          <w:p w14:paraId="63D662B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w:t>
            </w:r>
          </w:p>
        </w:tc>
        <w:tc>
          <w:tcPr>
            <w:tcW w:w="1484" w:type="dxa"/>
            <w:gridSpan w:val="2"/>
            <w:vAlign w:val="center"/>
          </w:tcPr>
          <w:p w14:paraId="071AC46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7426" w:type="dxa"/>
            <w:vAlign w:val="center"/>
          </w:tcPr>
          <w:p w14:paraId="5D396AA6">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建筑工程一切险及第三者责任险的保险费率：</w:t>
            </w:r>
            <w:r>
              <w:rPr>
                <w:rFonts w:hint="eastAsia" w:ascii="宋体" w:hAnsi="宋体" w:cs="宋体"/>
                <w:color w:val="000000" w:themeColor="text1"/>
                <w:szCs w:val="21"/>
                <w:highlight w:val="none"/>
                <w:u w:val="single"/>
                <w14:textFill>
                  <w14:solidFill>
                    <w14:schemeClr w14:val="tx1"/>
                  </w14:solidFill>
                </w14:textFill>
              </w:rPr>
              <w:t>4‰ 。</w:t>
            </w:r>
          </w:p>
        </w:tc>
      </w:tr>
      <w:tr w14:paraId="54EC7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856" w:type="dxa"/>
            <w:vAlign w:val="center"/>
          </w:tcPr>
          <w:p w14:paraId="49D233FC">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1484" w:type="dxa"/>
            <w:gridSpan w:val="2"/>
            <w:vAlign w:val="center"/>
          </w:tcPr>
          <w:p w14:paraId="2E36F8D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20.4.2</w:t>
            </w:r>
          </w:p>
        </w:tc>
        <w:tc>
          <w:tcPr>
            <w:tcW w:w="7426" w:type="dxa"/>
            <w:vAlign w:val="center"/>
          </w:tcPr>
          <w:p w14:paraId="154A9E9F">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第三者责任险的最低投保金额：</w:t>
            </w:r>
            <w:r>
              <w:rPr>
                <w:rFonts w:hint="eastAsia" w:ascii="宋体" w:hAnsi="宋体" w:cs="宋体"/>
                <w:color w:val="000000" w:themeColor="text1"/>
                <w:szCs w:val="21"/>
                <w:highlight w:val="none"/>
                <w:u w:val="single"/>
                <w14:textFill>
                  <w14:solidFill>
                    <w14:schemeClr w14:val="tx1"/>
                  </w14:solidFill>
                </w14:textFill>
              </w:rPr>
              <w:t xml:space="preserve"> 500 </w:t>
            </w:r>
            <w:r>
              <w:rPr>
                <w:rFonts w:hint="eastAsia" w:ascii="宋体" w:hAnsi="宋体" w:cs="宋体"/>
                <w:color w:val="000000" w:themeColor="text1"/>
                <w:szCs w:val="21"/>
                <w:highlight w:val="none"/>
                <w14:textFill>
                  <w14:solidFill>
                    <w14:schemeClr w14:val="tx1"/>
                  </w14:solidFill>
                </w14:textFill>
              </w:rPr>
              <w:t>万元，事故次数不限(不计免赔额)</w:t>
            </w:r>
          </w:p>
        </w:tc>
      </w:tr>
      <w:tr w14:paraId="3EB11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856" w:type="dxa"/>
            <w:vAlign w:val="center"/>
          </w:tcPr>
          <w:p w14:paraId="4BD918A2">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w:t>
            </w:r>
          </w:p>
        </w:tc>
        <w:tc>
          <w:tcPr>
            <w:tcW w:w="1484" w:type="dxa"/>
            <w:gridSpan w:val="2"/>
            <w:vAlign w:val="center"/>
          </w:tcPr>
          <w:p w14:paraId="27C477E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21.1.1 </w:t>
            </w:r>
          </w:p>
        </w:tc>
        <w:tc>
          <w:tcPr>
            <w:tcW w:w="7426" w:type="dxa"/>
            <w:vAlign w:val="center"/>
          </w:tcPr>
          <w:p w14:paraId="758BFBAF">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21.1.1 (6)不可抗力的其他情形：</w:t>
            </w:r>
            <w:r>
              <w:rPr>
                <w:rFonts w:hint="eastAsia" w:ascii="宋体" w:hAnsi="宋体" w:cs="宋体"/>
                <w:color w:val="000000" w:themeColor="text1"/>
                <w:szCs w:val="21"/>
                <w:highlight w:val="none"/>
                <w:u w:val="single"/>
                <w14:textFill>
                  <w14:solidFill>
                    <w14:schemeClr w14:val="tx1"/>
                  </w14:solidFill>
                </w14:textFill>
              </w:rPr>
              <w:t xml:space="preserve">  /  </w:t>
            </w:r>
          </w:p>
        </w:tc>
      </w:tr>
      <w:tr w14:paraId="67BE9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856" w:type="dxa"/>
            <w:vAlign w:val="center"/>
          </w:tcPr>
          <w:p w14:paraId="136AF31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w:t>
            </w:r>
          </w:p>
        </w:tc>
        <w:tc>
          <w:tcPr>
            <w:tcW w:w="1484" w:type="dxa"/>
            <w:gridSpan w:val="2"/>
            <w:vAlign w:val="center"/>
          </w:tcPr>
          <w:p w14:paraId="362E7F6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w:t>
            </w:r>
          </w:p>
        </w:tc>
        <w:tc>
          <w:tcPr>
            <w:tcW w:w="7426" w:type="dxa"/>
            <w:vAlign w:val="center"/>
          </w:tcPr>
          <w:p w14:paraId="2D92B0D8">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争议的最终解决方式：</w:t>
            </w:r>
            <w:r>
              <w:rPr>
                <w:rFonts w:hint="eastAsia" w:ascii="宋体" w:hAnsi="宋体" w:cs="宋体"/>
                <w:color w:val="000000" w:themeColor="text1"/>
                <w:szCs w:val="21"/>
                <w:highlight w:val="none"/>
                <w:u w:val="single"/>
                <w14:textFill>
                  <w14:solidFill>
                    <w14:schemeClr w14:val="tx1"/>
                  </w14:solidFill>
                </w14:textFill>
              </w:rPr>
              <w:t>向项目所在地的人民法院提起诉讼。</w:t>
            </w:r>
          </w:p>
        </w:tc>
      </w:tr>
      <w:tr w14:paraId="6B78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41" w:hRule="atLeast"/>
          <w:jc w:val="center"/>
        </w:trPr>
        <w:tc>
          <w:tcPr>
            <w:tcW w:w="856" w:type="dxa"/>
            <w:vAlign w:val="center"/>
          </w:tcPr>
          <w:p w14:paraId="770BB33D">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38</w:t>
            </w:r>
          </w:p>
        </w:tc>
        <w:tc>
          <w:tcPr>
            <w:tcW w:w="1484" w:type="dxa"/>
            <w:gridSpan w:val="2"/>
            <w:vAlign w:val="center"/>
          </w:tcPr>
          <w:p w14:paraId="38CECA5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25.4</w:t>
            </w:r>
          </w:p>
        </w:tc>
        <w:tc>
          <w:tcPr>
            <w:tcW w:w="7426" w:type="dxa"/>
            <w:vAlign w:val="center"/>
          </w:tcPr>
          <w:p w14:paraId="2F061D86">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结算单元按合同约定完成并通过质量中间验收，原则上</w:t>
            </w:r>
            <w:r>
              <w:rPr>
                <w:rFonts w:hint="eastAsia" w:ascii="宋体" w:hAnsi="宋体" w:cs="宋体"/>
                <w:color w:val="000000" w:themeColor="text1"/>
                <w:szCs w:val="21"/>
                <w:highlight w:val="none"/>
                <w:u w:val="single"/>
                <w14:textFill>
                  <w14:solidFill>
                    <w14:schemeClr w14:val="tx1"/>
                  </w14:solidFill>
                </w14:textFill>
              </w:rPr>
              <w:t>3个月</w:t>
            </w:r>
            <w:r>
              <w:rPr>
                <w:rFonts w:hint="eastAsia" w:ascii="宋体" w:hAnsi="宋体" w:cs="宋体"/>
                <w:color w:val="000000" w:themeColor="text1"/>
                <w:szCs w:val="21"/>
                <w:highlight w:val="none"/>
                <w14:textFill>
                  <w14:solidFill>
                    <w14:schemeClr w14:val="tx1"/>
                  </w14:solidFill>
                </w14:textFill>
              </w:rPr>
              <w:t>内完成过程结算文件的编制、审核、签认工作。</w:t>
            </w:r>
          </w:p>
          <w:p w14:paraId="3203E95D">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未按要求完成过程结算的费用项, 最高支付金额不宜超过发包人审核确认的</w:t>
            </w:r>
            <w:r>
              <w:rPr>
                <w:rFonts w:hint="eastAsia" w:ascii="宋体" w:hAnsi="宋体" w:cs="宋体"/>
                <w:color w:val="000000" w:themeColor="text1"/>
                <w:szCs w:val="21"/>
                <w:highlight w:val="none"/>
                <w:u w:val="single"/>
                <w14:textFill>
                  <w14:solidFill>
                    <w14:schemeClr w14:val="tx1"/>
                  </w14:solidFill>
                </w14:textFill>
              </w:rPr>
              <w:t xml:space="preserve"> 97 %</w:t>
            </w:r>
            <w:r>
              <w:rPr>
                <w:rFonts w:hint="eastAsia" w:ascii="宋体" w:hAnsi="宋体" w:cs="宋体"/>
                <w:color w:val="000000" w:themeColor="text1"/>
                <w:szCs w:val="21"/>
                <w:highlight w:val="none"/>
                <w14:textFill>
                  <w14:solidFill>
                    <w14:schemeClr w14:val="tx1"/>
                  </w14:solidFill>
                </w14:textFill>
              </w:rPr>
              <w:t>, 过程结算后方可支付剩余金额。完工结算率低于30%的合同段, 在后续计量支付中可暂扣</w:t>
            </w:r>
            <w:r>
              <w:rPr>
                <w:rFonts w:hint="eastAsia" w:ascii="宋体" w:hAnsi="宋体" w:cs="宋体"/>
                <w:color w:val="000000" w:themeColor="text1"/>
                <w:szCs w:val="21"/>
                <w:highlight w:val="none"/>
                <w:u w:val="single"/>
                <w14:textFill>
                  <w14:solidFill>
                    <w14:schemeClr w14:val="tx1"/>
                  </w14:solidFill>
                </w14:textFill>
              </w:rPr>
              <w:t xml:space="preserve"> 10 %</w:t>
            </w:r>
            <w:r>
              <w:rPr>
                <w:rFonts w:hint="eastAsia" w:ascii="宋体" w:hAnsi="宋体" w:cs="宋体"/>
                <w:color w:val="000000" w:themeColor="text1"/>
                <w:szCs w:val="21"/>
                <w:highlight w:val="none"/>
                <w14:textFill>
                  <w14:solidFill>
                    <w14:schemeClr w14:val="tx1"/>
                  </w14:solidFill>
                </w14:textFill>
              </w:rPr>
              <w:t>的工程进度款。</w:t>
            </w:r>
          </w:p>
        </w:tc>
      </w:tr>
      <w:tr w14:paraId="6AD41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766" w:type="dxa"/>
            <w:gridSpan w:val="4"/>
            <w:vAlign w:val="center"/>
          </w:tcPr>
          <w:p w14:paraId="57E8AB5A">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需补充的其他内容</w:t>
            </w:r>
          </w:p>
        </w:tc>
      </w:tr>
      <w:tr w14:paraId="018D0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6" w:hRule="atLeast"/>
          <w:jc w:val="center"/>
        </w:trPr>
        <w:tc>
          <w:tcPr>
            <w:tcW w:w="876" w:type="dxa"/>
            <w:gridSpan w:val="2"/>
            <w:vAlign w:val="center"/>
          </w:tcPr>
          <w:p w14:paraId="238764B9">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4.6.3</w:t>
            </w:r>
          </w:p>
        </w:tc>
        <w:tc>
          <w:tcPr>
            <w:tcW w:w="8890" w:type="dxa"/>
            <w:gridSpan w:val="2"/>
            <w:vAlign w:val="center"/>
          </w:tcPr>
          <w:p w14:paraId="44770B4D">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将第4.6.3（1）目细化为：</w:t>
            </w:r>
          </w:p>
          <w:p w14:paraId="4B05E712">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4.6.3承包人安排在施工场地的主要管理人员和技术骨干应与承包人承诺的名单一致，并保持相对稳定。</w:t>
            </w:r>
          </w:p>
          <w:p w14:paraId="1197B368">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未经监理人批准，上述人员不应无故不到位或被替换。若确实无法到位或需替换，或监理人认为已委派的项目经理或主要人员的工作能力和业务水平不称职，需经监理人审核并报发包人批准后，用同等资质和经历的人员替换，同时须按以下标准向业主提交违约金：项目经理、总工程师</w:t>
            </w:r>
            <w:r>
              <w:rPr>
                <w:rFonts w:hint="eastAsia" w:ascii="宋体" w:hAnsi="宋体" w:cs="宋体"/>
                <w:color w:val="000000" w:themeColor="text1"/>
                <w:szCs w:val="21"/>
                <w:highlight w:val="none"/>
                <w:u w:val="single"/>
                <w14:textFill>
                  <w14:solidFill>
                    <w14:schemeClr w14:val="tx1"/>
                  </w14:solidFill>
                </w14:textFill>
              </w:rPr>
              <w:t xml:space="preserve"> 2 </w:t>
            </w:r>
            <w:r>
              <w:rPr>
                <w:rFonts w:hint="eastAsia" w:ascii="宋体" w:hAnsi="宋体" w:cs="宋体"/>
                <w:color w:val="000000" w:themeColor="text1"/>
                <w:szCs w:val="21"/>
                <w:highlight w:val="none"/>
                <w14:textFill>
                  <w14:solidFill>
                    <w14:schemeClr w14:val="tx1"/>
                  </w14:solidFill>
                </w14:textFill>
              </w:rPr>
              <w:t>万元／人次(用备选人替换首选人的调整不受此限)，质检工程师、计划工程师</w:t>
            </w:r>
            <w:r>
              <w:rPr>
                <w:rFonts w:hint="eastAsia" w:ascii="宋体" w:hAnsi="宋体" w:cs="宋体"/>
                <w:color w:val="000000" w:themeColor="text1"/>
                <w:szCs w:val="21"/>
                <w:highlight w:val="none"/>
                <w:u w:val="single"/>
                <w14:textFill>
                  <w14:solidFill>
                    <w14:schemeClr w14:val="tx1"/>
                  </w14:solidFill>
                </w14:textFill>
              </w:rPr>
              <w:t xml:space="preserve"> 1 </w:t>
            </w:r>
            <w:r>
              <w:rPr>
                <w:rFonts w:hint="eastAsia" w:ascii="宋体" w:hAnsi="宋体" w:cs="宋体"/>
                <w:color w:val="000000" w:themeColor="text1"/>
                <w:szCs w:val="21"/>
                <w:highlight w:val="none"/>
                <w14:textFill>
                  <w14:solidFill>
                    <w14:schemeClr w14:val="tx1"/>
                  </w14:solidFill>
                </w14:textFill>
              </w:rPr>
              <w:t>万元／人次，其他主要管理人员(道路工程师、桥梁工程师、隧道工程师、地质工程师、测量工程师、试验工程师、安全主任、财务负责人)的调整部分需缴纳违约金</w:t>
            </w:r>
            <w:r>
              <w:rPr>
                <w:rFonts w:hint="eastAsia" w:ascii="宋体" w:hAnsi="宋体" w:cs="宋体"/>
                <w:color w:val="000000" w:themeColor="text1"/>
                <w:szCs w:val="21"/>
                <w:highlight w:val="none"/>
                <w:u w:val="single"/>
                <w14:textFill>
                  <w14:solidFill>
                    <w14:schemeClr w14:val="tx1"/>
                  </w14:solidFill>
                </w14:textFill>
              </w:rPr>
              <w:t xml:space="preserve"> 1</w:t>
            </w:r>
            <w:r>
              <w:rPr>
                <w:rFonts w:hint="eastAsia" w:ascii="宋体" w:hAnsi="宋体" w:cs="宋体"/>
                <w:color w:val="000000" w:themeColor="text1"/>
                <w:szCs w:val="21"/>
                <w:highlight w:val="none"/>
                <w14:textFill>
                  <w14:solidFill>
                    <w14:schemeClr w14:val="tx1"/>
                  </w14:solidFill>
                </w14:textFill>
              </w:rPr>
              <w:t>万元／人次。发包人可随着工程的进度情况，动态增减管理人员要求。</w:t>
            </w:r>
          </w:p>
        </w:tc>
      </w:tr>
      <w:tr w14:paraId="2F45AD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7" w:hRule="atLeast"/>
          <w:jc w:val="center"/>
        </w:trPr>
        <w:tc>
          <w:tcPr>
            <w:tcW w:w="876" w:type="dxa"/>
            <w:gridSpan w:val="2"/>
            <w:vAlign w:val="center"/>
          </w:tcPr>
          <w:p w14:paraId="02BE5C43">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4.6.6</w:t>
            </w:r>
          </w:p>
        </w:tc>
        <w:tc>
          <w:tcPr>
            <w:tcW w:w="8890" w:type="dxa"/>
            <w:gridSpan w:val="2"/>
            <w:vAlign w:val="center"/>
          </w:tcPr>
          <w:p w14:paraId="51C7A6B0">
            <w:pPr>
              <w:keepNext w:val="0"/>
              <w:keepLines w:val="0"/>
              <w:suppressLineNumbers w:val="0"/>
              <w:spacing w:before="0" w:beforeAutospacing="0" w:after="0" w:afterAutospacing="0" w:line="320" w:lineRule="exact"/>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4.6.6 在本款后增加（7）项如下：</w:t>
            </w:r>
          </w:p>
          <w:p w14:paraId="6DF41023">
            <w:pPr>
              <w:keepNext w:val="0"/>
              <w:keepLines w:val="0"/>
              <w:suppressLineNumbers w:val="0"/>
              <w:spacing w:before="0" w:beforeAutospacing="0" w:after="0" w:afterAutospacing="0" w:line="320" w:lineRule="exact"/>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进一步规范本项目的工人工资支付行为，承包人在施工承包合同签订后，需按《关于印发&lt;韶关市建设领域施工企业工人工资支付保证金管理办法&gt;的通知》（韶人社[2017]133号）办理工人工资缴存和登记手续。</w:t>
            </w:r>
          </w:p>
        </w:tc>
      </w:tr>
      <w:tr w14:paraId="0726A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876" w:type="dxa"/>
            <w:gridSpan w:val="2"/>
            <w:vAlign w:val="center"/>
          </w:tcPr>
          <w:p w14:paraId="6CE88745">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4.15</w:t>
            </w:r>
          </w:p>
        </w:tc>
        <w:tc>
          <w:tcPr>
            <w:tcW w:w="8890" w:type="dxa"/>
            <w:gridSpan w:val="2"/>
            <w:vAlign w:val="center"/>
          </w:tcPr>
          <w:p w14:paraId="06D3A7D3">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增加第 4.15 款</w:t>
            </w:r>
          </w:p>
          <w:p w14:paraId="09020704">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4.15 建设路域环境保护工作</w:t>
            </w:r>
          </w:p>
          <w:p w14:paraId="2D009CA7">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承包人在工程施工阶段和工程验收阶段必须执行以下要求：</w:t>
            </w:r>
          </w:p>
          <w:p w14:paraId="74059942">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4.15.1 工程施工阶段</w:t>
            </w:r>
          </w:p>
          <w:p w14:paraId="107AEC5C">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1.混合料应集中场站搅拌，拌和设备应做好密封，或配备防尘设备。各种料场、预制场要</w:t>
            </w:r>
          </w:p>
          <w:p w14:paraId="1DA3F5F3">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根据工程进度统筹考虑，施工过程中要采取有效措施防止污染周边环境，项目完工后应将临时占地恢复到临时占地使用前的状况或按设计达到设计要求。</w:t>
            </w:r>
          </w:p>
          <w:p w14:paraId="2497E63D">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2.对于公路施工中路用粉状材料宜采用罐装方式运输，施工通道、混合料拌和站应经常进</w:t>
            </w:r>
          </w:p>
          <w:p w14:paraId="052194A8">
            <w:pPr>
              <w:keepNext w:val="0"/>
              <w:keepLines w:val="0"/>
              <w:suppressLineNumbers w:val="0"/>
              <w:spacing w:before="0" w:beforeAutospacing="0" w:after="0" w:afterAutospacing="0" w:line="320" w:lineRule="exact"/>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行洒水降尘，路面施工应注意保持水分，避免扬尘。隧道出渣和桥梁钻孔灌注桩施工时应设置沉降池，排出的泥浆要进行妥善处理，严禁向河流或农田排放。</w:t>
            </w:r>
          </w:p>
          <w:p w14:paraId="18E1A099">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3.在施工期间，应随时保持现场整洁，施工设备和工程材料、工程设备整齐规范存放和储</w:t>
            </w:r>
          </w:p>
          <w:p w14:paraId="00902056">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存，废料与垃圾及不再需要的临时设施应及时从现场清除、拆除并运走。</w:t>
            </w:r>
          </w:p>
          <w:p w14:paraId="4D9B3AF3">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4.路基施工时要完善施工中的临时排水系统，加强施工便道的管理。取（弃）土场必须先</w:t>
            </w:r>
          </w:p>
          <w:p w14:paraId="47A3FDE9">
            <w:pPr>
              <w:keepNext w:val="0"/>
              <w:keepLines w:val="0"/>
              <w:suppressLineNumbers w:val="0"/>
              <w:spacing w:before="0" w:beforeAutospacing="0" w:after="0" w:afterAutospacing="0" w:line="276" w:lineRule="auto"/>
              <w:ind w:left="0" w:leftChars="-95" w:right="0" w:hanging="199" w:hangingChars="95"/>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挡后弃，按设计复垦施工，严禁在制定的取（弃）土场以外的地方乱挖乱弃。</w:t>
            </w:r>
          </w:p>
          <w:p w14:paraId="6459AFC5">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（三）验收内容与标准</w:t>
            </w:r>
          </w:p>
          <w:p w14:paraId="6812F4A4">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公路建设路域环境验收范围包括公路及公路用地（公路两侧边沟外缘起不少于 1 米的土</w:t>
            </w:r>
          </w:p>
          <w:p w14:paraId="6162879E">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地）和公路建筑控制区（从公路两侧边沟外缘起算的间距：国道不少于 20 米，省道不少于 15米，县道不少于 10 米，乡道不少于 5 米）。验收应达到以下标准：</w:t>
            </w:r>
          </w:p>
          <w:p w14:paraId="102F6CCF">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1.公路及公路用地范围内，路面干净整洁，边坡稳定，排水系统顺畅等，交通标志清晰无</w:t>
            </w:r>
          </w:p>
          <w:p w14:paraId="0F551A6D">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污染，无违法跨越和穿越公路的施工临时构筑物。</w:t>
            </w:r>
          </w:p>
          <w:p w14:paraId="1B21A8E5">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2.公路建筑控制区不得留有施工建筑垃圾，公路视线范围内不得有因公路施工导致的乱挖</w:t>
            </w:r>
          </w:p>
          <w:p w14:paraId="1AAC5435">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乱弃。</w:t>
            </w:r>
          </w:p>
          <w:p w14:paraId="257B8565">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3.由于施工引起的红线外的所有乱堆乱挖乱弃等影响路域环境的应恢复到原状（复耕复</w:t>
            </w:r>
          </w:p>
          <w:p w14:paraId="3D938DE4">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绿），取（弃）土场严格执行施工图设计，临时占地须恢复到临时占地使用前的状况或按设计复绿复垦。若受到自然资源和林业部门处罚的需按要求完成整改。</w:t>
            </w:r>
          </w:p>
          <w:p w14:paraId="5DEBDFBB">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（四）验收程序</w:t>
            </w:r>
          </w:p>
          <w:p w14:paraId="524FA1F4">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1.工程完工后，发包人组织参建单位对工程路域环境进行全面检查，承包人对检查中发现</w:t>
            </w:r>
          </w:p>
          <w:p w14:paraId="19F3D3F3">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的问题及时整改。</w:t>
            </w:r>
          </w:p>
          <w:p w14:paraId="5A75E530">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2.发包人对整改情况进行复核，认为满足路域环境验收条件时，发包人向上级主管部</w:t>
            </w:r>
          </w:p>
          <w:p w14:paraId="71EF10E6">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门提交项目路域环境整改资料，提请上级主管部门组织专项验收。</w:t>
            </w:r>
          </w:p>
          <w:p w14:paraId="4856E54A">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3.上级主管部门对路域环境进行专项验收，全线按设计图纸及验收内容标准进行无遗漏验</w:t>
            </w:r>
          </w:p>
          <w:p w14:paraId="179159C2">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收，形成工程路域环境整治清单，验收成员签名，并明确完成整改时间。</w:t>
            </w:r>
          </w:p>
          <w:p w14:paraId="27C0A7AB">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4.发包人及监理人组织承包人进行整改，在整改到位后，申请上级主管部门进行复查验收，</w:t>
            </w:r>
          </w:p>
          <w:p w14:paraId="7DB63FAA">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复查通过后，完成专项验收工作，出具工程专项验收表。复查验收未通过，继续整改，直至整改验收合格为止。</w:t>
            </w:r>
          </w:p>
        </w:tc>
      </w:tr>
      <w:tr w14:paraId="17039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876" w:type="dxa"/>
            <w:gridSpan w:val="2"/>
            <w:vAlign w:val="center"/>
          </w:tcPr>
          <w:p w14:paraId="75BBFC4B">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6.5</w:t>
            </w:r>
          </w:p>
        </w:tc>
        <w:tc>
          <w:tcPr>
            <w:tcW w:w="8890" w:type="dxa"/>
            <w:gridSpan w:val="2"/>
            <w:vAlign w:val="center"/>
          </w:tcPr>
          <w:p w14:paraId="57189768">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删除“6.5.1计算机系统配置”条款。</w:t>
            </w:r>
          </w:p>
        </w:tc>
      </w:tr>
      <w:tr w14:paraId="47996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876" w:type="dxa"/>
            <w:gridSpan w:val="2"/>
            <w:vAlign w:val="center"/>
          </w:tcPr>
          <w:p w14:paraId="785A12AE">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8890" w:type="dxa"/>
            <w:gridSpan w:val="2"/>
            <w:vAlign w:val="center"/>
          </w:tcPr>
          <w:p w14:paraId="4D107526">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增加 7.7 款 </w:t>
            </w:r>
          </w:p>
          <w:p w14:paraId="5C200A7D">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7.7 交通维护 </w:t>
            </w:r>
          </w:p>
          <w:p w14:paraId="0E02B121">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由于本项目在施工过程中不能全封闭，需要采用半幅通车半幅封闭的施工方案，因此，对 </w:t>
            </w:r>
          </w:p>
          <w:p w14:paraId="33ED14B5">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已铺筑好的路面结构层(含水泥稳定碎石底基层、基层、沥青砼路面，下同)，在未达到龄期（或 </w:t>
            </w:r>
          </w:p>
          <w:p w14:paraId="0AF3B48C">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沥青砼未降至常温）之前，为防止车辆碾压，造成损坏，必须实行交通维护管理措施。具体如 </w:t>
            </w:r>
          </w:p>
          <w:p w14:paraId="61E5AF73">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下： </w:t>
            </w:r>
          </w:p>
          <w:p w14:paraId="6AB80009">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（1）承包人应对施工现场实行全天候交通管制：在每个施工作业面(或已铺筑好路面结构 </w:t>
            </w:r>
          </w:p>
          <w:p w14:paraId="3AE12E9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层但未达到龄期的路段)两端设置交通指挥点，配置专职指挥人员和通讯设备，全天候不间断的 </w:t>
            </w:r>
          </w:p>
          <w:p w14:paraId="38CCB38B">
            <w:pPr>
              <w:keepNext w:val="0"/>
              <w:keepLines w:val="0"/>
              <w:widowControl/>
              <w:suppressLineNumbers w:val="0"/>
              <w:spacing w:before="0" w:beforeAutospacing="0" w:after="0" w:afterAutospacing="0"/>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指挥交通，确保未封闭的半幅道路单向通车，杜绝一切车辆行驶未达龄期的路面结构层。 </w:t>
            </w:r>
          </w:p>
          <w:p w14:paraId="58A6FBA0">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（2）如多次发生交通维护管理不到位、造成车辆碾压未达到龄期的路面结构的情况，发包 </w:t>
            </w:r>
          </w:p>
          <w:p w14:paraId="56715D42">
            <w:pPr>
              <w:keepNext w:val="0"/>
              <w:keepLines w:val="0"/>
              <w:widowControl/>
              <w:suppressLineNumbers w:val="0"/>
              <w:spacing w:before="0" w:beforeAutospacing="0" w:after="0" w:afterAutospacing="0"/>
              <w:ind w:left="0" w:right="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人将其作为履约不良单位上报省市交通运输主管部门。 </w:t>
            </w:r>
          </w:p>
          <w:p w14:paraId="4216971F">
            <w:pPr>
              <w:keepNext w:val="0"/>
              <w:keepLines w:val="0"/>
              <w:widowControl/>
              <w:suppressLineNumbers w:val="0"/>
              <w:spacing w:before="0" w:beforeAutospacing="0" w:after="0" w:afterAutospacing="0"/>
              <w:ind w:left="0" w:right="0" w:firstLine="420" w:firstLineChars="20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）承包人对该项目施工全过程的交通维护管理费实行总价包干(已含在投标总价中)，发包人不再另行支付。</w:t>
            </w:r>
          </w:p>
        </w:tc>
      </w:tr>
      <w:tr w14:paraId="58494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876" w:type="dxa"/>
            <w:gridSpan w:val="2"/>
            <w:vAlign w:val="center"/>
          </w:tcPr>
          <w:p w14:paraId="0DAF78F8">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p>
        </w:tc>
        <w:tc>
          <w:tcPr>
            <w:tcW w:w="8890" w:type="dxa"/>
            <w:gridSpan w:val="2"/>
            <w:vAlign w:val="center"/>
          </w:tcPr>
          <w:p w14:paraId="11E9DC50">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将本款“12.1 承包人暂停施工的责任” 项修改如下： </w:t>
            </w:r>
          </w:p>
          <w:p w14:paraId="422A2360">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12.1 承包人暂停施工的责任 </w:t>
            </w:r>
          </w:p>
          <w:p w14:paraId="11B2B94B">
            <w:pPr>
              <w:keepNext w:val="0"/>
              <w:keepLines w:val="0"/>
              <w:widowControl/>
              <w:suppressLineNumbers w:val="0"/>
              <w:spacing w:before="0" w:beforeAutospacing="0" w:after="0" w:afterAutospacing="0"/>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12.1（6）由承包人承担的其他暂停施工：无</w:t>
            </w:r>
          </w:p>
        </w:tc>
      </w:tr>
      <w:tr w14:paraId="07F05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876" w:type="dxa"/>
            <w:gridSpan w:val="2"/>
            <w:vAlign w:val="center"/>
          </w:tcPr>
          <w:p w14:paraId="21035D82">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13.11</w:t>
            </w:r>
          </w:p>
        </w:tc>
        <w:tc>
          <w:tcPr>
            <w:tcW w:w="8890" w:type="dxa"/>
            <w:gridSpan w:val="2"/>
            <w:vAlign w:val="center"/>
          </w:tcPr>
          <w:p w14:paraId="5A5B190D">
            <w:pPr>
              <w:keepNext w:val="0"/>
              <w:keepLines w:val="0"/>
              <w:suppressLineNumbers w:val="0"/>
              <w:spacing w:before="0" w:beforeAutospacing="0" w:after="0" w:afterAutospacing="0" w:line="276" w:lineRule="auto"/>
              <w:ind w:left="0" w:right="0" w:firstLine="420" w:firstLineChars="2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删除“13.11优质优价价款”条款</w:t>
            </w:r>
          </w:p>
        </w:tc>
      </w:tr>
      <w:tr w14:paraId="21C5B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876" w:type="dxa"/>
            <w:gridSpan w:val="2"/>
            <w:vAlign w:val="center"/>
          </w:tcPr>
          <w:p w14:paraId="49723AC4">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13.13</w:t>
            </w:r>
          </w:p>
        </w:tc>
        <w:tc>
          <w:tcPr>
            <w:tcW w:w="8890" w:type="dxa"/>
            <w:gridSpan w:val="2"/>
            <w:vAlign w:val="center"/>
          </w:tcPr>
          <w:p w14:paraId="3EC6E095">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本款“13.工程质量”补充检测，增加13.13条款：</w:t>
            </w:r>
          </w:p>
          <w:p w14:paraId="78C3C775">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如上级部门、主管部门、质量监督部门在检查时发现工程质量问题，提出批评和整改要求，发包人有权视问题严重程度给予承包人2-5万元/次的违约处理。</w:t>
            </w:r>
          </w:p>
        </w:tc>
      </w:tr>
      <w:tr w14:paraId="22CD4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jc w:val="center"/>
        </w:trPr>
        <w:tc>
          <w:tcPr>
            <w:tcW w:w="876" w:type="dxa"/>
            <w:gridSpan w:val="2"/>
            <w:vAlign w:val="center"/>
          </w:tcPr>
          <w:p w14:paraId="1A1E1429">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8890" w:type="dxa"/>
            <w:gridSpan w:val="2"/>
            <w:vAlign w:val="center"/>
          </w:tcPr>
          <w:p w14:paraId="237A3320">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本条补充第14.5款</w:t>
            </w:r>
          </w:p>
          <w:p w14:paraId="09A252EF">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14.5工地试验室</w:t>
            </w:r>
          </w:p>
          <w:p w14:paraId="038C9AAA">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14.5.1、在工程正式开工前，承包人必须在工程现场设立与工程内容相适应的工地试验室</w:t>
            </w:r>
          </w:p>
          <w:p w14:paraId="0DFCAD50">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（建设和运作费用由承包人自行承担）用于对原材料、混合料和工程成品的自检。工地试验室的具体要求按照《关于印发广东省交通运输厅关于公路水运工程工地试验室的管理办法(试行)的通知(粤交基[2011]1671 号) 》和《关于贯彻《广东省交通运输厅关于公路水运工程工地试验室的管理办法》的实施意见(粤交监督[2012]27 号) 》执行。该工地试验室的母体必须具备公路工程综合丙级（或以上）试验检测资质（承包人若无相应资质，可委托有相应资质的试验检测机构进行试验检测,但该机构不得与本工程其他参与单位有隶属关系或其他利害关系），且必须配备至少 1 名试验工程师（持有行政主管部门核发的公路工程试验检测师资格证书或试验检测工程师资格证书，累计 3 年从事类似工程经验）和 1 名试验员（持交通运输部门相关试验检测员证书），委托试验检测的，人员由委托的试验检测机构配备。否则，发包人有权委托有相应资质的试验检测机构代为自检，因此而产生的一切费用从承包人的工程款项中扣除支付给受委托的试验检测机构。工地试验室应具有相应规模，面积应符合《公路水运工程试验检测机构等级标准》的要求，能完成检测项目和具备的试验检测设备需符合省交通厅及省质量监督总站的要求。</w:t>
            </w:r>
          </w:p>
          <w:p w14:paraId="4E748B37">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14.5.2、所有材料、工程设备和工程的试验和检验必须按公路工程的现行规范规定的要求</w:t>
            </w:r>
          </w:p>
          <w:p w14:paraId="5B8FCF14">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和频率进行，并必须有监理人员和业主代表旁站，否则，可视其试验和检验结果无效，需另行重新试验和检验，因此而产生的费用和工期的延误均由承包人承担。</w:t>
            </w:r>
          </w:p>
          <w:p w14:paraId="58FC1303">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14.5.3 承包人应按合同约定或发包人及监理人的指示进行必要的现场工艺或试验段试验。</w:t>
            </w:r>
          </w:p>
          <w:p w14:paraId="3E2E04CC">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于现场工艺试验或试验段试验，应由承包人根据发包人及监理人提出的工艺试验要求，编制工艺试验措施计划，报送监理人和发包人审批，并在监理工程师和业主代表的监督下方可进行，工艺试验费用已包含在合同总价中，发包人不再另行支付。</w:t>
            </w:r>
          </w:p>
        </w:tc>
      </w:tr>
      <w:tr w14:paraId="51C08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jc w:val="center"/>
        </w:trPr>
        <w:tc>
          <w:tcPr>
            <w:tcW w:w="876" w:type="dxa"/>
            <w:gridSpan w:val="2"/>
            <w:vAlign w:val="center"/>
          </w:tcPr>
          <w:p w14:paraId="04587BD9">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w:t>
            </w:r>
          </w:p>
        </w:tc>
        <w:tc>
          <w:tcPr>
            <w:tcW w:w="8890" w:type="dxa"/>
            <w:gridSpan w:val="2"/>
            <w:vAlign w:val="center"/>
          </w:tcPr>
          <w:p w14:paraId="1EC2D280">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将15.4.4、15.4.5款修改为：</w:t>
            </w:r>
          </w:p>
          <w:p w14:paraId="0DD16D4E">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15.4.4如果投标文件报价中没有相应综合单价的，则参照清单预算编制时选用的有关定额及补充的定额，人工、材料、机械单价按造价管理部门核备清单预算采用月份，广东省交通运输工程造价事务中心发布的“广东省交通建设工程主要外购材料信息价、主要地方材料信息价（工程所在地）、常用地方材料信息价（工程所在地）”中的项目施工所在地区材料信息价编制预算（如无相应信息价，由发包人另行确定），并按本合同段投标人中标价较造价管理部门核备的清单预算之下浮比例下浮确定。变更预算以发包人按相关程序确认的为准。</w:t>
            </w:r>
          </w:p>
          <w:p w14:paraId="452D37D7">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15.4.5如果双方对变更工程价款有争议，则请政府主管部门或发包人和承包人双方认可的机构按15.4.4款要求编制预算，由发包人委托，委托费用由发包人和承包人各负责一半，变更工程造价或单价按本合同段投标人中标价较造价管理部门核备的清单预算之下浮比例下浮确定。</w:t>
            </w:r>
          </w:p>
          <w:p w14:paraId="533CDF51">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发包人与承包人如按上述原则协商未果，发包人有权根据实际情况按上述某一原则进行处理，承包人必须无条件接受。</w:t>
            </w:r>
          </w:p>
          <w:p w14:paraId="7BD77E3C">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所有的变更设计都必须按发包人及其上级主管部门颁布的变更设计管理办法进行审批。</w:t>
            </w:r>
          </w:p>
        </w:tc>
      </w:tr>
      <w:tr w14:paraId="52E65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5" w:hRule="atLeast"/>
          <w:jc w:val="center"/>
        </w:trPr>
        <w:tc>
          <w:tcPr>
            <w:tcW w:w="876" w:type="dxa"/>
            <w:gridSpan w:val="2"/>
            <w:vAlign w:val="center"/>
          </w:tcPr>
          <w:p w14:paraId="2179DAA5">
            <w:pPr>
              <w:keepNext w:val="0"/>
              <w:keepLines w:val="0"/>
              <w:suppressLineNumbers w:val="0"/>
              <w:spacing w:before="0" w:beforeAutospacing="0" w:after="0" w:afterAutospacing="0" w:line="276"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17.1.2</w:t>
            </w:r>
          </w:p>
        </w:tc>
        <w:tc>
          <w:tcPr>
            <w:tcW w:w="8890" w:type="dxa"/>
            <w:gridSpan w:val="2"/>
            <w:vAlign w:val="center"/>
          </w:tcPr>
          <w:p w14:paraId="3E6B2A6B">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将本款“17.1.2 计量方法”项修改如下：</w:t>
            </w:r>
          </w:p>
          <w:p w14:paraId="4DC6C58E">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17.1.2 计量方法</w:t>
            </w:r>
          </w:p>
          <w:p w14:paraId="5898E6BF">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量清单中的工程量计算规则应按有关国家标准、行业标准的规定，并在合同中约定执行。中标后，需经招标人、设计单位、监理单位和中标人四方到施工现场再次核实实际工程量后方可实施。并按实际工程量和实际发生的项目进行计量。</w:t>
            </w:r>
          </w:p>
        </w:tc>
      </w:tr>
      <w:tr w14:paraId="22AD3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76" w:type="dxa"/>
            <w:gridSpan w:val="2"/>
            <w:vAlign w:val="center"/>
          </w:tcPr>
          <w:p w14:paraId="38EE172B">
            <w:pPr>
              <w:keepNext w:val="0"/>
              <w:keepLines w:val="0"/>
              <w:suppressLineNumbers w:val="0"/>
              <w:spacing w:before="0" w:beforeAutospacing="0" w:after="0" w:afterAutospacing="0" w:line="273"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w:t>
            </w:r>
          </w:p>
        </w:tc>
        <w:tc>
          <w:tcPr>
            <w:tcW w:w="8890" w:type="dxa"/>
            <w:gridSpan w:val="2"/>
            <w:vAlign w:val="center"/>
          </w:tcPr>
          <w:p w14:paraId="19B009D4">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17.3.1 付款周期</w:t>
            </w:r>
          </w:p>
          <w:p w14:paraId="5C0AFA98">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本项补充条款修改为：</w:t>
            </w:r>
          </w:p>
          <w:p w14:paraId="2F00EA0F">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发包人根据工程进度需要，由承包人提交计量资料，监理人在收到承包人进度付款申清单以及相应的支持性证明文件后的14天内完成核查，发包人应在监理人收到进度付款申请单后及时将进度应付款支付给承包人。</w:t>
            </w:r>
          </w:p>
          <w:p w14:paraId="76D5F293">
            <w:pPr>
              <w:keepNext w:val="0"/>
              <w:keepLines w:val="0"/>
              <w:suppressLineNumbers w:val="0"/>
              <w:spacing w:before="0" w:beforeAutospacing="0" w:after="0" w:afterAutospacing="0"/>
              <w:ind w:left="0" w:right="0" w:firstLine="420" w:firstLineChars="20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第17.3.3 增加以下内容：</w:t>
            </w:r>
          </w:p>
          <w:p w14:paraId="190F6D4D">
            <w:pPr>
              <w:keepNext w:val="0"/>
              <w:keepLines w:val="0"/>
              <w:suppressLineNumbers w:val="0"/>
              <w:spacing w:before="0" w:beforeAutospacing="0" w:after="0" w:afterAutospacing="0"/>
              <w:ind w:left="0" w:right="0" w:firstLine="367" w:firstLineChars="175"/>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（5）进度应付款还需经发包人上级主管部门审批确认后方能支付，承包人必须无条件接受。</w:t>
            </w:r>
          </w:p>
          <w:p w14:paraId="664B9492">
            <w:pPr>
              <w:keepNext w:val="0"/>
              <w:keepLines w:val="0"/>
              <w:suppressLineNumbers w:val="0"/>
              <w:spacing w:before="0" w:beforeAutospacing="0" w:after="0" w:afterAutospacing="0"/>
              <w:ind w:left="0" w:right="0" w:firstLine="367" w:firstLineChars="175"/>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增加“17.3.6”条款</w:t>
            </w:r>
          </w:p>
          <w:p w14:paraId="6AD6D374">
            <w:pPr>
              <w:pStyle w:val="14"/>
              <w:keepNext w:val="0"/>
              <w:keepLines w:val="0"/>
              <w:suppressLineNumbers w:val="0"/>
              <w:spacing w:before="0" w:beforeAutospacing="0" w:after="0" w:afterAutospacing="0"/>
              <w:ind w:left="0" w:right="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17.3.7进度款的支付比例：月支付额的</w:t>
            </w:r>
            <w:r>
              <w:rPr>
                <w:rFonts w:hint="eastAsia" w:ascii="宋体" w:hAnsi="宋体" w:cs="宋体"/>
                <w:color w:val="000000" w:themeColor="text1"/>
                <w:sz w:val="21"/>
                <w:szCs w:val="21"/>
                <w:highlight w:val="none"/>
                <w:u w:val="single"/>
                <w14:textFill>
                  <w14:solidFill>
                    <w14:schemeClr w14:val="tx1"/>
                  </w14:solidFill>
                </w14:textFill>
              </w:rPr>
              <w:t xml:space="preserve"> </w:t>
            </w:r>
            <w:r>
              <w:rPr>
                <w:rFonts w:hint="eastAsia" w:ascii="宋体" w:hAnsi="宋体" w:cs="宋体"/>
                <w:color w:val="000000" w:themeColor="text1"/>
                <w:sz w:val="21"/>
                <w:szCs w:val="21"/>
                <w:highlight w:val="none"/>
                <w:u w:val="single"/>
                <w:lang w:val="en-US" w:eastAsia="zh-CN"/>
                <w14:textFill>
                  <w14:solidFill>
                    <w14:schemeClr w14:val="tx1"/>
                  </w14:solidFill>
                </w14:textFill>
              </w:rPr>
              <w:t>80</w:t>
            </w:r>
            <w:r>
              <w:rPr>
                <w:rFonts w:hint="eastAsia" w:ascii="宋体" w:hAnsi="宋体" w:cs="宋体"/>
                <w:color w:val="000000" w:themeColor="text1"/>
                <w:sz w:val="21"/>
                <w:szCs w:val="21"/>
                <w:highlight w:val="none"/>
                <w:u w:val="single"/>
                <w14:textFill>
                  <w14:solidFill>
                    <w14:schemeClr w14:val="tx1"/>
                  </w14:solidFill>
                </w14:textFill>
              </w:rPr>
              <w:t xml:space="preserve"> </w:t>
            </w:r>
            <w:r>
              <w:rPr>
                <w:rFonts w:hint="eastAsia"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具体按上级资金到位情况拨付</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w:t>
            </w:r>
          </w:p>
          <w:p w14:paraId="2E5EC774">
            <w:pPr>
              <w:keepNext w:val="0"/>
              <w:keepLines w:val="0"/>
              <w:suppressLineNumbers w:val="0"/>
              <w:spacing w:before="0" w:beforeAutospacing="0" w:after="0" w:afterAutospacing="0"/>
              <w:ind w:left="0" w:right="0" w:firstLine="367" w:firstLineChars="175"/>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增加“17.3.7”条款</w:t>
            </w:r>
          </w:p>
          <w:p w14:paraId="4C5BF406">
            <w:pPr>
              <w:keepNext w:val="0"/>
              <w:keepLines w:val="0"/>
              <w:suppressLineNumbers w:val="0"/>
              <w:spacing w:before="0" w:beforeAutospacing="0" w:after="0" w:afterAutospacing="0" w:line="276"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17.3.8待工程交工验收完成后，进度款总额支付至结算价的</w:t>
            </w:r>
            <w:r>
              <w:rPr>
                <w:rFonts w:hint="eastAsia" w:ascii="宋体" w:hAnsi="宋体" w:cs="宋体"/>
                <w:color w:val="000000" w:themeColor="text1"/>
                <w:sz w:val="21"/>
                <w:szCs w:val="21"/>
                <w:highlight w:val="none"/>
                <w:u w:val="single"/>
                <w14:textFill>
                  <w14:solidFill>
                    <w14:schemeClr w14:val="tx1"/>
                  </w14:solidFill>
                </w14:textFill>
              </w:rPr>
              <w:t xml:space="preserve"> 97 </w:t>
            </w:r>
            <w:r>
              <w:rPr>
                <w:rFonts w:hint="eastAsia" w:ascii="宋体" w:hAnsi="宋体" w:cs="宋体"/>
                <w:color w:val="000000" w:themeColor="text1"/>
                <w:sz w:val="21"/>
                <w:szCs w:val="21"/>
                <w:highlight w:val="none"/>
                <w14:textFill>
                  <w14:solidFill>
                    <w14:schemeClr w14:val="tx1"/>
                  </w14:solidFill>
                </w14:textFill>
              </w:rPr>
              <w:t>%。</w:t>
            </w:r>
          </w:p>
        </w:tc>
      </w:tr>
      <w:tr w14:paraId="02BDD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876" w:type="dxa"/>
            <w:gridSpan w:val="2"/>
            <w:vAlign w:val="center"/>
          </w:tcPr>
          <w:p w14:paraId="653D38D8">
            <w:pPr>
              <w:keepNext w:val="0"/>
              <w:keepLines w:val="0"/>
              <w:suppressLineNumbers w:val="0"/>
              <w:spacing w:before="0" w:beforeAutospacing="0" w:after="0" w:afterAutospacing="0" w:line="273"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17.4 </w:t>
            </w:r>
          </w:p>
        </w:tc>
        <w:tc>
          <w:tcPr>
            <w:tcW w:w="8890" w:type="dxa"/>
            <w:gridSpan w:val="2"/>
            <w:vAlign w:val="center"/>
          </w:tcPr>
          <w:p w14:paraId="073FE48F">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17.4 质量保证金</w:t>
            </w:r>
          </w:p>
          <w:p w14:paraId="28930F92">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 17.4.2 项细化为：</w:t>
            </w:r>
          </w:p>
          <w:p w14:paraId="6377FEBA">
            <w:pPr>
              <w:keepNext w:val="0"/>
              <w:keepLines w:val="0"/>
              <w:suppressLineNumbers w:val="0"/>
              <w:spacing w:before="0" w:beforeAutospacing="0" w:after="0" w:afterAutospacing="0" w:line="276" w:lineRule="auto"/>
              <w:ind w:left="0" w:right="0" w:firstLine="420" w:firstLineChars="2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质量保证金：项目完成竣工决算审查和竣工决算审计，且发包人和承包人最终确定结算金额，质量缺陷责任期满后一个月内，发包人将质量保证金一次性退还给承包人。</w:t>
            </w:r>
          </w:p>
        </w:tc>
      </w:tr>
    </w:tbl>
    <w:p w14:paraId="1921E4A6">
      <w:pPr>
        <w:spacing w:before="240" w:after="240"/>
        <w:jc w:val="center"/>
        <w:rPr>
          <w:rFonts w:ascii="宋体" w:hAnsi="宋体" w:cs="宋体"/>
          <w:b/>
          <w:color w:val="000000" w:themeColor="text1"/>
          <w:sz w:val="32"/>
          <w:szCs w:val="32"/>
          <w:highlight w:val="none"/>
          <w14:textFill>
            <w14:solidFill>
              <w14:schemeClr w14:val="tx1"/>
            </w14:solidFill>
          </w14:textFill>
        </w:rPr>
      </w:pPr>
      <w:bookmarkStart w:id="1686" w:name="_Toc505844494"/>
      <w:bookmarkEnd w:id="1686"/>
      <w:bookmarkStart w:id="1687" w:name="_Toc505844504"/>
      <w:bookmarkStart w:id="1688" w:name="_Toc16186"/>
      <w:r>
        <w:rPr>
          <w:rFonts w:hint="eastAsia"/>
          <w:color w:val="000000" w:themeColor="text1"/>
          <w:highlight w:val="none"/>
          <w14:textFill>
            <w14:solidFill>
              <w14:schemeClr w14:val="tx1"/>
            </w14:solidFill>
          </w14:textFill>
        </w:rPr>
        <w:br w:type="page"/>
      </w:r>
      <w:r>
        <w:rPr>
          <w:rFonts w:hint="eastAsia" w:ascii="宋体" w:hAnsi="宋体" w:cs="宋体"/>
          <w:b/>
          <w:color w:val="000000" w:themeColor="text1"/>
          <w:sz w:val="32"/>
          <w:szCs w:val="32"/>
          <w:highlight w:val="none"/>
          <w14:textFill>
            <w14:solidFill>
              <w14:schemeClr w14:val="tx1"/>
            </w14:solidFill>
          </w14:textFill>
        </w:rPr>
        <w:t>项目专用合同条款</w:t>
      </w:r>
    </w:p>
    <w:p w14:paraId="4678EBB0">
      <w:pPr>
        <w:spacing w:line="40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说明：本部分所列的项目专用合同条款是对“公路工程专用合同条款”中规定必须在项目专用合同条款中明确的内容的集中，招标人编制的“项目专用合同条款”不限于本部分所列内容。合同条款中如果国家或有关部门颁布了新的技术标准或规范，则应采用新的标准或规范进行执行。</w:t>
      </w:r>
    </w:p>
    <w:p w14:paraId="2D5077BA">
      <w:pPr>
        <w:ind w:firstLine="480" w:firstLineChars="200"/>
        <w:rPr>
          <w:rFonts w:ascii="宋体" w:hAnsi="宋体" w:cs="宋体"/>
          <w:color w:val="000000" w:themeColor="text1"/>
          <w:sz w:val="24"/>
          <w:highlight w:val="none"/>
          <w14:textFill>
            <w14:solidFill>
              <w14:schemeClr w14:val="tx1"/>
            </w14:solidFill>
          </w14:textFill>
        </w:rPr>
      </w:pPr>
    </w:p>
    <w:p w14:paraId="0ECCFBB8">
      <w:pPr>
        <w:ind w:firstLine="480" w:firstLineChars="200"/>
        <w:rPr>
          <w:rFonts w:ascii="宋体" w:hAnsi="宋体" w:cs="宋体"/>
          <w:color w:val="000000" w:themeColor="text1"/>
          <w:sz w:val="24"/>
          <w:highlight w:val="none"/>
          <w14:textFill>
            <w14:solidFill>
              <w14:schemeClr w14:val="tx1"/>
            </w14:solidFill>
          </w14:textFill>
        </w:rPr>
      </w:pPr>
    </w:p>
    <w:p w14:paraId="28D8D0AC">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1、一般约定</w:t>
      </w:r>
    </w:p>
    <w:p w14:paraId="1269C08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词语定义</w:t>
      </w:r>
    </w:p>
    <w:p w14:paraId="5861836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1.1.2 款细化为：</w:t>
      </w:r>
    </w:p>
    <w:p w14:paraId="02A0F00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 合同当事人和人员</w:t>
      </w:r>
    </w:p>
    <w:p w14:paraId="548D4FA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本项补充第 1.1.2.9 目～第 1.1.2.11 目：</w:t>
      </w:r>
    </w:p>
    <w:p w14:paraId="7BECC30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1.1.2.9 发包人代表：</w:t>
      </w:r>
    </w:p>
    <w:p w14:paraId="2B15CD3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发包人代表（或称发包人驻地代表）是发包人派出到合同段执行发包人授予的一定权力及职责的现场管理人员。</w:t>
      </w:r>
    </w:p>
    <w:p w14:paraId="2220E27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1.1.2.10 试验检测中心承包人（试验人）：</w:t>
      </w:r>
    </w:p>
    <w:p w14:paraId="2C4EA3C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受发包人委托实施本合同工程试验检测工作管理的法人或其他组织，代表发包人对本合同工程进行抽检，以及对承包人的试验检测工作进行现场管理。</w:t>
      </w:r>
    </w:p>
    <w:p w14:paraId="50E0F13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1.1.2.11 第三方监测、风险管理及科研单位：</w:t>
      </w:r>
    </w:p>
    <w:p w14:paraId="14F1107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受发包人委托实施本合同工程监测、风险管理及科研任务的法人或其他组织。</w:t>
      </w:r>
    </w:p>
    <w:p w14:paraId="2D629FB5">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 其他</w:t>
      </w:r>
    </w:p>
    <w:p w14:paraId="0C0F59B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本项补充第 1.1.6.10 目：</w:t>
      </w:r>
    </w:p>
    <w:p w14:paraId="6A5CFAB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1.1.6.10 首件工程认可制：</w:t>
      </w:r>
    </w:p>
    <w:p w14:paraId="14937BD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简称首件制，指每一个分项工程开工前，承包人先按施工组织设计中的工艺技术要求完成样品工程，随后对样品的各项质量指标进行检测，并对检测结果进行分析、对比，再对施工组织设计进行修改完善。承包人从满足要求的试件中确定一个优良的首件，从程序报建、技术培训、技术交底、材料进场、施工方案和施工工艺、材料试验、现场管理和质量控制等方面，整理出一套标准样本，获得更科学、更合理的施工参数、质量保证措施和安全保证措施，并作为施工（批量生产）的依据，使施工（批量生产）过程中整个工程质量和外观效果处于可控范围内，杜绝施工（批量生产）后可能产生的各种质量隐患。凡未经首件工程认可的工艺过程，一律不得批量应用。</w:t>
      </w:r>
    </w:p>
    <w:p w14:paraId="7CBE1E9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 图纸和承包人文件</w:t>
      </w:r>
    </w:p>
    <w:p w14:paraId="21B7D8E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 图纸的提供</w:t>
      </w:r>
    </w:p>
    <w:p w14:paraId="1F539AB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4DCE9AB5">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0DA5538B">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发包人应在发出中标通知书之后 42 天内，向承包人免费提供由发包人或其委托的设计单位设计的施工图纸、技术规范和其他技术资料 2 份，并向承包人进行技术交底。承包人需要更多份数时，应自费复制。上述图纸、技术规范和其他技术资料，未经发包人同意，承包人不得提供给与本工程无关的第三方。</w:t>
      </w:r>
    </w:p>
    <w:p w14:paraId="5F721BD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1.6.3 图纸的修改</w:t>
      </w:r>
    </w:p>
    <w:p w14:paraId="6338D61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4648EAF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承包人不得对施工图的任何部分进行修改，所有设计修改必须经设计单位认可及发包人同意，否则视为承包人违约并按 22.1 款处理。</w:t>
      </w:r>
    </w:p>
    <w:p w14:paraId="7DEC232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1.6.4 图纸的错误</w:t>
      </w:r>
    </w:p>
    <w:p w14:paraId="4835496C">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494C1AF9">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须组织相关技术工作人员对有关的工程设计、技术规范、图纸或其他资料进行复核，发现资料中的任何差错、遗漏或缺陷后，应及时通知监理人。承包人未能在合同规定的时间内将发现的有关工程设计、技术规范、图纸或其他资料中的差错、遗漏或缺陷通知监理人的，由此造成的一切损失和责任均由承包人承担。</w:t>
      </w:r>
    </w:p>
    <w:p w14:paraId="04AB097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针对图纸与工程量清单的差、错、漏等问题，承包人应在合同签订后 3 个月内提出，合同签订后 6 个月内完成设计工程量核查，统一作为一次变更处理。</w:t>
      </w:r>
    </w:p>
    <w:p w14:paraId="7F26EF33">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0F801993">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 发包人义务</w:t>
      </w:r>
    </w:p>
    <w:p w14:paraId="76E3BE9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提供施工场地</w:t>
      </w:r>
    </w:p>
    <w:p w14:paraId="57DA88D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3DF52184">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主动协助发包人做好本合同段范围内土地征收、房屋拆迁及管线迁改工作。如果由于发包人未能按照本款规定办妥永久占地征用手续，影响承包人工程施工的，承包人须及时调整工程施工组织安排，合理组织和安排工程施工。</w:t>
      </w:r>
    </w:p>
    <w:p w14:paraId="67FA24C3">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但如果由于承包人未能按照本款规定提交占地计划，因而影响发包人办理永久工程占地征用手续而导致延误工期或增加费用，则由承包人自行负责。</w:t>
      </w:r>
    </w:p>
    <w:p w14:paraId="47286E5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 其他义务</w:t>
      </w:r>
    </w:p>
    <w:p w14:paraId="3F30721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w:t>
      </w:r>
    </w:p>
    <w:p w14:paraId="27BA8EF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发包人不提供进出施工现场的水、陆交通通道，不提供水、电、通讯的接入点及施工船舶临时停泊水域及停靠码头，由承包人自行落实解决，相关费用已包含在合同价格中，发包人不另行支付（除合同另有约定外）。</w:t>
      </w:r>
    </w:p>
    <w:p w14:paraId="1AF7BE46">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施工过程中的淤泥、弃方、建筑垃圾等抛弃地点（倾倒区）由承包人自行解决，并负责办理相关许可手续，承担因申请和使用倾倒区的一切费用（含环境监测、渔业资源补偿等），相关费用已包含在合同价格中（除合同另有约定外）。如承包人不按要求倾倒淤泥、弃方、建筑垃圾等引起的一切责任（包括违约金、赔偿等）均由承包人负责。</w:t>
      </w:r>
    </w:p>
    <w:p w14:paraId="38919A3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（3）发包人应在合同签订前向承包人提供工程款支付担保。</w:t>
      </w:r>
    </w:p>
    <w:p w14:paraId="338DF238">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2BA2F342">
      <w:pPr>
        <w:spacing w:line="40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3.监理人</w:t>
      </w:r>
    </w:p>
    <w:p w14:paraId="33D804A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监理人的职责和权力</w:t>
      </w:r>
    </w:p>
    <w:p w14:paraId="77085E2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3.1.1 项补充：</w:t>
      </w:r>
    </w:p>
    <w:p w14:paraId="48F0400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3.1.1（6）本项细化为：</w:t>
      </w:r>
    </w:p>
    <w:p w14:paraId="5DC0ABEE">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（6）根据第 15.3 款发出的变更指示，均需要经发包人事先批准。</w:t>
      </w:r>
    </w:p>
    <w:p w14:paraId="7F54FC6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增加以下内容：监理人关于本合同段工程的有关决定，都必须抄送发包人。发包人和承包人双方对工程施工的有关协议或决定，必须抄送监理人。监理人涉及工程变更、工程量增减、议价、索赔、改变工期、改变技术标准、改变重大施工技术方案，以及与费用有关的指令，均需事先与发包人协商，发包人书面认可后方能生效。</w:t>
      </w:r>
    </w:p>
    <w:p w14:paraId="26A4F02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3.1.2 项补充：</w:t>
      </w:r>
    </w:p>
    <w:p w14:paraId="6887502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本合同规定必须经发包人另行批准的事项外，如果监理人已经行使了上述职权，都应认为已从发包人处取得了必要的批准。但如果监理人的某些决定不妥或有错误，不妨碍政府监督部门或发包人事后进行撤销或变更。</w:t>
      </w:r>
    </w:p>
    <w:p w14:paraId="6171390F">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本条增加第 3.6 款和第 3.7 款：</w:t>
      </w:r>
    </w:p>
    <w:p w14:paraId="0C78DACA">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 发包人、监理人、试验人、承包人、风险管理等单位的关系</w:t>
      </w:r>
    </w:p>
    <w:p w14:paraId="3A7B3628">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3.6.1 在整个建设过程中，发包人与监理人、试验人、第三方监测、风险管理单位之间是委托与被委托的关系；监理人与承包人是监理与被监理的关系；承包人在项目实施过程中，必须接受发包人的统一管理，同时应按合同规定接受监理人和试验人的监督和管理。任何与施工承包合同有关的施工活动，都必须同时经发包人和监理人审查认定认为符合合同规定，发包人才同意计量。承包人应服从发包人的统一协调，积极配合发包人委托的单位开展工作，相关费用已包含在合同总价中。</w:t>
      </w:r>
    </w:p>
    <w:p w14:paraId="47980E82">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3.6.2 本项目工程实行承包人自检、社会监理（含试验人）、发包人管理和政府监督的质量保证体系。对工程质量出现问题而降低质量标准或返工而造成的一切经济和工期损失，由承包人承担，并视为承包人违约；监理人根据监理合同规定负监理不周的责任。监理人对某一分部或分项工程的认可不影响政府机构或发包人在事后的否定。</w:t>
      </w:r>
    </w:p>
    <w:p w14:paraId="4CC12BC7">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 发包人代表（或称发包人驻地代表）</w:t>
      </w:r>
    </w:p>
    <w:p w14:paraId="328E36D1">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3.7.1 发包人代表根据发包人的授权，代表发包人履行项目管理和控制职责，具体职责和权限由发包人另行明确。</w:t>
      </w:r>
    </w:p>
    <w:p w14:paraId="01E09030">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3.7.2 发包人代表对承包人的现场工程质量、进度、安全、文明环保等进行检查和督导，并有权要求承包人对存在问题进行整改。</w:t>
      </w:r>
    </w:p>
    <w:p w14:paraId="77EA06E5">
      <w:pPr>
        <w:spacing w:line="400" w:lineRule="exact"/>
        <w:ind w:firstLine="480" w:firstLineChars="200"/>
        <w:rPr>
          <w:rFonts w:ascii="宋体" w:hAnsi="宋体" w:cs="宋体"/>
          <w:color w:val="000000" w:themeColor="text1"/>
          <w:sz w:val="24"/>
          <w:highlight w:val="none"/>
          <w14:textFill>
            <w14:solidFill>
              <w14:schemeClr w14:val="tx1"/>
            </w14:solidFill>
          </w14:textFill>
        </w:rPr>
      </w:pPr>
    </w:p>
    <w:p w14:paraId="580D1EA2">
      <w:pPr>
        <w:pStyle w:val="62"/>
        <w:spacing w:line="360" w:lineRule="auto"/>
        <w:rPr>
          <w:rFonts w:ascii="宋体" w:hAnsi="宋体" w:cs="宋体"/>
          <w:b/>
          <w:color w:val="000000" w:themeColor="text1"/>
          <w:sz w:val="24"/>
          <w:szCs w:val="21"/>
          <w:highlight w:val="none"/>
          <w14:textFill>
            <w14:solidFill>
              <w14:schemeClr w14:val="tx1"/>
            </w14:solidFill>
          </w14:textFill>
        </w:rPr>
      </w:pPr>
      <w:r>
        <w:rPr>
          <w:rFonts w:hint="eastAsia" w:ascii="宋体" w:hAnsi="宋体" w:cs="宋体"/>
          <w:b/>
          <w:color w:val="000000" w:themeColor="text1"/>
          <w:sz w:val="24"/>
          <w:szCs w:val="21"/>
          <w:highlight w:val="none"/>
          <w14:textFill>
            <w14:solidFill>
              <w14:schemeClr w14:val="tx1"/>
            </w14:solidFill>
          </w14:textFill>
        </w:rPr>
        <w:t>4、承包人</w:t>
      </w:r>
    </w:p>
    <w:p w14:paraId="72529F40">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4.1承包人的一般义务</w:t>
      </w:r>
    </w:p>
    <w:p w14:paraId="5B16843B">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4.1.2 依法纳税</w:t>
      </w:r>
    </w:p>
    <w:p w14:paraId="5064F8A1">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本项补充：</w:t>
      </w:r>
    </w:p>
    <w:p w14:paraId="63443F57">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省、市和地方有关单位要收取的税费和规费（包括但不限于按交通运输部公布的《公路工程建设项目概算预算编制办法》(JTG 3830-2018)规定的建筑安装工程造价内的增值税、城市维护建设税、教育费附加和地方教育附加税、堤围防护费等），已包含在工程量清单单价及总价中，由承包人负责缴纳并承担所需费用。</w:t>
      </w:r>
    </w:p>
    <w:p w14:paraId="0912AC3E">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4.1.4 对施工作业和施工方法的完备性负责</w:t>
      </w:r>
    </w:p>
    <w:p w14:paraId="74CDE0FD">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本项细化为：</w:t>
      </w:r>
    </w:p>
    <w:p w14:paraId="16F3B3A7">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按合同约定的工作内容和施工进度要求，根据《广东省高速公路工程施工组织设计和施工方案标准化管理指南》编制施工组织设计和施工方案，并对所有施工作业和施工方案的完备性和安全可靠性负责。承包人应对施工组织设计和施工方案开展内部审查、专家论证（必要时）和报批工作。</w:t>
      </w:r>
    </w:p>
    <w:p w14:paraId="078DA8D4">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4.1.5 保证工程施工和人员的安全</w:t>
      </w:r>
    </w:p>
    <w:p w14:paraId="128B00A3">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本项补充：</w:t>
      </w:r>
    </w:p>
    <w:p w14:paraId="0A073851">
      <w:pPr>
        <w:pStyle w:val="62"/>
        <w:spacing w:line="360" w:lineRule="auto"/>
        <w:ind w:firstLine="48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承包人在施工中必须按相关规定和标准设置安全标志、标牌等必要的安全设施，否则发包人将委托其他单位制作或设置，发生的费用从安全生产费中扣除，不足部分从工程款中扣除。</w:t>
      </w:r>
    </w:p>
    <w:p w14:paraId="450B550F">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4.1.7 避免施工对公众与他人的利益造成损害</w:t>
      </w:r>
    </w:p>
    <w:p w14:paraId="238322C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本款细化为：</w:t>
      </w:r>
    </w:p>
    <w:p w14:paraId="70F11D1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37729CD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(2)承包人对实施和完成本合同工程及缺陷修复工程中的一切施工作业（尤其是爆破作业、钻孔桩施工、路基路面碾压等存在震动的施工作业以及需要临时改变当地交通、灌溉、排水现状的施工作业），有责任采取足够的预防措施，以保证不影响临近建筑物、构造物的安全与正常使用，不对群众的财产造成损失，也不干扰群众的生产、生活和通行方便（难以避免的一定程度的干扰除外），如发生上述情况，并由此导致索赔、赔偿、诉讼费用及其他开支时，应由承包人承担一切责任及费用。承包人在报价和组织施工时应充分考虑这一因素。</w:t>
      </w:r>
    </w:p>
    <w:p w14:paraId="0E76C93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（3）承包人在实施和完成本合同工程及缺陷修复工作中的一切施工作业，在经过原地貌为鱼塘时，须在征地红线处筑设围堰分界，围堰需坚固且堰顶标高应高出原塘基至少 0.5 米，以保证施工作业不污染、不影响征地红线外鱼塘的养殖与正常使用，不对群众的财产造成损失，施工过程也不干扰群众的生产。如因承包人责任（如施工考虑不周或措施不当等）而造成征地红线外鱼塘污染的，承包人应负责对涉及的鱼塘进行清淤处理，并由此导致施工受阻、停工、索赔、赔偿、诉讼费用及其他开支时，应由承包人自行处理并承担一切责任及费用，同时发包人有权要求承包人采取措施进行补救。若承包人拒不接受或在限期内未采取必要措施的，发包人有权委托其他承包人或分包人进行补救，产生费用由承包人承担。承包人在报价和组织施工时应充分考虑这一因素。</w:t>
      </w:r>
    </w:p>
    <w:p w14:paraId="21BFC8AC">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（4）承包人未经河道管理部门许可，不得擅自改变河岸现水边线、采用推填方式占用河道解决施工作业面不足或施工便道问题，否则引起的一切后果由承包人承担。</w:t>
      </w:r>
    </w:p>
    <w:p w14:paraId="676B8AC4">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（5）如桥梁桩基位于水域等地基软弱地段，承包人应采取相应的施工辅助措施，发生费用已包含在合同总价中。</w:t>
      </w:r>
    </w:p>
    <w:p w14:paraId="56DA4C7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（6）承包人应按交警、交通、铁路、航道、海事、国土、市政园林、水务、管道等管理部门的规定办理施工方案报批等相关手续，相关费用已包含在合同总价中（除合同另有约定外）。</w:t>
      </w:r>
    </w:p>
    <w:p w14:paraId="248A744C">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承包人利用现有道路作为施工便道的，需对道路采取一定的保护措施，施工完成后应以不低于现有标准对施工损坏的道路进行修复（具体标准须满足权属单位的要求），由此产生的一切费用均由承包人承担。</w:t>
      </w:r>
    </w:p>
    <w:p w14:paraId="765BCE1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7）承包人在实施和完成本合同工程及缺陷修复工作中的一切施工作业应保证发包人免于承担因承包人借用、占用或使用当地道路、铁路、航道、市政、水利或其他公共设施所引发的补偿费、诉讼费、损害赔偿、指控费及其他开支。一旦发生，发包人有权在承包人的工程进度款或结算款中扣回。</w:t>
      </w:r>
    </w:p>
    <w:p w14:paraId="1AA4D4BF">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8）承包人应按有关环境保护、水土保持、文物保护、通航安全、防洪安全、放射性环境评价、压覆矿床等专项评价报告以及相关审批部门批复意见的要求进行施工，在施工过程中采用的施工工艺和施工措施所需费用已包含在合同总价中(除合同另有约定外)。</w:t>
      </w:r>
    </w:p>
    <w:p w14:paraId="342854D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（9）承包人由于未切实履行以上条款的约定，导致发生工程阻工、停工，造成项目工期延误，视为承包人违约，按 22.1 条处理。</w:t>
      </w:r>
    </w:p>
    <w:p w14:paraId="116CA8D6">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4.1.8 为他人提供方便</w:t>
      </w:r>
    </w:p>
    <w:p w14:paraId="1B84CE58">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本款细化为：</w:t>
      </w:r>
    </w:p>
    <w:p w14:paraId="2A6549D0">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承包人应免费提供临时道路、便桥给本项目其他参建单位使用，并提供方便。承包人在施工期内，必须密切配合其他承包人在本合同段范围内的施工作业。如发生冲突，承包人应无条件接受发包人的协调及安排。</w:t>
      </w:r>
    </w:p>
    <w:p w14:paraId="3F9CC49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2）如果本项目的预制构件由预制合同段统一预制，无论运输安装由预制合同段负责还是使用单位自行负责，承包人应积极配合，免费提供临时道路、便桥供预制构件运输使用，并做好便道便桥的维护，确保安全畅通。</w:t>
      </w:r>
    </w:p>
    <w:p w14:paraId="3CB88AB4">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（3）承包人应按照监理人或发包人的要求负责安装其他工程所需的预埋件。由于承包人未按相关设计图纸施工预埋件，造成的损失（包括拆除、重新预埋所需费用）由承包人承担。</w:t>
      </w:r>
    </w:p>
    <w:p w14:paraId="077B213E">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（4）承包人应配合试验、检测单位完成相应的试验或检测工作，包括桩基检测、地质钻孔等，所需配合费用已包含在合同总价中（桩基静载、梁板荷载试验除外）。</w:t>
      </w:r>
    </w:p>
    <w:p w14:paraId="0C14B05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4.1.10其他义务</w:t>
      </w:r>
    </w:p>
    <w:p w14:paraId="360E99D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第 4.1.10（1）目补充：</w:t>
      </w:r>
    </w:p>
    <w:p w14:paraId="58E5E1F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临时用地的面积和使用期应满足工程需要和《广东省公路工程施工标准化指南》的要求，因临时占地发生的协调、租用、复耕、验收等相关费用由承包人承担。临时用地中如有地面附着物（包括但不限于电力、电信、房屋、坟墓等），其拆迁补偿费用已计入合同总价中。临时用地必须按规定办理相关手续，且不得对周边环境、公众及他人造成损害。</w:t>
      </w:r>
    </w:p>
    <w:p w14:paraId="62F9CEB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将本款第 4.1.10(2)目细化为：</w:t>
      </w:r>
    </w:p>
    <w:p w14:paraId="4F2B7C4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(2)除合同另有规定外，承包人应承担并支付为获得本合同工程所需的石料、砂、砾石、黏土或其他当地材料等所发生的料场使用费及其他开支或补偿费。发包人应尽可能协助承包人办理料场租用手续及解决使用过程中的有关问题。承包人应按发包人要求将砂、石料等地材的供货合同等资料提供给发包人和监理人备案。取材的料场和货源应保持相对固定，承包人及其供货人应接受发包人和监理人的监督检查，如有变更应及时通知发包人或监理人并送交相应有关资料。监理人征得发包人同意后有权要求承包人更换不符合要求的料场，承包人必须接受。</w:t>
      </w:r>
    </w:p>
    <w:p w14:paraId="1CBBBA6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将本款第 4.1.10(3)目细化为：</w:t>
      </w:r>
    </w:p>
    <w:p w14:paraId="079530F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信用信息管理系统。</w:t>
      </w:r>
    </w:p>
    <w:p w14:paraId="120B426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包工头”或其他不具备用工主体资格的组织和个人。承包人要加强对分包企业劳动用工和工资发放的监督管理，不得以工程款未到位等为由克扣或拖欠民工工资，不得将合同应收工程款等经营风险转嫁给民工；因承包人将工程转包或违法分包致使拖欠民工工资的，由承包人依法承担清偿责任。承包人项目部应当配备劳资专管员，对民工实行实名制管理，通过登录广东省交通运输厅工程建设管养平台（实名制管理系统）为每一位进场工人建立实名制档案，记录施工人员进出场情况和施工现场作业民工的身份信息、劳动考勤与计量，建立劳动计酬手册、工资结算与支付等管理台账，实时掌握施工现场用工及其工资支付情况，不得以包代管。</w:t>
      </w:r>
    </w:p>
    <w:p w14:paraId="7088656E">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工资支付表应如实记录支付单位、支付时间、支付对象、支付数额、支付对象的身份证号和签字等信息。承包人应签订劳务合同，必须明确上述主要条款，并对主要条款进行细化，防止恶意讨薪者恶意上访，民工花名册和工资支付表应报监理人备查。</w:t>
      </w:r>
    </w:p>
    <w:p w14:paraId="170A5070">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将本款第 4.1.10(4)目细化为：</w:t>
      </w:r>
    </w:p>
    <w:p w14:paraId="283487BE">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分解工程价款中的人工费用，在工程项目所在地银行开设民工工资（劳务费）专用账户，专项用于支付民工工资。项目实行分包人农民工工资委托承包人代发制度，分包人负责按月计算每位民工当月或上月应得工资额，承包人核查分包人提交的经民工签字确认的工资支付表，承包人的开户银行应根据承包人提供的经民工本人签字确认工资支付表，通过承包人设立的民工工资（劳务费）专用账户直接将工资划入民工个人工资账户。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16D7303C">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将本款第 4.1.10(6)目细化为：</w:t>
      </w:r>
    </w:p>
    <w:p w14:paraId="6FD249C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承包人应履行的其他义务：</w:t>
      </w:r>
    </w:p>
    <w:p w14:paraId="295F707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①工序衔接与协调</w:t>
      </w:r>
    </w:p>
    <w:p w14:paraId="22F1F5B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多个承包人在同一区域施工时，发包人和监理人有权协调工程的实施并对工程的衔接发出指示，承包人应在发包人和监理人的统一协调下工作，承包人由此增加的费用已包含在合同总价中。</w:t>
      </w:r>
    </w:p>
    <w:p w14:paraId="05059227">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施工用地和临时用地交付承包人后，承包人应采取有效的措施进行管控，包括必要的围蔽和安保措施，防止与本项目无关的人员或单位进入、借用、占用或侵占（发包人同意的除外），否则由此引起的施工干扰、工程方案变更、工期延后、费用增加等一切后果由承包人承担。</w:t>
      </w:r>
    </w:p>
    <w:p w14:paraId="2EAB0A9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交工验收前，承包人应将测量控制点、高边坡、软基、桥梁等观测点的资料移交给养护单位使用。</w:t>
      </w:r>
    </w:p>
    <w:p w14:paraId="31480E1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②施工工艺要求</w:t>
      </w:r>
    </w:p>
    <w:p w14:paraId="1FE92F42">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采取一切必要的措施，严格执行《广东省公路工程施工标准化指南》、《广东省高速公路公路施工安全标准化指南》和施工过程中发包人下发的工程管理手册（或创新工艺工法要求）、标准化和标杆管理、技术规范的各项规定，以及在建设过程中发包人提出的工艺工法要求，以保证达到合同规定的质量标准。在工程竣工质量要求较招标文件技术规范未发生改变的情况下，发包人或监理人对施工工艺提出的合理要求，原则上承包人不得就此要求发包人给予额外费用补偿，由此发生的一切费用视为已计入合同总价中。发包人提出或受施工条件限制需改变原施工工艺（工法）的，按 16.5 款约定执行。发包人推广先进工艺工法，如钢筋部品工艺、高温蒸养环形生产线预制场等，原则上承包人不得就此要求发包人给予额外费用补偿，由此发生的一切费用视为已计入合同总价中。</w:t>
      </w:r>
    </w:p>
    <w:p w14:paraId="0B3AD5C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③卫生与供水</w:t>
      </w:r>
    </w:p>
    <w:p w14:paraId="475EE16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自费采取应有的卫生防护措施，经常保持现场及其驻地整洁和卫生，为其雇用的员工供应清洁的饮用水和合格的生活用水，以保护职员和工人的健康。在炎热的高温条件下施工时，承包人应注意采取防暑降温措施。</w:t>
      </w:r>
    </w:p>
    <w:p w14:paraId="6E2636A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在组织人员进驻工程现场时，应切实采取预防疫情的有效措施，配备必要的医疗用品、以及消毒、测温、通风等设施、设备，加强疫情防控工作。承包人应至少设一名专职的、具有一定卫生常识及传染病防治知识的卫生督查员，负责承包人所在施工现场的传染病检查、控制和报告工作。供餐 50 人以上食堂必须向当地县级市场监管部门申办食品经营许可证。</w:t>
      </w:r>
    </w:p>
    <w:p w14:paraId="0B767AA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还应建立人员流动登记制度，信息报告制度，与当地卫生防疫部门积极合作，做好各项防范措施的落实工作。一旦暴发任何具有传染性的疾病时，承包人应遵守并执行当地政府或卫生防疫部门为防治和消灭上述传染病蔓延而制订的规章、命令和要求，并及时报告当地卫生防疫部门及发包人。</w:t>
      </w:r>
    </w:p>
    <w:p w14:paraId="27ADD85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将其采取上述措施而可能发生的全部费用计入投标报价中，发包人将不另行支付。如发生属不可抗力的公共卫生事件，承包人采取防控措施而发生的费用，参照政府部门的相关规定，予以合理补偿。因承包人采取措施不力所造成的一切后果，均由承包人自行负责。</w:t>
      </w:r>
    </w:p>
    <w:p w14:paraId="428FB9C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④项目审计、稽查和检查等的配合</w:t>
      </w:r>
    </w:p>
    <w:p w14:paraId="134E08E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A、与本工程项目相关的审计和稽查，承包人应高度重视并委派专人积极予以配合，对审计和稽查的有关意见承包人应无条件地及时整改。</w:t>
      </w:r>
    </w:p>
    <w:p w14:paraId="0E42728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B、有关单位对本项目的各种检查和视察等活动，承包人和监理人有义务积极配合开展各项工作。</w:t>
      </w:r>
    </w:p>
    <w:p w14:paraId="477BAD7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C、本工程项目有关的各类统计报表和汇报材料包括项目后评价报告，承包人和监理人有义务配合发包人做好编制工作并提供相应的资料。</w:t>
      </w:r>
    </w:p>
    <w:p w14:paraId="15EEFB52">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D、承包人应按监理人和发包人的有关要求，建立相应的计量、支付、变更和造价等台帐，同时承包人和监理人应配合发包人建立相应的台帐，三方各自的台帐应动态更新，并确保一致，直至工程结算完成。承包人应按省级公路工程造价管理信息化平台的要求，及时上传造价文件。</w:t>
      </w:r>
    </w:p>
    <w:p w14:paraId="6B88063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⑤双标管理（标杆管理、标准化管理）</w:t>
      </w:r>
    </w:p>
    <w:p w14:paraId="02E3C57E">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须贯彻落实交通运输部和广东省交通运输厅“平安百年品质工程”建设有关要求，进一步深化标准化管理和标杆管理，推进精品建造和精细管理；严格遵守和执行交通运输部、广东省交通运输厅有关高速公路建设标准化管理（含发包人下发的标准化管理指南，如有），高速公路建设样板（标杆）工程，高速公路施工优质优价，安全生产标准化，平安工地建设活动以及发包人制定的工程管理手册等规定。</w:t>
      </w:r>
    </w:p>
    <w:p w14:paraId="131A383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⑥工程质量和施工档案</w:t>
      </w:r>
    </w:p>
    <w:p w14:paraId="0308455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在施工过程中，如果工程质量不符合设计和规范要求以及优质工程有关管理规定，监理人或发包人要求停工和返工的，承包人必须立即执行，由此产生的各种费用由承包人承担，工期不予顺延。</w:t>
      </w:r>
    </w:p>
    <w:p w14:paraId="59B315E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承包人对已完工程必须进行严格的质量自检，只有自检合格的工程才能向监理人、发包人提出验收和计量的申请。监理人在收到验收申请后的 48 小时内对工程进行抽检和验收，对检验不合格的工程由承包人自费修复或返工。如果工程不合格是由于承包人的原因所致，则对承包人按项目专用合同条款及发包人下发的工程质量管理办法的规定进行处罚。</w:t>
      </w:r>
    </w:p>
    <w:p w14:paraId="40A0BF4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必须设置专职档案员（资料员），专职档案员应具有高速公路项目的竣工资料编制经验。承包人应将项目竣工文件材料的收集、整理、立卷、归档，纳入项目的日常管理工作中，落实档案材料管理领导责任人制，专人负责竣工文件材料立卷归档工作，确保项目竣工文件材料的完整、准确与系统。工程结束后需按时、按质、按量提交符合发包人要求的竣工文件纸质档案及电子档案。</w:t>
      </w:r>
    </w:p>
    <w:p w14:paraId="1A4C1F88">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⑦施工补勘</w:t>
      </w:r>
    </w:p>
    <w:p w14:paraId="0597DD44">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在工程施工期间，如果监理人要求承包人进行补钻孔或勘探性的开挖工作，须事先征得发包人同意。如果此项费用未包含在工程量清单项目中，则按变更处理。</w:t>
      </w:r>
    </w:p>
    <w:p w14:paraId="7587A12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⑧遗留问题的处理</w:t>
      </w:r>
    </w:p>
    <w:p w14:paraId="4E49A0B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在施工过程中应与相关单位或部门多协调、多沟通，妥善处理因施工引起的对地方所产生的影响。承包人在施工过程中应自觉缴纳地方政府及相关单位要求的各类押金、保证金、租金或补偿及使用费用等。如承包人未能妥善处理与地方政府及相关单位的关系而影响施工的，发包人有权不需经承包人同意，代付上述各类款项，并从承包人计量款中扣回，最终从承包人结算款中予以如数扣回，承包人应无条件接受。</w:t>
      </w:r>
    </w:p>
    <w:p w14:paraId="1C474EB0">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工程交工后竣工验收前，承包人所在合同段遗留的问题，承包人应积极主动地进行处理和解决并承担所有费用。如上述问题特别是与地方有关的遗留问题，承包人在发包人规定的期限内不能妥善处理的，发包人有权另行委托其他单位进行处理，发生的全部费用从应付给承包人的任何款项中扣回，承包人须无条件接受。</w:t>
      </w:r>
    </w:p>
    <w:p w14:paraId="2B411CD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⑨验收及其他</w:t>
      </w:r>
    </w:p>
    <w:p w14:paraId="702EA886">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根据《广东省交通运输厅关于进一步加强公路水路建设工程防雷工作的通知》要求，本项目将防雷减灾工作纳入安全生产日常管理，发包人将根据上级要求及相关技术规范统筹安排，在本项目中落实防雷装置与主体工程同时设计、同时施工、同时验收，承包人必须承担相应防雷工作的主体责任，严格按本项目防雷设计与相关要求组织实施防雷工程施工，必须采购满足设计文件技术指标和功能参数的材料设备，材料设备必须提供质量检验报告并接受质量监督，相关设备需报监理人批准，确保项目防雷工程验收合格。</w:t>
      </w:r>
    </w:p>
    <w:p w14:paraId="59BBD28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⑩应履行的其他义务</w:t>
      </w:r>
    </w:p>
    <w:p w14:paraId="119F2C38">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A、承包人因非本合同项目的诉讼、仲裁或行政处罚，导致法院或其他有权机关依法到发包人或发包人开户银行执行扣除承包人已完成工程量结算款项的，承包人须无条件接受该项执行扣款事实，承认已经收到发包人应付的该项工程进度款。此外，承包人还须对因该事件构成对发包人的负面影响与经济损失承担全额赔偿责任，同时视为承包人违反工程价款专款专用的约定，按 4.9 款约定进行处理。</w:t>
      </w:r>
    </w:p>
    <w:p w14:paraId="7E946B2C">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B、承包人应根据发包人的要求和施工现场实际情况开展施工作业，必须按发包人的指令开展施工，必要时必须借助地方道路或收费公路作为运输通道。</w:t>
      </w:r>
    </w:p>
    <w:p w14:paraId="02ECC44C">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C、海事、海洋、航道、环保、边防、公安、渔政、港口、交通维护、治安协调等有关事宜费用。</w:t>
      </w:r>
    </w:p>
    <w:p w14:paraId="6E82ECD4">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对渔业资源、电力电缆、通信电缆（包括国防电缆等）、供水排水管道等影响补偿：承包人须就施工对渔业资源、电力电缆、通信电缆（包括国防电缆等）、供水排水管道等的影响与相关部门协商，并承担相应的补偿费用。因承包人施工给渔业资源、电力电缆、通信电缆（包括国防电缆等）、供水排水管道等造成损害的，承包人应承担一切责任和赔偿费用。</w:t>
      </w:r>
    </w:p>
    <w:p w14:paraId="0FC9130F">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现有航道的占用、改移和恢复：如本项目施工对现有航道造成直接影响，为保证施工期间各类船舶的正常通行和行驶安全，承包人须对现有航道进行临时改移和维护，待相关工程完成施工、现有航道具备恢复通航条件时再按原通航标准及时予以恢复，工作内容包括但不限于勘察、设计、办理各种报批、施工许可手续、施工、临时航道验收、航道维护、既有航道恢复以及验收等，相关费用已包含在合同总价中（除合同另有约定外）。</w:t>
      </w:r>
    </w:p>
    <w:p w14:paraId="713B218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现有道路、市政设施及绿化、青苗的占用和恢复：如本项目施工需临时占用现有道路、路灯照明、人行设施、绿化、青苗等，承包人应在施工前编制占用恢复计划，及时向公路、交警、市政园林等部门办理有关手续，并承担相应的修复和补偿费用。</w:t>
      </w:r>
    </w:p>
    <w:p w14:paraId="235B8FB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D、承担因违反有关部门规定造成的损失和违约金</w:t>
      </w:r>
    </w:p>
    <w:p w14:paraId="77A3D14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必须严格按照有关部门的规定和要求组织施工，如有违反，应承担相应的损失及违约金。同时，应充分考虑相关行业主管部门的监测保护要求和受影响单位的管制要求，以及可能对作业点的控制或作业强度、作业时间等限制，对合同工期产生的影响，发包人不因此延长工期和增加费用（除合同另有约定外）。</w:t>
      </w:r>
    </w:p>
    <w:p w14:paraId="661044F4">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E、承包人应根据工程施工情况及监理人的指令，及时向监理人提交开工报告、测量报告、试验检验报告、隐蔽工程验收通知、工程质量自检报告、交工验收申请报告及工程事故报告等。</w:t>
      </w:r>
    </w:p>
    <w:p w14:paraId="67394F1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F、承包人在进场后 1 个月内对用地红线进行全面复核，如有误，必须立即书面通知发包人。</w:t>
      </w:r>
    </w:p>
    <w:p w14:paraId="52C0AED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G、承包人进场后应对施工位置进行复核，对管线（包括但不限于电力电缆、通信电缆、国防电缆、供水排水管道等）进行复核排查，对影响施工的管线等及时摸排清楚并通知监理人及发包人。如承包人未及时复查管线，施工造成管线破坏的，一切责任和损失由承包人承担。</w:t>
      </w:r>
    </w:p>
    <w:p w14:paraId="42068FA8">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4.2 履约担保</w:t>
      </w:r>
    </w:p>
    <w:p w14:paraId="5F23D5B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本款细化为：</w:t>
      </w:r>
    </w:p>
    <w:p w14:paraId="6F34BF1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承包人在收到中标通知书后 28 天之内并在签订合同协议书之前，应按投标人须知第 7.7.1 款规定的金额和形式提交履约担保，由此所发生的费用由承包人承担。承包人应保证其履约担保在发包人开始扣留质量保证金前一直有效。发包人开始扣留质量保证金时同步一次性向承包人退还全部履约担保。</w:t>
      </w:r>
    </w:p>
    <w:p w14:paraId="592B53BD">
      <w:pPr>
        <w:pStyle w:val="62"/>
        <w:spacing w:line="360" w:lineRule="auto"/>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 xml:space="preserve">    4.3 分包</w:t>
      </w:r>
    </w:p>
    <w:p w14:paraId="74DE6DA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第 4.3.2 项补充：</w:t>
      </w:r>
    </w:p>
    <w:p w14:paraId="4F167A7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承包人如有分包计划，所有的分包必须符合交通运输部现行《公路工程施工分包管理办法》及《广东省交通运输厅关于公路工程施工分包管理实施细则》关于施工分包和劳务合作的有关规定。</w:t>
      </w:r>
    </w:p>
    <w:p w14:paraId="4C8D0537">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如实际的分包单价（或总额价）超出承包人与发包人签定的承包合同对应的清单单价（或总额价），视为承包人的风险，承包人应从合同总价中进行调配，发包人不因此向承包人增加支付任何费用。</w:t>
      </w:r>
    </w:p>
    <w:p w14:paraId="70253D20">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承包人应无条件提供本合同段的临时工程和设施（包括但不限于便道、便桥、电力线路等）供分包人使用，不得向分包人收取临时工程和设施费用。</w:t>
      </w:r>
    </w:p>
    <w:p w14:paraId="60521002">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工程的计量由承包人负责统一上报，承包人应将发包人支付的属分包人部分的款项及时向分包人支付。发包人有权根据具体情况将相应款项直接向分包人支付，并从应付给承包人款项中相应扣回。承包人须负责分包部分原始资料的存档和竣工资料的统一编制等工作。发包人对承包人分包工程的同意并不免除承包人应承担的责任和义务。承包人应将任何分包人、分包代理人、雇员或工人的行为、违约和疏忽，视为承包人自己的行为、违约和疏忽，并为之负完全的责任。</w:t>
      </w:r>
    </w:p>
    <w:p w14:paraId="6A8938D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拟分包的专项工程的范围和规模，应当在投标文件和承包合同中明确。中标人进场后，如对拟分包项目情况表中的内容进行增减调整，必须报经监理人或发包人的同意。投标文件未列入或承包合同未明确的专项工程，承包人不得分包。但因工程变更等原因，增加有特殊性技术要求、特殊工艺或者涉及专利保护等的专项工程，且按照规定无须再进行招标的，以及工程实施中承包人和发包人一致认为对专项工程实行专项分包，有利于项目工程进度、质量和安全管理的，由承包人提出书面申请，报监理人审查，经发包人书面同意，可以分包。</w:t>
      </w:r>
    </w:p>
    <w:p w14:paraId="1A6F727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本款补充第 4.3.8、4.3.9 项：</w:t>
      </w:r>
    </w:p>
    <w:p w14:paraId="45666398">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4.3.8 特殊的分包人或供货人</w:t>
      </w:r>
    </w:p>
    <w:p w14:paraId="75FBAE42">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为了履行合同中某专业化的或特殊工程或关键的、专项的材料、设备、供货，根据金额规模可以通过合法方式选定作为发包人的特殊分包人或供货人，并要求承包人与进行专项或供货分包的特殊分包人或供货人签订分包合同。分包合同须符合《广东省交通运输厅关于公路工程施工分包管理实施细则》的有关规定。</w:t>
      </w:r>
    </w:p>
    <w:p w14:paraId="7D7BCE3F">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有关特殊分包的合同中，特殊分包人（或供货人）应独立地承担其合同责任和义务，不使承包人对发包人承担的合同责任和义务受到损害，也不使承包人承担因特殊的分包人（或供货人）未能履行责任、义务而引起的索赔、赔偿、诉讼费用及其他开支。承包人对于特殊分包人（或供货人）及其职工的过失而造成的损失不承担任何责任。如果特殊分包合同中含有与上述规定有悖的条款，承包人有权拒绝与此特殊分包人（或供货人）签订合同。</w:t>
      </w:r>
    </w:p>
    <w:p w14:paraId="0758C007">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特殊分包人（或供货人）承担部分的计量由承包人负责统一上报，承包人应将属特殊分包人（或供货人）的计量支付款项，及时向特殊分包人（或供货人）支付。</w:t>
      </w:r>
    </w:p>
    <w:p w14:paraId="03C6C6B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特殊分包人（或供货人）承担部分的原始资料存档和竣工资料编制等工作，由所在合同段的承包人负责。</w:t>
      </w:r>
    </w:p>
    <w:p w14:paraId="613FE135">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无偿为特殊供货人的供料运输提供满足使用要求的便道便桥和码头，承包人负责卸料并负责将卸下的材料搬运至工地仓库或特定地点，由此所需的设备、人力和费用由承包人自行负责，承包人的仓库容量应满足相关要求。</w:t>
      </w:r>
    </w:p>
    <w:p w14:paraId="1DDC66BE">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如发生第 11.5 款约定的承包人工程进度严重滞后，发包人有权对承包人部分工程进行特殊分包，承包人应无条件接受，并按第 11.5 款约定处理。</w:t>
      </w:r>
    </w:p>
    <w:p w14:paraId="4DD3EEE6">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4.3.9 发包人的强制分包</w:t>
      </w:r>
    </w:p>
    <w:p w14:paraId="57133626">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因承包人违约或发生重大的质量、安全事故以及出现进度严重滞后的情况和工程专业化施工等的需要，发包人有权对承包人部分工程进行切割，做分包处理，因此而增加的一切费用由承包人承担。</w:t>
      </w:r>
    </w:p>
    <w:p w14:paraId="6415D5B0">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当发包人决定采取分包时，承包人应无条件接受并全力配合发包人开展相关工作，并无条件提供已有的临时设施（包括但不限于便道、便桥、电力线路等）供分包人使用，且不得为此要求增加或支付任何费用，否则视承包人违约。分包部分的造价按以下原则计算，并从承包人的合同总价中扣除：</w:t>
      </w:r>
    </w:p>
    <w:p w14:paraId="0727142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A、</w:t>
      </w:r>
      <w:r>
        <w:rPr>
          <w:rFonts w:hint="eastAsia" w:ascii="宋体" w:hAnsi="宋体" w:cs="宋体"/>
          <w:color w:val="000000" w:themeColor="text1"/>
          <w:sz w:val="24"/>
          <w:szCs w:val="21"/>
          <w:highlight w:val="none"/>
          <w:u w:val="single"/>
          <w14:textFill>
            <w14:solidFill>
              <w14:schemeClr w14:val="tx1"/>
            </w14:solidFill>
          </w14:textFill>
        </w:rPr>
        <w:t xml:space="preserve"> 分包部分的造价计算原则由发包人按项目特点，根据分包的内容约定相应费用的扣除方式 </w:t>
      </w:r>
      <w:r>
        <w:rPr>
          <w:rFonts w:hint="eastAsia" w:ascii="宋体" w:hAnsi="宋体" w:cs="宋体"/>
          <w:color w:val="000000" w:themeColor="text1"/>
          <w:sz w:val="24"/>
          <w:szCs w:val="21"/>
          <w:highlight w:val="none"/>
          <w14:textFill>
            <w14:solidFill>
              <w14:schemeClr w14:val="tx1"/>
            </w14:solidFill>
          </w14:textFill>
        </w:rPr>
        <w:t>；</w:t>
      </w:r>
    </w:p>
    <w:p w14:paraId="791BD2E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B、发包人委托政府主管部门或发包人选取的第三方机构按 15.4.4 款约定的原则重新编制切割工程的预算，并按预算金额（不下浮）从承包人的合同总价中扣除。</w:t>
      </w:r>
    </w:p>
    <w:p w14:paraId="510EADF4">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发包人有权从以上两种方式中进行选择，承包人必须无条件服从。</w:t>
      </w:r>
    </w:p>
    <w:p w14:paraId="0E79A7A4">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发包人有权按上述确定的造价要求承包人、分包人与发包人签订三方分包协议,或由发包人与分包人签订协议。工程款根据签订的协议,由发包人对分包人按时计量支付。工程实施后，确定分包工程计量支付金额后,发包人可直接在承包人任意一期计量中扣减相应分包费用。承包人须负责分包部分原始资料的存档和竣工资料的统一编制等工作。发包人对承包人分包工程的同意并不免除承包人应承担的责任和义务。承包人应将任何分包人、分包代理人、雇员或工人的行为、违约和疏忽,视为承包人自己的行为、违约和疏忽,并为之负完全的责任。</w:t>
      </w:r>
    </w:p>
    <w:p w14:paraId="22BD8F3C">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的分包工程受发包人的监督和管理，发包人有权审查承包人所有分包合同，承包人须严格执行合同（包括分包合同）条款，不得拖欠工人工资及分包商工程款，发包人如有发现或接到投诉，发包人有权直接向工人或分包商支付承包人拖欠款项，该笔款项由发包人从承包人应收工程款中如数扣回，承包人不得有异议。</w:t>
      </w:r>
    </w:p>
    <w:p w14:paraId="0921D5A1">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4.6 承包人人员的管理</w:t>
      </w:r>
    </w:p>
    <w:p w14:paraId="1B7AD9F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第 4.6.1 项补充：</w:t>
      </w:r>
    </w:p>
    <w:p w14:paraId="170CD10D">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承包人应按监理人批准的人员安排报告及时安排相关人员进场，如果承包人在接到监理人要求人员进场的通知 5 天后仍未安排相关人员进场，视为承包人违约。</w:t>
      </w:r>
    </w:p>
    <w:p w14:paraId="7FC94476">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第 4.6.3 项细化为：</w:t>
      </w:r>
    </w:p>
    <w:p w14:paraId="45FC3DC9">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承包人安排在施工场地的项目经理及项目总工（总工程师）应与承包人投标填报名单一致；其他主要管理人员和技术人员的资格和经历应不低于招标文件《附录 6 资格审查条件（其他主要管理人员和技术人员最低要求）》的规定，报监理人审核后并报发包人批准，上述人员经发包人批准后不得随意更换。</w:t>
      </w:r>
    </w:p>
    <w:p w14:paraId="00632548">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 未经监理人批准，上述人员不应无故不到位或被替换。若确实无法到位或需替换，或监理人认为已委派的项目经理或主要人员（或备选人员）的工作能力和业务水平不称职，需经监理人审核并报发包人批准后，用同等资质和经历的人员替换，同时须按以下标准向发包人提交违约金：项目经理、总工程师（用备选人替换首选人的调整不受此限）需缴纳违约金金额详见项目专用合同条款数据表，其他主要管理人员（质检工程师、计划工程师、道路工程师、桥梁工程师、隧道工程师、地质工程师、测量工程师、试验工程师、专职安全生产管理人员、财务负责人等）的调整部分需缴纳违约金金额详见项目专用合同条款数据表。因不可抗力、退休、职务晋升或离职等（需提供相关证明材料）无法继续履行合同责任和义务，承包人报监理人审核并报发包人批准后可进行替换，替换人员的资质和经历不得低于原批复人员，承包人无须承担违约责任。发包人可随着工程的进度情况，动态增减管理人员要求。</w:t>
      </w:r>
    </w:p>
    <w:p w14:paraId="3E5AEBFF">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（2）为保证承包人的档案资料整理工作具有连续性、稳定性，要求承包人的档案资料整理负责人在本项目连续工作 1 年及以上，否则视为承包人违约。</w:t>
      </w:r>
    </w:p>
    <w:p w14:paraId="4A6951A2">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（3）项目经理不能在两个或两个以上项目同时任职，且必须保证每月有 22 天以上驻守现场；项目总工（总工程师）必须保证每月有 22 天以上驻守现场，否则视为承包人违约。以上两位主要人员因主管部门或发包人检查，被认定存在“挂名”现象的，视为承包人违约。</w:t>
      </w:r>
    </w:p>
    <w:p w14:paraId="28D8E096">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（4）承包人应按《公路水运工程安全生产监督管理办法》和《广东省高速公路工程施工安全标准化指南》等相关规定，设置独立的安全管理机构，配置专职安全生产管理人员：</w:t>
      </w:r>
    </w:p>
    <w:p w14:paraId="318E8F88">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a.项目部及专业分包单位按照年度施工产值计划配备专职安全生产管理人员，不足5000 万元的至少配备 2 名；5000 万元以上不足 2 亿元的按每 5000 万元不少于 1 名的比例配备；2 亿元以上的不少于 5 名；专职安全生产管理人员中安全、路桥、隧道、机械、地质、机电等专业人员比例不少于 80%。</w:t>
      </w:r>
    </w:p>
    <w:p w14:paraId="72FAED72">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b.施工单位（含专业分包单位）项目经理、项目总工程师、项目副经理和专职安全生产管理人员应持有公路水运工程施工企业安全生产“三类人员”安全生产考核合格证书或注册安全工程师证书，证书有效并与对应岗位人员身份相符，进场“三类人员”资格、实际岗位与合同文件或变更文件对应。</w:t>
      </w:r>
    </w:p>
    <w:p w14:paraId="3B983AB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（5）项目经理和项目总工必须按要求出席发包人组织的各种会议，包括监理人主持的重要会议。特殊情况无法出席的，必须取得发包人或监理人批准，任何迟到或早退按缺席处理。</w:t>
      </w:r>
    </w:p>
    <w:p w14:paraId="3344D3C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（6）承包人应严格按照环境保护的有关规定，明确环境保护的主要负责人，并按监理人的要求做好防御措施以及实施记录。</w:t>
      </w:r>
    </w:p>
    <w:p w14:paraId="048C22B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（7）承包人应严格按照水土保持的有关规定，明确水土保持的主要负责人，并按监理人的要求做好防御措施以及实施记录。</w:t>
      </w:r>
    </w:p>
    <w:p w14:paraId="3BEDA14A">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（8）承包人应配合发包人采用信息化管理手段对主要施工管理人员进行考核的措施。</w:t>
      </w:r>
    </w:p>
    <w:p w14:paraId="6FEA541B">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在本款后增加 4.6.6～4.6.7 项如下：</w:t>
      </w:r>
    </w:p>
    <w:p w14:paraId="42BDE59A">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4.6.6 劳务聘用</w:t>
      </w:r>
    </w:p>
    <w:p w14:paraId="36568EE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承包人可以直接雇用农民工或将劳务作业分包给具有劳务分包资质的劳务分包人，但承包人或分包人必须依法签订劳动合同，并将民工花名册、劳动合同和民工签收的工资支付表报监理人备案。承包人须根据《广东省交通运输厅关于加强交通建设工程从业人员实名制管理和作业工人工资支付管理的通知》和《广东省交通运输厅关于在全省公路水运工程建设项目部署应用从业人员实名制管理系统的通知》等文件要求，规范和加强项目农民工实名制管理及工资支付管理。承包人和劳务分包人必须按照有关法律、法规和劳务合同按时支付劳务工资及相关费用，落实各项劳动保护措施。</w:t>
      </w:r>
    </w:p>
    <w:p w14:paraId="79781827">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2）承包人必须按时支付其雇用人员、其分包单位雇用人员、实际为承包人或其分包单位服务、应从承包人中得到报酬的人员（包括民工）的工资，不得拖欠上述人员的工资。同时，承包人有责任和义务监督其分包单位对属下员工工资的支付。发包人和监理人有权监督承包人使用农民工的管理，对不签订劳动合同、非法使用农民工的，或者拖延和克扣农民工工资的，一经发现，发包人将予以通报并上报上级主管单位。同时，发包人有权从承包人的工程款中扣留部分款项，直接用于支付上述人员的工资，承包人须无条件接受。详细规定见承包人投标文件中提交的《建设工程农民工工资支付保证书》。若因上述原因造成劳务人员上访、纠纷等情况，承包人须承担一切经济和法律责任。除按国家有关法律、法规、规章及上述合同条款的规定进行处理外，同时按照第 22.1款约定对承包人进行处理。</w:t>
      </w:r>
    </w:p>
    <w:p w14:paraId="42FB7F05">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（3）承包人应为农民工办理工伤保险。</w:t>
      </w:r>
    </w:p>
    <w:p w14:paraId="33B5032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（4）发包人制定的农民工工资监管办法及有关规定，承包人须积极配合并无条件的接受。</w:t>
      </w:r>
    </w:p>
    <w:p w14:paraId="7C2C29D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劳务合作须符合《广东省交通运输厅关于公路工程施工分包管理的实施细则》的通知有关规定；劳务合作单位须按照《广东省高速公路工程施工安全标准化指南》相关要求配备安全生产管理人员：施工作业人员在 30 人及以下时，应配备 1 名兼职安全生产管理人员；施工作业人员在 31～50 人时，应配备 1 名专职安全生产管理人员；施工作业人员在 51 人～200 人时，应配备 2 名专职安全生产管理人员；施工作业人员在201 人及以上时，每增加 100 人，应增加 1 名专职安全生产管理人员，并根据所承担工程的施工危险程度予以增加。</w:t>
      </w:r>
    </w:p>
    <w:p w14:paraId="5ECF1E8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（6）推广以工代赈方式促进沿线群众就业。</w:t>
      </w:r>
    </w:p>
    <w:p w14:paraId="1C28B6C2">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4.6.7 施工班组及施工员登记制度</w:t>
      </w:r>
    </w:p>
    <w:p w14:paraId="5964C2FE">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签定合同后，承包人应组建施工班组，施工班组应符合《广东省公路工程施工标准化指南》及《广东省高速公路施工安全标准化指南（班组建设篇）》的相关规定。承包人应向监理人提供一份拟在本合同工程进行现场管理的施工员名单，包括监理人要求的有关证明材料。监理人将对符合资格要求的施工员进行造册登记，并发给项目施工员证。施工员登记工作是监理人签发开工令的必要条件之一。</w:t>
      </w:r>
    </w:p>
    <w:p w14:paraId="7C30E5D7">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分项工程施工现场实行标识牌管理，标识牌必须标明该分项工程作业内容和质量要求，施工单位及质量负责人姓名。工程开工后，承包人必须在每个施工工点派驻一个以上的经登记的施工员进行现场施工管理，做好详细的现场施工记录。施工员必须佩带项目施工员证上岗。承包人不执行本款规定，视为承包人违约并按 22.1 款约定进行处理。</w:t>
      </w:r>
    </w:p>
    <w:p w14:paraId="1903AEB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在施工过程中，监理人只要有充分的理由，可以随时取消不能令其满意的施工员的资格，收回项目施工员证。</w:t>
      </w:r>
    </w:p>
    <w:p w14:paraId="57D89F5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4.7 撤换承包人项目经理和其他人员</w:t>
      </w:r>
    </w:p>
    <w:p w14:paraId="41B2FFC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本款细化为：</w:t>
      </w:r>
    </w:p>
    <w:p w14:paraId="61A9E3F7">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应对其项目经理和其他人员进行有效管理。发包人或监理人在征得发包人同意后要求撤换不能胜任本职工作、行为不端或玩忽职守的项目经理和其他人员，承包人应予以撤换，同时委派经发包人与监理人同意的新的项目经理和其他人员，并按 4.6.3款约定处以违约金。被撤换人员未经发包人同意不得重新回到本合同段工作。</w:t>
      </w:r>
    </w:p>
    <w:p w14:paraId="1830DFD0">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4.11 不利物质条件</w:t>
      </w:r>
    </w:p>
    <w:p w14:paraId="666961E0">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第4.11.2项细化为：</w:t>
      </w:r>
    </w:p>
    <w:p w14:paraId="22FCAC25">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遇到不可预见的不利物质条件时，应采取适应不利物质条件的合理措施继续施工，并及时通知监理人和发包人。监理人应当及时发出指示，指示构成变更的，按第15条约定办理。监理人没有发出指示的，承包人应将情况及时上报发包人，如发包人3天内仍未发出指示的，因承包人采取合理措施而增加的费用和(或)工期延误，由发包人承担。</w:t>
      </w:r>
    </w:p>
    <w:p w14:paraId="20B29766">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4.11.3可预见的不利物质条件</w:t>
      </w:r>
    </w:p>
    <w:p w14:paraId="1BFA70C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第4.11.3（1）目补充：</w:t>
      </w:r>
    </w:p>
    <w:p w14:paraId="3D9FD82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对于一个有经验的承包人可合理预见的不利物质条件，无论承包人是否有其经历和经验均视为承包人在接受合同时已预见其影响，并已在签约合同价中计入因其影响而可能发生的一切费用（除合同另有约定外）。</w:t>
      </w:r>
    </w:p>
    <w:p w14:paraId="4686EBBF">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5.材料和工程设备</w:t>
      </w:r>
    </w:p>
    <w:p w14:paraId="5B550D5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第 5.1.2 项补充：</w:t>
      </w:r>
    </w:p>
    <w:p w14:paraId="7ABEF69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承包人选定的材料和工程设备必须满足本合同工程要求和《广东省公路工程施工标准化指南》管理规定。凡任何技术指标达不到发包人要求或被发包人禁止进入本合同工程的材料、设备（或材料供应商），承包人不得采购用于本项目。</w:t>
      </w:r>
    </w:p>
    <w:p w14:paraId="0EFC4EAE">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（2）统一供应材料的采购</w:t>
      </w:r>
    </w:p>
    <w:p w14:paraId="11E601F4">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统一供应材料的品种详见附件十《统一采购供应材料一览表》，具体采购必须严格执行发包人的管理要求。</w:t>
      </w:r>
    </w:p>
    <w:p w14:paraId="2FB4A02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统一采购供应的材料，若采用发包人统一招标方式的，在发包人经招标确定统一供货品牌后，由承包人(材料使用方)与发包人、供货人（卖方）共同签订供货合同。承包人与卖方为实际的买卖双方，卖方根据承包人实际需求按计划供应材料并提供发票给承包人；发包人负责监督合同各方严格履行供货合同，由承包人按供货合同规定支付材料款给卖方或由由承包人委托发包人按供货合同规定代承包人支付材料款给卖方，统一采购供应的材料款由发包人按上述方式与承包人进行结算。</w:t>
      </w:r>
    </w:p>
    <w:p w14:paraId="534F99E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对于此类材料的供货，还应满足以下规定：</w:t>
      </w:r>
    </w:p>
    <w:p w14:paraId="6AC5C79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①材料使用前，由承包人负责检验或试验，品种、规格、型号或质量与一览表不符的，承包人应及时报监理人及发包人处理；品种、规格或型号与一览表不符但质量经检验合格的，经监理人同意，可调剂串换使用。若上述不符是属于承包人责任造成的，则因此而增加的相应费用由承包人承担。</w:t>
      </w:r>
    </w:p>
    <w:p w14:paraId="112FB72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②为恰当和正确地使用、安装和实施这些材料和工程设备所必需的但一览表中未列明的其他任何辅助性材料以及人工费均已经包含在承包人的合同价款中。</w:t>
      </w:r>
    </w:p>
    <w:p w14:paraId="1B470AB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③当月的材料款根据合同附表中的统一采购供应材料单价和承包人与供应商当月签认的材料签收数量进行计算，原则上当月的材料款应在下个月的计量支付中扣除。根据实际情况，在确保工程款不超付的情况下允许推迟不超过三个月扣回材料款。</w:t>
      </w:r>
    </w:p>
    <w:p w14:paraId="536AE78F">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④承包人承担工程全部完工后，如统一供应材料实际用量与按设计图纸（包括变更）计算的理论用量（含合理损耗）偏差超过 5%（石油沥青、改性沥青为 2%）而无法提供合理解释的，发包人有权对承包人处以偏差部分 100％价值的违约金。</w:t>
      </w:r>
    </w:p>
    <w:p w14:paraId="35BE1E9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（3）其他主材的采购</w:t>
      </w:r>
    </w:p>
    <w:p w14:paraId="4FF99A26">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除统一供应材料以外的主材，承包人可自行决定采购方式。在开始采购前至少 28天，承包人应将采购方案报监理人审批，并严格执行发包人有关材料管理的各项要求。</w:t>
      </w:r>
    </w:p>
    <w:p w14:paraId="50DD8295">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（4）工程地材的采购</w:t>
      </w:r>
    </w:p>
    <w:p w14:paraId="3EED42A2">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对于工程施工所需地材（碎石、砂等），承包人可自行决定采购方式。在主要地材开始采购前至少 28 天，承包人应将采购方案（包括采购地材的品种和数量、供应商的名单、选择该供应商的理由、质量证明文件、供货计划等）报监理人审批。</w:t>
      </w:r>
    </w:p>
    <w:p w14:paraId="3BD7F1D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承包人必须通过合法的方式获取石源和砂源，应确保材料的合法来源及品质要求，对材料的运输方式、供应强度及运距等自行测算并承担风险。</w:t>
      </w:r>
    </w:p>
    <w:p w14:paraId="5D36965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（5）其他材料和工程设备的采购</w:t>
      </w:r>
    </w:p>
    <w:p w14:paraId="723B2000">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除以上（1）～（5）条之外的其他材料和工程设备，承包人应将选定的各项材料和工程设备的供应商及品种、规格、质量证明文件、数量和供货计划等报送监理人和发包人核备。</w:t>
      </w:r>
    </w:p>
    <w:p w14:paraId="588C2A25">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（6）监理人和发包人对承包人采购材料和工程设备的审批、核备、监督等并不免除承包人的责任。</w:t>
      </w:r>
    </w:p>
    <w:p w14:paraId="6DE58CFA">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7）如果承包人采购的材料或设备是进口的，则承包人应向监理人提供由中华人民共和国进出口商品检验检疫部门出具的检验证书，证明该材料或设备的质量、规格及其他指标符合设计及技术规范要求，否则发包人有权向承包人提出索赔。</w:t>
      </w:r>
    </w:p>
    <w:p w14:paraId="53A4DE04">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8）为最大限度确保本合同工程的施工质量，满足工程施工机械化、自动化的要求，在合同履行过程中，发包人将结合国内桥梁、隧道等工程施工现状，以及工程实际需要，对部分施工流程或工艺等提出特殊的设备要求，由此所增加的设备购置费或租赁费用已包含在合同总价中，发包人不另行支付（除合同另有约定外）。</w:t>
      </w:r>
    </w:p>
    <w:p w14:paraId="360A776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增加 5.1.3 项</w:t>
      </w:r>
    </w:p>
    <w:p w14:paraId="69FE270E">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承包人采购的材料应得到发包人和监理人的同意，经检验合格后方可使用。</w:t>
      </w:r>
    </w:p>
    <w:p w14:paraId="545E072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监理人征得发包人同意后，有权要求承包人更换不符合要求的料场，承包人必须无条件接受。承包人采购的材料设备与设计或标准要求不符时，承包人应按监理人要求的时间运出施工场地，重新采购符合要求的产品，由此发生的费用均由承包人承担，引起的工期延误不予顺延工期。</w:t>
      </w:r>
    </w:p>
    <w:p w14:paraId="7295549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本款补充第 5.1.4 项、第 5.1.5 项：</w:t>
      </w:r>
    </w:p>
    <w:p w14:paraId="4988405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5.1.4 项目的部分材料或设备如采用甲控乙购方式管理的，承包人应按照发包人明确的甲控乙购材料或设备品种（详见《甲控乙购材料一览表》）、技术指标及质量要求、采购方式和管理要求进行采购。</w:t>
      </w:r>
    </w:p>
    <w:p w14:paraId="69BF631F">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5.1.5 材料的防护、标识和可追溯性</w:t>
      </w:r>
    </w:p>
    <w:p w14:paraId="08B29A1A">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应根据材料特性对材料的运输、储存和保管的方法予以规定和执行，防止材料发生损坏、混淆、变质和受到污染。各种原材料、半成品的储存方式及所用的仓库、储罐、场地等应提前得到监理人的同意和确认。</w:t>
      </w:r>
    </w:p>
    <w:p w14:paraId="1519830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承包人应对材料的种类、特性和检验状态进行标识，确保每批材料保持良好状态并能追溯到采购日期、供应商和相关的质量证明文件。</w:t>
      </w:r>
    </w:p>
    <w:p w14:paraId="5A842A8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承包人在施工现场应建立原材料的进出场台帐、质量检验和质量跟踪台帐。其内容应包括进货日期、材料名称、品种、规格、数量、生产单位、供货单位、质量证明书编号、复试检验报告编号、检验结果和所用的工程部位等。</w:t>
      </w:r>
    </w:p>
    <w:p w14:paraId="22FBEF3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5.2 发包人提供的材料和工程设备</w:t>
      </w:r>
    </w:p>
    <w:p w14:paraId="1FCD0974">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5.2.1 项细化为：</w:t>
      </w:r>
    </w:p>
    <w:p w14:paraId="6753A78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5.2.1 为确保本项目的建设质量，发包人将按 4.3.8 款关于特殊分包人或供货人的规定，将本合同附件九《特殊材料设备供应一览表》（下称一览表）规定的材料设备通过招标方式选定材料设备供货人。材料设备供货人将按表列的价格向承包人提供材料设备。对于此类特殊材料的供货，应满足以下规定：</w:t>
      </w:r>
    </w:p>
    <w:p w14:paraId="70BA97CF">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 发包人按一览表约定的内容提供材料设备，并负责向承包人提供产品合格证明，对其真实性负责。但此项规定并不表明免除承包人检验材料设备质量的责任。</w:t>
      </w:r>
    </w:p>
    <w:p w14:paraId="17295367">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(2) 工程开工后，承包人应根据进度计划向发包人提出本款规定的材料设备使用计划，由发包人按计划提供材料。</w:t>
      </w:r>
    </w:p>
    <w:p w14:paraId="207CC998">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(3) 发包人在所供材料设备到货前 24 小时，以书面形式通知承包人；到货时，由承包人派人清点，必要时，发包人可派人参加。</w:t>
      </w:r>
    </w:p>
    <w:p w14:paraId="4D32EEE7">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 材料设备办理清点交接手续后，承包人承担产品的储存、保管责任。(5) 一览表约定的数量为暂定数量，发包人按承包人实际接收材料设备数量进行结算。</w:t>
      </w:r>
    </w:p>
    <w:p w14:paraId="06CD720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(6) 一览表约定的到货地点不一致时，发包人负责运达一览表指定地点；发包人采购单价与一览表材料设备单价不符，发包人仅承担价差（含税）。</w:t>
      </w:r>
    </w:p>
    <w:p w14:paraId="2355DF5F">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(7) 发包人供应的材料设备使用前，由承包人负责检验或试验，品种、规格、型号或质量与一览表不符的，承包人可拒绝接收，发包人应负责运出施工场地并重新采购；品种、规格或型号与一览表不符但质量经检验合格的，经监理人同意，可调剂串换使用。若上述不符是属于承包人责任造成的，则因此而增加的相应费用由承包人承担。若上述不符是属于非承包人责任造成的，并因此引起承包人工期延误或费用增加，则由发包人负责赔偿。</w:t>
      </w:r>
    </w:p>
    <w:p w14:paraId="76E126A5">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(8) 为恰当和正确地使用、安装和实施这些材料和工程设备所必需的但一览表中未列明的其他任何辅助性材料以及人工费应已经包含在承包人的合同总价中。</w:t>
      </w:r>
    </w:p>
    <w:p w14:paraId="169823B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(9) 发包人供应的材料设备款，发包人将在供应后一个至两个月内从承包人工程进度款中扣回。但为保证材料设备款在交工验收时得到全额扣回，发包人有权调整扣回时间及比例。</w:t>
      </w:r>
    </w:p>
    <w:p w14:paraId="59E9AE6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(10) 如发包人需采用任何从国（境）外进口材料和工程设备，且这些进口的材料和工程设备直接由发包人负责采购和办理进口，则由发包人承担进口材料和工程设备的一切开支，负责办理与此类进口有关的申请、许可、证书、外汇使用等手续并承担相应的费用。如果由于发包人原因导致进口材料和工程设备不能按计划运抵现场致使工程延误，承包人应就此通知监理人，监理人在收到此类通知并与承包人适当协商之后应决定：依据第 11.3 款规定承包人是否可以延长工期，承包人由此而发生的额外费用是否增加到合同价中。</w:t>
      </w:r>
    </w:p>
    <w:p w14:paraId="58F38E8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没有发包人的书面同意，承包人不得自行采购 5.2.1 款规定的材料和工程设备，否则监理人、发包人将拒绝使用这些材料和工程设备，承包人应赔偿由此带来的一切损失。无论出现任何情况，承包人均不得售卖发包人供应的材料和工程设备，否则一经查实，发包人有权对承包人处以售卖材料或工程设备金额两倍的违约金。</w:t>
      </w:r>
    </w:p>
    <w:p w14:paraId="3B9DCD9F">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5.4 禁止使用不合格的材料和工程设备</w:t>
      </w:r>
    </w:p>
    <w:p w14:paraId="737250A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在 5.4.2 项末尾增加：承包人还应承担由此带来的一切损失。</w:t>
      </w:r>
    </w:p>
    <w:p w14:paraId="7086E11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本条补充第 5.5 款、第 5.6 款、第 5.7 款、第 5.8 款：</w:t>
      </w:r>
    </w:p>
    <w:p w14:paraId="03161DEA">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5.5 代用材料的使用</w:t>
      </w:r>
    </w:p>
    <w:p w14:paraId="3CC7A06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5.5.1 承包人需要使用代用材料时，应经监理人认可并由发包人同意后才能使用，由此增减的合同价款双方以书面形式议定。承包人申请使用代用材料，仅限于出现下列情况时：</w:t>
      </w:r>
    </w:p>
    <w:p w14:paraId="627C8230">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(1)市场上无供应或在一定时间内突然供应短缺；</w:t>
      </w:r>
    </w:p>
    <w:p w14:paraId="4E9C08F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(2)政府或有关管理机构的后继规章、规定禁止使用；</w:t>
      </w:r>
    </w:p>
    <w:p w14:paraId="5D5CD38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(3)发包人或监理人要求使用其他替代品；或者承包人提出，发包人和监理人批准使用其他替代品；</w:t>
      </w:r>
    </w:p>
    <w:p w14:paraId="18F0ADA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(4)其他原因导致使用替代品成为必要的。</w:t>
      </w:r>
    </w:p>
    <w:p w14:paraId="12FDC51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如果使用代用材料，承包人应在使用前至少 14 天，以书面形式通知监理人并提交下列文件：</w:t>
      </w:r>
    </w:p>
    <w:p w14:paraId="343685E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(1)拟采用的替代品的名称、数量、规格、型号、品牌、性能、价格及其他必要的详细资料；</w:t>
      </w:r>
    </w:p>
    <w:p w14:paraId="1329475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(2)替代品使用的工程部位；</w:t>
      </w:r>
    </w:p>
    <w:p w14:paraId="534FD7A1">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(3)采用替代品的理由和原因申述；</w:t>
      </w:r>
    </w:p>
    <w:p w14:paraId="092997C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(4)替代品与合同中约定的产品之间的差异以及使用替代品后可能对工程产生任何方面的影响；</w:t>
      </w:r>
    </w:p>
    <w:p w14:paraId="3F29BB1D">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(5)价格上的差异；</w:t>
      </w:r>
    </w:p>
    <w:p w14:paraId="1245911B">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(6)监理人为作出适当的决定而随时要求承包人提供的任何其他文件。</w:t>
      </w:r>
    </w:p>
    <w:p w14:paraId="4DCDC26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监理人在收到此类通知及上述文件后，应在 14 天内作出审查意见，并报发包人批准。发包人对使用替代品的批准以及承包人据此使用替代品不应解除承包人合同约定的任何职责和义务。任何情况下，使用替代品都应遵守本合同中其他对材料和工程设备的任何约定。</w:t>
      </w:r>
    </w:p>
    <w:p w14:paraId="49A0817A">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5.5.2 机制砂的使用</w:t>
      </w:r>
    </w:p>
    <w:p w14:paraId="482C3424">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机制砂应满足设计文件和技术规范的要求，并按照国家、省有关文件的规定使用。</w:t>
      </w:r>
    </w:p>
    <w:p w14:paraId="4DDE4845">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 材料、工程设备和工程的试验和检验</w:t>
      </w:r>
    </w:p>
    <w:p w14:paraId="74191A14">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5.6.1承包人应按合同约定和技术标准，以及试验人的相关要求，建立工地试验室，完善试验和检验体系，对材料、工程设备和工程的质量进行试验和检验，向监理履行报检程序，并为监理人、试验人对上述材料、工程设备和工程的质量检查，提供必要的试验资料和原始记录。</w:t>
      </w:r>
    </w:p>
    <w:p w14:paraId="31858E2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5.6.2承包人应于工程开工前完成工地试验室建设和资质认证工作，工地试验室建设、相关配置及管理应满足标准化要求，并按发包人发布的项目管理制度执行。</w:t>
      </w:r>
    </w:p>
    <w:p w14:paraId="5228E383">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5.6.3承包人工地试验室资质范围以外的试验和检验项目，经监理人和发包人同意可对外委托具有相应资质的检测试验机构进行试验，但承包人应将检测试验机构有关资料报备监理人和试验人。</w:t>
      </w:r>
    </w:p>
    <w:p w14:paraId="7BA8016C">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5.6.4 承包人根据合同约定或监理人指示进行的现场材料试验，应由承包人提供试验场所、试验人员、试验设备器材以及其他必要的试验条件。</w:t>
      </w:r>
    </w:p>
    <w:p w14:paraId="52363119">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5.6.5 如有必要，发包人、监理人、试验人可以免费使用承包人的试验场所、试验设备器材以及其他试验条件，进行以工程质量检查为目的的复核性材料试验，承包人应予以协助。</w:t>
      </w:r>
    </w:p>
    <w:p w14:paraId="51B528C0">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5.6.6 承包人的试验和检验和外委试验应严格执行专用项目管理制度的相关规定和要求。 由承包人、监理人、试验人三方共同委外的检查项目的检测费用由承包人承担。</w:t>
      </w:r>
    </w:p>
    <w:p w14:paraId="29E3E6BE">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5.6.7 承包人应根据材料、工程设备进场计划和工程施工计划，制订相应试验和检验计划，按计划开展试验检测工作，并将上述计划报送监理人和和试验人。</w:t>
      </w:r>
    </w:p>
    <w:p w14:paraId="54009AE7">
      <w:pPr>
        <w:pStyle w:val="62"/>
        <w:spacing w:line="360" w:lineRule="auto"/>
        <w:ind w:firstLine="480" w:firstLineChars="200"/>
        <w:rPr>
          <w:rFonts w:ascii="宋体" w:hAnsi="宋体" w:cs="宋体"/>
          <w:bCs/>
          <w:color w:val="000000" w:themeColor="text1"/>
          <w:sz w:val="24"/>
          <w:szCs w:val="21"/>
          <w:highlight w:val="none"/>
          <w14:textFill>
            <w14:solidFill>
              <w14:schemeClr w14:val="tx1"/>
            </w14:solidFill>
          </w14:textFill>
        </w:rPr>
      </w:pPr>
      <w:r>
        <w:rPr>
          <w:rFonts w:hint="eastAsia" w:ascii="宋体" w:hAnsi="宋体" w:cs="宋体"/>
          <w:bCs/>
          <w:color w:val="000000" w:themeColor="text1"/>
          <w:sz w:val="24"/>
          <w:szCs w:val="21"/>
          <w:highlight w:val="none"/>
          <w14:textFill>
            <w14:solidFill>
              <w14:schemeClr w14:val="tx1"/>
            </w14:solidFill>
          </w14:textFill>
        </w:rPr>
        <w:t>5.6.8 承包人的试验和检验过程须接受监理人的旁站监督；承包人应接受试验检测中心的监督指导，并按试验检测中心制定的管理制度开展试验检测工作。</w:t>
      </w:r>
    </w:p>
    <w:p w14:paraId="0FBB275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5.6.9 监理人对承包人的试验和检验结果有疑问，或为查清承包人试验和检验成果的可靠性，要求承包人重新试验和检验时，可由监理人、试验人与承包人共同进行。重新试验和检验的结果证明该项材料、工程设备或工程的质量不符合合同要求的，由此增加的费用和（或）工期延误由承包人承担。 </w:t>
      </w:r>
    </w:p>
    <w:p w14:paraId="511774D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5.6.10</w:t>
      </w:r>
      <w:r>
        <w:rPr>
          <w:rFonts w:hint="eastAsia" w:ascii="宋体" w:hAnsi="宋体" w:cs="宋体"/>
          <w:color w:val="000000" w:themeColor="text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发包人、监理人和相关政府部门或发包人认可的其他第三方机构有权对工程的所有部位及其施工工艺、工程设备和材料进行检查和检验。承包人应为上述人员的检查和检验提供方便，包括到施工现场，或制造、加工地点，或其他地方进行察看和查阅施工原始记录。承包人还应按发包人、监理人、试验人和发包人认可的人员指示，进行施工现场取样试验、工程复核测量和设备性能检测，提供试验样品，提交试验报告和测量成果，完成上述人员要求进行的其他检查和检验工作。</w:t>
      </w:r>
    </w:p>
    <w:p w14:paraId="3E6D0CE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发包人、监理人、试验人和发包人认可的相关政府部门或其他第三方机构的检查和检验，不免除承包人合同约定的责任。 </w:t>
      </w:r>
    </w:p>
    <w:p w14:paraId="049B5A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5.7标准试验</w:t>
      </w:r>
    </w:p>
    <w:p w14:paraId="14A0FE3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5.7.1对于混凝土配合比、标准干密度等标准试验，承包人应于相应分项工程开工前完成上述试验，并将试验结果报监理人，同时由试验检测中心进行相应的平行试验检验，履行审批程序后方可用于工程施工控制。 </w:t>
      </w:r>
    </w:p>
    <w:p w14:paraId="0F72020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5.7.2 当用于工程施工的原材料发生变化时，承包人应重新进行上述标准试验，并履行平行试验和审批程序。 </w:t>
      </w:r>
    </w:p>
    <w:p w14:paraId="14953D5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5.8 工艺试验 </w:t>
      </w:r>
    </w:p>
    <w:p w14:paraId="05E0001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5.8.1 承包人应按合同约定或监理人指示进行现场工艺试验。对大型的现场工艺试验，应编制工艺试验方案和计划，报送监理人审批后实施。 </w:t>
      </w:r>
    </w:p>
    <w:p w14:paraId="0ABF8CC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5.8.2 对于特殊工艺质量检验，承包人应制定相应的检验方案和工艺，经评委评审和发包人审核确认后应用于现场工程质量控制和检验。</w:t>
      </w:r>
    </w:p>
    <w:p w14:paraId="43BD78A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 施工设备和临时设施</w:t>
      </w:r>
    </w:p>
    <w:p w14:paraId="3C220E4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 承包人提供的施工设备和临时设施</w:t>
      </w:r>
    </w:p>
    <w:p w14:paraId="6633E03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6.1.1 项补充：</w:t>
      </w:r>
    </w:p>
    <w:p w14:paraId="58C443C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投标文件承诺的主要机械设备（含检验、试验设备）必须按现场施工需要到位；承包人不管何种原因需推迟设备到位时间或改变到位设备的数量、型号等，均须事先经发包人和监理人的同意并将变更情况书面报监理人备案，违反上述规定视为承包人违约并按 22.1 款约定处理。</w:t>
      </w:r>
    </w:p>
    <w:p w14:paraId="1CEE419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 6.1.3 项：</w:t>
      </w:r>
    </w:p>
    <w:p w14:paraId="117623D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进场后，根据施工需要配备龙门吊、塔吊、架桥机等特种设备的，须提供厂家生产许可证、产品出厂合格证、设计计算书、使用说明书及图纸等资料；对于架桥机还应提供设备出厂到拟投入使用前的使用履历，包括有无发生过设备事故、有无改装以及有无经过大修；架桥机应明确其使用人及权属人。承包人在特种设备使用前应制定安装拆除方案及生产安全事故应急预案，由具有安装（拆除）资质的单位进行安装（拆除），并向特种设备所在地质量技术监督部门办理告知等一系列手续，提供验收合格证、当地使用登记证等资料。加强特种设备日常维护保养和自行检查制度，对作业人员进行相应的教育培训、安全技术交底。特种作业人员必须持证上岗。</w:t>
      </w:r>
    </w:p>
    <w:p w14:paraId="19C7308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6.3 要求承包人增加或更换施工设备</w:t>
      </w:r>
    </w:p>
    <w:p w14:paraId="6074E93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在本款后补充：</w:t>
      </w:r>
    </w:p>
    <w:p w14:paraId="2224D73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承包人在接到上述指令 14 天内未按要求执行，将按第 22.1 款视为承包人违约。</w:t>
      </w:r>
    </w:p>
    <w:p w14:paraId="409BF1C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本条补充第 6.5 款：</w:t>
      </w:r>
    </w:p>
    <w:p w14:paraId="5A09731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6.5 信息化管理</w:t>
      </w:r>
    </w:p>
    <w:p w14:paraId="47348B0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6.5.1 计算机系统配置</w:t>
      </w:r>
    </w:p>
    <w:p w14:paraId="0D184A9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发包人采用信息化手段对本项目进行管理。承包人的计算机及网络配置应满足项目信息化管理和发包人的有关要求。</w:t>
      </w:r>
    </w:p>
    <w:p w14:paraId="3EE2D21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承包人应确保有专用计算机和一条专用网络连接线，同时应充分考虑可视化管理的手段，网络速度不小于 100Mbps。</w:t>
      </w:r>
    </w:p>
    <w:p w14:paraId="01A02C5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项目管理系统专用计算机的管理要求：</w:t>
      </w:r>
    </w:p>
    <w:p w14:paraId="054A943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(1)项目管理系统专用的计算机应由熟悉计算机操作的管理人员专人管理，管理人员必须参加发包人举办的培训班。</w:t>
      </w:r>
    </w:p>
    <w:p w14:paraId="4B0987A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(2)严禁在专用的计算机上安装软驱、光驱或进行登录 Internet 网及其局域网的操作。</w:t>
      </w:r>
    </w:p>
    <w:p w14:paraId="087D3DF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(3)严禁在专用计算机上安装或卸载软件。</w:t>
      </w:r>
    </w:p>
    <w:p w14:paraId="2735F2C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(4)本网络系统对操作者进行了权限设置，任何操作员的违规操作将按照有关规定处理。</w:t>
      </w:r>
    </w:p>
    <w:p w14:paraId="0B89833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专用计算机访问登录服务器前，操作员应准备好所有要传送的资料，登录后，应立即进行传送的操作，以避免长时间占用通讯通道。严禁登录占用通讯通道后才开始整理资料或编制文档，若有此情况将视作霸用通讯通道处以经济惩罚。</w:t>
      </w:r>
    </w:p>
    <w:p w14:paraId="058511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(6)承包人应安排专人配合发包人将项目信息管理系统与广东省交通运输厅建设管养平台进行对接，保证网络畅通。</w:t>
      </w:r>
    </w:p>
    <w:p w14:paraId="5D00930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7.交通运输</w:t>
      </w:r>
    </w:p>
    <w:p w14:paraId="037F367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 场内施工道路</w:t>
      </w:r>
    </w:p>
    <w:p w14:paraId="2F3FE90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 7.2.3 项：</w:t>
      </w:r>
    </w:p>
    <w:p w14:paraId="11DE34E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负责对本标段内施工便道进行建设和维护，包括便道硬化及便桥加固等，并无条件允许发包人、监理人、试验人、本工程其他承包人及供应商使用。如该便道因各种原因损坏而未能及时修复，影响使用的，若发包人与承包人协调无果时，发包人有权委托第三方进行修复，所发生的费用从承包人工程款中扣回，承包人应无条件接受。</w:t>
      </w:r>
    </w:p>
    <w:p w14:paraId="30988C1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 7.2.4 项：</w:t>
      </w:r>
    </w:p>
    <w:p w14:paraId="3F7F289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7.2.4 施工便道要求：</w:t>
      </w:r>
    </w:p>
    <w:p w14:paraId="4342AEF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无条件按发包人要求的时间节点拉通施工便道，在实施便道工程前，应做好现场调查，结合工点施工组织方案，编制施工便道专项方案。承包人在取弃土前，应对取弃土场的位置、容量等进行勘测复查，编制取弃土场专项方案。具体方案需符合《广东省交通运输厅关于进一步加强公路施工便道取弃土场的设计和施工管理工作的通知》、《广东省高速公路工程施工安全标准化指南》和《广东省公路工程施工标准化指南》的要求。</w:t>
      </w:r>
    </w:p>
    <w:p w14:paraId="76CC576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7.3 场外交通</w:t>
      </w:r>
    </w:p>
    <w:p w14:paraId="44D40A7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 7.3.3 项：</w:t>
      </w:r>
    </w:p>
    <w:p w14:paraId="2CDC955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为保证道路交通安全及运输畅通，承包人应采取以下措施：</w:t>
      </w:r>
    </w:p>
    <w:p w14:paraId="64F300C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（a）承包人必须在与市政、交通和交警等部门的协商下采取足够的交通引导措施，以防止施工期间出现道路堵塞；</w:t>
      </w:r>
    </w:p>
    <w:p w14:paraId="28B4D03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（b）承包人制定施工材料运输计划时，应尽量避开现有道路交通高峰时的运输活动。</w:t>
      </w:r>
    </w:p>
    <w:p w14:paraId="25710CD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（c）承包人须编制交通组织方案，报相关部门审查批复，必要时组织评审，费用由承包人负责（合同另有约定除外）。</w:t>
      </w:r>
    </w:p>
    <w:p w14:paraId="7C7AC5F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8．测量放线</w:t>
      </w:r>
    </w:p>
    <w:p w14:paraId="5498CE6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8.2 施工测量</w:t>
      </w:r>
    </w:p>
    <w:p w14:paraId="16ACE0A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 8.2.3 项：</w:t>
      </w:r>
    </w:p>
    <w:p w14:paraId="1A3A5C2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地面线定测误差引起土石方数量变化原则上不予调整。</w:t>
      </w:r>
    </w:p>
    <w:p w14:paraId="0BCAD1D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 施工安全、治安保卫和环境保护</w:t>
      </w:r>
    </w:p>
    <w:p w14:paraId="16A6D3A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 承包人的施工安全责任</w:t>
      </w:r>
    </w:p>
    <w:p w14:paraId="137632D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9.2.1 项补充：</w:t>
      </w:r>
    </w:p>
    <w:p w14:paraId="5C7DA3A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承包人应按《广东省高速公路工程施工安全标准化指南》的规定履行安全职责。本项目需要编制专项施工方案的工程包括但不限于以下内容补充第（11）~（14）目：</w:t>
      </w:r>
    </w:p>
    <w:p w14:paraId="2911924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（11）旧桥涵（含分离立交、匝道桥、现浇、连续梁）的拆除与加固；</w:t>
      </w:r>
    </w:p>
    <w:p w14:paraId="13E31AA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（12）纵断面调整路段的路基路面施工；</w:t>
      </w:r>
    </w:p>
    <w:p w14:paraId="5D6CC68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（13）旧收费雨棚及收费岛拆除，旧门架式监控或标志设施拆除；</w:t>
      </w:r>
    </w:p>
    <w:p w14:paraId="3C943C0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（14）其他危险性较大的工程。</w:t>
      </w:r>
    </w:p>
    <w:p w14:paraId="6FD7317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9.2.2 项补充：</w:t>
      </w:r>
    </w:p>
    <w:p w14:paraId="0B1B081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国家和有关部门的规定，对施工现场人员和作业船舶、机械、设备的防台风、防突风、防风暴潮、防汛、防火、防雾、防坠落、防雷击等进行安全管理，对施工现场加强水陆交通安全管理、治安防范和消防安全防护措施，并承担由于措施不力造成的事故责任和由此发生的费用。</w:t>
      </w:r>
    </w:p>
    <w:p w14:paraId="291DACE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9.2.3 项补充：</w:t>
      </w:r>
    </w:p>
    <w:p w14:paraId="3A8E28A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9.2.3.1 承包人应贯彻执行国家有关安全生产、职业健康与环境保护的法律、法规、工程建设强制性标准及项目所在地的有关规定，以及发包人制定的管理制度，建立有效的安全生产、职业健康、环境保护管理体系，用于规范项目的安全生产、职业健康和环境保护管理工作。</w:t>
      </w:r>
    </w:p>
    <w:p w14:paraId="76B05C0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9.2.3.2 项目的安全生产、职业健康和环境保护管理，应接受政府主管部门及其授权委托机构、发包人及其所委托的监理机构的监督、检查、协调与指导。</w:t>
      </w:r>
    </w:p>
    <w:p w14:paraId="5CA9F38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9.2.3.3 承包人应建立健全并落实安全生产“一岗双责”责任制和全员安全生产责任制，确保管生产同时管安全，实现全员全过程安全管理。</w:t>
      </w:r>
    </w:p>
    <w:p w14:paraId="10FFEA2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9.2.3.4 承包人应深入开展以岗位达标、专业达标和项目达标为内容的安全生产标准化建设。重点开展公路水运工程“平安工地”建设管理活动，按照《广东省交通运输厅关于公路水运工程平安工地建设的管理办法》，开展平安工地建设，经常性的开展安全生产自查和安全隐患排查，每月至少组织一次全面的自我考核评价，并将考核评价结果向监理人和发包人备案。</w:t>
      </w:r>
    </w:p>
    <w:p w14:paraId="1216316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9.2.4 项补充：</w:t>
      </w:r>
    </w:p>
    <w:p w14:paraId="24F53BC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承包人必须重视应急管理，在应急管理方面要做好但不限于以下工作：</w:t>
      </w:r>
    </w:p>
    <w:p w14:paraId="423C63E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（1）建立和完善应急组织体系。</w:t>
      </w:r>
    </w:p>
    <w:p w14:paraId="60F9C43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结合工程特点建立完善的应急预案体系，承包人编制的应急预案必须和项目参建各方、项目所在地相关的应急预案体系相互衔接，互为呼应。按照应急预案的要求，组建和完善专兼职应急救援队伍、配备应急救援设施和装备，保证应急救援物资处于良好状态，确保正常使用。</w:t>
      </w:r>
    </w:p>
    <w:p w14:paraId="19251DE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（3）承包人应经常组织应急预案演练，不断完善应急预案，提升应急管理水平。发生突发事件时，迅速启动应急预案，开展各项应急处置工作。</w:t>
      </w:r>
    </w:p>
    <w:p w14:paraId="6BFB9E2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承包人应主动接受所在地人民政府安全生产监督管理部门和有关主管部门安全监督指导，并积极配合相关单位做好应急管理工作，因上述单位要求而增加的安全设备、措施、防护等费用，原则上由承包人从安全生产费用中列支，发包人不另行支付。</w:t>
      </w:r>
    </w:p>
    <w:p w14:paraId="6EE29BD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第9.2.5项细化为：</w:t>
      </w:r>
    </w:p>
    <w:p w14:paraId="1DC7B25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国家、省和广东省交通运输厅关于印发《广东省交通运输厅关于公路水运建设工程安全生产费用的管理办法》的通知等相关规定要求，本合同设立安全生产费。安全生产费按计费基数（工程量清单第100章至第900章费用之和，并扣除安全生产费本身和机电工程设备购置费）的1.5%（不含新建、改建、扩建以及拆除、加固等建设工程专项交通安全维护费）（房建工程按</w:t>
      </w:r>
      <w:r>
        <w:rPr>
          <w:rFonts w:hint="eastAsia" w:ascii="宋体" w:hAnsi="宋体" w:cs="宋体"/>
          <w:color w:val="000000" w:themeColor="text1"/>
          <w:sz w:val="24"/>
          <w:highlight w:val="none"/>
          <w:u w:val="singl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%）以固定金额的形式计入工程量清单支付子目102-3中。</w:t>
      </w:r>
    </w:p>
    <w:p w14:paraId="22A66B8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（1）安全生产费用预付款比例及扣回方式</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w:t>
      </w:r>
    </w:p>
    <w:p w14:paraId="1C8D5A1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施工准备阶段，承包人应根据安全生产费总额及广东省交通运输厅关于印发《广东省交通运输厅关于公路水运建设工程安全生产费用的管理办法》的通知规定的安全生产费用清单附录申报子目、价格及数量（包括购买安全生产责任保险），由监理单位审核后报发包人批准（或备案）。</w:t>
      </w:r>
    </w:p>
    <w:p w14:paraId="7C2080E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（3）承包人应根据每一计量周期安全生产投入情况及安全生产费用清单按实计量支付， 经发包人同意， 安全生产经费各子项经费可相互调剂使用， 但最终支付总额不超过安全生产费总额（发生设计变更的，以按合同约定调整后的总额为准）。</w:t>
      </w:r>
    </w:p>
    <w:p w14:paraId="59BCAE0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（4）安全生产费用应专门用于完善和改进工程项目安全作业环境、安全施工措施和条件，严禁挪用。</w:t>
      </w:r>
    </w:p>
    <w:p w14:paraId="04425DC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（5）承包人应根据实际需要使用安全生产费用，因设计变更造成承包人安全生产费用实际投入总额与合同约定不一致的，差额部分的安全生产费用按照批复变更金额和规定提取比例同时调整。</w:t>
      </w:r>
    </w:p>
    <w:p w14:paraId="0DA22A7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（6）非因设计变更造成承包人安全生产费用实际投入总额与合同约定不一致的，承包人安全生产费用实际支出超过合同约定安全生产费用总额的，发包人不再另行支付，超出部分由承包人自行承担。</w:t>
      </w:r>
    </w:p>
    <w:p w14:paraId="629F6CF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承包人未按照合同约定落实安全生产措施的，发包人可以责令其暂停施工或暂停支付安全生产费用，并要求监理人督促整改，直至承包人完成整改。若承包人未能在规定期限内完成对施工现场事故隐患整改的，发包人可以直接委托其他单位代为整改，相关费用在支付给承包人的费用中扣除，并由发包人直接支付给受委托单位。</w:t>
      </w:r>
    </w:p>
    <w:p w14:paraId="65C1E97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（8）工程交工验收后，安全生产费用实际投入总额少于工程量清单中安全生产费用总额的，经监理人核实后，未计量部分（除变更费用外）原则上不再支付。</w:t>
      </w:r>
    </w:p>
    <w:p w14:paraId="52876BF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9.2.6 项细化为:</w:t>
      </w:r>
    </w:p>
    <w:p w14:paraId="3D1BBC6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对其分包施工现场的安全生产负总责。分包合同中应当明确各自的安全生产方面的权利、义务，承包人和分包人对分包工程的安全生产承担连带责任。分包单位安全生产条件和措施投入不足的应当由承包人负责配足，其费用由承包人承担。</w:t>
      </w:r>
    </w:p>
    <w:p w14:paraId="443A087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9.2.8（4）目细化为：</w:t>
      </w:r>
    </w:p>
    <w:p w14:paraId="786CFA5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本合同各单位工程的施工特点，严格执行《公路水运工程安全生产监督管理办法》、《公路工程施工安全技术规范》等有关规定。承包人须成立安全生产组织机构和独立的安全生产管理部门，配备安全专职副经理和专职安全生产管理人员，明确安全生产第一责任人、直接责任人及其职责，如责任人和专职安全管理人员发生变动，必须立即书面通知监理人和发包人。</w:t>
      </w:r>
    </w:p>
    <w:p w14:paraId="70DB225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在本款补充第 9.2.12 项～第 9.2.16 项：</w:t>
      </w:r>
    </w:p>
    <w:p w14:paraId="34A54B6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9.2.12 涉水及船舶安全管理</w:t>
      </w:r>
    </w:p>
    <w:p w14:paraId="632833E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应根据《中华人民共和国水上水下作业和活动通航安全管理规定》的规定及《中华人民共和国安全生产法》的要求，建立健全涉水工程水上交通安全制度和管理体系，严格履行工程建设期水上交通安全有关职责。</w:t>
      </w:r>
    </w:p>
    <w:p w14:paraId="3B90125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应遵守属地政府和行业主管部门对作业船舶、作业噪音以及环境保护和安全生产文明施工等的管理规定，所有进入作业区域的船只必须满足航区要求，并按规定办理有关手续，因手续不全引起的一切责任均由承包人负责。有关要求包括但不限于：</w:t>
      </w:r>
    </w:p>
    <w:p w14:paraId="75E9C81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①船舶必须持有效的船舶检验证书（包括但不限于船舶国籍证书、船舶登记证书等）；</w:t>
      </w:r>
    </w:p>
    <w:p w14:paraId="5EDB3E6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②船舶配备的有关航行安全设施设备必须具有船舶检验部门签发的有效技术证书，并在有效期内；</w:t>
      </w:r>
    </w:p>
    <w:p w14:paraId="53DC199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③船舶应配备不低于船舶证书上要求的最低配员数量的合格船员；</w:t>
      </w:r>
    </w:p>
    <w:p w14:paraId="178B578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④交通船应具有载客证书或临时载客证书；</w:t>
      </w:r>
    </w:p>
    <w:p w14:paraId="2F3FFE5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⑤所有船舶必须配备 AIS、VHF 等设备；</w:t>
      </w:r>
    </w:p>
    <w:p w14:paraId="11086B0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⑥承包人应采取有效措施维护施工现场通航安全及现有航道的航行安全；</w:t>
      </w:r>
    </w:p>
    <w:p w14:paraId="0C02AEE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⑦为钢结构及大型预制构件运输而设置的临时航道的设计必须取得有关行业主管部门的批准，并在完善相关许可手续后，方可实施；</w:t>
      </w:r>
    </w:p>
    <w:p w14:paraId="7726804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⑧承包人须与船舶所有人签订安全协议；</w:t>
      </w:r>
    </w:p>
    <w:p w14:paraId="6F10E81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承包人应承担因此产生的一切费用，并保障发包人免于承担相关责任。</w:t>
      </w:r>
    </w:p>
    <w:p w14:paraId="4AD2AE2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9.2.13 施工安全风险评估</w:t>
      </w:r>
    </w:p>
    <w:p w14:paraId="1DE2BF6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承包人必须加强对重大危险源的管理，施工阶段风险源辨识与评价依据《公路桥梁和隧道工程施工安全风险评估指南》（试行）及《交通运输部关于发布高速公路路堑高边坡工程施工安全风险评估指南（试行）的通知》操作。承包人在工程开工前，必须进行重大危险源识别，建立危险源清单，对重大危险源建立管理方案和档案，过程中对危险源实行动态管理。</w:t>
      </w:r>
    </w:p>
    <w:p w14:paraId="7174B0F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承包人应严格按照交通运输部《关于开展公路桥梁和隧道工程施工安全风险评估试行工作的通知》及《交通运输部关于发布高速公路路堑高边坡工程施工安全风险评估指南（试行）的通知》的要求，在施工期间开展安全风险评估工作，相关费用按照《广东省交通运输厅关于公路水运建设工程安全生产费用的管理办法》中安全生产费用使用范围的规定，公路桥梁和隧道工程、高速公路路堑高边坡施工安全风险评估工作费用在项目安全生产费用中列支，发包人不另行支付。</w:t>
      </w:r>
    </w:p>
    <w:p w14:paraId="3AFD386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根据《中华人民共和国水上水下作业和活动通航安全管理规定》的规定及按照中华人民共和国海事局《中华人民共和国海事局水上水下活动通航安全影响论证与评估管理办法》的规定，在申请海事管理机构水上水下活动许可之前，开展涉水工程通航安全评估，并通过海事管理机构的审核。</w:t>
      </w:r>
    </w:p>
    <w:p w14:paraId="2B3559C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9.2.14 施工作业人员的安全教育培训</w:t>
      </w:r>
    </w:p>
    <w:p w14:paraId="6EFF74C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切实加强作业工人安全培训教育和安全技术交底。运用《公路施工安全视频教程》及配套口袋书、配套测试题集，建立工人学校或安全教育体验馆，开展岗前安全教育培训和经常性安全再教育，提高全员安全意识和安全技能。认真细致做好工人作业前安全技术交底，落实基层班组班前会制度，确保作业工人熟知作业的安全要求和班前危险预知内容。</w:t>
      </w:r>
    </w:p>
    <w:p w14:paraId="5643F4D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9.2.15施工防护标准化</w:t>
      </w:r>
    </w:p>
    <w:p w14:paraId="0B11B3C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照《公路工程施工安全防护设施技术指南》要求推进施工防护设施标准化管理，积极运用模块化、装配化、专业化的防护设施，着力提升防护设施的本质安全水平和使用效能，加强安全防护设施的验收、使用、维护等管理，提升现场施工安全防护保障能力。</w:t>
      </w:r>
    </w:p>
    <w:p w14:paraId="0EA6F35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9.2.16 加强路堑边坡管理</w:t>
      </w:r>
    </w:p>
    <w:p w14:paraId="5ACBF2D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严格执行路堑边坡开工报告审查制度。对纳入项目重点管理的路堑边坡，应严格执行开工报告审查制度，重点审查地质资料是否满足相关规范和设计要求、设计方案是否合理可行、施工准备工作（施工机械、材料、队伍等）是否到位等。对具备开工条件的边坡，施工单位应上报开工报告，经监理单位审查同意后方可施工。</w:t>
      </w:r>
    </w:p>
    <w:p w14:paraId="633C0FC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强化施工技术交底与质量控制。边坡施工前必须开展各工序施工工艺与质量控制的技术交底；严格按照设计的坡形、坡率开挖边坡，杜绝坡面超挖或欠挖现象；严控锚杆、锚索等工程的压浆工艺，确保压浆质量和锚固力。</w:t>
      </w:r>
    </w:p>
    <w:p w14:paraId="09415A3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实行边坡首件验收制。路堑边坡首件验收由项目监理单位组织，业主参与，选取先行施工、有代表性的土质和石质两类边坡分别进行首件验收，明确有关管理程序、质量标准、监管措施等，经验收合格后方可开展大面积施工。</w:t>
      </w:r>
    </w:p>
    <w:p w14:paraId="51AE069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（4）加强边坡施工过程管理及其他具体要求按《广东省交通运输厅关于切实加强我省高速公路路堑边坡管理的通知》执行。</w:t>
      </w:r>
    </w:p>
    <w:p w14:paraId="0B4FC14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 环境保护</w:t>
      </w:r>
    </w:p>
    <w:p w14:paraId="76B8129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9.4.7（1）目补充：</w:t>
      </w:r>
    </w:p>
    <w:p w14:paraId="58F7731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施工噪声和施工时间应满足国家及地方环境保护法律法规的规定和要求，不得影响周边单位和居民正常的生产生活。施工单位应使用经环保主管部门信息编码登记且符合排放标准的非道路移动机械。</w:t>
      </w:r>
    </w:p>
    <w:p w14:paraId="0EE22A6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9.4.7（2）目补充：</w:t>
      </w:r>
    </w:p>
    <w:p w14:paraId="6BC34D0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e.隧道出渣、钻孔灌注桩施工时排出的泥浆等施工废弃物要妥善处理，弃置形式及地点须经相关主管部门的批准，严禁向海洋、河流、荒地或市政管道等排放。</w:t>
      </w:r>
    </w:p>
    <w:p w14:paraId="6948885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f.承包人必须依照《广东省交通运输厅关于加强公路水运建设项目施工现场扬尘管理的通知》，加强施工现场管理，防止工程周边扬尘污染，运输车辆经冲洗干净后方可驶出建设工地。</w:t>
      </w:r>
    </w:p>
    <w:p w14:paraId="21FCAF2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g.承包人应严格执行《广东省重污染天气交通建设工程施工扬尘控制应急工作方案》有关规定，城市区域内交通建设工程要切实做到“六个 100%”：施工现场 100%围蔽，工地砂土 100%覆盖，工地路面 100%硬地化，拆除工程 100%洒水压尘，出工地车辆100%冲净车轮车身，暂不开发的场地 100%绿化。</w:t>
      </w:r>
    </w:p>
    <w:p w14:paraId="5EDA070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9.4.10 项末补充：</w:t>
      </w:r>
    </w:p>
    <w:p w14:paraId="0D7C7FF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广东省国土资源厅关于印发《非农建设占用水田耕作层剥离再利用工作指引》的通知的要求，本项目按照《耕作层土壤剥离利用技术规范》（TD/T1048---2016）对占用水田耕作层进行剥离再利用，承包人应积极配合。发包人将根据相关政策及地方政府制定的实施方案，推进本项目占用水田耕作层剥离工作，相关费用由发包人承担。</w:t>
      </w:r>
    </w:p>
    <w:p w14:paraId="76B8BF1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 9.4 款下增加 9.4.12～9.4.17 项：</w:t>
      </w:r>
    </w:p>
    <w:p w14:paraId="11DED3D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9.4.12 承包人应落实环境保护及水土保持的责任人，严格按照《广东省水利厅广东省交通运输厅关于进一步加强交通建设项目水土保持工作的通知》的要求开展水土保持工作。自觉接受监理人的环保及水土保持教育，落实实施施工场地符合相关环保要求布设；施工组织设计应按“水土保持方案报告书”有关要求制定施工中的水保措施，认真做好项目实施过程及工程结束后的水土保持的防御措施，做好有关水土保持的资料的记录。各类废弃物统一收集处理，施工临时弃渣堆放应做好水土保持措施。</w:t>
      </w:r>
    </w:p>
    <w:p w14:paraId="520FE44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9.4.13 承包人依法取得砍伐许可后方可按照砍伐许可的面积、株数、树种进行砍伐，并注意保护野生动植物；施工结束后，对施工期占用的施工便道、料场、拌和场及施工场地等临时用地，按“破坏一处，恢复一处”的原则，进行全面恢复。施工便道、各种料场、预制场等的临时占地应充分利用荒地、废弃地、低覆盖草地和裸地，不应占压高覆盖草地、林地、基本农田，并采取有效措施防止污染。</w:t>
      </w:r>
    </w:p>
    <w:p w14:paraId="3FB99AA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9.4.14 承包人必须采取有效预防措施，防止雨水对施工场所占有的土地、临时用地、路基土石方、取弃土场等冲刷而造成对河流、水道、灌溉渠、排水系统产生淤积、堵塞，对农田造成污染、淹没。同时也应采取措施防止在施工过程中因材料运输、混合料拌和、现场施工而对项目沿线的建筑、既有道路、农田、林地、河流、水道、灌溉渠、排水系统等产生破坏，从而造成索赔、施工停工或工程质量隐患。如承包人未采取有效措施，由此产生的一切损失由承包人自行负责。</w:t>
      </w:r>
    </w:p>
    <w:p w14:paraId="6BCF863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9.4.15 除合同有另外规定外，以上工作均视为承包人已经在合同报价中计入其影响而可能发生的一切费用，对承包人采取的一切措施，发包人和监理人有权监督，如果承包人未能对上述事项采取各种必要的措施而导致或发生与此有关的违约金、索赔、损失赔偿、诉讼费用以及其他一切责任均由承包人负责。</w:t>
      </w:r>
    </w:p>
    <w:p w14:paraId="42422F0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9.4.16 承包人应严格执行《广东省公路工程施工标准化指南》关于环境保护的相关要求。</w:t>
      </w:r>
    </w:p>
    <w:p w14:paraId="5D2C154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9.4.17 文明环保施工价款</w:t>
      </w:r>
    </w:p>
    <w:p w14:paraId="33EC793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为督促承包人在施工过程中，做到文明施工，加强环境保护、水土保持等工作，本合同设立文明、环保施工价款。该金额按技术规范 100 章规定的方式在工程量清单中单列。承包人获得支付的额度取决于其施工环保情况及相关检查评比中的名次。有关评比方案发包人将在承包人进场后予以制定。</w:t>
      </w:r>
    </w:p>
    <w:p w14:paraId="1F22F4F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 进度计划</w:t>
      </w:r>
    </w:p>
    <w:p w14:paraId="636EB98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10.1 合同进度计划</w:t>
      </w:r>
    </w:p>
    <w:p w14:paraId="7257FB2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编制施工方案说明的内容包括：按照关键线路网络图和主要工作横道图两种形式分别编绘合同进度计划，列出各主要工程项目的计划开工、完工时间，并应包括每个阶段预计完成的工作量和形象进度。计划中应包括工程的施工时间、方法和顺序，资源的安排，材料、设备及人员的获得和运输等。</w:t>
      </w:r>
    </w:p>
    <w:p w14:paraId="33A52F5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10.3 年度施工计划</w:t>
      </w:r>
    </w:p>
    <w:p w14:paraId="54CA88B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在本款末增加以下内容：</w:t>
      </w:r>
    </w:p>
    <w:p w14:paraId="28E4D3F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在年度施工计划的基础上，承包人应根据发包人及监理人的具体安排编制和落实其他阶段性施工计划。</w:t>
      </w:r>
    </w:p>
    <w:p w14:paraId="6240D48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本条补充第 10.5 款、第 10.6 款、第 10.7 款：</w:t>
      </w:r>
    </w:p>
    <w:p w14:paraId="2BF73EA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10.5 工程进度记录</w:t>
      </w:r>
    </w:p>
    <w:p w14:paraId="0D1F9C5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承包人应保持每日、每月和其他定期的工程进度记录和报告，这些记录和报告包括下列有关资料：</w:t>
      </w:r>
    </w:p>
    <w:p w14:paraId="51473F3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(a)气象条件；</w:t>
      </w:r>
    </w:p>
    <w:p w14:paraId="3EBA295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(b)施工记录；</w:t>
      </w:r>
    </w:p>
    <w:p w14:paraId="10437D3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(c)施工设施和设备状况；</w:t>
      </w:r>
    </w:p>
    <w:p w14:paraId="29EDA2F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(d)承包人人员统计；</w:t>
      </w:r>
    </w:p>
    <w:p w14:paraId="586A560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(e)现场材料，材料搬移记录、交货期、发票及有关资料；</w:t>
      </w:r>
    </w:p>
    <w:p w14:paraId="253187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(f)环境保护、水土保持实施记录；</w:t>
      </w:r>
    </w:p>
    <w:p w14:paraId="3649217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(g)安全生产实施记录；</w:t>
      </w:r>
    </w:p>
    <w:p w14:paraId="3916F14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(h)所有在施工过程中发生的其他事项。</w:t>
      </w:r>
    </w:p>
    <w:p w14:paraId="18ADD65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10.6 工程的进度奖罚</w:t>
      </w:r>
    </w:p>
    <w:p w14:paraId="7777EE0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激励承包人加快工程进度，确保合同工期，本合同设立工程进度奖金，用于承包人提前或确保进度的奖励。该金额由发包人统一掌握使用。承包人获得支付的额度取决于其完成进度的情况及在评比中的名次。有关评比方案发包人将在承包人进场后予以制定。</w:t>
      </w:r>
    </w:p>
    <w:p w14:paraId="70AFB16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11.开工和竣工</w:t>
      </w:r>
    </w:p>
    <w:p w14:paraId="6511423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11.3 发包人的工期延误</w:t>
      </w:r>
    </w:p>
    <w:p w14:paraId="451F78B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4B20423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在履行合同过程中，由于发包人的下列原因造成工期延误的，承包人在满足发包人的项目总体工期目标前提下，有权要求发包人顺延工期，需要修订合同进度计划的，按照第 10.2 款的约定办理。</w:t>
      </w:r>
    </w:p>
    <w:p w14:paraId="568EC0F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由于征地拆迁的原因造成关键线路上的工程暂停施工；</w:t>
      </w:r>
    </w:p>
    <w:p w14:paraId="4AF77D6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未按合同约定及时支付预付款、进度款；</w:t>
      </w:r>
    </w:p>
    <w:p w14:paraId="3795DBB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如顺延合同工期在项目专用合同条款数据表的时间以内的，发包人将不予增加费用；</w:t>
      </w:r>
    </w:p>
    <w:p w14:paraId="575DDFC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如顺延合同工期在项目专用合同条款数据表的时间以上的，发包人将按如下原则给予补偿：</w:t>
      </w:r>
    </w:p>
    <w:p w14:paraId="227BCBA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①驻地建设场地租金；</w:t>
      </w:r>
    </w:p>
    <w:p w14:paraId="56704E4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②合同承诺投入且已进场的机械设备停置费，停置费按以下两种情况计算：</w:t>
      </w:r>
    </w:p>
    <w:p w14:paraId="621B6B4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a.《公路工程机械台班费用定额》包含的机械设备停置费按如下公式计算：</w:t>
      </w:r>
    </w:p>
    <w:p w14:paraId="5439F23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停置费=（折旧费+检修费+维护费）*50%+人工费+机上人员管理费+养路费及车船使用税</w:t>
      </w:r>
    </w:p>
    <w:p w14:paraId="4D7C37D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其中：机上人员管理费按人工费的 10%计算；车船使用税按规定的广东省车船使用税标准计算。</w:t>
      </w:r>
    </w:p>
    <w:p w14:paraId="5F31DD7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 《公路工程机械台班费用定额》未包含的机械设备停置费按如下公式计算：</w:t>
      </w:r>
    </w:p>
    <w:p w14:paraId="2ABF409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按照年限平均法直线计提折旧，折旧年限为 10 年，年折旧额=固定资产原值×（1-残值率）/折旧年限，残值率为 4%；月折旧额=年折旧额/12，末月的天数≥16 时，按 1个月计算，否则末月不计。</w:t>
      </w:r>
    </w:p>
    <w:p w14:paraId="3C104C0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③已进场的主要管理人员的工资费用。补偿的人员数量不得超过合同承诺投入的相应数量；补偿单价以统计局公布的项目所在地上一年度平均月收入为基数，具有高级职称的人员工资按 3 倍计算，具有中级职称的人员工资按 2 倍计算，其他管理人员工资按 1 倍计算；</w:t>
      </w:r>
    </w:p>
    <w:p w14:paraId="373AAAD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④仅对超出</w:t>
      </w:r>
      <w:r>
        <w:rPr>
          <w:rFonts w:hint="eastAsia" w:ascii="宋体" w:hAnsi="宋体" w:cs="宋体"/>
          <w:color w:val="000000" w:themeColor="text1"/>
          <w:sz w:val="24"/>
          <w:highlight w:val="none"/>
          <w:u w:val="single"/>
          <w14:textFill>
            <w14:solidFill>
              <w14:schemeClr w14:val="tx1"/>
            </w14:solidFill>
          </w14:textFill>
        </w:rPr>
        <w:t>6个月</w:t>
      </w:r>
      <w:r>
        <w:rPr>
          <w:rFonts w:hint="eastAsia" w:ascii="宋体" w:hAnsi="宋体" w:cs="宋体"/>
          <w:color w:val="000000" w:themeColor="text1"/>
          <w:sz w:val="24"/>
          <w:highlight w:val="none"/>
          <w14:textFill>
            <w14:solidFill>
              <w14:schemeClr w14:val="tx1"/>
            </w14:solidFill>
          </w14:textFill>
        </w:rPr>
        <w:t>以上部分进行补偿；</w:t>
      </w:r>
    </w:p>
    <w:p w14:paraId="0C7BEA9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⑤除上述规定的补偿项目之外，其余由于工期顺延增加的费用由承包人承担。</w:t>
      </w:r>
    </w:p>
    <w:p w14:paraId="1234E1C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（3）由于重大设计方案调整造成关键线路上的工程暂停施工；</w:t>
      </w:r>
    </w:p>
    <w:p w14:paraId="7F0D9DE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（4）甲供材料断供或供应不及时。</w:t>
      </w:r>
    </w:p>
    <w:p w14:paraId="3112A58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11.4 异常恶劣的气候条件</w:t>
      </w:r>
    </w:p>
    <w:p w14:paraId="392B020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异常恶劣的气候条件是指十级以上强风暴、龙卷风或五十年一遇以上洪水造成重大破坏等情况无法施工持续 30 天以上者。</w:t>
      </w:r>
    </w:p>
    <w:p w14:paraId="775A670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 承包人的工期延误</w:t>
      </w:r>
    </w:p>
    <w:p w14:paraId="525920D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在本款后增加第(6)项：</w:t>
      </w:r>
    </w:p>
    <w:p w14:paraId="786AC4B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（6）承包人连续三个月未能完成发包人下发（批复）的月计划任务的 80%或累计未能完成发包人下发（批复）的季度计划任务的 80%，发包人和监理人认为承包人无法在合同工期内完成任务的，发包人有权按第 4.3.8 款、第 4.3.9 款进行处理。</w:t>
      </w:r>
    </w:p>
    <w:p w14:paraId="599E84B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暂停施工</w:t>
      </w:r>
    </w:p>
    <w:p w14:paraId="5B7AC30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12.1 承包人暂停施工的责任</w:t>
      </w:r>
    </w:p>
    <w:p w14:paraId="7028A9F7">
      <w:pPr>
        <w:pStyle w:val="62"/>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12.1 (6)由承包人承担的其他暂停施工：</w:t>
      </w:r>
      <w:r>
        <w:rPr>
          <w:rFonts w:hint="eastAsia" w:ascii="宋体" w:hAnsi="宋体" w:cs="宋体"/>
          <w:color w:val="000000" w:themeColor="text1"/>
          <w:sz w:val="24"/>
          <w:highlight w:val="none"/>
          <w:u w:val="single"/>
          <w14:textFill>
            <w14:solidFill>
              <w14:schemeClr w14:val="tx1"/>
            </w14:solidFill>
          </w14:textFill>
        </w:rPr>
        <w:t xml:space="preserve"> 无</w:t>
      </w:r>
    </w:p>
    <w:p w14:paraId="7203799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12.2 发包人暂停施工的责任</w:t>
      </w:r>
    </w:p>
    <w:p w14:paraId="2EF2A49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572B93E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由于发包人原因引起的暂停施工造成工期延误的，按第 11.3 款的约定执行。</w:t>
      </w:r>
    </w:p>
    <w:p w14:paraId="1AD32A8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 工程质量</w:t>
      </w:r>
    </w:p>
    <w:p w14:paraId="37953D9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 工程质量要求</w:t>
      </w:r>
    </w:p>
    <w:p w14:paraId="42B32F7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在本款第 13.1.2 项后增加以下内容：</w:t>
      </w:r>
    </w:p>
    <w:p w14:paraId="6A2DE0E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工程经过验收并计量之后的任何时候，因任何方式（包括政府质量监督部门、发包人或监理人组织的各类检查）发现的关键工程质量不合格、工序不规范造成质量隐患，承包人应负责自费返工。发包人将根据本合同《工程质量、安全及文明施工违约项目一览表》对承包人进行处理。该处理不免除承包人自费进行返工或修复的责任。</w:t>
      </w:r>
    </w:p>
    <w:p w14:paraId="1956AA9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增加第 13.7～13.12 款：</w:t>
      </w:r>
    </w:p>
    <w:p w14:paraId="3D19A00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13.7 承包人偷工减料</w:t>
      </w:r>
    </w:p>
    <w:p w14:paraId="3B14FC0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施工过程中存在偷工减料，有意降低工程质量，企图蒙骗发包人、监理人的，属于承包人违约，经发包人发现确认，情节严重的，发包人有权单方终止合同，另选承包人进行剩余工程的施工。发包人按照承包人自开工以来，至发包人发出终止合同的函件止所完成的工程量与承包人清算，因承包人退场产生的所有费用由承包人自行负责，发包人不因此额外补偿任何费用。同时，发包人单方终止合同并不免除承包人修复已施工的不合格工程的责任。</w:t>
      </w:r>
    </w:p>
    <w:p w14:paraId="740E743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13.8 承包人质量自检</w:t>
      </w:r>
    </w:p>
    <w:p w14:paraId="555ECD1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承包人必须建立完善的质量自检体系，对已完工程进行严格的质量自检，只有自检合格的工程才能向监理人、发包人提出验收和计量的申请。监理人在收到验收申请后的48 小时内对工程进行抽检和验收，对抽检不合格的工程由承包人自费修复或返工。</w:t>
      </w:r>
    </w:p>
    <w:p w14:paraId="6292A4B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13.9 不定期现场检查</w:t>
      </w:r>
    </w:p>
    <w:p w14:paraId="1AA335C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发包人和监理人将不定期进行现场检查，对检查结果按本合同《工程质量、安全及文明施工违约项目一览表》进行处理，承包人必须接受。</w:t>
      </w:r>
    </w:p>
    <w:p w14:paraId="3DF45A5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13.10 施工误差</w:t>
      </w:r>
    </w:p>
    <w:p w14:paraId="271866A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施工质量不满足要求的，承包人须承担一切返工费用。其中：</w:t>
      </w:r>
    </w:p>
    <w:p w14:paraId="30B88D1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（1）路基交工时，如有部分路基高出设计 1cm，则由路基桥涵承包人修整。如有部分路基低于设计 1.5cm(土质)或 2.0 cm(石质)，则由路面承包人用规定的填料回填，超过偏差的处理费用由路基桥涵承包人负责。如路槽开挖由路面承包人负责施工的，则超过偏差的处理由路面承包人负责并承担费用。</w:t>
      </w:r>
    </w:p>
    <w:p w14:paraId="1C41023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由现浇或预制梁板的上拱度造成的桥面铺装（调平层、沥青面层）工程量变化，当引起的调坡所增加的费用，由梁板预制承包人和该合同段路基桥涵承包人各承担50%；不需调坡时，桥面铺装（调平层、沥青面层）工程量的偏差的风险由该合同段路基桥涵承包人承担。</w:t>
      </w:r>
    </w:p>
    <w:p w14:paraId="7B82841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13.11 优质优价价款</w:t>
      </w:r>
    </w:p>
    <w:p w14:paraId="23B3217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项目建设全过程中，全面推行“双标管理”（标准化管理、标杆管理），建立工程质量优质优价奖罚制度，激励承包人提高工程质量和管理水平，具体按发包人根据广东省交通运输厅《关于印发广东省高速公路工程优质优价和施工监理优监优酬实施意见的通知》等文件制订的实施细则执行。</w:t>
      </w:r>
    </w:p>
    <w:p w14:paraId="2A11054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发包人将根据工程实际开展各项工程的质量评比和奖罚，项目（如项目采用分段管理，则按项目段计列）用于奖励的金额比例详见项目专用合同条款数据表的约定，由项目统筹使用。</w:t>
      </w:r>
    </w:p>
    <w:p w14:paraId="2518E98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13.12 未解除承包人的义务和责任</w:t>
      </w:r>
    </w:p>
    <w:p w14:paraId="18A0574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是工程质量的直接责任人，监理人对工程材料和施工工艺的认可或对工程进行验收和计量支付，并不免除承包人对这些工程的合同责任。承包人不但应对质量缺陷或质量事故进行自费修复或返工，还应承担由此带来的一切损失。如承包人出现严重的质量缺陷或质量事故，除应承担上述责任和处罚外，视为承包人违约，发包人有权单方终止合同。</w:t>
      </w:r>
    </w:p>
    <w:p w14:paraId="75175D8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 变更</w:t>
      </w:r>
    </w:p>
    <w:p w14:paraId="67CE4F8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15.3 变更程序</w:t>
      </w:r>
    </w:p>
    <w:p w14:paraId="4BF0BBE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在本款第 15.3.4 项后增加以下内容：</w:t>
      </w:r>
    </w:p>
    <w:p w14:paraId="6D53418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同时工程变更还应执行广东省交通运输厅及发包人颁布的相关变更管理办法规定。</w:t>
      </w:r>
    </w:p>
    <w:p w14:paraId="18A3638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 变更的估价原则</w:t>
      </w:r>
    </w:p>
    <w:p w14:paraId="0AFC1F5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将本款第 15.4.1～15.4.5 项删除，并用以下内容代替：</w:t>
      </w:r>
    </w:p>
    <w:p w14:paraId="0866F30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因变更引起的价格调整，应按以下优先顺序所列原则进行处理：</w:t>
      </w:r>
    </w:p>
    <w:p w14:paraId="721FA8C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15.4.1 如果取消某项工作，则该项工作的总额价不予支付；</w:t>
      </w:r>
    </w:p>
    <w:p w14:paraId="48B5A0C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15.4.2 本合同段工程量清单中有相同或相似工程细目单价的，经发包人与承包人协商一致同意可直接套用该单价。本合同段内没有相同或适用合同单价的，原则上应套用同类合同段相应单价的算术平均值/加权平均值；但监理人认为受施工现场自然环境影响大的工程项目单价，报发包人同意后可套用自然环境相近似的合同段相应细目；</w:t>
      </w:r>
    </w:p>
    <w:p w14:paraId="66625FD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15.4.3 以综合单价报价的计量项目，如果只是由于使用材料或局部尺寸调整，则原支付单价不变，而只在原合同单价基础上，调整相应的材料价差和合理的工效增减费用。对于机电设备，如发包人未提高技术标准或参数指标，任何品牌或型号的调整，其性能指标不得低于技术规范及设计文件要求，且发包人不予价格调整。</w:t>
      </w:r>
    </w:p>
    <w:p w14:paraId="293D155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15.4.4 如上述价格调整原则不适用或按上述原则计算的单价不合理，经发包人同意，按以下原则执行。</w:t>
      </w:r>
    </w:p>
    <w:p w14:paraId="216DCC0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15.4.4.1 参照招标人公布的最高投标限价编制时选用的有关定额及补充的定额，人工、材料、机械单价按最高投标限价采用的月份（**年**月）信息价编制预算，并在上述预算价的基础上按本合同段投标人中标总价较最高投标限价之下浮比例下浮确定变更工程价格。上述“信息价”指由广东省交通运输工程造价事务中心发布的“广东省交通建设工程主要外购材料信息价”中的项目施工所在地区材料信息价（如无相应信息价，由发包人另行确定）。</w:t>
      </w:r>
    </w:p>
    <w:p w14:paraId="207D311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下浮率=（本合同段最高投标限价-中标总价）/本合同段最高投标限价*100%</w:t>
      </w:r>
    </w:p>
    <w:p w14:paraId="1E12E13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15.4.4.2 按变更程序办理的应急抢险工程，经变更预算对应审批权限单位同意后，可根据实际情况编制预算，变更金额确定原则在项目专用合同条款数据表中约定。</w:t>
      </w:r>
    </w:p>
    <w:p w14:paraId="01A64F2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15.4.4.3 新增机电设备的变更作价，按以下优先顺序所列原则进行处理：</w:t>
      </w:r>
    </w:p>
    <w:p w14:paraId="3E238F3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（1）参考省内近 1 年内通车的高速公路项目合同单价（或总额价）进行确定；</w:t>
      </w:r>
    </w:p>
    <w:p w14:paraId="2F5BDCC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（2）变更预算按发包人核定的市场价格加上采保费、税金及合理利润进行计算，变更单价或费用=变更预算×（1-中标下浮率）</w:t>
      </w:r>
    </w:p>
    <w:p w14:paraId="474867F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15.4.5 如果双方对变更工程价款有争议，则请政府主管部门或发包人和承包人双方认可的机构按 15.4.4 款要求编制预算，由发包人委托，委托费用由发包人和承包人各负责一半，变更工程造价或单价按本合同段投标人中标价较招标时最高投标限价之下浮比例下浮确定。</w:t>
      </w:r>
    </w:p>
    <w:p w14:paraId="20781D0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发包人与承包人如按上述原则协商未果，发包人有权根据实际情况按上述某一原则进行处理，承包人必须无条件接受。</w:t>
      </w:r>
    </w:p>
    <w:p w14:paraId="27B9713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所有的变更设计都必须按发包人及其上级主管部门颁布的变更设计管理办法进行审批。</w:t>
      </w:r>
    </w:p>
    <w:p w14:paraId="008ADD5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 价格调整</w:t>
      </w:r>
    </w:p>
    <w:p w14:paraId="136CEE0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 物价波动引起的价格调整</w:t>
      </w:r>
    </w:p>
    <w:p w14:paraId="2787A49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 采用造价信息调整价格差额</w:t>
      </w:r>
    </w:p>
    <w:p w14:paraId="086090D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本项细化为：</w:t>
      </w:r>
    </w:p>
    <w:p w14:paraId="1DA769C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履行期间，发包人参照《广东省交通运输厅关于于印发我省交通建设项目材料价差调整指导性意见的通知》，对项目允许调整价格差额的材料进行价差调整。材料价差调整费用系指材料价格（包含材料采购增值税）变化产生的综合调整费用，不再计算材料采购及保管费、管理费等费用。除本款约定允许调整价格差额的材料以外，其他材料、设备等不进行价差调整，承包人应将上述风险考虑在投标报价中。</w:t>
      </w:r>
    </w:p>
    <w:p w14:paraId="2992853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16.1.2.1 统一采购供应材料、甲控乙购材料价差调整</w:t>
      </w:r>
    </w:p>
    <w:p w14:paraId="233F1CD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发包人招标文件规定的统一采购供应材料、甲控乙购材料按以下办法进行价差调整：</w:t>
      </w:r>
    </w:p>
    <w:p w14:paraId="59EF50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（1）材料范围：详见招标文件中《统一采购供应材料一览表》、《甲控乙购材料一览表》；</w:t>
      </w:r>
    </w:p>
    <w:p w14:paraId="4D0FC7C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（2）材料价差计算方法：</w:t>
      </w:r>
    </w:p>
    <w:p w14:paraId="08A6AE6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按月调整材料价差，具体如下：</w:t>
      </w:r>
    </w:p>
    <w:p w14:paraId="149559C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以广东省交通运输工程造价事务中心每月公布的广东省交通建设工程主要外购材料信息价为依据，每个月 15 日（不含当天）后供应的货物纳入下个月进行价格调整。</w:t>
      </w:r>
    </w:p>
    <w:p w14:paraId="681DF62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A=(B-C)(1+D)</w:t>
      </w:r>
    </w:p>
    <w:p w14:paraId="3AD7C57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A:实际调整价差，A 为正值时，由发包人补给承包人该价差，A 为负值时，由发包人从承包人承包价中扣回该价差。</w:t>
      </w:r>
    </w:p>
    <w:p w14:paraId="33E657A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B:实际采购供应价，该价格为实际支付给供应商（卖方）的价格，该价格按与供应商签定的采购供应合同（含补充合同/协议）确定。</w:t>
      </w:r>
    </w:p>
    <w:p w14:paraId="3B22F10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C:材料基准价格，由招标人在招标文件（或补遗书）中统一规定。</w:t>
      </w:r>
    </w:p>
    <w:p w14:paraId="51EDAFE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D:销售货物增值税税率。增值税税率应采用材料发票开具的税率。材料供应商根据结算价格提交增值税发票给承包人。</w:t>
      </w:r>
    </w:p>
    <w:p w14:paraId="414C105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16.1.2.2 承包人自行采购材料价差调整</w:t>
      </w:r>
    </w:p>
    <w:p w14:paraId="2474B68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16.1.2.2.1 工程范围</w:t>
      </w:r>
    </w:p>
    <w:p w14:paraId="65A53D2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指建设项目的实体工程所消耗的主要材料（含构成永久性结构的水中钢护筒、溶洞处理钢护筒等），以及特大桥梁、特长隧道、大型船闸等有专项设计的大型临时工程所消耗的主要材料纳入材料调差调整范围。一般性临时工程、临时设施所消耗的材料以及属于水运工程范围的材料均不纳入材料调差调整范围。</w:t>
      </w:r>
    </w:p>
    <w:p w14:paraId="51FF725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16.1.2.1.2 材料范围</w:t>
      </w:r>
    </w:p>
    <w:p w14:paraId="2B33EB2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可调差主要材料范围如下：</w:t>
      </w:r>
    </w:p>
    <w:p w14:paraId="23E08752">
      <w:pPr>
        <w:pStyle w:val="62"/>
        <w:spacing w:line="360" w:lineRule="auto"/>
        <w:ind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可调差材料一览表</w:t>
      </w:r>
    </w:p>
    <w:tbl>
      <w:tblPr>
        <w:tblStyle w:val="44"/>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22"/>
        <w:gridCol w:w="1222"/>
        <w:gridCol w:w="1222"/>
        <w:gridCol w:w="1223"/>
        <w:gridCol w:w="1223"/>
        <w:gridCol w:w="1223"/>
        <w:gridCol w:w="1223"/>
      </w:tblGrid>
      <w:tr w14:paraId="50ED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222" w:type="dxa"/>
          </w:tcPr>
          <w:p w14:paraId="7B73802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222" w:type="dxa"/>
          </w:tcPr>
          <w:p w14:paraId="5C00F8A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材料名称</w:t>
            </w:r>
          </w:p>
        </w:tc>
        <w:tc>
          <w:tcPr>
            <w:tcW w:w="1222" w:type="dxa"/>
          </w:tcPr>
          <w:p w14:paraId="0FB5C7E1">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代号</w:t>
            </w:r>
          </w:p>
        </w:tc>
        <w:tc>
          <w:tcPr>
            <w:tcW w:w="1222" w:type="dxa"/>
          </w:tcPr>
          <w:p w14:paraId="55A0D7DA">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1223" w:type="dxa"/>
          </w:tcPr>
          <w:p w14:paraId="65354CCB">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223" w:type="dxa"/>
          </w:tcPr>
          <w:p w14:paraId="082D04A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材料名称</w:t>
            </w:r>
          </w:p>
        </w:tc>
        <w:tc>
          <w:tcPr>
            <w:tcW w:w="1223" w:type="dxa"/>
          </w:tcPr>
          <w:p w14:paraId="4008503C">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代号</w:t>
            </w:r>
          </w:p>
        </w:tc>
        <w:tc>
          <w:tcPr>
            <w:tcW w:w="1223" w:type="dxa"/>
          </w:tcPr>
          <w:p w14:paraId="2645C7E8">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r>
      <w:tr w14:paraId="1376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tcPr>
          <w:p w14:paraId="3E491711">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22" w:type="dxa"/>
          </w:tcPr>
          <w:p w14:paraId="5BE24C24">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22" w:type="dxa"/>
          </w:tcPr>
          <w:p w14:paraId="07EE74E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22" w:type="dxa"/>
          </w:tcPr>
          <w:p w14:paraId="4BDD469C">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23" w:type="dxa"/>
          </w:tcPr>
          <w:p w14:paraId="74D892B8">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23" w:type="dxa"/>
          </w:tcPr>
          <w:p w14:paraId="69884026">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23" w:type="dxa"/>
          </w:tcPr>
          <w:p w14:paraId="7EEC87D2">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23" w:type="dxa"/>
          </w:tcPr>
          <w:p w14:paraId="7BA1C230">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r>
      <w:tr w14:paraId="0899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tcPr>
          <w:p w14:paraId="31077BAE">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w:t>
            </w:r>
          </w:p>
        </w:tc>
        <w:tc>
          <w:tcPr>
            <w:tcW w:w="1222" w:type="dxa"/>
          </w:tcPr>
          <w:p w14:paraId="6C0DDB6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钢材</w:t>
            </w:r>
          </w:p>
        </w:tc>
        <w:tc>
          <w:tcPr>
            <w:tcW w:w="1222" w:type="dxa"/>
          </w:tcPr>
          <w:p w14:paraId="22D75660">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77E445E5">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49BC943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w:t>
            </w:r>
          </w:p>
        </w:tc>
        <w:tc>
          <w:tcPr>
            <w:tcW w:w="1223" w:type="dxa"/>
          </w:tcPr>
          <w:p w14:paraId="4CCBB16E">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水泥</w:t>
            </w:r>
          </w:p>
        </w:tc>
        <w:tc>
          <w:tcPr>
            <w:tcW w:w="1223" w:type="dxa"/>
          </w:tcPr>
          <w:p w14:paraId="7FDB9FBE">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5B5EE1A7">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55F0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14:paraId="0DBF2FD9">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3F51519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2763AD9F">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5F176105">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3DAA884A">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6575D7D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24566700">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6F4B473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1F28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14:paraId="74BF8FD9">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6A34D38C">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682DC2AE">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525105F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37DA3667">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76701EC1">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2759FE9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3AED3E8F">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0269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14:paraId="374553AF">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w:t>
            </w:r>
          </w:p>
        </w:tc>
        <w:tc>
          <w:tcPr>
            <w:tcW w:w="1222" w:type="dxa"/>
          </w:tcPr>
          <w:p w14:paraId="7AC521CA">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砂石料</w:t>
            </w:r>
          </w:p>
        </w:tc>
        <w:tc>
          <w:tcPr>
            <w:tcW w:w="1222" w:type="dxa"/>
          </w:tcPr>
          <w:p w14:paraId="5DD45600">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08864AE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5A99FD78">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w:t>
            </w:r>
          </w:p>
        </w:tc>
        <w:tc>
          <w:tcPr>
            <w:tcW w:w="1223" w:type="dxa"/>
          </w:tcPr>
          <w:p w14:paraId="35B80D9E">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油料</w:t>
            </w:r>
          </w:p>
        </w:tc>
        <w:tc>
          <w:tcPr>
            <w:tcW w:w="1223" w:type="dxa"/>
          </w:tcPr>
          <w:p w14:paraId="6328D92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4A34726C">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4EDA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14:paraId="4E48111A">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1E9839AD">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16CC3FEF">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1D123A16">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6A3FBDAD">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6FB4FE5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7A4F14A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6711F23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6770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14:paraId="70F308FF">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4385B553">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41CD561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64C56F94">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6F433A79">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557895D9">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138FA53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5548C27A">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41C2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14:paraId="2F95354C">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w:t>
            </w:r>
          </w:p>
        </w:tc>
        <w:tc>
          <w:tcPr>
            <w:tcW w:w="1222" w:type="dxa"/>
          </w:tcPr>
          <w:p w14:paraId="7A3DB24D">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w:t>
            </w:r>
          </w:p>
        </w:tc>
        <w:tc>
          <w:tcPr>
            <w:tcW w:w="1222" w:type="dxa"/>
          </w:tcPr>
          <w:p w14:paraId="21ABE1B7">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2" w:type="dxa"/>
          </w:tcPr>
          <w:p w14:paraId="6BC36F2B">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5F001974">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15EB87C2">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0A007419">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c>
          <w:tcPr>
            <w:tcW w:w="1223" w:type="dxa"/>
          </w:tcPr>
          <w:p w14:paraId="0B663FC0">
            <w:pPr>
              <w:pStyle w:val="62"/>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p>
        </w:tc>
      </w:tr>
      <w:tr w14:paraId="6122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9780" w:type="dxa"/>
            <w:gridSpan w:val="8"/>
          </w:tcPr>
          <w:p w14:paraId="6E7BF22C">
            <w:pPr>
              <w:pStyle w:val="62"/>
              <w:keepNext w:val="0"/>
              <w:keepLines w:val="0"/>
              <w:suppressLineNumbers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1.当采用商品水泥混凝土、商品沥青混凝土、混凝土构件、钢筋混凝土构件、钢构件等半成品时：若有对应的地区发布的半成品信息价，则按信息价调差；若没有该信息价，则按照交通运输部颁布的《公路工程预算定额》附录中的配合比表，将半成品换算成对应的组成材料后进行调差。</w:t>
            </w:r>
          </w:p>
          <w:p w14:paraId="45B71DE2">
            <w:pPr>
              <w:pStyle w:val="62"/>
              <w:keepNext w:val="0"/>
              <w:keepLines w:val="0"/>
              <w:suppressLineNumbers w:val="0"/>
              <w:spacing w:before="0" w:beforeAutospacing="0" w:after="0" w:afterAutospacing="0" w:line="360" w:lineRule="auto"/>
              <w:ind w:left="0" w:right="0" w:firstLine="630" w:firstLineChars="30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2.表中材料代号按交通运输部颁布的《公路工程预算定额》（JTG/T3832-2018）编制。</w:t>
            </w:r>
          </w:p>
        </w:tc>
      </w:tr>
    </w:tbl>
    <w:p w14:paraId="7041D511">
      <w:pPr>
        <w:pStyle w:val="62"/>
        <w:spacing w:line="360" w:lineRule="auto"/>
        <w:ind w:firstLine="480" w:firstLineChars="200"/>
        <w:jc w:val="center"/>
        <w:rPr>
          <w:rFonts w:ascii="宋体" w:hAnsi="宋体" w:cs="宋体"/>
          <w:color w:val="000000" w:themeColor="text1"/>
          <w:sz w:val="24"/>
          <w:highlight w:val="none"/>
          <w14:textFill>
            <w14:solidFill>
              <w14:schemeClr w14:val="tx1"/>
            </w14:solidFill>
          </w14:textFill>
        </w:rPr>
      </w:pPr>
    </w:p>
    <w:p w14:paraId="73B1474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16.1.2.2.3风险幅度（r）</w:t>
      </w:r>
    </w:p>
    <w:p w14:paraId="16E9A82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风险幅度是指交通建设项目合同双方各自应承担的材料价格涨跌风险比例大小。风险幅度范围内的价差应作为建设单位（项目法人）、承包人的风险，不予调差。各类材料幅度系数如下：</w:t>
      </w:r>
    </w:p>
    <w:p w14:paraId="6B1C42B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砂石料，r＝</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%；(幅度系数范围为（-5～+5）%)</w:t>
      </w:r>
    </w:p>
    <w:p w14:paraId="3EC3B9D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水泥、半成品，r＝</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%；(幅度系数范围为（-4～+4）%)</w:t>
      </w:r>
    </w:p>
    <w:p w14:paraId="3BFF300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钢材、油料及其他，r＝</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%；(幅度系数范围为（-3～+3）%)</w:t>
      </w:r>
    </w:p>
    <w:p w14:paraId="1F6F39D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16.1.2.2.4计算方法</w:t>
      </w:r>
    </w:p>
    <w:p w14:paraId="2B05688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ΔC=（ΔP-Po×r）×Q×（1+D），其中：</w:t>
      </w:r>
    </w:p>
    <w:p w14:paraId="41421F5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｜ΔP｜＞｜Po×r｜ ΔP＝Pi（i=1,…,n）－Po，i指计量申报时间。</w:t>
      </w:r>
    </w:p>
    <w:p w14:paraId="27E03DC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式中：</w:t>
      </w:r>
    </w:p>
    <w:p w14:paraId="700EAA0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ΔC—价差调整费用，系按调价周期计算的当次费用。</w:t>
      </w:r>
    </w:p>
    <w:p w14:paraId="227D00A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ΔP—材料价格差。</w:t>
      </w:r>
    </w:p>
    <w:p w14:paraId="2729DB8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Po—基准价（不含税），指建设单位（项目法人）确定最高投标限价时所采用的交通建设项目所在地地级市及以上工程造价专业机构发布的</w:t>
      </w:r>
      <w:r>
        <w:rPr>
          <w:rFonts w:hint="eastAsia" w:ascii="宋体" w:hAnsi="宋体" w:cs="宋体"/>
          <w:color w:val="000000" w:themeColor="text1"/>
          <w:sz w:val="24"/>
          <w:highlight w:val="none"/>
          <w:u w:val="single"/>
          <w14:textFill>
            <w14:solidFill>
              <w14:schemeClr w14:val="tx1"/>
            </w14:solidFill>
          </w14:textFill>
        </w:rPr>
        <w:t xml:space="preserve">   年  月（或季度）</w:t>
      </w:r>
      <w:r>
        <w:rPr>
          <w:rFonts w:hint="eastAsia" w:ascii="宋体" w:hAnsi="宋体" w:cs="宋体"/>
          <w:color w:val="000000" w:themeColor="text1"/>
          <w:sz w:val="24"/>
          <w:highlight w:val="none"/>
          <w14:textFill>
            <w14:solidFill>
              <w14:schemeClr w14:val="tx1"/>
            </w14:solidFill>
          </w14:textFill>
        </w:rPr>
        <w:t>信息价，如项目或合同段跨两个以上地级市的，按权重取平均值计算。</w:t>
      </w:r>
    </w:p>
    <w:p w14:paraId="274180A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Pi—信息价（不含税），指采购材料时交通建设项目所在地级市及以上工程造价专业机构发布的上季（月）度信息价，如项目或合同段跨两个以上地级市的，按权重取平均值计算。</w:t>
      </w:r>
    </w:p>
    <w:p w14:paraId="4F6561C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Q—调整材料数量，指工程实际使用的可调差的材料数量。《调价材料单位用量指标表》中所列材料以承包人当月计量的实体工程量为基础，按照表中的单位用量指标计算调整材料数量。通车后计量部分统一按通车时点计算工程量。</w:t>
      </w:r>
    </w:p>
    <w:p w14:paraId="7C4522D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r—风险幅度系数。当ΔP&gt;0时，r为正值，当ΔP&lt;0 时，r为负值。</w:t>
      </w:r>
    </w:p>
    <w:p w14:paraId="0BB42C24">
      <w:pPr>
        <w:pStyle w:val="62"/>
        <w:spacing w:line="269" w:lineRule="auto"/>
        <w:ind w:firstLine="480" w:firstLineChars="20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调价材料单位用量指标表</w:t>
      </w:r>
    </w:p>
    <w:tbl>
      <w:tblPr>
        <w:tblStyle w:val="43"/>
        <w:tblW w:w="8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271"/>
        <w:gridCol w:w="2172"/>
        <w:gridCol w:w="3273"/>
      </w:tblGrid>
      <w:tr w14:paraId="3856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559198F8">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调价的材料名称</w:t>
            </w:r>
          </w:p>
        </w:tc>
        <w:tc>
          <w:tcPr>
            <w:tcW w:w="2271" w:type="dxa"/>
            <w:vAlign w:val="center"/>
          </w:tcPr>
          <w:p w14:paraId="1888DF7E">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调价的清单</w:t>
            </w:r>
          </w:p>
          <w:p w14:paraId="497EC24C">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子目编号</w:t>
            </w:r>
          </w:p>
        </w:tc>
        <w:tc>
          <w:tcPr>
            <w:tcW w:w="2172" w:type="dxa"/>
            <w:vAlign w:val="center"/>
          </w:tcPr>
          <w:p w14:paraId="70FDBDE4">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调价的项目名称</w:t>
            </w:r>
          </w:p>
        </w:tc>
        <w:tc>
          <w:tcPr>
            <w:tcW w:w="3273" w:type="dxa"/>
            <w:vAlign w:val="center"/>
          </w:tcPr>
          <w:p w14:paraId="25293814">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计算调价材料数量的单位</w:t>
            </w:r>
          </w:p>
          <w:p w14:paraId="5E93A5E6">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用量指标</w:t>
            </w:r>
          </w:p>
        </w:tc>
      </w:tr>
      <w:tr w14:paraId="70FB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349A0F25">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碎石</w:t>
            </w:r>
          </w:p>
        </w:tc>
        <w:tc>
          <w:tcPr>
            <w:tcW w:w="2271" w:type="dxa"/>
            <w:vAlign w:val="center"/>
          </w:tcPr>
          <w:p w14:paraId="1E620E15">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具体清单子目编号</w:t>
            </w:r>
          </w:p>
        </w:tc>
        <w:tc>
          <w:tcPr>
            <w:tcW w:w="2172" w:type="dxa"/>
            <w:vAlign w:val="center"/>
          </w:tcPr>
          <w:p w14:paraId="0D0ABFCA">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具体清单项目名称</w:t>
            </w:r>
          </w:p>
        </w:tc>
        <w:tc>
          <w:tcPr>
            <w:tcW w:w="3273" w:type="dxa"/>
            <w:vAlign w:val="center"/>
          </w:tcPr>
          <w:p w14:paraId="1AE08681">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w:t>
            </w:r>
            <w:r>
              <w:rPr>
                <w:rFonts w:hint="eastAsia" w:ascii="宋体" w:hAnsi="宋体" w:cs="宋体"/>
                <w:color w:val="000000" w:themeColor="text1"/>
                <w:sz w:val="22"/>
                <w:szCs w:val="20"/>
                <w:highlight w:val="none"/>
                <w14:textFill>
                  <w14:solidFill>
                    <w14:schemeClr w14:val="tx1"/>
                  </w14:solidFill>
                </w14:textFill>
              </w:rPr>
              <w:t>m³/m³</w:t>
            </w:r>
          </w:p>
        </w:tc>
      </w:tr>
      <w:tr w14:paraId="0E8B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0B0132F2">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砂</w:t>
            </w:r>
          </w:p>
        </w:tc>
        <w:tc>
          <w:tcPr>
            <w:tcW w:w="2271" w:type="dxa"/>
            <w:vAlign w:val="center"/>
          </w:tcPr>
          <w:p w14:paraId="21590255">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具体清单子目编号</w:t>
            </w:r>
          </w:p>
        </w:tc>
        <w:tc>
          <w:tcPr>
            <w:tcW w:w="2172" w:type="dxa"/>
            <w:vAlign w:val="center"/>
          </w:tcPr>
          <w:p w14:paraId="40B9D958">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具体清单项目名称</w:t>
            </w:r>
          </w:p>
        </w:tc>
        <w:tc>
          <w:tcPr>
            <w:tcW w:w="3273" w:type="dxa"/>
            <w:vAlign w:val="center"/>
          </w:tcPr>
          <w:p w14:paraId="439CAFB6">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w:t>
            </w:r>
            <w:r>
              <w:rPr>
                <w:rFonts w:hint="eastAsia" w:ascii="宋体" w:hAnsi="宋体" w:cs="宋体"/>
                <w:color w:val="000000" w:themeColor="text1"/>
                <w:sz w:val="22"/>
                <w:szCs w:val="20"/>
                <w:highlight w:val="none"/>
                <w14:textFill>
                  <w14:solidFill>
                    <w14:schemeClr w14:val="tx1"/>
                  </w14:solidFill>
                </w14:textFill>
              </w:rPr>
              <w:t>m³/m³</w:t>
            </w:r>
          </w:p>
        </w:tc>
      </w:tr>
      <w:tr w14:paraId="16BF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487E7792">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水泥</w:t>
            </w:r>
          </w:p>
        </w:tc>
        <w:tc>
          <w:tcPr>
            <w:tcW w:w="2271" w:type="dxa"/>
            <w:vAlign w:val="center"/>
          </w:tcPr>
          <w:p w14:paraId="75480A51">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清单的200-900章中所有含轻质土、水泥稳定层、水泥混凝土的清单子目</w:t>
            </w:r>
          </w:p>
        </w:tc>
        <w:tc>
          <w:tcPr>
            <w:tcW w:w="2172" w:type="dxa"/>
            <w:vAlign w:val="center"/>
          </w:tcPr>
          <w:p w14:paraId="6998E858">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轻质土、水泥稳定层、水泥混凝土中的水泥</w:t>
            </w:r>
          </w:p>
        </w:tc>
        <w:tc>
          <w:tcPr>
            <w:tcW w:w="3273" w:type="dxa"/>
            <w:vAlign w:val="center"/>
          </w:tcPr>
          <w:p w14:paraId="5103A694">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1、轻质土：按批准的施工配合比计算水泥用量。</w:t>
            </w:r>
          </w:p>
          <w:p w14:paraId="274F908B">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2、水泥稳定层：按批准的施工配合比计算水泥用量。</w:t>
            </w:r>
          </w:p>
          <w:p w14:paraId="5A69EF0E">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3、桥梁桩基础混凝土（按m计量的须换算为m³）：</w:t>
            </w:r>
            <w:r>
              <w:rPr>
                <w:rFonts w:hint="eastAsia" w:ascii="宋体" w:hAnsi="宋体" w:cs="宋体"/>
                <w:color w:val="000000" w:themeColor="text1"/>
                <w:sz w:val="22"/>
                <w:szCs w:val="20"/>
                <w:highlight w:val="none"/>
                <w:u w:val="single"/>
                <w14:textFill>
                  <w14:solidFill>
                    <w14:schemeClr w14:val="tx1"/>
                  </w14:solidFill>
                </w14:textFill>
              </w:rPr>
              <w:t xml:space="preserve">    t/m³</w:t>
            </w:r>
            <w:r>
              <w:rPr>
                <w:rFonts w:hint="eastAsia" w:ascii="宋体" w:hAnsi="宋体" w:cs="宋体"/>
                <w:color w:val="000000" w:themeColor="text1"/>
                <w:sz w:val="22"/>
                <w:szCs w:val="20"/>
                <w:highlight w:val="none"/>
                <w14:textFill>
                  <w14:solidFill>
                    <w14:schemeClr w14:val="tx1"/>
                  </w14:solidFill>
                </w14:textFill>
              </w:rPr>
              <w:t>（不分混凝土标号)</w:t>
            </w:r>
          </w:p>
          <w:p w14:paraId="43522738">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4、其他实体工程混凝土：</w:t>
            </w:r>
          </w:p>
          <w:p w14:paraId="3ABE1BE6">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t/m³</w:t>
            </w:r>
            <w:r>
              <w:rPr>
                <w:rFonts w:hint="eastAsia" w:ascii="宋体" w:hAnsi="宋体" w:cs="宋体"/>
                <w:color w:val="000000" w:themeColor="text1"/>
                <w:sz w:val="22"/>
                <w:szCs w:val="20"/>
                <w:highlight w:val="none"/>
                <w14:textFill>
                  <w14:solidFill>
                    <w14:schemeClr w14:val="tx1"/>
                  </w14:solidFill>
                </w14:textFill>
              </w:rPr>
              <w:t>（C20及以下）</w:t>
            </w:r>
          </w:p>
          <w:p w14:paraId="5AAD08A1">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t/m³</w:t>
            </w:r>
            <w:r>
              <w:rPr>
                <w:rFonts w:hint="eastAsia" w:ascii="宋体" w:hAnsi="宋体" w:cs="宋体"/>
                <w:color w:val="000000" w:themeColor="text1"/>
                <w:sz w:val="22"/>
                <w:szCs w:val="20"/>
                <w:highlight w:val="none"/>
                <w14:textFill>
                  <w14:solidFill>
                    <w14:schemeClr w14:val="tx1"/>
                  </w14:solidFill>
                </w14:textFill>
              </w:rPr>
              <w:t>（C25、C30、C35）</w:t>
            </w:r>
          </w:p>
          <w:p w14:paraId="429833BA">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t/m³</w:t>
            </w:r>
            <w:r>
              <w:rPr>
                <w:rFonts w:hint="eastAsia" w:ascii="宋体" w:hAnsi="宋体" w:cs="宋体"/>
                <w:color w:val="000000" w:themeColor="text1"/>
                <w:sz w:val="22"/>
                <w:szCs w:val="20"/>
                <w:highlight w:val="none"/>
                <w14:textFill>
                  <w14:solidFill>
                    <w14:schemeClr w14:val="tx1"/>
                  </w14:solidFill>
                </w14:textFill>
              </w:rPr>
              <w:t>（C40）</w:t>
            </w:r>
          </w:p>
          <w:p w14:paraId="67ED1A74">
            <w:pPr>
              <w:pStyle w:val="62"/>
              <w:keepNext w:val="0"/>
              <w:keepLines w:val="0"/>
              <w:suppressLineNumbers w:val="0"/>
              <w:spacing w:before="0" w:beforeAutospacing="0" w:after="0" w:afterAutospacing="0" w:line="269" w:lineRule="auto"/>
              <w:ind w:left="0" w:right="0"/>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t/m³</w:t>
            </w:r>
            <w:r>
              <w:rPr>
                <w:rFonts w:hint="eastAsia" w:ascii="宋体" w:hAnsi="宋体" w:cs="宋体"/>
                <w:color w:val="000000" w:themeColor="text1"/>
                <w:sz w:val="22"/>
                <w:szCs w:val="20"/>
                <w:highlight w:val="none"/>
                <w14:textFill>
                  <w14:solidFill>
                    <w14:schemeClr w14:val="tx1"/>
                  </w14:solidFill>
                </w14:textFill>
              </w:rPr>
              <w:t>（C50及以上）</w:t>
            </w:r>
          </w:p>
        </w:tc>
      </w:tr>
      <w:tr w14:paraId="1E15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10D603AF">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钢筋</w:t>
            </w:r>
          </w:p>
        </w:tc>
        <w:tc>
          <w:tcPr>
            <w:tcW w:w="2271" w:type="dxa"/>
            <w:vAlign w:val="center"/>
          </w:tcPr>
          <w:p w14:paraId="5B9B9EA8">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实体工程中所有钢筋的清单子目</w:t>
            </w:r>
          </w:p>
        </w:tc>
        <w:tc>
          <w:tcPr>
            <w:tcW w:w="2172" w:type="dxa"/>
            <w:vAlign w:val="center"/>
          </w:tcPr>
          <w:p w14:paraId="020AB0E1">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钢筋</w:t>
            </w:r>
          </w:p>
        </w:tc>
        <w:tc>
          <w:tcPr>
            <w:tcW w:w="3273" w:type="dxa"/>
            <w:vAlign w:val="center"/>
          </w:tcPr>
          <w:p w14:paraId="2BD73A45">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t</w:t>
            </w:r>
            <w:r>
              <w:rPr>
                <w:rFonts w:hint="eastAsia" w:ascii="宋体" w:hAnsi="宋体" w:cs="宋体"/>
                <w:color w:val="000000" w:themeColor="text1"/>
                <w:sz w:val="22"/>
                <w:szCs w:val="20"/>
                <w:highlight w:val="none"/>
                <w14:textFill>
                  <w14:solidFill>
                    <w14:schemeClr w14:val="tx1"/>
                  </w14:solidFill>
                </w14:textFill>
              </w:rPr>
              <w:t>/t（各钢筋清单子目取此同一单位用量）</w:t>
            </w:r>
          </w:p>
        </w:tc>
      </w:tr>
      <w:tr w14:paraId="2D5A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70682ACD">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钢绞线</w:t>
            </w:r>
          </w:p>
        </w:tc>
        <w:tc>
          <w:tcPr>
            <w:tcW w:w="2271" w:type="dxa"/>
            <w:vAlign w:val="center"/>
          </w:tcPr>
          <w:p w14:paraId="40F133E9">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实体工程中所有钢绞线的清单子目</w:t>
            </w:r>
          </w:p>
        </w:tc>
        <w:tc>
          <w:tcPr>
            <w:tcW w:w="2172" w:type="dxa"/>
            <w:vAlign w:val="center"/>
          </w:tcPr>
          <w:p w14:paraId="1EA1C1AA">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钢绞线</w:t>
            </w:r>
          </w:p>
        </w:tc>
        <w:tc>
          <w:tcPr>
            <w:tcW w:w="3273" w:type="dxa"/>
            <w:vAlign w:val="center"/>
          </w:tcPr>
          <w:p w14:paraId="157DD7B4">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t</w:t>
            </w:r>
            <w:r>
              <w:rPr>
                <w:rFonts w:hint="eastAsia" w:ascii="宋体" w:hAnsi="宋体" w:cs="宋体"/>
                <w:color w:val="000000" w:themeColor="text1"/>
                <w:sz w:val="22"/>
                <w:szCs w:val="20"/>
                <w:highlight w:val="none"/>
                <w14:textFill>
                  <w14:solidFill>
                    <w14:schemeClr w14:val="tx1"/>
                  </w14:solidFill>
                </w14:textFill>
              </w:rPr>
              <w:t>/t（各钢绞线清单子目取此同一单位用量）</w:t>
            </w:r>
          </w:p>
        </w:tc>
      </w:tr>
      <w:tr w14:paraId="2E8F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2C696DA2">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沥青</w:t>
            </w:r>
          </w:p>
        </w:tc>
        <w:tc>
          <w:tcPr>
            <w:tcW w:w="2271" w:type="dxa"/>
            <w:vAlign w:val="center"/>
          </w:tcPr>
          <w:p w14:paraId="487646E8">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实体工程中所有含沥青的清单子目</w:t>
            </w:r>
          </w:p>
        </w:tc>
        <w:tc>
          <w:tcPr>
            <w:tcW w:w="2172" w:type="dxa"/>
            <w:vAlign w:val="center"/>
          </w:tcPr>
          <w:p w14:paraId="334BE47F">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沥青</w:t>
            </w:r>
          </w:p>
        </w:tc>
        <w:tc>
          <w:tcPr>
            <w:tcW w:w="3273" w:type="dxa"/>
            <w:vAlign w:val="center"/>
          </w:tcPr>
          <w:p w14:paraId="3CAAD798">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按批准的施工配合比计算沥青用量</w:t>
            </w:r>
          </w:p>
        </w:tc>
      </w:tr>
      <w:tr w14:paraId="276E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2764B135">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柴油</w:t>
            </w:r>
          </w:p>
        </w:tc>
        <w:tc>
          <w:tcPr>
            <w:tcW w:w="2271" w:type="dxa"/>
            <w:vAlign w:val="center"/>
          </w:tcPr>
          <w:p w14:paraId="0A045747">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具体清单子目编号</w:t>
            </w:r>
          </w:p>
        </w:tc>
        <w:tc>
          <w:tcPr>
            <w:tcW w:w="2172" w:type="dxa"/>
            <w:vAlign w:val="center"/>
          </w:tcPr>
          <w:p w14:paraId="192888C2">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具体清单项目名称</w:t>
            </w:r>
          </w:p>
        </w:tc>
        <w:tc>
          <w:tcPr>
            <w:tcW w:w="3273" w:type="dxa"/>
            <w:vAlign w:val="center"/>
          </w:tcPr>
          <w:p w14:paraId="7978F18E">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kg/m³</w:t>
            </w:r>
          </w:p>
        </w:tc>
      </w:tr>
      <w:tr w14:paraId="4C81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05C7B02F">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混凝土</w:t>
            </w:r>
          </w:p>
          <w:p w14:paraId="25362B7E">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管桩</w:t>
            </w:r>
          </w:p>
        </w:tc>
        <w:tc>
          <w:tcPr>
            <w:tcW w:w="2271" w:type="dxa"/>
            <w:vAlign w:val="center"/>
          </w:tcPr>
          <w:p w14:paraId="4A036D01">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实体工程中所有混凝土管桩的清单子目</w:t>
            </w:r>
          </w:p>
        </w:tc>
        <w:tc>
          <w:tcPr>
            <w:tcW w:w="2172" w:type="dxa"/>
            <w:vAlign w:val="center"/>
          </w:tcPr>
          <w:p w14:paraId="6216CD50">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混凝土管桩</w:t>
            </w:r>
          </w:p>
        </w:tc>
        <w:tc>
          <w:tcPr>
            <w:tcW w:w="3273" w:type="dxa"/>
            <w:vAlign w:val="center"/>
          </w:tcPr>
          <w:p w14:paraId="0F564C03">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u w:val="single"/>
                <w14:textFill>
                  <w14:solidFill>
                    <w14:schemeClr w14:val="tx1"/>
                  </w14:solidFill>
                </w14:textFill>
              </w:rPr>
              <w:t xml:space="preserve">      m/m</w:t>
            </w:r>
          </w:p>
        </w:tc>
      </w:tr>
      <w:tr w14:paraId="187A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2" w:type="dxa"/>
            <w:vAlign w:val="center"/>
          </w:tcPr>
          <w:p w14:paraId="456B37F5">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r>
              <w:rPr>
                <w:rFonts w:hint="eastAsia" w:ascii="宋体" w:hAnsi="宋体" w:cs="宋体"/>
                <w:color w:val="000000" w:themeColor="text1"/>
                <w:sz w:val="22"/>
                <w:szCs w:val="20"/>
                <w:highlight w:val="none"/>
                <w14:textFill>
                  <w14:solidFill>
                    <w14:schemeClr w14:val="tx1"/>
                  </w14:solidFill>
                </w14:textFill>
              </w:rPr>
              <w:t>…</w:t>
            </w:r>
          </w:p>
        </w:tc>
        <w:tc>
          <w:tcPr>
            <w:tcW w:w="2271" w:type="dxa"/>
            <w:vAlign w:val="center"/>
          </w:tcPr>
          <w:p w14:paraId="50D27FA4">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p>
        </w:tc>
        <w:tc>
          <w:tcPr>
            <w:tcW w:w="2172" w:type="dxa"/>
            <w:vAlign w:val="center"/>
          </w:tcPr>
          <w:p w14:paraId="2DA61364">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p>
        </w:tc>
        <w:tc>
          <w:tcPr>
            <w:tcW w:w="3273" w:type="dxa"/>
            <w:vAlign w:val="center"/>
          </w:tcPr>
          <w:p w14:paraId="1E0F6154">
            <w:pPr>
              <w:pStyle w:val="62"/>
              <w:keepNext w:val="0"/>
              <w:keepLines w:val="0"/>
              <w:suppressLineNumbers w:val="0"/>
              <w:spacing w:before="0" w:beforeAutospacing="0" w:after="0" w:afterAutospacing="0" w:line="269" w:lineRule="auto"/>
              <w:ind w:left="0" w:right="0"/>
              <w:jc w:val="center"/>
              <w:rPr>
                <w:rFonts w:hint="default" w:ascii="宋体" w:hAnsi="宋体" w:cs="宋体"/>
                <w:color w:val="000000" w:themeColor="text1"/>
                <w:sz w:val="22"/>
                <w:szCs w:val="20"/>
                <w:highlight w:val="none"/>
                <w14:textFill>
                  <w14:solidFill>
                    <w14:schemeClr w14:val="tx1"/>
                  </w14:solidFill>
                </w14:textFill>
              </w:rPr>
            </w:pPr>
          </w:p>
        </w:tc>
      </w:tr>
    </w:tbl>
    <w:p w14:paraId="5BABE66E">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 1.石料单位用量指标中单位</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m³/m³代表每计量1立方米实体工程消耗的石料堆方数量为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立方米；</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kg/m³代表每计量1立方米实体工程消耗的重量为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公斤。其余以此类推。</w:t>
      </w:r>
    </w:p>
    <w:p w14:paraId="693D6457">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碎石统一按照定额材料代号5505016号“碎石”价格进行调整；砂统一按照定额材料代号5503005号“中（粗）砂”价格进行调整；机制砂统一按照定额材料代号5503002号“机制砂”价格进行调整。若采用机制砂，计算调价材料数量的单位用量指标按砂用量。</w:t>
      </w:r>
    </w:p>
    <w:p w14:paraId="0B16C2BE">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 桥梁桩基础混凝土中的水泥统一按照定额材料代号5509002号“42.5级水泥”价格进行调整；其他实体工程混凝土中的水泥，标号小于等于C40的统一按照定额材料代号5509002号“42.5级水泥”价格进行调整，标号大于等于C50的统一按照定额材料代号5509003号“52.5级水泥”价格进行调整；桥梁桩基础根据设计桩径按计量长度换算为混凝土体积，相关成孔损耗已在上表中水泥用量指标综合考虑。</w:t>
      </w:r>
    </w:p>
    <w:p w14:paraId="41BA59D9">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4.沥青视采用的品种，按照定额材料代号3001001020号“国产沥青”或3001001021号“进口石油沥青”、3001002010号“国产改性沥青”或3001002011号“进口改性沥青”的价格进行调整。</w:t>
      </w:r>
    </w:p>
    <w:p w14:paraId="24625160">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5.沥青混合料及改性沥青混合料拌合消耗的燃油、天然气统一按定额材料代号3003001 号“重油”价格进行调整。</w:t>
      </w:r>
    </w:p>
    <w:p w14:paraId="0D7B743C">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6.混凝土管桩仅按成品信息价格进行调差。</w:t>
      </w:r>
    </w:p>
    <w:p w14:paraId="716D13AE">
      <w:pPr>
        <w:pStyle w:val="62"/>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7.表中的单位用量指标，发包人应参照《公路工程预算定额》的定额消耗量确定。</w:t>
      </w:r>
    </w:p>
    <w:p w14:paraId="284FAD6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16.1.3 实际采购价格法</w:t>
      </w:r>
    </w:p>
    <w:p w14:paraId="217614D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ΔC=（ΔP-Po×r）×Q，其中｜ΔP｜＞｜Po×r｜ ΔP＝Pa－Po，式中：ΔC、ΔP、Q、r同16.1.2款。</w:t>
      </w:r>
    </w:p>
    <w:p w14:paraId="40957C4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Po—基准价，指项目招标时，建设单位（项目法人）确定最高投标限价时采用的材料单价。建设单位（项目法人）应在招标文件中明确基准价（Po）的价格。</w:t>
      </w:r>
    </w:p>
    <w:p w14:paraId="11B0559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Pa—采购价，经建设单位（项目法人）、监理核实的， 有相应的合法支撑依据的实际采购材料价格</w:t>
      </w:r>
    </w:p>
    <w:p w14:paraId="05B1AE2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①，分批采购时按权重取平均值计算。</w:t>
      </w:r>
    </w:p>
    <w:p w14:paraId="6930EB7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采用实际采购价格法调整材料价差的其他约定，同16.1.2.2目。</w:t>
      </w:r>
    </w:p>
    <w:p w14:paraId="4357B52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16.1.4砂石料运输费用调整</w:t>
      </w:r>
    </w:p>
    <w:p w14:paraId="2F67D90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合同工程量清单中的沥青混凝土路面上面层用的砂石料（砂石料指碎石及同母材的机制砂）材料单价包含了</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公里运输费用（其中：水路运输 Y 公里，公路运输 Z 公里），如实际运输方式和运输距离与清单预算不一致时，运输费用按如下原则进行调整：</w:t>
      </w:r>
    </w:p>
    <w:p w14:paraId="2126C47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1、本项目实际运距指单个沥青拌和场至单个石场的运输距离，运输距离及砂石料用量以承包人、监理人、发包人三方确定为准；</w:t>
      </w:r>
    </w:p>
    <w:p w14:paraId="05FD2EC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2、从不同石场采购的砂石料按各自的实际运距计算调整费用，公路运输单价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元/m³·km，水运单价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元/m³·km，调整运输费用=（（水路运输实际运距-Y-A）×</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+（公路运输实际运距-Z-B）×</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）×砂石料运输数量，正数为发包人向承包人支付调差（承包人应向发包人提供等额的完税发票），负数为发包人向承包人扣回调差（从应付工程款中扣除）。其中：</w:t>
      </w:r>
    </w:p>
    <w:p w14:paraId="7C8E3D5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(1)当水路运输实际运距在（Y-k）～（Y+k）公里之间（含界值）时，水路运输费用不作调整；小于（Y-k）公里时，A=-k；大于（Y+k）公里时，A=k；</w:t>
      </w:r>
    </w:p>
    <w:p w14:paraId="4F0814D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(2)当公路运输实际运距在（Z-k）～（Z+k）公里之间（含界值）时，公路运输费用不作调整；小于（Z-k）公里时，B=-k；大于（Z+k）公里时，B=k；</w:t>
      </w:r>
    </w:p>
    <w:p w14:paraId="2892215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(3)运输运距以公里为单位，运输数量以m³为单位；k一般取值30。</w:t>
      </w:r>
    </w:p>
    <w:p w14:paraId="5FC171C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(4)采用铁路运输，铁路运输单价及运输费用调整同水路运输；</w:t>
      </w:r>
    </w:p>
    <w:p w14:paraId="28329EA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(5)可补偿的实际运距费用按其对应数量计算最多不超过</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元/m³。</w:t>
      </w:r>
    </w:p>
    <w:p w14:paraId="11D8919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3、按以上原则计算的调整费用为包干费用，不再考虑路桥费、装卸费、转运、仓储、管理费。</w:t>
      </w:r>
    </w:p>
    <w:p w14:paraId="35A7141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16.1.5 税费增减</w:t>
      </w:r>
    </w:p>
    <w:p w14:paraId="2390396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由材料价差调整所产生的材料采购增值税增减额由发包人承担，其他税费由承包人承担。</w:t>
      </w:r>
    </w:p>
    <w:p w14:paraId="2BC2142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16.2 法律变化引起的价格调整</w:t>
      </w:r>
    </w:p>
    <w:p w14:paraId="4DB607E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28128EF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（1）除合同另有约定外，如果在投标文件递交截止日 28 天之后，国家或省颁布的法律、法规出现修改或变更，因采用上述法律、法规使承包人在履行合同中发生第 16.1款规定的价格调整以外的费用增加或减少的，相关增减费用由监理人与承包人协商后，报发包人审核审批。</w:t>
      </w:r>
    </w:p>
    <w:p w14:paraId="10AABD6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工程实施过程中，所引用的国家标准和规范如果有修改或新颁，应由发包人决定是否采用新标准或新规范，承包人应在监理人的监督下按发包人的决定执行。采用新标准、新规范（相对于招标文件）所增加的相应费用由发包人承担。</w:t>
      </w:r>
    </w:p>
    <w:p w14:paraId="462D4FE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合同执行期间，如发生税务政策调整，则执行新的税务政策，按以下公式调整剩余合同价款，并签订补充协议。调整后合同价=原合同价/(1+原税率）*（1+新税率），因承包人提供发票不及时或有误导致工程款不能支付的责任由承包人承担。</w:t>
      </w:r>
    </w:p>
    <w:p w14:paraId="6DCDF60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本条补充第 16.3 款、第 16.4 款、第 16.5 款：</w:t>
      </w:r>
    </w:p>
    <w:p w14:paraId="26D4B7B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16.3 执行国家和行业标准</w:t>
      </w:r>
    </w:p>
    <w:p w14:paraId="5860606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除非发包人和监理人专门批准，如果本工程技术规范和图纸标准低于国家和行业标准，则应按国家和行业标准执行，承包人不能因此提出增加费用的要求和索赔。</w:t>
      </w:r>
    </w:p>
    <w:p w14:paraId="3C8CCCB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16.4 工期拖期的价格调整</w:t>
      </w:r>
    </w:p>
    <w:p w14:paraId="5C857CA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由于承包人原因未能在投标书附录中写明的工期内完成本合同工程，在超出合同工期以后施工的工程，承包人不能因此提出调整合同单价（总额价）要求。即使某种延期符合第 11.4 条及本合同条款相关规定，在该延长的合同工期到期以后施工的工程，承包人也不能因此提出调整合同单价（总额价）要求。</w:t>
      </w:r>
    </w:p>
    <w:p w14:paraId="436CE63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16.5其他原因引起的价格调整</w:t>
      </w:r>
    </w:p>
    <w:p w14:paraId="66712EF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16.5.1应急抢险工程</w:t>
      </w:r>
    </w:p>
    <w:p w14:paraId="6F4F59F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自然灾害、地质灾害以及其他突发事件引发，导致高速公路及沿线设施受损，正在发生严重危害或即将产生严重危害，必须迅速采取措施的工程或因应对突发事件需要在短期内启动并尽快完成的抢险修复工程，经发包人和监理人确认后，按应急抢险工程进行处理。应急抢险工程的变更作价按 15.4.4 款约定执行。</w:t>
      </w:r>
    </w:p>
    <w:p w14:paraId="476EAB2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16.5.2施工图设计和合同清单工程数量出现“差、错、漏、碰”的，经勘误后，按合同条款及计量支付规则约定的计量原则，作变更处理。</w:t>
      </w:r>
    </w:p>
    <w:p w14:paraId="2A58AF4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16.5.3 </w:t>
      </w:r>
      <w:r>
        <w:rPr>
          <w:rFonts w:hint="eastAsia" w:ascii="宋体" w:hAnsi="宋体" w:cs="宋体"/>
          <w:color w:val="000000" w:themeColor="text1"/>
          <w:sz w:val="24"/>
          <w:highlight w:val="none"/>
          <w:u w:val="single"/>
          <w14:textFill>
            <w14:solidFill>
              <w14:schemeClr w14:val="tx1"/>
            </w14:solidFill>
          </w14:textFill>
        </w:rPr>
        <w:t xml:space="preserve">        /       </w:t>
      </w:r>
      <w:r>
        <w:rPr>
          <w:rFonts w:hint="eastAsia" w:ascii="宋体" w:hAnsi="宋体" w:cs="宋体"/>
          <w:color w:val="000000" w:themeColor="text1"/>
          <w:sz w:val="24"/>
          <w:highlight w:val="none"/>
          <w14:textFill>
            <w14:solidFill>
              <w14:schemeClr w14:val="tx1"/>
            </w14:solidFill>
          </w14:textFill>
        </w:rPr>
        <w:t>（其他可调整价格的情形）。</w:t>
      </w:r>
    </w:p>
    <w:p w14:paraId="0319EE6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 计量与支付</w:t>
      </w:r>
    </w:p>
    <w:p w14:paraId="4630FD8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 计量</w:t>
      </w:r>
    </w:p>
    <w:p w14:paraId="35279E9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17.1.5 总价子目的计量</w:t>
      </w:r>
    </w:p>
    <w:p w14:paraId="26FA779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本项目工程量清单中要求承包人以“总额”方式报价的子目，各子目的支付原则和支付进度按本合同文件工程量清单计量规则中的规定执行。</w:t>
      </w:r>
    </w:p>
    <w:p w14:paraId="733C831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 17.1.6-17.1.8 项：</w:t>
      </w:r>
    </w:p>
    <w:p w14:paraId="6FE225B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17.1.6 变更工程的暂定计量和支付</w:t>
      </w:r>
    </w:p>
    <w:p w14:paraId="4A4CF38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需报发包人上级主管部门审批的变更工程项目，在发包人审核完成而尚未获得上级主管部门审批时，可采用暂定计量，暂定计量金额不超过发包人审核后的合同变更金额的85%。待上级主管部门审批后按审批结果进行实际计量，并扣回已暂计量的金额。</w:t>
      </w:r>
    </w:p>
    <w:p w14:paraId="50FD1B0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17.1.7 路面备料款的计量和支付</w:t>
      </w:r>
    </w:p>
    <w:p w14:paraId="795A928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发包人将对承包人的路面碎石、机制砂备料款进行暂定计量，具体操作办法如下：</w:t>
      </w:r>
    </w:p>
    <w:p w14:paraId="26BB73F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（1）计量数量：以承包人实际进场并经监理人和发包人代表验收确认数量的项目专用合同条款数据表约定的比例计；</w:t>
      </w:r>
    </w:p>
    <w:p w14:paraId="48BE086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（2）计量单价：本合同段招标最高投标限价清单预算采用的相应规格材料预算价</w:t>
      </w:r>
      <w:r>
        <w:rPr>
          <w:rFonts w:hint="eastAsia" w:ascii="宋体" w:hAnsi="宋体" w:cs="宋体"/>
          <w:color w:val="000000" w:themeColor="text1"/>
          <w:sz w:val="24"/>
          <w:highlight w:val="none"/>
          <w:u w:val="single"/>
          <w14:textFill>
            <w14:solidFill>
              <w14:schemeClr w14:val="tx1"/>
            </w14:solidFill>
          </w14:textFill>
        </w:rPr>
        <w:t>（含税/不含税）</w:t>
      </w:r>
      <w:r>
        <w:rPr>
          <w:rFonts w:hint="eastAsia" w:ascii="宋体" w:hAnsi="宋体" w:cs="宋体"/>
          <w:color w:val="000000" w:themeColor="text1"/>
          <w:sz w:val="24"/>
          <w:highlight w:val="none"/>
          <w14:textFill>
            <w14:solidFill>
              <w14:schemeClr w14:val="tx1"/>
            </w14:solidFill>
          </w14:textFill>
        </w:rPr>
        <w:t>；</w:t>
      </w:r>
    </w:p>
    <w:p w14:paraId="7DA98B8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（3）计量方式：每月计量一次；</w:t>
      </w:r>
    </w:p>
    <w:p w14:paraId="1B97C74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（4）暂定计量备料款的扣回：承包人所备的碎石、机制砂材料已用于路面施工并得到正常计量后，发包人将在计量当期扣回对应的暂定计量备料款。</w:t>
      </w:r>
    </w:p>
    <w:p w14:paraId="3D31740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17.1.8 过程结算的计量和支付</w:t>
      </w:r>
    </w:p>
    <w:p w14:paraId="01C6DAE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发包人制定过程结算制度并明确有关过程结算的计量支付规则，未按要求完成过程结算的费用项，最高支付金额不宜超过建设单位审核确认的 97%，过程结算完成后方可支付余下金额。完工结算率低于 30%的，在后续计量支付中可暂扣工程进度款一定比例，具体在过程结算条款中明确。</w:t>
      </w:r>
    </w:p>
    <w:p w14:paraId="7D5C8CE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 预付款</w:t>
      </w:r>
    </w:p>
    <w:p w14:paraId="19A98E5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17.2.3 预付款的扣回与还清</w:t>
      </w:r>
    </w:p>
    <w:p w14:paraId="34956E2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本款补充第(3)目如下：</w:t>
      </w:r>
    </w:p>
    <w:p w14:paraId="38B3CE7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 如有需要，发包人可根据实际情况制定更符合工程需要的预付款月扣款比例。</w:t>
      </w:r>
    </w:p>
    <w:p w14:paraId="5D6A404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 工程进度付款</w:t>
      </w:r>
    </w:p>
    <w:p w14:paraId="1A488C7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17.3.1 付款周期</w:t>
      </w:r>
    </w:p>
    <w:p w14:paraId="37FCDB2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10E964B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根据工程进度需要，可在一个计量周期内实行“一次计量、两次支付”的方式，即在承包人上报月计量报表经监理人审核后，发包人暂按当期计量金额的50%进行第一次支付，待月计量报表审核流程结束后，发包人根据审批的付款证书进行第二次支付，并扣回第一次的暂定支付金额。”</w:t>
      </w:r>
    </w:p>
    <w:p w14:paraId="27A43D4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将本款第 17.3.5 项细化如下:</w:t>
      </w:r>
    </w:p>
    <w:p w14:paraId="2AF1B4B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17.3.5 农民工工资保证金</w:t>
      </w:r>
    </w:p>
    <w:p w14:paraId="5EF64AD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按广东省交通运输厅转发人力资源社会保障部等部门《工程建设领域农民工工资保证金规定》的通知执行。</w:t>
      </w:r>
    </w:p>
    <w:p w14:paraId="26896A9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17.4 质量保证金</w:t>
      </w:r>
    </w:p>
    <w:p w14:paraId="58353FA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17.4.2 项细化为：</w:t>
      </w:r>
    </w:p>
    <w:p w14:paraId="45EF1FB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项目完成竣工决算审查备案和竣工决算审计，且发包人和承包人最终确定结算金额后 30天内，发包人退还剩余质量保证金的80%给承包人。通过竣工验收后30天内，发包人将质量保证金的余额一次性退还给承包人。若承包人在项目竣工验收时工程质量评分未达优良等级，发包人全额扣回承包人在施工过程中所获得的全部优质优价价款。</w:t>
      </w:r>
    </w:p>
    <w:p w14:paraId="5105085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17.6 最终结清</w:t>
      </w:r>
    </w:p>
    <w:p w14:paraId="04E0D63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17.6.1 最终结清申请单</w:t>
      </w:r>
    </w:p>
    <w:p w14:paraId="0E2325E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本项(1)目约定为：</w:t>
      </w:r>
    </w:p>
    <w:p w14:paraId="62BA13D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交通运输部及广东省交通运输厅关于交通基本建设项目竣工决算编制和省级造价信息化平台的有关规定，及时编制相应的工程结算文件，报监理人审核，发包人确认。承包人向监理人提交最终结清申请单(包括相关证明材料)的份数在项目专用合同条款数据表中约定；期限：缺陷责任期终止证书签发后28天内。</w:t>
      </w:r>
    </w:p>
    <w:p w14:paraId="34F27AD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最终结清申请单中的总金额应认为是代表了根据合同规定应付给承包人的全部款项的最后结算。</w:t>
      </w:r>
    </w:p>
    <w:p w14:paraId="366EE46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竣工决算报告经政府审计部门审计、交通行业主管部门审查后，发包人将按以下原则作为调整承包人最终合同费用的依据，承包人需无条件接受：行业主管部门和审计部门对不同内容进行核减的，综合行业主管部门和审计部门的意见进行调整。</w:t>
      </w:r>
    </w:p>
    <w:p w14:paraId="009A29D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 交工验收</w:t>
      </w:r>
    </w:p>
    <w:p w14:paraId="0FDFA68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18.3 验收</w:t>
      </w:r>
    </w:p>
    <w:p w14:paraId="7DE95D0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18.3.2 项补充：</w:t>
      </w:r>
    </w:p>
    <w:p w14:paraId="3EBD445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交工验收由发包人主持，由发包人、监理人、质监、设计、施工、运营、管理养护等有关部门代表组成交工验收小组，对本项目的工程质量进行评定，并写出交工验收报告报交通主管部门备案。项目交工验收报告上报备案前14天，项目必须依法依规提供完整的专项验收工作报告，包括但不限于：涉航、防雷、消防、安全性评价、工程质量检测报告等。承包人应按发包人的要求提交竣工资料，完成交工验收准备工作。 </w:t>
      </w:r>
    </w:p>
    <w:p w14:paraId="058719F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工验收是建设项目投产使用前的重要的、关键的工作，建设项目各参建单位要切实提高站位，压实主体责任，坚决扭转项目交工验收工作总结流于形式、质量差等突出问题，严格按照《广东省交通运输厅关于进一步加强公路建设项目交工验收工作管理的通知》的规定执行，要结合本项目实际认真扎实做好总结工作，总结材料力求简明扼要，文字精炼，重点突出，必要时辅以图表等辅助材料。</w:t>
      </w:r>
    </w:p>
    <w:p w14:paraId="32F0119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18.9 竣工文件</w:t>
      </w:r>
    </w:p>
    <w:p w14:paraId="356DCA8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在本款后增加以下内容：</w:t>
      </w:r>
    </w:p>
    <w:p w14:paraId="628A112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工程实施过程中及在项目完工后，承包人应按照《广东省交通运输厅关于公路建设项目档案的管理办法》和发包人制定的竣工文件资料管理办法的规定开展竣工文件材料的编制、收集、整理、立卷、归档及信息化平台上传等工作，相应的竣工档案编制费按指定金额在工程量清单第 100 章中以总额报价。承包人向发包人提交的合格的竣工文件中必须包括有整套竣工图的电子档案。承包人在完成施工图表等竣工文件的同时，还应按《广东省交通运输厅关于印发广东省公路工程竣工决算文件编制指南的通知》、《交通运输部基本建设项目竣工财务决算编审规定》的规定，编制由承包人实施的工程结算文件，报监理人审核，作为竣工文件的一部分。</w:t>
      </w:r>
    </w:p>
    <w:p w14:paraId="5385D2B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如有需要发包人有权指定单位或相关部门进行整个项目的竣工资料统一编制，承包人应予以积极配合，所发生费用由承包人承担。</w:t>
      </w:r>
    </w:p>
    <w:p w14:paraId="53550E1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 缺陷责任与保修责任</w:t>
      </w:r>
    </w:p>
    <w:p w14:paraId="264A68E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19.2 缺陷责任</w:t>
      </w:r>
    </w:p>
    <w:p w14:paraId="2293E3F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 19.2.2 项后增加以下内容：</w:t>
      </w:r>
    </w:p>
    <w:p w14:paraId="50D68E4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承包人应在缺陷责任期内安排专人负责缺陷责任期的管理工作，并确保在接到发包人要求处理有关缺陷事项的通知后 24 小时内到达现场，到达现场后随即采取有效措施解决工程遗留的缺陷或其他问题。承包人未履行本款规定的缺陷处治责任义务，视为承包人违约并按 22.1 款约定处理。</w:t>
      </w:r>
    </w:p>
    <w:p w14:paraId="249EB78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19.7 保修责任</w:t>
      </w:r>
    </w:p>
    <w:p w14:paraId="7B383F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19.7（1）目补充：</w:t>
      </w:r>
    </w:p>
    <w:p w14:paraId="7600EB5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详见项目专用合同条款数据表中约定。</w:t>
      </w:r>
    </w:p>
    <w:p w14:paraId="1C9ABCD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 保险</w:t>
      </w:r>
    </w:p>
    <w:p w14:paraId="1E93F4C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20.1 工程保险</w:t>
      </w:r>
    </w:p>
    <w:p w14:paraId="6BE164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20.1 款修改为：</w:t>
      </w:r>
    </w:p>
    <w:p w14:paraId="3C72041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20.1 建筑工程一切险及第三者责任险</w:t>
      </w:r>
    </w:p>
    <w:p w14:paraId="78E4428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20.1.1 建筑工程一切险的投保内容：为本合同工程的永久工程、临时工程和设备及已运至施工工地用于永久工程的材料和设备所投的保险。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4DECCD4D">
      <w:pPr>
        <w:pStyle w:val="62"/>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保险金额：</w:t>
      </w:r>
      <w:r>
        <w:rPr>
          <w:rFonts w:hint="eastAsia" w:ascii="宋体" w:hAnsi="宋体" w:cs="宋体"/>
          <w:color w:val="000000" w:themeColor="text1"/>
          <w:sz w:val="24"/>
          <w:highlight w:val="none"/>
          <w:u w:val="single"/>
          <w14:textFill>
            <w14:solidFill>
              <w14:schemeClr w14:val="tx1"/>
            </w14:solidFill>
          </w14:textFill>
        </w:rPr>
        <w:t>工程量清单第 100 章至 900 章费用之和，扣除建筑工程一切险及第三者责任险的保险费、机电工程设备购置费。</w:t>
      </w:r>
    </w:p>
    <w:p w14:paraId="245E763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保险费率：在项目专用合同条款数据表中约定。</w:t>
      </w:r>
    </w:p>
    <w:p w14:paraId="49331F4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保险期限：开工日起直至本合同工程签发缺陷责任期终止证书止（即合同工期＋缺陷责任期）。</w:t>
      </w:r>
    </w:p>
    <w:p w14:paraId="50508BA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发包人或承包人应以发包人和承包人的共同名义投保建筑工程一切险及第三者责任险。建筑工程一切险及第三者责任险的保险费由承包人报价时按项目专用合同条款数据表规定的费率计算并列入工程量清单 100 章内。不论实际投保费用是高于或低于按上述办法计算的保费，发包人都不作调整。上述保险费，将由发包人从承包人的应付款中代扣，统一向保险公司支付；或先由承包人支付，在接到保险公司的保险单并经监理人签证后，发包人将按照保险单的费用直接向承包人支付，但不得高于投标文件该项所报总额价。</w:t>
      </w:r>
    </w:p>
    <w:p w14:paraId="6CF37B2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20.1.2 保险标的出险后，承包人应自行向保险人报案、登记、索赔并报告发包人，并做好资料整理、工程损失计算等。上述工作所产生的费用由承包人承担。</w:t>
      </w:r>
    </w:p>
    <w:p w14:paraId="3B39405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20.1.3 因保险事故产生的修复、索赔等责任由承包人承担。若承包人放弃索赔或因自身原因延误索赔，发包人保留索赔的权利，保险索赔所得费用归发包人所有。</w:t>
      </w:r>
    </w:p>
    <w:p w14:paraId="79069A4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20.2.1 承包人员工伤事故的保险</w:t>
      </w:r>
    </w:p>
    <w:p w14:paraId="501D662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本项补充：</w:t>
      </w:r>
    </w:p>
    <w:p w14:paraId="3E82AA1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为促进承包人加强安全生产，预防和减少工伤事故，承包人应按《关于做好我省铁路、公路、水运、水利、能源、机场工程建设项目参加工伤保险工作的通知》（粤人社规[2018]15 号）等相关规定参加工伤保险，为其履行合同所雇用的全部人员缴纳工伤保险费，并要求其分包人也进行此项保险。</w:t>
      </w:r>
    </w:p>
    <w:p w14:paraId="7DC5A08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20.4 第三者责任险</w:t>
      </w:r>
    </w:p>
    <w:p w14:paraId="2840408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20.4.2 项补充：</w:t>
      </w:r>
    </w:p>
    <w:p w14:paraId="181AE95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第三者责任险的购买、报险、索赔等，参照第 20.1 款约定执行。</w:t>
      </w:r>
    </w:p>
    <w:p w14:paraId="75C5F14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三者责任险保险费，将由发包人从承包人的应付款中代扣，统一向保险公司支付；或先由承包人支付，在接到保险公司的保险单并经监理人签证后，发包人将按照保险单的费用直接向承包人支付，但不得高于对应的承包人投标报价。具体在项目专用合同条款数据表中约定。</w:t>
      </w:r>
    </w:p>
    <w:p w14:paraId="71DAC5E2">
      <w:pPr>
        <w:pStyle w:val="62"/>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21.不可抗力</w:t>
      </w:r>
    </w:p>
    <w:p w14:paraId="6C2D0D5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21.1 不可抗力的确认</w:t>
      </w:r>
    </w:p>
    <w:p w14:paraId="039A9B7E">
      <w:pPr>
        <w:pStyle w:val="62"/>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21.1.1 (6)不可抗力的其他情形： </w:t>
      </w:r>
      <w:r>
        <w:rPr>
          <w:rFonts w:hint="eastAsia" w:ascii="宋体" w:hAnsi="宋体" w:cs="宋体"/>
          <w:color w:val="000000" w:themeColor="text1"/>
          <w:sz w:val="24"/>
          <w:highlight w:val="none"/>
          <w:u w:val="single"/>
          <w14:textFill>
            <w14:solidFill>
              <w14:schemeClr w14:val="tx1"/>
            </w14:solidFill>
          </w14:textFill>
        </w:rPr>
        <w:t>详见项目专用合同条款数据表</w:t>
      </w:r>
    </w:p>
    <w:p w14:paraId="31936369">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 不可抗力后果及其处理</w:t>
      </w:r>
    </w:p>
    <w:p w14:paraId="2473C5F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21.3.1 不可抗力造成损害的责任</w:t>
      </w:r>
    </w:p>
    <w:p w14:paraId="716DD49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本款补充如下内容：本款中凡是约定由发包人承担损失和赔偿责任的，均按照第20 条的约定，属保险范围内的均由承保人承担。如保险金不足以补偿上述损失（包括免赔额和超过赔偿限额的部分），则按照第 21.3.1 不可抗力造成损害的责任的分摊原则执行。</w:t>
      </w:r>
    </w:p>
    <w:p w14:paraId="7EED5F96">
      <w:pPr>
        <w:pStyle w:val="62"/>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22. 违约</w:t>
      </w:r>
    </w:p>
    <w:p w14:paraId="46FABE7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 承包人违约</w:t>
      </w:r>
    </w:p>
    <w:p w14:paraId="3AEC4F9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 22.1.1(4)目补充为：承包人未能按合同进度计划及时完成合同约定的工作，或未切实履行第 4.1.7 款的约定，导致发生工程阻工、停工，已造成或预期造成工期延误；</w:t>
      </w:r>
    </w:p>
    <w:p w14:paraId="5F51F40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22.1.2 对承包人违约的处理</w:t>
      </w:r>
    </w:p>
    <w:p w14:paraId="4EFE3EF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将本款第(4)目修改如下：</w:t>
      </w:r>
    </w:p>
    <w:p w14:paraId="03D4E75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 承包人发生第 22.1.1 项约定的违约情况时，无论发包人是否解除合同，发包人均有权按本合同附件的规定向承包人课以违约金，并由发包人将其违约行为上报上级交通运输主管部门，作为不良记录纳入公路建设市场信用信息管理系统。</w:t>
      </w:r>
    </w:p>
    <w:p w14:paraId="4455911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在本款下增加第(5)～第(7)目如下：</w:t>
      </w:r>
    </w:p>
    <w:p w14:paraId="4DFA9E9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发包人按合同规定向承包人开出的任何违约金，除合同另有规定外，均从发包人应向承包人支付的工程款中直接扣除。除非合同另有规定，发包人向承包人开出的任何违约金将导致承包人最终的应得结算价款相应地减少（除合同另有约定外）。承包人必须完全接受上述条款。</w:t>
      </w:r>
    </w:p>
    <w:p w14:paraId="56367C5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发包人按合同规定向承包人开出的任何违约处罚金的扣除时间，可以在发包人认为合适的任何一个期中支付月份中扣除。发包人扣除承包人违约金时间的延迟或滞后，并不代表处罚不再执行，也不代表对承包人行为的认可或默认。</w:t>
      </w:r>
    </w:p>
    <w:p w14:paraId="6DF0369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（7）本项目所有承包人的违约金均由业主掌握使用，可部分或全部用于本项目的各项评比和奖励。</w:t>
      </w:r>
    </w:p>
    <w:p w14:paraId="6EFDDE2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 发包人违约</w:t>
      </w:r>
    </w:p>
    <w:p w14:paraId="11C7EC5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本款细化为：</w:t>
      </w:r>
    </w:p>
    <w:p w14:paraId="06379D5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22.2.1 如果发包人无合理的理由去阻挠或拒绝符合合同规定的付款证书颁发所需的批准，则可视为发包人违约。承包人有权终止合同，并在通知发包人和将通知副本提交监理人的 28 天后，合同终止生效。</w:t>
      </w:r>
    </w:p>
    <w:p w14:paraId="206FFBB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22.2.2 如果合同因发包人违约而终止，承包人可要求发包人支付以下费用：</w:t>
      </w:r>
    </w:p>
    <w:p w14:paraId="6C60E02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(a)发包人需向承包人支付合同终止之日前已完成的全部工程费用。</w:t>
      </w:r>
    </w:p>
    <w:p w14:paraId="0198BDA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(b)即将交付承包人的，或承包人依法有责任接收的为该工程合理订购的材料、工程设备或货物的费用，发包人一经支付此项费用，该材料、工程设备或货物即成为发包人的财产。</w:t>
      </w:r>
    </w:p>
    <w:p w14:paraId="35ECEC6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(c)已合理开支的确定属于承包人为完成整个工程而合理发生的其他费用，而该费用未在本条款的其他各项下支付。</w:t>
      </w:r>
    </w:p>
    <w:p w14:paraId="5825342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(d)考虑已完工程的付款比例，给予适当人员、设备等的退场费。</w:t>
      </w:r>
    </w:p>
    <w:p w14:paraId="00D8C85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22.2.3 发包人除按本款规定支付上述费用给承包人外，亦有权要求承包人偿还按合同条款规定的或未结清的承包人欠发包人的各种款项。</w:t>
      </w:r>
    </w:p>
    <w:p w14:paraId="7D4B94A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22.2.4 承包人（包括其分包人）出于追索本合同条款以外的利益，以有违社会规范的行为构成对发包人骚扰的，承包人须承担法律和经济责任。</w:t>
      </w:r>
    </w:p>
    <w:p w14:paraId="3F209FAD">
      <w:pPr>
        <w:pStyle w:val="62"/>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增加第 25 条</w:t>
      </w:r>
    </w:p>
    <w:p w14:paraId="3E5BB57F">
      <w:pPr>
        <w:pStyle w:val="62"/>
        <w:spacing w:line="360" w:lineRule="auto"/>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25 本项目需增加的专用合同条款</w:t>
      </w:r>
    </w:p>
    <w:p w14:paraId="22159FC6">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25.1 承包人退出机制</w:t>
      </w:r>
    </w:p>
    <w:p w14:paraId="383F3DE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发包人对不能满足各阶段工作目标的承包人实行强制退出本项目建设的办法。</w:t>
      </w:r>
    </w:p>
    <w:p w14:paraId="3C3DAA3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发包人将视承包人的实际施工能力情况，可按 4.3.8、4.3.9 款将该标段内剩余工程的部分或全部进行特殊分包，强制部分或整体退出。由发包人在本项目选择履约情况好的承包人承接剩余工程或采用招标方式选择承包人。如承包人逾期不退场的， 发包人有权委托第三方清理，所需费用由承包人承担。</w:t>
      </w:r>
    </w:p>
    <w:p w14:paraId="26F8445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25.1.1 部分退出</w:t>
      </w:r>
    </w:p>
    <w:p w14:paraId="3E44256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（1）人员退出：承包人的主要管理人员和技术骨干如不满足要求的，按 4.6.3 项的规定进行违约处理。</w:t>
      </w:r>
    </w:p>
    <w:p w14:paraId="5C3FE88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（2）机械退出：机械设备达不到额定产能的 85 %者退出，并按监理人或发包人的要求及时组织性能良好的同类型的机械进驻施工现场。</w:t>
      </w:r>
    </w:p>
    <w:p w14:paraId="6BFB6A1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（3）专业队伍退出：在施工过程中累计发生两次生产安全事故或两次较大质量问题者强制退出。</w:t>
      </w:r>
    </w:p>
    <w:p w14:paraId="28E0D63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（4）工程进度达不到上述要求，承包人增加人员、设备仍达不到进度要求的，发包人有权对相应分项工程进行强制分割处理。</w:t>
      </w:r>
    </w:p>
    <w:p w14:paraId="49D98EC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25.1.2 整体退出</w:t>
      </w:r>
    </w:p>
    <w:p w14:paraId="320AEF9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（1）出现转包、非法分包；</w:t>
      </w:r>
    </w:p>
    <w:p w14:paraId="45BFEF8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（2）出现重大安全责任，造成严重社会影响；</w:t>
      </w:r>
    </w:p>
    <w:p w14:paraId="77893F0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（3）出现重大质量事故，严重影响工程质量和进度，造成严重社会影响；</w:t>
      </w:r>
    </w:p>
    <w:p w14:paraId="4B8408D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（4）由承包人自身原因导致使上述计划任务无法完成的；</w:t>
      </w:r>
    </w:p>
    <w:p w14:paraId="3926CEB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整体退出的施工企业，发包人将建议交通主管部门降低其信用等级。</w:t>
      </w:r>
    </w:p>
    <w:p w14:paraId="42C3236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25.1.3 退出清算</w:t>
      </w:r>
    </w:p>
    <w:p w14:paraId="626BE91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（1）发包人对承包人整体退出本项目工程建设进行公示，并要求承包人对拖欠款项的单位和个人及时清算。</w:t>
      </w:r>
    </w:p>
    <w:p w14:paraId="5C63CFD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（2）发包人扣押履约担保、质量保证金、停止计量支付。</w:t>
      </w:r>
    </w:p>
    <w:p w14:paraId="4C30D915">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（3）承包人必须向发包人提交已完成工程的齐全的施工资料。</w:t>
      </w:r>
    </w:p>
    <w:p w14:paraId="2D798110">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（4）清算后特殊分包单位的确定原则：</w:t>
      </w:r>
    </w:p>
    <w:p w14:paraId="10B5C71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由发包人选择本项目实力较强、 质量进度评比排名靠前的承包单位或由发包人通过合法方式选择分包单位；</w:t>
      </w:r>
    </w:p>
    <w:p w14:paraId="35BB74A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分包单位选择情况上报上级行政主管部门；</w:t>
      </w:r>
    </w:p>
    <w:p w14:paraId="052E5A5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特殊分包单位应具备特殊分包工程相对应的资质要求。</w:t>
      </w:r>
    </w:p>
    <w:p w14:paraId="02544A5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（5）清算后费用承担：特殊分包范围内的项目，由于上述（4）确定的分包价与承包人合同价产生的价差由承包人承担。</w:t>
      </w:r>
    </w:p>
    <w:p w14:paraId="3CF495F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（6）承包人应无条件接受，指定特殊分包单位无须向承包人交纳管理费。</w:t>
      </w:r>
    </w:p>
    <w:p w14:paraId="5661DE4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但无论如何，承包人应按发包人要求提供已有的临时设施（如便道、电力线路等）供特殊分包人使用，承包人不得为此要求增加任何费用。</w:t>
      </w:r>
    </w:p>
    <w:p w14:paraId="716EAE0F">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25.2 工程管理要求</w:t>
      </w:r>
    </w:p>
    <w:p w14:paraId="48BC8D2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鉴于发包人在项目建设管理过程中将推行交通运输部、广东省关于绿色公路、品质工程等公路工程现代化管理和公路施工标准化管理，为确保对项目生产一线的有效管理，承包人在进场施工时应配备足够的车辆用于项目管理现场，直至本项目建成通车。承包人应针对上述管理要求制定相应的工作方案，相应的人员、车辆应报监理人及发包人审批。</w:t>
      </w:r>
    </w:p>
    <w:p w14:paraId="7B07ADB4">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25.3 电子文件归档和电子档案管理：</w:t>
      </w:r>
    </w:p>
    <w:p w14:paraId="19A855EB">
      <w:pPr>
        <w:pStyle w:val="62"/>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工程交工验收后，承包人需根据有关规定提供工程相关的电子档案，含关键工序、重点部位、隐蔽工程等影像资料等。</w:t>
      </w:r>
    </w:p>
    <w:p w14:paraId="03CCCF5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25.4 过程结算</w:t>
      </w:r>
    </w:p>
    <w:p w14:paraId="75FCE85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本合同工程执行过程中，建立过程结算制度，开展过程结算工作评价和考核，提高合同结算工作效率。具体执行《广东省交通运输厅关于印发广东省公路建设项目过程结算工作指导意见的通知》的规定, 并符合以下规定：</w:t>
      </w:r>
    </w:p>
    <w:p w14:paraId="5E9284D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开工前，发包人制订过程结算的目标和计划,按《广东省公路工程造价标准化管理指南》规定及发包人要求建立标准费用项目、合同工程量清单、图纸工程量三者的对应关系,明确过程结算的结算范围、单元划分、工作程序和考核标准等。承包人应配备专业人员、明确责任领导，按计划编制过程结算文件，将结算计划纳入总体施工组织设计内容, 作为开工报告组成部分。</w:t>
      </w:r>
    </w:p>
    <w:p w14:paraId="54160EDD">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2.发包人、承包人均应保障承担过程结算工作人员的配置和稳定, 做到过程结算和工程建设同步推进、应结尽结。</w:t>
      </w:r>
    </w:p>
    <w:p w14:paraId="30B0A9C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3.结算单元按合同约定完成并通过质量中间验收，原则上按项目专用合同条款数据表约定的时间完成过程结算文件的编制、审核、签认工作。</w:t>
      </w:r>
    </w:p>
    <w:p w14:paraId="1AE4374A">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4.未按要求完成过程结算的费用项, 按项目专用合同条款数据表约定内容执行。</w:t>
      </w:r>
    </w:p>
    <w:p w14:paraId="058236A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5.发包人、承包人签署认可的过程结算文件, 是最终结算文件和竣工决算文件的组成部分,具有法律效力, 最终结算时不需对已确认的过程结算重新办理确认。</w:t>
      </w:r>
    </w:p>
    <w:p w14:paraId="25161F7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25.5 合同结算</w:t>
      </w:r>
    </w:p>
    <w:p w14:paraId="1AE382F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本合同工程交工验收后，承包人应按《广东省交通运输厅关于印发广东省公路建设项目竣工决算实行备案制管理的通知》的具体要求完成结算工作，发包人可根据项目实际情况制定相应的奖罚措施。</w:t>
      </w:r>
    </w:p>
    <w:p w14:paraId="087B922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为了按期完成工程竣工决算审查备案、审计及竣工验收工作，如发包人和承包人对结算确实存在分歧，经双方协商未果情况下，发包人有权进行合同单方结算，承包人须无条件接受。</w:t>
      </w:r>
    </w:p>
    <w:p w14:paraId="70B83F38">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25.6 本合同未尽事宜</w:t>
      </w:r>
    </w:p>
    <w:p w14:paraId="2647AA3C">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未能明确的有关规定，如质量管理、计划管理、计量与支付管理、台帐管理办法、变更管理、材料管理、安全管理、有关评比方案以及奖惩办法等，按发包人在项目建设管理过程中颁发的项目管理手册或另行发布的相关管理办法执行。</w:t>
      </w:r>
    </w:p>
    <w:p w14:paraId="210A67A3">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发包人对项目实施动态管理，根据工程进展情况及项目目标实现情况，通过修正专用项目管理制度，不断建设完善项目管理责任体系，承包人须积极配合并无条件的接受。</w:t>
      </w:r>
    </w:p>
    <w:p w14:paraId="369384B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2CBDAD97">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E9A97B2">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46A7C28E">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50FA15DB">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175A7981">
      <w:pPr>
        <w:pStyle w:val="62"/>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E19A983">
      <w:pPr>
        <w:pStyle w:val="62"/>
        <w:spacing w:line="360" w:lineRule="auto"/>
        <w:ind w:firstLine="480" w:firstLineChars="200"/>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br w:type="page"/>
      </w:r>
    </w:p>
    <w:bookmarkEnd w:id="1687"/>
    <w:bookmarkEnd w:id="1688"/>
    <w:p w14:paraId="6F2AEEA5">
      <w:pPr>
        <w:pStyle w:val="3"/>
        <w:spacing w:after="120" w:line="240" w:lineRule="auto"/>
        <w:jc w:val="center"/>
        <w:rPr>
          <w:rFonts w:ascii="宋体" w:hAnsi="宋体"/>
          <w:color w:val="000000" w:themeColor="text1"/>
          <w:highlight w:val="none"/>
          <w14:textFill>
            <w14:solidFill>
              <w14:schemeClr w14:val="tx1"/>
            </w14:solidFill>
          </w14:textFill>
        </w:rPr>
      </w:pPr>
      <w:bookmarkStart w:id="1689" w:name="_Toc27096"/>
      <w:r>
        <w:rPr>
          <w:rFonts w:ascii="宋体" w:hAnsi="宋体"/>
          <w:color w:val="000000" w:themeColor="text1"/>
          <w:highlight w:val="none"/>
          <w14:textFill>
            <w14:solidFill>
              <w14:schemeClr w14:val="tx1"/>
            </w14:solidFill>
          </w14:textFill>
        </w:rPr>
        <w:t>第三节合同附件格式</w:t>
      </w:r>
      <w:bookmarkEnd w:id="1689"/>
    </w:p>
    <w:p w14:paraId="1BC293FC">
      <w:pPr>
        <w:rPr>
          <w:rFonts w:ascii="宋体" w:hAnsi="宋体"/>
          <w:color w:val="000000" w:themeColor="text1"/>
          <w:sz w:val="24"/>
          <w:highlight w:val="none"/>
          <w14:textFill>
            <w14:solidFill>
              <w14:schemeClr w14:val="tx1"/>
            </w14:solidFill>
          </w14:textFill>
        </w:rPr>
      </w:pPr>
    </w:p>
    <w:p w14:paraId="64AA2CE6">
      <w:pPr>
        <w:pStyle w:val="79"/>
        <w:spacing w:line="360" w:lineRule="auto"/>
        <w:rPr>
          <w:rFonts w:ascii="宋体" w:hAnsi="宋体"/>
          <w:color w:val="000000" w:themeColor="text1"/>
          <w:sz w:val="24"/>
          <w:szCs w:val="24"/>
          <w:highlight w:val="none"/>
          <w14:textFill>
            <w14:solidFill>
              <w14:schemeClr w14:val="tx1"/>
            </w14:solidFill>
          </w14:textFill>
        </w:rPr>
      </w:pPr>
      <w:bookmarkStart w:id="1690" w:name="_Toc4937"/>
      <w:bookmarkEnd w:id="1690"/>
      <w:bookmarkStart w:id="1691" w:name="_Toc19001"/>
      <w:r>
        <w:rPr>
          <w:rFonts w:ascii="宋体" w:hAnsi="宋体"/>
          <w:color w:val="000000" w:themeColor="text1"/>
          <w:sz w:val="24"/>
          <w:szCs w:val="24"/>
          <w:highlight w:val="none"/>
          <w14:textFill>
            <w14:solidFill>
              <w14:schemeClr w14:val="tx1"/>
            </w14:solidFill>
          </w14:textFill>
        </w:rPr>
        <w:t>附件一</w:t>
      </w: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合同协议书</w:t>
      </w:r>
      <w:bookmarkEnd w:id="1691"/>
    </w:p>
    <w:p w14:paraId="7B8E81EE">
      <w:pPr>
        <w:rPr>
          <w:rFonts w:ascii="宋体" w:hAnsi="宋体"/>
          <w:color w:val="000000" w:themeColor="text1"/>
          <w:sz w:val="24"/>
          <w:highlight w:val="none"/>
          <w14:textFill>
            <w14:solidFill>
              <w14:schemeClr w14:val="tx1"/>
            </w14:solidFill>
          </w14:textFill>
        </w:rPr>
      </w:pPr>
    </w:p>
    <w:p w14:paraId="32B59D7F">
      <w:pPr>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合同协议书</w:t>
      </w:r>
    </w:p>
    <w:p w14:paraId="4B889BD8">
      <w:pPr>
        <w:rPr>
          <w:rFonts w:ascii="宋体" w:hAnsi="宋体"/>
          <w:color w:val="000000" w:themeColor="text1"/>
          <w:sz w:val="24"/>
          <w:highlight w:val="none"/>
          <w14:textFill>
            <w14:solidFill>
              <w14:schemeClr w14:val="tx1"/>
            </w14:solidFill>
          </w14:textFill>
        </w:rPr>
      </w:pPr>
    </w:p>
    <w:p w14:paraId="3DAF5FA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（发包人名称，以下简称“发包人”）</w:t>
      </w:r>
      <w:r>
        <w:rPr>
          <w:rFonts w:ascii="宋体" w:hAnsi="宋体"/>
          <w:color w:val="000000" w:themeColor="text1"/>
          <w:sz w:val="24"/>
          <w:highlight w:val="none"/>
          <w14:textFill>
            <w14:solidFill>
              <w14:schemeClr w14:val="tx1"/>
            </w14:solidFill>
          </w14:textFill>
        </w:rPr>
        <w:t>为实施</w:t>
      </w:r>
      <w:r>
        <w:rPr>
          <w:rFonts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14:textFill>
            <w14:solidFill>
              <w14:schemeClr w14:val="tx1"/>
            </w14:solidFill>
          </w14:textFill>
        </w:rPr>
        <w:t>，已接受</w:t>
      </w:r>
      <w:r>
        <w:rPr>
          <w:rFonts w:ascii="宋体" w:hAnsi="宋体"/>
          <w:color w:val="000000" w:themeColor="text1"/>
          <w:sz w:val="24"/>
          <w:highlight w:val="none"/>
          <w:u w:val="single"/>
          <w14:textFill>
            <w14:solidFill>
              <w14:schemeClr w14:val="tx1"/>
            </w14:solidFill>
          </w14:textFill>
        </w:rPr>
        <w:t>（承包人名称，以下简称“承包人”）</w:t>
      </w:r>
      <w:r>
        <w:rPr>
          <w:rFonts w:ascii="宋体" w:hAnsi="宋体"/>
          <w:color w:val="000000" w:themeColor="text1"/>
          <w:sz w:val="24"/>
          <w:highlight w:val="none"/>
          <w14:textFill>
            <w14:solidFill>
              <w14:schemeClr w14:val="tx1"/>
            </w14:solidFill>
          </w14:textFill>
        </w:rPr>
        <w:t>对该项目标段施工的投标。发包人和承包人共同达成如下协议。</w:t>
      </w:r>
    </w:p>
    <w:p w14:paraId="3109664A">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1.第标段由K+</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至K+</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，长约</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km，公路等级为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，设计时速为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路面，有立交</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处；特大桥</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座，计长</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m；大中桥</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座，计长</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m；隧道</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座，计长</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m以及其他构造物工程等。</w:t>
      </w:r>
    </w:p>
    <w:p w14:paraId="223A068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下列文件应视为构成合同文件的组成部分</w:t>
      </w:r>
      <w:r>
        <w:rPr>
          <w:rFonts w:ascii="宋体" w:hAnsi="宋体"/>
          <w:color w:val="000000" w:themeColor="text1"/>
          <w:sz w:val="24"/>
          <w:highlight w:val="none"/>
          <w14:textFill>
            <w14:solidFill>
              <w14:schemeClr w14:val="tx1"/>
            </w14:solidFill>
          </w14:textFill>
        </w:rPr>
        <w:t>：</w:t>
      </w:r>
    </w:p>
    <w:p w14:paraId="726CE64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（1）本协议书及各种合同附件（含评标期间和合同谈判过程中的澄清文件和补充资料）；</w:t>
      </w:r>
    </w:p>
    <w:p w14:paraId="666F39C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（2）中标通知书；</w:t>
      </w:r>
    </w:p>
    <w:p w14:paraId="0E1626F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（3）投标函及投标函附录；</w:t>
      </w:r>
    </w:p>
    <w:p w14:paraId="4818E04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（4）项目专用合同条款；</w:t>
      </w:r>
    </w:p>
    <w:p w14:paraId="5F8E351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（5）公路工程专用合同条款；</w:t>
      </w:r>
    </w:p>
    <w:p w14:paraId="2D628C3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（6）通用合同条款；</w:t>
      </w:r>
    </w:p>
    <w:p w14:paraId="2708AF8E">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（7）工程量清单计量规则；</w:t>
      </w:r>
    </w:p>
    <w:p w14:paraId="0147FB76">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（8）技术规范；</w:t>
      </w:r>
    </w:p>
    <w:p w14:paraId="271BCD0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（9）图纸；</w:t>
      </w:r>
    </w:p>
    <w:p w14:paraId="0D12419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（10）已标价工程量清单；</w:t>
      </w:r>
    </w:p>
    <w:p w14:paraId="782FB47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（11）承包人有关人员、设备投入的承诺及投标文件中的施工组织设计；</w:t>
      </w:r>
    </w:p>
    <w:p w14:paraId="028175E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（12）其他合同文件。</w:t>
      </w:r>
    </w:p>
    <w:p w14:paraId="05DBFE2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上述</w:t>
      </w:r>
      <w:r>
        <w:rPr>
          <w:rFonts w:hint="eastAsia" w:ascii="宋体" w:hAnsi="宋体"/>
          <w:color w:val="000000" w:themeColor="text1"/>
          <w:sz w:val="24"/>
          <w:highlight w:val="none"/>
          <w14:textFill>
            <w14:solidFill>
              <w14:schemeClr w14:val="tx1"/>
            </w14:solidFill>
          </w14:textFill>
        </w:rPr>
        <w:t>合同</w:t>
      </w:r>
      <w:r>
        <w:rPr>
          <w:rFonts w:ascii="宋体" w:hAnsi="宋体"/>
          <w:color w:val="000000" w:themeColor="text1"/>
          <w:sz w:val="24"/>
          <w:highlight w:val="none"/>
          <w14:textFill>
            <w14:solidFill>
              <w14:schemeClr w14:val="tx1"/>
            </w14:solidFill>
          </w14:textFill>
        </w:rPr>
        <w:t>文件互相补充和解释</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如有</w:t>
      </w:r>
      <w:r>
        <w:rPr>
          <w:rFonts w:hint="eastAsia" w:ascii="宋体" w:hAnsi="宋体"/>
          <w:color w:val="000000" w:themeColor="text1"/>
          <w:sz w:val="24"/>
          <w:highlight w:val="none"/>
          <w14:textFill>
            <w14:solidFill>
              <w14:schemeClr w14:val="tx1"/>
            </w14:solidFill>
          </w14:textFill>
        </w:rPr>
        <w:t>合同文件之间存在矛盾</w:t>
      </w:r>
      <w:r>
        <w:rPr>
          <w:rFonts w:ascii="宋体" w:hAnsi="宋体"/>
          <w:color w:val="000000" w:themeColor="text1"/>
          <w:sz w:val="24"/>
          <w:highlight w:val="none"/>
          <w14:textFill>
            <w14:solidFill>
              <w14:schemeClr w14:val="tx1"/>
            </w14:solidFill>
          </w14:textFill>
        </w:rPr>
        <w:t>或不一致之处，以</w:t>
      </w:r>
      <w:r>
        <w:rPr>
          <w:rFonts w:hint="eastAsia" w:ascii="宋体" w:hAnsi="宋体"/>
          <w:color w:val="000000" w:themeColor="text1"/>
          <w:sz w:val="24"/>
          <w:highlight w:val="none"/>
          <w14:textFill>
            <w14:solidFill>
              <w14:schemeClr w14:val="tx1"/>
            </w14:solidFill>
          </w14:textFill>
        </w:rPr>
        <w:t>上述文件的排列顺序</w:t>
      </w:r>
      <w:r>
        <w:rPr>
          <w:rFonts w:ascii="宋体" w:hAnsi="宋体"/>
          <w:color w:val="000000" w:themeColor="text1"/>
          <w:sz w:val="24"/>
          <w:highlight w:val="none"/>
          <w14:textFill>
            <w14:solidFill>
              <w14:schemeClr w14:val="tx1"/>
            </w14:solidFill>
          </w14:textFill>
        </w:rPr>
        <w:t>在先者为准。</w:t>
      </w:r>
    </w:p>
    <w:p w14:paraId="4FDAB7F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根据工程量清单所列的预计数量和单价或总额价计算的签约</w:t>
      </w:r>
      <w:r>
        <w:rPr>
          <w:rFonts w:ascii="宋体" w:hAnsi="宋体"/>
          <w:color w:val="000000" w:themeColor="text1"/>
          <w:sz w:val="24"/>
          <w:highlight w:val="none"/>
          <w14:textFill>
            <w14:solidFill>
              <w14:schemeClr w14:val="tx1"/>
            </w14:solidFill>
          </w14:textFill>
        </w:rPr>
        <w:t>合同价：</w:t>
      </w:r>
      <w:r>
        <w:rPr>
          <w:rFonts w:ascii="宋体" w:hAnsi="宋体"/>
          <w:color w:val="000000" w:themeColor="text1"/>
          <w:sz w:val="24"/>
          <w:highlight w:val="none"/>
          <w:u w:val="single"/>
          <w14:textFill>
            <w14:solidFill>
              <w14:schemeClr w14:val="tx1"/>
            </w14:solidFill>
          </w14:textFill>
        </w:rPr>
        <w:t>人民币（大写）</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元）</w:t>
      </w:r>
      <w:r>
        <w:rPr>
          <w:rFonts w:ascii="宋体" w:hAnsi="宋体"/>
          <w:color w:val="000000" w:themeColor="text1"/>
          <w:sz w:val="24"/>
          <w:highlight w:val="none"/>
          <w14:textFill>
            <w14:solidFill>
              <w14:schemeClr w14:val="tx1"/>
            </w14:solidFill>
          </w14:textFill>
        </w:rPr>
        <w:t>。</w:t>
      </w:r>
    </w:p>
    <w:p w14:paraId="0F0DA08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ascii="宋体" w:hAnsi="宋体"/>
          <w:color w:val="000000" w:themeColor="text1"/>
          <w:sz w:val="24"/>
          <w:highlight w:val="none"/>
          <w14:textFill>
            <w14:solidFill>
              <w14:schemeClr w14:val="tx1"/>
            </w14:solidFill>
          </w14:textFill>
        </w:rPr>
        <w:t>. 承包人项目经理：</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承包人项目总工：</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784F7D8E">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 工程质量符合标准</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工程安全目标：</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7F40CCA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w:t>
      </w:r>
      <w:r>
        <w:rPr>
          <w:rFonts w:ascii="宋体" w:hAnsi="宋体"/>
          <w:color w:val="000000" w:themeColor="text1"/>
          <w:sz w:val="24"/>
          <w:highlight w:val="none"/>
          <w14:textFill>
            <w14:solidFill>
              <w14:schemeClr w14:val="tx1"/>
            </w14:solidFill>
          </w14:textFill>
        </w:rPr>
        <w:t>. 承包人承诺按合同约定承担工程的实施、完成及缺陷修复。</w:t>
      </w:r>
    </w:p>
    <w:p w14:paraId="5DC794C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w:t>
      </w:r>
      <w:r>
        <w:rPr>
          <w:rFonts w:ascii="宋体" w:hAnsi="宋体"/>
          <w:color w:val="000000" w:themeColor="text1"/>
          <w:sz w:val="24"/>
          <w:highlight w:val="none"/>
          <w14:textFill>
            <w14:solidFill>
              <w14:schemeClr w14:val="tx1"/>
            </w14:solidFill>
          </w14:textFill>
        </w:rPr>
        <w:t>. 发包人承诺按合同约定的条件、时间和方式向承包人支付合同价款。</w:t>
      </w:r>
    </w:p>
    <w:p w14:paraId="41F3E18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w:t>
      </w:r>
      <w:r>
        <w:rPr>
          <w:rFonts w:ascii="宋体" w:hAnsi="宋体"/>
          <w:color w:val="000000" w:themeColor="text1"/>
          <w:sz w:val="24"/>
          <w:highlight w:val="none"/>
          <w14:textFill>
            <w14:solidFill>
              <w14:schemeClr w14:val="tx1"/>
            </w14:solidFill>
          </w14:textFill>
        </w:rPr>
        <w:t>. 承包人应按照监理人指示开工，工期为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日历天。</w:t>
      </w:r>
    </w:p>
    <w:p w14:paraId="7D6DDEEE">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 本协议书在承包人提供履约保证金后，由双方法定代表人或其委托代理人签署并加盖单位章后生效。全部工程完工后经交工验收合格、缺陷责任期满签发缺陷责任终止证书后失效。</w:t>
      </w:r>
    </w:p>
    <w:p w14:paraId="478C043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10.本协议书正本二份、副本份，合同双方各执正本一份，副本份，当正本与副本的内容不一致时，以正本为准。</w:t>
      </w:r>
    </w:p>
    <w:p w14:paraId="1DAF4AD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.合同未尽事宜，双方另行签订补充协议。补充协议是合同的组成部分。</w:t>
      </w:r>
    </w:p>
    <w:p w14:paraId="13F74DA0">
      <w:pPr>
        <w:spacing w:line="400" w:lineRule="exact"/>
        <w:rPr>
          <w:rFonts w:ascii="宋体" w:hAnsi="宋体"/>
          <w:color w:val="000000" w:themeColor="text1"/>
          <w:sz w:val="24"/>
          <w:highlight w:val="none"/>
          <w14:textFill>
            <w14:solidFill>
              <w14:schemeClr w14:val="tx1"/>
            </w14:solidFill>
          </w14:textFill>
        </w:rPr>
      </w:pPr>
    </w:p>
    <w:p w14:paraId="25525410">
      <w:pPr>
        <w:spacing w:line="400" w:lineRule="exact"/>
        <w:rPr>
          <w:rFonts w:ascii="宋体" w:hAnsi="宋体"/>
          <w:color w:val="000000" w:themeColor="text1"/>
          <w:sz w:val="24"/>
          <w:highlight w:val="none"/>
          <w14:textFill>
            <w14:solidFill>
              <w14:schemeClr w14:val="tx1"/>
            </w14:solidFill>
          </w14:textFill>
        </w:rPr>
      </w:pPr>
    </w:p>
    <w:p w14:paraId="26146C7F">
      <w:pPr>
        <w:spacing w:line="40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发包人：（盖单位章）</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承包人：（盖单位章） </w:t>
      </w:r>
    </w:p>
    <w:p w14:paraId="3C89CB37">
      <w:pPr>
        <w:spacing w:line="40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法定代表人或其委托代理人：</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法定代表人或其委托代理人：（签字）</w:t>
      </w:r>
    </w:p>
    <w:p w14:paraId="2979F896">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                                   年   月   日</w:t>
      </w:r>
    </w:p>
    <w:p w14:paraId="51B4E931">
      <w:pPr>
        <w:pStyle w:val="79"/>
        <w:spacing w:line="360" w:lineRule="auto"/>
        <w:rPr>
          <w:rFonts w:ascii="宋体" w:hAnsi="宋体"/>
          <w:color w:val="000000" w:themeColor="text1"/>
          <w:sz w:val="24"/>
          <w:szCs w:val="24"/>
          <w:highlight w:val="none"/>
          <w14:textFill>
            <w14:solidFill>
              <w14:schemeClr w14:val="tx1"/>
            </w14:solidFill>
          </w14:textFill>
        </w:rPr>
      </w:pPr>
      <w:bookmarkStart w:id="1692" w:name="_Toc3544"/>
      <w:bookmarkEnd w:id="1692"/>
      <w:bookmarkStart w:id="1693" w:name="_Toc505844505"/>
      <w:bookmarkEnd w:id="1693"/>
      <w:r>
        <w:rPr>
          <w:rFonts w:ascii="宋体" w:hAnsi="宋体"/>
          <w:b w:val="0"/>
          <w:bCs w:val="0"/>
          <w:color w:val="000000" w:themeColor="text1"/>
          <w:kern w:val="2"/>
          <w:sz w:val="21"/>
          <w:szCs w:val="24"/>
          <w:highlight w:val="none"/>
          <w14:textFill>
            <w14:solidFill>
              <w14:schemeClr w14:val="tx1"/>
            </w14:solidFill>
          </w14:textFill>
        </w:rPr>
        <w:br w:type="page"/>
      </w:r>
      <w:bookmarkStart w:id="1694" w:name="_Toc29846"/>
      <w:r>
        <w:rPr>
          <w:rFonts w:hint="eastAsia" w:ascii="宋体" w:hAnsi="宋体"/>
          <w:color w:val="000000" w:themeColor="text1"/>
          <w:sz w:val="24"/>
          <w:szCs w:val="24"/>
          <w:highlight w:val="none"/>
          <w14:textFill>
            <w14:solidFill>
              <w14:schemeClr w14:val="tx1"/>
            </w14:solidFill>
          </w14:textFill>
        </w:rPr>
        <w:t>附件二   廉政合同</w:t>
      </w:r>
      <w:bookmarkEnd w:id="1694"/>
    </w:p>
    <w:p w14:paraId="3987D563">
      <w:pPr>
        <w:spacing w:before="120" w:after="1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廉政合同</w:t>
      </w:r>
    </w:p>
    <w:p w14:paraId="275ECC8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 xml:space="preserve">项目法人 </w:t>
      </w:r>
      <w:r>
        <w:rPr>
          <w:rFonts w:hint="eastAsia" w:ascii="宋体" w:hAnsi="宋体"/>
          <w:color w:val="000000" w:themeColor="text1"/>
          <w:sz w:val="24"/>
          <w:highlight w:val="none"/>
          <w:u w:val="single"/>
          <w14:textFill>
            <w14:solidFill>
              <w14:schemeClr w14:val="tx1"/>
            </w14:solidFill>
          </w14:textFill>
        </w:rPr>
        <w:t>（项目法人名称，以下简称“发包人”）</w:t>
      </w:r>
      <w:r>
        <w:rPr>
          <w:rFonts w:hint="eastAsia" w:ascii="宋体" w:hAnsi="宋体"/>
          <w:color w:val="000000" w:themeColor="text1"/>
          <w:sz w:val="24"/>
          <w:highlight w:val="none"/>
          <w14:textFill>
            <w14:solidFill>
              <w14:schemeClr w14:val="tx1"/>
            </w14:solidFill>
          </w14:textFill>
        </w:rPr>
        <w:t>与该项目标段的施工单位</w:t>
      </w:r>
      <w:r>
        <w:rPr>
          <w:rFonts w:hint="eastAsia" w:ascii="宋体" w:hAnsi="宋体"/>
          <w:color w:val="000000" w:themeColor="text1"/>
          <w:sz w:val="24"/>
          <w:highlight w:val="none"/>
          <w:u w:val="single"/>
          <w14:textFill>
            <w14:solidFill>
              <w14:schemeClr w14:val="tx1"/>
            </w14:solidFill>
          </w14:textFill>
        </w:rPr>
        <w:t>（施工单位名称，以下简称“承包人”）</w:t>
      </w:r>
      <w:r>
        <w:rPr>
          <w:rFonts w:hint="eastAsia" w:ascii="宋体" w:hAnsi="宋体"/>
          <w:color w:val="000000" w:themeColor="text1"/>
          <w:sz w:val="24"/>
          <w:highlight w:val="none"/>
          <w14:textFill>
            <w14:solidFill>
              <w14:schemeClr w14:val="tx1"/>
            </w14:solidFill>
          </w14:textFill>
        </w:rPr>
        <w:t>，特订立如下合同。</w:t>
      </w:r>
    </w:p>
    <w:p w14:paraId="072FCEFE">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1.发包人和承包人双方的权利和义务</w:t>
      </w:r>
    </w:p>
    <w:p w14:paraId="72DE836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（1）严格遵守党的政策规定和国家有关法律法规及交通运输部的有关规定。</w:t>
      </w:r>
    </w:p>
    <w:p w14:paraId="49435D2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（2）严格执行</w:t>
      </w:r>
      <w:r>
        <w:rPr>
          <w:rFonts w:hint="eastAsia" w:ascii="宋体" w:hAnsi="宋体"/>
          <w:color w:val="000000" w:themeColor="text1"/>
          <w:sz w:val="24"/>
          <w:highlight w:val="none"/>
          <w:u w:val="single"/>
          <w14:textFill>
            <w14:solidFill>
              <w14:schemeClr w14:val="tx1"/>
            </w14:solidFill>
          </w14:textFill>
        </w:rPr>
        <w:t xml:space="preserve">     （项目名称）      </w:t>
      </w:r>
      <w:r>
        <w:rPr>
          <w:rFonts w:hint="eastAsia" w:ascii="宋体" w:hAnsi="宋体"/>
          <w:color w:val="000000" w:themeColor="text1"/>
          <w:sz w:val="24"/>
          <w:highlight w:val="none"/>
          <w14:textFill>
            <w14:solidFill>
              <w14:schemeClr w14:val="tx1"/>
            </w14:solidFill>
          </w14:textFill>
        </w:rPr>
        <w:t>合同文件，自觉按合同办事。</w:t>
      </w:r>
    </w:p>
    <w:p w14:paraId="0E4211B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（3）双方的业务活动坚持公开、公正、诚信、透明的原则（法律认定的商业秘密和合同文件另有规定除外），不得损害国家和集体利益，不得违反工程建设管理规章制度。</w:t>
      </w:r>
    </w:p>
    <w:p w14:paraId="0285BDF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（4）建立健全廉政制度，开展廉政教育，设立廉政告示牌，公布举报电话，监督并认真查处违法违纪行为。</w:t>
      </w:r>
    </w:p>
    <w:p w14:paraId="4B14E7B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（5）发现对方在业务活动中有违反廉政规定的行为，有及时提醒对方纠正的权利和义务。</w:t>
      </w:r>
    </w:p>
    <w:p w14:paraId="2784993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（6）发现对方严重违反本合同义务条款的行为，有向其上级有关部门举报、建议给予处理并要求告知处理结果的权利。</w:t>
      </w:r>
    </w:p>
    <w:p w14:paraId="4680C46D">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2.发包人的义务</w:t>
      </w:r>
    </w:p>
    <w:p w14:paraId="2B27D1F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（1）发包人及其工作人员不得索要或接受承包人的礼金、有价证券和贵重物品，不得让承包人报销任何应由发包人或发包人工作人员个人支付的费用等。</w:t>
      </w:r>
    </w:p>
    <w:p w14:paraId="1110FBB6">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（2）发包人工作人员不得参加承包人安排的超标准宴请和娱乐活动；不得接受承包人提供的通讯工具、交通工具和高档办公用品等。</w:t>
      </w:r>
    </w:p>
    <w:p w14:paraId="71111646">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（3）发包人及其工作人员不得要求或者接受承包人为其住房装修、婚丧嫁娶活动、配偶子女的工作安排以及出国出境、旅游等提供方便等。</w:t>
      </w:r>
    </w:p>
    <w:p w14:paraId="184DD8F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（4）发包人工作人员及其配偶、子女不得从事与发包人工作有关的材料设备供应、工程分包、劳务等经济活动等。</w:t>
      </w:r>
    </w:p>
    <w:p w14:paraId="064A614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（5）发包人及期工作人员不得以任何理由向承包人推荐分包单位或推销材料，不得要求承包人购买合同规定外的材料和设备。</w:t>
      </w:r>
    </w:p>
    <w:p w14:paraId="6E2A37C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（6）发包人工作人员要秉公办事，不准营私舞弊，不准利用职权从事各种个人有偿中介活动和安排个人施工队伍。</w:t>
      </w:r>
    </w:p>
    <w:p w14:paraId="0E2FBB30">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3.承包人的义务</w:t>
      </w:r>
    </w:p>
    <w:p w14:paraId="18CBF99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（1）承包人不得以任何理由向发包人及其工作人员行贿或馈赠礼金、有价证券、贵重礼品。</w:t>
      </w:r>
    </w:p>
    <w:p w14:paraId="2E0A27B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（2）承包人不得以任何名义为发包人及其工作人员报销应由发包人单位或个人支付的任何费用。</w:t>
      </w:r>
    </w:p>
    <w:p w14:paraId="06F1B09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（3）承包人不得以任何理由安排发包人工作人员参加超标准宴请及娱乐活动。</w:t>
      </w:r>
    </w:p>
    <w:p w14:paraId="4971FE4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（4）承包人不得为发包人单位和个人购置或提供通讯工具、交通工具和高档办公用品等。</w:t>
      </w:r>
    </w:p>
    <w:p w14:paraId="55FF57F7">
      <w:pPr>
        <w:spacing w:line="4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4.违约责任</w:t>
      </w:r>
    </w:p>
    <w:p w14:paraId="6906553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（1）发包人及其工作人员违反本合同第1、2条，按管理权限，依据有关规定给予党纪、政纪或组织处理；涉嫌犯罪的，移交司法机关追究刑事责任；给承包人单位造成经济损失的，应予以赔偿。</w:t>
      </w:r>
    </w:p>
    <w:p w14:paraId="5BDD8BC6">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6EDD8B3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231B8E1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6.本合同有效期为发包人和承包人签署之日起至该工程项目竣工验收后止。</w:t>
      </w:r>
    </w:p>
    <w:p w14:paraId="11A5DBE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7.本合同作为</w:t>
      </w:r>
      <w:r>
        <w:rPr>
          <w:rFonts w:hint="eastAsia" w:ascii="宋体" w:hAnsi="宋体"/>
          <w:color w:val="000000" w:themeColor="text1"/>
          <w:sz w:val="24"/>
          <w:highlight w:val="none"/>
          <w:u w:val="single"/>
          <w14:textFill>
            <w14:solidFill>
              <w14:schemeClr w14:val="tx1"/>
            </w14:solidFill>
          </w14:textFill>
        </w:rPr>
        <w:t xml:space="preserve">         （项目名称）     </w:t>
      </w:r>
      <w:r>
        <w:rPr>
          <w:rFonts w:hint="eastAsia" w:ascii="宋体" w:hAnsi="宋体"/>
          <w:color w:val="000000" w:themeColor="text1"/>
          <w:sz w:val="24"/>
          <w:highlight w:val="none"/>
          <w14:textFill>
            <w14:solidFill>
              <w14:schemeClr w14:val="tx1"/>
            </w14:solidFill>
          </w14:textFill>
        </w:rPr>
        <w:t>合同的附件，与工程施工合同具有同等的法律效力，经合同双方签署后立即生效。</w:t>
      </w:r>
    </w:p>
    <w:p w14:paraId="09C9DBC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8.本合同一式四份，由发包人和承包人各执—份，送交发包人和承包人的监督单位各一份</w:t>
      </w:r>
    </w:p>
    <w:p w14:paraId="23566927">
      <w:pPr>
        <w:spacing w:line="400" w:lineRule="exact"/>
        <w:rPr>
          <w:rFonts w:ascii="宋体" w:hAnsi="宋体"/>
          <w:color w:val="000000" w:themeColor="text1"/>
          <w:sz w:val="24"/>
          <w:highlight w:val="none"/>
          <w14:textFill>
            <w14:solidFill>
              <w14:schemeClr w14:val="tx1"/>
            </w14:solidFill>
          </w14:textFill>
        </w:rPr>
      </w:pPr>
    </w:p>
    <w:p w14:paraId="0D964A26">
      <w:pPr>
        <w:spacing w:line="40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发包人：（盖单位章）</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承包人：（盖单位章） </w:t>
      </w:r>
    </w:p>
    <w:p w14:paraId="303D93E3">
      <w:pPr>
        <w:spacing w:line="40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法定代表人或其委托代理人：</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法定代表人或其委托代理人：（签字）</w:t>
      </w:r>
    </w:p>
    <w:p w14:paraId="6859BA65">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                               年   月   日</w:t>
      </w:r>
    </w:p>
    <w:p w14:paraId="13A89229">
      <w:pPr>
        <w:spacing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发包人监督单位：</w:t>
      </w:r>
      <w:r>
        <w:rPr>
          <w:rFonts w:hint="eastAsia" w:ascii="宋体" w:hAnsi="宋体"/>
          <w:color w:val="000000" w:themeColor="text1"/>
          <w:sz w:val="24"/>
          <w:highlight w:val="none"/>
          <w:u w:val="single"/>
          <w14:textFill>
            <w14:solidFill>
              <w14:schemeClr w14:val="tx1"/>
            </w14:solidFill>
          </w14:textFill>
        </w:rPr>
        <w:t>（全称） （盖单位章）</w:t>
      </w:r>
      <w:r>
        <w:rPr>
          <w:rFonts w:hint="eastAsia" w:ascii="宋体" w:hAnsi="宋体"/>
          <w:color w:val="000000" w:themeColor="text1"/>
          <w:sz w:val="24"/>
          <w:highlight w:val="none"/>
          <w14:textFill>
            <w14:solidFill>
              <w14:schemeClr w14:val="tx1"/>
            </w14:solidFill>
          </w14:textFill>
        </w:rPr>
        <w:t xml:space="preserve">      承包人监督单位：</w:t>
      </w:r>
      <w:r>
        <w:rPr>
          <w:rFonts w:hint="eastAsia" w:ascii="宋体" w:hAnsi="宋体"/>
          <w:color w:val="000000" w:themeColor="text1"/>
          <w:sz w:val="24"/>
          <w:highlight w:val="none"/>
          <w:u w:val="single"/>
          <w14:textFill>
            <w14:solidFill>
              <w14:schemeClr w14:val="tx1"/>
            </w14:solidFill>
          </w14:textFill>
        </w:rPr>
        <w:t>（全称） （盖单位章）</w:t>
      </w:r>
    </w:p>
    <w:p w14:paraId="3F21AFFA">
      <w:pPr>
        <w:pStyle w:val="79"/>
        <w:spacing w:line="360" w:lineRule="auto"/>
        <w:rPr>
          <w:rFonts w:ascii="宋体" w:hAnsi="宋体"/>
          <w:color w:val="000000" w:themeColor="text1"/>
          <w:sz w:val="24"/>
          <w:szCs w:val="24"/>
          <w:highlight w:val="none"/>
          <w14:textFill>
            <w14:solidFill>
              <w14:schemeClr w14:val="tx1"/>
            </w14:solidFill>
          </w14:textFill>
        </w:rPr>
      </w:pPr>
      <w:bookmarkStart w:id="1695" w:name="_Toc30177"/>
      <w:bookmarkEnd w:id="1695"/>
      <w:bookmarkStart w:id="1696" w:name="_Toc505844506"/>
      <w:bookmarkEnd w:id="1696"/>
      <w:r>
        <w:rPr>
          <w:rFonts w:hint="eastAsia" w:ascii="宋体" w:hAnsi="宋体"/>
          <w:color w:val="000000" w:themeColor="text1"/>
          <w:sz w:val="24"/>
          <w:szCs w:val="24"/>
          <w:highlight w:val="none"/>
          <w14:textFill>
            <w14:solidFill>
              <w14:schemeClr w14:val="tx1"/>
            </w14:solidFill>
          </w14:textFill>
        </w:rPr>
        <w:br w:type="page"/>
      </w:r>
      <w:bookmarkStart w:id="1697" w:name="_Toc20268"/>
      <w:r>
        <w:rPr>
          <w:rFonts w:hint="eastAsia" w:ascii="宋体" w:hAnsi="宋体"/>
          <w:color w:val="000000" w:themeColor="text1"/>
          <w:sz w:val="24"/>
          <w:szCs w:val="24"/>
          <w:highlight w:val="none"/>
          <w14:textFill>
            <w14:solidFill>
              <w14:schemeClr w14:val="tx1"/>
            </w14:solidFill>
          </w14:textFill>
        </w:rPr>
        <w:t>附件三   安全生产合同</w:t>
      </w:r>
      <w:bookmarkEnd w:id="1697"/>
    </w:p>
    <w:p w14:paraId="44D89D4B">
      <w:pPr>
        <w:spacing w:before="120" w:after="1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安全生产合同</w:t>
      </w:r>
    </w:p>
    <w:p w14:paraId="2E2E9EC5">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根据《中华人民共和国安全生产法》，国务院《建设工程安全生产管理条例》，交通运输部《公路水运工程安全生产监督管理办法》，交通运输部《公路水运工程施工安全标准化指南》有关规定，为切实做好</w:t>
      </w:r>
      <w:r>
        <w:rPr>
          <w:rFonts w:hint="eastAsia" w:ascii="宋体" w:hAnsi="宋体"/>
          <w:color w:val="000000" w:themeColor="text1"/>
          <w:sz w:val="24"/>
          <w:highlight w:val="none"/>
          <w:u w:val="single"/>
          <w14:textFill>
            <w14:solidFill>
              <w14:schemeClr w14:val="tx1"/>
            </w14:solidFill>
          </w14:textFill>
        </w:rPr>
        <w:t xml:space="preserve">   (项目名称)   标类（或标段）     </w:t>
      </w:r>
      <w:r>
        <w:rPr>
          <w:rFonts w:hint="eastAsia" w:ascii="宋体" w:hAnsi="宋体"/>
          <w:color w:val="000000" w:themeColor="text1"/>
          <w:sz w:val="24"/>
          <w:highlight w:val="none"/>
          <w14:textFill>
            <w14:solidFill>
              <w14:schemeClr w14:val="tx1"/>
            </w14:solidFill>
          </w14:textFill>
        </w:rPr>
        <w:t>工程安全生产管理工作，明确项目参建各方的安全生产责任，促进实现工程项目安全管理目标，建设单位全称（以下简称“发包人”）与施工单位全称（以下简称“承包人”）特此签订安全生产合同：</w:t>
      </w:r>
    </w:p>
    <w:p w14:paraId="5F4B99A8">
      <w:pPr>
        <w:spacing w:line="400" w:lineRule="exact"/>
        <w:ind w:firstLine="84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1.发包人职责</w:t>
      </w:r>
    </w:p>
    <w:p w14:paraId="516DA0CD">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(1)编制工程招标文件及项目概算时，应确定保障建设工程安全作业环境及安全施工措施所需的安全生产费用，并不低于国家规定的标准。</w:t>
      </w:r>
    </w:p>
    <w:p w14:paraId="73721952">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(2)按照有关规定对承包人的安全生产条件、安全生产信用情况、安全生产管理体系及保障措施等提出明确要求并检查实施情况。</w:t>
      </w:r>
    </w:p>
    <w:p w14:paraId="7EF1DF46">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(3)开展工程项目安全生产条件核查，按规定组织风险评估。针对工程项目特点和风险评估情况制定项目生产安全事故综合应急预案，并定期组织演练。</w:t>
      </w:r>
    </w:p>
    <w:p w14:paraId="2A8A8499">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(4)按照法律法规及合同文件约定督促承包人落实安全生产责任，对承包人的安全生产工作统一协调、管理，定期进行安全检查，发现安全问题的，应当及时督促整改。</w:t>
      </w:r>
    </w:p>
    <w:p w14:paraId="49FF9D10">
      <w:pPr>
        <w:spacing w:line="400" w:lineRule="exact"/>
        <w:ind w:firstLine="84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2.承包人职责</w:t>
      </w:r>
    </w:p>
    <w:p w14:paraId="47C475AB">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(1)严格执行安全生产有关法律法规、规章及标准规范，落实合同、《广东省高速公路工程施工安全标准化指南》《公路工程施工安全防护设施技术指南》以及其他有关安全生产方面的规定和要求。</w:t>
      </w:r>
    </w:p>
    <w:p w14:paraId="546C2BA3">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(2)应具备相应的安全生产条件及安全生产资质，对施工现场的安全生产负主体责任，主要负责人依法对项目安全生产工作全面负责。</w:t>
      </w:r>
    </w:p>
    <w:p w14:paraId="7B48A4E1">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(3)坚持国家安全生产方针、政策及原则，建立健全并落实项目安全生产管理制度、责任、组织机构等管理体系，配足符合资质条件的专职安全生产管理人员。</w:t>
      </w:r>
    </w:p>
    <w:p w14:paraId="3D0E85B2">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(4)应保证本项目合同段所应具备的安全生产条件必需的资金投入，依法参加各类安全保险，保障从业人员安全生产方面的权利。</w:t>
      </w:r>
    </w:p>
    <w:p w14:paraId="02B67F02">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应切实加强作业工人安全培训教育和安全技术交底。运用《公路施工安全视频教程》及配套口袋书、配套测试题集，建立工人学校或安全教育体验馆，开展岗前安全教育培训和经常性安全再教育，提高全员安全意识和安全技能。认真细致做好工人作业前安全技术交底，落实基层班组班前会制度，确保作业工人熟知作业的安全要求和班前危险预知内容。</w:t>
      </w:r>
    </w:p>
    <w:p w14:paraId="521F24E1">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(6)按规定编制危险性较大工程专项施工方案，按程序逐级审批，必要时应组织专家论证。</w:t>
      </w:r>
    </w:p>
    <w:p w14:paraId="5E7F96FC">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(7)各类施工设备设施及用品、用具等应具备相关资质证书，定期检查维护，按规定及时报废；特种设备及支撑体系设施设备投入使用前应按规定组织验收。</w:t>
      </w:r>
    </w:p>
    <w:p w14:paraId="156CB0F6">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(8)两区三厂、临建设施等选址及相关防护设施的设置应符合安全要求。</w:t>
      </w:r>
    </w:p>
    <w:p w14:paraId="7FF07B45">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(9)建立施工现场及驻地消防安全责任制度，确定消防安全责任人，落实消防安全管理和消防安全检查，及时消除火灾事故隐患。</w:t>
      </w:r>
    </w:p>
    <w:p w14:paraId="05BBC7D1">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(10)按规定建立并落实安全风险分级管控及事故隐患排查治理双重预防工作机制，并按要求开展各类安全生产检查，重大事故隐患及时上报和专项治理。</w:t>
      </w:r>
    </w:p>
    <w:p w14:paraId="00B11AB8">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(11)建立健全本项目合同段生产安全事故应急预案体系，并定期组织演练。</w:t>
      </w:r>
    </w:p>
    <w:p w14:paraId="09FE5891">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(12)及时、如实报告生产安全事故。发生事故时，应立即组织抢救，并积极配合事故调查处理。</w:t>
      </w:r>
    </w:p>
    <w:p w14:paraId="5D00908D">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(13)安全生产法律法规、政策等规定的其他职责。</w:t>
      </w:r>
    </w:p>
    <w:p w14:paraId="2061AC51">
      <w:pPr>
        <w:spacing w:line="400" w:lineRule="exact"/>
        <w:ind w:firstLine="84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3.违约责任</w:t>
      </w:r>
    </w:p>
    <w:p w14:paraId="66A71888">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如因发包人或承包人违约造成安全事故，将依法追究责任。</w:t>
      </w:r>
    </w:p>
    <w:p w14:paraId="5B8F6BB5">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4.本合同由双方法定代表人或其授权的代理人签署并加盖单位章后生效，全部工程竣工验收后失效。 .</w:t>
      </w:r>
    </w:p>
    <w:p w14:paraId="4D2E3C37">
      <w:pPr>
        <w:spacing w:line="400" w:lineRule="exact"/>
        <w:ind w:firstLine="8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5.本合同正本二份、副本</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份，合同双方各执正本一份，副本</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份，当正本与副本的内容不一致时，以正本为准。</w:t>
      </w:r>
    </w:p>
    <w:p w14:paraId="09D113FF">
      <w:pPr>
        <w:pStyle w:val="79"/>
        <w:spacing w:line="360" w:lineRule="auto"/>
        <w:outlineLvl w:val="9"/>
        <w:rPr>
          <w:rFonts w:ascii="宋体" w:hAnsi="宋体"/>
          <w:color w:val="000000" w:themeColor="text1"/>
          <w:sz w:val="24"/>
          <w:szCs w:val="24"/>
          <w:highlight w:val="none"/>
          <w14:textFill>
            <w14:solidFill>
              <w14:schemeClr w14:val="tx1"/>
            </w14:solidFill>
          </w14:textFill>
        </w:rPr>
      </w:pPr>
    </w:p>
    <w:p w14:paraId="2BA91EA1">
      <w:pPr>
        <w:pStyle w:val="79"/>
        <w:spacing w:line="360" w:lineRule="auto"/>
        <w:outlineLvl w:val="9"/>
        <w:rPr>
          <w:rFonts w:ascii="宋体" w:hAnsi="宋体"/>
          <w:color w:val="000000" w:themeColor="text1"/>
          <w:sz w:val="24"/>
          <w:szCs w:val="24"/>
          <w:highlight w:val="none"/>
          <w14:textFill>
            <w14:solidFill>
              <w14:schemeClr w14:val="tx1"/>
            </w14:solidFill>
          </w14:textFill>
        </w:rPr>
      </w:pPr>
    </w:p>
    <w:p w14:paraId="5725C072">
      <w:pPr>
        <w:pStyle w:val="79"/>
        <w:spacing w:line="360" w:lineRule="auto"/>
        <w:outlineLvl w:val="9"/>
        <w:rPr>
          <w:rFonts w:ascii="宋体" w:hAnsi="宋体"/>
          <w:color w:val="000000" w:themeColor="text1"/>
          <w:sz w:val="24"/>
          <w:szCs w:val="24"/>
          <w:highlight w:val="none"/>
          <w14:textFill>
            <w14:solidFill>
              <w14:schemeClr w14:val="tx1"/>
            </w14:solidFill>
          </w14:textFill>
        </w:rPr>
      </w:pPr>
    </w:p>
    <w:p w14:paraId="34162FBE">
      <w:pPr>
        <w:pStyle w:val="79"/>
        <w:spacing w:line="360" w:lineRule="auto"/>
        <w:rPr>
          <w:rFonts w:ascii="宋体" w:hAnsi="宋体"/>
          <w:b w:val="0"/>
          <w:bCs w:val="0"/>
          <w:color w:val="000000" w:themeColor="text1"/>
          <w:sz w:val="24"/>
          <w:szCs w:val="24"/>
          <w:highlight w:val="none"/>
          <w14:textFill>
            <w14:solidFill>
              <w14:schemeClr w14:val="tx1"/>
            </w14:solidFill>
          </w14:textFill>
        </w:rPr>
      </w:pPr>
      <w:bookmarkStart w:id="1698" w:name="_Toc15831"/>
      <w:r>
        <w:rPr>
          <w:rFonts w:hint="eastAsia" w:ascii="宋体" w:hAnsi="宋体"/>
          <w:b w:val="0"/>
          <w:bCs w:val="0"/>
          <w:color w:val="000000" w:themeColor="text1"/>
          <w:sz w:val="24"/>
          <w:szCs w:val="24"/>
          <w:highlight w:val="none"/>
          <w14:textFill>
            <w14:solidFill>
              <w14:schemeClr w14:val="tx1"/>
            </w14:solidFill>
          </w14:textFill>
        </w:rPr>
        <w:t>发包人： (盖单位章)                         承包人： (盖单位章)</w:t>
      </w:r>
      <w:bookmarkEnd w:id="1698"/>
    </w:p>
    <w:p w14:paraId="1633EFBD">
      <w:pPr>
        <w:pStyle w:val="79"/>
        <w:spacing w:line="360" w:lineRule="auto"/>
        <w:rPr>
          <w:rFonts w:ascii="宋体" w:hAnsi="宋体"/>
          <w:b w:val="0"/>
          <w:bCs w:val="0"/>
          <w:color w:val="000000" w:themeColor="text1"/>
          <w:sz w:val="24"/>
          <w:szCs w:val="24"/>
          <w:highlight w:val="none"/>
          <w14:textFill>
            <w14:solidFill>
              <w14:schemeClr w14:val="tx1"/>
            </w14:solidFill>
          </w14:textFill>
        </w:rPr>
      </w:pPr>
      <w:bookmarkStart w:id="1699" w:name="_Toc5186"/>
      <w:r>
        <w:rPr>
          <w:rFonts w:hint="eastAsia" w:ascii="宋体" w:hAnsi="宋体"/>
          <w:b w:val="0"/>
          <w:bCs w:val="0"/>
          <w:color w:val="000000" w:themeColor="text1"/>
          <w:sz w:val="24"/>
          <w:szCs w:val="24"/>
          <w:highlight w:val="none"/>
          <w14:textFill>
            <w14:solidFill>
              <w14:schemeClr w14:val="tx1"/>
            </w14:solidFill>
          </w14:textFill>
        </w:rPr>
        <w:t>法定代表人或其委托代理人： (签字)           法定代表人或其委托代理人： (签字)</w:t>
      </w:r>
      <w:bookmarkEnd w:id="1699"/>
    </w:p>
    <w:p w14:paraId="4C92C9D5">
      <w:pPr>
        <w:pStyle w:val="79"/>
        <w:spacing w:line="360" w:lineRule="auto"/>
        <w:ind w:firstLine="720" w:firstLineChars="300"/>
        <w:rPr>
          <w:rFonts w:ascii="宋体" w:hAnsi="宋体"/>
          <w:color w:val="000000" w:themeColor="text1"/>
          <w:sz w:val="24"/>
          <w:szCs w:val="24"/>
          <w:highlight w:val="none"/>
          <w14:textFill>
            <w14:solidFill>
              <w14:schemeClr w14:val="tx1"/>
            </w14:solidFill>
          </w14:textFill>
        </w:rPr>
      </w:pPr>
      <w:bookmarkStart w:id="1700" w:name="_Toc17112"/>
      <w:bookmarkEnd w:id="1700"/>
      <w:bookmarkStart w:id="1701" w:name="_Toc4266"/>
      <w:r>
        <w:rPr>
          <w:rFonts w:hint="eastAsia" w:ascii="宋体" w:hAnsi="宋体"/>
          <w:b w:val="0"/>
          <w:bCs w:val="0"/>
          <w:color w:val="000000" w:themeColor="text1"/>
          <w:sz w:val="24"/>
          <w:szCs w:val="24"/>
          <w:highlight w:val="none"/>
          <w14:textFill>
            <w14:solidFill>
              <w14:schemeClr w14:val="tx1"/>
            </w14:solidFill>
          </w14:textFill>
        </w:rPr>
        <w:t>年    月    日                               年    月    日</w:t>
      </w:r>
      <w:r>
        <w:rPr>
          <w:rFonts w:hint="eastAsia" w:ascii="宋体" w:hAnsi="宋体"/>
          <w:b w:val="0"/>
          <w:bCs w:val="0"/>
          <w:color w:val="000000" w:themeColor="text1"/>
          <w:sz w:val="24"/>
          <w:szCs w:val="24"/>
          <w:highlight w:val="none"/>
          <w14:textFill>
            <w14:solidFill>
              <w14:schemeClr w14:val="tx1"/>
            </w14:solidFill>
          </w14:textFill>
        </w:rPr>
        <w:br w:type="page"/>
      </w:r>
      <w:r>
        <w:rPr>
          <w:rFonts w:hint="eastAsia" w:ascii="宋体" w:hAnsi="宋体"/>
          <w:color w:val="000000" w:themeColor="text1"/>
          <w:sz w:val="24"/>
          <w:szCs w:val="24"/>
          <w:highlight w:val="none"/>
          <w14:textFill>
            <w14:solidFill>
              <w14:schemeClr w14:val="tx1"/>
            </w14:solidFill>
          </w14:textFill>
        </w:rPr>
        <w:t>附件四   其他管理人员和技术人员最低要求</w:t>
      </w:r>
      <w:bookmarkEnd w:id="1701"/>
    </w:p>
    <w:p w14:paraId="4F14E55E">
      <w:pPr>
        <w:rPr>
          <w:color w:val="000000" w:themeColor="text1"/>
          <w:highlight w:val="none"/>
          <w14:textFill>
            <w14:solidFill>
              <w14:schemeClr w14:val="tx1"/>
            </w14:solidFill>
          </w14:textFill>
        </w:rPr>
      </w:pPr>
    </w:p>
    <w:tbl>
      <w:tblPr>
        <w:tblStyle w:val="43"/>
        <w:tblW w:w="93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5"/>
        <w:gridCol w:w="1143"/>
        <w:gridCol w:w="6488"/>
      </w:tblGrid>
      <w:tr w14:paraId="630F4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735" w:type="dxa"/>
            <w:tcBorders>
              <w:top w:val="single" w:color="auto" w:sz="12" w:space="0"/>
            </w:tcBorders>
            <w:vAlign w:val="center"/>
          </w:tcPr>
          <w:p w14:paraId="280C0B7F">
            <w:pPr>
              <w:keepNext w:val="0"/>
              <w:keepLines w:val="0"/>
              <w:suppressLineNumbers w:val="0"/>
              <w:spacing w:before="0" w:beforeAutospacing="0" w:after="0" w:afterAutospacing="0" w:line="276" w:lineRule="auto"/>
              <w:ind w:left="0" w:right="0"/>
              <w:jc w:val="center"/>
              <w:rPr>
                <w:rFonts w:hint="default" w:ascii="宋体" w:hAnsi="宋体"/>
                <w:color w:val="000000" w:themeColor="text1"/>
                <w:sz w:val="24"/>
                <w:highlight w:val="none"/>
                <w14:textFill>
                  <w14:solidFill>
                    <w14:schemeClr w14:val="tx1"/>
                  </w14:solidFill>
                </w14:textFill>
              </w:rPr>
            </w:pPr>
            <w:bookmarkStart w:id="1702" w:name="_Toc505844507"/>
            <w:r>
              <w:rPr>
                <w:rFonts w:hint="eastAsia" w:ascii="宋体" w:hAnsi="宋体"/>
                <w:color w:val="000000" w:themeColor="text1"/>
                <w:sz w:val="24"/>
                <w:highlight w:val="none"/>
                <w14:textFill>
                  <w14:solidFill>
                    <w14:schemeClr w14:val="tx1"/>
                  </w14:solidFill>
                </w14:textFill>
              </w:rPr>
              <w:t>人  员</w:t>
            </w:r>
          </w:p>
        </w:tc>
        <w:tc>
          <w:tcPr>
            <w:tcW w:w="1143" w:type="dxa"/>
            <w:tcBorders>
              <w:top w:val="single" w:color="auto" w:sz="12" w:space="0"/>
            </w:tcBorders>
            <w:vAlign w:val="center"/>
          </w:tcPr>
          <w:p w14:paraId="47D7CFE8">
            <w:pPr>
              <w:keepNext w:val="0"/>
              <w:keepLines w:val="0"/>
              <w:suppressLineNumbers w:val="0"/>
              <w:spacing w:before="0" w:beforeAutospacing="0" w:after="0" w:afterAutospacing="0" w:line="276"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数  量</w:t>
            </w:r>
          </w:p>
        </w:tc>
        <w:tc>
          <w:tcPr>
            <w:tcW w:w="6488" w:type="dxa"/>
            <w:tcBorders>
              <w:top w:val="single" w:color="auto" w:sz="12" w:space="0"/>
            </w:tcBorders>
            <w:vAlign w:val="center"/>
          </w:tcPr>
          <w:p w14:paraId="3E37B321">
            <w:pPr>
              <w:keepNext w:val="0"/>
              <w:keepLines w:val="0"/>
              <w:suppressLineNumbers w:val="0"/>
              <w:spacing w:before="0" w:beforeAutospacing="0" w:after="0" w:afterAutospacing="0" w:line="276" w:lineRule="auto"/>
              <w:ind w:left="0" w:right="0"/>
              <w:jc w:val="center"/>
              <w:rPr>
                <w:rFonts w:hint="default"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资格要求</w:t>
            </w:r>
          </w:p>
        </w:tc>
      </w:tr>
      <w:tr w14:paraId="4475D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4FBE3ACA">
            <w:pPr>
              <w:pStyle w:val="53"/>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143" w:type="dxa"/>
            <w:vAlign w:val="center"/>
          </w:tcPr>
          <w:p w14:paraId="1BBF6463">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3A91CD64">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55A69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58AE50B7">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0E6D9F87">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7267EF5D">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51012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3CEB8F23">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7247BCFD">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4D8D6537">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4C815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7B4B4329">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1FA5E80B">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6F2B9C43">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4F41C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6CC96A14">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1D552B14">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103B6150">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4BB06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3841FA5D">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493E5B42">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2F1A5A89">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57C21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5705D8CB">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62A0EE40">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11A8A7CE">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47EFD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20C9CB3F">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4F83D17F">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45F6B650">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3775FF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6A553E6D">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05B2ABA2">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4CC582E8">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2CB76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3CA6ED3B">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6D729C48">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44EA31A8">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65FE1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75F7F3AB">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79AC7E5E">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6CE2731D">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538175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vAlign w:val="center"/>
          </w:tcPr>
          <w:p w14:paraId="279AF870">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vAlign w:val="center"/>
          </w:tcPr>
          <w:p w14:paraId="4D936D9A">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vAlign w:val="center"/>
          </w:tcPr>
          <w:p w14:paraId="0370CA14">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r w14:paraId="7A6C9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735" w:type="dxa"/>
            <w:tcBorders>
              <w:bottom w:val="single" w:color="auto" w:sz="12" w:space="0"/>
            </w:tcBorders>
            <w:vAlign w:val="center"/>
          </w:tcPr>
          <w:p w14:paraId="72701758">
            <w:pPr>
              <w:keepNext w:val="0"/>
              <w:keepLines w:val="0"/>
              <w:suppressLineNumbers w:val="0"/>
              <w:spacing w:before="0" w:beforeAutospacing="0" w:after="0" w:afterAutospacing="0" w:line="276" w:lineRule="auto"/>
              <w:ind w:left="0" w:right="0"/>
              <w:rPr>
                <w:rFonts w:hint="default" w:ascii="宋体" w:hAnsi="宋体"/>
                <w:color w:val="000000" w:themeColor="text1"/>
                <w:sz w:val="24"/>
                <w:highlight w:val="none"/>
                <w14:textFill>
                  <w14:solidFill>
                    <w14:schemeClr w14:val="tx1"/>
                  </w14:solidFill>
                </w14:textFill>
              </w:rPr>
            </w:pPr>
          </w:p>
        </w:tc>
        <w:tc>
          <w:tcPr>
            <w:tcW w:w="1143" w:type="dxa"/>
            <w:tcBorders>
              <w:bottom w:val="single" w:color="auto" w:sz="12" w:space="0"/>
            </w:tcBorders>
            <w:vAlign w:val="center"/>
          </w:tcPr>
          <w:p w14:paraId="29D3CC1E">
            <w:pPr>
              <w:keepNext w:val="0"/>
              <w:keepLines w:val="0"/>
              <w:suppressLineNumbers w:val="0"/>
              <w:spacing w:before="0" w:beforeAutospacing="0" w:after="0" w:afterAutospacing="0" w:line="276" w:lineRule="auto"/>
              <w:ind w:left="0" w:right="0" w:firstLine="480" w:firstLineChars="200"/>
              <w:rPr>
                <w:rFonts w:hint="default" w:ascii="宋体" w:hAnsi="宋体"/>
                <w:color w:val="000000" w:themeColor="text1"/>
                <w:sz w:val="24"/>
                <w:highlight w:val="none"/>
                <w14:textFill>
                  <w14:solidFill>
                    <w14:schemeClr w14:val="tx1"/>
                  </w14:solidFill>
                </w14:textFill>
              </w:rPr>
            </w:pPr>
          </w:p>
        </w:tc>
        <w:tc>
          <w:tcPr>
            <w:tcW w:w="6488" w:type="dxa"/>
            <w:tcBorders>
              <w:bottom w:val="single" w:color="auto" w:sz="12" w:space="0"/>
            </w:tcBorders>
            <w:vAlign w:val="center"/>
          </w:tcPr>
          <w:p w14:paraId="51C2D036">
            <w:pPr>
              <w:keepNext w:val="0"/>
              <w:keepLines w:val="0"/>
              <w:suppressLineNumbers w:val="0"/>
              <w:spacing w:before="0" w:beforeAutospacing="0" w:after="0" w:afterAutospacing="0" w:line="276" w:lineRule="auto"/>
              <w:ind w:left="0" w:right="0" w:firstLine="480" w:firstLineChars="200"/>
              <w:jc w:val="left"/>
              <w:rPr>
                <w:rFonts w:hint="default" w:ascii="宋体" w:hAnsi="宋体"/>
                <w:color w:val="000000" w:themeColor="text1"/>
                <w:sz w:val="24"/>
                <w:highlight w:val="none"/>
                <w14:textFill>
                  <w14:solidFill>
                    <w14:schemeClr w14:val="tx1"/>
                  </w14:solidFill>
                </w14:textFill>
              </w:rPr>
            </w:pPr>
          </w:p>
        </w:tc>
      </w:tr>
    </w:tbl>
    <w:p w14:paraId="2A83090B">
      <w:pPr>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注：本表所要求人员须按招标文件投标函的格式承诺，中标人在进场前向招标人提交实际投入的人员。</w:t>
      </w:r>
    </w:p>
    <w:p w14:paraId="3E5E1314">
      <w:pPr>
        <w:pStyle w:val="79"/>
        <w:spacing w:line="360" w:lineRule="auto"/>
        <w:outlineLvl w:val="9"/>
        <w:rPr>
          <w:rFonts w:ascii="宋体" w:hAnsi="宋体"/>
          <w:color w:val="000000" w:themeColor="text1"/>
          <w:sz w:val="24"/>
          <w:szCs w:val="24"/>
          <w:highlight w:val="none"/>
          <w14:textFill>
            <w14:solidFill>
              <w14:schemeClr w14:val="tx1"/>
            </w14:solidFill>
          </w14:textFill>
        </w:rPr>
      </w:pPr>
    </w:p>
    <w:p w14:paraId="64A953CE">
      <w:pPr>
        <w:rPr>
          <w:color w:val="000000" w:themeColor="text1"/>
          <w:highlight w:val="none"/>
          <w14:textFill>
            <w14:solidFill>
              <w14:schemeClr w14:val="tx1"/>
            </w14:solidFill>
          </w14:textFill>
        </w:rPr>
      </w:pPr>
    </w:p>
    <w:bookmarkEnd w:id="1702"/>
    <w:p w14:paraId="262E652B">
      <w:pPr>
        <w:pStyle w:val="79"/>
        <w:spacing w:line="360" w:lineRule="auto"/>
        <w:rPr>
          <w:rFonts w:ascii="宋体" w:hAnsi="宋体"/>
          <w:color w:val="000000" w:themeColor="text1"/>
          <w:sz w:val="24"/>
          <w:szCs w:val="24"/>
          <w:highlight w:val="none"/>
          <w14:textFill>
            <w14:solidFill>
              <w14:schemeClr w14:val="tx1"/>
            </w14:solidFill>
          </w14:textFill>
        </w:rPr>
      </w:pPr>
      <w:bookmarkStart w:id="1703" w:name="_Toc43476011"/>
      <w:bookmarkEnd w:id="1703"/>
      <w:bookmarkStart w:id="1704" w:name="_Toc26675"/>
      <w:bookmarkEnd w:id="1704"/>
      <w:r>
        <w:rPr>
          <w:rFonts w:hint="eastAsia" w:ascii="宋体" w:hAnsi="宋体"/>
          <w:color w:val="000000" w:themeColor="text1"/>
          <w:sz w:val="24"/>
          <w:szCs w:val="24"/>
          <w:highlight w:val="none"/>
          <w14:textFill>
            <w14:solidFill>
              <w14:schemeClr w14:val="tx1"/>
            </w14:solidFill>
          </w14:textFill>
        </w:rPr>
        <w:br w:type="page"/>
      </w:r>
      <w:bookmarkStart w:id="1705" w:name="_Toc10150"/>
      <w:r>
        <w:rPr>
          <w:rFonts w:hint="eastAsia" w:ascii="宋体" w:hAnsi="宋体"/>
          <w:color w:val="000000" w:themeColor="text1"/>
          <w:sz w:val="24"/>
          <w:szCs w:val="24"/>
          <w:highlight w:val="none"/>
          <w14:textFill>
            <w14:solidFill>
              <w14:schemeClr w14:val="tx1"/>
            </w14:solidFill>
          </w14:textFill>
        </w:rPr>
        <w:t>附件五   主要设备最低要求</w:t>
      </w:r>
      <w:bookmarkEnd w:id="1705"/>
    </w:p>
    <w:tbl>
      <w:tblPr>
        <w:tblStyle w:val="43"/>
        <w:tblpPr w:leftFromText="180" w:rightFromText="180" w:vertAnchor="text" w:horzAnchor="page" w:tblpXSpec="center" w:tblpY="109"/>
        <w:tblOverlap w:val="never"/>
        <w:tblW w:w="8765" w:type="dxa"/>
        <w:jc w:val="center"/>
        <w:tblLayout w:type="fixed"/>
        <w:tblCellMar>
          <w:top w:w="0" w:type="dxa"/>
          <w:left w:w="0" w:type="dxa"/>
          <w:bottom w:w="0" w:type="dxa"/>
          <w:right w:w="0" w:type="dxa"/>
        </w:tblCellMar>
      </w:tblPr>
      <w:tblGrid>
        <w:gridCol w:w="772"/>
        <w:gridCol w:w="2736"/>
        <w:gridCol w:w="2972"/>
        <w:gridCol w:w="842"/>
        <w:gridCol w:w="1443"/>
      </w:tblGrid>
      <w:tr w14:paraId="58654E29">
        <w:tblPrEx>
          <w:tblCellMar>
            <w:top w:w="0" w:type="dxa"/>
            <w:left w:w="0" w:type="dxa"/>
            <w:bottom w:w="0" w:type="dxa"/>
            <w:right w:w="0" w:type="dxa"/>
          </w:tblCellMar>
        </w:tblPrEx>
        <w:trPr>
          <w:trHeight w:val="565" w:hRule="exact"/>
          <w:jc w:val="center"/>
        </w:trPr>
        <w:tc>
          <w:tcPr>
            <w:tcW w:w="772" w:type="dxa"/>
            <w:tcBorders>
              <w:top w:val="single" w:color="000000" w:sz="12" w:space="0"/>
              <w:left w:val="single" w:color="000000" w:sz="12" w:space="0"/>
              <w:bottom w:val="single" w:color="000000" w:sz="8" w:space="0"/>
              <w:right w:val="single" w:color="000000" w:sz="8" w:space="0"/>
            </w:tcBorders>
            <w:vAlign w:val="center"/>
          </w:tcPr>
          <w:p w14:paraId="6C50052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2736" w:type="dxa"/>
            <w:tcBorders>
              <w:top w:val="single" w:color="000000" w:sz="12" w:space="0"/>
              <w:left w:val="single" w:color="000000" w:sz="8" w:space="0"/>
              <w:bottom w:val="single" w:color="000000" w:sz="8" w:space="0"/>
              <w:right w:val="single" w:color="000000" w:sz="8" w:space="0"/>
            </w:tcBorders>
            <w:vAlign w:val="center"/>
          </w:tcPr>
          <w:p w14:paraId="37E615E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设备名称</w:t>
            </w:r>
          </w:p>
        </w:tc>
        <w:tc>
          <w:tcPr>
            <w:tcW w:w="2972" w:type="dxa"/>
            <w:tcBorders>
              <w:top w:val="single" w:color="000000" w:sz="12" w:space="0"/>
              <w:left w:val="single" w:color="000000" w:sz="8" w:space="0"/>
              <w:bottom w:val="single" w:color="000000" w:sz="8" w:space="0"/>
              <w:right w:val="single" w:color="000000" w:sz="8" w:space="0"/>
            </w:tcBorders>
            <w:vAlign w:val="center"/>
          </w:tcPr>
          <w:p w14:paraId="4C917C1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规格、功率及容量</w:t>
            </w:r>
          </w:p>
        </w:tc>
        <w:tc>
          <w:tcPr>
            <w:tcW w:w="842" w:type="dxa"/>
            <w:tcBorders>
              <w:top w:val="single" w:color="000000" w:sz="12" w:space="0"/>
              <w:left w:val="single" w:color="000000" w:sz="8" w:space="0"/>
              <w:bottom w:val="single" w:color="000000" w:sz="8" w:space="0"/>
              <w:right w:val="single" w:color="000000" w:sz="8" w:space="0"/>
            </w:tcBorders>
            <w:vAlign w:val="center"/>
          </w:tcPr>
          <w:p w14:paraId="30671B0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1443" w:type="dxa"/>
            <w:tcBorders>
              <w:top w:val="single" w:color="000000" w:sz="12" w:space="0"/>
              <w:left w:val="single" w:color="000000" w:sz="8" w:space="0"/>
              <w:bottom w:val="single" w:color="000000" w:sz="8" w:space="0"/>
              <w:right w:val="single" w:color="000000" w:sz="12" w:space="0"/>
            </w:tcBorders>
            <w:vAlign w:val="center"/>
          </w:tcPr>
          <w:p w14:paraId="4C99728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最低数量</w:t>
            </w:r>
          </w:p>
        </w:tc>
      </w:tr>
      <w:tr w14:paraId="63436BFA">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277E8321">
            <w:pPr>
              <w:keepNext w:val="0"/>
              <w:keepLines w:val="0"/>
              <w:suppressLineNumbers w:val="0"/>
              <w:tabs>
                <w:tab w:val="left" w:pos="425"/>
              </w:tabs>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C1A7B4">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0EB670">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D976B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75CBCE5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1A472894">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FA5A608">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6A2872">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62CF5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37D31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58A5E60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440ABD4C">
        <w:tblPrEx>
          <w:tblCellMar>
            <w:top w:w="0" w:type="dxa"/>
            <w:left w:w="0" w:type="dxa"/>
            <w:bottom w:w="0" w:type="dxa"/>
            <w:right w:w="0" w:type="dxa"/>
          </w:tblCellMar>
        </w:tblPrEx>
        <w:trPr>
          <w:trHeight w:val="486"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489FCD0">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454073">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302E1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73917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1422998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2F5F8536">
        <w:tblPrEx>
          <w:tblCellMar>
            <w:top w:w="0" w:type="dxa"/>
            <w:left w:w="0" w:type="dxa"/>
            <w:bottom w:w="0" w:type="dxa"/>
            <w:right w:w="0" w:type="dxa"/>
          </w:tblCellMar>
        </w:tblPrEx>
        <w:trPr>
          <w:trHeight w:val="486"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475AE52D">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AACFCE">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297C9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4D66E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16DC022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51BE33BC">
        <w:tblPrEx>
          <w:tblCellMar>
            <w:top w:w="0" w:type="dxa"/>
            <w:left w:w="0" w:type="dxa"/>
            <w:bottom w:w="0" w:type="dxa"/>
            <w:right w:w="0" w:type="dxa"/>
          </w:tblCellMar>
        </w:tblPrEx>
        <w:trPr>
          <w:trHeight w:val="486"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0EBB7B08">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3F7D85">
            <w:pPr>
              <w:keepNext w:val="0"/>
              <w:keepLines w:val="0"/>
              <w:suppressLineNumbers w:val="0"/>
              <w:spacing w:before="0" w:beforeAutospacing="0" w:after="0" w:afterAutospacing="0" w:line="360" w:lineRule="auto"/>
              <w:ind w:left="0" w:right="0" w:firstLine="240" w:firstLineChars="100"/>
              <w:jc w:val="left"/>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B3455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C4917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3156497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73808673">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63BA98B">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6146D2">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8FD48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ACB89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2662632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38DF6555">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5F70390">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A19DCC">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8DCF0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8DC54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7A77032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59635757">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704F336">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A9374E">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EB91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0063E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424FA58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5435108E">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98793F0">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3A760C">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4A7FA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1E804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1121D3A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3E3F7036">
        <w:tblPrEx>
          <w:tblCellMar>
            <w:top w:w="0" w:type="dxa"/>
            <w:left w:w="0" w:type="dxa"/>
            <w:bottom w:w="0" w:type="dxa"/>
            <w:right w:w="0" w:type="dxa"/>
          </w:tblCellMar>
        </w:tblPrEx>
        <w:trPr>
          <w:trHeight w:val="550"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68E2D4DF">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7D7589">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D734F0">
            <w:pPr>
              <w:keepNext w:val="0"/>
              <w:keepLines w:val="0"/>
              <w:suppressLineNumbers w:val="0"/>
              <w:adjustRightInd w:val="0"/>
              <w:snapToGrid w:val="0"/>
              <w:spacing w:before="0" w:beforeAutospacing="0" w:after="0" w:afterAutospacing="0"/>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31B191">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084DD26E">
            <w:pPr>
              <w:keepNext w:val="0"/>
              <w:keepLines w:val="0"/>
              <w:suppressLineNumbers w:val="0"/>
              <w:adjustRightInd w:val="0"/>
              <w:snapToGrid w:val="0"/>
              <w:spacing w:before="0" w:beforeAutospacing="0" w:after="0" w:afterAutospacing="0"/>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r>
      <w:tr w14:paraId="7B408B46">
        <w:tblPrEx>
          <w:tblCellMar>
            <w:top w:w="0" w:type="dxa"/>
            <w:left w:w="0" w:type="dxa"/>
            <w:bottom w:w="0" w:type="dxa"/>
            <w:right w:w="0" w:type="dxa"/>
          </w:tblCellMar>
        </w:tblPrEx>
        <w:trPr>
          <w:trHeight w:val="525" w:hRule="atLeas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1EB2296">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03219A">
            <w:pPr>
              <w:keepNext w:val="0"/>
              <w:keepLines w:val="0"/>
              <w:suppressLineNumbers w:val="0"/>
              <w:spacing w:before="0" w:beforeAutospacing="0" w:after="0" w:afterAutospacing="0" w:line="360" w:lineRule="auto"/>
              <w:ind w:left="0" w:right="0" w:firstLine="240" w:firstLineChars="100"/>
              <w:rPr>
                <w:rFonts w:hint="default" w:ascii="宋体" w:hAnsi="宋体" w:cs="宋体" w:eastAsiaTheme="minorEastAsia"/>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C6622C">
            <w:pPr>
              <w:keepNext w:val="0"/>
              <w:keepLines w:val="0"/>
              <w:suppressLineNumbers w:val="0"/>
              <w:adjustRightInd w:val="0"/>
              <w:snapToGrid w:val="0"/>
              <w:spacing w:before="0" w:beforeAutospacing="0" w:after="0" w:afterAutospacing="0"/>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D69490">
            <w:pPr>
              <w:keepNext w:val="0"/>
              <w:keepLines w:val="0"/>
              <w:suppressLineNumbers w:val="0"/>
              <w:adjustRightInd w:val="0"/>
              <w:snapToGrid w:val="0"/>
              <w:spacing w:before="0" w:beforeAutospacing="0" w:after="0" w:afterAutospacing="0"/>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2884B767">
            <w:pPr>
              <w:keepNext w:val="0"/>
              <w:keepLines w:val="0"/>
              <w:suppressLineNumbers w:val="0"/>
              <w:adjustRightInd w:val="0"/>
              <w:snapToGrid w:val="0"/>
              <w:spacing w:before="0" w:beforeAutospacing="0" w:after="0" w:afterAutospacing="0"/>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r>
      <w:tr w14:paraId="336F1BBD">
        <w:tblPrEx>
          <w:tblCellMar>
            <w:top w:w="0" w:type="dxa"/>
            <w:left w:w="0" w:type="dxa"/>
            <w:bottom w:w="0" w:type="dxa"/>
            <w:right w:w="0" w:type="dxa"/>
          </w:tblCellMar>
        </w:tblPrEx>
        <w:trPr>
          <w:trHeight w:val="568" w:hRule="atLeas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71D31A9D">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2C0A11">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3B33B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95A59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57F9F21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2CEEBF04">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shd w:val="clear" w:color="auto" w:fill="auto"/>
            <w:vAlign w:val="center"/>
          </w:tcPr>
          <w:p w14:paraId="3F46F248">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D31BB8">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C1D8C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3E2A5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6C4B6EF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r>
      <w:tr w14:paraId="36FE078D">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vAlign w:val="center"/>
          </w:tcPr>
          <w:p w14:paraId="1EBA58E5">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vAlign w:val="center"/>
          </w:tcPr>
          <w:p w14:paraId="213CD535">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vAlign w:val="center"/>
          </w:tcPr>
          <w:p w14:paraId="480F251F">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vAlign w:val="center"/>
          </w:tcPr>
          <w:p w14:paraId="61E70CA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vAlign w:val="center"/>
          </w:tcPr>
          <w:p w14:paraId="53120475">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r>
      <w:tr w14:paraId="4AA939E7">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vAlign w:val="center"/>
          </w:tcPr>
          <w:p w14:paraId="11D19C6D">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vAlign w:val="center"/>
          </w:tcPr>
          <w:p w14:paraId="154830C4">
            <w:pPr>
              <w:keepNext w:val="0"/>
              <w:keepLines w:val="0"/>
              <w:suppressLineNumbers w:val="0"/>
              <w:spacing w:before="0" w:beforeAutospacing="0" w:after="0" w:afterAutospacing="0" w:line="360" w:lineRule="auto"/>
              <w:ind w:left="0" w:right="0" w:firstLine="240" w:firstLineChars="100"/>
              <w:rPr>
                <w:rFonts w:hint="default" w:ascii="宋体" w:hAnsi="宋体" w:cs="宋体"/>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vAlign w:val="center"/>
          </w:tcPr>
          <w:p w14:paraId="116385BC">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vAlign w:val="center"/>
          </w:tcPr>
          <w:p w14:paraId="10899B5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vAlign w:val="center"/>
          </w:tcPr>
          <w:p w14:paraId="13D7ADE5">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r>
      <w:tr w14:paraId="4EE071C6">
        <w:tblPrEx>
          <w:tblCellMar>
            <w:top w:w="0" w:type="dxa"/>
            <w:left w:w="0" w:type="dxa"/>
            <w:bottom w:w="0" w:type="dxa"/>
            <w:right w:w="0" w:type="dxa"/>
          </w:tblCellMar>
        </w:tblPrEx>
        <w:trPr>
          <w:trHeight w:val="565" w:hRule="exact"/>
          <w:jc w:val="center"/>
        </w:trPr>
        <w:tc>
          <w:tcPr>
            <w:tcW w:w="772" w:type="dxa"/>
            <w:tcBorders>
              <w:top w:val="single" w:color="000000" w:sz="8" w:space="0"/>
              <w:left w:val="single" w:color="000000" w:sz="12" w:space="0"/>
              <w:bottom w:val="single" w:color="000000" w:sz="8" w:space="0"/>
              <w:right w:val="single" w:color="000000" w:sz="8" w:space="0"/>
            </w:tcBorders>
            <w:vAlign w:val="center"/>
          </w:tcPr>
          <w:p w14:paraId="7F6EE670">
            <w:pPr>
              <w:keepNext w:val="0"/>
              <w:keepLines w:val="0"/>
              <w:suppressLineNumbers w:val="0"/>
              <w:tabs>
                <w:tab w:val="left" w:pos="425"/>
              </w:tabs>
              <w:spacing w:before="0" w:beforeAutospacing="0" w:after="0" w:afterAutospacing="0"/>
              <w:ind w:left="299" w:right="0"/>
              <w:rPr>
                <w:rFonts w:hint="default" w:ascii="宋体" w:hAnsi="宋体" w:cs="宋体"/>
                <w:color w:val="000000" w:themeColor="text1"/>
                <w:sz w:val="24"/>
                <w:highlight w:val="none"/>
                <w14:textFill>
                  <w14:solidFill>
                    <w14:schemeClr w14:val="tx1"/>
                  </w14:solidFill>
                </w14:textFill>
              </w:rPr>
            </w:pPr>
          </w:p>
        </w:tc>
        <w:tc>
          <w:tcPr>
            <w:tcW w:w="2736" w:type="dxa"/>
            <w:tcBorders>
              <w:top w:val="single" w:color="000000" w:sz="8" w:space="0"/>
              <w:left w:val="single" w:color="000000" w:sz="8" w:space="0"/>
              <w:bottom w:val="single" w:color="000000" w:sz="8" w:space="0"/>
              <w:right w:val="single" w:color="000000" w:sz="8" w:space="0"/>
            </w:tcBorders>
            <w:vAlign w:val="center"/>
          </w:tcPr>
          <w:p w14:paraId="14C75994">
            <w:pPr>
              <w:keepNext w:val="0"/>
              <w:keepLines w:val="0"/>
              <w:suppressLineNumbers w:val="0"/>
              <w:spacing w:before="0" w:beforeAutospacing="0" w:after="0" w:afterAutospacing="0" w:line="360" w:lineRule="auto"/>
              <w:ind w:left="0" w:right="0" w:firstLine="240" w:firstLineChars="100"/>
              <w:rPr>
                <w:rFonts w:hint="default" w:ascii="宋体" w:hAnsi="宋体" w:cs="宋体" w:eastAsiaTheme="minorEastAsia"/>
                <w:color w:val="000000" w:themeColor="text1"/>
                <w:sz w:val="24"/>
                <w:highlight w:val="none"/>
                <w14:textFill>
                  <w14:solidFill>
                    <w14:schemeClr w14:val="tx1"/>
                  </w14:solidFill>
                </w14:textFill>
              </w:rPr>
            </w:pPr>
          </w:p>
        </w:tc>
        <w:tc>
          <w:tcPr>
            <w:tcW w:w="2972" w:type="dxa"/>
            <w:tcBorders>
              <w:top w:val="single" w:color="000000" w:sz="8" w:space="0"/>
              <w:left w:val="single" w:color="000000" w:sz="8" w:space="0"/>
              <w:bottom w:val="single" w:color="000000" w:sz="8" w:space="0"/>
              <w:right w:val="single" w:color="000000" w:sz="8" w:space="0"/>
            </w:tcBorders>
            <w:vAlign w:val="center"/>
          </w:tcPr>
          <w:p w14:paraId="356F63CD">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842" w:type="dxa"/>
            <w:tcBorders>
              <w:top w:val="single" w:color="000000" w:sz="8" w:space="0"/>
              <w:left w:val="single" w:color="000000" w:sz="8" w:space="0"/>
              <w:bottom w:val="single" w:color="000000" w:sz="8" w:space="0"/>
              <w:right w:val="single" w:color="000000" w:sz="8" w:space="0"/>
            </w:tcBorders>
            <w:vAlign w:val="center"/>
          </w:tcPr>
          <w:p w14:paraId="6FA59719">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c>
          <w:tcPr>
            <w:tcW w:w="1443" w:type="dxa"/>
            <w:tcBorders>
              <w:top w:val="single" w:color="000000" w:sz="8" w:space="0"/>
              <w:left w:val="single" w:color="000000" w:sz="8" w:space="0"/>
              <w:bottom w:val="single" w:color="000000" w:sz="8" w:space="0"/>
              <w:right w:val="single" w:color="000000" w:sz="12" w:space="0"/>
            </w:tcBorders>
            <w:vAlign w:val="center"/>
          </w:tcPr>
          <w:p w14:paraId="1FBF30A6">
            <w:pPr>
              <w:keepNext w:val="0"/>
              <w:keepLines w:val="0"/>
              <w:suppressLineNumbers w:val="0"/>
              <w:spacing w:before="0" w:beforeAutospacing="0" w:after="0" w:afterAutospacing="0" w:line="360" w:lineRule="auto"/>
              <w:ind w:left="0" w:right="0"/>
              <w:jc w:val="center"/>
              <w:rPr>
                <w:rFonts w:hint="default" w:ascii="宋体" w:hAnsi="宋体" w:cs="宋体" w:eastAsiaTheme="minorEastAsia"/>
                <w:color w:val="000000" w:themeColor="text1"/>
                <w:sz w:val="24"/>
                <w:highlight w:val="none"/>
                <w14:textFill>
                  <w14:solidFill>
                    <w14:schemeClr w14:val="tx1"/>
                  </w14:solidFill>
                </w14:textFill>
              </w:rPr>
            </w:pPr>
          </w:p>
        </w:tc>
      </w:tr>
    </w:tbl>
    <w:p w14:paraId="129AA2F3">
      <w:pPr>
        <w:rPr>
          <w:rFonts w:ascii="宋体" w:hAnsi="宋体"/>
          <w:color w:val="000000" w:themeColor="text1"/>
          <w:sz w:val="24"/>
          <w:highlight w:val="none"/>
          <w14:textFill>
            <w14:solidFill>
              <w14:schemeClr w14:val="tx1"/>
            </w14:solidFill>
          </w14:textFill>
        </w:rPr>
      </w:pPr>
    </w:p>
    <w:p w14:paraId="6A1A0718">
      <w:pPr>
        <w:pStyle w:val="56"/>
        <w:rPr>
          <w:rFonts w:ascii="宋体" w:hAnsi="宋体"/>
          <w:color w:val="000000" w:themeColor="text1"/>
          <w:sz w:val="24"/>
          <w:highlight w:val="none"/>
          <w14:textFill>
            <w14:solidFill>
              <w14:schemeClr w14:val="tx1"/>
            </w14:solidFill>
          </w14:textFill>
        </w:rPr>
      </w:pPr>
    </w:p>
    <w:p w14:paraId="0844CA71">
      <w:pPr>
        <w:pStyle w:val="56"/>
        <w:rPr>
          <w:rFonts w:ascii="宋体" w:hAnsi="宋体"/>
          <w:color w:val="000000" w:themeColor="text1"/>
          <w:sz w:val="24"/>
          <w:highlight w:val="none"/>
          <w14:textFill>
            <w14:solidFill>
              <w14:schemeClr w14:val="tx1"/>
            </w14:solidFill>
          </w14:textFill>
        </w:rPr>
      </w:pPr>
    </w:p>
    <w:p w14:paraId="177B8609">
      <w:pPr>
        <w:pStyle w:val="56"/>
        <w:rPr>
          <w:rFonts w:ascii="宋体" w:hAnsi="宋体"/>
          <w:color w:val="000000" w:themeColor="text1"/>
          <w:sz w:val="24"/>
          <w:highlight w:val="none"/>
          <w14:textFill>
            <w14:solidFill>
              <w14:schemeClr w14:val="tx1"/>
            </w14:solidFill>
          </w14:textFill>
        </w:rPr>
      </w:pPr>
    </w:p>
    <w:p w14:paraId="0130C191">
      <w:pPr>
        <w:pStyle w:val="56"/>
        <w:rPr>
          <w:rFonts w:ascii="宋体" w:hAnsi="宋体"/>
          <w:color w:val="000000" w:themeColor="text1"/>
          <w:sz w:val="24"/>
          <w:highlight w:val="none"/>
          <w14:textFill>
            <w14:solidFill>
              <w14:schemeClr w14:val="tx1"/>
            </w14:solidFill>
          </w14:textFill>
        </w:rPr>
      </w:pPr>
    </w:p>
    <w:p w14:paraId="330996F5">
      <w:pPr>
        <w:pStyle w:val="56"/>
        <w:rPr>
          <w:rFonts w:ascii="宋体" w:hAnsi="宋体"/>
          <w:color w:val="000000" w:themeColor="text1"/>
          <w:sz w:val="24"/>
          <w:highlight w:val="none"/>
          <w14:textFill>
            <w14:solidFill>
              <w14:schemeClr w14:val="tx1"/>
            </w14:solidFill>
          </w14:textFill>
        </w:rPr>
      </w:pPr>
    </w:p>
    <w:p w14:paraId="14BFC122">
      <w:pPr>
        <w:pStyle w:val="56"/>
        <w:rPr>
          <w:rFonts w:ascii="宋体" w:hAnsi="宋体"/>
          <w:color w:val="000000" w:themeColor="text1"/>
          <w:sz w:val="24"/>
          <w:highlight w:val="none"/>
          <w14:textFill>
            <w14:solidFill>
              <w14:schemeClr w14:val="tx1"/>
            </w14:solidFill>
          </w14:textFill>
        </w:rPr>
      </w:pPr>
    </w:p>
    <w:p w14:paraId="16F08257">
      <w:pPr>
        <w:pStyle w:val="56"/>
        <w:rPr>
          <w:rFonts w:ascii="宋体" w:hAnsi="宋体"/>
          <w:color w:val="000000" w:themeColor="text1"/>
          <w:sz w:val="24"/>
          <w:highlight w:val="none"/>
          <w14:textFill>
            <w14:solidFill>
              <w14:schemeClr w14:val="tx1"/>
            </w14:solidFill>
          </w14:textFill>
        </w:rPr>
      </w:pPr>
    </w:p>
    <w:p w14:paraId="30C40B7F">
      <w:pPr>
        <w:pStyle w:val="56"/>
        <w:rPr>
          <w:rFonts w:ascii="宋体" w:hAnsi="宋体"/>
          <w:color w:val="000000" w:themeColor="text1"/>
          <w:sz w:val="24"/>
          <w:highlight w:val="none"/>
          <w14:textFill>
            <w14:solidFill>
              <w14:schemeClr w14:val="tx1"/>
            </w14:solidFill>
          </w14:textFill>
        </w:rPr>
      </w:pPr>
    </w:p>
    <w:p w14:paraId="18F169D9">
      <w:pPr>
        <w:pStyle w:val="56"/>
        <w:rPr>
          <w:rFonts w:ascii="宋体" w:hAnsi="宋体"/>
          <w:color w:val="000000" w:themeColor="text1"/>
          <w:sz w:val="24"/>
          <w:highlight w:val="none"/>
          <w14:textFill>
            <w14:solidFill>
              <w14:schemeClr w14:val="tx1"/>
            </w14:solidFill>
          </w14:textFill>
        </w:rPr>
      </w:pPr>
    </w:p>
    <w:p w14:paraId="49708FED">
      <w:pPr>
        <w:pStyle w:val="56"/>
        <w:rPr>
          <w:rFonts w:ascii="宋体" w:hAnsi="宋体"/>
          <w:color w:val="000000" w:themeColor="text1"/>
          <w:sz w:val="24"/>
          <w:highlight w:val="none"/>
          <w14:textFill>
            <w14:solidFill>
              <w14:schemeClr w14:val="tx1"/>
            </w14:solidFill>
          </w14:textFill>
        </w:rPr>
      </w:pPr>
    </w:p>
    <w:p w14:paraId="614E0F18">
      <w:pPr>
        <w:pStyle w:val="56"/>
        <w:rPr>
          <w:rFonts w:ascii="宋体" w:hAnsi="宋体"/>
          <w:color w:val="000000" w:themeColor="text1"/>
          <w:sz w:val="24"/>
          <w:highlight w:val="none"/>
          <w14:textFill>
            <w14:solidFill>
              <w14:schemeClr w14:val="tx1"/>
            </w14:solidFill>
          </w14:textFill>
        </w:rPr>
      </w:pPr>
    </w:p>
    <w:p w14:paraId="25EA5595">
      <w:pPr>
        <w:pStyle w:val="56"/>
        <w:rPr>
          <w:rFonts w:ascii="宋体" w:hAnsi="宋体"/>
          <w:color w:val="000000" w:themeColor="text1"/>
          <w:sz w:val="24"/>
          <w:highlight w:val="none"/>
          <w14:textFill>
            <w14:solidFill>
              <w14:schemeClr w14:val="tx1"/>
            </w14:solidFill>
          </w14:textFill>
        </w:rPr>
      </w:pPr>
    </w:p>
    <w:p w14:paraId="7EBC8434">
      <w:pPr>
        <w:pStyle w:val="56"/>
        <w:rPr>
          <w:rFonts w:ascii="宋体" w:hAnsi="宋体"/>
          <w:color w:val="000000" w:themeColor="text1"/>
          <w:sz w:val="24"/>
          <w:highlight w:val="none"/>
          <w14:textFill>
            <w14:solidFill>
              <w14:schemeClr w14:val="tx1"/>
            </w14:solidFill>
          </w14:textFill>
        </w:rPr>
      </w:pPr>
    </w:p>
    <w:p w14:paraId="6AC8B347">
      <w:pPr>
        <w:pStyle w:val="56"/>
        <w:rPr>
          <w:rFonts w:ascii="宋体" w:hAnsi="宋体"/>
          <w:color w:val="000000" w:themeColor="text1"/>
          <w:sz w:val="24"/>
          <w:highlight w:val="none"/>
          <w14:textFill>
            <w14:solidFill>
              <w14:schemeClr w14:val="tx1"/>
            </w14:solidFill>
          </w14:textFill>
        </w:rPr>
      </w:pPr>
    </w:p>
    <w:p w14:paraId="0A5D63CD">
      <w:pPr>
        <w:pStyle w:val="56"/>
        <w:rPr>
          <w:rFonts w:ascii="宋体" w:hAnsi="宋体"/>
          <w:color w:val="000000" w:themeColor="text1"/>
          <w:sz w:val="24"/>
          <w:highlight w:val="none"/>
          <w14:textFill>
            <w14:solidFill>
              <w14:schemeClr w14:val="tx1"/>
            </w14:solidFill>
          </w14:textFill>
        </w:rPr>
      </w:pPr>
    </w:p>
    <w:p w14:paraId="3AD4842E">
      <w:pPr>
        <w:pStyle w:val="56"/>
        <w:rPr>
          <w:rFonts w:ascii="宋体" w:hAnsi="宋体"/>
          <w:color w:val="000000" w:themeColor="text1"/>
          <w:sz w:val="24"/>
          <w:highlight w:val="none"/>
          <w14:textFill>
            <w14:solidFill>
              <w14:schemeClr w14:val="tx1"/>
            </w14:solidFill>
          </w14:textFill>
        </w:rPr>
      </w:pPr>
    </w:p>
    <w:p w14:paraId="639F0BD2">
      <w:pPr>
        <w:pStyle w:val="56"/>
        <w:rPr>
          <w:rFonts w:ascii="宋体" w:hAnsi="宋体"/>
          <w:color w:val="000000" w:themeColor="text1"/>
          <w:sz w:val="24"/>
          <w:highlight w:val="none"/>
          <w14:textFill>
            <w14:solidFill>
              <w14:schemeClr w14:val="tx1"/>
            </w14:solidFill>
          </w14:textFill>
        </w:rPr>
      </w:pPr>
    </w:p>
    <w:p w14:paraId="3B9C6CEF">
      <w:pPr>
        <w:pStyle w:val="81"/>
        <w:spacing w:before="81"/>
        <w:ind w:right="164"/>
        <w:jc w:val="left"/>
        <w:rPr>
          <w:rFonts w:ascii="宋体" w:hAnsi="宋体" w:cs="宋体"/>
          <w:color w:val="000000" w:themeColor="text1"/>
          <w:sz w:val="24"/>
          <w:szCs w:val="22"/>
          <w:highlight w:val="none"/>
          <w14:textFill>
            <w14:solidFill>
              <w14:schemeClr w14:val="tx1"/>
            </w14:solidFill>
          </w14:textFill>
        </w:rPr>
      </w:pPr>
      <w:r>
        <w:rPr>
          <w:rFonts w:hint="eastAsia" w:ascii="宋体" w:hAnsi="宋体" w:cs="宋体"/>
          <w:color w:val="000000" w:themeColor="text1"/>
          <w:sz w:val="24"/>
          <w:szCs w:val="22"/>
          <w:highlight w:val="none"/>
          <w14:textFill>
            <w14:solidFill>
              <w14:schemeClr w14:val="tx1"/>
            </w14:solidFill>
          </w14:textFill>
        </w:rPr>
        <w:t>注：1、本表所要求的主要机械设备和试验检测设备须按招标文件投标函的格式承诺，中标人在进场前向招标人提交实际投入的机械设备。</w:t>
      </w:r>
    </w:p>
    <w:p w14:paraId="21E2235B">
      <w:pPr>
        <w:pStyle w:val="81"/>
        <w:spacing w:before="81"/>
        <w:ind w:right="164"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22"/>
          <w:highlight w:val="none"/>
          <w14:textFill>
            <w14:solidFill>
              <w14:schemeClr w14:val="tx1"/>
            </w14:solidFill>
          </w14:textFill>
        </w:rPr>
        <w:t>2、招标人有权根据标段的工程特点、工程量及工程进度情况要求增加相应的施工设备，由此不存在索赔问题</w:t>
      </w:r>
      <w:r>
        <w:rPr>
          <w:rFonts w:hint="eastAsia" w:ascii="宋体" w:hAnsi="宋体" w:cs="宋体"/>
          <w:color w:val="000000" w:themeColor="text1"/>
          <w:sz w:val="24"/>
          <w:highlight w:val="none"/>
          <w14:textFill>
            <w14:solidFill>
              <w14:schemeClr w14:val="tx1"/>
            </w14:solidFill>
          </w14:textFill>
        </w:rPr>
        <w:t>。</w:t>
      </w:r>
    </w:p>
    <w:p w14:paraId="03DE467B">
      <w:pPr>
        <w:pStyle w:val="4"/>
        <w:rPr>
          <w:color w:val="000000" w:themeColor="text1"/>
          <w:highlight w:val="none"/>
          <w14:textFill>
            <w14:solidFill>
              <w14:schemeClr w14:val="tx1"/>
            </w14:solidFill>
          </w14:textFill>
        </w:rPr>
      </w:pPr>
      <w:bookmarkStart w:id="1706" w:name="_Toc16658"/>
      <w:bookmarkEnd w:id="1706"/>
      <w:bookmarkStart w:id="1707" w:name="_Toc505844508"/>
      <w:bookmarkEnd w:id="1707"/>
      <w:r>
        <w:rPr>
          <w:rFonts w:hint="eastAsia"/>
          <w:color w:val="000000" w:themeColor="text1"/>
          <w:highlight w:val="none"/>
          <w14:textFill>
            <w14:solidFill>
              <w14:schemeClr w14:val="tx1"/>
            </w14:solidFill>
          </w14:textFill>
        </w:rPr>
        <w:br w:type="page"/>
      </w:r>
      <w:bookmarkStart w:id="1708" w:name="_Toc23685"/>
      <w:r>
        <w:rPr>
          <w:rFonts w:hint="eastAsia"/>
          <w:color w:val="000000" w:themeColor="text1"/>
          <w:sz w:val="24"/>
          <w:szCs w:val="24"/>
          <w:highlight w:val="none"/>
          <w14:textFill>
            <w14:solidFill>
              <w14:schemeClr w14:val="tx1"/>
            </w14:solidFill>
          </w14:textFill>
        </w:rPr>
        <w:t>附件六  项目经理委托书</w:t>
      </w:r>
      <w:bookmarkEnd w:id="1708"/>
    </w:p>
    <w:p w14:paraId="53D1C2B8">
      <w:pPr>
        <w:spacing w:line="400" w:lineRule="exact"/>
        <w:rPr>
          <w:rFonts w:ascii="宋体" w:hAnsi="宋体"/>
          <w:color w:val="000000" w:themeColor="text1"/>
          <w:sz w:val="24"/>
          <w:highlight w:val="none"/>
          <w14:textFill>
            <w14:solidFill>
              <w14:schemeClr w14:val="tx1"/>
            </w14:solidFill>
          </w14:textFill>
        </w:rPr>
      </w:pPr>
    </w:p>
    <w:p w14:paraId="71C3FE6F">
      <w:pPr>
        <w:spacing w:line="400" w:lineRule="exact"/>
        <w:jc w:val="center"/>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（承包人全称）</w:t>
      </w:r>
    </w:p>
    <w:p w14:paraId="21073419">
      <w:pPr>
        <w:spacing w:line="400" w:lineRule="exact"/>
        <w:jc w:val="center"/>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（合同工程名称）</w:t>
      </w:r>
      <w:r>
        <w:rPr>
          <w:rFonts w:hint="eastAsia" w:ascii="宋体" w:hAnsi="宋体"/>
          <w:color w:val="000000" w:themeColor="text1"/>
          <w:sz w:val="24"/>
          <w:highlight w:val="none"/>
          <w14:textFill>
            <w14:solidFill>
              <w14:schemeClr w14:val="tx1"/>
            </w14:solidFill>
          </w14:textFill>
        </w:rPr>
        <w:t>项目经理委任书</w:t>
      </w:r>
    </w:p>
    <w:p w14:paraId="2B2E14E1">
      <w:pPr>
        <w:spacing w:line="400" w:lineRule="exact"/>
        <w:rPr>
          <w:rFonts w:ascii="宋体" w:hAnsi="宋体"/>
          <w:color w:val="000000" w:themeColor="text1"/>
          <w:sz w:val="24"/>
          <w:highlight w:val="none"/>
          <w14:textFill>
            <w14:solidFill>
              <w14:schemeClr w14:val="tx1"/>
            </w14:solidFill>
          </w14:textFill>
        </w:rPr>
      </w:pPr>
    </w:p>
    <w:p w14:paraId="7CAC7C4E">
      <w:pPr>
        <w:spacing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致：</w:t>
      </w:r>
      <w:r>
        <w:rPr>
          <w:rFonts w:hint="eastAsia" w:ascii="宋体" w:hAnsi="宋体"/>
          <w:color w:val="000000" w:themeColor="text1"/>
          <w:sz w:val="24"/>
          <w:highlight w:val="none"/>
          <w:u w:val="single"/>
          <w14:textFill>
            <w14:solidFill>
              <w14:schemeClr w14:val="tx1"/>
            </w14:solidFill>
          </w14:textFill>
        </w:rPr>
        <w:t>（发包人全称</w:t>
      </w:r>
      <w:r>
        <w:rPr>
          <w:rFonts w:hint="eastAsia" w:ascii="宋体" w:hAnsi="宋体"/>
          <w:color w:val="000000" w:themeColor="text1"/>
          <w:sz w:val="24"/>
          <w:highlight w:val="none"/>
          <w14:textFill>
            <w14:solidFill>
              <w14:schemeClr w14:val="tx1"/>
            </w14:solidFill>
          </w14:textFill>
        </w:rPr>
        <w:t>）</w:t>
      </w:r>
    </w:p>
    <w:p w14:paraId="5228660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（承包人全称）</w:t>
      </w:r>
      <w:r>
        <w:rPr>
          <w:rFonts w:hint="eastAsia" w:ascii="宋体" w:hAnsi="宋体"/>
          <w:color w:val="000000" w:themeColor="text1"/>
          <w:sz w:val="24"/>
          <w:highlight w:val="none"/>
          <w14:textFill>
            <w14:solidFill>
              <w14:schemeClr w14:val="tx1"/>
            </w14:solidFill>
          </w14:textFill>
        </w:rPr>
        <w:t xml:space="preserve"> 法定代表人</w:t>
      </w:r>
      <w:r>
        <w:rPr>
          <w:rFonts w:hint="eastAsia" w:ascii="宋体" w:hAnsi="宋体"/>
          <w:color w:val="000000" w:themeColor="text1"/>
          <w:sz w:val="24"/>
          <w:highlight w:val="none"/>
          <w:u w:val="single"/>
          <w14:textFill>
            <w14:solidFill>
              <w14:schemeClr w14:val="tx1"/>
            </w14:solidFill>
          </w14:textFill>
        </w:rPr>
        <w:t xml:space="preserve"> （职务、姓名）</w:t>
      </w:r>
      <w:r>
        <w:rPr>
          <w:rFonts w:hint="eastAsia" w:ascii="宋体" w:hAnsi="宋体"/>
          <w:color w:val="000000" w:themeColor="text1"/>
          <w:sz w:val="24"/>
          <w:highlight w:val="none"/>
          <w14:textFill>
            <w14:solidFill>
              <w14:schemeClr w14:val="tx1"/>
            </w14:solidFill>
          </w14:textFill>
        </w:rPr>
        <w:t xml:space="preserve"> 代表本单位委任 </w:t>
      </w:r>
      <w:r>
        <w:rPr>
          <w:rFonts w:hint="eastAsia" w:ascii="宋体" w:hAnsi="宋体"/>
          <w:color w:val="000000" w:themeColor="text1"/>
          <w:sz w:val="24"/>
          <w:highlight w:val="none"/>
          <w:u w:val="single"/>
          <w14:textFill>
            <w14:solidFill>
              <w14:schemeClr w14:val="tx1"/>
            </w14:solidFill>
          </w14:textFill>
        </w:rPr>
        <w:t>（职务、姓名）</w:t>
      </w:r>
      <w:r>
        <w:rPr>
          <w:rFonts w:hint="eastAsia" w:ascii="宋体" w:hAnsi="宋体"/>
          <w:color w:val="000000" w:themeColor="text1"/>
          <w:sz w:val="24"/>
          <w:highlight w:val="none"/>
          <w14:textFill>
            <w14:solidFill>
              <w14:schemeClr w14:val="tx1"/>
            </w14:solidFill>
          </w14:textFill>
        </w:rPr>
        <w:t xml:space="preserve"> 为</w:t>
      </w:r>
      <w:r>
        <w:rPr>
          <w:rFonts w:hint="eastAsia" w:ascii="宋体" w:hAnsi="宋体"/>
          <w:color w:val="000000" w:themeColor="text1"/>
          <w:sz w:val="24"/>
          <w:highlight w:val="none"/>
          <w:u w:val="single"/>
          <w14:textFill>
            <w14:solidFill>
              <w14:schemeClr w14:val="tx1"/>
            </w14:solidFill>
          </w14:textFill>
        </w:rPr>
        <w:t>（合同工程名称）</w:t>
      </w:r>
      <w:r>
        <w:rPr>
          <w:rFonts w:hint="eastAsia" w:ascii="宋体" w:hAnsi="宋体"/>
          <w:color w:val="000000" w:themeColor="text1"/>
          <w:sz w:val="24"/>
          <w:highlight w:val="none"/>
          <w14:textFill>
            <w14:solidFill>
              <w14:schemeClr w14:val="tx1"/>
            </w14:solidFill>
          </w14:textFill>
        </w:rPr>
        <w:t>的项目经理。凡本合同执行中的有关技术、工程进度、现场管理、质量检验、结算与支付等方面工作，由</w:t>
      </w:r>
      <w:r>
        <w:rPr>
          <w:rFonts w:hint="eastAsia" w:ascii="宋体" w:hAnsi="宋体"/>
          <w:color w:val="000000" w:themeColor="text1"/>
          <w:sz w:val="24"/>
          <w:highlight w:val="none"/>
          <w:u w:val="single"/>
          <w14:textFill>
            <w14:solidFill>
              <w14:schemeClr w14:val="tx1"/>
            </w14:solidFill>
          </w14:textFill>
        </w:rPr>
        <w:t xml:space="preserve"> （姓名） </w:t>
      </w:r>
      <w:r>
        <w:rPr>
          <w:rFonts w:hint="eastAsia" w:ascii="宋体" w:hAnsi="宋体"/>
          <w:color w:val="000000" w:themeColor="text1"/>
          <w:sz w:val="24"/>
          <w:highlight w:val="none"/>
          <w14:textFill>
            <w14:solidFill>
              <w14:schemeClr w14:val="tx1"/>
            </w14:solidFill>
          </w14:textFill>
        </w:rPr>
        <w:t>代表本单位全面负责。</w:t>
      </w:r>
    </w:p>
    <w:p w14:paraId="7AFF00DB">
      <w:pPr>
        <w:spacing w:line="400" w:lineRule="exact"/>
        <w:rPr>
          <w:rFonts w:ascii="宋体" w:hAnsi="宋体"/>
          <w:color w:val="000000" w:themeColor="text1"/>
          <w:sz w:val="24"/>
          <w:highlight w:val="none"/>
          <w14:textFill>
            <w14:solidFill>
              <w14:schemeClr w14:val="tx1"/>
            </w14:solidFill>
          </w14:textFill>
        </w:rPr>
      </w:pPr>
    </w:p>
    <w:p w14:paraId="3F1ABB5F">
      <w:pPr>
        <w:wordWrap w:val="0"/>
        <w:spacing w:line="400" w:lineRule="exact"/>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4B80EC0B">
      <w:pPr>
        <w:wordWrap w:val="0"/>
        <w:spacing w:line="400" w:lineRule="exact"/>
        <w:jc w:val="center"/>
        <w:rPr>
          <w:rFonts w:ascii="宋体" w:hAnsi="宋体"/>
          <w:color w:val="000000" w:themeColor="text1"/>
          <w:sz w:val="24"/>
          <w:highlight w:val="none"/>
          <w14:textFill>
            <w14:solidFill>
              <w14:schemeClr w14:val="tx1"/>
            </w14:solidFill>
          </w14:textFill>
        </w:rPr>
      </w:pPr>
    </w:p>
    <w:p w14:paraId="3E0B7A5E">
      <w:pPr>
        <w:wordWrap w:val="0"/>
        <w:spacing w:line="400" w:lineRule="exact"/>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承包人：（盖单位章）</w:t>
      </w:r>
    </w:p>
    <w:p w14:paraId="4F405A1A">
      <w:pPr>
        <w:wordWrap w:val="0"/>
        <w:spacing w:line="400" w:lineRule="exact"/>
        <w:jc w:val="center"/>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法定代表人：</w:t>
      </w:r>
      <w:r>
        <w:rPr>
          <w:rFonts w:hint="eastAsia" w:ascii="宋体" w:hAnsi="宋体"/>
          <w:color w:val="000000" w:themeColor="text1"/>
          <w:sz w:val="24"/>
          <w:highlight w:val="none"/>
          <w:u w:val="single"/>
          <w14:textFill>
            <w14:solidFill>
              <w14:schemeClr w14:val="tx1"/>
            </w14:solidFill>
          </w14:textFill>
        </w:rPr>
        <w:t xml:space="preserve">  （职务） </w:t>
      </w:r>
    </w:p>
    <w:p w14:paraId="4CC976AE">
      <w:pPr>
        <w:wordWrap w:val="0"/>
        <w:spacing w:line="400" w:lineRule="exact"/>
        <w:ind w:firstLine="1800" w:firstLineChars="750"/>
        <w:jc w:val="center"/>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（姓名） </w:t>
      </w:r>
    </w:p>
    <w:p w14:paraId="558CCAE7">
      <w:pPr>
        <w:wordWrap w:val="0"/>
        <w:spacing w:line="400" w:lineRule="exact"/>
        <w:ind w:firstLine="1800" w:firstLineChars="750"/>
        <w:jc w:val="center"/>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（签字） </w:t>
      </w:r>
    </w:p>
    <w:p w14:paraId="7538EFAA">
      <w:pPr>
        <w:spacing w:line="400" w:lineRule="exact"/>
        <w:rPr>
          <w:rFonts w:ascii="宋体" w:hAnsi="宋体"/>
          <w:color w:val="000000" w:themeColor="text1"/>
          <w:sz w:val="24"/>
          <w:highlight w:val="none"/>
          <w14:textFill>
            <w14:solidFill>
              <w14:schemeClr w14:val="tx1"/>
            </w14:solidFill>
          </w14:textFill>
        </w:rPr>
      </w:pPr>
    </w:p>
    <w:p w14:paraId="0D6EAFEE">
      <w:pPr>
        <w:wordWrap w:val="0"/>
        <w:spacing w:line="400" w:lineRule="exact"/>
        <w:jc w:val="righ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10D0EA18">
      <w:pPr>
        <w:spacing w:line="400" w:lineRule="exact"/>
        <w:rPr>
          <w:rFonts w:ascii="宋体" w:hAnsi="宋体"/>
          <w:color w:val="000000" w:themeColor="text1"/>
          <w:sz w:val="24"/>
          <w:highlight w:val="none"/>
          <w14:textFill>
            <w14:solidFill>
              <w14:schemeClr w14:val="tx1"/>
            </w14:solidFill>
          </w14:textFill>
        </w:rPr>
      </w:pPr>
    </w:p>
    <w:p w14:paraId="48146AFD">
      <w:pPr>
        <w:spacing w:line="400" w:lineRule="exact"/>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抄送：</w:t>
      </w:r>
      <w:r>
        <w:rPr>
          <w:rFonts w:hint="eastAsia" w:ascii="宋体" w:hAnsi="宋体"/>
          <w:color w:val="000000" w:themeColor="text1"/>
          <w:sz w:val="24"/>
          <w:highlight w:val="none"/>
          <w:u w:val="single"/>
          <w14:textFill>
            <w14:solidFill>
              <w14:schemeClr w14:val="tx1"/>
            </w14:solidFill>
          </w14:textFill>
        </w:rPr>
        <w:t xml:space="preserve">  （监理人）</w:t>
      </w:r>
    </w:p>
    <w:p w14:paraId="27B09378">
      <w:pPr>
        <w:pStyle w:val="79"/>
        <w:spacing w:line="360" w:lineRule="auto"/>
        <w:rPr>
          <w:rFonts w:ascii="宋体" w:hAnsi="宋体"/>
          <w:color w:val="000000" w:themeColor="text1"/>
          <w:sz w:val="24"/>
          <w:szCs w:val="24"/>
          <w:highlight w:val="none"/>
          <w14:textFill>
            <w14:solidFill>
              <w14:schemeClr w14:val="tx1"/>
            </w14:solidFill>
          </w14:textFill>
        </w:rPr>
      </w:pPr>
      <w:bookmarkStart w:id="1709" w:name="_Toc21137"/>
      <w:bookmarkEnd w:id="1709"/>
      <w:bookmarkStart w:id="1710" w:name="_Toc505844509"/>
      <w:bookmarkEnd w:id="1710"/>
      <w:bookmarkStart w:id="1711" w:name="_Toc505608633"/>
      <w:bookmarkEnd w:id="1711"/>
      <w:r>
        <w:rPr>
          <w:rFonts w:ascii="宋体" w:hAnsi="宋体"/>
          <w:color w:val="000000" w:themeColor="text1"/>
          <w:sz w:val="24"/>
          <w:szCs w:val="24"/>
          <w:highlight w:val="none"/>
          <w14:textFill>
            <w14:solidFill>
              <w14:schemeClr w14:val="tx1"/>
            </w14:solidFill>
          </w14:textFill>
        </w:rPr>
        <w:br w:type="page"/>
      </w:r>
      <w:bookmarkStart w:id="1712" w:name="_Toc13604"/>
      <w:r>
        <w:rPr>
          <w:rFonts w:ascii="宋体" w:hAnsi="宋体"/>
          <w:color w:val="000000" w:themeColor="text1"/>
          <w:sz w:val="24"/>
          <w:szCs w:val="24"/>
          <w:highlight w:val="none"/>
          <w14:textFill>
            <w14:solidFill>
              <w14:schemeClr w14:val="tx1"/>
            </w14:solidFill>
          </w14:textFill>
        </w:rPr>
        <w:t>附件</w:t>
      </w:r>
      <w:r>
        <w:rPr>
          <w:rFonts w:hint="eastAsia" w:ascii="宋体" w:hAnsi="宋体"/>
          <w:color w:val="000000" w:themeColor="text1"/>
          <w:sz w:val="24"/>
          <w:szCs w:val="24"/>
          <w:highlight w:val="none"/>
          <w14:textFill>
            <w14:solidFill>
              <w14:schemeClr w14:val="tx1"/>
            </w14:solidFill>
          </w14:textFill>
        </w:rPr>
        <w:t xml:space="preserve">七   </w:t>
      </w:r>
      <w:r>
        <w:rPr>
          <w:rFonts w:ascii="宋体" w:hAnsi="宋体"/>
          <w:color w:val="000000" w:themeColor="text1"/>
          <w:sz w:val="24"/>
          <w:szCs w:val="24"/>
          <w:highlight w:val="none"/>
          <w14:textFill>
            <w14:solidFill>
              <w14:schemeClr w14:val="tx1"/>
            </w14:solidFill>
          </w14:textFill>
        </w:rPr>
        <w:t>履约担保格式</w:t>
      </w:r>
      <w:bookmarkEnd w:id="1712"/>
    </w:p>
    <w:p w14:paraId="6A67C34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如采用银行保函，格式如下。</w:t>
      </w:r>
    </w:p>
    <w:p w14:paraId="75696935">
      <w:p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履约保证金</w:t>
      </w:r>
    </w:p>
    <w:p w14:paraId="37BE45A5">
      <w:pPr>
        <w:rPr>
          <w:rFonts w:ascii="宋体" w:hAnsi="宋体"/>
          <w:color w:val="000000" w:themeColor="text1"/>
          <w:sz w:val="24"/>
          <w:highlight w:val="none"/>
          <w14:textFill>
            <w14:solidFill>
              <w14:schemeClr w14:val="tx1"/>
            </w14:solidFill>
          </w14:textFill>
        </w:rPr>
      </w:pPr>
    </w:p>
    <w:p w14:paraId="62F5967C">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（发包人名称）：</w:t>
      </w:r>
    </w:p>
    <w:p w14:paraId="5A638782">
      <w:pPr>
        <w:rPr>
          <w:rFonts w:ascii="宋体" w:hAnsi="宋体"/>
          <w:color w:val="000000" w:themeColor="text1"/>
          <w:sz w:val="24"/>
          <w:highlight w:val="none"/>
          <w14:textFill>
            <w14:solidFill>
              <w14:schemeClr w14:val="tx1"/>
            </w14:solidFill>
          </w14:textFill>
        </w:rPr>
      </w:pPr>
    </w:p>
    <w:p w14:paraId="6B1F483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鉴于（发包人名称，以下简称“发包人”）接受（承包人名称）（以下称“承包人”）于</w:t>
      </w:r>
      <w:r>
        <w:rPr>
          <w:rFonts w:hint="eastAsia" w:ascii="宋体" w:hAnsi="宋体"/>
          <w:color w:val="000000" w:themeColor="text1"/>
          <w:sz w:val="24"/>
          <w:highlight w:val="none"/>
          <w:u w:val="single"/>
          <w14:textFill>
            <w14:solidFill>
              <w14:schemeClr w14:val="tx1"/>
            </w14:solidFill>
          </w14:textFill>
        </w:rPr>
        <w:t xml:space="preserve">     年   月   日</w:t>
      </w:r>
      <w:r>
        <w:rPr>
          <w:rFonts w:ascii="宋体" w:hAnsi="宋体"/>
          <w:color w:val="000000" w:themeColor="text1"/>
          <w:sz w:val="24"/>
          <w:highlight w:val="none"/>
          <w14:textFill>
            <w14:solidFill>
              <w14:schemeClr w14:val="tx1"/>
            </w14:solidFill>
          </w14:textFill>
        </w:rPr>
        <w:t>参加</w:t>
      </w:r>
      <w:r>
        <w:rPr>
          <w:rFonts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14:textFill>
            <w14:solidFill>
              <w14:schemeClr w14:val="tx1"/>
            </w14:solidFill>
          </w14:textFill>
        </w:rPr>
        <w:t>的投标。我方愿意无条件地、不可撤销地就承包人履行与你方订立的合同，向你方提供担保。</w:t>
      </w:r>
    </w:p>
    <w:p w14:paraId="4A0AB7D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1.担保金额人民币</w:t>
      </w:r>
      <w:r>
        <w:rPr>
          <w:rFonts w:ascii="宋体" w:hAnsi="宋体"/>
          <w:color w:val="000000" w:themeColor="text1"/>
          <w:sz w:val="24"/>
          <w:highlight w:val="none"/>
          <w:u w:val="single"/>
          <w14:textFill>
            <w14:solidFill>
              <w14:schemeClr w14:val="tx1"/>
            </w14:solidFill>
          </w14:textFill>
        </w:rPr>
        <w:t>（大写）</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元）</w:t>
      </w:r>
      <w:r>
        <w:rPr>
          <w:rFonts w:ascii="宋体" w:hAnsi="宋体"/>
          <w:color w:val="000000" w:themeColor="text1"/>
          <w:sz w:val="24"/>
          <w:highlight w:val="none"/>
          <w14:textFill>
            <w14:solidFill>
              <w14:schemeClr w14:val="tx1"/>
            </w14:solidFill>
          </w14:textFill>
        </w:rPr>
        <w:t>。</w:t>
      </w:r>
    </w:p>
    <w:p w14:paraId="203AB0C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2.担保有效期自发包人与承包人签订的合同生效之日起至发包人签发</w:t>
      </w:r>
      <w:r>
        <w:rPr>
          <w:rFonts w:hint="eastAsia" w:ascii="宋体" w:hAnsi="宋体"/>
          <w:color w:val="000000" w:themeColor="text1"/>
          <w:sz w:val="24"/>
          <w:highlight w:val="none"/>
          <w14:textFill>
            <w14:solidFill>
              <w14:schemeClr w14:val="tx1"/>
            </w14:solidFill>
          </w14:textFill>
        </w:rPr>
        <w:t>交工验收</w:t>
      </w:r>
      <w:r>
        <w:rPr>
          <w:rFonts w:ascii="宋体" w:hAnsi="宋体"/>
          <w:color w:val="000000" w:themeColor="text1"/>
          <w:sz w:val="24"/>
          <w:highlight w:val="none"/>
          <w14:textFill>
            <w14:solidFill>
              <w14:schemeClr w14:val="tx1"/>
            </w14:solidFill>
          </w14:textFill>
        </w:rPr>
        <w:t>证书</w:t>
      </w:r>
      <w:r>
        <w:rPr>
          <w:rFonts w:hint="eastAsia" w:ascii="宋体" w:hAnsi="宋体"/>
          <w:color w:val="000000" w:themeColor="text1"/>
          <w:sz w:val="24"/>
          <w:highlight w:val="none"/>
          <w14:textFill>
            <w14:solidFill>
              <w14:schemeClr w14:val="tx1"/>
            </w14:solidFill>
          </w14:textFill>
        </w:rPr>
        <w:t>且承包人按照合同约定缴纳质量保证金</w:t>
      </w:r>
      <w:r>
        <w:rPr>
          <w:rFonts w:ascii="宋体" w:hAnsi="宋体"/>
          <w:color w:val="000000" w:themeColor="text1"/>
          <w:sz w:val="24"/>
          <w:highlight w:val="none"/>
          <w14:textFill>
            <w14:solidFill>
              <w14:schemeClr w14:val="tx1"/>
            </w14:solidFill>
          </w14:textFill>
        </w:rPr>
        <w:t>之日止。</w:t>
      </w:r>
    </w:p>
    <w:p w14:paraId="5D049610">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3.在本担保有效期内，因承包人违反合同约定的义务给你方造成经济损失时，我方在收到你方以书面形式提出的在担保金额内的赔偿要求后，在7天内无条件支付</w:t>
      </w:r>
      <w:r>
        <w:rPr>
          <w:rFonts w:hint="eastAsia" w:ascii="宋体" w:hAnsi="宋体"/>
          <w:color w:val="000000" w:themeColor="text1"/>
          <w:sz w:val="24"/>
          <w:highlight w:val="none"/>
          <w14:textFill>
            <w14:solidFill>
              <w14:schemeClr w14:val="tx1"/>
            </w14:solidFill>
          </w14:textFill>
        </w:rPr>
        <w:t>，无须你方出具证明或陈述理由</w:t>
      </w:r>
      <w:r>
        <w:rPr>
          <w:rFonts w:ascii="宋体" w:hAnsi="宋体"/>
          <w:color w:val="000000" w:themeColor="text1"/>
          <w:sz w:val="24"/>
          <w:highlight w:val="none"/>
          <w14:textFill>
            <w14:solidFill>
              <w14:schemeClr w14:val="tx1"/>
            </w14:solidFill>
          </w14:textFill>
        </w:rPr>
        <w:t>。</w:t>
      </w:r>
    </w:p>
    <w:p w14:paraId="0B21EB9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4.发包人和承包人按</w:t>
      </w:r>
      <w:r>
        <w:rPr>
          <w:rFonts w:hint="eastAsia" w:ascii="宋体" w:hAnsi="宋体"/>
          <w:color w:val="000000" w:themeColor="text1"/>
          <w:sz w:val="24"/>
          <w:highlight w:val="none"/>
          <w14:textFill>
            <w14:solidFill>
              <w14:schemeClr w14:val="tx1"/>
            </w14:solidFill>
          </w14:textFill>
        </w:rPr>
        <w:t>合同条款</w:t>
      </w:r>
      <w:r>
        <w:rPr>
          <w:rFonts w:ascii="宋体" w:hAnsi="宋体"/>
          <w:color w:val="000000" w:themeColor="text1"/>
          <w:sz w:val="24"/>
          <w:highlight w:val="none"/>
          <w14:textFill>
            <w14:solidFill>
              <w14:schemeClr w14:val="tx1"/>
            </w14:solidFill>
          </w14:textFill>
        </w:rPr>
        <w:t>第15条变更合同时，</w:t>
      </w:r>
      <w:r>
        <w:rPr>
          <w:rFonts w:hint="eastAsia" w:ascii="宋体" w:hAnsi="宋体"/>
          <w:color w:val="000000" w:themeColor="text1"/>
          <w:sz w:val="24"/>
          <w:highlight w:val="none"/>
          <w14:textFill>
            <w14:solidFill>
              <w14:schemeClr w14:val="tx1"/>
            </w14:solidFill>
          </w14:textFill>
        </w:rPr>
        <w:t>无论我方是否收到该变更，</w:t>
      </w:r>
      <w:r>
        <w:rPr>
          <w:rFonts w:ascii="宋体" w:hAnsi="宋体"/>
          <w:color w:val="000000" w:themeColor="text1"/>
          <w:sz w:val="24"/>
          <w:highlight w:val="none"/>
          <w14:textFill>
            <w14:solidFill>
              <w14:schemeClr w14:val="tx1"/>
            </w14:solidFill>
          </w14:textFill>
        </w:rPr>
        <w:t>我方承担本担保规定的义务不变。</w:t>
      </w:r>
    </w:p>
    <w:p w14:paraId="2B463DAA">
      <w:pPr>
        <w:rPr>
          <w:rFonts w:ascii="宋体" w:hAnsi="宋体"/>
          <w:color w:val="000000" w:themeColor="text1"/>
          <w:sz w:val="24"/>
          <w:highlight w:val="none"/>
          <w14:textFill>
            <w14:solidFill>
              <w14:schemeClr w14:val="tx1"/>
            </w14:solidFill>
          </w14:textFill>
        </w:rPr>
      </w:pPr>
    </w:p>
    <w:p w14:paraId="048C1B5A">
      <w:pPr>
        <w:rPr>
          <w:rFonts w:ascii="宋体" w:hAnsi="宋体"/>
          <w:color w:val="000000" w:themeColor="text1"/>
          <w:sz w:val="24"/>
          <w:highlight w:val="none"/>
          <w14:textFill>
            <w14:solidFill>
              <w14:schemeClr w14:val="tx1"/>
            </w14:solidFill>
          </w14:textFill>
        </w:rPr>
      </w:pPr>
    </w:p>
    <w:p w14:paraId="6E51A7E0">
      <w:pPr>
        <w:rPr>
          <w:rFonts w:ascii="宋体" w:hAnsi="宋体"/>
          <w:color w:val="000000" w:themeColor="text1"/>
          <w:sz w:val="24"/>
          <w:highlight w:val="none"/>
          <w14:textFill>
            <w14:solidFill>
              <w14:schemeClr w14:val="tx1"/>
            </w14:solidFill>
          </w14:textFill>
        </w:rPr>
      </w:pPr>
    </w:p>
    <w:p w14:paraId="247E8B82">
      <w:pPr>
        <w:rPr>
          <w:rFonts w:ascii="宋体" w:hAnsi="宋体"/>
          <w:color w:val="000000" w:themeColor="text1"/>
          <w:sz w:val="24"/>
          <w:highlight w:val="none"/>
          <w14:textFill>
            <w14:solidFill>
              <w14:schemeClr w14:val="tx1"/>
            </w14:solidFill>
          </w14:textFill>
        </w:rPr>
      </w:pPr>
    </w:p>
    <w:p w14:paraId="012ADF85">
      <w:pPr>
        <w:spacing w:line="44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担保人：（盖单位章）</w:t>
      </w:r>
    </w:p>
    <w:p w14:paraId="40199706">
      <w:pPr>
        <w:spacing w:line="44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法定代表人或其委托代理人：（签字）</w:t>
      </w:r>
    </w:p>
    <w:p w14:paraId="54B2BE73">
      <w:pPr>
        <w:spacing w:line="44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地址：</w:t>
      </w:r>
    </w:p>
    <w:p w14:paraId="3DB489FF">
      <w:pPr>
        <w:spacing w:line="44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邮政编码：</w:t>
      </w:r>
    </w:p>
    <w:p w14:paraId="329451BA">
      <w:pPr>
        <w:spacing w:line="44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电话：</w:t>
      </w:r>
    </w:p>
    <w:p w14:paraId="29A94F88">
      <w:pPr>
        <w:spacing w:line="44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传真：</w:t>
      </w:r>
    </w:p>
    <w:p w14:paraId="03171802">
      <w:pPr>
        <w:rPr>
          <w:rFonts w:ascii="宋体" w:hAnsi="宋体"/>
          <w:color w:val="000000" w:themeColor="text1"/>
          <w:sz w:val="24"/>
          <w:highlight w:val="none"/>
          <w14:textFill>
            <w14:solidFill>
              <w14:schemeClr w14:val="tx1"/>
            </w14:solidFill>
          </w14:textFill>
        </w:rPr>
      </w:pPr>
    </w:p>
    <w:p w14:paraId="3AC74847">
      <w:pPr>
        <w:rPr>
          <w:rFonts w:ascii="宋体" w:hAnsi="宋体"/>
          <w:color w:val="000000" w:themeColor="text1"/>
          <w:sz w:val="24"/>
          <w:highlight w:val="none"/>
          <w14:textFill>
            <w14:solidFill>
              <w14:schemeClr w14:val="tx1"/>
            </w14:solidFill>
          </w14:textFill>
        </w:rPr>
      </w:pPr>
    </w:p>
    <w:p w14:paraId="1C751549">
      <w:pPr>
        <w:ind w:firstLine="720" w:firstLineChars="3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511ACE93">
      <w:pPr>
        <w:pStyle w:val="79"/>
        <w:spacing w:line="360" w:lineRule="auto"/>
        <w:rPr>
          <w:rFonts w:ascii="宋体" w:hAnsi="宋体"/>
          <w:color w:val="000000" w:themeColor="text1"/>
          <w:sz w:val="24"/>
          <w:szCs w:val="24"/>
          <w:highlight w:val="none"/>
          <w14:textFill>
            <w14:solidFill>
              <w14:schemeClr w14:val="tx1"/>
            </w14:solidFill>
          </w14:textFill>
        </w:rPr>
      </w:pPr>
      <w:bookmarkStart w:id="1713" w:name="_Toc9453"/>
      <w:bookmarkEnd w:id="1713"/>
      <w:bookmarkStart w:id="1714" w:name="_Toc505844510"/>
      <w:bookmarkEnd w:id="1714"/>
      <w:r>
        <w:rPr>
          <w:rFonts w:ascii="宋体" w:hAnsi="宋体"/>
          <w:color w:val="000000" w:themeColor="text1"/>
          <w:sz w:val="24"/>
          <w:szCs w:val="24"/>
          <w:highlight w:val="none"/>
          <w14:textFill>
            <w14:solidFill>
              <w14:schemeClr w14:val="tx1"/>
            </w14:solidFill>
          </w14:textFill>
        </w:rPr>
        <w:br w:type="page"/>
      </w:r>
      <w:bookmarkStart w:id="1715" w:name="_Toc22403"/>
      <w:r>
        <w:rPr>
          <w:rFonts w:ascii="宋体" w:hAnsi="宋体"/>
          <w:color w:val="000000" w:themeColor="text1"/>
          <w:sz w:val="24"/>
          <w:szCs w:val="24"/>
          <w:highlight w:val="none"/>
          <w14:textFill>
            <w14:solidFill>
              <w14:schemeClr w14:val="tx1"/>
            </w14:solidFill>
          </w14:textFill>
        </w:rPr>
        <w:t>附件</w:t>
      </w:r>
      <w:r>
        <w:rPr>
          <w:rFonts w:hint="eastAsia" w:ascii="宋体" w:hAnsi="宋体"/>
          <w:color w:val="000000" w:themeColor="text1"/>
          <w:sz w:val="24"/>
          <w:szCs w:val="24"/>
          <w:highlight w:val="none"/>
          <w14:textFill>
            <w14:solidFill>
              <w14:schemeClr w14:val="tx1"/>
            </w14:solidFill>
          </w14:textFill>
        </w:rPr>
        <w:t>八   工程资金监管协议</w:t>
      </w:r>
      <w:r>
        <w:rPr>
          <w:rFonts w:ascii="宋体" w:hAnsi="宋体"/>
          <w:color w:val="000000" w:themeColor="text1"/>
          <w:sz w:val="24"/>
          <w:szCs w:val="24"/>
          <w:highlight w:val="none"/>
          <w14:textFill>
            <w14:solidFill>
              <w14:schemeClr w14:val="tx1"/>
            </w14:solidFill>
          </w14:textFill>
        </w:rPr>
        <w:t>格式</w:t>
      </w:r>
      <w:bookmarkEnd w:id="1715"/>
    </w:p>
    <w:p w14:paraId="0D685E1E">
      <w:pPr>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（发包人与承包人签订合同协议书时应与发包人指定的银行签署工程资金监管协议，工程资金监管协议内容在保证本项目资金有效监管的前提下由三方共同商定）</w:t>
      </w:r>
    </w:p>
    <w:p w14:paraId="3EBB2999">
      <w:pPr>
        <w:spacing w:before="240" w:after="240"/>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工程资金监管协议</w:t>
      </w:r>
    </w:p>
    <w:p w14:paraId="106A2CD8">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 包 人：（以下简称“甲方”）</w:t>
      </w:r>
    </w:p>
    <w:p w14:paraId="7411251C">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 包 人：（以下简称“乙方”）</w:t>
      </w:r>
    </w:p>
    <w:p w14:paraId="50CB45D7">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经办银行：（以下简称“丙方”）</w:t>
      </w:r>
    </w:p>
    <w:p w14:paraId="15B38FE7">
      <w:pPr>
        <w:rPr>
          <w:rFonts w:ascii="宋体" w:hAnsi="宋体"/>
          <w:color w:val="000000" w:themeColor="text1"/>
          <w:sz w:val="24"/>
          <w:highlight w:val="none"/>
          <w14:textFill>
            <w14:solidFill>
              <w14:schemeClr w14:val="tx1"/>
            </w14:solidFill>
          </w14:textFill>
        </w:rPr>
      </w:pPr>
    </w:p>
    <w:p w14:paraId="736E404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为了促进（项目名称）的顺利实施，管好用好建设资金，确保工程资金专款专用，同时为承包人提供便捷有效的银行业务服务，根据</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合同条款有关规定，经甲、乙、丙三方协商，达成协议如下：</w:t>
      </w:r>
    </w:p>
    <w:p w14:paraId="2BFAD184">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资金管理的内容</w:t>
      </w:r>
    </w:p>
    <w:p w14:paraId="39153AD2">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（1）乙方为完成</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工程成立的项目经理部在丙方开设基本结算户；</w:t>
      </w:r>
    </w:p>
    <w:p w14:paraId="0D2CCC46">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（2）甲方应按合同规定将工程款汇入乙方在丙方开设的账户；</w:t>
      </w:r>
    </w:p>
    <w:p w14:paraId="53390B38">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（3）乙方应将流动资金及甲方所拨付资金专项用于</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w:t>
      </w:r>
    </w:p>
    <w:p w14:paraId="540F9DE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（4）丙方应为乙方提供便捷有效的银行业务服务，并接受甲方委托对乙方在丙方开设的基本结算户资金使用情况进行监督。</w:t>
      </w:r>
    </w:p>
    <w:p w14:paraId="02BF4B1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2.甲方的权责</w:t>
      </w:r>
    </w:p>
    <w:p w14:paraId="0D10C92A">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（1）按照（项目名称）合同有关条款规定的时间和方式，向乙方支付工程款；</w:t>
      </w:r>
    </w:p>
    <w:p w14:paraId="2E14A37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（2）在发现乙方将本项目资金挪用、转移时，甲方有权中止工程支付，直至乙方改正为止；</w:t>
      </w:r>
    </w:p>
    <w:p w14:paraId="0405652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（3）不定期审查丙方对乙方的资金使用监督情况，如丙方不能履行其责任，甲方有权随时终止本协议；</w:t>
      </w:r>
    </w:p>
    <w:p w14:paraId="2A9D3765">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（4）在乙、丙双方发生争议时，甲方应负责协调、解决。</w:t>
      </w:r>
    </w:p>
    <w:p w14:paraId="775A15B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3.乙方的权责</w:t>
      </w:r>
    </w:p>
    <w:p w14:paraId="0086D92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（1）项目经理部成立以后，乙方应尽快在丙方开设基本结算户；</w:t>
      </w:r>
    </w:p>
    <w:p w14:paraId="7DF23D0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（2）确保本项目资金专款专用，不发生挪用、转移资金的现象；保证不通过权益转让、抵押、担保承担债务等任何其他方式使用基本结算户的资金；</w:t>
      </w:r>
    </w:p>
    <w:p w14:paraId="09084CA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（3）办理材料、设备等采购业务金额在</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万元以上的，应出示购货合同、协议和发票；在办理总额超过</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万元以上的采购业务时，应将合同、协议和发票复印件送丙方备案；购买应急材料、设备时可先办理支付手续，但事后必须补备有关资料；</w:t>
      </w:r>
    </w:p>
    <w:p w14:paraId="45A3E509">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（4）用银行转账支票办理支付款项时，必须将转账支票送交丙方，由丙方负责办理支票转付手续；</w:t>
      </w:r>
    </w:p>
    <w:p w14:paraId="436593F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（5）向分包单位支付工程进度款时，应附甲方批准分包的文件；</w:t>
      </w:r>
    </w:p>
    <w:p w14:paraId="76FD2AA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（6）向上级单位缴纳管理费、机械设备及周转材料租赁摊销费等款项时，应附上级单位出具的转账通知等有关资料，以确保资金专款专用。</w:t>
      </w:r>
    </w:p>
    <w:p w14:paraId="4EDBE5DD">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4.丙方的权责</w:t>
      </w:r>
    </w:p>
    <w:p w14:paraId="73F7253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（1）成立</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工程资金管理服务小组，明确业务流程，提高工作效率，杜绝“压票”现象；</w:t>
      </w:r>
    </w:p>
    <w:p w14:paraId="1D2788E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（2）根据乙方提供的购货合同、协议和发票，检查其所购材料、设备是否用于</w:t>
      </w:r>
      <w:r>
        <w:rPr>
          <w:rFonts w:hint="eastAsia" w:ascii="宋体" w:hAnsi="宋体"/>
          <w:color w:val="000000" w:themeColor="text1"/>
          <w:sz w:val="24"/>
          <w:highlight w:val="none"/>
          <w:u w:val="single"/>
          <w14:textFill>
            <w14:solidFill>
              <w14:schemeClr w14:val="tx1"/>
            </w14:solidFill>
          </w14:textFill>
        </w:rPr>
        <w:t>（项目名称）</w:t>
      </w:r>
      <w:r>
        <w:rPr>
          <w:rFonts w:hint="eastAsia" w:ascii="宋体" w:hAnsi="宋体"/>
          <w:color w:val="000000" w:themeColor="text1"/>
          <w:sz w:val="24"/>
          <w:highlight w:val="none"/>
          <w14:textFill>
            <w14:solidFill>
              <w14:schemeClr w14:val="tx1"/>
            </w14:solidFill>
          </w14:textFill>
        </w:rPr>
        <w:t>工程建设，对本标段以外的购货款项，有权拒绝办理，并及时报告甲方；</w:t>
      </w:r>
    </w:p>
    <w:p w14:paraId="1DA2D58B">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（3）根据乙方与分包单位签订的合同及支付文件，检查其支付款项是否符合有关条件，向分包单位以外单位的支付有权拒绝办理，并及时报告甲方；</w:t>
      </w:r>
    </w:p>
    <w:p w14:paraId="544A6F13">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（4）根据乙方提供的上级单位出具的转账通知等有关资料，办理管理费、机械设备及周转材料租赁摊销费等款项的支付；对超出转账通知等有关资料以外的支付，有权拒绝办理，并及时转告甲方；</w:t>
      </w:r>
    </w:p>
    <w:p w14:paraId="687D8B8F">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（5）定期将乙方前一个周期的支付情况，整理后书面报送甲方；乙方复印备案的材料一并送甲方。</w:t>
      </w:r>
    </w:p>
    <w:p w14:paraId="3D38008C">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5.甲、乙、丙三方都应履行保密责任，不得将其他两方的业务情况透露给三方以外的其他单位或个人。</w:t>
      </w:r>
    </w:p>
    <w:p w14:paraId="480B93E7">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6.本协议有效期自乙方在丙方开户起，至工程交工验收甲方向乙方颁发交工验收证书后结束。</w:t>
      </w:r>
    </w:p>
    <w:p w14:paraId="0F7F89C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7.本协议未尽事宜，由甲方牵头，三方协商解决。</w:t>
      </w:r>
    </w:p>
    <w:p w14:paraId="28290D61">
      <w:pPr>
        <w:spacing w:line="4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8.本协议正本三份、副本份。合同三方各执正本一份、副本份，当正本与副本内容不一致时，以正本为准。</w:t>
      </w:r>
    </w:p>
    <w:p w14:paraId="4D1D88A8">
      <w:pPr>
        <w:spacing w:line="360" w:lineRule="exact"/>
        <w:ind w:firstLine="465"/>
        <w:rPr>
          <w:rFonts w:ascii="宋体" w:hAnsi="宋体"/>
          <w:color w:val="000000" w:themeColor="text1"/>
          <w:sz w:val="24"/>
          <w:highlight w:val="none"/>
          <w14:textFill>
            <w14:solidFill>
              <w14:schemeClr w14:val="tx1"/>
            </w14:solidFill>
          </w14:textFill>
        </w:rPr>
      </w:pPr>
    </w:p>
    <w:p w14:paraId="1FDD79A1">
      <w:pPr>
        <w:spacing w:line="360" w:lineRule="exact"/>
        <w:ind w:firstLine="465"/>
        <w:rPr>
          <w:rFonts w:ascii="宋体" w:hAnsi="宋体"/>
          <w:color w:val="000000" w:themeColor="text1"/>
          <w:sz w:val="24"/>
          <w:highlight w:val="none"/>
          <w14:textFill>
            <w14:solidFill>
              <w14:schemeClr w14:val="tx1"/>
            </w14:solidFill>
          </w14:textFill>
        </w:rPr>
      </w:pPr>
    </w:p>
    <w:p w14:paraId="425406F8">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发包人：（盖单位章）</w:t>
      </w:r>
    </w:p>
    <w:p w14:paraId="5E412D53">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法定人或代表其委托代理人：（签字）</w:t>
      </w:r>
    </w:p>
    <w:p w14:paraId="2CE61731">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605E1263">
      <w:pPr>
        <w:spacing w:line="360" w:lineRule="exact"/>
        <w:rPr>
          <w:rFonts w:ascii="宋体" w:hAnsi="宋体"/>
          <w:color w:val="000000" w:themeColor="text1"/>
          <w:sz w:val="24"/>
          <w:highlight w:val="none"/>
          <w14:textFill>
            <w14:solidFill>
              <w14:schemeClr w14:val="tx1"/>
            </w14:solidFill>
          </w14:textFill>
        </w:rPr>
      </w:pPr>
    </w:p>
    <w:p w14:paraId="280A2DDD">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承包人：（盖单位章）</w:t>
      </w:r>
    </w:p>
    <w:p w14:paraId="2FA39FAC">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法定人或代表其委托代理人：（签字）</w:t>
      </w:r>
    </w:p>
    <w:p w14:paraId="3E83C858">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3F5FCEB6">
      <w:pPr>
        <w:spacing w:line="360" w:lineRule="exact"/>
        <w:rPr>
          <w:rFonts w:ascii="宋体" w:hAnsi="宋体"/>
          <w:color w:val="000000" w:themeColor="text1"/>
          <w:sz w:val="24"/>
          <w:highlight w:val="none"/>
          <w14:textFill>
            <w14:solidFill>
              <w14:schemeClr w14:val="tx1"/>
            </w14:solidFill>
          </w14:textFill>
        </w:rPr>
      </w:pPr>
    </w:p>
    <w:p w14:paraId="58A8B368">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经办银行：（盖单位章）</w:t>
      </w:r>
    </w:p>
    <w:p w14:paraId="3E1FFB70">
      <w:pPr>
        <w:spacing w:line="360" w:lineRule="exact"/>
        <w:ind w:firstLine="46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法定人或代表其委托代理人：（签字）</w:t>
      </w:r>
    </w:p>
    <w:p w14:paraId="527A1D8E">
      <w:pPr>
        <w:spacing w:line="360" w:lineRule="exact"/>
        <w:ind w:firstLine="465"/>
        <w:rPr>
          <w:rFonts w:ascii="宋体" w:hAnsi="宋体"/>
          <w:color w:val="000000" w:themeColor="text1"/>
          <w:sz w:val="24"/>
          <w:highlight w:val="none"/>
          <w14:textFill>
            <w14:solidFill>
              <w14:schemeClr w14:val="tx1"/>
            </w14:solidFill>
          </w14:textFill>
        </w:rPr>
        <w:sectPr>
          <w:footerReference r:id="rId8" w:type="first"/>
          <w:footerReference r:id="rId7" w:type="default"/>
          <w:pgSz w:w="11906" w:h="16838"/>
          <w:pgMar w:top="1276" w:right="924" w:bottom="935" w:left="1418" w:header="624" w:footer="590" w:gutter="0"/>
          <w:cols w:space="720" w:num="1"/>
          <w:docGrid w:type="lines" w:linePitch="312" w:charSpace="0"/>
        </w:sectPr>
      </w:pPr>
      <w:r>
        <w:rPr>
          <w:rFonts w:hint="eastAsia" w:ascii="宋体" w:hAnsi="宋体"/>
          <w:color w:val="000000" w:themeColor="text1"/>
          <w:sz w:val="24"/>
          <w:highlight w:val="none"/>
          <w14:textFill>
            <w14:solidFill>
              <w14:schemeClr w14:val="tx1"/>
            </w14:solidFill>
          </w14:textFill>
        </w:rPr>
        <w:t>年   月   日</w:t>
      </w:r>
    </w:p>
    <w:p w14:paraId="123CF147">
      <w:pPr>
        <w:pStyle w:val="79"/>
        <w:spacing w:line="360" w:lineRule="auto"/>
        <w:rPr>
          <w:rFonts w:ascii="宋体" w:hAnsi="宋体"/>
          <w:color w:val="000000" w:themeColor="text1"/>
          <w:sz w:val="24"/>
          <w:szCs w:val="24"/>
          <w:highlight w:val="none"/>
          <w14:textFill>
            <w14:solidFill>
              <w14:schemeClr w14:val="tx1"/>
            </w14:solidFill>
          </w14:textFill>
        </w:rPr>
      </w:pPr>
      <w:bookmarkStart w:id="1716" w:name="_Toc453057197"/>
      <w:bookmarkEnd w:id="1716"/>
      <w:bookmarkStart w:id="1717" w:name="_Toc452498666"/>
      <w:bookmarkEnd w:id="1717"/>
      <w:bookmarkStart w:id="1718" w:name="_Toc9003"/>
      <w:bookmarkEnd w:id="1718"/>
      <w:bookmarkStart w:id="1719" w:name="_Toc453056969"/>
      <w:bookmarkEnd w:id="1719"/>
      <w:bookmarkStart w:id="1720" w:name="_Toc451261387"/>
      <w:bookmarkEnd w:id="1720"/>
      <w:bookmarkStart w:id="1721" w:name="_Toc198"/>
      <w:bookmarkEnd w:id="1721"/>
      <w:bookmarkStart w:id="1722" w:name="_Toc452498896"/>
      <w:bookmarkEnd w:id="1722"/>
      <w:bookmarkStart w:id="1723" w:name="_Toc11210"/>
      <w:r>
        <w:rPr>
          <w:rFonts w:hint="eastAsia" w:ascii="宋体" w:hAnsi="宋体"/>
          <w:color w:val="000000" w:themeColor="text1"/>
          <w:sz w:val="24"/>
          <w:szCs w:val="24"/>
          <w:highlight w:val="none"/>
          <w14:textFill>
            <w14:solidFill>
              <w14:schemeClr w14:val="tx1"/>
            </w14:solidFill>
          </w14:textFill>
        </w:rPr>
        <w:t>附件九  特殊材料设备供应一览表</w:t>
      </w:r>
      <w:bookmarkEnd w:id="1723"/>
    </w:p>
    <w:p w14:paraId="38464032">
      <w:pPr>
        <w:pStyle w:val="69"/>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 xml:space="preserve"> 特殊材料设备供应一览表</w:t>
      </w:r>
    </w:p>
    <w:tbl>
      <w:tblPr>
        <w:tblStyle w:val="43"/>
        <w:tblW w:w="8542"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522"/>
        <w:gridCol w:w="708"/>
        <w:gridCol w:w="851"/>
        <w:gridCol w:w="1276"/>
        <w:gridCol w:w="992"/>
        <w:gridCol w:w="992"/>
        <w:gridCol w:w="709"/>
        <w:gridCol w:w="992"/>
      </w:tblGrid>
      <w:tr w14:paraId="3869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500" w:type="dxa"/>
            <w:vAlign w:val="center"/>
          </w:tcPr>
          <w:p w14:paraId="7EE99F7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522" w:type="dxa"/>
            <w:vAlign w:val="center"/>
          </w:tcPr>
          <w:p w14:paraId="0321100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材料品种或设备型号</w:t>
            </w:r>
          </w:p>
        </w:tc>
        <w:tc>
          <w:tcPr>
            <w:tcW w:w="708" w:type="dxa"/>
            <w:vAlign w:val="center"/>
          </w:tcPr>
          <w:p w14:paraId="5B6F1FF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851" w:type="dxa"/>
            <w:vAlign w:val="center"/>
          </w:tcPr>
          <w:p w14:paraId="1DBDA9E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1276" w:type="dxa"/>
            <w:vAlign w:val="center"/>
          </w:tcPr>
          <w:p w14:paraId="0E4DB00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到达工地价格</w:t>
            </w:r>
          </w:p>
          <w:p w14:paraId="62F8E6A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（元）</w:t>
            </w:r>
          </w:p>
        </w:tc>
        <w:tc>
          <w:tcPr>
            <w:tcW w:w="992" w:type="dxa"/>
            <w:vAlign w:val="center"/>
          </w:tcPr>
          <w:p w14:paraId="39E5E71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质量</w:t>
            </w:r>
          </w:p>
          <w:p w14:paraId="31F9C75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等级</w:t>
            </w:r>
          </w:p>
        </w:tc>
        <w:tc>
          <w:tcPr>
            <w:tcW w:w="992" w:type="dxa"/>
            <w:vAlign w:val="center"/>
          </w:tcPr>
          <w:p w14:paraId="65A3EB8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w:t>
            </w:r>
          </w:p>
          <w:p w14:paraId="47568CD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w:t>
            </w:r>
          </w:p>
        </w:tc>
        <w:tc>
          <w:tcPr>
            <w:tcW w:w="709" w:type="dxa"/>
            <w:vAlign w:val="center"/>
          </w:tcPr>
          <w:p w14:paraId="18FBFFE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送达地点</w:t>
            </w:r>
          </w:p>
        </w:tc>
        <w:tc>
          <w:tcPr>
            <w:tcW w:w="992" w:type="dxa"/>
            <w:vAlign w:val="center"/>
          </w:tcPr>
          <w:p w14:paraId="0AFEC6F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14:paraId="0024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58E674C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237C39D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095D0DA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50177CD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3B26D50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3ABA1D8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3B49A1D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33F4420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C27EAE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2C8F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31F1EDC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293012B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0FDB3DA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419E975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3590300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17240C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5B84305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2F9078E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24FD6F2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4B47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6455C90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40876C1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0AFF503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71E5F3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1B539A3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75D9EBB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0A2970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54B789C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0DF27DD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6C47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263BEBF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0D87D7A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04548A6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2944678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7EF18AC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60FBF10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2AEA77F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4FDA2D9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48C464F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38C3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3742FF4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4E11AF5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0339C32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3BA9B7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18BC462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3E79C16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7F4F43F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3F1BF0D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60D9554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0DFD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262E1A2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44F5A00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28024DD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4CE61E7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42406A7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82B5AA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7033CC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28E0C27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2D0BA6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6DA9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6764715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053225D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35395AF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0B65E08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5D2265A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0357D90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442741D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456C9F7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8B8FD9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614B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71B1E3E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51D9551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5539F4E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04C4964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1662E48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A5041D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61B25D0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5C5CA80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5D65892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725B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2C77EDD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68D3359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7E05ABF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655FD70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276" w:type="dxa"/>
          </w:tcPr>
          <w:p w14:paraId="1FBA49C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18C54E5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3E6195E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764AA1F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5C41E80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bl>
    <w:p w14:paraId="5ED79139">
      <w:pPr>
        <w:pStyle w:val="69"/>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1038E2C3">
      <w:pPr>
        <w:pStyle w:val="69"/>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19EDF5A5">
      <w:pPr>
        <w:pStyle w:val="69"/>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BAE588A">
      <w:pPr>
        <w:pStyle w:val="69"/>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5ABB8209">
      <w:pPr>
        <w:pStyle w:val="69"/>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4F6B58E2">
      <w:pPr>
        <w:pStyle w:val="69"/>
        <w:adjustRightInd w:val="0"/>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6B4201FC">
      <w:pPr>
        <w:pStyle w:val="79"/>
        <w:spacing w:line="360" w:lineRule="auto"/>
        <w:rPr>
          <w:rFonts w:ascii="宋体" w:hAnsi="宋体"/>
          <w:color w:val="000000" w:themeColor="text1"/>
          <w:sz w:val="24"/>
          <w:szCs w:val="24"/>
          <w:highlight w:val="none"/>
          <w14:textFill>
            <w14:solidFill>
              <w14:schemeClr w14:val="tx1"/>
            </w14:solidFill>
          </w14:textFill>
        </w:rPr>
      </w:pPr>
      <w:bookmarkStart w:id="1724" w:name="_Toc12982"/>
      <w:r>
        <w:rPr>
          <w:rFonts w:hint="eastAsia" w:ascii="宋体" w:hAnsi="宋体"/>
          <w:color w:val="000000" w:themeColor="text1"/>
          <w:sz w:val="24"/>
          <w:szCs w:val="24"/>
          <w:highlight w:val="none"/>
          <w14:textFill>
            <w14:solidFill>
              <w14:schemeClr w14:val="tx1"/>
            </w14:solidFill>
          </w14:textFill>
        </w:rPr>
        <w:t>附件十  统一采购供应材料一览表</w:t>
      </w:r>
      <w:bookmarkEnd w:id="1724"/>
    </w:p>
    <w:p w14:paraId="1FED69DC">
      <w:pPr>
        <w:pStyle w:val="69"/>
        <w:rPr>
          <w:rFonts w:ascii="宋体" w:hAnsi="宋体" w:cs="宋体"/>
          <w:color w:val="000000" w:themeColor="text1"/>
          <w:sz w:val="24"/>
          <w:highlight w:val="none"/>
          <w14:textFill>
            <w14:solidFill>
              <w14:schemeClr w14:val="tx1"/>
            </w14:solidFill>
          </w14:textFill>
        </w:rPr>
      </w:pPr>
    </w:p>
    <w:tbl>
      <w:tblPr>
        <w:tblStyle w:val="43"/>
        <w:tblW w:w="8684"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522"/>
        <w:gridCol w:w="708"/>
        <w:gridCol w:w="851"/>
        <w:gridCol w:w="1559"/>
        <w:gridCol w:w="992"/>
        <w:gridCol w:w="993"/>
        <w:gridCol w:w="850"/>
        <w:gridCol w:w="709"/>
      </w:tblGrid>
      <w:tr w14:paraId="4F92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500" w:type="dxa"/>
            <w:vAlign w:val="center"/>
          </w:tcPr>
          <w:p w14:paraId="55DB4FB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522" w:type="dxa"/>
            <w:vAlign w:val="center"/>
          </w:tcPr>
          <w:p w14:paraId="7A503E2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材料品种或设备型号</w:t>
            </w:r>
          </w:p>
        </w:tc>
        <w:tc>
          <w:tcPr>
            <w:tcW w:w="708" w:type="dxa"/>
            <w:vAlign w:val="center"/>
          </w:tcPr>
          <w:p w14:paraId="27E11D4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851" w:type="dxa"/>
            <w:vAlign w:val="center"/>
          </w:tcPr>
          <w:p w14:paraId="0AC99F1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数量</w:t>
            </w:r>
          </w:p>
        </w:tc>
        <w:tc>
          <w:tcPr>
            <w:tcW w:w="1559" w:type="dxa"/>
            <w:vAlign w:val="center"/>
          </w:tcPr>
          <w:p w14:paraId="59F7A92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到达工地价格（元）</w:t>
            </w:r>
          </w:p>
        </w:tc>
        <w:tc>
          <w:tcPr>
            <w:tcW w:w="992" w:type="dxa"/>
            <w:vAlign w:val="center"/>
          </w:tcPr>
          <w:p w14:paraId="20BFDB3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质量</w:t>
            </w:r>
          </w:p>
          <w:p w14:paraId="42DC6F8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等级</w:t>
            </w:r>
          </w:p>
        </w:tc>
        <w:tc>
          <w:tcPr>
            <w:tcW w:w="993" w:type="dxa"/>
            <w:vAlign w:val="center"/>
          </w:tcPr>
          <w:p w14:paraId="48BBD52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w:t>
            </w:r>
          </w:p>
          <w:p w14:paraId="7ECFF0A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时间</w:t>
            </w:r>
          </w:p>
        </w:tc>
        <w:tc>
          <w:tcPr>
            <w:tcW w:w="850" w:type="dxa"/>
            <w:vAlign w:val="center"/>
          </w:tcPr>
          <w:p w14:paraId="67382A6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送达地点</w:t>
            </w:r>
          </w:p>
        </w:tc>
        <w:tc>
          <w:tcPr>
            <w:tcW w:w="709" w:type="dxa"/>
            <w:vAlign w:val="center"/>
          </w:tcPr>
          <w:p w14:paraId="6D41C89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14:paraId="7A7E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4EDA0D7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0F8D492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6CEDD7A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41F8C6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0D7C3B5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64CE87B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2791A1B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298EBB9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77DC484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1DAE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52F115C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4B1E75E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49C9B9A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19893C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166CCA1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0493346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7A6274A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1E9DDB8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238794A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37FF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1CFC67A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7410E05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49016CD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5BC367D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475A0AC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4195E65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72E58CC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7AC39E6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3DD759B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6C83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0E3D92C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2DB5A8D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25F622F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1C1E32D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6AE98E6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443BF9F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76467B7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6ED7BA4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34F231B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64F5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79F944F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354CEA8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4D1575E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1CD4597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18726BB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20A49F4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31F7966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13E826F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7F6B74E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6C96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2963D57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547227F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7050A0F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A142F2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7889D54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765189F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4C87531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53D5F97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469FDB2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7395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5F61034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2F16BB3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2948421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8C928D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47B302C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362B1BF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593C730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416EBB0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676F08E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430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6FAD758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24799AF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4B0A7EA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3DF0806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6F6AA5F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40D514E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04EF5DE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32E6F79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54C5030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r w14:paraId="24C4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500" w:type="dxa"/>
          </w:tcPr>
          <w:p w14:paraId="539F23A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22" w:type="dxa"/>
          </w:tcPr>
          <w:p w14:paraId="58CBA1F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8" w:type="dxa"/>
          </w:tcPr>
          <w:p w14:paraId="2950804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1" w:type="dxa"/>
          </w:tcPr>
          <w:p w14:paraId="791F4D3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1559" w:type="dxa"/>
          </w:tcPr>
          <w:p w14:paraId="451F60E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2" w:type="dxa"/>
          </w:tcPr>
          <w:p w14:paraId="6073E9D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993" w:type="dxa"/>
          </w:tcPr>
          <w:p w14:paraId="5FBD7BA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850" w:type="dxa"/>
          </w:tcPr>
          <w:p w14:paraId="34C9E33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709" w:type="dxa"/>
          </w:tcPr>
          <w:p w14:paraId="03EAC14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r>
    </w:tbl>
    <w:p w14:paraId="26EBABAE">
      <w:pPr>
        <w:pStyle w:val="69"/>
        <w:rPr>
          <w:rFonts w:ascii="宋体" w:hAnsi="宋体" w:cs="宋体"/>
          <w:color w:val="000000" w:themeColor="text1"/>
          <w:sz w:val="28"/>
          <w:szCs w:val="28"/>
          <w:highlight w:val="none"/>
          <w14:textFill>
            <w14:solidFill>
              <w14:schemeClr w14:val="tx1"/>
            </w14:solidFill>
          </w14:textFill>
        </w:rPr>
      </w:pPr>
    </w:p>
    <w:p w14:paraId="4428F837">
      <w:pPr>
        <w:pStyle w:val="69"/>
        <w:rPr>
          <w:rFonts w:ascii="宋体" w:hAnsi="宋体" w:cs="宋体"/>
          <w:color w:val="000000" w:themeColor="text1"/>
          <w:sz w:val="28"/>
          <w:szCs w:val="28"/>
          <w:highlight w:val="none"/>
          <w14:textFill>
            <w14:solidFill>
              <w14:schemeClr w14:val="tx1"/>
            </w14:solidFill>
          </w14:textFill>
        </w:rPr>
      </w:pPr>
    </w:p>
    <w:p w14:paraId="2ECE3415">
      <w:pPr>
        <w:pStyle w:val="69"/>
        <w:rPr>
          <w:rFonts w:ascii="宋体" w:hAnsi="宋体" w:cs="宋体"/>
          <w:color w:val="000000" w:themeColor="text1"/>
          <w:sz w:val="28"/>
          <w:szCs w:val="28"/>
          <w:highlight w:val="none"/>
          <w14:textFill>
            <w14:solidFill>
              <w14:schemeClr w14:val="tx1"/>
            </w14:solidFill>
          </w14:textFill>
        </w:rPr>
      </w:pPr>
    </w:p>
    <w:p w14:paraId="2DAA9DC2">
      <w:pPr>
        <w:pStyle w:val="69"/>
        <w:rPr>
          <w:rFonts w:ascii="宋体" w:hAnsi="宋体" w:cs="宋体"/>
          <w:color w:val="000000" w:themeColor="text1"/>
          <w:sz w:val="28"/>
          <w:szCs w:val="28"/>
          <w:highlight w:val="none"/>
          <w14:textFill>
            <w14:solidFill>
              <w14:schemeClr w14:val="tx1"/>
            </w14:solidFill>
          </w14:textFill>
        </w:rPr>
      </w:pPr>
    </w:p>
    <w:p w14:paraId="11FB0050">
      <w:pPr>
        <w:pStyle w:val="79"/>
        <w:spacing w:line="360" w:lineRule="auto"/>
        <w:rPr>
          <w:rFonts w:ascii="宋体" w:hAnsi="宋体"/>
          <w:color w:val="000000" w:themeColor="text1"/>
          <w:sz w:val="24"/>
          <w:szCs w:val="24"/>
          <w:highlight w:val="none"/>
          <w14:textFill>
            <w14:solidFill>
              <w14:schemeClr w14:val="tx1"/>
            </w14:solidFill>
          </w14:textFill>
        </w:rPr>
      </w:pPr>
      <w:bookmarkStart w:id="1725" w:name="_Toc453056970"/>
      <w:bookmarkEnd w:id="1725"/>
      <w:bookmarkStart w:id="1726" w:name="_Toc451261388"/>
      <w:bookmarkEnd w:id="1726"/>
      <w:bookmarkStart w:id="1727" w:name="_Toc14336"/>
      <w:bookmarkEnd w:id="1727"/>
      <w:bookmarkStart w:id="1728" w:name="_Toc16722"/>
      <w:bookmarkEnd w:id="1728"/>
      <w:bookmarkStart w:id="1729" w:name="_Toc452498667"/>
      <w:bookmarkEnd w:id="1729"/>
      <w:bookmarkStart w:id="1730" w:name="_Toc453057198"/>
      <w:bookmarkEnd w:id="1730"/>
      <w:bookmarkStart w:id="1731" w:name="_Toc452498897"/>
      <w:bookmarkEnd w:id="1731"/>
      <w:r>
        <w:rPr>
          <w:rFonts w:hint="eastAsia" w:ascii="宋体" w:hAnsi="宋体" w:cs="宋体"/>
          <w:color w:val="000000" w:themeColor="text1"/>
          <w:sz w:val="24"/>
          <w:szCs w:val="24"/>
          <w:highlight w:val="none"/>
          <w14:textFill>
            <w14:solidFill>
              <w14:schemeClr w14:val="tx1"/>
            </w14:solidFill>
          </w14:textFill>
        </w:rPr>
        <w:br w:type="page"/>
      </w:r>
      <w:bookmarkStart w:id="1732" w:name="_Toc20717"/>
      <w:r>
        <w:rPr>
          <w:rFonts w:hint="eastAsia" w:ascii="宋体" w:hAnsi="宋体"/>
          <w:color w:val="000000" w:themeColor="text1"/>
          <w:sz w:val="24"/>
          <w:szCs w:val="24"/>
          <w:highlight w:val="none"/>
          <w14:textFill>
            <w14:solidFill>
              <w14:schemeClr w14:val="tx1"/>
            </w14:solidFill>
          </w14:textFill>
        </w:rPr>
        <w:t>附件十一  承包人违约金一览表</w:t>
      </w:r>
      <w:bookmarkEnd w:id="1732"/>
    </w:p>
    <w:p w14:paraId="116CFC79">
      <w:pPr>
        <w:pStyle w:val="69"/>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22.1.2附表   承包人违约金一览表</w:t>
      </w:r>
    </w:p>
    <w:tbl>
      <w:tblPr>
        <w:tblStyle w:val="43"/>
        <w:tblW w:w="963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14"/>
        <w:gridCol w:w="3534"/>
        <w:gridCol w:w="2350"/>
        <w:gridCol w:w="1914"/>
      </w:tblGrid>
      <w:tr w14:paraId="75C0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20" w:type="dxa"/>
            <w:vAlign w:val="center"/>
          </w:tcPr>
          <w:p w14:paraId="3D35E18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1114" w:type="dxa"/>
            <w:vAlign w:val="center"/>
          </w:tcPr>
          <w:p w14:paraId="6C50DF4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合同依据</w:t>
            </w:r>
          </w:p>
        </w:tc>
        <w:tc>
          <w:tcPr>
            <w:tcW w:w="3534" w:type="dxa"/>
            <w:vAlign w:val="center"/>
          </w:tcPr>
          <w:p w14:paraId="0DA2217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违约内容</w:t>
            </w:r>
          </w:p>
        </w:tc>
        <w:tc>
          <w:tcPr>
            <w:tcW w:w="2350" w:type="dxa"/>
            <w:vAlign w:val="center"/>
          </w:tcPr>
          <w:p w14:paraId="0B980CB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违约金标准</w:t>
            </w:r>
          </w:p>
        </w:tc>
        <w:tc>
          <w:tcPr>
            <w:tcW w:w="1914" w:type="dxa"/>
            <w:vAlign w:val="center"/>
          </w:tcPr>
          <w:p w14:paraId="0039D21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14:paraId="53E7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20" w:type="dxa"/>
            <w:vAlign w:val="center"/>
          </w:tcPr>
          <w:p w14:paraId="15A22BE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114" w:type="dxa"/>
            <w:vAlign w:val="center"/>
          </w:tcPr>
          <w:p w14:paraId="2272E17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1.6.3</w:t>
            </w:r>
          </w:p>
        </w:tc>
        <w:tc>
          <w:tcPr>
            <w:tcW w:w="3534" w:type="dxa"/>
            <w:vAlign w:val="center"/>
          </w:tcPr>
          <w:p w14:paraId="765CD23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未得到监理人批准，承包人擅自对施工图的任何部分进行修改。</w:t>
            </w:r>
          </w:p>
        </w:tc>
        <w:tc>
          <w:tcPr>
            <w:tcW w:w="2350" w:type="dxa"/>
            <w:vAlign w:val="center"/>
          </w:tcPr>
          <w:p w14:paraId="1B7492A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2万元/次</w:t>
            </w:r>
          </w:p>
        </w:tc>
        <w:tc>
          <w:tcPr>
            <w:tcW w:w="1914" w:type="dxa"/>
          </w:tcPr>
          <w:p w14:paraId="1304BBB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3CAF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20" w:type="dxa"/>
            <w:vAlign w:val="center"/>
          </w:tcPr>
          <w:p w14:paraId="539B0BC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114" w:type="dxa"/>
            <w:vAlign w:val="center"/>
          </w:tcPr>
          <w:p w14:paraId="0F821A1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4.1.4</w:t>
            </w:r>
          </w:p>
        </w:tc>
        <w:tc>
          <w:tcPr>
            <w:tcW w:w="3534" w:type="dxa"/>
            <w:vAlign w:val="center"/>
          </w:tcPr>
          <w:p w14:paraId="3D91D3E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施工组织设计未经审批即开始实施。</w:t>
            </w:r>
          </w:p>
        </w:tc>
        <w:tc>
          <w:tcPr>
            <w:tcW w:w="2350" w:type="dxa"/>
            <w:vAlign w:val="center"/>
          </w:tcPr>
          <w:p w14:paraId="5D473E8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30 万元/次</w:t>
            </w:r>
          </w:p>
        </w:tc>
        <w:tc>
          <w:tcPr>
            <w:tcW w:w="1914" w:type="dxa"/>
          </w:tcPr>
          <w:p w14:paraId="090CCABE">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属于严重违约，建议参照“违规分包或转包”进行重罚。</w:t>
            </w:r>
          </w:p>
        </w:tc>
      </w:tr>
      <w:tr w14:paraId="0302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20" w:type="dxa"/>
            <w:vAlign w:val="center"/>
          </w:tcPr>
          <w:p w14:paraId="2399504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114" w:type="dxa"/>
            <w:vAlign w:val="center"/>
          </w:tcPr>
          <w:p w14:paraId="1655D74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4.1.4</w:t>
            </w:r>
          </w:p>
        </w:tc>
        <w:tc>
          <w:tcPr>
            <w:tcW w:w="3534" w:type="dxa"/>
            <w:vAlign w:val="center"/>
          </w:tcPr>
          <w:p w14:paraId="5664587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未按批复的施工组织设计方案组织施工，随意调整或变更。</w:t>
            </w:r>
          </w:p>
        </w:tc>
        <w:tc>
          <w:tcPr>
            <w:tcW w:w="2350" w:type="dxa"/>
            <w:vAlign w:val="center"/>
          </w:tcPr>
          <w:p w14:paraId="6089FB8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万元/次</w:t>
            </w:r>
          </w:p>
        </w:tc>
        <w:tc>
          <w:tcPr>
            <w:tcW w:w="1914" w:type="dxa"/>
          </w:tcPr>
          <w:p w14:paraId="5C19462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参照“擅自对施工图的任何部分进行修订”进行处罚。</w:t>
            </w:r>
          </w:p>
        </w:tc>
      </w:tr>
      <w:tr w14:paraId="072B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20" w:type="dxa"/>
            <w:vAlign w:val="center"/>
          </w:tcPr>
          <w:p w14:paraId="71EE01D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114" w:type="dxa"/>
            <w:vAlign w:val="center"/>
          </w:tcPr>
          <w:p w14:paraId="0FD2195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4.1.4</w:t>
            </w:r>
          </w:p>
        </w:tc>
        <w:tc>
          <w:tcPr>
            <w:tcW w:w="3534" w:type="dxa"/>
            <w:vAlign w:val="center"/>
          </w:tcPr>
          <w:p w14:paraId="09234E6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超过一定规模的危险性较大工程未组织专家论证、审查。</w:t>
            </w:r>
          </w:p>
        </w:tc>
        <w:tc>
          <w:tcPr>
            <w:tcW w:w="2350" w:type="dxa"/>
            <w:vAlign w:val="center"/>
          </w:tcPr>
          <w:p w14:paraId="5A70084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万元/次</w:t>
            </w:r>
          </w:p>
        </w:tc>
        <w:tc>
          <w:tcPr>
            <w:tcW w:w="1914" w:type="dxa"/>
          </w:tcPr>
          <w:p w14:paraId="7639C44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参照“擅自对施工图的任何部分进行修订”进行处罚。</w:t>
            </w:r>
          </w:p>
        </w:tc>
      </w:tr>
      <w:tr w14:paraId="1554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20" w:type="dxa"/>
            <w:vAlign w:val="center"/>
          </w:tcPr>
          <w:p w14:paraId="0FBE76A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114" w:type="dxa"/>
            <w:vAlign w:val="center"/>
          </w:tcPr>
          <w:p w14:paraId="5409B29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4.1.4</w:t>
            </w:r>
          </w:p>
        </w:tc>
        <w:tc>
          <w:tcPr>
            <w:tcW w:w="3534" w:type="dxa"/>
            <w:vAlign w:val="center"/>
          </w:tcPr>
          <w:p w14:paraId="5015CC7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因设计出现重大变更、施工方法发生重大调整、外部施工环境或施工条件发生重大变化等未及时进行修编的。</w:t>
            </w:r>
          </w:p>
        </w:tc>
        <w:tc>
          <w:tcPr>
            <w:tcW w:w="2350" w:type="dxa"/>
            <w:vAlign w:val="center"/>
          </w:tcPr>
          <w:p w14:paraId="6A3BC9C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万元/次</w:t>
            </w:r>
          </w:p>
        </w:tc>
        <w:tc>
          <w:tcPr>
            <w:tcW w:w="1914" w:type="dxa"/>
          </w:tcPr>
          <w:p w14:paraId="464413D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2650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20" w:type="dxa"/>
            <w:vAlign w:val="center"/>
          </w:tcPr>
          <w:p w14:paraId="53F9A54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114" w:type="dxa"/>
            <w:vAlign w:val="center"/>
          </w:tcPr>
          <w:p w14:paraId="7214733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w:t>
            </w:r>
          </w:p>
        </w:tc>
        <w:tc>
          <w:tcPr>
            <w:tcW w:w="3534" w:type="dxa"/>
            <w:vAlign w:val="center"/>
          </w:tcPr>
          <w:p w14:paraId="00B999E4">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违规分包或转包</w:t>
            </w:r>
          </w:p>
        </w:tc>
        <w:tc>
          <w:tcPr>
            <w:tcW w:w="2350" w:type="dxa"/>
            <w:vAlign w:val="center"/>
          </w:tcPr>
          <w:p w14:paraId="14C4231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30万元/次</w:t>
            </w:r>
          </w:p>
        </w:tc>
        <w:tc>
          <w:tcPr>
            <w:tcW w:w="1914" w:type="dxa"/>
          </w:tcPr>
          <w:p w14:paraId="27D23CF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57B4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720" w:type="dxa"/>
            <w:vAlign w:val="center"/>
          </w:tcPr>
          <w:p w14:paraId="0CCD16B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114" w:type="dxa"/>
            <w:vAlign w:val="center"/>
          </w:tcPr>
          <w:p w14:paraId="6CA2C69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4.6.1</w:t>
            </w:r>
          </w:p>
        </w:tc>
        <w:tc>
          <w:tcPr>
            <w:tcW w:w="3534" w:type="dxa"/>
            <w:vAlign w:val="center"/>
          </w:tcPr>
          <w:p w14:paraId="120CE03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承包人在接到监理人要求人员进场的通知 5 天后仍未安排相关人员进场，从第 6 天算起扣除承包人的违约金。</w:t>
            </w:r>
          </w:p>
        </w:tc>
        <w:tc>
          <w:tcPr>
            <w:tcW w:w="2350" w:type="dxa"/>
            <w:vAlign w:val="center"/>
          </w:tcPr>
          <w:p w14:paraId="438C8B1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项目经理、项目技术负责人2万元/人日；其他主要技术人员1万元/人日</w:t>
            </w:r>
          </w:p>
        </w:tc>
        <w:tc>
          <w:tcPr>
            <w:tcW w:w="1914" w:type="dxa"/>
          </w:tcPr>
          <w:p w14:paraId="30B5AFB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如果承包人接到通知15天未安排相关人员 进场，将要求其更换人选，同时执行人员更换违约条款。</w:t>
            </w:r>
          </w:p>
        </w:tc>
      </w:tr>
      <w:tr w14:paraId="1593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20" w:type="dxa"/>
            <w:vAlign w:val="center"/>
          </w:tcPr>
          <w:p w14:paraId="6D92971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114" w:type="dxa"/>
            <w:vAlign w:val="center"/>
          </w:tcPr>
          <w:p w14:paraId="7172186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4.6.3（2）</w:t>
            </w:r>
          </w:p>
        </w:tc>
        <w:tc>
          <w:tcPr>
            <w:tcW w:w="3534" w:type="dxa"/>
            <w:vAlign w:val="center"/>
          </w:tcPr>
          <w:p w14:paraId="19712B8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承包人的档案资料整理负责人在本项目连续工作不足 1 年。</w:t>
            </w:r>
          </w:p>
        </w:tc>
        <w:tc>
          <w:tcPr>
            <w:tcW w:w="2350" w:type="dxa"/>
            <w:vAlign w:val="center"/>
          </w:tcPr>
          <w:p w14:paraId="7941DE7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1万元/人次</w:t>
            </w:r>
          </w:p>
        </w:tc>
        <w:tc>
          <w:tcPr>
            <w:tcW w:w="1914" w:type="dxa"/>
          </w:tcPr>
          <w:p w14:paraId="1E427D5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0DB3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720" w:type="dxa"/>
            <w:vAlign w:val="center"/>
          </w:tcPr>
          <w:p w14:paraId="297F560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1114" w:type="dxa"/>
            <w:vAlign w:val="center"/>
          </w:tcPr>
          <w:p w14:paraId="6D04784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4.6.3（3）</w:t>
            </w:r>
          </w:p>
        </w:tc>
        <w:tc>
          <w:tcPr>
            <w:tcW w:w="3534" w:type="dxa"/>
            <w:vAlign w:val="center"/>
          </w:tcPr>
          <w:p w14:paraId="76F8911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项目经理、总工程师驻守现场不足 22天/月，处以不足天数的违约金。</w:t>
            </w:r>
          </w:p>
        </w:tc>
        <w:tc>
          <w:tcPr>
            <w:tcW w:w="2350" w:type="dxa"/>
            <w:vAlign w:val="center"/>
          </w:tcPr>
          <w:p w14:paraId="56EE901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5000元/天</w:t>
            </w:r>
          </w:p>
        </w:tc>
        <w:tc>
          <w:tcPr>
            <w:tcW w:w="1914" w:type="dxa"/>
          </w:tcPr>
          <w:p w14:paraId="2692DA6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4742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20" w:type="dxa"/>
            <w:vAlign w:val="center"/>
          </w:tcPr>
          <w:p w14:paraId="0E53393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1114" w:type="dxa"/>
            <w:vAlign w:val="center"/>
          </w:tcPr>
          <w:p w14:paraId="45532F7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4.6.3（4）</w:t>
            </w:r>
          </w:p>
        </w:tc>
        <w:tc>
          <w:tcPr>
            <w:tcW w:w="3534" w:type="dxa"/>
            <w:vAlign w:val="center"/>
          </w:tcPr>
          <w:p w14:paraId="1A35816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专职安全生产管理人员没有按规定配备：年度施工产值 5000 万元以上不足2 亿元的按每 5000 万元不少于 1 名的比例配备；2 亿元以上的不少于 5 名，且按专业配备（不足 5000 万至少配备1 名）。</w:t>
            </w:r>
          </w:p>
        </w:tc>
        <w:tc>
          <w:tcPr>
            <w:tcW w:w="2350" w:type="dxa"/>
            <w:vAlign w:val="center"/>
          </w:tcPr>
          <w:p w14:paraId="4272560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5万元/人次</w:t>
            </w:r>
          </w:p>
        </w:tc>
        <w:tc>
          <w:tcPr>
            <w:tcW w:w="1914" w:type="dxa"/>
          </w:tcPr>
          <w:p w14:paraId="56CCE794">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6C22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20" w:type="dxa"/>
            <w:vAlign w:val="center"/>
          </w:tcPr>
          <w:p w14:paraId="5442215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1114" w:type="dxa"/>
            <w:vAlign w:val="center"/>
          </w:tcPr>
          <w:p w14:paraId="67686C3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4.6.3（5）</w:t>
            </w:r>
          </w:p>
        </w:tc>
        <w:tc>
          <w:tcPr>
            <w:tcW w:w="3534" w:type="dxa"/>
            <w:vAlign w:val="center"/>
          </w:tcPr>
          <w:p w14:paraId="4E2638F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项目经理或总工程师无故缺席发包人指定的各种会议，包括监理人主持的重要会议（如工地例会等）。</w:t>
            </w:r>
          </w:p>
        </w:tc>
        <w:tc>
          <w:tcPr>
            <w:tcW w:w="2350" w:type="dxa"/>
            <w:vAlign w:val="center"/>
          </w:tcPr>
          <w:p w14:paraId="0035050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1万元/次</w:t>
            </w:r>
          </w:p>
        </w:tc>
        <w:tc>
          <w:tcPr>
            <w:tcW w:w="1914" w:type="dxa"/>
          </w:tcPr>
          <w:p w14:paraId="03DB000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4FC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720" w:type="dxa"/>
            <w:vAlign w:val="center"/>
          </w:tcPr>
          <w:p w14:paraId="4FDF512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1114" w:type="dxa"/>
            <w:vAlign w:val="center"/>
          </w:tcPr>
          <w:p w14:paraId="55A948E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4.6.6</w:t>
            </w:r>
          </w:p>
        </w:tc>
        <w:tc>
          <w:tcPr>
            <w:tcW w:w="3534" w:type="dxa"/>
            <w:vAlign w:val="center"/>
          </w:tcPr>
          <w:p w14:paraId="7680806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不签订劳动合同、非法使用农民工的，或者拖延和克扣农民工工资的，由此造成劳务人员上访或劳动纠纷的。</w:t>
            </w:r>
          </w:p>
        </w:tc>
        <w:tc>
          <w:tcPr>
            <w:tcW w:w="2350" w:type="dxa"/>
            <w:vAlign w:val="center"/>
          </w:tcPr>
          <w:p w14:paraId="33EDA8D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10万元/次</w:t>
            </w:r>
          </w:p>
        </w:tc>
        <w:tc>
          <w:tcPr>
            <w:tcW w:w="1914" w:type="dxa"/>
          </w:tcPr>
          <w:p w14:paraId="5994D1A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18BF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720" w:type="dxa"/>
            <w:vAlign w:val="center"/>
          </w:tcPr>
          <w:p w14:paraId="370F3AD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1114" w:type="dxa"/>
            <w:vAlign w:val="center"/>
          </w:tcPr>
          <w:p w14:paraId="707A22E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4.6.6</w:t>
            </w:r>
          </w:p>
        </w:tc>
        <w:tc>
          <w:tcPr>
            <w:tcW w:w="3534" w:type="dxa"/>
            <w:vAlign w:val="center"/>
          </w:tcPr>
          <w:p w14:paraId="00C6D9F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未按交通运输主管部门、上级主管或管理单位等要求落实从业人员实名制管理和工资支付管理的。</w:t>
            </w:r>
          </w:p>
        </w:tc>
        <w:tc>
          <w:tcPr>
            <w:tcW w:w="2350" w:type="dxa"/>
            <w:vAlign w:val="center"/>
          </w:tcPr>
          <w:p w14:paraId="620DCDB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5万元/次</w:t>
            </w:r>
          </w:p>
        </w:tc>
        <w:tc>
          <w:tcPr>
            <w:tcW w:w="1914" w:type="dxa"/>
          </w:tcPr>
          <w:p w14:paraId="560EDE9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03F0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720" w:type="dxa"/>
            <w:vAlign w:val="center"/>
          </w:tcPr>
          <w:p w14:paraId="758BBB5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1114" w:type="dxa"/>
            <w:vAlign w:val="center"/>
          </w:tcPr>
          <w:p w14:paraId="0EB2CA5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4.6.7</w:t>
            </w:r>
          </w:p>
        </w:tc>
        <w:tc>
          <w:tcPr>
            <w:tcW w:w="3534" w:type="dxa"/>
            <w:vAlign w:val="center"/>
          </w:tcPr>
          <w:p w14:paraId="02182C2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分项工程的施工员没在现场管理的。</w:t>
            </w:r>
          </w:p>
        </w:tc>
        <w:tc>
          <w:tcPr>
            <w:tcW w:w="2350" w:type="dxa"/>
            <w:vAlign w:val="center"/>
          </w:tcPr>
          <w:p w14:paraId="2C6632F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1000元/次</w:t>
            </w:r>
          </w:p>
        </w:tc>
        <w:tc>
          <w:tcPr>
            <w:tcW w:w="1914" w:type="dxa"/>
          </w:tcPr>
          <w:p w14:paraId="21E1BE4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7EBF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20" w:type="dxa"/>
            <w:vAlign w:val="center"/>
          </w:tcPr>
          <w:p w14:paraId="59F5C6E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p>
        </w:tc>
        <w:tc>
          <w:tcPr>
            <w:tcW w:w="1114" w:type="dxa"/>
            <w:vAlign w:val="center"/>
          </w:tcPr>
          <w:p w14:paraId="43368B9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4.6.7</w:t>
            </w:r>
          </w:p>
        </w:tc>
        <w:tc>
          <w:tcPr>
            <w:tcW w:w="3534" w:type="dxa"/>
            <w:vAlign w:val="center"/>
          </w:tcPr>
          <w:p w14:paraId="33C437F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重要工序（桩基、面层施工等），没有施工员在现场管理的。</w:t>
            </w:r>
          </w:p>
        </w:tc>
        <w:tc>
          <w:tcPr>
            <w:tcW w:w="2350" w:type="dxa"/>
            <w:vAlign w:val="center"/>
          </w:tcPr>
          <w:p w14:paraId="34B071D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2000元/次</w:t>
            </w:r>
          </w:p>
        </w:tc>
        <w:tc>
          <w:tcPr>
            <w:tcW w:w="1914" w:type="dxa"/>
          </w:tcPr>
          <w:p w14:paraId="28888E1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0956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2DFB9E7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w:t>
            </w:r>
          </w:p>
        </w:tc>
        <w:tc>
          <w:tcPr>
            <w:tcW w:w="1114" w:type="dxa"/>
            <w:vAlign w:val="center"/>
          </w:tcPr>
          <w:p w14:paraId="075094C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4.6.7</w:t>
            </w:r>
          </w:p>
        </w:tc>
        <w:tc>
          <w:tcPr>
            <w:tcW w:w="3534" w:type="dxa"/>
            <w:vAlign w:val="center"/>
          </w:tcPr>
          <w:p w14:paraId="1892476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超过24小时没有施工员在场而继续施工的。</w:t>
            </w:r>
          </w:p>
        </w:tc>
        <w:tc>
          <w:tcPr>
            <w:tcW w:w="2350" w:type="dxa"/>
            <w:vAlign w:val="center"/>
          </w:tcPr>
          <w:p w14:paraId="764A92C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5000元/次</w:t>
            </w:r>
          </w:p>
        </w:tc>
        <w:tc>
          <w:tcPr>
            <w:tcW w:w="1914" w:type="dxa"/>
          </w:tcPr>
          <w:p w14:paraId="30C35E2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r>
      <w:tr w14:paraId="3050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13A6AC1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w:t>
            </w:r>
          </w:p>
        </w:tc>
        <w:tc>
          <w:tcPr>
            <w:tcW w:w="1114" w:type="dxa"/>
            <w:vAlign w:val="center"/>
          </w:tcPr>
          <w:p w14:paraId="0D12A03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5.1.2</w:t>
            </w:r>
          </w:p>
        </w:tc>
        <w:tc>
          <w:tcPr>
            <w:tcW w:w="3534" w:type="dxa"/>
            <w:vAlign w:val="center"/>
          </w:tcPr>
          <w:p w14:paraId="26CE73C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承包人应按照《投标人拟投入的关键设备承诺表》中所列的品牌进行采购，不得变更设备品牌。</w:t>
            </w:r>
          </w:p>
        </w:tc>
        <w:tc>
          <w:tcPr>
            <w:tcW w:w="2350" w:type="dxa"/>
            <w:vAlign w:val="center"/>
          </w:tcPr>
          <w:p w14:paraId="00DBFF6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未按照《投标人拟投入的关键设备承诺表》中所列设备品牌进行采购，按以下标准向发包人提交违约金：关键设备 80 万元/类，其他主要设备 30 万元/类。</w:t>
            </w:r>
          </w:p>
        </w:tc>
        <w:tc>
          <w:tcPr>
            <w:tcW w:w="1914" w:type="dxa"/>
          </w:tcPr>
          <w:p w14:paraId="5A3AEA6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本条可适用于机电工程（包括收费、监控、通信三大系统及通信管道、隧道消防和供配电等）采用设备选型评分的情形，由招标人自行选择设置相应内容。</w:t>
            </w:r>
          </w:p>
        </w:tc>
      </w:tr>
      <w:tr w14:paraId="512E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54168EA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w:t>
            </w:r>
          </w:p>
        </w:tc>
        <w:tc>
          <w:tcPr>
            <w:tcW w:w="1114" w:type="dxa"/>
            <w:vAlign w:val="center"/>
          </w:tcPr>
          <w:p w14:paraId="7EFFEE8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5.3.1</w:t>
            </w:r>
          </w:p>
        </w:tc>
        <w:tc>
          <w:tcPr>
            <w:tcW w:w="3534" w:type="dxa"/>
            <w:vAlign w:val="center"/>
          </w:tcPr>
          <w:p w14:paraId="24A6CD7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未经监理人同意，承包人将专用于本工程的材料、工程设备、施工设备和临时设施运出施工场地或挪作他用。</w:t>
            </w:r>
          </w:p>
        </w:tc>
        <w:tc>
          <w:tcPr>
            <w:tcW w:w="2350" w:type="dxa"/>
            <w:vAlign w:val="center"/>
          </w:tcPr>
          <w:p w14:paraId="7819DF3A">
            <w:pPr>
              <w:pStyle w:val="69"/>
              <w:keepNext w:val="0"/>
              <w:keepLines w:val="0"/>
              <w:suppressLineNumbers w:val="0"/>
              <w:spacing w:before="0" w:beforeAutospacing="0" w:after="0" w:afterAutospacing="0"/>
              <w:ind w:left="0" w:right="-118" w:rightChars="-56"/>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1万元/台，同时处以1000元/天的罚款直至承包人纠正为止。</w:t>
            </w:r>
          </w:p>
        </w:tc>
        <w:tc>
          <w:tcPr>
            <w:tcW w:w="1914" w:type="dxa"/>
            <w:vAlign w:val="center"/>
          </w:tcPr>
          <w:p w14:paraId="27E5049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27A0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497E6B1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1114" w:type="dxa"/>
            <w:vAlign w:val="center"/>
          </w:tcPr>
          <w:p w14:paraId="3C9CEFB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6.1.1</w:t>
            </w:r>
          </w:p>
        </w:tc>
        <w:tc>
          <w:tcPr>
            <w:tcW w:w="3534" w:type="dxa"/>
            <w:vAlign w:val="center"/>
          </w:tcPr>
          <w:p w14:paraId="5A95A64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按施工进度计划须到位而未到位的主要设备，或擅自改变主要设备型号。</w:t>
            </w:r>
          </w:p>
        </w:tc>
        <w:tc>
          <w:tcPr>
            <w:tcW w:w="2350" w:type="dxa"/>
            <w:vAlign w:val="center"/>
          </w:tcPr>
          <w:p w14:paraId="0CD10C63">
            <w:pPr>
              <w:pStyle w:val="69"/>
              <w:keepNext w:val="0"/>
              <w:keepLines w:val="0"/>
              <w:suppressLineNumbers w:val="0"/>
              <w:spacing w:before="0" w:beforeAutospacing="0" w:after="0" w:afterAutospacing="0"/>
              <w:ind w:left="0" w:right="-118" w:rightChars="-56"/>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1万元/台，同时处以1000元/天的罚款直至承包人纠正为止。</w:t>
            </w:r>
          </w:p>
        </w:tc>
        <w:tc>
          <w:tcPr>
            <w:tcW w:w="1914" w:type="dxa"/>
            <w:vAlign w:val="center"/>
          </w:tcPr>
          <w:p w14:paraId="14CEB62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402E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0E36ECC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w:t>
            </w:r>
          </w:p>
        </w:tc>
        <w:tc>
          <w:tcPr>
            <w:tcW w:w="1114" w:type="dxa"/>
            <w:vAlign w:val="center"/>
          </w:tcPr>
          <w:p w14:paraId="1FF6147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6.3</w:t>
            </w:r>
          </w:p>
        </w:tc>
        <w:tc>
          <w:tcPr>
            <w:tcW w:w="3534" w:type="dxa"/>
            <w:vAlign w:val="center"/>
          </w:tcPr>
          <w:p w14:paraId="08915AF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承包人未按监理人要求增加或更换施工设备。</w:t>
            </w:r>
          </w:p>
        </w:tc>
        <w:tc>
          <w:tcPr>
            <w:tcW w:w="2350" w:type="dxa"/>
            <w:vAlign w:val="center"/>
          </w:tcPr>
          <w:p w14:paraId="13E62E8F">
            <w:pPr>
              <w:pStyle w:val="69"/>
              <w:keepNext w:val="0"/>
              <w:keepLines w:val="0"/>
              <w:suppressLineNumbers w:val="0"/>
              <w:spacing w:before="0" w:beforeAutospacing="0" w:after="0" w:afterAutospacing="0"/>
              <w:ind w:left="0" w:right="-118" w:rightChars="-56"/>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1万元/台，同时处以1000元/天的罚款直至承包人纠正为止。</w:t>
            </w:r>
          </w:p>
        </w:tc>
        <w:tc>
          <w:tcPr>
            <w:tcW w:w="1914" w:type="dxa"/>
            <w:vAlign w:val="center"/>
          </w:tcPr>
          <w:p w14:paraId="2FB3485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0B80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4C53C4C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p>
        </w:tc>
        <w:tc>
          <w:tcPr>
            <w:tcW w:w="1114" w:type="dxa"/>
            <w:vAlign w:val="center"/>
          </w:tcPr>
          <w:p w14:paraId="4B42D4C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11.1.1</w:t>
            </w:r>
          </w:p>
        </w:tc>
        <w:tc>
          <w:tcPr>
            <w:tcW w:w="3534" w:type="dxa"/>
            <w:vAlign w:val="center"/>
          </w:tcPr>
          <w:p w14:paraId="1F65357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承包人未按期开工。</w:t>
            </w:r>
          </w:p>
        </w:tc>
        <w:tc>
          <w:tcPr>
            <w:tcW w:w="2350" w:type="dxa"/>
            <w:vAlign w:val="center"/>
          </w:tcPr>
          <w:p w14:paraId="38E3166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参照工期延误的标准扣除违约金。</w:t>
            </w:r>
          </w:p>
        </w:tc>
        <w:tc>
          <w:tcPr>
            <w:tcW w:w="1914" w:type="dxa"/>
            <w:vAlign w:val="center"/>
          </w:tcPr>
          <w:p w14:paraId="4252BED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r w14:paraId="1F13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20" w:type="dxa"/>
            <w:vAlign w:val="center"/>
          </w:tcPr>
          <w:p w14:paraId="5059277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p>
        </w:tc>
        <w:tc>
          <w:tcPr>
            <w:tcW w:w="1114" w:type="dxa"/>
            <w:vAlign w:val="center"/>
          </w:tcPr>
          <w:p w14:paraId="6B9F41C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11.5</w:t>
            </w:r>
          </w:p>
        </w:tc>
        <w:tc>
          <w:tcPr>
            <w:tcW w:w="3534" w:type="dxa"/>
            <w:vAlign w:val="center"/>
          </w:tcPr>
          <w:p w14:paraId="5BE3431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承包人的工期延误</w:t>
            </w:r>
          </w:p>
        </w:tc>
        <w:tc>
          <w:tcPr>
            <w:tcW w:w="2350" w:type="dxa"/>
            <w:vAlign w:val="center"/>
          </w:tcPr>
          <w:p w14:paraId="6C13B8C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按照项目专用条款数据表第11.5款规定的标准扣除。</w:t>
            </w:r>
          </w:p>
        </w:tc>
        <w:tc>
          <w:tcPr>
            <w:tcW w:w="1914" w:type="dxa"/>
            <w:vAlign w:val="center"/>
          </w:tcPr>
          <w:p w14:paraId="4ECFFD2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r>
    </w:tbl>
    <w:p w14:paraId="5C25D7B2">
      <w:pPr>
        <w:pStyle w:val="69"/>
        <w:jc w:val="right"/>
        <w:rPr>
          <w:rFonts w:ascii="宋体" w:hAnsi="宋体" w:cs="宋体"/>
          <w:color w:val="000000" w:themeColor="text1"/>
          <w:sz w:val="24"/>
          <w:highlight w:val="none"/>
          <w14:textFill>
            <w14:solidFill>
              <w14:schemeClr w14:val="tx1"/>
            </w14:solidFill>
          </w14:textFill>
        </w:rPr>
      </w:pPr>
    </w:p>
    <w:p w14:paraId="7C0D6E49">
      <w:pPr>
        <w:pStyle w:val="69"/>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14:paraId="24AF8882">
      <w:pPr>
        <w:pStyle w:val="79"/>
        <w:spacing w:line="360" w:lineRule="auto"/>
        <w:rPr>
          <w:rFonts w:ascii="宋体" w:hAnsi="宋体"/>
          <w:color w:val="000000" w:themeColor="text1"/>
          <w:sz w:val="24"/>
          <w:szCs w:val="24"/>
          <w:highlight w:val="none"/>
          <w14:textFill>
            <w14:solidFill>
              <w14:schemeClr w14:val="tx1"/>
            </w14:solidFill>
          </w14:textFill>
        </w:rPr>
      </w:pPr>
      <w:bookmarkStart w:id="1733" w:name="_Toc453056971"/>
      <w:bookmarkEnd w:id="1733"/>
      <w:bookmarkStart w:id="1734" w:name="_Toc453057199"/>
      <w:bookmarkEnd w:id="1734"/>
      <w:bookmarkStart w:id="1735" w:name="_Toc452498898"/>
      <w:bookmarkEnd w:id="1735"/>
      <w:bookmarkStart w:id="1736" w:name="_Toc451261389"/>
      <w:bookmarkEnd w:id="1736"/>
      <w:bookmarkStart w:id="1737" w:name="_Toc5359"/>
      <w:bookmarkEnd w:id="1737"/>
      <w:bookmarkStart w:id="1738" w:name="_Toc452498668"/>
      <w:bookmarkEnd w:id="1738"/>
      <w:bookmarkStart w:id="1739" w:name="_Toc12136"/>
      <w:bookmarkEnd w:id="1739"/>
      <w:bookmarkStart w:id="1740" w:name="_Toc5763"/>
      <w:r>
        <w:rPr>
          <w:rFonts w:hint="eastAsia"/>
          <w:bCs w:val="0"/>
          <w:color w:val="000000" w:themeColor="text1"/>
          <w:sz w:val="24"/>
          <w:szCs w:val="24"/>
          <w:highlight w:val="none"/>
          <w14:textFill>
            <w14:solidFill>
              <w14:schemeClr w14:val="tx1"/>
            </w14:solidFill>
          </w14:textFill>
        </w:rPr>
        <w:t>附件十二  工程质量、安全及文明施工处罚项目一览表</w:t>
      </w:r>
      <w:bookmarkEnd w:id="1740"/>
    </w:p>
    <w:p w14:paraId="00710EC1">
      <w:pPr>
        <w:pStyle w:val="69"/>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工程质量、安全及文明施工处罚项目一览表</w:t>
      </w:r>
    </w:p>
    <w:tbl>
      <w:tblPr>
        <w:tblStyle w:val="43"/>
        <w:tblW w:w="926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17"/>
        <w:gridCol w:w="8019"/>
      </w:tblGrid>
      <w:tr w14:paraId="4454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24" w:type="dxa"/>
            <w:vAlign w:val="center"/>
          </w:tcPr>
          <w:p w14:paraId="1C19F57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类别</w:t>
            </w:r>
          </w:p>
        </w:tc>
        <w:tc>
          <w:tcPr>
            <w:tcW w:w="717" w:type="dxa"/>
            <w:vAlign w:val="center"/>
          </w:tcPr>
          <w:p w14:paraId="5231F8F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序号</w:t>
            </w:r>
          </w:p>
        </w:tc>
        <w:tc>
          <w:tcPr>
            <w:tcW w:w="8019" w:type="dxa"/>
            <w:vAlign w:val="center"/>
          </w:tcPr>
          <w:p w14:paraId="194256D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处罚项目</w:t>
            </w:r>
          </w:p>
        </w:tc>
      </w:tr>
      <w:tr w14:paraId="3824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524" w:type="dxa"/>
            <w:vMerge w:val="restart"/>
            <w:vAlign w:val="center"/>
          </w:tcPr>
          <w:p w14:paraId="5D10DCA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路基及砌体工程</w:t>
            </w:r>
          </w:p>
        </w:tc>
        <w:tc>
          <w:tcPr>
            <w:tcW w:w="717" w:type="dxa"/>
            <w:vAlign w:val="center"/>
          </w:tcPr>
          <w:p w14:paraId="67C4478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19" w:type="dxa"/>
            <w:vAlign w:val="center"/>
          </w:tcPr>
          <w:p w14:paraId="40D78E0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填土没有路拱(要求2％～4％)，排水不畅的；路基施工未采取临时防护排水措施的，每处违约金2000元。</w:t>
            </w:r>
          </w:p>
        </w:tc>
      </w:tr>
      <w:tr w14:paraId="3954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524" w:type="dxa"/>
            <w:vMerge w:val="continue"/>
            <w:vAlign w:val="center"/>
          </w:tcPr>
          <w:p w14:paraId="5ED77A1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1DC7BDD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19" w:type="dxa"/>
            <w:vAlign w:val="center"/>
          </w:tcPr>
          <w:p w14:paraId="5B962C2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路基平整度不符合规范要求的，每处违约金2000元。</w:t>
            </w:r>
          </w:p>
        </w:tc>
      </w:tr>
      <w:tr w14:paraId="521D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24" w:type="dxa"/>
            <w:vMerge w:val="continue"/>
            <w:vAlign w:val="center"/>
          </w:tcPr>
          <w:p w14:paraId="5FF6CF3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3628F8F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19" w:type="dxa"/>
            <w:vAlign w:val="center"/>
          </w:tcPr>
          <w:p w14:paraId="6118E43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路基填土未经平地机整平就进行压实施工的，每处违约金 2000 元。</w:t>
            </w:r>
          </w:p>
        </w:tc>
      </w:tr>
      <w:tr w14:paraId="6B64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24" w:type="dxa"/>
            <w:vMerge w:val="continue"/>
            <w:vAlign w:val="center"/>
          </w:tcPr>
          <w:p w14:paraId="045D901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53F264F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19" w:type="dxa"/>
            <w:vAlign w:val="center"/>
          </w:tcPr>
          <w:p w14:paraId="51A5EDA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填土松铺厚度或现场实测的压实层厚度超过试验段报告明确的松铺厚度或压实层厚时，每处违约金 5000 元。</w:t>
            </w:r>
          </w:p>
        </w:tc>
      </w:tr>
      <w:tr w14:paraId="08F2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524" w:type="dxa"/>
            <w:vMerge w:val="continue"/>
            <w:vAlign w:val="center"/>
          </w:tcPr>
          <w:p w14:paraId="5EF3B49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4CB326C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19" w:type="dxa"/>
            <w:vAlign w:val="center"/>
          </w:tcPr>
          <w:p w14:paraId="3CA5FCC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路槽底面以下 0-80cm 范围内，填料最大粒径不超过 10cm，在 80cm 以下的填料最大粒径不超过 15cm。违者每次违约金 2000 元。</w:t>
            </w:r>
          </w:p>
        </w:tc>
      </w:tr>
      <w:tr w14:paraId="38FD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24" w:type="dxa"/>
            <w:vMerge w:val="continue"/>
            <w:vAlign w:val="center"/>
          </w:tcPr>
          <w:p w14:paraId="0EE14BF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4D3F47F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19" w:type="dxa"/>
            <w:vAlign w:val="center"/>
          </w:tcPr>
          <w:p w14:paraId="5D53CBA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路基填土应按规定作液限、塑限指数及 CBR 值试验。违者每次违约金 5000 元。</w:t>
            </w:r>
          </w:p>
        </w:tc>
      </w:tr>
      <w:tr w14:paraId="7044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524" w:type="dxa"/>
            <w:vMerge w:val="continue"/>
            <w:vAlign w:val="center"/>
          </w:tcPr>
          <w:p w14:paraId="268C26A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557D364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19" w:type="dxa"/>
            <w:vAlign w:val="center"/>
          </w:tcPr>
          <w:p w14:paraId="0680BAD4">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确保填方边坡碾压密实，边坡坡面要夯实，路基宽度在设计基础上每边超填不小于 50cm，等植草前刷坡。违者每处违约金 2000 元。</w:t>
            </w:r>
          </w:p>
        </w:tc>
      </w:tr>
      <w:tr w14:paraId="7D36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4" w:type="dxa"/>
            <w:vMerge w:val="continue"/>
            <w:vAlign w:val="center"/>
          </w:tcPr>
          <w:p w14:paraId="588C1A6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3393652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19" w:type="dxa"/>
            <w:vAlign w:val="center"/>
          </w:tcPr>
          <w:p w14:paraId="0950CA6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填土压实度达不到设计要求的，每检测段违约金 2000 元。</w:t>
            </w:r>
          </w:p>
        </w:tc>
      </w:tr>
      <w:tr w14:paraId="4557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4" w:type="dxa"/>
            <w:vMerge w:val="continue"/>
            <w:vAlign w:val="center"/>
          </w:tcPr>
          <w:p w14:paraId="2FB5371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0C35D86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19" w:type="dxa"/>
            <w:vAlign w:val="center"/>
          </w:tcPr>
          <w:p w14:paraId="2E41B9B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石方路基靠近边坡范围采用光面爆破，爆破后及时清理险石、松石，违者每处违约金 2000 元。</w:t>
            </w:r>
          </w:p>
        </w:tc>
      </w:tr>
      <w:tr w14:paraId="558E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524" w:type="dxa"/>
            <w:vMerge w:val="continue"/>
            <w:vAlign w:val="center"/>
          </w:tcPr>
          <w:p w14:paraId="4AC94BB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60F3E59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8019" w:type="dxa"/>
            <w:vAlign w:val="center"/>
          </w:tcPr>
          <w:p w14:paraId="3E1EC1E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路堤填石要求逐层水平填筑石块，摆放平整，码砌边部，空隙用石渣石屑嵌压稳定，石块尺寸符合规范要求，违者每处违约金 2000 元。</w:t>
            </w:r>
          </w:p>
        </w:tc>
      </w:tr>
      <w:tr w14:paraId="6636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24" w:type="dxa"/>
            <w:vMerge w:val="continue"/>
            <w:vAlign w:val="center"/>
          </w:tcPr>
          <w:p w14:paraId="22F354E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70C7B06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8019" w:type="dxa"/>
            <w:vAlign w:val="center"/>
          </w:tcPr>
          <w:p w14:paraId="72BE259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粉喷桩应严格控制喷粉时间、停粉时间、水泥喷入量，不得中断喷粉，确保喷粉桩长度，桩身上部范围必须进行二次搅拌，违者每次违约金 2000 元。</w:t>
            </w:r>
          </w:p>
        </w:tc>
      </w:tr>
      <w:tr w14:paraId="7669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524" w:type="dxa"/>
            <w:vMerge w:val="continue"/>
            <w:vAlign w:val="center"/>
          </w:tcPr>
          <w:p w14:paraId="1D6D817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4FA156E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8019" w:type="dxa"/>
            <w:vAlign w:val="center"/>
          </w:tcPr>
          <w:p w14:paraId="003EB27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软基换填处理未将软土清除干净就进行回填施工的，每处违约金 2000 元。</w:t>
            </w:r>
          </w:p>
        </w:tc>
      </w:tr>
      <w:tr w14:paraId="0F69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24" w:type="dxa"/>
            <w:vMerge w:val="continue"/>
            <w:vAlign w:val="center"/>
          </w:tcPr>
          <w:p w14:paraId="3186C0C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63D1112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8019" w:type="dxa"/>
            <w:vAlign w:val="center"/>
          </w:tcPr>
          <w:p w14:paraId="4CA9241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软基处理未按要求进行沉降和稳定性观测的，每次违约金 2000 元。</w:t>
            </w:r>
          </w:p>
        </w:tc>
      </w:tr>
      <w:tr w14:paraId="535A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524" w:type="dxa"/>
            <w:vMerge w:val="continue"/>
            <w:vAlign w:val="center"/>
          </w:tcPr>
          <w:p w14:paraId="007CE5A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2E838A6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8019" w:type="dxa"/>
            <w:vAlign w:val="center"/>
          </w:tcPr>
          <w:p w14:paraId="53121A2E">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软基路段施工前应调查软土分布范围、软土深度，进行土工试验，发现与设计不符的，应通知监理人，违者每次违约金 5000 元。</w:t>
            </w:r>
          </w:p>
        </w:tc>
      </w:tr>
      <w:tr w14:paraId="6EE4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24" w:type="dxa"/>
            <w:vMerge w:val="continue"/>
            <w:vAlign w:val="center"/>
          </w:tcPr>
          <w:p w14:paraId="5CB448D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3C64882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p>
        </w:tc>
        <w:tc>
          <w:tcPr>
            <w:tcW w:w="8019" w:type="dxa"/>
            <w:vAlign w:val="center"/>
          </w:tcPr>
          <w:p w14:paraId="7A2E227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袋装砂井施工中，砂袋未垂吊、灌沙不饱满的，每根违约金 2000 元。</w:t>
            </w:r>
          </w:p>
        </w:tc>
      </w:tr>
      <w:tr w14:paraId="04EE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524" w:type="dxa"/>
            <w:vMerge w:val="continue"/>
            <w:vAlign w:val="center"/>
          </w:tcPr>
          <w:p w14:paraId="0643EE1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42D2AD2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w:t>
            </w:r>
          </w:p>
        </w:tc>
        <w:tc>
          <w:tcPr>
            <w:tcW w:w="8019" w:type="dxa"/>
            <w:vAlign w:val="center"/>
          </w:tcPr>
          <w:p w14:paraId="60BBD3E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袋装砂井、砂袋织物和塑料排水板的材料质量必须符合设计要求，违者每处违约金 2000 元。</w:t>
            </w:r>
          </w:p>
        </w:tc>
      </w:tr>
      <w:tr w14:paraId="4DB2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524" w:type="dxa"/>
            <w:vMerge w:val="continue"/>
            <w:vAlign w:val="center"/>
          </w:tcPr>
          <w:p w14:paraId="103632B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26BF499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w:t>
            </w:r>
          </w:p>
        </w:tc>
        <w:tc>
          <w:tcPr>
            <w:tcW w:w="8019" w:type="dxa"/>
            <w:vAlign w:val="center"/>
          </w:tcPr>
          <w:p w14:paraId="7756D31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土工格栅、土工布等土工材料质量不符合设计要求，搭接宽度、搭接方式不符合有关要求的，每处违约金 2000 元。</w:t>
            </w:r>
          </w:p>
        </w:tc>
      </w:tr>
      <w:tr w14:paraId="177C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3" w:hRule="atLeast"/>
        </w:trPr>
        <w:tc>
          <w:tcPr>
            <w:tcW w:w="524" w:type="dxa"/>
            <w:vMerge w:val="continue"/>
            <w:vAlign w:val="center"/>
          </w:tcPr>
          <w:p w14:paraId="7428BD8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2F9EAA9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w:t>
            </w:r>
          </w:p>
        </w:tc>
        <w:tc>
          <w:tcPr>
            <w:tcW w:w="8019" w:type="dxa"/>
            <w:vAlign w:val="center"/>
          </w:tcPr>
          <w:p w14:paraId="3FAAF46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结构物台背回填施工应符合以下要求，违者每次或每处违约金 2000 元：</w:t>
            </w:r>
          </w:p>
          <w:p w14:paraId="4CAC957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（1）除肋式及桩柱式外，回填必须在上部结构安装完毕，结构物验收合格，且砼强度达到设计的 85%后方可进行；</w:t>
            </w:r>
          </w:p>
          <w:p w14:paraId="1E522B9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（2）回填必须在构造物两端对称填筑压实，以免产生变形、破坏，每层松铺厚度不大于 20cm；</w:t>
            </w:r>
          </w:p>
          <w:p w14:paraId="19A4A7D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（3）回填界面路基填筑时必须超填 50cm 以上，超填部分回填施工前清除，保证界面密实；</w:t>
            </w:r>
          </w:p>
          <w:p w14:paraId="6572777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（4）回填砂施工采用水密法，配合插入式振捣捧小型夯实设备，小型压路机进行，必须达到设计压实度；</w:t>
            </w:r>
          </w:p>
          <w:p w14:paraId="1068E1A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（5）台背填料及回填断面应符合设计和规范要求。</w:t>
            </w:r>
          </w:p>
        </w:tc>
      </w:tr>
      <w:tr w14:paraId="1349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4" w:hRule="atLeast"/>
        </w:trPr>
        <w:tc>
          <w:tcPr>
            <w:tcW w:w="524" w:type="dxa"/>
            <w:vMerge w:val="continue"/>
            <w:vAlign w:val="center"/>
          </w:tcPr>
          <w:p w14:paraId="0E312FB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4689F1E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8019" w:type="dxa"/>
            <w:vAlign w:val="center"/>
          </w:tcPr>
          <w:p w14:paraId="4571224F">
            <w:pPr>
              <w:pStyle w:val="69"/>
              <w:keepNext w:val="0"/>
              <w:keepLines w:val="0"/>
              <w:suppressLineNumbers w:val="0"/>
              <w:spacing w:before="0" w:beforeAutospacing="0" w:after="0" w:afterAutospacing="0"/>
              <w:ind w:left="0" w:right="0" w:firstLine="360" w:firstLineChars="15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砌体工程不满足下列规定者，每项违约金2000元，并作返工处理：</w:t>
            </w:r>
          </w:p>
          <w:p w14:paraId="7108781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（1）不得采用风化石，表面石料粒径需≥30cm；</w:t>
            </w:r>
          </w:p>
          <w:p w14:paraId="2EA7967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（2））构造物表面平顺，无凹凸扭曲现象，砂浆抹边的棱角线、平直度：2m拉线(直尺)检查≤l0mm；</w:t>
            </w:r>
          </w:p>
          <w:p w14:paraId="67BBAEF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（3）上边坡护面墙砌体一律勾凹缝；</w:t>
            </w:r>
          </w:p>
          <w:p w14:paraId="64E8894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（4）勾缝不得有瞎缝、丢缝、裂纹和脱落现象，缝宽统一；</w:t>
            </w:r>
          </w:p>
          <w:p w14:paraId="14ECEEEE">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（5）石缝不大于40mm，砌缝内砂浆均匀饱满，不得有空洞；</w:t>
            </w:r>
          </w:p>
          <w:p w14:paraId="6991F41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（6）层间错缝不大于80mm，三块石相接空隙不大于70mm；</w:t>
            </w:r>
          </w:p>
          <w:p w14:paraId="620C507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（7）砂浆抹面，平整度用2m直尺检查≤8mm，不得有裂缝、空鼓现象；</w:t>
            </w:r>
          </w:p>
          <w:p w14:paraId="0767D33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（8）泄水孔排列整齐、按设计设置坡度，无堵塞现象；</w:t>
            </w:r>
          </w:p>
          <w:p w14:paraId="0DA9CA1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（9）截水沟与实际地形砌顺，要求线形顺畅，地形无变化时，不得出现弯曲。</w:t>
            </w:r>
          </w:p>
        </w:tc>
      </w:tr>
      <w:tr w14:paraId="5938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trPr>
        <w:tc>
          <w:tcPr>
            <w:tcW w:w="524" w:type="dxa"/>
            <w:vMerge w:val="continue"/>
            <w:vAlign w:val="center"/>
          </w:tcPr>
          <w:p w14:paraId="6B8B5CD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61D507E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w:t>
            </w:r>
          </w:p>
        </w:tc>
        <w:tc>
          <w:tcPr>
            <w:tcW w:w="8019" w:type="dxa"/>
            <w:vAlign w:val="center"/>
          </w:tcPr>
          <w:p w14:paraId="09B93DB0">
            <w:pPr>
              <w:pStyle w:val="69"/>
              <w:keepNext w:val="0"/>
              <w:keepLines w:val="0"/>
              <w:suppressLineNumbers w:val="0"/>
              <w:spacing w:before="0" w:beforeAutospacing="0" w:after="0" w:afterAutospacing="0"/>
              <w:ind w:left="0" w:right="0" w:firstLine="240" w:firstLineChars="10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浆砌工程存在下列情况之一的，违约金2000元：</w:t>
            </w:r>
          </w:p>
          <w:p w14:paraId="4065907E">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铺砌厚度不满足要求；</w:t>
            </w:r>
          </w:p>
          <w:p w14:paraId="1E75BF83">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垫层厚度不满足要求的；</w:t>
            </w:r>
          </w:p>
          <w:p w14:paraId="10D46D4C">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砌缝内砂浆不饱满的；</w:t>
            </w:r>
          </w:p>
          <w:p w14:paraId="4C41CE1D">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砂浆不采用机械拌和的</w:t>
            </w:r>
          </w:p>
          <w:p w14:paraId="6DC1409B">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砌缝没有错开的：</w:t>
            </w:r>
          </w:p>
          <w:p w14:paraId="7EE1BEE5">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砂浆强度达不到规定要求的：</w:t>
            </w:r>
          </w:p>
          <w:p w14:paraId="2CD3BB9F">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沟底未清理干净，有浮土、泥浆等杂物的；</w:t>
            </w:r>
          </w:p>
          <w:p w14:paraId="38D0E297">
            <w:pPr>
              <w:pStyle w:val="69"/>
              <w:keepNext w:val="0"/>
              <w:keepLines w:val="0"/>
              <w:numPr>
                <w:ilvl w:val="0"/>
                <w:numId w:val="15"/>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施工后不进行养护的。</w:t>
            </w:r>
          </w:p>
        </w:tc>
      </w:tr>
      <w:tr w14:paraId="1A36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24" w:type="dxa"/>
            <w:vMerge w:val="continue"/>
            <w:vAlign w:val="center"/>
          </w:tcPr>
          <w:p w14:paraId="6070077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136B65E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p>
        </w:tc>
        <w:tc>
          <w:tcPr>
            <w:tcW w:w="8019" w:type="dxa"/>
            <w:vAlign w:val="center"/>
          </w:tcPr>
          <w:p w14:paraId="59E668F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排水盲沟断面不符合设计要求，回填碎石含泥量超标的，土工布铺设不符合要求的，违者每处违约金2000元</w:t>
            </w:r>
          </w:p>
        </w:tc>
      </w:tr>
      <w:tr w14:paraId="4592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24" w:type="dxa"/>
            <w:vMerge w:val="continue"/>
            <w:vAlign w:val="center"/>
          </w:tcPr>
          <w:p w14:paraId="5CBDCCB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vAlign w:val="center"/>
          </w:tcPr>
          <w:p w14:paraId="6E2030C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p>
        </w:tc>
        <w:tc>
          <w:tcPr>
            <w:tcW w:w="8019" w:type="dxa"/>
            <w:vAlign w:val="center"/>
          </w:tcPr>
          <w:p w14:paraId="6139F71E">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边坡开挖未做到开挖一级、防护一级的，每次违约金 10000 元。</w:t>
            </w:r>
          </w:p>
        </w:tc>
      </w:tr>
      <w:tr w14:paraId="2055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24" w:type="dxa"/>
            <w:vMerge w:val="continue"/>
            <w:vAlign w:val="center"/>
          </w:tcPr>
          <w:p w14:paraId="7188F60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717" w:type="dxa"/>
            <w:tcBorders>
              <w:bottom w:val="single" w:color="auto" w:sz="4" w:space="0"/>
            </w:tcBorders>
            <w:vAlign w:val="center"/>
          </w:tcPr>
          <w:p w14:paraId="36C965E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w:t>
            </w:r>
          </w:p>
        </w:tc>
        <w:tc>
          <w:tcPr>
            <w:tcW w:w="8019" w:type="dxa"/>
            <w:tcBorders>
              <w:bottom w:val="single" w:color="auto" w:sz="4" w:space="0"/>
            </w:tcBorders>
            <w:vAlign w:val="center"/>
          </w:tcPr>
          <w:p w14:paraId="474C6B4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路堑边坡支挡工程存在以下类别的问题时，每处违约金 5000 元。</w:t>
            </w:r>
          </w:p>
          <w:p w14:paraId="70B2729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（1）锚杆或锚索长度不足；</w:t>
            </w:r>
          </w:p>
          <w:p w14:paraId="478EA2E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（2）压浆不规范；</w:t>
            </w:r>
          </w:p>
          <w:p w14:paraId="3BAC136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（3）张拉力不足；</w:t>
            </w:r>
          </w:p>
          <w:p w14:paraId="0217B8BE">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（4）强度不合格。</w:t>
            </w:r>
          </w:p>
        </w:tc>
      </w:tr>
    </w:tbl>
    <w:p w14:paraId="585CCFFD">
      <w:pPr>
        <w:pStyle w:val="69"/>
        <w:rPr>
          <w:rFonts w:ascii="宋体" w:hAnsi="宋体" w:cs="宋体"/>
          <w:color w:val="000000" w:themeColor="text1"/>
          <w:sz w:val="24"/>
          <w:highlight w:val="none"/>
          <w14:textFill>
            <w14:solidFill>
              <w14:schemeClr w14:val="tx1"/>
            </w14:solidFill>
          </w14:textFill>
        </w:rPr>
      </w:pPr>
    </w:p>
    <w:p w14:paraId="10DCE187">
      <w:pPr>
        <w:pStyle w:val="69"/>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r>
        <w:rPr>
          <w:rFonts w:hint="eastAsia" w:ascii="宋体" w:hAnsi="宋体" w:cs="宋体"/>
          <w:color w:val="000000" w:themeColor="text1"/>
          <w:sz w:val="24"/>
          <w:highlight w:val="none"/>
          <w14:textFill>
            <w14:solidFill>
              <w14:schemeClr w14:val="tx1"/>
            </w14:solidFill>
          </w14:textFill>
        </w:rPr>
        <w:t>续上表</w:t>
      </w:r>
    </w:p>
    <w:tbl>
      <w:tblPr>
        <w:tblStyle w:val="43"/>
        <w:tblW w:w="90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518"/>
        <w:gridCol w:w="8062"/>
      </w:tblGrid>
      <w:tr w14:paraId="56CB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vAlign w:val="center"/>
          </w:tcPr>
          <w:p w14:paraId="499AABD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桥</w:t>
            </w:r>
          </w:p>
          <w:p w14:paraId="3E8768D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涵</w:t>
            </w:r>
          </w:p>
          <w:p w14:paraId="3B67AEF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w:t>
            </w:r>
          </w:p>
          <w:p w14:paraId="6AD82A4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程</w:t>
            </w:r>
          </w:p>
        </w:tc>
        <w:tc>
          <w:tcPr>
            <w:tcW w:w="518" w:type="dxa"/>
            <w:vAlign w:val="center"/>
          </w:tcPr>
          <w:p w14:paraId="6C7E65B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p>
        </w:tc>
        <w:tc>
          <w:tcPr>
            <w:tcW w:w="8062" w:type="dxa"/>
            <w:vAlign w:val="center"/>
          </w:tcPr>
          <w:p w14:paraId="2B54BD6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防撞栏出现大量麻面；线形有明显波折、错台；墙角或接缝漏浆；表面多处露筋，每十米违约金2000元。</w:t>
            </w:r>
          </w:p>
        </w:tc>
      </w:tr>
      <w:tr w14:paraId="33E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19" w:type="dxa"/>
            <w:vMerge w:val="continue"/>
          </w:tcPr>
          <w:p w14:paraId="5918309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8BCD2A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1EA1D87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构造物不按要求进行养生的，每处违约金2000元。</w:t>
            </w:r>
          </w:p>
        </w:tc>
      </w:tr>
      <w:tr w14:paraId="0069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19" w:type="dxa"/>
            <w:vMerge w:val="continue"/>
          </w:tcPr>
          <w:p w14:paraId="5102682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C1318E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407B4C4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构造物施工未采取措施保证钢筋保护层厚度就浇筑砼的，每次违约金2000元。</w:t>
            </w:r>
          </w:p>
        </w:tc>
      </w:tr>
      <w:tr w14:paraId="7429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3B228B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464CA0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34447A6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下列情况，违者每次违约金2000元：</w:t>
            </w:r>
          </w:p>
          <w:p w14:paraId="04694DF5">
            <w:pPr>
              <w:pStyle w:val="69"/>
              <w:keepNext w:val="0"/>
              <w:keepLines w:val="0"/>
              <w:numPr>
                <w:ilvl w:val="0"/>
                <w:numId w:val="16"/>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伸缩缝位置必须保证满足设计要求，安装时必须按气温来确定安装宽度；</w:t>
            </w:r>
          </w:p>
          <w:p w14:paraId="5F4282B8">
            <w:pPr>
              <w:pStyle w:val="69"/>
              <w:keepNext w:val="0"/>
              <w:keepLines w:val="0"/>
              <w:numPr>
                <w:ilvl w:val="0"/>
                <w:numId w:val="16"/>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预留槽口底面的砼必须密实、平整；</w:t>
            </w:r>
          </w:p>
          <w:p w14:paraId="2D7B9A2D">
            <w:pPr>
              <w:pStyle w:val="69"/>
              <w:keepNext w:val="0"/>
              <w:keepLines w:val="0"/>
              <w:numPr>
                <w:ilvl w:val="0"/>
                <w:numId w:val="16"/>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在填充前必须保证干净，不得有杂物。</w:t>
            </w:r>
          </w:p>
        </w:tc>
      </w:tr>
      <w:tr w14:paraId="1881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B4F5F6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56D202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vAlign w:val="center"/>
          </w:tcPr>
          <w:p w14:paraId="390F5FB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张拉千斤顶没有按规范要求标定，造成拉力不符设计要求的，每次违约金2000元。</w:t>
            </w:r>
          </w:p>
        </w:tc>
      </w:tr>
      <w:tr w14:paraId="54EB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19" w:type="dxa"/>
            <w:vMerge w:val="continue"/>
          </w:tcPr>
          <w:p w14:paraId="19EF42A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1E2AAC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62" w:type="dxa"/>
            <w:vAlign w:val="center"/>
          </w:tcPr>
          <w:p w14:paraId="67EF956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预应力筋有烧伤或划伤，必须立即撤换，违者每次违约金5000元。</w:t>
            </w:r>
          </w:p>
        </w:tc>
      </w:tr>
      <w:tr w14:paraId="0D0E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519" w:type="dxa"/>
            <w:vMerge w:val="continue"/>
          </w:tcPr>
          <w:p w14:paraId="544641C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1225E84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62" w:type="dxa"/>
            <w:vAlign w:val="center"/>
          </w:tcPr>
          <w:p w14:paraId="3A7D87A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预应力筋因施工不当造成断丝且无法补救时，每次违约金8000元。</w:t>
            </w:r>
          </w:p>
        </w:tc>
      </w:tr>
      <w:tr w14:paraId="2D05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443F929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4EAA4D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62" w:type="dxa"/>
            <w:vAlign w:val="center"/>
          </w:tcPr>
          <w:p w14:paraId="71E384B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预制梁施工必须符合设计要求，吊装位置准确，标高误差±lcm，违者违约金2000元。</w:t>
            </w:r>
          </w:p>
        </w:tc>
      </w:tr>
      <w:tr w14:paraId="5533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62C147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2E8445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62" w:type="dxa"/>
            <w:vAlign w:val="center"/>
          </w:tcPr>
          <w:p w14:paraId="5064C93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一个经过自检的钢筋骨架中钢筋焊接长度不足及焊缝不饱满超过3处的，违约金 2000元。 </w:t>
            </w:r>
          </w:p>
        </w:tc>
      </w:tr>
      <w:tr w14:paraId="15B7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EB694B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29FC76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8062" w:type="dxa"/>
            <w:vAlign w:val="center"/>
          </w:tcPr>
          <w:p w14:paraId="6E3160E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一个经过自检的钢筋骨架有3处钢筋间距(包括土筋和构造筋)不符合规范要求的违约金2000元。</w:t>
            </w:r>
          </w:p>
        </w:tc>
      </w:tr>
      <w:tr w14:paraId="5BC7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19" w:type="dxa"/>
            <w:vMerge w:val="continue"/>
          </w:tcPr>
          <w:p w14:paraId="5D17309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246DFF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8062" w:type="dxa"/>
            <w:vAlign w:val="center"/>
          </w:tcPr>
          <w:p w14:paraId="5C5A987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钢筋骨架己生锈，在浇筑砼前未作去锈处理的，每次违约金2000元。</w:t>
            </w:r>
          </w:p>
        </w:tc>
      </w:tr>
      <w:tr w14:paraId="183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218EE1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466EA0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8062" w:type="dxa"/>
            <w:vAlign w:val="center"/>
          </w:tcPr>
          <w:p w14:paraId="588348A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在钻孔桩的施工中泥浆循环系统未设沉淀池的，或沉淀池规格不符合有关要求的，每处违约金2000元。</w:t>
            </w:r>
          </w:p>
        </w:tc>
      </w:tr>
      <w:tr w14:paraId="3EB8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52E2EF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BD23BE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8062" w:type="dxa"/>
            <w:vAlign w:val="center"/>
          </w:tcPr>
          <w:p w14:paraId="7200926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桩基检测评定为C类桩的，每根违约金2000元，出现不合格桩的，每根违约金5000元。</w:t>
            </w:r>
          </w:p>
        </w:tc>
      </w:tr>
      <w:tr w14:paraId="34E0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19" w:type="dxa"/>
            <w:vMerge w:val="continue"/>
          </w:tcPr>
          <w:p w14:paraId="6471E984">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BCFA65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8062" w:type="dxa"/>
            <w:vAlign w:val="center"/>
          </w:tcPr>
          <w:p w14:paraId="10EB1A1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浇注砼时，自由下落高度超过2m而不用串筒的，每次违约金2000元。</w:t>
            </w:r>
          </w:p>
        </w:tc>
      </w:tr>
      <w:tr w14:paraId="1476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19" w:type="dxa"/>
            <w:vMerge w:val="continue"/>
          </w:tcPr>
          <w:p w14:paraId="159FB44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1795AB1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p>
        </w:tc>
        <w:tc>
          <w:tcPr>
            <w:tcW w:w="8062" w:type="dxa"/>
            <w:vAlign w:val="center"/>
          </w:tcPr>
          <w:p w14:paraId="7594353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砼施工配合比不按重量比的，每次违约金5000元。</w:t>
            </w:r>
          </w:p>
        </w:tc>
      </w:tr>
      <w:tr w14:paraId="51DF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19" w:type="dxa"/>
            <w:vMerge w:val="continue"/>
          </w:tcPr>
          <w:p w14:paraId="5897E43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28EF9A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w:t>
            </w:r>
          </w:p>
        </w:tc>
        <w:tc>
          <w:tcPr>
            <w:tcW w:w="8062" w:type="dxa"/>
            <w:vAlign w:val="center"/>
          </w:tcPr>
          <w:p w14:paraId="6D1929E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两梁板之间接缝不得有杂物，填充料符合设计要求，违者违约金2000元。</w:t>
            </w:r>
          </w:p>
        </w:tc>
      </w:tr>
      <w:tr w14:paraId="2573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8C93EB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CB8E0C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w:t>
            </w:r>
          </w:p>
        </w:tc>
        <w:tc>
          <w:tcPr>
            <w:tcW w:w="8062" w:type="dxa"/>
            <w:vAlign w:val="center"/>
          </w:tcPr>
          <w:p w14:paraId="27E9D06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砼拌和现场的称量和配水机械装置应维持良好状态，拌和机的容量要满足要求，桥梁施工要具备应急拌和机。正在施工的现场不满足上述要求的，每次违约金2000元</w:t>
            </w:r>
          </w:p>
        </w:tc>
      </w:tr>
      <w:tr w14:paraId="6117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19" w:type="dxa"/>
            <w:vMerge w:val="continue"/>
          </w:tcPr>
          <w:p w14:paraId="0F73050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8772AB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w:t>
            </w:r>
          </w:p>
        </w:tc>
        <w:tc>
          <w:tcPr>
            <w:tcW w:w="8062" w:type="dxa"/>
            <w:vAlign w:val="center"/>
          </w:tcPr>
          <w:p w14:paraId="60BBE05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压浆不按配合比制浆，水灰比失控，强度达不到要求的，每次违约金3000元。</w:t>
            </w:r>
          </w:p>
        </w:tc>
      </w:tr>
      <w:tr w14:paraId="3F13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19" w:type="dxa"/>
            <w:vMerge w:val="continue"/>
          </w:tcPr>
          <w:p w14:paraId="03D469F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79CCA2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8062" w:type="dxa"/>
            <w:vAlign w:val="center"/>
          </w:tcPr>
          <w:p w14:paraId="606BF29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压浆不饱满的，每条管违约金3000元。</w:t>
            </w:r>
          </w:p>
        </w:tc>
      </w:tr>
      <w:tr w14:paraId="5956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FB1A93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548819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w:t>
            </w:r>
          </w:p>
        </w:tc>
        <w:tc>
          <w:tcPr>
            <w:tcW w:w="8062" w:type="dxa"/>
            <w:vAlign w:val="center"/>
          </w:tcPr>
          <w:p w14:paraId="607A4E6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预制、现浇砼构件必须采用足够强度、大面积的钢板制模板，违者每次违约金3000元。</w:t>
            </w:r>
          </w:p>
        </w:tc>
      </w:tr>
      <w:tr w14:paraId="6C2D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EA1235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B5ACC8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p>
        </w:tc>
        <w:tc>
          <w:tcPr>
            <w:tcW w:w="8062" w:type="dxa"/>
            <w:vAlign w:val="center"/>
          </w:tcPr>
          <w:p w14:paraId="7A236A4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结构物外观质量不符合要求而需修补的，必须作好修补方案，经试验确实可行，并经发包人和监理人检查同意后，才能采取修整补救措施，无法进行补救的则以“推倒重来”为原则。如有违反，每次违约金3000元。</w:t>
            </w:r>
          </w:p>
        </w:tc>
      </w:tr>
      <w:tr w14:paraId="5E77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433F6A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AD623F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p>
        </w:tc>
        <w:tc>
          <w:tcPr>
            <w:tcW w:w="8062" w:type="dxa"/>
            <w:vAlign w:val="center"/>
          </w:tcPr>
          <w:p w14:paraId="7DDE44A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各标段第一根立柱、盖梁和第一段防撞栏必须经发包人和监理人检查外观质量合格后，方可进行第二根立柱、盖梁和第二段防撞栏的施工，违者每次违约金5000元</w:t>
            </w:r>
          </w:p>
        </w:tc>
      </w:tr>
      <w:tr w14:paraId="3EBC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19" w:type="dxa"/>
            <w:vMerge w:val="continue"/>
          </w:tcPr>
          <w:p w14:paraId="6ECE602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70B002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w:t>
            </w:r>
          </w:p>
        </w:tc>
        <w:tc>
          <w:tcPr>
            <w:tcW w:w="8062" w:type="dxa"/>
            <w:vAlign w:val="center"/>
          </w:tcPr>
          <w:p w14:paraId="3788103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结构标高尺寸误差超出规范允许值，每处违约金2000元。</w:t>
            </w:r>
          </w:p>
        </w:tc>
      </w:tr>
      <w:tr w14:paraId="056B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A6FAFE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941AB8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w:t>
            </w:r>
          </w:p>
        </w:tc>
        <w:tc>
          <w:tcPr>
            <w:tcW w:w="8062" w:type="dxa"/>
            <w:vAlign w:val="center"/>
          </w:tcPr>
          <w:p w14:paraId="542C41D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桥面铺装应符合路面的要求，其强度、厚度、平整度、横坡、抗滑构造深度均应符合要求；桥面与伸缩缝的缝面必须结合良好，保证平整，违者每处违约金2000元。</w:t>
            </w:r>
          </w:p>
        </w:tc>
      </w:tr>
      <w:tr w14:paraId="3B01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DD43C8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8BF8CE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w:t>
            </w:r>
          </w:p>
        </w:tc>
        <w:tc>
          <w:tcPr>
            <w:tcW w:w="8062" w:type="dxa"/>
            <w:vAlign w:val="center"/>
          </w:tcPr>
          <w:p w14:paraId="66F5F6A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达不到以下要求的，每处违约金2000元：</w:t>
            </w:r>
          </w:p>
          <w:p w14:paraId="78115965">
            <w:pPr>
              <w:pStyle w:val="69"/>
              <w:keepNext w:val="0"/>
              <w:keepLines w:val="0"/>
              <w:numPr>
                <w:ilvl w:val="0"/>
                <w:numId w:val="17"/>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钢模板大面平整、坚固，板面缝隙小，错台不大于lmm；</w:t>
            </w:r>
          </w:p>
          <w:p w14:paraId="4EB7915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在盖梁浇筑前，立柱应用薄膜包裹，并用胶布密封固定，防止漏浆损坏立柱外观质量；裸露在砼外的结构钢筋或施工用的临时钢构件，时间需超过一个月，必须采取防锈措施(包裹或油漆)。</w:t>
            </w:r>
          </w:p>
        </w:tc>
      </w:tr>
      <w:tr w14:paraId="3B88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4EA30F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6233B3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w:t>
            </w:r>
          </w:p>
        </w:tc>
        <w:tc>
          <w:tcPr>
            <w:tcW w:w="8062" w:type="dxa"/>
            <w:vAlign w:val="center"/>
          </w:tcPr>
          <w:p w14:paraId="423D4AA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伸缩缝施工出现下列情况，违者每次或每处违约金2000元：</w:t>
            </w:r>
          </w:p>
          <w:p w14:paraId="682F5F0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（1)伸缩缝位置必须保证满足设计要求，安装时必须按气温来确定安装宽度；</w:t>
            </w:r>
          </w:p>
          <w:p w14:paraId="53B2B44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（2)预留槽口底面的砼必须密实、平整；在填充前必须保证干净，不得有杂物；</w:t>
            </w:r>
          </w:p>
          <w:p w14:paraId="112686F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（3)预埋钢筋未按设计要求预埋。</w:t>
            </w:r>
          </w:p>
        </w:tc>
      </w:tr>
      <w:tr w14:paraId="7758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AC4424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1A74B1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w:t>
            </w:r>
          </w:p>
        </w:tc>
        <w:tc>
          <w:tcPr>
            <w:tcW w:w="8062" w:type="dxa"/>
            <w:vAlign w:val="center"/>
          </w:tcPr>
          <w:p w14:paraId="3B3ED6C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支座垫石标高误差超过±5mm，表面不清洁、不平整，有脱空松动的，每处违约金 2000元。</w:t>
            </w:r>
          </w:p>
        </w:tc>
      </w:tr>
      <w:tr w14:paraId="5804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76AFE7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DAD635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w:t>
            </w:r>
          </w:p>
        </w:tc>
        <w:tc>
          <w:tcPr>
            <w:tcW w:w="8062" w:type="dxa"/>
            <w:vAlign w:val="center"/>
          </w:tcPr>
          <w:p w14:paraId="6269F5C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检测发现混凝土强度不合格的构件，每处违约金 10000 元。</w:t>
            </w:r>
          </w:p>
        </w:tc>
      </w:tr>
      <w:tr w14:paraId="2721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vAlign w:val="center"/>
          </w:tcPr>
          <w:p w14:paraId="24EC9C3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w:t>
            </w:r>
          </w:p>
          <w:p w14:paraId="5CCD46B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面工程</w:t>
            </w:r>
          </w:p>
        </w:tc>
        <w:tc>
          <w:tcPr>
            <w:tcW w:w="518" w:type="dxa"/>
            <w:vAlign w:val="center"/>
          </w:tcPr>
          <w:p w14:paraId="6984AAB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50822C4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路面基层必须碾压密实，表面干燥、清洁、无浮土，平整度和路拱度符合要求，违者每处违约金2000元。</w:t>
            </w:r>
          </w:p>
        </w:tc>
      </w:tr>
      <w:tr w14:paraId="0829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vAlign w:val="center"/>
          </w:tcPr>
          <w:p w14:paraId="7B2468D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6266840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725C397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水泥砼路面存在下列问题的，每处违约金1,000元：</w:t>
            </w:r>
          </w:p>
          <w:p w14:paraId="18CB1ADC">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（1)粗细骨料不符合设计要求；</w:t>
            </w:r>
          </w:p>
          <w:p w14:paraId="1F4491F0">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（2)基层和底基层压实度没有≥98%，表面坑洼，明显离析；</w:t>
            </w:r>
          </w:p>
          <w:p w14:paraId="19BE69D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（3)基层和底基层没有清理杂物，有浮土；</w:t>
            </w:r>
          </w:p>
          <w:p w14:paraId="20EFEC05">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（4)砼养生不及时；</w:t>
            </w:r>
          </w:p>
          <w:p w14:paraId="3D17BB95">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（5)膨胀传力杆活动端与固定端方向没有相反；</w:t>
            </w:r>
          </w:p>
          <w:p w14:paraId="304BEBC1">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（6)接缝填充料没有饱满或用料不符合设计要求。</w:t>
            </w:r>
          </w:p>
        </w:tc>
      </w:tr>
      <w:tr w14:paraId="239F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vAlign w:val="center"/>
          </w:tcPr>
          <w:p w14:paraId="6254E39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2F23A07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3B8461EE">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水泥砼路面检测发现混凝土强度不合格的构件，每处违约金 10000 元。</w:t>
            </w:r>
          </w:p>
        </w:tc>
      </w:tr>
      <w:tr w14:paraId="3CDB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466F9A5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5ED816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6497EAE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沥青路面存在以下问题的，每处违约金 10000-50000 元：</w:t>
            </w:r>
          </w:p>
          <w:p w14:paraId="1E3F6B55">
            <w:pPr>
              <w:pStyle w:val="69"/>
              <w:keepNext w:val="0"/>
              <w:keepLines w:val="0"/>
              <w:widowControl/>
              <w:numPr>
                <w:ilvl w:val="0"/>
                <w:numId w:val="18"/>
              </w:numPr>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沥青及矿料质量及混合料级配及混合料指标不符合要求的；</w:t>
            </w:r>
          </w:p>
          <w:p w14:paraId="364BBAF7">
            <w:pPr>
              <w:pStyle w:val="69"/>
              <w:keepNext w:val="0"/>
              <w:keepLines w:val="0"/>
              <w:widowControl/>
              <w:numPr>
                <w:ilvl w:val="0"/>
                <w:numId w:val="18"/>
              </w:numPr>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沥青混合料的拌合温度、摊铺温度、碾压温度不符合规范或设计要求；</w:t>
            </w:r>
          </w:p>
          <w:p w14:paraId="75BEC571">
            <w:pPr>
              <w:pStyle w:val="69"/>
              <w:keepNext w:val="0"/>
              <w:keepLines w:val="0"/>
              <w:widowControl/>
              <w:numPr>
                <w:ilvl w:val="0"/>
                <w:numId w:val="18"/>
              </w:numPr>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沥青混合料的生产，未按要求做抽提实验、筛分试验、马歇尔实验；</w:t>
            </w:r>
          </w:p>
          <w:p w14:paraId="04F838F1">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4）拌和后的混合料不均匀一致，有花白、粗细料分离和结团成块现象；</w:t>
            </w:r>
          </w:p>
          <w:p w14:paraId="599B587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5）路面不平整密实，有泛油、松散、裂缝和明显离析现象；</w:t>
            </w:r>
          </w:p>
          <w:p w14:paraId="7A7C36E7">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6)面层施工前未按要求对基层裂缝进行处理；</w:t>
            </w:r>
          </w:p>
          <w:p w14:paraId="7575892E">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7)面层和路缘石及其他构造物不密贴，有积水或漏水现象的；</w:t>
            </w:r>
          </w:p>
          <w:p w14:paraId="5C35B70F">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8)运输车辆未采取保温措施，运输过程中不加帆布遮盖的；</w:t>
            </w:r>
          </w:p>
          <w:p w14:paraId="0061ED2A">
            <w:pPr>
              <w:pStyle w:val="69"/>
              <w:keepNext w:val="0"/>
              <w:keepLines w:val="0"/>
              <w:widowControl/>
              <w:numPr>
                <w:ilvl w:val="0"/>
                <w:numId w:val="19"/>
              </w:numPr>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下雨时摊铺，或雨后地面过湿而没有采取措施就摊铺的；</w:t>
            </w:r>
          </w:p>
          <w:p w14:paraId="45726776">
            <w:pPr>
              <w:pStyle w:val="69"/>
              <w:keepNext w:val="0"/>
              <w:keepLines w:val="0"/>
              <w:widowControl/>
              <w:numPr>
                <w:ilvl w:val="0"/>
                <w:numId w:val="19"/>
              </w:numPr>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纵横缝施工不符合规范要求的。</w:t>
            </w:r>
          </w:p>
        </w:tc>
      </w:tr>
      <w:tr w14:paraId="3F9B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vAlign w:val="center"/>
          </w:tcPr>
          <w:p w14:paraId="096AD024">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3F38A20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隧道</w:t>
            </w:r>
          </w:p>
          <w:p w14:paraId="24CAC51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w:t>
            </w:r>
          </w:p>
        </w:tc>
        <w:tc>
          <w:tcPr>
            <w:tcW w:w="518" w:type="dxa"/>
            <w:vAlign w:val="center"/>
          </w:tcPr>
          <w:p w14:paraId="0BBF7FB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5BC50E6C">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隧道工程出现以下情况,每处违约金 2000 元：</w:t>
            </w:r>
          </w:p>
          <w:p w14:paraId="1ED90629">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(1)隧道工程应严格控制超欠挖，超挖时必须用同级等强度的砼或同级片石砼回填密实，不得用土石或洞渣回填，违者每次处违约金 2000 元；</w:t>
            </w:r>
          </w:p>
          <w:p w14:paraId="4B8183C1">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(2)周边收敛量测埋点、量测频率不符合规范，数据处理不及时每次违约金2000元。</w:t>
            </w:r>
          </w:p>
        </w:tc>
      </w:tr>
      <w:tr w14:paraId="0401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9AFF58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2529039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7913E866">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隧道工程出现以下情况,每处违约金 1000 元：</w:t>
            </w:r>
          </w:p>
          <w:p w14:paraId="74DCB17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(1)防水板破损穿孔、搭接漏焊；</w:t>
            </w:r>
          </w:p>
          <w:p w14:paraId="2C70B0BB">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(2)防水板漏水；</w:t>
            </w:r>
          </w:p>
          <w:p w14:paraId="4CE0819E">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(3)锚垫板未按要求施工；</w:t>
            </w:r>
          </w:p>
          <w:p w14:paraId="316565BA">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(4)没有按要求进行光面爆破；</w:t>
            </w:r>
          </w:p>
          <w:p w14:paraId="5C7266C8">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(5)洞内装修工程未达到设计要求，没有保持线形平顺，误差超过 1cm；</w:t>
            </w:r>
          </w:p>
          <w:p w14:paraId="666B5DB4">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(6)排水管没有保持畅通，出现渗水、滴水现象；</w:t>
            </w:r>
          </w:p>
          <w:p w14:paraId="210DC94D">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(7)二次衬砌台车刚度不够，施工缝接合处理不好；</w:t>
            </w:r>
          </w:p>
          <w:p w14:paraId="29DCBBE1">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(8）通风、照明、防尘措施、运行不符合要求；</w:t>
            </w:r>
          </w:p>
          <w:p w14:paraId="16B330BC">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(9）钢拱架与隔栅定位不合设计要求。</w:t>
            </w:r>
          </w:p>
        </w:tc>
      </w:tr>
      <w:tr w14:paraId="08ED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9AF002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0D531C9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03D928A3">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施工中承包人应加强监控量测，监控量测应达到指导施工、确保安全、为确定支护参数服务的目的。监控量测发现问题应采取紧急措施避免事态发展，若监控量测失职造成不良后果由进行监控的单位自负，并处以 10000 元/次的违约金。</w:t>
            </w:r>
          </w:p>
        </w:tc>
      </w:tr>
      <w:tr w14:paraId="4A3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D85169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444F87C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7073CD54">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隧道开挖应采用“短进尺、少扰动、早喷锚、紧封闭”的原则，开挖及支护严格按技术规范规定进行控制，避免造成坍塌。若延误支护或初期支护超过规定的距离，由此带来的后果由承包人自负，并处以 10000 元的违约金。</w:t>
            </w:r>
          </w:p>
        </w:tc>
      </w:tr>
      <w:tr w14:paraId="71CE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9A6121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6271866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vAlign w:val="center"/>
          </w:tcPr>
          <w:p w14:paraId="35872A49">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隧道开挖应满足隧道净空及衬砌厚度的要求，控制超挖，严禁欠挖，不许有超限突石。一经发现，处以承包人 1000 元--10000 元的违约金，并要求处理合格。</w:t>
            </w:r>
          </w:p>
        </w:tc>
      </w:tr>
      <w:tr w14:paraId="0342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342CE0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2C0A8FF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62" w:type="dxa"/>
            <w:vAlign w:val="center"/>
          </w:tcPr>
          <w:p w14:paraId="2B8517E7">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隧道拱墙范围内的超挖，要求用与拱圈同级强度的混凝土一次回填密实，衬砌背后的支撑块或其他杂物应清除干净，并按要求填塞紧密，否则，对承包人处以 10000 元的违约金。</w:t>
            </w:r>
          </w:p>
        </w:tc>
      </w:tr>
      <w:tr w14:paraId="6998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30B183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2A6CFD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62" w:type="dxa"/>
            <w:vAlign w:val="center"/>
          </w:tcPr>
          <w:p w14:paraId="13A8DEA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衬砌混凝土强度应满足设计及《公路工程质量检验评定标准》要求，否则，除要求及时采取措施处理外，并处以承包人 10000 元的违约金。</w:t>
            </w:r>
          </w:p>
        </w:tc>
      </w:tr>
      <w:tr w14:paraId="4C56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7657CD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C32EC5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62" w:type="dxa"/>
            <w:vAlign w:val="center"/>
          </w:tcPr>
          <w:p w14:paraId="33E6C30A">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不按照施工技术规范、施工图纸进行施工，偷工减料、粗制滥造的，一经查实，违约处理。锚杆少打或锚杆长度不够，每根处以违约金 500 元。格栅拱架（或钢拱架）每少安一榀处以违约金 5000 元；间距超过设计，在允许误差以外，每超过 1 厘米处以违约金 500 元。</w:t>
            </w:r>
          </w:p>
        </w:tc>
      </w:tr>
      <w:tr w14:paraId="2D07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374B6A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2DB4C4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62" w:type="dxa"/>
            <w:vAlign w:val="center"/>
          </w:tcPr>
          <w:p w14:paraId="299C9E1B">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小导管、大管棚每少打一根（或长度不够）分别处以违约金 2000 元-5000 元。其他偷工减料现象可根据具体情况处以 500 元-2000 元违约金。格栅拱架不垂直处以违约金 500 元/榀，并需按要求处理至监理人认可为止。</w:t>
            </w:r>
          </w:p>
        </w:tc>
      </w:tr>
      <w:tr w14:paraId="1934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EFEC0E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90FDD9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8062" w:type="dxa"/>
            <w:vAlign w:val="center"/>
          </w:tcPr>
          <w:p w14:paraId="224F1EDA">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隧道洞身施工完毕后，不得出现渗水、漏水现象，如出现以上问题，除要求施工单位予以补救外，处以 5000 元/处的违约金。</w:t>
            </w:r>
          </w:p>
        </w:tc>
      </w:tr>
      <w:tr w14:paraId="74AD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85C0A7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6E5986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8062" w:type="dxa"/>
            <w:vAlign w:val="center"/>
          </w:tcPr>
          <w:p w14:paraId="611FAF62">
            <w:pPr>
              <w:pStyle w:val="69"/>
              <w:keepNext w:val="0"/>
              <w:keepLines w:val="0"/>
              <w:widowControl/>
              <w:suppressLineNumbers w:val="0"/>
              <w:spacing w:before="0" w:beforeAutospacing="0" w:after="0" w:afterAutospacing="0"/>
              <w:ind w:left="0" w:right="0"/>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按照规范，隧道作业未开启通风设备的违约金 10000 元/次。</w:t>
            </w:r>
          </w:p>
        </w:tc>
      </w:tr>
      <w:tr w14:paraId="3248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tcPr>
          <w:p w14:paraId="12D06FD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绿化工程</w:t>
            </w:r>
          </w:p>
        </w:tc>
        <w:tc>
          <w:tcPr>
            <w:tcW w:w="518" w:type="dxa"/>
            <w:vAlign w:val="center"/>
          </w:tcPr>
          <w:p w14:paraId="3A110F6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61794FC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如果绿化工程质量不合格或造成质量隐患，按以下标准对承包人进行违约金：以清单单位为违约金依据，即1000元／丛、1000元／株、500元／㎡、500元／t以及10000元／个等。</w:t>
            </w:r>
          </w:p>
        </w:tc>
      </w:tr>
      <w:tr w14:paraId="748C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vAlign w:val="center"/>
          </w:tcPr>
          <w:p w14:paraId="692B71D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安全生产</w:t>
            </w:r>
          </w:p>
        </w:tc>
        <w:tc>
          <w:tcPr>
            <w:tcW w:w="518" w:type="dxa"/>
            <w:vAlign w:val="center"/>
          </w:tcPr>
          <w:p w14:paraId="39F4A3F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1380B56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桥梁施工现场及构件预制场、钢筋加工场、搅拌站、施工驻地须悬挂安全生产标牌，违者每处违约金l000元。</w:t>
            </w:r>
          </w:p>
        </w:tc>
      </w:tr>
      <w:tr w14:paraId="1524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BFE945C">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A55152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65AD46E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基坑开挖未有效围护的，桩孔施工后未加盖的，每处违约金1000元。</w:t>
            </w:r>
          </w:p>
        </w:tc>
      </w:tr>
      <w:tr w14:paraId="6BFA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DB33CF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6A58B0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309A48B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电力线路架设零乱不牢固；电源线老化、绝缘损坏、接头处无包扎的；使用花线或劣质电线；不设电箱、漏电开关；施工现场未设安全警示牌，每处违约金1000元。</w:t>
            </w:r>
          </w:p>
        </w:tc>
      </w:tr>
      <w:tr w14:paraId="77A8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7261CA2">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B1E2B9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75EF3D2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高空作业未设置稳固爬梯；不设围栏、安全网，每处违约金l000元。</w:t>
            </w:r>
          </w:p>
        </w:tc>
      </w:tr>
      <w:tr w14:paraId="3B27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F7B21D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8C94AD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vAlign w:val="center"/>
          </w:tcPr>
          <w:p w14:paraId="160801A4">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爆破作业应按批准的爆破方案及施工安全技术规程的要求进行，并对人身、工程本身及所有财产采取保护措施，违者每次违约金2000元。</w:t>
            </w:r>
          </w:p>
        </w:tc>
      </w:tr>
      <w:tr w14:paraId="0F80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308C4D1">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2E9011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62" w:type="dxa"/>
            <w:vAlign w:val="center"/>
          </w:tcPr>
          <w:p w14:paraId="4289591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爆破器材设专人保管，严格领用手续，违者每次违约金2000元。  </w:t>
            </w:r>
          </w:p>
        </w:tc>
      </w:tr>
      <w:tr w14:paraId="6613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17B98E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70AF147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62" w:type="dxa"/>
            <w:vAlign w:val="center"/>
          </w:tcPr>
          <w:p w14:paraId="1649288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对于安全风险大的高空作业、梁板吊装，要求制订安全预案，违者每次违约金2000元。</w:t>
            </w:r>
          </w:p>
        </w:tc>
      </w:tr>
      <w:tr w14:paraId="1DF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0F0AE1B">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1C44480">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62" w:type="dxa"/>
            <w:vAlign w:val="center"/>
          </w:tcPr>
          <w:p w14:paraId="30FFA38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梁板吊运安装施工方案应经过监理人审批，吊车、龙门架、架桥机要经过安全生产管理部门检查合格，并在设备上张贴“四证”公示牌（当地无法办理使用登记证，张贴“三证”）才能施工作业，违者每次违约金 5000  元。</w:t>
            </w:r>
          </w:p>
        </w:tc>
      </w:tr>
      <w:tr w14:paraId="74DB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519" w:type="dxa"/>
            <w:vMerge w:val="continue"/>
          </w:tcPr>
          <w:p w14:paraId="029CB58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71C6F3A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62" w:type="dxa"/>
            <w:vAlign w:val="center"/>
          </w:tcPr>
          <w:p w14:paraId="3AAD1A2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出现以下情况每次违约金2000元：</w:t>
            </w:r>
          </w:p>
          <w:p w14:paraId="745F403B">
            <w:pPr>
              <w:pStyle w:val="69"/>
              <w:keepNext w:val="0"/>
              <w:keepLines w:val="0"/>
              <w:numPr>
                <w:ilvl w:val="0"/>
                <w:numId w:val="20"/>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施工车辆和机械带病上岗，操作人员无证上岗和违反操作规程；</w:t>
            </w:r>
          </w:p>
          <w:p w14:paraId="145D3F89">
            <w:pPr>
              <w:pStyle w:val="69"/>
              <w:keepNext w:val="0"/>
              <w:keepLines w:val="0"/>
              <w:numPr>
                <w:ilvl w:val="0"/>
                <w:numId w:val="20"/>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发生各种事故苗头及事故未及时不整改和隐瞒不报</w:t>
            </w:r>
          </w:p>
          <w:p w14:paraId="460157A0">
            <w:pPr>
              <w:pStyle w:val="69"/>
              <w:keepNext w:val="0"/>
              <w:keepLines w:val="0"/>
              <w:numPr>
                <w:ilvl w:val="0"/>
                <w:numId w:val="20"/>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每月安全大检查，安全管理人员无故不在位；</w:t>
            </w:r>
          </w:p>
          <w:p w14:paraId="1C1C035D">
            <w:pPr>
              <w:pStyle w:val="69"/>
              <w:keepNext w:val="0"/>
              <w:keepLines w:val="0"/>
              <w:numPr>
                <w:ilvl w:val="0"/>
                <w:numId w:val="20"/>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主要施工机械设备应悬挂操作规程；</w:t>
            </w:r>
          </w:p>
          <w:p w14:paraId="73CF806F">
            <w:pPr>
              <w:pStyle w:val="69"/>
              <w:keepNext w:val="0"/>
              <w:keepLines w:val="0"/>
              <w:numPr>
                <w:ilvl w:val="0"/>
                <w:numId w:val="20"/>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作业人员酒后作业、机器设备带病作业的；</w:t>
            </w:r>
          </w:p>
          <w:p w14:paraId="03B7C263">
            <w:pPr>
              <w:pStyle w:val="69"/>
              <w:keepNext w:val="0"/>
              <w:keepLines w:val="0"/>
              <w:numPr>
                <w:ilvl w:val="0"/>
                <w:numId w:val="20"/>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施工未进行安全交底，安全交底无记录的。</w:t>
            </w:r>
          </w:p>
        </w:tc>
      </w:tr>
      <w:tr w14:paraId="51E7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005EBEF">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7F01B09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8062" w:type="dxa"/>
            <w:vAlign w:val="center"/>
          </w:tcPr>
          <w:p w14:paraId="3EA1169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施工现场人员出现以下情况，每人／次违约金500元：</w:t>
            </w:r>
          </w:p>
          <w:p w14:paraId="1C3FE504">
            <w:pPr>
              <w:pStyle w:val="69"/>
              <w:keepNext w:val="0"/>
              <w:keepLines w:val="0"/>
              <w:numPr>
                <w:ilvl w:val="0"/>
                <w:numId w:val="21"/>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不戴安全帽；</w:t>
            </w:r>
          </w:p>
          <w:p w14:paraId="413345ED">
            <w:pPr>
              <w:pStyle w:val="69"/>
              <w:keepNext w:val="0"/>
              <w:keepLines w:val="0"/>
              <w:numPr>
                <w:ilvl w:val="0"/>
                <w:numId w:val="21"/>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高空作业不系安全带；</w:t>
            </w:r>
          </w:p>
          <w:p w14:paraId="5AF8CB80">
            <w:pPr>
              <w:pStyle w:val="69"/>
              <w:keepNext w:val="0"/>
              <w:keepLines w:val="0"/>
              <w:numPr>
                <w:ilvl w:val="0"/>
                <w:numId w:val="21"/>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水上作业不穿救生衣；</w:t>
            </w:r>
          </w:p>
          <w:p w14:paraId="770D175B">
            <w:pPr>
              <w:pStyle w:val="69"/>
              <w:keepNext w:val="0"/>
              <w:keepLines w:val="0"/>
              <w:numPr>
                <w:ilvl w:val="0"/>
                <w:numId w:val="21"/>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赤脚或穿拖鞋；</w:t>
            </w:r>
          </w:p>
          <w:p w14:paraId="7A9E6B6C">
            <w:pPr>
              <w:pStyle w:val="69"/>
              <w:keepNext w:val="0"/>
              <w:keepLines w:val="0"/>
              <w:numPr>
                <w:ilvl w:val="0"/>
                <w:numId w:val="21"/>
              </w:numPr>
              <w:suppressLineNumbers w:val="0"/>
              <w:spacing w:before="0" w:beforeAutospacing="0" w:after="0" w:afterAutospacing="0"/>
              <w:ind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爆破员、安全员、电工、装载机司机、运输车司机、电焊工、砼工、吊车、架桥机等特殊工种未持证上岗的。</w:t>
            </w:r>
          </w:p>
        </w:tc>
      </w:tr>
      <w:tr w14:paraId="1FF9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vAlign w:val="center"/>
          </w:tcPr>
          <w:p w14:paraId="617D75F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文明施工</w:t>
            </w:r>
          </w:p>
        </w:tc>
        <w:tc>
          <w:tcPr>
            <w:tcW w:w="518" w:type="dxa"/>
            <w:vAlign w:val="center"/>
          </w:tcPr>
          <w:p w14:paraId="5370B72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2C255BA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承包人驻地建设应包括防护、围墙、临时便道和安全、卫生、防火设施，违者每项违约金5000元。   </w:t>
            </w:r>
          </w:p>
        </w:tc>
      </w:tr>
      <w:tr w14:paraId="7E7B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C86BBA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4379769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51F38C2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承包人项目经理部应按发包人统一要求设置组织机构、质量管理、安全生产等宣传牌，违者每项违约金5000元。</w:t>
            </w:r>
          </w:p>
        </w:tc>
      </w:tr>
      <w:tr w14:paraId="3AF9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C7630F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23D3A3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54C4458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单项工程的施工现场未按要求设立标示牌的，施工点无安全员的，每处违约金500元。</w:t>
            </w:r>
          </w:p>
        </w:tc>
      </w:tr>
      <w:tr w14:paraId="6A85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9EF45C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E83976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29DF02E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施工现场管理人员不佩带工作证，每人／次违约金200元。  </w:t>
            </w:r>
          </w:p>
        </w:tc>
      </w:tr>
      <w:tr w14:paraId="4ADF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9E8491D">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1E6F51D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vAlign w:val="center"/>
          </w:tcPr>
          <w:p w14:paraId="0800BD3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路基施工作业面、便道不及时洒水降尘的，每次违约金3000元。</w:t>
            </w:r>
          </w:p>
        </w:tc>
      </w:tr>
      <w:tr w14:paraId="2540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290A52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60E60C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62" w:type="dxa"/>
            <w:vAlign w:val="center"/>
          </w:tcPr>
          <w:p w14:paraId="24A1F1F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桥梁施工过程中的泥浆及废弃物等，须在该项工程完工时即时清除干净，违者违约金30000元。   </w:t>
            </w:r>
          </w:p>
        </w:tc>
      </w:tr>
      <w:tr w14:paraId="3A9A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ECFC96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BE58F0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62" w:type="dxa"/>
            <w:vAlign w:val="center"/>
          </w:tcPr>
          <w:p w14:paraId="7C0E0B7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施工现场未采取有效措施，造成水源污染、空气污染等不良后果，引起群众抗议、投诉或有关行政主管部门处理的，每次违约金 10000 元。</w:t>
            </w:r>
          </w:p>
        </w:tc>
      </w:tr>
      <w:tr w14:paraId="241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19" w:type="dxa"/>
            <w:vMerge w:val="continue"/>
          </w:tcPr>
          <w:p w14:paraId="3F73DC1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C7ADDF2">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62" w:type="dxa"/>
            <w:vAlign w:val="center"/>
          </w:tcPr>
          <w:p w14:paraId="759F801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弃土、弃渣占农田果园、堵塞水道以及造成水土流失的，每次违约金 5000 元。</w:t>
            </w:r>
          </w:p>
        </w:tc>
      </w:tr>
      <w:tr w14:paraId="7AB1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19" w:type="dxa"/>
            <w:vMerge w:val="continue"/>
          </w:tcPr>
          <w:p w14:paraId="4A39D32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3BBC3D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62" w:type="dxa"/>
            <w:vAlign w:val="center"/>
          </w:tcPr>
          <w:p w14:paraId="13B9DA1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水土保持防护措施不完善，造成水土流失，污染当地农田水利的，每次违约金5000 元。</w:t>
            </w:r>
          </w:p>
        </w:tc>
      </w:tr>
      <w:tr w14:paraId="75A2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tcPr>
          <w:p w14:paraId="3604377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57256F2A">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5393924B">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6E0A0888">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240375C4">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6271BD4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55CF931B">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307832F5">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4FBFF592">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2DDC7740">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78E8910C">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5E5FED7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环 境保护</w:t>
            </w:r>
          </w:p>
          <w:p w14:paraId="1496B8A9">
            <w:pPr>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278112C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tcPr>
          <w:p w14:paraId="7F45F848">
            <w:pPr>
              <w:pStyle w:val="81"/>
              <w:keepNext w:val="0"/>
              <w:keepLines w:val="0"/>
              <w:suppressLineNumbers w:val="0"/>
              <w:spacing w:before="86" w:beforeAutospacing="0" w:after="0" w:afterAutospacing="0"/>
              <w:ind w:left="109"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未建立健全的环境保护管理机构，违约金 10000 元，并限期纠正。</w:t>
            </w:r>
          </w:p>
        </w:tc>
      </w:tr>
      <w:tr w14:paraId="773F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9F512A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188C07B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tcPr>
          <w:p w14:paraId="120C0393">
            <w:pPr>
              <w:pStyle w:val="81"/>
              <w:keepNext w:val="0"/>
              <w:keepLines w:val="0"/>
              <w:suppressLineNumbers w:val="0"/>
              <w:spacing w:before="85" w:beforeAutospacing="0" w:after="0" w:afterAutospacing="0"/>
              <w:ind w:left="109"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环境保护规章制度不齐全，违约金 5000  元，并限期纠正。</w:t>
            </w:r>
          </w:p>
        </w:tc>
      </w:tr>
      <w:tr w14:paraId="1347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410A9A7A">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0EC5AC4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tcPr>
          <w:p w14:paraId="58F8BFC7">
            <w:pPr>
              <w:pStyle w:val="81"/>
              <w:keepNext w:val="0"/>
              <w:keepLines w:val="0"/>
              <w:suppressLineNumbers w:val="0"/>
              <w:spacing w:before="85" w:beforeAutospacing="0" w:after="0" w:afterAutospacing="0"/>
              <w:ind w:left="109"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施工方案中没有环保措施，违约金 1000 元，并限期纠正。</w:t>
            </w:r>
          </w:p>
        </w:tc>
      </w:tr>
      <w:tr w14:paraId="17A7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70A7880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7B3D135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tcPr>
          <w:p w14:paraId="249A86CE">
            <w:pPr>
              <w:pStyle w:val="81"/>
              <w:keepNext w:val="0"/>
              <w:keepLines w:val="0"/>
              <w:suppressLineNumbers w:val="0"/>
              <w:spacing w:before="85" w:beforeAutospacing="0" w:after="0" w:afterAutospacing="0"/>
              <w:ind w:left="109"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未对可能造成环境污染的项目进行监测，违约金 1000 元，并限期纠正。</w:t>
            </w:r>
          </w:p>
        </w:tc>
      </w:tr>
      <w:tr w14:paraId="282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6336163">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6EDE3EC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tcPr>
          <w:p w14:paraId="2ED67BE8">
            <w:pPr>
              <w:pStyle w:val="81"/>
              <w:keepNext w:val="0"/>
              <w:keepLines w:val="0"/>
              <w:suppressLineNumbers w:val="0"/>
              <w:spacing w:before="85" w:beforeAutospacing="0" w:after="0" w:afterAutospacing="0"/>
              <w:ind w:left="109"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未配备必要的环境保护监测仪器，违约金 1000 元，并限期纠正。</w:t>
            </w:r>
          </w:p>
        </w:tc>
      </w:tr>
      <w:tr w14:paraId="53D8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4CD640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0E37DE8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62" w:type="dxa"/>
          </w:tcPr>
          <w:p w14:paraId="516BA114">
            <w:pPr>
              <w:pStyle w:val="81"/>
              <w:keepNext w:val="0"/>
              <w:keepLines w:val="0"/>
              <w:suppressLineNumbers w:val="0"/>
              <w:spacing w:before="86"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环境保护学习、宣传、教育、培训不健全，违约金 1000 元，并限期纠正。</w:t>
            </w:r>
          </w:p>
        </w:tc>
      </w:tr>
      <w:tr w14:paraId="5446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A14D4FC">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4276C6C9">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62" w:type="dxa"/>
          </w:tcPr>
          <w:p w14:paraId="32F4801D">
            <w:pPr>
              <w:pStyle w:val="81"/>
              <w:keepNext w:val="0"/>
              <w:keepLines w:val="0"/>
              <w:suppressLineNumbers w:val="0"/>
              <w:spacing w:before="86"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未建立环境保护管理台帐，报送资料不及时，违约金 1000 元，并限期纠正。</w:t>
            </w:r>
          </w:p>
        </w:tc>
      </w:tr>
      <w:tr w14:paraId="3A36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68181D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72EAD93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62" w:type="dxa"/>
          </w:tcPr>
          <w:p w14:paraId="5C3C59AA">
            <w:pPr>
              <w:pStyle w:val="81"/>
              <w:keepNext w:val="0"/>
              <w:keepLines w:val="0"/>
              <w:suppressLineNumbers w:val="0"/>
              <w:spacing w:before="85"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驻地环保设施不完善或设施缺乏维护而造成环境污染，视严重程度违约金</w:t>
            </w:r>
          </w:p>
          <w:p w14:paraId="6F5A9122">
            <w:pPr>
              <w:pStyle w:val="81"/>
              <w:keepNext w:val="0"/>
              <w:keepLines w:val="0"/>
              <w:suppressLineNumbers w:val="0"/>
              <w:spacing w:before="3"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1000~10000 元，并限期纠正。</w:t>
            </w:r>
          </w:p>
        </w:tc>
      </w:tr>
      <w:tr w14:paraId="760A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FF15B68">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264F1C4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62" w:type="dxa"/>
          </w:tcPr>
          <w:p w14:paraId="4819B49D">
            <w:pPr>
              <w:pStyle w:val="81"/>
              <w:keepNext w:val="0"/>
              <w:keepLines w:val="0"/>
              <w:suppressLineNumbers w:val="0"/>
              <w:spacing w:before="85"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临近居民区施工噪声超标，违约金 1000 元，并限期纠正。</w:t>
            </w:r>
          </w:p>
        </w:tc>
      </w:tr>
      <w:tr w14:paraId="3DC2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7A4BFD1">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72BC550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8062" w:type="dxa"/>
          </w:tcPr>
          <w:p w14:paraId="448F93D1">
            <w:pPr>
              <w:pStyle w:val="81"/>
              <w:keepNext w:val="0"/>
              <w:keepLines w:val="0"/>
              <w:suppressLineNumbers w:val="0"/>
              <w:spacing w:before="85" w:beforeAutospacing="0" w:after="0" w:afterAutospacing="0" w:line="242" w:lineRule="auto"/>
              <w:ind w:left="108" w:right="6"/>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施工废料、废渣或弃土乱堆乱弃于施工现场而未运至弃土场，违约金 2000 元，并限期纠正。</w:t>
            </w:r>
          </w:p>
        </w:tc>
      </w:tr>
      <w:tr w14:paraId="04FF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EBC560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788CDC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8062" w:type="dxa"/>
          </w:tcPr>
          <w:p w14:paraId="2804D761">
            <w:pPr>
              <w:pStyle w:val="81"/>
              <w:keepNext w:val="0"/>
              <w:keepLines w:val="0"/>
              <w:suppressLineNumbers w:val="0"/>
              <w:spacing w:before="85"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施工废水排放未经处理而对周边造成污染，违约金 2000 元，并限期纠正。</w:t>
            </w:r>
          </w:p>
        </w:tc>
      </w:tr>
      <w:tr w14:paraId="6ABC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CC01CB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762E10F">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8062" w:type="dxa"/>
          </w:tcPr>
          <w:p w14:paraId="546DE42C">
            <w:pPr>
              <w:pStyle w:val="81"/>
              <w:keepNext w:val="0"/>
              <w:keepLines w:val="0"/>
              <w:suppressLineNumbers w:val="0"/>
              <w:spacing w:before="85"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施工废气排放未经处理而对周边造成污染，违约金 2000 元，并限期纠正。</w:t>
            </w:r>
          </w:p>
        </w:tc>
      </w:tr>
      <w:tr w14:paraId="45C0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CA42335">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9C2AC1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8062" w:type="dxa"/>
          </w:tcPr>
          <w:p w14:paraId="286B0693">
            <w:pPr>
              <w:pStyle w:val="81"/>
              <w:keepNext w:val="0"/>
              <w:keepLines w:val="0"/>
              <w:suppressLineNumbers w:val="0"/>
              <w:spacing w:before="85"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施工粉尘未有效控制而对周边造成污染，违约金 2000 元，并限期纠正。</w:t>
            </w:r>
          </w:p>
        </w:tc>
      </w:tr>
      <w:tr w14:paraId="7283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377BF93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78EE0C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8062" w:type="dxa"/>
          </w:tcPr>
          <w:p w14:paraId="7747F639">
            <w:pPr>
              <w:pStyle w:val="81"/>
              <w:keepNext w:val="0"/>
              <w:keepLines w:val="0"/>
              <w:suppressLineNumbers w:val="0"/>
              <w:spacing w:before="86"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生活污水没有处理直接排放而造成污染，违约金 1000 元，并限期纠正。</w:t>
            </w:r>
          </w:p>
        </w:tc>
      </w:tr>
      <w:tr w14:paraId="38C2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9E77B2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5CF4C32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p>
        </w:tc>
        <w:tc>
          <w:tcPr>
            <w:tcW w:w="8062" w:type="dxa"/>
          </w:tcPr>
          <w:p w14:paraId="510B4B18">
            <w:pPr>
              <w:pStyle w:val="81"/>
              <w:keepNext w:val="0"/>
              <w:keepLines w:val="0"/>
              <w:suppressLineNumbers w:val="0"/>
              <w:spacing w:before="86" w:beforeAutospacing="0" w:after="0" w:afterAutospacing="0"/>
              <w:ind w:left="108" w:right="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生活垃圾没有集中且定期运走而造成污染，违约金 1000 元，并限期纠正。</w:t>
            </w:r>
          </w:p>
        </w:tc>
      </w:tr>
      <w:tr w14:paraId="1390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728707A">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C17CB3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w:t>
            </w:r>
          </w:p>
        </w:tc>
        <w:tc>
          <w:tcPr>
            <w:tcW w:w="8062" w:type="dxa"/>
          </w:tcPr>
          <w:p w14:paraId="6847080D">
            <w:pPr>
              <w:pStyle w:val="81"/>
              <w:keepNext w:val="0"/>
              <w:keepLines w:val="0"/>
              <w:suppressLineNumbers w:val="0"/>
              <w:spacing w:before="86" w:beforeAutospacing="0" w:after="0" w:afterAutospacing="0" w:line="242" w:lineRule="auto"/>
              <w:ind w:left="108" w:right="111"/>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驻地噪音超过有关的规定，影响当地居民的正常生活，违约金 1000 元，并限期纠正。</w:t>
            </w:r>
          </w:p>
        </w:tc>
      </w:tr>
      <w:tr w14:paraId="5F1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restart"/>
            <w:vAlign w:val="center"/>
          </w:tcPr>
          <w:p w14:paraId="416D484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内业资料</w:t>
            </w:r>
          </w:p>
        </w:tc>
        <w:tc>
          <w:tcPr>
            <w:tcW w:w="518" w:type="dxa"/>
            <w:vAlign w:val="center"/>
          </w:tcPr>
          <w:p w14:paraId="4DD4B574">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4160588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开工前须结合工程特点进行分项、分部和单位工程划分，现场质量检查、质量验收资料按照划分进行归纳收集，违者每次违约金2000元。</w:t>
            </w:r>
          </w:p>
        </w:tc>
      </w:tr>
      <w:tr w14:paraId="7310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67FC45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1B736A6D">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4D9CD17D">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内业原始资料弄虚作假的，不及时填写的，填写不完整规范的，每次违约金1000元。</w:t>
            </w:r>
          </w:p>
        </w:tc>
      </w:tr>
      <w:tr w14:paraId="3534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0F407E2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40C37158">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0A7128B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内业原始资料和整理资料未按有关要求采用文件盒及时归档，每次违约金500元。</w:t>
            </w:r>
          </w:p>
        </w:tc>
      </w:tr>
      <w:tr w14:paraId="10DA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13F806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05CC3E46">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2DD51E6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分部工程完成时，须将原始资料、施工记录、进度照片等资料整理归纳，装订成册，违者每次违约金2000元。</w:t>
            </w:r>
          </w:p>
        </w:tc>
      </w:tr>
      <w:tr w14:paraId="3CDF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19" w:type="dxa"/>
            <w:vMerge w:val="continue"/>
          </w:tcPr>
          <w:p w14:paraId="43CCDCE2">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tc>
        <w:tc>
          <w:tcPr>
            <w:tcW w:w="518" w:type="dxa"/>
            <w:vAlign w:val="center"/>
          </w:tcPr>
          <w:p w14:paraId="1E7EFDE5">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vAlign w:val="center"/>
          </w:tcPr>
          <w:p w14:paraId="3FF343CF">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试验设备不齐全，未建立试验台帐，每次违约金5000元。</w:t>
            </w:r>
          </w:p>
        </w:tc>
      </w:tr>
      <w:tr w14:paraId="5FE4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19" w:type="dxa"/>
            <w:vMerge w:val="restart"/>
            <w:vAlign w:val="center"/>
          </w:tcPr>
          <w:p w14:paraId="7AA29C8E">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w:t>
            </w:r>
          </w:p>
        </w:tc>
        <w:tc>
          <w:tcPr>
            <w:tcW w:w="518" w:type="dxa"/>
            <w:vAlign w:val="center"/>
          </w:tcPr>
          <w:p w14:paraId="774614B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062" w:type="dxa"/>
            <w:vAlign w:val="center"/>
          </w:tcPr>
          <w:p w14:paraId="748C1A9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不按照有关规定进行技术交底就进行施工作业的，每次违约金2000元。</w:t>
            </w:r>
          </w:p>
        </w:tc>
      </w:tr>
      <w:tr w14:paraId="0527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19" w:type="dxa"/>
            <w:vMerge w:val="continue"/>
          </w:tcPr>
          <w:p w14:paraId="043AEE97">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E55205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062" w:type="dxa"/>
            <w:vAlign w:val="center"/>
          </w:tcPr>
          <w:p w14:paraId="3502A245">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上一道工序未经监理人签认就进行下一道工序施工的，每次违约金5000元。</w:t>
            </w:r>
          </w:p>
        </w:tc>
      </w:tr>
      <w:tr w14:paraId="700D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17325A4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606D16A">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062" w:type="dxa"/>
            <w:vAlign w:val="center"/>
          </w:tcPr>
          <w:p w14:paraId="020E02F6">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要求返工的工程未在规定的时间内进行返工或要求清除出施工现场材料未在规定的时间内清除出场的，每延误一天罚1000元。</w:t>
            </w:r>
          </w:p>
        </w:tc>
      </w:tr>
      <w:tr w14:paraId="6758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19" w:type="dxa"/>
            <w:vMerge w:val="continue"/>
          </w:tcPr>
          <w:p w14:paraId="1F9D3B90">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4A5E1B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062" w:type="dxa"/>
            <w:vAlign w:val="center"/>
          </w:tcPr>
          <w:p w14:paraId="000D3BF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水泥、钢筋、钢筋笼等存放不满足要求的，每次违约金2000元。  </w:t>
            </w:r>
          </w:p>
        </w:tc>
      </w:tr>
      <w:tr w14:paraId="6750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19" w:type="dxa"/>
            <w:vMerge w:val="continue"/>
          </w:tcPr>
          <w:p w14:paraId="053143E8">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0A513A57">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062" w:type="dxa"/>
            <w:vAlign w:val="center"/>
          </w:tcPr>
          <w:p w14:paraId="46DEAD6B">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所有桩标须加固保护，树立易于识别得标志，违者每处违约金2000元。</w:t>
            </w:r>
          </w:p>
        </w:tc>
      </w:tr>
      <w:tr w14:paraId="3FC0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9" w:type="dxa"/>
            <w:vMerge w:val="continue"/>
          </w:tcPr>
          <w:p w14:paraId="26787313">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F081F0C">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062" w:type="dxa"/>
            <w:vAlign w:val="center"/>
          </w:tcPr>
          <w:p w14:paraId="1BF21CE7">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实验及检测仪器未标定或标定不合格仍使用的，每次违约金2000元。  </w:t>
            </w:r>
          </w:p>
        </w:tc>
      </w:tr>
      <w:tr w14:paraId="00D9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29692A8E">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6E439751">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062" w:type="dxa"/>
            <w:vAlign w:val="center"/>
          </w:tcPr>
          <w:p w14:paraId="2D050C30">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检验项目、方法、频率，没有按设计或规范要求执行；原材料送检和其它自检项目的试验(如钢筋焊接，土的重击实试验)不及时，频率未达到规定要求，每次违约金2000元。</w:t>
            </w:r>
          </w:p>
        </w:tc>
      </w:tr>
      <w:tr w14:paraId="0D43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5BC81309">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3E4E15EB">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062" w:type="dxa"/>
            <w:vAlign w:val="center"/>
          </w:tcPr>
          <w:p w14:paraId="3BFD5574">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未经检验合格的材料(原材料、锚具等)用于施工的，每次违约金5000元。</w:t>
            </w:r>
          </w:p>
        </w:tc>
      </w:tr>
      <w:tr w14:paraId="5268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19" w:type="dxa"/>
            <w:vMerge w:val="continue"/>
          </w:tcPr>
          <w:p w14:paraId="62979366">
            <w:pPr>
              <w:pStyle w:val="69"/>
              <w:keepNext w:val="0"/>
              <w:keepLines w:val="0"/>
              <w:suppressLineNumbers w:val="0"/>
              <w:spacing w:before="0" w:beforeAutospacing="0" w:after="0" w:afterAutospacing="0"/>
              <w:ind w:left="0" w:right="0"/>
              <w:rPr>
                <w:rFonts w:hint="default" w:ascii="宋体" w:hAnsi="宋体" w:cs="宋体"/>
                <w:color w:val="000000" w:themeColor="text1"/>
                <w:sz w:val="28"/>
                <w:szCs w:val="28"/>
                <w:highlight w:val="none"/>
                <w14:textFill>
                  <w14:solidFill>
                    <w14:schemeClr w14:val="tx1"/>
                  </w14:solidFill>
                </w14:textFill>
              </w:rPr>
            </w:pPr>
          </w:p>
        </w:tc>
        <w:tc>
          <w:tcPr>
            <w:tcW w:w="518" w:type="dxa"/>
            <w:vAlign w:val="center"/>
          </w:tcPr>
          <w:p w14:paraId="221496B3">
            <w:pPr>
              <w:pStyle w:val="69"/>
              <w:keepNext w:val="0"/>
              <w:keepLines w:val="0"/>
              <w:suppressLineNumbers w:val="0"/>
              <w:spacing w:before="0" w:beforeAutospacing="0" w:after="0" w:afterAutospacing="0"/>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062" w:type="dxa"/>
            <w:vAlign w:val="center"/>
          </w:tcPr>
          <w:p w14:paraId="022CB069">
            <w:pPr>
              <w:pStyle w:val="69"/>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其他不按照《广东省公路施工标准化指南》和《广东省高速公路工程施工组织设计和施工方案标准化管理指南》有关规定进行管理或施工作业的，每次违约金 1,000—50,000 元，并限期纠正。</w:t>
            </w:r>
          </w:p>
        </w:tc>
      </w:tr>
    </w:tbl>
    <w:p w14:paraId="10C38D07">
      <w:pPr>
        <w:rPr>
          <w:rFonts w:ascii="宋体" w:hAnsi="宋体" w:cs="宋体"/>
          <w:color w:val="000000" w:themeColor="text1"/>
          <w:sz w:val="24"/>
          <w:highlight w:val="none"/>
          <w14:textFill>
            <w14:solidFill>
              <w14:schemeClr w14:val="tx1"/>
            </w14:solidFill>
          </w14:textFill>
        </w:rPr>
      </w:pPr>
    </w:p>
    <w:p w14:paraId="782F38BA">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p>
    <w:p w14:paraId="3E71D5D8">
      <w:pPr>
        <w:pStyle w:val="79"/>
        <w:spacing w:line="360" w:lineRule="auto"/>
        <w:rPr>
          <w:b w:val="0"/>
          <w:bCs w:val="0"/>
          <w:color w:val="000000" w:themeColor="text1"/>
          <w:sz w:val="24"/>
          <w:szCs w:val="24"/>
          <w:highlight w:val="none"/>
          <w14:textFill>
            <w14:solidFill>
              <w14:schemeClr w14:val="tx1"/>
            </w14:solidFill>
          </w14:textFill>
        </w:rPr>
      </w:pPr>
      <w:bookmarkStart w:id="1741" w:name="_Toc31105"/>
      <w:r>
        <w:rPr>
          <w:rFonts w:hint="eastAsia"/>
          <w:bCs w:val="0"/>
          <w:color w:val="000000" w:themeColor="text1"/>
          <w:sz w:val="24"/>
          <w:szCs w:val="24"/>
          <w:highlight w:val="none"/>
          <w14:textFill>
            <w14:solidFill>
              <w14:schemeClr w14:val="tx1"/>
            </w14:solidFill>
          </w14:textFill>
        </w:rPr>
        <w:t>附件十三  建设工程农民工工资支付保证书</w:t>
      </w:r>
      <w:bookmarkEnd w:id="1741"/>
    </w:p>
    <w:p w14:paraId="6B558115">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建设工程农民工工资支付保证书</w:t>
      </w:r>
    </w:p>
    <w:p w14:paraId="3E59FC96">
      <w:pPr>
        <w:spacing w:line="360" w:lineRule="exact"/>
        <w:ind w:firstLine="465"/>
        <w:rPr>
          <w:rFonts w:ascii="宋体" w:hAnsi="宋体" w:cs="宋体"/>
          <w:color w:val="000000" w:themeColor="text1"/>
          <w:sz w:val="24"/>
          <w:highlight w:val="none"/>
          <w14:textFill>
            <w14:solidFill>
              <w14:schemeClr w14:val="tx1"/>
            </w14:solidFill>
          </w14:textFill>
        </w:rPr>
      </w:pPr>
    </w:p>
    <w:p w14:paraId="452A80F9">
      <w:pPr>
        <w:pStyle w:val="105"/>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 xml:space="preserve">  </w:t>
      </w:r>
    </w:p>
    <w:p w14:paraId="236AC781">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鉴于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(以下简称“承包人”)拟与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(以下简称“发包人”)签订</w:t>
      </w:r>
      <w:r>
        <w:rPr>
          <w:rFonts w:hint="eastAsia" w:ascii="宋体" w:hAnsi="宋体" w:cs="宋体"/>
          <w:color w:val="000000" w:themeColor="text1"/>
          <w:sz w:val="24"/>
          <w:highlight w:val="none"/>
          <w:u w:val="single"/>
          <w14:textFill>
            <w14:solidFill>
              <w14:schemeClr w14:val="tx1"/>
            </w14:solidFill>
          </w14:textFill>
        </w:rPr>
        <w:t xml:space="preserve">   项目名称  标类（或标段）    </w:t>
      </w:r>
      <w:r>
        <w:rPr>
          <w:rFonts w:hint="eastAsia" w:ascii="宋体" w:hAnsi="宋体" w:cs="宋体"/>
          <w:color w:val="000000" w:themeColor="text1"/>
          <w:sz w:val="24"/>
          <w:highlight w:val="none"/>
          <w14:textFill>
            <w14:solidFill>
              <w14:schemeClr w14:val="tx1"/>
            </w14:solidFill>
          </w14:textFill>
        </w:rPr>
        <w:t>的施工承包合同，为规范本项目农民工工资的支付行为，预防和解决施工承包人拖欠或克扣农民工工资问题，切实保障农民工的合法利益，维护社会稳定，根据《中华人民共和国劳动合同法》《中华人民共和国建筑法》《保障农民工工资支付条例》《广东省建设工程领域工人工资支付专用账户管理办法》《广东省建设工程领域用工实名制管理暂行办法》《广东省交通运输厅关于加强交通建设工程从业人员实名制管理和作业工人工资支付管理的通知》等有关法律、法规，结合本项目建设管理的具体情况，承包人在此承诺：</w:t>
      </w:r>
    </w:p>
    <w:p w14:paraId="23D6F46D">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承诺严格按照国家法规和相关规定与农民工或与具备用工主体资格的组织签订劳动合同，按照当地劳动保障部门要求及时进行用工备案。严格根据劳动合同约定的农民工工资标准等内容，按照依法签订的劳动合同约定的日期按月支付工资，且不低于当地最低工资标准。若因违反上述法律、法规及相关管理办法而引发的民工工资纠纷等，承包人承担所有的民事及刑事法律责任。</w:t>
      </w:r>
    </w:p>
    <w:p w14:paraId="3ACFEF0A">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二、决不违反有关规定，将工程转包、分包给不具备用工主体资格的组织或个人，并独自承担因违反上述规定而引发的民工工资纠纷等所有民事及刑事的法律连带责任。</w:t>
      </w:r>
    </w:p>
    <w:p w14:paraId="68313282">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承诺开展劳动法、建筑法等普法学习教育活动，建立健全承包人农民工用工制度，制定农民工劳动保护措施，实施劳动工资支付监控机制，建立劳动用工的举报投诉制度，设立专门的举报投诉电话，受理相关单位和个人的举报及投诉，监督并认真查处合同范围内的侵害农民工按劳取酬合法权益的行为。</w:t>
      </w:r>
    </w:p>
    <w:p w14:paraId="5E75782C">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四、承诺在工地现场宣传栏中公布发包人关于农民工工资管理的有关法律法规、制度，公开发包人的投诉电话。</w:t>
      </w:r>
    </w:p>
    <w:p w14:paraId="73A3B3AB">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承诺在本项目工程开工前承包人制定内部工资支付办法，并抄报监理、发包人，同时告知全体农民工。内部工资支付办法包括以下内容：支付项目、支付标准、支付方式、支付周期和日期、加班工资计算基数、特殊情况下的工资支付以及其他工资支付等。支付程序也将明文规定，且严格按章办事。工资支付管理接受监理、发包人及上级主管单位的监督和检查。</w:t>
      </w:r>
    </w:p>
    <w:p w14:paraId="653AE9B5">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六、承诺指定专人负责对农民工工资进行发放，实行专户管理，以银行转账方式按月直接支付工资（原则上是当月支付，最多不超过拖欠两个月）。</w:t>
      </w:r>
    </w:p>
    <w:p w14:paraId="69D3C93B">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在合同工程范围内，一旦承包人发现任何下属单位、分包单位、施工班组等在劳动用工与工资结算支付活动中存在有违反法律法规规定的行为，承包人将以最快的速度、采取最得力的措施就地予以纠正，同时将有关问题抄报监理人及发包人，在监理人、发包人或劳动监察部门有要求或规定时，将处理结果上报备案。</w:t>
      </w:r>
    </w:p>
    <w:p w14:paraId="29AE6540">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八、承诺在收到中标通知书后且合同签署前，按规定向发包人缴纳工资保障金，金额为元</w:t>
      </w:r>
      <w:r>
        <w:rPr>
          <w:rFonts w:hint="eastAsia" w:ascii="宋体" w:hAnsi="宋体" w:cs="宋体"/>
          <w:color w:val="000000" w:themeColor="text1"/>
          <w:sz w:val="24"/>
          <w:highlight w:val="none"/>
          <w:u w:val="single"/>
          <w14:textFill>
            <w14:solidFill>
              <w14:schemeClr w14:val="tx1"/>
            </w14:solidFill>
          </w14:textFill>
        </w:rPr>
        <w:t>人民币（按照本项目合同额1.5%，原则上不超过100万）</w:t>
      </w:r>
      <w:r>
        <w:rPr>
          <w:rFonts w:hint="eastAsia" w:ascii="宋体" w:hAnsi="宋体" w:cs="宋体"/>
          <w:color w:val="000000" w:themeColor="text1"/>
          <w:sz w:val="24"/>
          <w:highlight w:val="none"/>
          <w14:textFill>
            <w14:solidFill>
              <w14:schemeClr w14:val="tx1"/>
            </w14:solidFill>
          </w14:textFill>
        </w:rPr>
        <w:t>，用于支付拖欠的农民工工资，如工资保障金不足，发包人有权利在应支付给承包人的工程款或是履约保证金中划扣支付。该保障金余额发包人将于本项目施工完毕，并交工验收合格后退还。</w:t>
      </w:r>
    </w:p>
    <w:p w14:paraId="6B722B12">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九、承诺建立农民工工资支付台帐，如实记录支付时间、支付对象、支付数额等工资支付情况，并于每月申请支付计量款时将上期工资表及工资支付台帐上报监理和发包人。若承包人拖欠民工工资两个月以上且一直未得到解决的，发包人有权利不给予承包人当月计量的工程款，直至拖欠的民工工资得到支付，或者发包人有权利直接从承包人按规定缴纳的工资保障金或应支付给承包人的工程款或是履约保证金中直接扣除相应费用后向民工进行支付，承包人均无异议。</w:t>
      </w:r>
    </w:p>
    <w:p w14:paraId="393E5A86">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十、在合同工程实施过程中如有发生</w:t>
      </w:r>
    </w:p>
    <w:p w14:paraId="0A2EA4F2">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(1)不按规定签订劳动合同或签订劳动合同不规范情况；或</w:t>
      </w:r>
    </w:p>
    <w:p w14:paraId="21C7BF29">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(2)拖欠农民工工资、侵害农民工合法权益、农民工劳动安全保护欠缺的情况；或</w:t>
      </w:r>
    </w:p>
    <w:p w14:paraId="25B45767">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因欠薪导致的闹事、打斗、死伤、上访事件，承包人愿接受监理人和/或发包人按合同或下发的管理办法规定的违约金。如果发生上述情况是因为我方违法分包、转包或出让资质、挂靠投标造成的，承包人对发包人或发包人的上级主管部门、政府机构提出的取消中标资格、终止合同、行政处罚等违约金表示理解并无条件接受。</w:t>
      </w:r>
    </w:p>
    <w:p w14:paraId="229BA94D">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十一、本保证书作为本项目施工承包合同的有效组成部分，纳入合同一并签署，在承包人法定代表人或委托代理人签署并加盖公章后生效，并保证在施工承包合同有效期内一直保持有效。</w:t>
      </w:r>
    </w:p>
    <w:p w14:paraId="698C4BF6">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0ED6345F">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67F60C4D">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1ED9449C">
      <w:pPr>
        <w:pStyle w:val="16"/>
        <w:tabs>
          <w:tab w:val="left" w:pos="6543"/>
        </w:tabs>
        <w:spacing w:before="1"/>
        <w:ind w:left="2974"/>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 包 人</w:t>
      </w:r>
      <w:r>
        <w:rPr>
          <w:rFonts w:hint="eastAsia" w:ascii="宋体" w:hAnsi="宋体" w:cs="宋体"/>
          <w:color w:val="000000" w:themeColor="text1"/>
          <w:spacing w:val="-2"/>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盖章</w:t>
      </w:r>
      <w:r>
        <w:rPr>
          <w:rFonts w:hint="eastAsia" w:ascii="宋体" w:hAnsi="宋体" w:cs="宋体"/>
          <w:color w:val="000000" w:themeColor="text1"/>
          <w:spacing w:val="-105"/>
          <w:sz w:val="24"/>
          <w:highlight w:val="none"/>
          <w14:textFill>
            <w14:solidFill>
              <w14:schemeClr w14:val="tx1"/>
            </w14:solidFill>
          </w14:textFill>
        </w:rPr>
        <w:t>）</w:t>
      </w:r>
      <w:r>
        <w:rPr>
          <w:rFonts w:hint="eastAsia" w:ascii="宋体" w:hAnsi="宋体" w:cs="宋体"/>
          <w:color w:val="000000" w:themeColor="text1"/>
          <w:spacing w:val="-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ab/>
      </w:r>
    </w:p>
    <w:p w14:paraId="44FE480A">
      <w:pPr>
        <w:pStyle w:val="16"/>
        <w:tabs>
          <w:tab w:val="left" w:pos="8055"/>
        </w:tabs>
        <w:spacing w:before="138"/>
        <w:ind w:left="3037"/>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w:t>
      </w:r>
      <w:r>
        <w:rPr>
          <w:rFonts w:hint="eastAsia" w:ascii="宋体" w:hAnsi="宋体" w:cs="宋体"/>
          <w:color w:val="000000" w:themeColor="text1"/>
          <w:spacing w:val="-2"/>
          <w:sz w:val="24"/>
          <w:highlight w:val="none"/>
          <w14:textFill>
            <w14:solidFill>
              <w14:schemeClr w14:val="tx1"/>
            </w14:solidFill>
          </w14:textFill>
        </w:rPr>
        <w:t>人</w:t>
      </w:r>
      <w:r>
        <w:rPr>
          <w:rFonts w:hint="eastAsia" w:ascii="宋体" w:hAnsi="宋体" w:cs="宋体"/>
          <w:color w:val="000000" w:themeColor="text1"/>
          <w:sz w:val="24"/>
          <w:highlight w:val="none"/>
          <w14:textFill>
            <w14:solidFill>
              <w14:schemeClr w14:val="tx1"/>
            </w14:solidFill>
          </w14:textFill>
        </w:rPr>
        <w:t>或其委托代理人</w:t>
      </w:r>
      <w:r>
        <w:rPr>
          <w:rFonts w:hint="eastAsia" w:ascii="宋体" w:hAnsi="宋体" w:cs="宋体"/>
          <w:color w:val="000000" w:themeColor="text1"/>
          <w:spacing w:val="-105"/>
          <w:sz w:val="24"/>
          <w:highlight w:val="none"/>
          <w14:textFill>
            <w14:solidFill>
              <w14:schemeClr w14:val="tx1"/>
            </w14:solidFill>
          </w14:textFill>
        </w:rPr>
        <w:t>：</w:t>
      </w:r>
      <w:r>
        <w:rPr>
          <w:rFonts w:hint="eastAsia" w:ascii="宋体" w:hAnsi="宋体" w:cs="宋体"/>
          <w:color w:val="000000" w:themeColor="text1"/>
          <w:spacing w:val="-1"/>
          <w:sz w:val="24"/>
          <w:highlight w:val="none"/>
          <w14:textFill>
            <w14:solidFill>
              <w14:schemeClr w14:val="tx1"/>
            </w14:solidFill>
          </w14:textFill>
        </w:rPr>
        <w:t>（签字</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ab/>
      </w:r>
    </w:p>
    <w:p w14:paraId="5F1F1848">
      <w:pPr>
        <w:pStyle w:val="106"/>
        <w:spacing w:line="360" w:lineRule="auto"/>
        <w:ind w:firstLine="4800" w:firstLineChars="2000"/>
        <w:rPr>
          <w:rFonts w:ascii="宋体" w:hAnsi="宋体" w:cs="宋体"/>
          <w:color w:val="000000" w:themeColor="text1"/>
          <w:spacing w:val="-5"/>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14:textFill>
            <w14:solidFill>
              <w14:schemeClr w14:val="tx1"/>
            </w14:solidFill>
          </w14:textFill>
        </w:rPr>
        <w:t xml:space="preserve">  日</w:t>
      </w:r>
    </w:p>
    <w:p w14:paraId="386720F1">
      <w:pPr>
        <w:pStyle w:val="107"/>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br w:type="page"/>
      </w:r>
    </w:p>
    <w:p w14:paraId="56F5A911">
      <w:pPr>
        <w:pStyle w:val="79"/>
        <w:spacing w:line="360" w:lineRule="auto"/>
        <w:rPr>
          <w:bCs w:val="0"/>
          <w:color w:val="000000" w:themeColor="text1"/>
          <w:sz w:val="24"/>
          <w:szCs w:val="24"/>
          <w:highlight w:val="none"/>
          <w14:textFill>
            <w14:solidFill>
              <w14:schemeClr w14:val="tx1"/>
            </w14:solidFill>
          </w14:textFill>
        </w:rPr>
      </w:pPr>
      <w:bookmarkStart w:id="1742" w:name="_Toc43476020"/>
      <w:bookmarkEnd w:id="1742"/>
      <w:bookmarkStart w:id="1743" w:name="_Toc43476022"/>
      <w:bookmarkEnd w:id="1743"/>
      <w:bookmarkStart w:id="1744" w:name="_Toc14324"/>
      <w:bookmarkStart w:id="1745" w:name="_Toc29766"/>
      <w:r>
        <w:rPr>
          <w:rFonts w:hint="eastAsia"/>
          <w:bCs w:val="0"/>
          <w:color w:val="000000" w:themeColor="text1"/>
          <w:sz w:val="24"/>
          <w:szCs w:val="24"/>
          <w:highlight w:val="none"/>
          <w14:textFill>
            <w14:solidFill>
              <w14:schemeClr w14:val="tx1"/>
            </w14:solidFill>
          </w14:textFill>
        </w:rPr>
        <w:t>附件十四  工程结算协议</w:t>
      </w:r>
      <w:bookmarkEnd w:id="1744"/>
      <w:bookmarkEnd w:id="1745"/>
    </w:p>
    <w:p w14:paraId="3FD61BCB">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工程结算协议</w:t>
      </w:r>
    </w:p>
    <w:p w14:paraId="02496760">
      <w:pPr>
        <w:spacing w:line="360" w:lineRule="exact"/>
        <w:ind w:firstLine="465"/>
        <w:rPr>
          <w:rFonts w:ascii="宋体" w:hAnsi="宋体" w:cs="宋体"/>
          <w:color w:val="000000" w:themeColor="text1"/>
          <w:sz w:val="24"/>
          <w:highlight w:val="none"/>
          <w14:textFill>
            <w14:solidFill>
              <w14:schemeClr w14:val="tx1"/>
            </w14:solidFill>
          </w14:textFill>
        </w:rPr>
      </w:pPr>
    </w:p>
    <w:p w14:paraId="6EB7EF42">
      <w:pPr>
        <w:pStyle w:val="105"/>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甲方（发包人）</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ab/>
      </w:r>
    </w:p>
    <w:p w14:paraId="464B008D">
      <w:pPr>
        <w:pStyle w:val="105"/>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i/>
          <w:iCs/>
          <w:color w:val="000000" w:themeColor="text1"/>
          <w:sz w:val="24"/>
          <w:highlight w:val="none"/>
          <w:u w:val="single"/>
          <w14:textFill>
            <w14:solidFill>
              <w14:schemeClr w14:val="tx1"/>
            </w14:solidFill>
          </w14:textFill>
        </w:rPr>
        <w:tab/>
      </w:r>
      <w:r>
        <w:rPr>
          <w:rFonts w:hint="eastAsia" w:ascii="宋体" w:hAnsi="宋体" w:cs="宋体"/>
          <w:i/>
          <w:iCs/>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s="宋体"/>
          <w:color w:val="000000" w:themeColor="text1"/>
          <w:sz w:val="24"/>
          <w:highlight w:val="none"/>
          <w:u w:val="single"/>
          <w14:textFill>
            <w14:solidFill>
              <w14:schemeClr w14:val="tx1"/>
            </w14:solidFill>
          </w14:textFill>
        </w:rPr>
        <w:tab/>
      </w:r>
    </w:p>
    <w:p w14:paraId="6F084518">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乙方（承包人）：</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ab/>
      </w:r>
    </w:p>
    <w:p w14:paraId="623246E0">
      <w:pPr>
        <w:pStyle w:val="105"/>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法定代表人：</w:t>
      </w:r>
      <w:r>
        <w:rPr>
          <w:rFonts w:hint="eastAsia" w:ascii="宋体" w:hAnsi="宋体" w:cs="宋体"/>
          <w:color w:val="000000" w:themeColor="text1"/>
          <w:sz w:val="24"/>
          <w:highlight w:val="none"/>
          <w:u w:val="single"/>
          <w14:textFill>
            <w14:solidFill>
              <w14:schemeClr w14:val="tx1"/>
            </w14:solidFill>
          </w14:textFill>
        </w:rPr>
        <w:tab/>
      </w:r>
    </w:p>
    <w:p w14:paraId="53C36A8F">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鉴于：</w:t>
      </w:r>
    </w:p>
    <w:p w14:paraId="3A395D0E">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年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月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日，甲方与乙方签订了《   合同》（下简称“合同”），约定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（注：填写乙方负责承包的工程内容）。</w:t>
      </w:r>
    </w:p>
    <w:p w14:paraId="1621EC85">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年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月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日，乙方承包的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工程已完成交工验收，且乙方已取得上述工程交工证书。基于上述，甲、乙双方经协商一致，特就乙方承包的 工程的结算事宜订立本协议，以共同遵守。</w:t>
      </w:r>
    </w:p>
    <w:p w14:paraId="688C486C">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一、乙方承包的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工程（以下简称“本工程”）结算价暂定为人民币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 xml:space="preserve">元（大写：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）。若政府审计部门之后进行审计，且作出的审计决定和行业主管部门造价审查结果不一致，双方同意按以下原则处理：</w:t>
      </w:r>
    </w:p>
    <w:p w14:paraId="0B6C5B57">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行业主管部门和审计部门对不同内容进行核减的，综合行业主管部门和审计部门的意见进行调整。</w:t>
      </w:r>
    </w:p>
    <w:p w14:paraId="71AEA1DC">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二、甲、乙双方确认，截至</w:t>
      </w:r>
      <w:r>
        <w:rPr>
          <w:rFonts w:hint="eastAsia" w:ascii="宋体" w:hAnsi="宋体" w:cs="宋体"/>
          <w:color w:val="000000" w:themeColor="text1"/>
          <w:sz w:val="24"/>
          <w:highlight w:val="none"/>
          <w:u w:val="single"/>
          <w14:textFill>
            <w14:solidFill>
              <w14:schemeClr w14:val="tx1"/>
            </w14:solidFill>
          </w14:textFill>
        </w:rPr>
        <w:t>年  月  日</w:t>
      </w:r>
      <w:r>
        <w:rPr>
          <w:rFonts w:hint="eastAsia" w:ascii="宋体" w:hAnsi="宋体" w:cs="宋体"/>
          <w:color w:val="000000" w:themeColor="text1"/>
          <w:sz w:val="24"/>
          <w:highlight w:val="none"/>
          <w14:textFill>
            <w14:solidFill>
              <w14:schemeClr w14:val="tx1"/>
            </w14:solidFill>
          </w14:textFill>
        </w:rPr>
        <w:t>，甲方就本工程已向乙方支付款项累计</w:t>
      </w:r>
      <w:r>
        <w:rPr>
          <w:rFonts w:hint="eastAsia" w:ascii="宋体" w:hAnsi="宋体" w:cs="宋体"/>
          <w:color w:val="000000" w:themeColor="text1"/>
          <w:sz w:val="24"/>
          <w:highlight w:val="none"/>
          <w:u w:val="single"/>
          <w14:textFill>
            <w14:solidFill>
              <w14:schemeClr w14:val="tx1"/>
            </w14:solidFill>
          </w14:textFill>
        </w:rPr>
        <w:t>人民币  元</w:t>
      </w:r>
      <w:r>
        <w:rPr>
          <w:rFonts w:hint="eastAsia" w:ascii="宋体" w:hAnsi="宋体" w:cs="宋体"/>
          <w:color w:val="000000" w:themeColor="text1"/>
          <w:sz w:val="24"/>
          <w:highlight w:val="none"/>
          <w14:textFill>
            <w14:solidFill>
              <w14:schemeClr w14:val="tx1"/>
            </w14:solidFill>
          </w14:textFill>
        </w:rPr>
        <w:t>。甲方将在本结算书生效后 15 个工作日内向乙方支付至结算金额的 100％，即</w:t>
      </w:r>
      <w:r>
        <w:rPr>
          <w:rFonts w:hint="eastAsia" w:ascii="宋体" w:hAnsi="宋体" w:cs="宋体"/>
          <w:color w:val="000000" w:themeColor="text1"/>
          <w:sz w:val="24"/>
          <w:highlight w:val="none"/>
          <w:u w:val="single"/>
          <w14:textFill>
            <w14:solidFill>
              <w14:schemeClr w14:val="tx1"/>
            </w14:solidFill>
          </w14:textFill>
        </w:rPr>
        <w:t xml:space="preserve">人民币 </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元</w:t>
      </w:r>
      <w:r>
        <w:rPr>
          <w:rFonts w:hint="eastAsia" w:ascii="宋体" w:hAnsi="宋体" w:cs="宋体"/>
          <w:color w:val="000000" w:themeColor="text1"/>
          <w:sz w:val="24"/>
          <w:highlight w:val="none"/>
          <w14:textFill>
            <w14:solidFill>
              <w14:schemeClr w14:val="tx1"/>
            </w14:solidFill>
          </w14:textFill>
        </w:rPr>
        <w:t>。如本工程缺陷责任期满且未发现存在工程缺陷，在监理人出具该工程缺陷责任期届满证明并签订本协议后28 天内支付工程质量保证金的 80%。</w:t>
      </w:r>
    </w:p>
    <w:p w14:paraId="0E606FC7">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三、甲方向乙方退还全部质量保证金需同时满足以下条件：</w:t>
      </w:r>
    </w:p>
    <w:p w14:paraId="7E17B237">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1、乙方承包的工程的缺陷责任期已届满，并由监理人出具了该工程缺陷责任期届满的证明；</w:t>
      </w:r>
    </w:p>
    <w:p w14:paraId="36DC3398">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2、在缺陷责任期内按合同约定进行了缺陷工程的修复且项目完成竣工验收。</w:t>
      </w:r>
    </w:p>
    <w:p w14:paraId="5FEC9252">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如甲方已付款项少于本协议第一条的核准的金额，则甲方应在乙方满足了质量保证金退还的全部条件后</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天</w:t>
      </w:r>
      <w:r>
        <w:rPr>
          <w:rFonts w:hint="eastAsia" w:ascii="宋体" w:hAnsi="宋体" w:cs="宋体"/>
          <w:color w:val="000000" w:themeColor="text1"/>
          <w:sz w:val="24"/>
          <w:highlight w:val="none"/>
          <w14:textFill>
            <w14:solidFill>
              <w14:schemeClr w14:val="tx1"/>
            </w14:solidFill>
          </w14:textFill>
        </w:rPr>
        <w:t>内将少付工程款（含质量保证金）支付予乙方。</w:t>
      </w:r>
    </w:p>
    <w:p w14:paraId="054988D1">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如甲方已付款项超过本协议第一条的核准的金额，则乙方应在收到甲方发出的还款通知后 天内将超出核准金额的工程款返还给甲方，且甲方无需将质量保证金退还给乙方。</w:t>
      </w:r>
    </w:p>
    <w:p w14:paraId="0DF1751F">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四、如甲方或乙方未按本协议约定履行付款义务，则每延迟一天，违约方需向对方支付相当于未付款项的 </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%作为违约金。</w:t>
      </w:r>
    </w:p>
    <w:p w14:paraId="4C7A7455">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五、本协议条款与合同如有冲突，以本协议为准。</w:t>
      </w:r>
    </w:p>
    <w:p w14:paraId="13AC9CA2">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六、本协议经双方法定代表人（负责人）或授权代表签字并加盖公章后生效。</w:t>
      </w:r>
    </w:p>
    <w:p w14:paraId="2720F7D0">
      <w:pPr>
        <w:pStyle w:val="105"/>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七、本协议一式</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份</w:t>
      </w:r>
      <w:r>
        <w:rPr>
          <w:rFonts w:hint="eastAsia" w:ascii="宋体" w:hAnsi="宋体" w:cs="宋体"/>
          <w:color w:val="000000" w:themeColor="text1"/>
          <w:sz w:val="24"/>
          <w:highlight w:val="none"/>
          <w14:textFill>
            <w14:solidFill>
              <w14:schemeClr w14:val="tx1"/>
            </w14:solidFill>
          </w14:textFill>
        </w:rPr>
        <w:t>，甲、乙双方各执</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份</w:t>
      </w:r>
      <w:r>
        <w:rPr>
          <w:rFonts w:hint="eastAsia" w:ascii="宋体" w:hAnsi="宋体" w:cs="宋体"/>
          <w:color w:val="000000" w:themeColor="text1"/>
          <w:sz w:val="24"/>
          <w:highlight w:val="none"/>
          <w14:textFill>
            <w14:solidFill>
              <w14:schemeClr w14:val="tx1"/>
            </w14:solidFill>
          </w14:textFill>
        </w:rPr>
        <w:t>。</w:t>
      </w:r>
    </w:p>
    <w:p w14:paraId="090AC607">
      <w:pPr>
        <w:pStyle w:val="105"/>
        <w:spacing w:line="360" w:lineRule="auto"/>
        <w:rPr>
          <w:rFonts w:ascii="宋体" w:hAnsi="宋体" w:cs="宋体"/>
          <w:color w:val="000000" w:themeColor="text1"/>
          <w:sz w:val="24"/>
          <w:highlight w:val="none"/>
          <w14:textFill>
            <w14:solidFill>
              <w14:schemeClr w14:val="tx1"/>
            </w14:solidFill>
          </w14:textFill>
        </w:rPr>
      </w:pPr>
    </w:p>
    <w:p w14:paraId="0F12765B">
      <w:pPr>
        <w:pStyle w:val="105"/>
        <w:spacing w:line="360" w:lineRule="auto"/>
        <w:rPr>
          <w:rFonts w:ascii="宋体" w:hAnsi="宋体" w:cs="宋体"/>
          <w:color w:val="000000" w:themeColor="text1"/>
          <w:sz w:val="24"/>
          <w:highlight w:val="none"/>
          <w14:textFill>
            <w14:solidFill>
              <w14:schemeClr w14:val="tx1"/>
            </w14:solidFill>
          </w14:textFill>
        </w:rPr>
      </w:pPr>
    </w:p>
    <w:p w14:paraId="7A0765BE">
      <w:pPr>
        <w:pStyle w:val="105"/>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甲  方：（盖章）       乙  方：（盖章）</w:t>
      </w:r>
    </w:p>
    <w:p w14:paraId="17D168C7">
      <w:pPr>
        <w:pStyle w:val="105"/>
        <w:spacing w:line="36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签署代表：      签署代表：</w:t>
      </w:r>
    </w:p>
    <w:p w14:paraId="7BCF780C">
      <w:pPr>
        <w:pStyle w:val="105"/>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签署日期：      签署日期：</w:t>
      </w:r>
    </w:p>
    <w:p w14:paraId="3EC613FF">
      <w:pPr>
        <w:pStyle w:val="105"/>
        <w:spacing w:line="360" w:lineRule="auto"/>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br w:type="page"/>
      </w:r>
    </w:p>
    <w:p w14:paraId="7FA70A48">
      <w:pPr>
        <w:jc w:val="center"/>
        <w:rPr>
          <w:rFonts w:ascii="宋体" w:hAnsi="宋体"/>
          <w:color w:val="000000" w:themeColor="text1"/>
          <w:sz w:val="72"/>
          <w:szCs w:val="72"/>
          <w:highlight w:val="none"/>
          <w:u w:val="single"/>
          <w14:textFill>
            <w14:solidFill>
              <w14:schemeClr w14:val="tx1"/>
            </w14:solidFill>
          </w14:textFill>
        </w:rPr>
      </w:pPr>
    </w:p>
    <w:p w14:paraId="0DFF63B5">
      <w:pPr>
        <w:pStyle w:val="108"/>
        <w:rPr>
          <w:rFonts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附件十五：分包合同</w:t>
      </w:r>
    </w:p>
    <w:p w14:paraId="1BE76A29">
      <w:pPr>
        <w:pStyle w:val="108"/>
        <w:jc w:val="center"/>
        <w:rPr>
          <w:rFonts w:hAnsi="宋体" w:cs="宋体"/>
          <w:color w:val="000000" w:themeColor="text1"/>
          <w:sz w:val="32"/>
          <w:szCs w:val="32"/>
          <w:highlight w:val="none"/>
          <w14:textFill>
            <w14:solidFill>
              <w14:schemeClr w14:val="tx1"/>
            </w14:solidFill>
          </w14:textFill>
        </w:rPr>
      </w:pPr>
    </w:p>
    <w:p w14:paraId="78622AE6">
      <w:pPr>
        <w:pStyle w:val="108"/>
        <w:jc w:val="center"/>
        <w:rPr>
          <w:rFonts w:hAnsi="宋体" w:cs="宋体"/>
          <w:color w:val="000000" w:themeColor="text1"/>
          <w:sz w:val="32"/>
          <w:szCs w:val="32"/>
          <w:highlight w:val="none"/>
          <w14:textFill>
            <w14:solidFill>
              <w14:schemeClr w14:val="tx1"/>
            </w14:solidFill>
          </w14:textFill>
        </w:rPr>
      </w:pPr>
    </w:p>
    <w:p w14:paraId="1FF785E1">
      <w:pPr>
        <w:pStyle w:val="108"/>
        <w:jc w:val="center"/>
        <w:rPr>
          <w:rFonts w:hAnsi="宋体" w:cs="宋体"/>
          <w:color w:val="000000" w:themeColor="text1"/>
          <w:sz w:val="32"/>
          <w:szCs w:val="32"/>
          <w:highlight w:val="none"/>
          <w14:textFill>
            <w14:solidFill>
              <w14:schemeClr w14:val="tx1"/>
            </w14:solidFill>
          </w14:textFill>
        </w:rPr>
      </w:pPr>
    </w:p>
    <w:p w14:paraId="721A9795">
      <w:pPr>
        <w:pStyle w:val="108"/>
        <w:jc w:val="center"/>
        <w:rPr>
          <w:rFonts w:hAnsi="宋体" w:cs="宋体"/>
          <w:color w:val="000000" w:themeColor="text1"/>
          <w:sz w:val="32"/>
          <w:szCs w:val="32"/>
          <w:highlight w:val="none"/>
          <w14:textFill>
            <w14:solidFill>
              <w14:schemeClr w14:val="tx1"/>
            </w14:solidFill>
          </w14:textFill>
        </w:rPr>
      </w:pPr>
    </w:p>
    <w:p w14:paraId="7A907A29">
      <w:pPr>
        <w:pStyle w:val="108"/>
        <w:jc w:val="center"/>
        <w:rPr>
          <w:rFonts w:hAnsi="宋体" w:cs="宋体"/>
          <w:color w:val="000000" w:themeColor="text1"/>
          <w:sz w:val="52"/>
          <w:szCs w:val="52"/>
          <w:highlight w:val="none"/>
          <w14:textFill>
            <w14:solidFill>
              <w14:schemeClr w14:val="tx1"/>
            </w14:solidFill>
          </w14:textFill>
        </w:rPr>
      </w:pPr>
      <w:r>
        <w:rPr>
          <w:rFonts w:hint="eastAsia" w:hAnsi="宋体" w:cs="宋体"/>
          <w:color w:val="000000" w:themeColor="text1"/>
          <w:sz w:val="52"/>
          <w:szCs w:val="52"/>
          <w:highlight w:val="none"/>
          <w14:textFill>
            <w14:solidFill>
              <w14:schemeClr w14:val="tx1"/>
            </w14:solidFill>
          </w14:textFill>
        </w:rPr>
        <w:t>公路工程施工分包合同</w:t>
      </w:r>
    </w:p>
    <w:p w14:paraId="711B3461">
      <w:pPr>
        <w:pStyle w:val="108"/>
        <w:jc w:val="center"/>
        <w:rPr>
          <w:rFonts w:hAnsi="宋体" w:cs="宋体"/>
          <w:color w:val="000000" w:themeColor="text1"/>
          <w:sz w:val="32"/>
          <w:szCs w:val="32"/>
          <w:highlight w:val="none"/>
          <w14:textFill>
            <w14:solidFill>
              <w14:schemeClr w14:val="tx1"/>
            </w14:solidFill>
          </w14:textFill>
        </w:rPr>
      </w:pPr>
    </w:p>
    <w:p w14:paraId="26B3302F">
      <w:pPr>
        <w:pStyle w:val="108"/>
        <w:jc w:val="center"/>
        <w:rPr>
          <w:rFonts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（示范文本）</w:t>
      </w:r>
    </w:p>
    <w:p w14:paraId="6E335040">
      <w:pPr>
        <w:pStyle w:val="108"/>
        <w:jc w:val="center"/>
        <w:rPr>
          <w:rFonts w:hAnsi="宋体" w:cs="宋体"/>
          <w:color w:val="000000" w:themeColor="text1"/>
          <w:sz w:val="32"/>
          <w:szCs w:val="32"/>
          <w:highlight w:val="none"/>
          <w14:textFill>
            <w14:solidFill>
              <w14:schemeClr w14:val="tx1"/>
            </w14:solidFill>
          </w14:textFill>
        </w:rPr>
      </w:pPr>
    </w:p>
    <w:p w14:paraId="32BFFCD5">
      <w:pPr>
        <w:pStyle w:val="108"/>
        <w:jc w:val="center"/>
        <w:rPr>
          <w:rFonts w:hAnsi="宋体" w:cs="宋体"/>
          <w:color w:val="000000" w:themeColor="text1"/>
          <w:sz w:val="32"/>
          <w:szCs w:val="32"/>
          <w:highlight w:val="none"/>
          <w14:textFill>
            <w14:solidFill>
              <w14:schemeClr w14:val="tx1"/>
            </w14:solidFill>
          </w14:textFill>
        </w:rPr>
      </w:pPr>
    </w:p>
    <w:p w14:paraId="20BB6B96">
      <w:pPr>
        <w:pStyle w:val="108"/>
        <w:jc w:val="center"/>
        <w:rPr>
          <w:rFonts w:hAnsi="宋体" w:cs="宋体"/>
          <w:color w:val="000000" w:themeColor="text1"/>
          <w:sz w:val="32"/>
          <w:szCs w:val="32"/>
          <w:highlight w:val="none"/>
          <w14:textFill>
            <w14:solidFill>
              <w14:schemeClr w14:val="tx1"/>
            </w14:solidFill>
          </w14:textFill>
        </w:rPr>
      </w:pPr>
    </w:p>
    <w:p w14:paraId="44502B2B">
      <w:pPr>
        <w:pStyle w:val="108"/>
        <w:jc w:val="center"/>
        <w:rPr>
          <w:rFonts w:hAnsi="宋体" w:cs="宋体"/>
          <w:color w:val="000000" w:themeColor="text1"/>
          <w:sz w:val="32"/>
          <w:szCs w:val="32"/>
          <w:highlight w:val="none"/>
          <w14:textFill>
            <w14:solidFill>
              <w14:schemeClr w14:val="tx1"/>
            </w14:solidFill>
          </w14:textFill>
        </w:rPr>
      </w:pPr>
    </w:p>
    <w:p w14:paraId="0097D982">
      <w:pPr>
        <w:pStyle w:val="108"/>
        <w:jc w:val="center"/>
        <w:rPr>
          <w:rFonts w:hAnsi="宋体" w:cs="宋体"/>
          <w:color w:val="000000" w:themeColor="text1"/>
          <w:sz w:val="32"/>
          <w:szCs w:val="32"/>
          <w:highlight w:val="none"/>
          <w14:textFill>
            <w14:solidFill>
              <w14:schemeClr w14:val="tx1"/>
            </w14:solidFill>
          </w14:textFill>
        </w:rPr>
      </w:pPr>
    </w:p>
    <w:p w14:paraId="0560FDD5">
      <w:pPr>
        <w:pStyle w:val="108"/>
        <w:jc w:val="center"/>
        <w:rPr>
          <w:rFonts w:hAnsi="宋体" w:cs="宋体"/>
          <w:color w:val="000000" w:themeColor="text1"/>
          <w:sz w:val="32"/>
          <w:szCs w:val="32"/>
          <w:highlight w:val="none"/>
          <w14:textFill>
            <w14:solidFill>
              <w14:schemeClr w14:val="tx1"/>
            </w14:solidFill>
          </w14:textFill>
        </w:rPr>
      </w:pPr>
    </w:p>
    <w:p w14:paraId="6270BB7F">
      <w:pPr>
        <w:pStyle w:val="108"/>
        <w:jc w:val="center"/>
        <w:rPr>
          <w:rFonts w:hAnsi="宋体" w:cs="宋体"/>
          <w:color w:val="000000" w:themeColor="text1"/>
          <w:sz w:val="32"/>
          <w:szCs w:val="32"/>
          <w:highlight w:val="none"/>
          <w14:textFill>
            <w14:solidFill>
              <w14:schemeClr w14:val="tx1"/>
            </w14:solidFill>
          </w14:textFill>
        </w:rPr>
      </w:pPr>
    </w:p>
    <w:p w14:paraId="44CEC674">
      <w:pPr>
        <w:pStyle w:val="108"/>
        <w:jc w:val="center"/>
        <w:rPr>
          <w:rFonts w:hAnsi="宋体" w:cs="宋体"/>
          <w:color w:val="000000" w:themeColor="text1"/>
          <w:sz w:val="32"/>
          <w:szCs w:val="32"/>
          <w:highlight w:val="none"/>
          <w14:textFill>
            <w14:solidFill>
              <w14:schemeClr w14:val="tx1"/>
            </w14:solidFill>
          </w14:textFill>
        </w:rPr>
      </w:pPr>
    </w:p>
    <w:p w14:paraId="5E1EE47E">
      <w:pPr>
        <w:pStyle w:val="108"/>
        <w:jc w:val="center"/>
        <w:rPr>
          <w:rFonts w:hAnsi="宋体" w:cs="宋体"/>
          <w:color w:val="000000" w:themeColor="text1"/>
          <w:sz w:val="32"/>
          <w:szCs w:val="32"/>
          <w:highlight w:val="none"/>
          <w14:textFill>
            <w14:solidFill>
              <w14:schemeClr w14:val="tx1"/>
            </w14:solidFill>
          </w14:textFill>
        </w:rPr>
      </w:pPr>
    </w:p>
    <w:p w14:paraId="608E09E7">
      <w:pPr>
        <w:pStyle w:val="108"/>
        <w:jc w:val="center"/>
        <w:rPr>
          <w:rFonts w:hAnsi="宋体" w:cs="宋体"/>
          <w:color w:val="000000" w:themeColor="text1"/>
          <w:sz w:val="32"/>
          <w:szCs w:val="32"/>
          <w:highlight w:val="none"/>
          <w14:textFill>
            <w14:solidFill>
              <w14:schemeClr w14:val="tx1"/>
            </w14:solidFill>
          </w14:textFill>
        </w:rPr>
      </w:pPr>
    </w:p>
    <w:p w14:paraId="3B8F1C78">
      <w:pPr>
        <w:pStyle w:val="108"/>
        <w:jc w:val="center"/>
        <w:rPr>
          <w:rFonts w:hAnsi="宋体" w:cs="宋体"/>
          <w:color w:val="000000" w:themeColor="text1"/>
          <w:sz w:val="44"/>
          <w:szCs w:val="44"/>
          <w:highlight w:val="none"/>
          <w14:textFill>
            <w14:solidFill>
              <w14:schemeClr w14:val="tx1"/>
            </w14:solidFill>
          </w14:textFill>
        </w:rPr>
      </w:pPr>
    </w:p>
    <w:p w14:paraId="6153D3DC">
      <w:pPr>
        <w:pStyle w:val="108"/>
        <w:jc w:val="center"/>
        <w:rPr>
          <w:rFonts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20   年  月</w:t>
      </w:r>
    </w:p>
    <w:p w14:paraId="31DF4CC6">
      <w:pPr>
        <w:pStyle w:val="108"/>
        <w:jc w:val="center"/>
        <w:rPr>
          <w:rFonts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br w:type="page"/>
      </w:r>
    </w:p>
    <w:p w14:paraId="6C937AFB">
      <w:pPr>
        <w:pStyle w:val="108"/>
        <w:jc w:val="center"/>
        <w:rPr>
          <w:rFonts w:hAnsi="宋体" w:cs="宋体"/>
          <w:color w:val="000000" w:themeColor="text1"/>
          <w:sz w:val="44"/>
          <w:szCs w:val="44"/>
          <w:highlight w:val="none"/>
          <w14:textFill>
            <w14:solidFill>
              <w14:schemeClr w14:val="tx1"/>
            </w14:solidFill>
          </w14:textFill>
        </w:rPr>
      </w:pPr>
    </w:p>
    <w:p w14:paraId="6099EEAF">
      <w:pPr>
        <w:pStyle w:val="108"/>
        <w:jc w:val="center"/>
        <w:rPr>
          <w:rFonts w:hAnsi="宋体" w:cs="宋体"/>
          <w:color w:val="000000" w:themeColor="text1"/>
          <w:sz w:val="28"/>
          <w:szCs w:val="28"/>
          <w:highlight w:val="none"/>
          <w14:textFill>
            <w14:solidFill>
              <w14:schemeClr w14:val="tx1"/>
            </w14:solidFill>
          </w14:textFill>
        </w:rPr>
      </w:pPr>
    </w:p>
    <w:p w14:paraId="4A6DF31E">
      <w:pPr>
        <w:pStyle w:val="108"/>
        <w:jc w:val="center"/>
        <w:rPr>
          <w:rFonts w:hAnsi="宋体" w:cs="宋体"/>
          <w:color w:val="000000" w:themeColor="text1"/>
          <w:sz w:val="28"/>
          <w:szCs w:val="28"/>
          <w:highlight w:val="none"/>
          <w14:textFill>
            <w14:solidFill>
              <w14:schemeClr w14:val="tx1"/>
            </w14:solidFill>
          </w14:textFill>
        </w:rPr>
      </w:pPr>
    </w:p>
    <w:p w14:paraId="109E5169">
      <w:pPr>
        <w:pStyle w:val="108"/>
        <w:jc w:val="center"/>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32"/>
          <w:szCs w:val="32"/>
          <w:highlight w:val="none"/>
          <w14:textFill>
            <w14:solidFill>
              <w14:schemeClr w14:val="tx1"/>
            </w14:solidFill>
          </w14:textFill>
        </w:rPr>
        <w:t>公路工程施工分包合同</w:t>
      </w:r>
    </w:p>
    <w:p w14:paraId="104B4A84">
      <w:pPr>
        <w:pStyle w:val="108"/>
        <w:spacing w:line="280" w:lineRule="exact"/>
        <w:ind w:right="630"/>
        <w:jc w:val="right"/>
        <w:rPr>
          <w:rFonts w:hAnsi="宋体" w:cs="宋体"/>
          <w:color w:val="000000" w:themeColor="text1"/>
          <w:szCs w:val="21"/>
          <w:highlight w:val="none"/>
          <w14:textFill>
            <w14:solidFill>
              <w14:schemeClr w14:val="tx1"/>
            </w14:solidFill>
          </w14:textFill>
        </w:rPr>
      </w:pPr>
    </w:p>
    <w:p w14:paraId="574B2121">
      <w:pPr>
        <w:pStyle w:val="108"/>
        <w:ind w:right="1380" w:firstLine="5400" w:firstLineChars="225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分包合同编号：</w:t>
      </w:r>
    </w:p>
    <w:p w14:paraId="100F693B">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工程项目：  合同段：</w:t>
      </w:r>
    </w:p>
    <w:p w14:paraId="16C5E279">
      <w:pPr>
        <w:pStyle w:val="108"/>
        <w:rPr>
          <w:rFonts w:hAnsi="宋体" w:cs="宋体"/>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甲方(承包人) ：</w:t>
      </w:r>
    </w:p>
    <w:p w14:paraId="009217E2">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乙方(分包人) ：</w:t>
      </w:r>
    </w:p>
    <w:p w14:paraId="487CDC3F">
      <w:pPr>
        <w:pStyle w:val="108"/>
        <w:rPr>
          <w:rFonts w:hAnsi="宋体" w:cs="宋体"/>
          <w:color w:val="000000" w:themeColor="text1"/>
          <w:highlight w:val="none"/>
          <w14:textFill>
            <w14:solidFill>
              <w14:schemeClr w14:val="tx1"/>
            </w14:solidFill>
          </w14:textFill>
        </w:rPr>
      </w:pPr>
    </w:p>
    <w:p w14:paraId="0E81CFE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依照《中华人民共和国合同法》、《中华人民共和国公路法》、《中华人民共和国港口法》、《中华人民共和国航道法》、交通运输部《公路工程施工分包管理办法》及其他有关法律、法规和规章，遵循平等、自愿、公平和诚实信用的原则，鉴于××××××××（以下简称为“发包人”）与承包人已经签订施工总承包合同（以下称为“总包合同”），承包人和分包人双方就分包专项工程施工事项经协商达成一致，订立本合同。</w:t>
      </w:r>
    </w:p>
    <w:p w14:paraId="3F944D14">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  分包人情况</w:t>
      </w:r>
    </w:p>
    <w:p w14:paraId="60F2BC59">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1.1分包人名称：；注册地址：；</w:t>
      </w:r>
    </w:p>
    <w:p w14:paraId="097AFB20">
      <w:pPr>
        <w:pStyle w:val="108"/>
        <w:ind w:firstLine="720" w:firstLineChars="3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法定代表人姓名：，职称：，职务：。</w:t>
      </w:r>
    </w:p>
    <w:p w14:paraId="5CDA9EE7">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1.2分包项目负责人姓名，职称：，资格：：分包技术负责人姓名：职称：，资格：：</w:t>
      </w:r>
    </w:p>
    <w:p w14:paraId="356A5275">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1.3分包人拟投入的主要管理人员（见附表1）</w:t>
      </w:r>
    </w:p>
    <w:p w14:paraId="5794CB8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1.4分包人拟投入的主要机械设备（见附表2)</w:t>
      </w:r>
    </w:p>
    <w:p w14:paraId="3C48EABD">
      <w:pPr>
        <w:pStyle w:val="108"/>
        <w:ind w:firstLine="422"/>
        <w:jc w:val="left"/>
        <w:rPr>
          <w:rFonts w:hAnsi="宋体" w:cs="宋体"/>
          <w:b/>
          <w:color w:val="000000" w:themeColor="text1"/>
          <w:highlight w:val="none"/>
          <w14:textFill>
            <w14:solidFill>
              <w14:schemeClr w14:val="tx1"/>
            </w14:solidFill>
          </w14:textFill>
        </w:rPr>
      </w:pPr>
    </w:p>
    <w:p w14:paraId="14CB0C43">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2.分包专项工程概况</w:t>
      </w:r>
    </w:p>
    <w:p w14:paraId="5E87EA77">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2.1分包专项工程名称及地点</w:t>
      </w:r>
    </w:p>
    <w:p w14:paraId="2F07679D">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2.2 分包专项工程范围、内容： </w:t>
      </w:r>
    </w:p>
    <w:p w14:paraId="409747F7">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2.3 分包方式：</w:t>
      </w:r>
    </w:p>
    <w:p w14:paraId="2DC17D8A">
      <w:pPr>
        <w:pStyle w:val="108"/>
        <w:ind w:firstLine="422"/>
        <w:jc w:val="left"/>
        <w:rPr>
          <w:rFonts w:hAnsi="宋体" w:cs="宋体"/>
          <w:b/>
          <w:color w:val="000000" w:themeColor="text1"/>
          <w:highlight w:val="none"/>
          <w14:textFill>
            <w14:solidFill>
              <w14:schemeClr w14:val="tx1"/>
            </w14:solidFill>
          </w14:textFill>
        </w:rPr>
      </w:pPr>
    </w:p>
    <w:p w14:paraId="2B77C0A5">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3.分包合同有关款项</w:t>
      </w:r>
    </w:p>
    <w:p w14:paraId="3722664A">
      <w:pPr>
        <w:pStyle w:val="108"/>
        <w:ind w:firstLine="422"/>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3.1 分包价款</w:t>
      </w:r>
    </w:p>
    <w:p w14:paraId="1861BD9D">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3.1.1本合同为固定单价合同，合同总价为人民币元（大写：），合同单价和暂估数量见《分包专项工程工程量清单》（附表3）。实际合同总价根据乙方实际完成，由甲方确认并经监理人签认的数量按本合同后附清单所列固定单价进行计算，并结合本合同条款进行结算支付。</w:t>
      </w:r>
    </w:p>
    <w:p w14:paraId="1D4D6F1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3.1.2上述合同单价已包括了乙方为实施和完成上述工程量清单细目内容及其附属工作及缺陷修复工作所发生的一切费用，以及合同明示或暗示的一切风险、责任和义务。涉及工程量清单中未列的子目，其费用参照总包合同相关计量有关条款办理。</w:t>
      </w:r>
    </w:p>
    <w:p w14:paraId="7CE91FB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3.1.3（税费内容约定）。 </w:t>
      </w:r>
    </w:p>
    <w:p w14:paraId="3D0EF098">
      <w:pPr>
        <w:pStyle w:val="108"/>
        <w:ind w:firstLine="422"/>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3.2履约保函或保证金：</w:t>
      </w:r>
    </w:p>
    <w:p w14:paraId="0325639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3.2.1乙方与甲方签订合同后的天内，应向甲方交纳：（b履约保函；b履约保证金），即：</w:t>
      </w:r>
    </w:p>
    <w:p w14:paraId="3FCC5C1D">
      <w:pPr>
        <w:pStyle w:val="108"/>
        <w:ind w:firstLine="424" w:firstLineChars="177"/>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a.分包合同价的％履约保函和分包合同价的％质量保函。</w:t>
      </w:r>
    </w:p>
    <w:p w14:paraId="1B50CF82">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b.分包合同价的％履约保证金计元和分包合同价的％质量保证金计元。</w:t>
      </w:r>
    </w:p>
    <w:p w14:paraId="583B3D01">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3.2.3乙方严格履行了本合同规定的各项事宜，施工任务如期完工，工程质量达到甲方向发包人承诺的质量要求，无安全责任事故发生，未遗留各种纠纷，在本合同履行完毕后，给予全额退还保证金，否则甲方继续扣留或扣除部分或全部保证金。</w:t>
      </w:r>
    </w:p>
    <w:p w14:paraId="38C6559E">
      <w:pPr>
        <w:pStyle w:val="108"/>
        <w:ind w:firstLine="422"/>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3.3有关本分包专项工程款项约定</w:t>
      </w:r>
    </w:p>
    <w:p w14:paraId="255171E1">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3.3.1动员预付款元，甲方在发包人动员预付款支付后，并乙方交纳上述保函或保证金后的    天内向乙方支付；</w:t>
      </w:r>
    </w:p>
    <w:p w14:paraId="1D30A277">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3.3.2质量保证金限额为合同总价％。质量保证金参照总包合同中的规定执行。若在缺陷责任期内发生涉及乙方施工项目的维修费用，则由乙方全额承担，并在质量保证金中扣除。</w:t>
      </w:r>
    </w:p>
    <w:p w14:paraId="17515D3D">
      <w:pPr>
        <w:pStyle w:val="108"/>
        <w:ind w:firstLine="422"/>
        <w:rPr>
          <w:rFonts w:hAnsi="宋体" w:cs="宋体"/>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3.3.3安全生产费用按总包合同的专用条款的规定进行计量支付，按实投入使用，</w:t>
      </w:r>
      <w:r>
        <w:rPr>
          <w:rFonts w:hint="eastAsia" w:hAnsi="宋体" w:cs="宋体"/>
          <w:bCs/>
          <w:color w:val="000000" w:themeColor="text1"/>
          <w:highlight w:val="none"/>
          <w14:textFill>
            <w14:solidFill>
              <w14:schemeClr w14:val="tx1"/>
            </w14:solidFill>
          </w14:textFill>
        </w:rPr>
        <w:t>承建工程竣工后，最终由甲乙双方结算。</w:t>
      </w:r>
    </w:p>
    <w:p w14:paraId="7681C6A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3.3.4农民工工资支付保证金按项目专用条款或发包人规定的比例在计量支付时提取，在乙方项目完工并出具无拖欠农民工工资承诺后退还。</w:t>
      </w:r>
    </w:p>
    <w:p w14:paraId="24F280F2">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3.3.5本合同约定的所有保证金、保留金等到期无争议需要返还的，均不计利息。</w:t>
      </w:r>
    </w:p>
    <w:p w14:paraId="34C6541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3.3.3（质量和进度考核相关条款）。</w:t>
      </w:r>
    </w:p>
    <w:p w14:paraId="377F3FD9">
      <w:pPr>
        <w:pStyle w:val="108"/>
        <w:ind w:firstLine="422"/>
        <w:jc w:val="left"/>
        <w:rPr>
          <w:rFonts w:hAnsi="宋体" w:cs="宋体"/>
          <w:b/>
          <w:color w:val="000000" w:themeColor="text1"/>
          <w:highlight w:val="none"/>
          <w14:textFill>
            <w14:solidFill>
              <w14:schemeClr w14:val="tx1"/>
            </w14:solidFill>
          </w14:textFill>
        </w:rPr>
      </w:pPr>
    </w:p>
    <w:p w14:paraId="1A7A503C">
      <w:pPr>
        <w:pStyle w:val="108"/>
        <w:ind w:firstLine="482" w:firstLineChars="200"/>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4.双方责任</w:t>
      </w:r>
    </w:p>
    <w:p w14:paraId="061776B3">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4.1甲方责任</w:t>
      </w:r>
    </w:p>
    <w:p w14:paraId="6C18A466">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4.1.1及时向乙方提供施工设计图及有关技术资料。</w:t>
      </w:r>
    </w:p>
    <w:p w14:paraId="7043C0E0">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4.1.2协调建设单位，办理永久征地手续，提供乙方使用。</w:t>
      </w:r>
    </w:p>
    <w:p w14:paraId="082494D2">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4.1.3开工前由甲方牵头联系建设单位和设计单位对乙方进行交桩，负责完成线路复测、控制桩复测及加密等工作，乙方配合。</w:t>
      </w:r>
    </w:p>
    <w:p w14:paraId="68FC1732">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4.1.4监督、协助乙方办理临时用地，但不承担因临时用地造成的任何费用及责任。</w:t>
      </w:r>
    </w:p>
    <w:p w14:paraId="36505AB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4.1.5按招标文件和建设单位规章制度对乙方施工进行监控，监督乙方文明施工、质量管理、安全生产、施工进度。</w:t>
      </w:r>
    </w:p>
    <w:p w14:paraId="23D216A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4.1.6负责牵头联系建设单位、设计单位、监理单位有关工作。</w:t>
      </w:r>
    </w:p>
    <w:p w14:paraId="1DA4CA0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4.1.7负责转发政府、建设、设计、监理等相关单位，甲方认为有必要传达的文件、通知及其他资料。</w:t>
      </w:r>
    </w:p>
    <w:p w14:paraId="39B38E24">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4.1.8负责成立中心试验室，并承担需要中心试验室负责的试验、检测工作，依照甲乙双方协商的工程试验检测费用支付。</w:t>
      </w:r>
    </w:p>
    <w:p w14:paraId="4B196DDC">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4.1.9负责建设拌和站，并按商品砼约定价格及供货方式提供砼，砼使用搅拌运输车提供至“可以安全送达”的施工区域。</w:t>
      </w:r>
    </w:p>
    <w:p w14:paraId="47C224BA">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4.1.10负责对乙方临时设施及标示标牌的统一规划，但不承担所发生的费用。</w:t>
      </w:r>
    </w:p>
    <w:p w14:paraId="0529CC46">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4.1.11负责对建设单位计量工作（按乙方当期实际进度完成情况上报建设单位审批），负责办理乙方中间结算和完工决算，并拨付工程款。</w:t>
      </w:r>
    </w:p>
    <w:p w14:paraId="2BEA18AD">
      <w:pPr>
        <w:pStyle w:val="108"/>
        <w:ind w:left="1"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4.1.12负责制定并下达有关“技术、质量、安全、环保、文明施工、试验、资料”等有关管理规定，提供乙方使用。</w:t>
      </w:r>
    </w:p>
    <w:p w14:paraId="472FCBB9">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4.1.13负责下达年、季、月施工计划，并对乙方施工进行全方位监控。</w:t>
      </w:r>
    </w:p>
    <w:p w14:paraId="0F3412CE">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4.1.14负责根据进度计划，及时提供甲供材料。</w:t>
      </w:r>
    </w:p>
    <w:p w14:paraId="2B43F20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4.1.15施工过程中，负责对乙方主要管理人员（项目经理、副经理、总工、现场技术主管、专职安全员、资料员等）进行考核和评估，对不符合要求的管理人员有权下达限期更换指令。</w:t>
      </w:r>
    </w:p>
    <w:p w14:paraId="1373FB6B">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4.1.16合同履行过程中，甲方有权对乙方的资金去向进行监控，并对擅自挪用的资金提出整改意见，并视造成的后果进行必要处罚。</w:t>
      </w:r>
    </w:p>
    <w:p w14:paraId="0E4ABEA9">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4.1.17施工过程中，甲方有权监督乙方的农民工管理及工资发放，如果出现乙方无理由拖欠农民工工资，甲方有权直接代发，所代发工资直接从乙方工程款中扣除。</w:t>
      </w:r>
    </w:p>
    <w:p w14:paraId="0B0347BD">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4.1.18协助乙方办理相关工程施工事宜，传达下发上级所发的本合同相关文件和信息。</w:t>
      </w:r>
    </w:p>
    <w:p w14:paraId="514F9126">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4.2乙方责任</w:t>
      </w:r>
    </w:p>
    <w:p w14:paraId="6548AF63">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临时占地由乙方向当地政府土地管理部门申请，并办理租用手续和承担费用,办理征地手续时，应用甲方名义，甲方负责配合。临时占地退还前，乙方应自费恢复到临时占地使用前的状况。如乙方撤离后未按要求对临时占地进行恢复或虽进行了恢复但未达到地方政府及土地所有人合同约定的标准，将由甲方负责对其恢复，所发生的费用将从应付给乙方的任何款项内扣除。</w:t>
      </w:r>
    </w:p>
    <w:p w14:paraId="221EB489">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4.2.2乙方应配合甲方完成线路复测、控制桩复测及加密等工作，交桩后由乙方对控制桩、加密桩等进行妥善保护，并自行负责施工过程中的测量工作，并承担全部费用。</w:t>
      </w:r>
    </w:p>
    <w:p w14:paraId="43B4101E">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4.2.3乙方需成立健全的组织机构，配备“项目经理、现场副经理、总工”以及“工程技术、测量、安全质量、环保、物资、设备、计量、财务、试验”等相应管理和技术人员，主要人员资质需符合甲方要求。乙方应将组织机构及人员情况（需注明姓名、性别、年龄、职务、职称、学历证书、从业资格证书、业绩、身份证号码、电话号码等）报送甲方备案，同时按甲方要求提供相应证件供建设、监理单位核查，并在施工中保持稳定。施工过种中，接受甲方对相关人员的考核和评估，对认定为不适合的管理人员，限期内执行完毕甲方的更换指令。除甲方更换指令外，不得随意变更，如有更换，必须事先征得甲方书面同意。</w:t>
      </w:r>
    </w:p>
    <w:p w14:paraId="3189CE7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4.2.4乙方主要管理人员（项目负责人、技术负责人）必须坚守工地，严格请销假制度，未经甲方同意，乙方主要人员擅离工作岗位，处以元/人·日的罚款。</w:t>
      </w:r>
    </w:p>
    <w:p w14:paraId="7B6FEFC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4.2.5乙方应按照合同要求为其履行合同所雇用的全部人员缴纳工伤保险费、在整个施工期间为其现场机构雇用的全部人员投保人身意外伤害险并为其施工设备办理保险，其费用由乙方承担。</w:t>
      </w:r>
    </w:p>
    <w:p w14:paraId="341AD58E">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4.2.6乙方应按照甲方统一规划方案进行临时设施的建设及标示并承担费用。</w:t>
      </w:r>
    </w:p>
    <w:p w14:paraId="20F45626">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4.2.7甲方未提供规划方案的临时设施，乙方自行建设，但严格按照甲方转发的相关“标准化管理规定”自行负责修建、管理、养护及拆除。</w:t>
      </w:r>
    </w:p>
    <w:p w14:paraId="7124B69B">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4.2.8乙方施工工地宣传标识以及对外的舆论宣传必须以甲方的名义进行。</w:t>
      </w:r>
    </w:p>
    <w:p w14:paraId="0F7D1646">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4.2.9乙方应根据工程要求配备试验人员。中心试验室由甲方负责建设，并申报合格资质，负责本合同段的需要中心试验室负责的试验、检测工作；乙方自行购置现场试验检测器具并完成本段内现场试验检测工作；乙方的外委试验费用由乙方自行承担；乙方需负责本合同工程业主发试验表格费用，发生金额由甲方代扣。</w:t>
      </w:r>
    </w:p>
    <w:p w14:paraId="348F05A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4.2.10为确保工程质量，乙方无条件接收甲方用于本工程施工需要提供的“甲供材料”，并按合同约定的方式进行甲供材料的领取，装卸、运输、仓储等全部费用，由乙方自行承担。每月结算时，配合甲方进行甲供料的核算，并按合同条款的约定承担全部费用。</w:t>
      </w:r>
    </w:p>
    <w:p w14:paraId="0246F0B0">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4.2.11乙方自行购置的路基、路面、桥梁附属工程的砂、碎石、等主要原材料，必须符合国家现行标准并报经甲方试验部门同意后方可用于本工程，不得擅自更换。</w:t>
      </w:r>
    </w:p>
    <w:p w14:paraId="0C662BFA">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4.2.12负责本合同承包范围内工程的实施、完成及缺陷修复等工作并承担相应费用，接受甲方的领导、整体协调以及施工中的监督、指令、检查。</w:t>
      </w:r>
    </w:p>
    <w:p w14:paraId="6E5078D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4.2.13在施工中及时按甲方要求调整生产要素，并在规定时间内上报各种文件、资料和报表。</w:t>
      </w:r>
    </w:p>
    <w:p w14:paraId="438167EA">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4.2.14服从甲方管理，参加甲方组织的各种工程施工会议和甲方开展的工程管理活动，否则，甲方有权对乙方实施经济处罚。</w:t>
      </w:r>
    </w:p>
    <w:p w14:paraId="1217AD2D">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4.2.15乙方无条件执行甲方下达的有关“进度、安全、质量、环保、文明施工、技术、试验、测量、资料管理”等相关计划及管理规定，管理规定不足时依照甲方转发的建设单位相关文件执行。施工过程中，配置一切必要资源完成本合同确定的所有工程，满足建设单位、监理单位和甲方的要求，积极配合各级单位的质量、安全、进度、环保和信用评价等检查工作。</w:t>
      </w:r>
    </w:p>
    <w:p w14:paraId="6233E67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4.2.16乙方须按文明施工，环境保护标准组织施工。在业主组织的工地检查和为迎接政府视察及甲方组织的工地检查中，要按要求组织整理施工现场，检查中如被批评、处罚，责任及费用全部由乙方承担。</w:t>
      </w:r>
    </w:p>
    <w:p w14:paraId="514C68D7">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4.2.17乙方应积极配合甲方进行结算，及时提供相应资料，因“乙方原因造成计量不能按时批复”或者“建设单位资金不足”，工程款支付不到位，乙方必须自行解决资金问题，确保工期目标的实现，并承担全部责任。</w:t>
      </w:r>
    </w:p>
    <w:p w14:paraId="232CF559">
      <w:pPr>
        <w:pStyle w:val="108"/>
        <w:tabs>
          <w:tab w:val="left" w:pos="2745"/>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4.2.18为确保工程施工顺利，乙方必须确保甲方支付的资金用于本工程，并与甲方、银行共同签订《工程资金监管协议》，接受甲方和银行对资金的查询、监管。未经甲方同意，不得擅自挪用，否则甲方有权终止月支付并进行处罚，乙方对造成的后果负完全责任。</w:t>
      </w:r>
    </w:p>
    <w:p w14:paraId="1E78CA2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4.2.19工程完工后，乙方应进行场地清理平整，做到工完场清，并提供竣工验收有关资料，在工程未交付前，应负责已完工程的保护工作，若有损坏，应自费予以修复。</w:t>
      </w:r>
    </w:p>
    <w:p w14:paraId="74C556B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4.2.20缺陷责任期及缺陷责任期的工程维护依据业主规定，质量保修金依据业主规定；乙方需负责施工资料及竣工资料的收集整理，并及时上报甲方；责任期内，工程需要维修时，乙方应负责维修施工用的照明、看守围栏和警示等防护设施，并对所造成的环境污染或道路损毁等全部费用负责。</w:t>
      </w:r>
    </w:p>
    <w:p w14:paraId="7C1E675D">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4.2.21乙方委派专人（有乙方的授权委托书）与甲方办理各种涉及合同、经济、财务等方面的手续。</w:t>
      </w:r>
    </w:p>
    <w:p w14:paraId="19DE00E8">
      <w:pPr>
        <w:pStyle w:val="108"/>
        <w:snapToGrid w:val="0"/>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4.2.22乙方可以直接雇用农民工，但必须依法签订劳务用工合同，并将“劳务用工花名册”及“劳务用工合同”报甲方备案。乙方按照法律、法规和劳务用工合同按时支付劳务工资，落实各项劳动保护措施。承担拖欠农民工工资所引发的全部法律及经济责任。</w:t>
      </w:r>
    </w:p>
    <w:p w14:paraId="348AA35E">
      <w:pPr>
        <w:pStyle w:val="108"/>
        <w:snapToGrid w:val="0"/>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4.2.23乙方接受甲方按相关规定向乙方开出的违约处罚金，甲方可直接从“认为合适”的任何一个“期中支付月份”中“应付工程款中”直接扣除。甲方向乙方开出的任何违约处罚金将导致乙方最终的应得结算价款相应地减少。</w:t>
      </w:r>
    </w:p>
    <w:p w14:paraId="3E20155C">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4.2.24乙方在施工中与第三方产生的债权债务及纠纷等问题由乙方自行负责处理，并承担全部责任和费用。</w:t>
      </w:r>
    </w:p>
    <w:p w14:paraId="6BC8ED2B">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4.2.25乙方应不折不扣地按合同文件规定承担本合同工程的实施、完成、维护及缺陷的修复；甲方不承担任何停工及窝工损失费；由于建设单位原因造成的停工或窝工，乙方配合甲方向建设单位争取费用补偿。</w:t>
      </w:r>
    </w:p>
    <w:p w14:paraId="612912C4">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4.2.26乙方应自行组织工程施工，不得将工程转包或分包，否则甲方有权终止合同，乙方承担违约责任。</w:t>
      </w:r>
    </w:p>
    <w:p w14:paraId="5A699F22">
      <w:pPr>
        <w:pStyle w:val="108"/>
        <w:ind w:firstLine="422"/>
        <w:jc w:val="left"/>
        <w:rPr>
          <w:rFonts w:hAnsi="宋体" w:cs="宋体"/>
          <w:b/>
          <w:color w:val="000000" w:themeColor="text1"/>
          <w:highlight w:val="none"/>
          <w14:textFill>
            <w14:solidFill>
              <w14:schemeClr w14:val="tx1"/>
            </w14:solidFill>
          </w14:textFill>
        </w:rPr>
      </w:pPr>
    </w:p>
    <w:p w14:paraId="716D6171">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5 合同工期和要求</w:t>
      </w:r>
    </w:p>
    <w:p w14:paraId="53E447EE">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5.1根据甲方的总体施工计划要求，乙方完成分包专项工程的合同工期天，自年   月   日开工，至年   月   日完工。</w:t>
      </w:r>
    </w:p>
    <w:p w14:paraId="68C4E700">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5.2如甲方总体施工计划调整时，乙方应作相应的调整，由此增加的费用由甲乙双方协商解决。</w:t>
      </w:r>
    </w:p>
    <w:p w14:paraId="6CA49084">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5.3如因乙方原因未能按时开工或延误工期，由此引起的损失由乙方承担，必要时，甲方有权单方面终止合同。因发包人原因或不可抗力造成的工期延误，则按照发包人同意的相应工期予以顺延。</w:t>
      </w:r>
    </w:p>
    <w:p w14:paraId="62CC56A9">
      <w:pPr>
        <w:pStyle w:val="108"/>
        <w:ind w:firstLine="422"/>
        <w:rPr>
          <w:rFonts w:hAnsi="宋体" w:cs="宋体"/>
          <w:color w:val="000000" w:themeColor="text1"/>
          <w:highlight w:val="none"/>
          <w14:textFill>
            <w14:solidFill>
              <w14:schemeClr w14:val="tx1"/>
            </w14:solidFill>
          </w14:textFill>
        </w:rPr>
      </w:pPr>
    </w:p>
    <w:p w14:paraId="73EB395B">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6工程质量及质量保修</w:t>
      </w:r>
    </w:p>
    <w:p w14:paraId="38EF5510">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6.1乙方应向甲方负责其分包工程的质量。甲方应对乙方分包的工程进行全面有效质量管理。</w:t>
      </w:r>
    </w:p>
    <w:p w14:paraId="3BF8C3D7">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6.2乙方应按照施工图纸、技术规范及有关要求，精心组织施工，保证工程质量达到甲方向发包人承诺的质量等级和标准。如果因乙方原因质量不符合要求，乙方应返工达到质量等级和标准，增加的费用由乙方承担。</w:t>
      </w:r>
    </w:p>
    <w:p w14:paraId="5C34267B">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6.3甲方委派质检人员对乙方分包的专项工程进行质量管理，乙方应配备相应的质检人员予以配合。施工每道工序完毕后，先由乙方质检员自检，符合要求后报甲方质检员检验，检验通过后，再由甲方质检员通知监理人检验签认，通过并签认后，才可进入下一道工序施工。</w:t>
      </w:r>
    </w:p>
    <w:p w14:paraId="36CD31F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6.4乙方的各项试验和检测内容应到甲方的试验室或甲方认可的有资质的试验检测机构完成，其费用由方承担。试验检测的频率、方法、操作规程等，应严格按照相关的技术标准执行。</w:t>
      </w:r>
    </w:p>
    <w:p w14:paraId="023A4FAB">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6.5甲方按照现行的验收办法、评定标准、施工技术规范及施工图等报请发包人组织验收。分包专项工程涉及的竣工资料（a.由甲方统一编制，乙方承担竣工资料编制费用；b.由乙方编制，乙方承担竣工资料编制费用；）。</w:t>
      </w:r>
    </w:p>
    <w:p w14:paraId="494BB840">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6.6乙方分包专项工程的质量保修期等同于发包人要求甲方的保修期，保修期间发生在乙方工作范围内的保修费用由乙方承担。</w:t>
      </w:r>
    </w:p>
    <w:p w14:paraId="791FF1E8">
      <w:pPr>
        <w:pStyle w:val="108"/>
        <w:ind w:firstLine="422"/>
        <w:jc w:val="center"/>
        <w:rPr>
          <w:rFonts w:hAnsi="宋体" w:cs="宋体"/>
          <w:color w:val="000000" w:themeColor="text1"/>
          <w:highlight w:val="none"/>
          <w14:textFill>
            <w14:solidFill>
              <w14:schemeClr w14:val="tx1"/>
            </w14:solidFill>
          </w14:textFill>
        </w:rPr>
      </w:pPr>
    </w:p>
    <w:p w14:paraId="685D54A1">
      <w:pPr>
        <w:pStyle w:val="108"/>
        <w:ind w:firstLine="422"/>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 工程变更和质量事故处理</w:t>
      </w:r>
    </w:p>
    <w:p w14:paraId="5FEFD85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7.1工程变更的处理方式及费用按照总包合同的相应条款由甲方统一办理。应由乙方负责实施的变更项目和内容，乙方不得以任何理由拒绝或拖延或不按要求实施，否则给甲方造成损失的，乙方负责赔偿。</w:t>
      </w:r>
    </w:p>
    <w:p w14:paraId="52761E92">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7.2乙方实施完成的工程变更项目的费用待发包人批复并支付给甲方后,甲方扣除一定比例即%的管理费用后结算支付给乙方。</w:t>
      </w:r>
    </w:p>
    <w:p w14:paraId="235B1B6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7.3乙方应向甲方及时报告分包工程发生质量问题和事故，甲方应按公路工程质量事故处理相关规定及时报告，按规定程序处理。根据质量事故发生的原因，由责任方承担造成的责任和损失。</w:t>
      </w:r>
    </w:p>
    <w:p w14:paraId="6AED1029">
      <w:pPr>
        <w:pStyle w:val="108"/>
        <w:ind w:firstLine="422"/>
        <w:rPr>
          <w:rFonts w:hAnsi="宋体" w:cs="宋体"/>
          <w:color w:val="000000" w:themeColor="text1"/>
          <w:highlight w:val="none"/>
          <w14:textFill>
            <w14:solidFill>
              <w14:schemeClr w14:val="tx1"/>
            </w14:solidFill>
          </w14:textFill>
        </w:rPr>
      </w:pPr>
    </w:p>
    <w:p w14:paraId="5E753DD1">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8 工程款项的结算与支付</w:t>
      </w:r>
    </w:p>
    <w:p w14:paraId="71D112DF">
      <w:pPr>
        <w:pStyle w:val="108"/>
        <w:ind w:left="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8.1中期支付</w:t>
      </w:r>
    </w:p>
    <w:p w14:paraId="041C0906">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8.1.1按分包专项工程量清单及其计量规则，以乙方实际完成的工程数量和甲乙双方约定的单价进行结算，并扣除应扣款项。中期支付所需的有关资料由乙方准备，计量支付报表编制和报送要求按发包人规定的要求执行。价款的支付时间为甲方取得发包人的支付款后的天之内，并以（a.银行支票b.转账方式）支付。</w:t>
      </w:r>
    </w:p>
    <w:p w14:paraId="7AC58DB4">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8.1.2甲方向乙方支付的动员预付款，从中期支付款的第一期开始逐月按比例扣回，扣完为止。</w:t>
      </w:r>
    </w:p>
    <w:p w14:paraId="799C62B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8.2完工结算</w:t>
      </w:r>
    </w:p>
    <w:p w14:paraId="71D02B0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8.2.1乙方承担项目完工，根据乙方实际完成的，经甲方确认并经监理人签认及发包人支付涉及的工程量和甲乙双方约订的单价结算。在扣留质量保证金，乙方证明债务债权与甲方无涉后，甲方将剩余款额在天内支付给乙方。</w:t>
      </w:r>
    </w:p>
    <w:p w14:paraId="4DE8733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对于完工时尚不能完成结算的细目，双方核实列出清单，说明情况和结算原则，签字确认，待终期结算时视项目决算审计及发包人决算支付情况一并结清。</w:t>
      </w:r>
    </w:p>
    <w:p w14:paraId="0CF8939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8.2.2完工结算时，对乙方的履约保证金、质量保证金、安全生产费用等按合同约定办理结算。</w:t>
      </w:r>
    </w:p>
    <w:p w14:paraId="1548B63E">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8.3最终结算支付</w:t>
      </w:r>
    </w:p>
    <w:p w14:paraId="39A504D4">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整个工程缺陷责任期满，并经项目决算审计完成后，甲方获得发包人竣工最终结算支付后，甲方扣除缺陷责任期和审计中涉及乙方施工项目所发生的实际费用后，剩余部分全额支付给乙方，并退还保留金。   </w:t>
      </w:r>
    </w:p>
    <w:p w14:paraId="06770F8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8.4分包人应设置会计帐簿，健全财务制度，及时、准确、完整地进行会计核算；所得的分包款项应有明确的收支明细帐目和凭证。</w:t>
      </w:r>
    </w:p>
    <w:p w14:paraId="34557CDE">
      <w:pPr>
        <w:pStyle w:val="108"/>
        <w:ind w:firstLine="422"/>
        <w:rPr>
          <w:rFonts w:hAnsi="宋体" w:cs="宋体"/>
          <w:color w:val="000000" w:themeColor="text1"/>
          <w:highlight w:val="none"/>
          <w14:textFill>
            <w14:solidFill>
              <w14:schemeClr w14:val="tx1"/>
            </w14:solidFill>
          </w14:textFill>
        </w:rPr>
      </w:pPr>
    </w:p>
    <w:p w14:paraId="05BA75CC">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9 材料物资和机械设备</w:t>
      </w:r>
    </w:p>
    <w:p w14:paraId="6EA1D289">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9.1材料</w:t>
      </w:r>
    </w:p>
    <w:p w14:paraId="410BA144">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9.1.1发包人和甲方统一采购供应的材料名称、单价及允许损耗系数等见《承包人供应材料清单》（附表4）。乙方领用的甲供材料，若累计用量在图纸用量加允许损耗用量以内的数量按材料清单单价扣回，超出允许损耗用量的材料款在乙方当月的工程款结算时按上述材料的市场价加</w:t>
      </w:r>
      <w:r>
        <w:rPr>
          <w:rFonts w:hint="eastAsia"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保管费的费用扣回。</w:t>
      </w:r>
    </w:p>
    <w:p w14:paraId="2F03BED3">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9.1.2除上述甲方提供的材料物资外，用于乙方施工的其他材料物资由乙方自行采购和提供，并负责其保管、检测、使用、运输等全部费用。</w:t>
      </w:r>
    </w:p>
    <w:p w14:paraId="159A8AE2">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9.2机械设备</w:t>
      </w:r>
    </w:p>
    <w:p w14:paraId="1754B41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9.2.1乙方施工所需机械设备均由乙方自行采购和提供，并符合工程施工和进度的要求。</w:t>
      </w:r>
    </w:p>
    <w:p w14:paraId="58071696">
      <w:pPr>
        <w:pStyle w:val="108"/>
        <w:ind w:firstLine="422"/>
        <w:rPr>
          <w:rFonts w:hAnsi="宋体" w:cs="宋体"/>
          <w:color w:val="000000" w:themeColor="text1"/>
          <w:highlight w:val="none"/>
          <w14:textFill>
            <w14:solidFill>
              <w14:schemeClr w14:val="tx1"/>
            </w14:solidFill>
          </w14:textFill>
        </w:rPr>
      </w:pPr>
    </w:p>
    <w:p w14:paraId="1869A96F">
      <w:pPr>
        <w:pStyle w:val="108"/>
        <w:ind w:firstLine="422"/>
        <w:jc w:val="left"/>
        <w:rPr>
          <w:rFonts w:hAnsi="宋体" w:cs="宋体"/>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10 安全生产管理</w:t>
      </w:r>
    </w:p>
    <w:p w14:paraId="4D6DBAA9">
      <w:pPr>
        <w:pStyle w:val="108"/>
        <w:tabs>
          <w:tab w:val="left" w:pos="1288"/>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10.1甲方对施工现场安全生产负总责，对分包工程的安全生产承担连带责任；乙方必须认真贯彻落实国家安全生产法律法规，执行安全生产操作规程和总包合同条款有关安全生产管理规定，承担施工安全法律责任和经济责任。</w:t>
      </w:r>
    </w:p>
    <w:p w14:paraId="57A3A323">
      <w:pPr>
        <w:pStyle w:val="108"/>
        <w:tabs>
          <w:tab w:val="left" w:pos="1288"/>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10.2乙方应按规定对所属员工进行安全教育，并对其施工安全负责。乙方应服从甲方的安全生产管理，乙方不服从管理导致生产安全事故的，由乙方承担主要责任。</w:t>
      </w:r>
    </w:p>
    <w:p w14:paraId="6A8DC429">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10.3乙方施工范围内安全防护设施的采购、提供、搭拆、保管和维护，由乙方负责实施并承担费用。劳动防护用品费用由乙方承担，并按安全生产相关规定进行用品发放、并督促员工正确使用劳动防护用品。</w:t>
      </w:r>
    </w:p>
    <w:p w14:paraId="41DA2760">
      <w:pPr>
        <w:pStyle w:val="108"/>
        <w:ind w:firstLine="422"/>
        <w:rPr>
          <w:rFonts w:hAnsi="宋体" w:cs="宋体"/>
          <w:color w:val="000000" w:themeColor="text1"/>
          <w:highlight w:val="none"/>
          <w14:textFill>
            <w14:solidFill>
              <w14:schemeClr w14:val="tx1"/>
            </w14:solidFill>
          </w14:textFill>
        </w:rPr>
      </w:pPr>
    </w:p>
    <w:p w14:paraId="247CB34F">
      <w:pPr>
        <w:pStyle w:val="108"/>
        <w:ind w:firstLine="482" w:firstLineChars="200"/>
        <w:rPr>
          <w:rFonts w:hAnsi="宋体" w:cs="宋体"/>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11劳务管理</w:t>
      </w:r>
    </w:p>
    <w:p w14:paraId="2DBC5E21">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11.1乙方招用的劳务人员，应当依法签订劳动用工合同，缴纳工伤保险，其应得工资应通过银行卡转帐或现金发放的方式及时、足额地直接发放给劳务人员本人。严禁发放给其他不具备用工主体资格的组织和个人。</w:t>
      </w:r>
    </w:p>
    <w:p w14:paraId="5DCE4BA7">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11.2乙方招用的劳务人员，在核定的人工费总额内需由甲方统一代为发放的，乙方需出具书面委托，并在每月月底报送员工考勤表及乙方签认的工资发放表到甲方。甲方以工资卡形式发放，费用在月结算计量款中抵扣。</w:t>
      </w:r>
    </w:p>
    <w:p w14:paraId="6AEDE148">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11.3乙方不得以任何理由和形式克扣员工工资，更不得发生员工到甲方追讨工资或有举报拖欠工资的情况发生，若乙方无理克扣或拖欠工资情况属实，视为乙方违约，甲方在垫付其应得工资后，有权要求乙方支付违约金，违约金数额为每次元，并没收保证金。 </w:t>
      </w:r>
    </w:p>
    <w:p w14:paraId="23248C56">
      <w:pPr>
        <w:pStyle w:val="108"/>
        <w:ind w:firstLine="422"/>
        <w:rPr>
          <w:rFonts w:hAnsi="宋体" w:cs="宋体"/>
          <w:color w:val="000000" w:themeColor="text1"/>
          <w:highlight w:val="none"/>
          <w14:textFill>
            <w14:solidFill>
              <w14:schemeClr w14:val="tx1"/>
            </w14:solidFill>
          </w14:textFill>
        </w:rPr>
      </w:pPr>
    </w:p>
    <w:p w14:paraId="030614FE">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12保险</w:t>
      </w:r>
    </w:p>
    <w:p w14:paraId="51331A0D">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12.1工程一切险和第三者责任险，由甲方投保并承担费用。一旦发生事故和损失，乙方应按要求和程序采用应急措施，并保护好现场，由甲方通知保险公司办理理赔手续，乙方有责任提供理赔所需的基础资料。甲方获得的理赔金额扣除在理赔过程中发生的有关费用后，补偿给乙方，乙方得到补偿后还不能弥补损失的，如因甲方原因造成事故和损失，由甲方承担；如因乙方原因造成事故和损失的，由乙方承担主要责任，甲方承担连带责任。</w:t>
      </w:r>
    </w:p>
    <w:p w14:paraId="6C27B046">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12.2除上一条款险种外，其他保险由乙方自行投保并承担费用，其中，高危等项目，乙方必须投保。乙方并将所有自行投保合同报甲方备案。</w:t>
      </w:r>
    </w:p>
    <w:p w14:paraId="7FAA5FEB">
      <w:pPr>
        <w:pStyle w:val="108"/>
        <w:ind w:firstLine="422"/>
        <w:rPr>
          <w:rFonts w:hAnsi="宋体" w:cs="宋体"/>
          <w:color w:val="000000" w:themeColor="text1"/>
          <w:highlight w:val="none"/>
          <w14:textFill>
            <w14:solidFill>
              <w14:schemeClr w14:val="tx1"/>
            </w14:solidFill>
          </w14:textFill>
        </w:rPr>
      </w:pPr>
    </w:p>
    <w:p w14:paraId="7CB3FAAA">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13现场管理</w:t>
      </w:r>
    </w:p>
    <w:p w14:paraId="1BC48FD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13.1乙方应做到文明施工，做到施工场地整洁有序，设立必要宣传、告示等标志、标牌。</w:t>
      </w:r>
    </w:p>
    <w:p w14:paraId="782C7542">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13.2乙方施工所需的临时道路、桥梁等设施由方修建和维护，在使用中对临时设施有损坏时，乙方可通过甲方指出由损坏人给予修复或赔偿的要求。</w:t>
      </w:r>
    </w:p>
    <w:p w14:paraId="7B4A1C21">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13.3 乙方必须对分包合同施工范围内的三线、文物、矿产及环境做好保护工作，在施工前应做好详细的调查工作，并制定切实可行的保护措施，确保安全。如因乙方原因造成三线、文物、矿产及环境破坏，应承担相应的损失和责任。</w:t>
      </w:r>
    </w:p>
    <w:p w14:paraId="4EAA8231">
      <w:pPr>
        <w:pStyle w:val="108"/>
        <w:ind w:firstLine="422"/>
        <w:rPr>
          <w:rFonts w:hAnsi="宋体" w:cs="宋体"/>
          <w:color w:val="000000" w:themeColor="text1"/>
          <w:highlight w:val="none"/>
          <w14:textFill>
            <w14:solidFill>
              <w14:schemeClr w14:val="tx1"/>
            </w14:solidFill>
          </w14:textFill>
        </w:rPr>
      </w:pPr>
    </w:p>
    <w:p w14:paraId="1A8ECD3E">
      <w:pPr>
        <w:pStyle w:val="108"/>
        <w:ind w:firstLine="422"/>
        <w:jc w:val="left"/>
        <w:rPr>
          <w:rFonts w:hAnsi="宋体" w:cs="宋体"/>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14违约责任</w:t>
      </w:r>
    </w:p>
    <w:p w14:paraId="1E4F0FDF">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14.1 乙方分包的工程项目，不得再行转包或分包，否则将无条件被认为乙方违约，由此引起的一切责任、事故和损失由乙方负责。</w:t>
      </w:r>
    </w:p>
    <w:p w14:paraId="25FA799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14.2在施工过程中经检验达不到验收规范和评定标准，不能保证工程质量，或因乙方原因造成发包人、监理人或有关部门的极大不满，则甲方有权终止合同，由此造成的损失由乙方承担。</w:t>
      </w:r>
    </w:p>
    <w:p w14:paraId="082F60CB">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14.3 除上一条款外，合同签订后，不经双方协商同意，任何一方不得随意变更或解除。如乙方未经甲方同意，单方解除合同时，应由乙方赔偿甲方因影响施工计划造成的经济损失；如甲方中途解除合同，应赔偿乙方因此造成的经济损失。</w:t>
      </w:r>
    </w:p>
    <w:p w14:paraId="6005FE66">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14.4因乙方原因，出现下列情况之一的，甲方有权采取认为合理的一切措施进行处理，由此引起的损失由乙方承担。</w:t>
      </w:r>
    </w:p>
    <w:p w14:paraId="2C155593">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14.4.1乙方的主要人员、机械设备及流动资金不能按时到位的，严重制约了工程的施工；</w:t>
      </w:r>
    </w:p>
    <w:p w14:paraId="2CE6308D">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14.4.2进度滞后该工程总体进度计划的10％或落到工程管理曲线下线以下的；</w:t>
      </w:r>
    </w:p>
    <w:p w14:paraId="606D3198">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14.4.3不按施工技术规范和标准要求施工，造成工程质量低劣的达不到验收标准的；</w:t>
      </w:r>
    </w:p>
    <w:p w14:paraId="615894E0">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14.4. 4不遵守甲方的管理，不能服从发包人和监理人的指令，造成工程不能管理无法推进。</w:t>
      </w:r>
    </w:p>
    <w:p w14:paraId="61442F45">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14.5乙方应按本合同规定的工期及质量要求完成，否则应偿付给甲方元/天的逾期违约金，限额为％本合同的签约合同价。</w:t>
      </w:r>
    </w:p>
    <w:p w14:paraId="5A33FD97">
      <w:pPr>
        <w:pStyle w:val="108"/>
        <w:ind w:firstLine="422"/>
        <w:rPr>
          <w:rFonts w:hAnsi="宋体" w:cs="宋体"/>
          <w:color w:val="000000" w:themeColor="text1"/>
          <w:highlight w:val="none"/>
          <w14:textFill>
            <w14:solidFill>
              <w14:schemeClr w14:val="tx1"/>
            </w14:solidFill>
          </w14:textFill>
        </w:rPr>
      </w:pPr>
    </w:p>
    <w:p w14:paraId="5D658FA6">
      <w:pPr>
        <w:pStyle w:val="108"/>
        <w:ind w:firstLine="422"/>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15 附则</w:t>
      </w:r>
    </w:p>
    <w:p w14:paraId="45E0389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15.1合同生效：本合同经甲乙双方签字盖章后，须经驻地监理办审查，报发包人备案之日起生效。</w:t>
      </w:r>
    </w:p>
    <w:p w14:paraId="0FE749A5">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15.2合同终止日期：在全部工程竣工，办理竣工验收款项结清后失效。</w:t>
      </w:r>
    </w:p>
    <w:p w14:paraId="3CE9DA9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15.3本合同发生纠纷时，甲乙双方应及时协商解决。若协商不成时，可按以下第项解决：(a)向工程所在地经济合同仲裁委员会申请仲裁，(b)向人民法院起诉。</w:t>
      </w:r>
    </w:p>
    <w:p w14:paraId="3CC9F88E">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15.4本合同要求鉴证(公证)的，可向工程所在地的市(县)工商行政管理局进行鉴证或公证处公证。</w:t>
      </w:r>
    </w:p>
    <w:p w14:paraId="1A2A6488">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15.5本合同一式份，甲乙双方各执正本一份，副本份，驻地监理办、发包人备案各一份。</w:t>
      </w:r>
    </w:p>
    <w:p w14:paraId="56622A6C">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15.6 双方商定的补充条款：</w:t>
      </w:r>
    </w:p>
    <w:p w14:paraId="050C36A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1.</w:t>
      </w:r>
    </w:p>
    <w:p w14:paraId="5C92453A">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2.</w:t>
      </w:r>
    </w:p>
    <w:p w14:paraId="159F59EA">
      <w:pPr>
        <w:pStyle w:val="108"/>
        <w:ind w:firstLine="960" w:firstLineChars="4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p>
    <w:p w14:paraId="35AA1957">
      <w:pPr>
        <w:pStyle w:val="108"/>
        <w:ind w:firstLine="960" w:firstLineChars="400"/>
        <w:rPr>
          <w:rFonts w:hAnsi="宋体" w:cs="宋体"/>
          <w:color w:val="000000" w:themeColor="text1"/>
          <w:highlight w:val="none"/>
          <w14:textFill>
            <w14:solidFill>
              <w14:schemeClr w14:val="tx1"/>
            </w14:solidFill>
          </w14:textFill>
        </w:rPr>
      </w:pPr>
    </w:p>
    <w:p w14:paraId="4DE9FE51">
      <w:pPr>
        <w:pStyle w:val="108"/>
        <w:ind w:firstLine="42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15.7本合同未尽事宜，发包人与甲方签订总包合同的相关条款已有的，按其办理；未涉及的，按照本工程合同文件的精神，甲乙双方协商解决。</w:t>
      </w:r>
    </w:p>
    <w:p w14:paraId="72EFCFA0">
      <w:pPr>
        <w:pStyle w:val="108"/>
        <w:ind w:firstLine="960" w:firstLineChars="400"/>
        <w:rPr>
          <w:rFonts w:hAnsi="宋体" w:cs="宋体"/>
          <w:color w:val="000000" w:themeColor="text1"/>
          <w:highlight w:val="none"/>
          <w14:textFill>
            <w14:solidFill>
              <w14:schemeClr w14:val="tx1"/>
            </w14:solidFill>
          </w14:textFill>
        </w:rPr>
      </w:pPr>
    </w:p>
    <w:p w14:paraId="2134726D">
      <w:pPr>
        <w:pStyle w:val="108"/>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合同附件：</w:t>
      </w:r>
    </w:p>
    <w:p w14:paraId="1539ABC0">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(一)分包人营业执照复印件。</w:t>
      </w:r>
    </w:p>
    <w:p w14:paraId="248C52FA">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(二)分包人有关企业信息介绍等资料。</w:t>
      </w:r>
    </w:p>
    <w:p w14:paraId="281B72A6">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(三)分包管理人员身份证、资格证书、职称证书、劳动合同关系材料复印件。</w:t>
      </w:r>
    </w:p>
    <w:p w14:paraId="10D573F0">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(四)分包人拟投入的主要管理人员表（附表1）</w:t>
      </w:r>
    </w:p>
    <w:p w14:paraId="7CCA9609">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(五)分包人拟投入的主要机械设备表（附表2)</w:t>
      </w:r>
    </w:p>
    <w:p w14:paraId="0611034B">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(六)分包专项工程工程量清单(附表3)</w:t>
      </w:r>
    </w:p>
    <w:p w14:paraId="16899205">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(五)承包人供应的材料清单 (附表4)。</w:t>
      </w:r>
    </w:p>
    <w:p w14:paraId="64F7C6BD">
      <w:pPr>
        <w:pStyle w:val="108"/>
        <w:ind w:firstLine="48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(六)其它：</w:t>
      </w:r>
    </w:p>
    <w:p w14:paraId="1573D9C5">
      <w:pPr>
        <w:pStyle w:val="108"/>
        <w:ind w:firstLine="480"/>
        <w:rPr>
          <w:rFonts w:hAnsi="宋体" w:cs="宋体"/>
          <w:color w:val="000000" w:themeColor="text1"/>
          <w:highlight w:val="none"/>
          <w14:textFill>
            <w14:solidFill>
              <w14:schemeClr w14:val="tx1"/>
            </w14:solidFill>
          </w14:textFill>
        </w:rPr>
      </w:pPr>
    </w:p>
    <w:p w14:paraId="0F714942">
      <w:pPr>
        <w:pStyle w:val="108"/>
        <w:ind w:firstLine="480"/>
        <w:rPr>
          <w:rFonts w:hAnsi="宋体" w:cs="宋体"/>
          <w:color w:val="000000" w:themeColor="text1"/>
          <w:highlight w:val="none"/>
          <w14:textFill>
            <w14:solidFill>
              <w14:schemeClr w14:val="tx1"/>
            </w14:solidFill>
          </w14:textFill>
        </w:rPr>
      </w:pPr>
    </w:p>
    <w:p w14:paraId="565965FE">
      <w:pPr>
        <w:pStyle w:val="108"/>
        <w:ind w:firstLine="480"/>
        <w:rPr>
          <w:rFonts w:hAnsi="宋体" w:cs="宋体"/>
          <w:color w:val="000000" w:themeColor="text1"/>
          <w:highlight w:val="none"/>
          <w14:textFill>
            <w14:solidFill>
              <w14:schemeClr w14:val="tx1"/>
            </w14:solidFill>
          </w14:textFill>
        </w:rPr>
      </w:pPr>
    </w:p>
    <w:p w14:paraId="44E92A96">
      <w:pPr>
        <w:pStyle w:val="108"/>
        <w:ind w:firstLine="480"/>
        <w:rPr>
          <w:rFonts w:hAnsi="宋体" w:cs="宋体"/>
          <w:color w:val="000000" w:themeColor="text1"/>
          <w:highlight w:val="none"/>
          <w14:textFill>
            <w14:solidFill>
              <w14:schemeClr w14:val="tx1"/>
            </w14:solidFill>
          </w14:textFill>
        </w:rPr>
      </w:pPr>
    </w:p>
    <w:p w14:paraId="3226CB03">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甲  方：(盖章)                           乙  方：(盖章)</w:t>
      </w:r>
    </w:p>
    <w:p w14:paraId="39B367AA">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法定代表人：(签字)                       法定代表人：(签字)</w:t>
      </w:r>
    </w:p>
    <w:p w14:paraId="228F8EBA">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委托代理人：(签字)                       委托代理人：(签字)</w:t>
      </w:r>
    </w:p>
    <w:p w14:paraId="405F07F9">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地    址：                              地    址：</w:t>
      </w:r>
    </w:p>
    <w:p w14:paraId="692017F5">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邮政编码：                              邮政编码：</w:t>
      </w:r>
    </w:p>
    <w:p w14:paraId="27AF58D6">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电    话：                              电    话：</w:t>
      </w:r>
    </w:p>
    <w:p w14:paraId="17DB1349">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传  真：                                传    真：</w:t>
      </w:r>
    </w:p>
    <w:p w14:paraId="1E6A47A5">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                              开户银行：</w:t>
      </w:r>
    </w:p>
    <w:p w14:paraId="127F107A">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银行帐号：                              银行帐号：</w:t>
      </w:r>
    </w:p>
    <w:p w14:paraId="38E3C278">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签订时间：                              签订时间：</w:t>
      </w:r>
    </w:p>
    <w:p w14:paraId="473765F6">
      <w:pPr>
        <w:pStyle w:val="108"/>
        <w:jc w:val="center"/>
        <w:rPr>
          <w:rFonts w:hAnsi="宋体" w:cs="宋体"/>
          <w:b/>
          <w:color w:val="000000" w:themeColor="text1"/>
          <w:sz w:val="28"/>
          <w:szCs w:val="28"/>
          <w:highlight w:val="none"/>
          <w14:textFill>
            <w14:solidFill>
              <w14:schemeClr w14:val="tx1"/>
            </w14:solidFill>
          </w14:textFill>
        </w:rPr>
      </w:pPr>
      <w:r>
        <w:rPr>
          <w:rFonts w:hint="eastAsia" w:hAnsi="宋体" w:cs="宋体"/>
          <w:color w:val="000000" w:themeColor="text1"/>
          <w:sz w:val="32"/>
          <w:szCs w:val="32"/>
          <w:highlight w:val="none"/>
          <w14:textFill>
            <w14:solidFill>
              <w14:schemeClr w14:val="tx1"/>
            </w14:solidFill>
          </w14:textFill>
        </w:rPr>
        <w:br w:type="page"/>
      </w:r>
      <w:r>
        <w:rPr>
          <w:rFonts w:hint="eastAsia" w:hAnsi="宋体" w:cs="宋体"/>
          <w:b/>
          <w:color w:val="000000" w:themeColor="text1"/>
          <w:sz w:val="28"/>
          <w:szCs w:val="28"/>
          <w:highlight w:val="none"/>
          <w14:textFill>
            <w14:solidFill>
              <w14:schemeClr w14:val="tx1"/>
            </w14:solidFill>
          </w14:textFill>
        </w:rPr>
        <w:t>附表1：分包人投入人员表</w:t>
      </w:r>
    </w:p>
    <w:p w14:paraId="49034BA4">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工程项目：                                  合同段：</w:t>
      </w:r>
    </w:p>
    <w:p w14:paraId="4E08849B">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分包专项工程：                              分包人：                 </w:t>
      </w:r>
    </w:p>
    <w:tbl>
      <w:tblPr>
        <w:tblStyle w:val="43"/>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080"/>
        <w:gridCol w:w="1980"/>
        <w:gridCol w:w="1025"/>
        <w:gridCol w:w="1339"/>
        <w:gridCol w:w="1355"/>
        <w:gridCol w:w="1141"/>
      </w:tblGrid>
      <w:tr w14:paraId="646F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Align w:val="center"/>
          </w:tcPr>
          <w:p w14:paraId="68C972F5">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岗位</w:t>
            </w:r>
          </w:p>
          <w:p w14:paraId="1ED867F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名称</w:t>
            </w:r>
          </w:p>
        </w:tc>
        <w:tc>
          <w:tcPr>
            <w:tcW w:w="1080" w:type="dxa"/>
            <w:vAlign w:val="center"/>
          </w:tcPr>
          <w:p w14:paraId="6A656B8D">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姓名</w:t>
            </w:r>
          </w:p>
        </w:tc>
        <w:tc>
          <w:tcPr>
            <w:tcW w:w="1980" w:type="dxa"/>
            <w:vAlign w:val="center"/>
          </w:tcPr>
          <w:p w14:paraId="6A4C22C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身份证号</w:t>
            </w:r>
          </w:p>
        </w:tc>
        <w:tc>
          <w:tcPr>
            <w:tcW w:w="1025" w:type="dxa"/>
            <w:vAlign w:val="center"/>
          </w:tcPr>
          <w:p w14:paraId="4E89737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职称</w:t>
            </w:r>
          </w:p>
        </w:tc>
        <w:tc>
          <w:tcPr>
            <w:tcW w:w="1339" w:type="dxa"/>
            <w:vAlign w:val="center"/>
          </w:tcPr>
          <w:p w14:paraId="029C700E">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资格</w:t>
            </w:r>
          </w:p>
        </w:tc>
        <w:tc>
          <w:tcPr>
            <w:tcW w:w="1355" w:type="dxa"/>
            <w:vAlign w:val="center"/>
          </w:tcPr>
          <w:p w14:paraId="772320CE">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拟进场时间</w:t>
            </w:r>
          </w:p>
        </w:tc>
        <w:tc>
          <w:tcPr>
            <w:tcW w:w="1141" w:type="dxa"/>
            <w:vAlign w:val="center"/>
          </w:tcPr>
          <w:p w14:paraId="5E51163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备注</w:t>
            </w:r>
          </w:p>
        </w:tc>
      </w:tr>
      <w:tr w14:paraId="78DD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440" w:type="dxa"/>
          </w:tcPr>
          <w:p w14:paraId="7CF48CA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分包项目</w:t>
            </w:r>
          </w:p>
          <w:p w14:paraId="6C79DEC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负责人</w:t>
            </w:r>
          </w:p>
        </w:tc>
        <w:tc>
          <w:tcPr>
            <w:tcW w:w="1080" w:type="dxa"/>
          </w:tcPr>
          <w:p w14:paraId="2667014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40F0173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5E50734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0AA11ED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15935930">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3154E1AF">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3666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440" w:type="dxa"/>
          </w:tcPr>
          <w:p w14:paraId="5CBA62E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分包项目</w:t>
            </w:r>
          </w:p>
          <w:p w14:paraId="18872D1F">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技术（质量）负责人</w:t>
            </w:r>
          </w:p>
        </w:tc>
        <w:tc>
          <w:tcPr>
            <w:tcW w:w="1080" w:type="dxa"/>
          </w:tcPr>
          <w:p w14:paraId="1B137A6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6BA654B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7136747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599515AF">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380FA12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6F4D404F">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61FA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440" w:type="dxa"/>
          </w:tcPr>
          <w:p w14:paraId="187E246E">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分包项目</w:t>
            </w:r>
          </w:p>
          <w:p w14:paraId="0FC97E8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安全负责人</w:t>
            </w:r>
          </w:p>
        </w:tc>
        <w:tc>
          <w:tcPr>
            <w:tcW w:w="1080" w:type="dxa"/>
          </w:tcPr>
          <w:p w14:paraId="19E5C5A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65713BB3">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761A1B7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40042A7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6C6C29F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04C77D45">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6C26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1440" w:type="dxa"/>
          </w:tcPr>
          <w:p w14:paraId="2FC8454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分包项目</w:t>
            </w:r>
          </w:p>
          <w:p w14:paraId="1C56B12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计划负责人</w:t>
            </w:r>
          </w:p>
        </w:tc>
        <w:tc>
          <w:tcPr>
            <w:tcW w:w="1080" w:type="dxa"/>
          </w:tcPr>
          <w:p w14:paraId="69460F7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1AB3531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573384C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6930DC0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4BE409E0">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63AEEDF5">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5691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1440" w:type="dxa"/>
          </w:tcPr>
          <w:p w14:paraId="6B18C3E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分包项目</w:t>
            </w:r>
          </w:p>
          <w:p w14:paraId="14A5393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财务负责人</w:t>
            </w:r>
          </w:p>
        </w:tc>
        <w:tc>
          <w:tcPr>
            <w:tcW w:w="1080" w:type="dxa"/>
          </w:tcPr>
          <w:p w14:paraId="052C9830">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0F7B2B7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027E5F4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32B9913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3A743A8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507596F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0AED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40" w:type="dxa"/>
          </w:tcPr>
          <w:p w14:paraId="6F89EB3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p>
        </w:tc>
        <w:tc>
          <w:tcPr>
            <w:tcW w:w="1080" w:type="dxa"/>
          </w:tcPr>
          <w:p w14:paraId="1E9DDE7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036E5DE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0DA58620">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02F8A270">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6AB10CB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1FEC962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1D91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40" w:type="dxa"/>
          </w:tcPr>
          <w:p w14:paraId="53104FA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80" w:type="dxa"/>
          </w:tcPr>
          <w:p w14:paraId="617FC7D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980" w:type="dxa"/>
          </w:tcPr>
          <w:p w14:paraId="0E87231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5" w:type="dxa"/>
          </w:tcPr>
          <w:p w14:paraId="696D1588">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39" w:type="dxa"/>
          </w:tcPr>
          <w:p w14:paraId="4F716583">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55" w:type="dxa"/>
          </w:tcPr>
          <w:p w14:paraId="671DA65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141" w:type="dxa"/>
          </w:tcPr>
          <w:p w14:paraId="359153D3">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bl>
    <w:p w14:paraId="476DED5D">
      <w:pPr>
        <w:pStyle w:val="108"/>
        <w:rPr>
          <w:rFonts w:hAnsi="宋体" w:cs="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附：身份证件、职称证书、资格证书、劳动合同等复印件。</w:t>
      </w:r>
    </w:p>
    <w:p w14:paraId="711A1D1B">
      <w:pPr>
        <w:pStyle w:val="108"/>
        <w:jc w:val="center"/>
        <w:rPr>
          <w:rFonts w:hAnsi="宋体" w:cs="宋体"/>
          <w:b/>
          <w:color w:val="000000" w:themeColor="text1"/>
          <w:sz w:val="28"/>
          <w:szCs w:val="28"/>
          <w:highlight w:val="none"/>
          <w14:textFill>
            <w14:solidFill>
              <w14:schemeClr w14:val="tx1"/>
            </w14:solidFill>
          </w14:textFill>
        </w:rPr>
      </w:pPr>
    </w:p>
    <w:p w14:paraId="3775DE9A">
      <w:pPr>
        <w:pStyle w:val="108"/>
        <w:jc w:val="center"/>
        <w:rPr>
          <w:rFonts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附表2：分包人投入设备表</w:t>
      </w:r>
    </w:p>
    <w:p w14:paraId="292AB9DC">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工程项目：                                   合同段：</w:t>
      </w:r>
    </w:p>
    <w:p w14:paraId="6BA56D7C">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分包专项工程：                               分包人：                 </w:t>
      </w:r>
    </w:p>
    <w:tbl>
      <w:tblPr>
        <w:tblStyle w:val="43"/>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590"/>
        <w:gridCol w:w="1080"/>
        <w:gridCol w:w="1080"/>
        <w:gridCol w:w="1080"/>
        <w:gridCol w:w="1440"/>
        <w:gridCol w:w="1440"/>
      </w:tblGrid>
      <w:tr w14:paraId="7AD5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vAlign w:val="center"/>
          </w:tcPr>
          <w:p w14:paraId="5C8C2EF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设备名称</w:t>
            </w:r>
          </w:p>
        </w:tc>
        <w:tc>
          <w:tcPr>
            <w:tcW w:w="1590" w:type="dxa"/>
            <w:vAlign w:val="center"/>
          </w:tcPr>
          <w:p w14:paraId="35B03D5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型号</w:t>
            </w:r>
          </w:p>
        </w:tc>
        <w:tc>
          <w:tcPr>
            <w:tcW w:w="1080" w:type="dxa"/>
            <w:vAlign w:val="center"/>
          </w:tcPr>
          <w:p w14:paraId="6EF8A653">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性能</w:t>
            </w:r>
          </w:p>
        </w:tc>
        <w:tc>
          <w:tcPr>
            <w:tcW w:w="1080" w:type="dxa"/>
            <w:vAlign w:val="center"/>
          </w:tcPr>
          <w:p w14:paraId="774D43FD">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数量</w:t>
            </w:r>
          </w:p>
        </w:tc>
        <w:tc>
          <w:tcPr>
            <w:tcW w:w="1080" w:type="dxa"/>
            <w:vAlign w:val="center"/>
          </w:tcPr>
          <w:p w14:paraId="45ED2C7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进场时间</w:t>
            </w:r>
          </w:p>
        </w:tc>
        <w:tc>
          <w:tcPr>
            <w:tcW w:w="1440" w:type="dxa"/>
            <w:vAlign w:val="center"/>
          </w:tcPr>
          <w:p w14:paraId="4F72DFA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承诺违约金（元/日）</w:t>
            </w:r>
          </w:p>
        </w:tc>
        <w:tc>
          <w:tcPr>
            <w:tcW w:w="1440" w:type="dxa"/>
            <w:vAlign w:val="center"/>
          </w:tcPr>
          <w:p w14:paraId="4966407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备注</w:t>
            </w:r>
          </w:p>
        </w:tc>
      </w:tr>
      <w:tr w14:paraId="08E8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50" w:type="dxa"/>
          </w:tcPr>
          <w:p w14:paraId="70C3123E">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590" w:type="dxa"/>
          </w:tcPr>
          <w:p w14:paraId="6A7E0CD2">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5872E322">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410BBEB7">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4C56D3E0">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440" w:type="dxa"/>
          </w:tcPr>
          <w:p w14:paraId="78A8F5F0">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440" w:type="dxa"/>
          </w:tcPr>
          <w:p w14:paraId="0AB3E530">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r>
      <w:tr w14:paraId="1898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50" w:type="dxa"/>
          </w:tcPr>
          <w:p w14:paraId="5E655EDC">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590" w:type="dxa"/>
          </w:tcPr>
          <w:p w14:paraId="371EB2E3">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0069378F">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3D4AB51A">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55FCD867">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440" w:type="dxa"/>
          </w:tcPr>
          <w:p w14:paraId="4F7F1FB1">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440" w:type="dxa"/>
          </w:tcPr>
          <w:p w14:paraId="2DEA4ACE">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r>
      <w:tr w14:paraId="5E0F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50" w:type="dxa"/>
          </w:tcPr>
          <w:p w14:paraId="7F0BDA0B">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590" w:type="dxa"/>
          </w:tcPr>
          <w:p w14:paraId="0AFBE9B3">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15FD9005">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18AF47C4">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080" w:type="dxa"/>
          </w:tcPr>
          <w:p w14:paraId="137863D4">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440" w:type="dxa"/>
          </w:tcPr>
          <w:p w14:paraId="61F9D869">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c>
          <w:tcPr>
            <w:tcW w:w="1440" w:type="dxa"/>
          </w:tcPr>
          <w:p w14:paraId="0FD83701">
            <w:pPr>
              <w:pStyle w:val="108"/>
              <w:keepNext w:val="0"/>
              <w:keepLines w:val="0"/>
              <w:suppressLineNumbers w:val="0"/>
              <w:spacing w:before="0" w:beforeAutospacing="0" w:after="0" w:afterAutospacing="0"/>
              <w:ind w:left="0" w:right="0"/>
              <w:jc w:val="center"/>
              <w:rPr>
                <w:rFonts w:hint="default" w:hAnsi="宋体" w:cs="宋体"/>
                <w:color w:val="000000" w:themeColor="text1"/>
                <w:sz w:val="18"/>
                <w:highlight w:val="none"/>
                <w14:textFill>
                  <w14:solidFill>
                    <w14:schemeClr w14:val="tx1"/>
                  </w14:solidFill>
                </w14:textFill>
              </w:rPr>
            </w:pPr>
          </w:p>
        </w:tc>
      </w:tr>
    </w:tbl>
    <w:p w14:paraId="0AFC8C23">
      <w:pPr>
        <w:pStyle w:val="108"/>
        <w:rPr>
          <w:rFonts w:hAnsi="宋体" w:cs="宋体"/>
          <w:color w:val="000000" w:themeColor="text1"/>
          <w:szCs w:val="21"/>
          <w:highlight w:val="none"/>
          <w14:textFill>
            <w14:solidFill>
              <w14:schemeClr w14:val="tx1"/>
            </w14:solidFill>
          </w14:textFill>
        </w:rPr>
      </w:pPr>
    </w:p>
    <w:p w14:paraId="0DF80EB9">
      <w:pPr>
        <w:pStyle w:val="108"/>
        <w:jc w:val="center"/>
        <w:rPr>
          <w:rFonts w:hAnsi="宋体" w:cs="宋体"/>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附表3：分包专项工程工程量清单</w:t>
      </w:r>
    </w:p>
    <w:p w14:paraId="5B7AA7D4">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工程项目：                                   合同段：</w:t>
      </w:r>
    </w:p>
    <w:p w14:paraId="154962FF">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分包专项工程：                               分包人：                 </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752"/>
        <w:gridCol w:w="1122"/>
        <w:gridCol w:w="1122"/>
        <w:gridCol w:w="1140"/>
        <w:gridCol w:w="1140"/>
        <w:gridCol w:w="1123"/>
      </w:tblGrid>
      <w:tr w14:paraId="2CA0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14:paraId="13472BC8">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清单编号</w:t>
            </w:r>
          </w:p>
        </w:tc>
        <w:tc>
          <w:tcPr>
            <w:tcW w:w="1752" w:type="dxa"/>
            <w:vAlign w:val="center"/>
          </w:tcPr>
          <w:p w14:paraId="32DCEB1F">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工程名称</w:t>
            </w:r>
          </w:p>
        </w:tc>
        <w:tc>
          <w:tcPr>
            <w:tcW w:w="1122" w:type="dxa"/>
            <w:vAlign w:val="center"/>
          </w:tcPr>
          <w:p w14:paraId="106DB27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单位</w:t>
            </w:r>
          </w:p>
        </w:tc>
        <w:tc>
          <w:tcPr>
            <w:tcW w:w="1122" w:type="dxa"/>
            <w:vAlign w:val="center"/>
          </w:tcPr>
          <w:p w14:paraId="79E7632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数量</w:t>
            </w:r>
          </w:p>
        </w:tc>
        <w:tc>
          <w:tcPr>
            <w:tcW w:w="1140" w:type="dxa"/>
            <w:vAlign w:val="center"/>
          </w:tcPr>
          <w:p w14:paraId="353AAAB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单价</w:t>
            </w:r>
          </w:p>
          <w:p w14:paraId="0C2DBEF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(元)</w:t>
            </w:r>
          </w:p>
        </w:tc>
        <w:tc>
          <w:tcPr>
            <w:tcW w:w="1140" w:type="dxa"/>
            <w:vAlign w:val="center"/>
          </w:tcPr>
          <w:p w14:paraId="207A824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金额</w:t>
            </w:r>
          </w:p>
          <w:p w14:paraId="304A64E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(元)</w:t>
            </w:r>
          </w:p>
        </w:tc>
        <w:tc>
          <w:tcPr>
            <w:tcW w:w="1123" w:type="dxa"/>
            <w:vAlign w:val="center"/>
          </w:tcPr>
          <w:p w14:paraId="7724FA79">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预定工期</w:t>
            </w:r>
          </w:p>
        </w:tc>
      </w:tr>
      <w:tr w14:paraId="07A3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tcPr>
          <w:p w14:paraId="69F88407">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752" w:type="dxa"/>
          </w:tcPr>
          <w:p w14:paraId="3F2AA95E">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2" w:type="dxa"/>
          </w:tcPr>
          <w:p w14:paraId="3376FD6C">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2" w:type="dxa"/>
          </w:tcPr>
          <w:p w14:paraId="2614B9FC">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40" w:type="dxa"/>
          </w:tcPr>
          <w:p w14:paraId="1129A548">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40" w:type="dxa"/>
          </w:tcPr>
          <w:p w14:paraId="54EA3AD4">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3" w:type="dxa"/>
          </w:tcPr>
          <w:p w14:paraId="6723837F">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r w14:paraId="6633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tcPr>
          <w:p w14:paraId="5D7366FD">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752" w:type="dxa"/>
          </w:tcPr>
          <w:p w14:paraId="59C40431">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2" w:type="dxa"/>
          </w:tcPr>
          <w:p w14:paraId="6334FD2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2" w:type="dxa"/>
          </w:tcPr>
          <w:p w14:paraId="064F5CA6">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40" w:type="dxa"/>
          </w:tcPr>
          <w:p w14:paraId="3F3BC32D">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40" w:type="dxa"/>
          </w:tcPr>
          <w:p w14:paraId="0082822D">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3" w:type="dxa"/>
          </w:tcPr>
          <w:p w14:paraId="245A5D5A">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r w14:paraId="1FA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tcPr>
          <w:p w14:paraId="3759891A">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752" w:type="dxa"/>
          </w:tcPr>
          <w:p w14:paraId="52502971">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2" w:type="dxa"/>
          </w:tcPr>
          <w:p w14:paraId="25318100">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2" w:type="dxa"/>
          </w:tcPr>
          <w:p w14:paraId="142677F3">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40" w:type="dxa"/>
          </w:tcPr>
          <w:p w14:paraId="39A05A51">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40" w:type="dxa"/>
          </w:tcPr>
          <w:p w14:paraId="22925EAA">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123" w:type="dxa"/>
          </w:tcPr>
          <w:p w14:paraId="287A4E03">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bl>
    <w:p w14:paraId="0D5C328C">
      <w:pPr>
        <w:pStyle w:val="108"/>
        <w:rPr>
          <w:rFonts w:hAnsi="宋体" w:cs="宋体"/>
          <w:b/>
          <w:color w:val="000000" w:themeColor="text1"/>
          <w:sz w:val="28"/>
          <w:szCs w:val="28"/>
          <w:highlight w:val="none"/>
          <w14:textFill>
            <w14:solidFill>
              <w14:schemeClr w14:val="tx1"/>
            </w14:solidFill>
          </w14:textFill>
        </w:rPr>
      </w:pPr>
    </w:p>
    <w:p w14:paraId="078E1718">
      <w:pPr>
        <w:pStyle w:val="108"/>
        <w:jc w:val="center"/>
        <w:rPr>
          <w:rFonts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附表4：承包人供应材料清单</w:t>
      </w:r>
    </w:p>
    <w:p w14:paraId="226B82BB">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工程项目：                                   合同段：</w:t>
      </w:r>
    </w:p>
    <w:p w14:paraId="74BBE0C8">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分包专项工程：                               分包人：                 </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493"/>
        <w:gridCol w:w="1004"/>
        <w:gridCol w:w="1004"/>
        <w:gridCol w:w="1004"/>
        <w:gridCol w:w="1004"/>
        <w:gridCol w:w="1005"/>
        <w:gridCol w:w="1005"/>
      </w:tblGrid>
      <w:tr w14:paraId="72E4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Align w:val="center"/>
          </w:tcPr>
          <w:p w14:paraId="4ABB8BA8">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序号</w:t>
            </w:r>
          </w:p>
        </w:tc>
        <w:tc>
          <w:tcPr>
            <w:tcW w:w="1493" w:type="dxa"/>
            <w:vAlign w:val="center"/>
          </w:tcPr>
          <w:p w14:paraId="7BFB713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材料品种</w:t>
            </w:r>
          </w:p>
        </w:tc>
        <w:tc>
          <w:tcPr>
            <w:tcW w:w="1004" w:type="dxa"/>
            <w:vAlign w:val="center"/>
          </w:tcPr>
          <w:p w14:paraId="1F7692E2">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规格</w:t>
            </w:r>
          </w:p>
        </w:tc>
        <w:tc>
          <w:tcPr>
            <w:tcW w:w="1004" w:type="dxa"/>
            <w:vAlign w:val="center"/>
          </w:tcPr>
          <w:p w14:paraId="0B8C755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单位</w:t>
            </w:r>
          </w:p>
        </w:tc>
        <w:tc>
          <w:tcPr>
            <w:tcW w:w="1004" w:type="dxa"/>
            <w:vAlign w:val="center"/>
          </w:tcPr>
          <w:p w14:paraId="7399623F">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数量</w:t>
            </w:r>
          </w:p>
        </w:tc>
        <w:tc>
          <w:tcPr>
            <w:tcW w:w="1004" w:type="dxa"/>
          </w:tcPr>
          <w:p w14:paraId="5F1284A7">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结算</w:t>
            </w:r>
          </w:p>
          <w:p w14:paraId="40E3B14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单价</w:t>
            </w:r>
          </w:p>
        </w:tc>
        <w:tc>
          <w:tcPr>
            <w:tcW w:w="1005" w:type="dxa"/>
          </w:tcPr>
          <w:p w14:paraId="1442032C">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交货</w:t>
            </w:r>
          </w:p>
          <w:p w14:paraId="6BFB110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时间</w:t>
            </w:r>
          </w:p>
        </w:tc>
        <w:tc>
          <w:tcPr>
            <w:tcW w:w="1005" w:type="dxa"/>
          </w:tcPr>
          <w:p w14:paraId="27F6BBE5">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交货</w:t>
            </w:r>
          </w:p>
          <w:p w14:paraId="167AFFB3">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地点</w:t>
            </w:r>
          </w:p>
        </w:tc>
      </w:tr>
      <w:tr w14:paraId="3840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tcPr>
          <w:p w14:paraId="248DE51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493" w:type="dxa"/>
          </w:tcPr>
          <w:p w14:paraId="247D60FF">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135528AE">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16FAF2E7">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5A761F0E">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305C81A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46C8974F">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58B6E7A3">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r w14:paraId="79ED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tcPr>
          <w:p w14:paraId="618FF490">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493" w:type="dxa"/>
          </w:tcPr>
          <w:p w14:paraId="493EB1A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0A3D1071">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5906A0DA">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661D7895">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46EDC2BC">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0B2842E8">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3147B104">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r w14:paraId="2A68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tcPr>
          <w:p w14:paraId="22E61F23">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493" w:type="dxa"/>
          </w:tcPr>
          <w:p w14:paraId="28662360">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7078D3AB">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3A58EDD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325913F3">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698849AC">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62074948">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7A45C05D">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r w14:paraId="515D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tcPr>
          <w:p w14:paraId="41618CEF">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493" w:type="dxa"/>
          </w:tcPr>
          <w:p w14:paraId="61DAC32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12C05496">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6089771A">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7CEE0A22">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44EA7141">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47A806B2">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161CDA45">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r w14:paraId="66AB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tcPr>
          <w:p w14:paraId="66DFB60A">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493" w:type="dxa"/>
          </w:tcPr>
          <w:p w14:paraId="615286C9">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2689847C">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3F1A3B15">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10EBE096">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4" w:type="dxa"/>
          </w:tcPr>
          <w:p w14:paraId="4143FA12">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5A85C24E">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c>
          <w:tcPr>
            <w:tcW w:w="1005" w:type="dxa"/>
          </w:tcPr>
          <w:p w14:paraId="0A73B67D">
            <w:pPr>
              <w:pStyle w:val="108"/>
              <w:keepNext w:val="0"/>
              <w:keepLines w:val="0"/>
              <w:suppressLineNumbers w:val="0"/>
              <w:spacing w:before="0" w:beforeAutospacing="0" w:after="0" w:afterAutospacing="0"/>
              <w:ind w:left="0" w:right="0"/>
              <w:rPr>
                <w:rFonts w:hint="default" w:hAnsi="宋体" w:cs="宋体"/>
                <w:b/>
                <w:color w:val="000000" w:themeColor="text1"/>
                <w:sz w:val="28"/>
                <w:szCs w:val="28"/>
                <w:highlight w:val="none"/>
                <w14:textFill>
                  <w14:solidFill>
                    <w14:schemeClr w14:val="tx1"/>
                  </w14:solidFill>
                </w14:textFill>
              </w:rPr>
            </w:pPr>
          </w:p>
        </w:tc>
      </w:tr>
    </w:tbl>
    <w:p w14:paraId="5BAB0A47">
      <w:pPr>
        <w:pStyle w:val="108"/>
        <w:rPr>
          <w:rFonts w:hAnsi="宋体" w:cs="宋体"/>
          <w:color w:val="000000" w:themeColor="text1"/>
          <w:highlight w:val="none"/>
          <w14:textFill>
            <w14:solidFill>
              <w14:schemeClr w14:val="tx1"/>
            </w14:solidFill>
          </w14:textFill>
        </w:rPr>
      </w:pPr>
    </w:p>
    <w:p w14:paraId="6B5E8D96">
      <w:pPr>
        <w:pStyle w:val="108"/>
        <w:rPr>
          <w:rFonts w:hAnsi="宋体" w:cs="宋体"/>
          <w:color w:val="000000" w:themeColor="text1"/>
          <w:highlight w:val="none"/>
          <w14:textFill>
            <w14:solidFill>
              <w14:schemeClr w14:val="tx1"/>
            </w14:solidFill>
          </w14:textFill>
        </w:rPr>
      </w:pPr>
    </w:p>
    <w:p w14:paraId="0C1361D7">
      <w:pPr>
        <w:pStyle w:val="108"/>
        <w:rPr>
          <w:rFonts w:hAnsi="宋体" w:cs="宋体"/>
          <w:color w:val="000000" w:themeColor="text1"/>
          <w:sz w:val="28"/>
          <w:szCs w:val="28"/>
          <w:highlight w:val="none"/>
          <w14:textFill>
            <w14:solidFill>
              <w14:schemeClr w14:val="tx1"/>
            </w14:solidFill>
          </w14:textFill>
        </w:rPr>
      </w:pPr>
    </w:p>
    <w:p w14:paraId="030AB596">
      <w:pPr>
        <w:jc w:val="center"/>
        <w:rPr>
          <w:rFonts w:ascii="宋体" w:hAnsi="宋体"/>
          <w:color w:val="000000" w:themeColor="text1"/>
          <w:sz w:val="72"/>
          <w:szCs w:val="72"/>
          <w:highlight w:val="none"/>
          <w:u w:val="singl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br w:type="page"/>
      </w:r>
    </w:p>
    <w:p w14:paraId="3EC9C1D1">
      <w:pPr>
        <w:pStyle w:val="108"/>
        <w:rPr>
          <w:rFonts w:hAnsi="宋体" w:cs="宋体"/>
          <w:b/>
          <w:color w:val="000000" w:themeColor="text1"/>
          <w:sz w:val="32"/>
          <w:szCs w:val="32"/>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附件十六：施工劳务合作协议</w:t>
      </w:r>
    </w:p>
    <w:p w14:paraId="50D1FD97">
      <w:pPr>
        <w:pStyle w:val="108"/>
        <w:ind w:left="-2" w:leftChars="-66" w:hanging="137" w:hangingChars="43"/>
        <w:jc w:val="left"/>
        <w:rPr>
          <w:rFonts w:hAnsi="宋体" w:cs="宋体"/>
          <w:color w:val="000000" w:themeColor="text1"/>
          <w:sz w:val="32"/>
          <w:highlight w:val="none"/>
          <w14:textFill>
            <w14:solidFill>
              <w14:schemeClr w14:val="tx1"/>
            </w14:solidFill>
          </w14:textFill>
        </w:rPr>
      </w:pPr>
    </w:p>
    <w:p w14:paraId="78B5053C">
      <w:pPr>
        <w:pStyle w:val="108"/>
        <w:ind w:left="-2" w:leftChars="-66" w:hanging="137" w:hangingChars="43"/>
        <w:jc w:val="left"/>
        <w:rPr>
          <w:rFonts w:hAnsi="宋体" w:cs="宋体"/>
          <w:color w:val="000000" w:themeColor="text1"/>
          <w:sz w:val="32"/>
          <w:highlight w:val="none"/>
          <w14:textFill>
            <w14:solidFill>
              <w14:schemeClr w14:val="tx1"/>
            </w14:solidFill>
          </w14:textFill>
        </w:rPr>
      </w:pPr>
    </w:p>
    <w:p w14:paraId="19202A1D">
      <w:pPr>
        <w:pStyle w:val="108"/>
        <w:ind w:left="-2" w:leftChars="-66" w:hanging="137" w:hangingChars="43"/>
        <w:jc w:val="left"/>
        <w:rPr>
          <w:rFonts w:hAnsi="宋体" w:cs="宋体"/>
          <w:color w:val="000000" w:themeColor="text1"/>
          <w:sz w:val="32"/>
          <w:highlight w:val="none"/>
          <w14:textFill>
            <w14:solidFill>
              <w14:schemeClr w14:val="tx1"/>
            </w14:solidFill>
          </w14:textFill>
        </w:rPr>
      </w:pPr>
    </w:p>
    <w:p w14:paraId="59F4BC9D">
      <w:pPr>
        <w:pStyle w:val="108"/>
        <w:ind w:left="-2" w:leftChars="-66" w:hanging="137" w:hangingChars="43"/>
        <w:jc w:val="left"/>
        <w:rPr>
          <w:rFonts w:hAnsi="宋体" w:cs="宋体"/>
          <w:color w:val="000000" w:themeColor="text1"/>
          <w:sz w:val="32"/>
          <w:highlight w:val="none"/>
          <w14:textFill>
            <w14:solidFill>
              <w14:schemeClr w14:val="tx1"/>
            </w14:solidFill>
          </w14:textFill>
        </w:rPr>
      </w:pPr>
    </w:p>
    <w:p w14:paraId="5B1F96BF">
      <w:pPr>
        <w:pStyle w:val="108"/>
        <w:ind w:left="-2" w:leftChars="-66" w:hanging="137" w:hangingChars="43"/>
        <w:jc w:val="left"/>
        <w:rPr>
          <w:rFonts w:hAnsi="宋体" w:cs="宋体"/>
          <w:color w:val="000000" w:themeColor="text1"/>
          <w:sz w:val="32"/>
          <w:highlight w:val="none"/>
          <w14:textFill>
            <w14:solidFill>
              <w14:schemeClr w14:val="tx1"/>
            </w14:solidFill>
          </w14:textFill>
        </w:rPr>
      </w:pPr>
    </w:p>
    <w:p w14:paraId="2FA86EA5">
      <w:pPr>
        <w:pStyle w:val="108"/>
        <w:jc w:val="center"/>
        <w:rPr>
          <w:rFonts w:hAnsi="宋体" w:cs="宋体"/>
          <w:color w:val="000000" w:themeColor="text1"/>
          <w:sz w:val="32"/>
          <w:szCs w:val="32"/>
          <w:highlight w:val="none"/>
          <w14:textFill>
            <w14:solidFill>
              <w14:schemeClr w14:val="tx1"/>
            </w14:solidFill>
          </w14:textFill>
        </w:rPr>
      </w:pPr>
      <w:r>
        <w:rPr>
          <w:rFonts w:hint="eastAsia" w:hAnsi="宋体" w:cs="宋体"/>
          <w:color w:val="000000" w:themeColor="text1"/>
          <w:sz w:val="48"/>
          <w:szCs w:val="48"/>
          <w:highlight w:val="none"/>
          <w14:textFill>
            <w14:solidFill>
              <w14:schemeClr w14:val="tx1"/>
            </w14:solidFill>
          </w14:textFill>
        </w:rPr>
        <w:t>公路工程施工劳务合作协议</w:t>
      </w:r>
    </w:p>
    <w:p w14:paraId="3D2AF9EC">
      <w:pPr>
        <w:pStyle w:val="108"/>
        <w:jc w:val="center"/>
        <w:rPr>
          <w:rFonts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（示范文本）</w:t>
      </w:r>
    </w:p>
    <w:p w14:paraId="7F597042">
      <w:pPr>
        <w:pStyle w:val="108"/>
        <w:jc w:val="center"/>
        <w:rPr>
          <w:rFonts w:hAnsi="宋体" w:cs="宋体"/>
          <w:color w:val="000000" w:themeColor="text1"/>
          <w:sz w:val="32"/>
          <w:szCs w:val="32"/>
          <w:highlight w:val="none"/>
          <w14:textFill>
            <w14:solidFill>
              <w14:schemeClr w14:val="tx1"/>
            </w14:solidFill>
          </w14:textFill>
        </w:rPr>
      </w:pPr>
    </w:p>
    <w:p w14:paraId="664E6139">
      <w:pPr>
        <w:pStyle w:val="108"/>
        <w:jc w:val="center"/>
        <w:rPr>
          <w:rFonts w:hAnsi="宋体" w:cs="宋体"/>
          <w:color w:val="000000" w:themeColor="text1"/>
          <w:sz w:val="32"/>
          <w:szCs w:val="32"/>
          <w:highlight w:val="none"/>
          <w14:textFill>
            <w14:solidFill>
              <w14:schemeClr w14:val="tx1"/>
            </w14:solidFill>
          </w14:textFill>
        </w:rPr>
      </w:pPr>
    </w:p>
    <w:p w14:paraId="2A166F4D">
      <w:pPr>
        <w:pStyle w:val="108"/>
        <w:jc w:val="center"/>
        <w:rPr>
          <w:rFonts w:hAnsi="宋体" w:cs="宋体"/>
          <w:color w:val="000000" w:themeColor="text1"/>
          <w:sz w:val="32"/>
          <w:szCs w:val="32"/>
          <w:highlight w:val="none"/>
          <w14:textFill>
            <w14:solidFill>
              <w14:schemeClr w14:val="tx1"/>
            </w14:solidFill>
          </w14:textFill>
        </w:rPr>
      </w:pPr>
    </w:p>
    <w:p w14:paraId="16A9937E">
      <w:pPr>
        <w:pStyle w:val="108"/>
        <w:jc w:val="center"/>
        <w:rPr>
          <w:rFonts w:hAnsi="宋体" w:cs="宋体"/>
          <w:color w:val="000000" w:themeColor="text1"/>
          <w:sz w:val="32"/>
          <w:szCs w:val="32"/>
          <w:highlight w:val="none"/>
          <w14:textFill>
            <w14:solidFill>
              <w14:schemeClr w14:val="tx1"/>
            </w14:solidFill>
          </w14:textFill>
        </w:rPr>
      </w:pPr>
    </w:p>
    <w:p w14:paraId="5557E701">
      <w:pPr>
        <w:pStyle w:val="108"/>
        <w:jc w:val="center"/>
        <w:rPr>
          <w:rFonts w:hAnsi="宋体" w:cs="宋体"/>
          <w:color w:val="000000" w:themeColor="text1"/>
          <w:sz w:val="32"/>
          <w:szCs w:val="32"/>
          <w:highlight w:val="none"/>
          <w14:textFill>
            <w14:solidFill>
              <w14:schemeClr w14:val="tx1"/>
            </w14:solidFill>
          </w14:textFill>
        </w:rPr>
      </w:pPr>
    </w:p>
    <w:p w14:paraId="7AE9735E">
      <w:pPr>
        <w:pStyle w:val="108"/>
        <w:jc w:val="center"/>
        <w:rPr>
          <w:rFonts w:hAnsi="宋体" w:cs="宋体"/>
          <w:color w:val="000000" w:themeColor="text1"/>
          <w:sz w:val="32"/>
          <w:szCs w:val="32"/>
          <w:highlight w:val="none"/>
          <w14:textFill>
            <w14:solidFill>
              <w14:schemeClr w14:val="tx1"/>
            </w14:solidFill>
          </w14:textFill>
        </w:rPr>
      </w:pPr>
    </w:p>
    <w:p w14:paraId="2810E07E">
      <w:pPr>
        <w:pStyle w:val="108"/>
        <w:jc w:val="center"/>
        <w:rPr>
          <w:rFonts w:hAnsi="宋体" w:cs="宋体"/>
          <w:color w:val="000000" w:themeColor="text1"/>
          <w:sz w:val="32"/>
          <w:szCs w:val="32"/>
          <w:highlight w:val="none"/>
          <w14:textFill>
            <w14:solidFill>
              <w14:schemeClr w14:val="tx1"/>
            </w14:solidFill>
          </w14:textFill>
        </w:rPr>
      </w:pPr>
    </w:p>
    <w:p w14:paraId="35D18E00">
      <w:pPr>
        <w:pStyle w:val="108"/>
        <w:jc w:val="center"/>
        <w:rPr>
          <w:rFonts w:hAnsi="宋体" w:cs="宋体"/>
          <w:color w:val="000000" w:themeColor="text1"/>
          <w:sz w:val="44"/>
          <w:szCs w:val="44"/>
          <w:highlight w:val="none"/>
          <w14:textFill>
            <w14:solidFill>
              <w14:schemeClr w14:val="tx1"/>
            </w14:solidFill>
          </w14:textFill>
        </w:rPr>
      </w:pPr>
    </w:p>
    <w:p w14:paraId="2BA21EEE">
      <w:pPr>
        <w:pStyle w:val="108"/>
        <w:jc w:val="center"/>
        <w:rPr>
          <w:rFonts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20   年  月</w:t>
      </w:r>
    </w:p>
    <w:p w14:paraId="7A1412F2">
      <w:pPr>
        <w:pStyle w:val="108"/>
        <w:jc w:val="center"/>
        <w:rPr>
          <w:rFonts w:hAnsi="宋体" w:cs="宋体"/>
          <w:color w:val="000000" w:themeColor="text1"/>
          <w:sz w:val="28"/>
          <w:szCs w:val="28"/>
          <w:highlight w:val="none"/>
          <w14:textFill>
            <w14:solidFill>
              <w14:schemeClr w14:val="tx1"/>
            </w14:solidFill>
          </w14:textFill>
        </w:rPr>
      </w:pPr>
    </w:p>
    <w:p w14:paraId="4FF1E8E6">
      <w:pPr>
        <w:pStyle w:val="108"/>
        <w:jc w:val="left"/>
        <w:rPr>
          <w:rFonts w:hAnsi="宋体" w:cs="宋体"/>
          <w:color w:val="000000" w:themeColor="text1"/>
          <w:sz w:val="32"/>
          <w:szCs w:val="32"/>
          <w:highlight w:val="none"/>
          <w14:textFill>
            <w14:solidFill>
              <w14:schemeClr w14:val="tx1"/>
            </w14:solidFill>
          </w14:textFill>
        </w:rPr>
      </w:pPr>
    </w:p>
    <w:p w14:paraId="78C34EFE">
      <w:pPr>
        <w:pStyle w:val="108"/>
        <w:jc w:val="center"/>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32"/>
          <w:szCs w:val="32"/>
          <w:highlight w:val="none"/>
          <w14:textFill>
            <w14:solidFill>
              <w14:schemeClr w14:val="tx1"/>
            </w14:solidFill>
          </w14:textFill>
        </w:rPr>
        <w:br w:type="page"/>
      </w:r>
      <w:r>
        <w:rPr>
          <w:rFonts w:hint="eastAsia" w:hAnsi="宋体" w:cs="宋体"/>
          <w:color w:val="000000" w:themeColor="text1"/>
          <w:sz w:val="32"/>
          <w:szCs w:val="32"/>
          <w:highlight w:val="none"/>
          <w14:textFill>
            <w14:solidFill>
              <w14:schemeClr w14:val="tx1"/>
            </w14:solidFill>
          </w14:textFill>
        </w:rPr>
        <w:t>公路工程施工劳务合作合同</w:t>
      </w:r>
    </w:p>
    <w:p w14:paraId="7F97E5D9">
      <w:pPr>
        <w:pStyle w:val="108"/>
        <w:spacing w:line="280" w:lineRule="exact"/>
        <w:ind w:right="630"/>
        <w:jc w:val="right"/>
        <w:rPr>
          <w:rFonts w:hAnsi="宋体" w:cs="宋体"/>
          <w:color w:val="000000" w:themeColor="text1"/>
          <w:szCs w:val="21"/>
          <w:highlight w:val="none"/>
          <w14:textFill>
            <w14:solidFill>
              <w14:schemeClr w14:val="tx1"/>
            </w14:solidFill>
          </w14:textFill>
        </w:rPr>
      </w:pPr>
    </w:p>
    <w:p w14:paraId="6054D198">
      <w:pPr>
        <w:pStyle w:val="108"/>
        <w:ind w:right="-154"/>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劳务合同编号：</w:t>
      </w:r>
    </w:p>
    <w:p w14:paraId="4A223E55">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工程项目：  合同段：</w:t>
      </w:r>
    </w:p>
    <w:p w14:paraId="128465A7">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甲方 (承包人或专项工程分包人)：</w:t>
      </w:r>
    </w:p>
    <w:p w14:paraId="123210F7">
      <w:pPr>
        <w:pStyle w:val="108"/>
        <w:rPr>
          <w:rFonts w:hAnsi="宋体" w:cs="宋体"/>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乙方（劳务单位）：</w:t>
      </w:r>
    </w:p>
    <w:p w14:paraId="011468EE">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依照《中华人民共和国合同法》、《中华人民共和国公路法》、《中华人民共和国港口法》、《中华人民共和国航道管理条例》、交通运输部《公路工程施工分包管理办法》及其它有关法律、行政法规、规章，遵循平等、自愿、公平和诚实信用的原则，鉴于(以下简称为“发包人”)与工程承包人已经签订施工总承包合同或专业承(分)包合同(以下称为“总(分)包合同”)，双方就劳务合作事项协商达成一致，订立本合同。</w:t>
      </w:r>
    </w:p>
    <w:p w14:paraId="43CC777A">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工程名称、地点和劳务内容</w:t>
      </w:r>
    </w:p>
    <w:p w14:paraId="320E8347">
      <w:pPr>
        <w:pStyle w:val="108"/>
        <w:numPr>
          <w:ilvl w:val="1"/>
          <w:numId w:val="23"/>
        </w:numPr>
        <w:tabs>
          <w:tab w:val="left" w:pos="0"/>
        </w:tabs>
        <w:ind w:left="0" w:firstLine="42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工程名称</w:t>
      </w:r>
    </w:p>
    <w:p w14:paraId="4387DBAF">
      <w:pPr>
        <w:pStyle w:val="108"/>
        <w:numPr>
          <w:ilvl w:val="1"/>
          <w:numId w:val="23"/>
        </w:numPr>
        <w:tabs>
          <w:tab w:val="left" w:pos="0"/>
        </w:tabs>
        <w:ind w:left="0" w:firstLine="42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工程地点和范围</w:t>
      </w:r>
    </w:p>
    <w:p w14:paraId="0FC743D5">
      <w:pPr>
        <w:pStyle w:val="108"/>
        <w:numPr>
          <w:ilvl w:val="1"/>
          <w:numId w:val="23"/>
        </w:numPr>
        <w:tabs>
          <w:tab w:val="left" w:pos="0"/>
        </w:tabs>
        <w:ind w:left="0" w:firstLine="42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劳务内容和方式：</w:t>
      </w:r>
    </w:p>
    <w:p w14:paraId="613C9DC5">
      <w:pPr>
        <w:pStyle w:val="108"/>
        <w:numPr>
          <w:ilvl w:val="1"/>
          <w:numId w:val="23"/>
        </w:numPr>
        <w:tabs>
          <w:tab w:val="left" w:pos="0"/>
        </w:tabs>
        <w:ind w:left="0" w:firstLine="42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劳务人员数量共计人。其中，技工人，普工人(劳务人员工种及花名册附后)。</w:t>
      </w:r>
    </w:p>
    <w:p w14:paraId="2128E403">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劳务及管理费的结算支付</w:t>
      </w:r>
    </w:p>
    <w:p w14:paraId="30812B70">
      <w:pPr>
        <w:pStyle w:val="108"/>
        <w:ind w:firstLine="424" w:firstLineChars="177"/>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2.1劳务承包项目实行工序劳务费用单价承包形式，计件单价和暂估数量见《劳务计价清单》（附表1）。劳务费用中的结算工程量按每月得到甲方项目经理部签认计量的工程量为准。 </w:t>
      </w:r>
    </w:p>
    <w:p w14:paraId="18ABC94C">
      <w:pPr>
        <w:pStyle w:val="108"/>
        <w:ind w:firstLine="424" w:firstLineChars="177"/>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2.2工序劳务单价系包含为实施该工序所有子项目并缺陷修补中所需的一切劳务（包括劳务管理、劳务社会保障），小型辅助材料，小型施工机具和设备，现场管理，施工调遣，施工措施，生活设施，除营业税、城市建设附加税和教育附加费外的税金，施工结束后现场清理，其他应支付的必要费用，以及合同明示或暗示的一切风险、责任和义务等所有相关费用，成本节约形成的利润。工序劳务单价已得到双方确认。</w:t>
      </w:r>
    </w:p>
    <w:p w14:paraId="7164C1AD">
      <w:pPr>
        <w:pStyle w:val="108"/>
        <w:ind w:firstLine="424" w:firstLineChars="177"/>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2.3劳务计价清单未涉及的工程内容，或由于待料、停电、气候恶劣等非乙方的责任而造成的停工按计日工结算。计日工单价根据发生时的市场价由双方商定。</w:t>
      </w:r>
    </w:p>
    <w:p w14:paraId="56DBBB3F">
      <w:pPr>
        <w:pStyle w:val="108"/>
        <w:ind w:firstLine="424" w:firstLineChars="177"/>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2.4本合同劳务计价单价不含甲方提供的材料费用和机械设备费用，但含税金，税金由甲方代扣代缴（综合税率为%）。乙方办理劳务费结算支付时应提供符合要求的票据。</w:t>
      </w:r>
    </w:p>
    <w:p w14:paraId="39CAD504">
      <w:pPr>
        <w:pStyle w:val="108"/>
        <w:numPr>
          <w:ilvl w:val="1"/>
          <w:numId w:val="24"/>
        </w:numPr>
        <w:ind w:left="0" w:firstLine="424" w:firstLineChars="177"/>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有关款项的约定：</w:t>
      </w:r>
    </w:p>
    <w:p w14:paraId="0F5732AE">
      <w:pPr>
        <w:pStyle w:val="108"/>
        <w:ind w:firstLine="600" w:firstLineChars="25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2.5.1农民工工资支付保证金按项目总包合同专用条款或业主规定的比例在计量支付时提取，在乙方劳务作业全部完成并出具无拖欠农民工工资承诺后退还。</w:t>
      </w:r>
    </w:p>
    <w:p w14:paraId="374C0ECF">
      <w:pPr>
        <w:pStyle w:val="108"/>
        <w:ind w:firstLine="600" w:firstLineChars="25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2.5.2质量和进度考核基金按项目业主的考核办法的规定比例在中期计量支付时提取，并按考核办法的规定实施考核和奖惩。</w:t>
      </w:r>
    </w:p>
    <w:p w14:paraId="7498623B">
      <w:pPr>
        <w:pStyle w:val="108"/>
        <w:ind w:firstLine="432" w:firstLineChars="180"/>
        <w:rPr>
          <w:rFonts w:hAnsi="宋体" w:cs="宋体"/>
          <w:b/>
          <w:color w:val="000000" w:themeColor="text1"/>
          <w:spacing w:val="-8"/>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2.6劳务承包合同总价为甲乙双方验工计量支付的各分项价款之和</w:t>
      </w:r>
      <w:r>
        <w:rPr>
          <w:rFonts w:hint="eastAsia" w:hAnsi="宋体" w:cs="宋体"/>
          <w:b/>
          <w:color w:val="000000" w:themeColor="text1"/>
          <w:spacing w:val="-8"/>
          <w:highlight w:val="none"/>
          <w14:textFill>
            <w14:solidFill>
              <w14:schemeClr w14:val="tx1"/>
            </w14:solidFill>
          </w14:textFill>
        </w:rPr>
        <w:t>。</w:t>
      </w:r>
    </w:p>
    <w:p w14:paraId="7B99C7AF">
      <w:pPr>
        <w:pStyle w:val="108"/>
        <w:numPr>
          <w:ilvl w:val="0"/>
          <w:numId w:val="22"/>
        </w:numPr>
        <w:rPr>
          <w:rFonts w:hAnsi="宋体" w:cs="宋体"/>
          <w:b/>
          <w:color w:val="000000" w:themeColor="text1"/>
          <w:spacing w:val="-8"/>
          <w:highlight w:val="none"/>
          <w14:textFill>
            <w14:solidFill>
              <w14:schemeClr w14:val="tx1"/>
            </w14:solidFill>
          </w14:textFill>
        </w:rPr>
      </w:pPr>
      <w:r>
        <w:rPr>
          <w:rFonts w:hint="eastAsia" w:hAnsi="宋体" w:cs="宋体"/>
          <w:b/>
          <w:color w:val="000000" w:themeColor="text1"/>
          <w:spacing w:val="-8"/>
          <w:highlight w:val="none"/>
          <w14:textFill>
            <w14:solidFill>
              <w14:schemeClr w14:val="tx1"/>
            </w14:solidFill>
          </w14:textFill>
        </w:rPr>
        <w:t>双方责任</w:t>
      </w:r>
    </w:p>
    <w:p w14:paraId="43725EAC">
      <w:pPr>
        <w:pStyle w:val="108"/>
        <w:ind w:left="42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3.1甲方责任</w:t>
      </w:r>
    </w:p>
    <w:p w14:paraId="34B30F41">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3.1.1为加强对乙方劳务人员的组织与管理，甲方成立现场管理机构标段项目经理部，对工程施工全过程实施全面监控管理。</w:t>
      </w:r>
    </w:p>
    <w:p w14:paraId="60C5DB4D">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3.1.2负责编制实施性施工组织设计，负责施工测量和技术管理。</w:t>
      </w:r>
    </w:p>
    <w:p w14:paraId="66AC4E9F">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3.1.3按施工组织设计及时供应材料和提供机械设备，满足工程进度的需要。</w:t>
      </w:r>
    </w:p>
    <w:p w14:paraId="330A1AB8">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3.1.4负责在施工前对乙方劳务人员进行技术交底，让乙方劳务人员熟练掌握有关操作规程和操作技术。</w:t>
      </w:r>
    </w:p>
    <w:p w14:paraId="32F51FA6">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3.1.5编制施工进度计划，人员、材料、设备等进场计划，并组织乙方劳务人员按规定程序进行劳务作业。</w:t>
      </w:r>
    </w:p>
    <w:p w14:paraId="0CCC3F5A">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3.1.6负责原材料、设备、构配件、半成品的检验和试验。</w:t>
      </w:r>
    </w:p>
    <w:p w14:paraId="6005356E">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3.1.7对乙方安排的劳务人员进行岗前专业培训，并记录教育培训档案。</w:t>
      </w:r>
    </w:p>
    <w:p w14:paraId="4EBF9DFC">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3.1.8监督乙方劳务人员进行文明施工、安全生产，保证作业现场施工安全。</w:t>
      </w:r>
    </w:p>
    <w:p w14:paraId="7B7ACE17">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3.1.9负责办理征地拆迁以及本协议作业项目的道路、用电、用水，以满足施工需要。</w:t>
      </w:r>
    </w:p>
    <w:p w14:paraId="6054A0B2">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3.1.10、甲方负责对每道工序的质量进行检验，乙方完成每道工序须由甲方工程技术人员检验认可，否则乙方不能进入下一道工序的劳务作业。</w:t>
      </w:r>
    </w:p>
    <w:p w14:paraId="40382831">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3.1.11对已完劳务作业项目组织验收，负责工程资料的收集和汇总并按协议规定办理劳务费用结算。</w:t>
      </w:r>
    </w:p>
    <w:p w14:paraId="5AD8A9A5">
      <w:pPr>
        <w:pStyle w:val="108"/>
        <w:ind w:firstLine="36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3.2乙方责任</w:t>
      </w:r>
    </w:p>
    <w:p w14:paraId="0D5F430E">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3.2.1按甲方要求安排符合施工需要的劳务作业人员。乙方必须安排与之有劳动合同关系的劳务作业人员，未签订劳动合同的不得进入施工现场从事劳务作业活动。</w:t>
      </w:r>
    </w:p>
    <w:p w14:paraId="13514CD7">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3.2.2乙方应派出现场负责人协助甲方对劳务人员进行劳务作业管理。</w:t>
      </w:r>
    </w:p>
    <w:p w14:paraId="0C063BCC">
      <w:pPr>
        <w:pStyle w:val="108"/>
        <w:ind w:firstLine="61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3.2.3乙方劳务人员应按甲方劳务培训计划参加相关工法、操作规程的学习，严格按规定程序进行劳务作业。</w:t>
      </w:r>
    </w:p>
    <w:p w14:paraId="04CC7D65">
      <w:pPr>
        <w:pStyle w:val="108"/>
        <w:ind w:firstLine="61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3.2.4乙方应当建立、健全职业病防治责任制，加强对职业病防治的管理，对产生的职业病危害承担责任。</w:t>
      </w:r>
    </w:p>
    <w:p w14:paraId="7CBB025D">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3.2.5遵守当地政府和有关管理部门对环境保护及施工现场的管理规定，坚持文明施工作业，材料机具堆放整齐，建筑垃圾及时清运，并承担因违反有关规定造成的损失和罚款，施工造成的水土流失污染林地、河流以及因施工车辆造成的道路、农作物污染，均由乙方负责处理解决并承担费用。</w:t>
      </w:r>
    </w:p>
    <w:p w14:paraId="3801E90B">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3.2.6乙方劳务人员在劳务作业中发生质量、安全责任事故，应及时报告甲方管理人员，不得擅自处理或隐瞒。</w:t>
      </w:r>
    </w:p>
    <w:p w14:paraId="099C81A5">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3.2.7劳务作业过程中，乙方劳务人员与当地发生的债权债务及治安等问题由乙方负责处理，并承担相应责任和费用。</w:t>
      </w:r>
    </w:p>
    <w:p w14:paraId="7C03A327">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3.2.8乙方劳务人员须认真按照行业技术规范和设计要求以及甲方的管理进行劳务作业，随时接受甲方管理人员的监督检查。</w:t>
      </w:r>
    </w:p>
    <w:p w14:paraId="4EAC5BDF">
      <w:pPr>
        <w:pStyle w:val="108"/>
        <w:ind w:firstLine="615"/>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3.2.9乙方不得将本工程转包或者分包给其他单位或个人施工，须自行完成本协议规定的施工作业项目；在施工过程中，不得偷工减料，不得倒卖或挪用甲方供应的材料、设备、构配件、成品、半成品。</w:t>
      </w:r>
    </w:p>
    <w:p w14:paraId="3DC2CC59">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工期</w:t>
      </w:r>
    </w:p>
    <w:p w14:paraId="3CD6B4FB">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3.1  本劳务协议工期______日历天，自______年_______月______日开始至______年____月______日结束。乙方应按甲方安排的工作计划进场和退场，进、退场费用由______方承担。</w:t>
      </w:r>
    </w:p>
    <w:p w14:paraId="715002E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3.2  在乙方工作期限期满之前，如需终止雇佣，甲方应在期满前_____天书面通知乙方。</w:t>
      </w:r>
    </w:p>
    <w:p w14:paraId="73E4D97C">
      <w:pPr>
        <w:pStyle w:val="108"/>
        <w:ind w:firstLine="48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3.3 如需延长乙方工作期限，甲方应在期满前______天书面通知乙方。</w:t>
      </w:r>
    </w:p>
    <w:p w14:paraId="43B9377A">
      <w:pPr>
        <w:pStyle w:val="108"/>
        <w:ind w:firstLine="48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3.4 乙方未能按合同进度计划及时完成合同约定的工作，已造成或预期造成工期延误，甲方有权终止合同，也有权将本合同工程中的一部分工作交由他人完成或自行完成。在不免除本合同规定的乙方责任和义务的同时，乙方应承担由此所增加的一切费用。由于乙方原因造成工期延误，乙方应支付逾期交工违约金，逾期交工违约金为万元。乙方支付逾期交工违约金，不免除乙方完成工程及修补缺陷的义务。</w:t>
      </w:r>
    </w:p>
    <w:p w14:paraId="30D815C5">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材料物资和机械设备</w:t>
      </w:r>
    </w:p>
    <w:p w14:paraId="7C72E59E">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4.1 本工程所需材料由甲方提供。甲方提供的材料名称及允许损耗系数等见《甲方提供材料清单》（附表2）。乙方应授权专人领用甲供材料，若累计领用量超出理论用量加允许损耗用量的材料款在乙方当月劳务费结算时按上述材料的市场价加%的费用扣回。</w:t>
      </w:r>
    </w:p>
    <w:p w14:paraId="0A70E46B">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 4.2 甲方提供的机械设备见《甲方提供机械设备清单》（附表3），乙方应自带除甲供机械设备外的其他全部小型工具和专用工具，提供必要的辅助材料。甲方提供的机械设备乙方应妥善使用和保管，用好后及时归还，损坏或丢失由乙方按重置价赔偿。</w:t>
      </w:r>
    </w:p>
    <w:p w14:paraId="0751F339">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4.3 甲方提供的材料和机械设备到达工地或指定地点之后，发生的搬运、装卸、整理、清除等所有劳务工作均由方负责并承担费用。</w:t>
      </w:r>
    </w:p>
    <w:p w14:paraId="764A34A7">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劳务作业人员管理</w:t>
      </w:r>
    </w:p>
    <w:p w14:paraId="09CD3228">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5.1 乙方人员的劳动合同由乙方与其签订，建立员工花名册并及时报送给甲方备案。各类社会保险等均由乙方统一建立，并交纳费用。发现未订立劳动合同，查到一次即要求该人员停工办理上岗手续（签订劳动合同、上岗三级安全教育等），2天内未按规定办理上岗手续，即予以退场。</w:t>
      </w:r>
    </w:p>
    <w:p w14:paraId="6207C207">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5.2 乙方提供的特种作业人员，应取得特种作业上岗操作证书。乙方应对劳务人员进行岗前的业务培训和安全生产教育。</w:t>
      </w:r>
    </w:p>
    <w:p w14:paraId="5F921028">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5.3  乙方法定代表人应书面授权一名委托代理人实际履行合同义务并作为有效签字人，并配备相应的管理人员，加强对劳务人员的管理。 </w:t>
      </w:r>
    </w:p>
    <w:p w14:paraId="19C63DD7">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5.5 乙方应及时足额发放工资，发放清单经本人签字后交甲方留存备案，需由甲方统一代为发放的，乙方需出具书面委托，并在每月底报送员工考勤表及分包人签认的工资发放表给甲方，费用在月结算款中抵扣。</w:t>
      </w:r>
    </w:p>
    <w:p w14:paraId="5988FC0B">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5.6 乙方不得以任何理由和形式克扣员工工资，更不得发生员工到甲方追讨工资或有举报拖欠工资情况发生，若乙方无理克扣或拖欠工资情况属实，视为乙方违约，甲方在垫付其应得工资后，有权要求乙方支付违约金，违约金数额为每次</w:t>
      </w:r>
      <w:r>
        <w:rPr>
          <w:rFonts w:hint="eastAsia" w:hAnsi="宋体" w:cs="宋体"/>
          <w:color w:val="000000" w:themeColor="text1"/>
          <w:highlight w:val="none"/>
          <w:u w:val="single"/>
          <w14:textFill>
            <w14:solidFill>
              <w14:schemeClr w14:val="tx1"/>
            </w14:solidFill>
          </w14:textFill>
        </w:rPr>
        <w:t xml:space="preserve">       . </w:t>
      </w:r>
      <w:r>
        <w:rPr>
          <w:rFonts w:hint="eastAsia" w:hAnsi="宋体" w:cs="宋体"/>
          <w:color w:val="000000" w:themeColor="text1"/>
          <w:highlight w:val="none"/>
          <w14:textFill>
            <w14:solidFill>
              <w14:schemeClr w14:val="tx1"/>
            </w14:solidFill>
          </w14:textFill>
        </w:rPr>
        <w:t>元。</w:t>
      </w:r>
    </w:p>
    <w:p w14:paraId="13C166C0">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劳务作业管理</w:t>
      </w:r>
    </w:p>
    <w:p w14:paraId="789AB8EE">
      <w:pPr>
        <w:pStyle w:val="108"/>
        <w:ind w:firstLine="484" w:firstLineChars="202"/>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6.1乙方承担的工程内容，不得再行转包或分包，否则视为乙方违约，由此引起的一切责任和损失均由乙方负责。</w:t>
      </w:r>
    </w:p>
    <w:p w14:paraId="2E990FB7">
      <w:pPr>
        <w:pStyle w:val="108"/>
        <w:ind w:firstLine="49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6.2 乙方违反合同约定，工程质量未达到合同约定要求的，甲方有权终止合同，并处以万元的违约金，并且由此引起的一切损失由乙方负责并赔偿甲方的损失。</w:t>
      </w:r>
    </w:p>
    <w:p w14:paraId="5E336235">
      <w:pPr>
        <w:pStyle w:val="108"/>
        <w:ind w:firstLine="42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6.3乙方应按甲方规定格式和要求及时报送完整的资料给甲方，配合甲方办理中期计量支付及交工验收。</w:t>
      </w:r>
    </w:p>
    <w:p w14:paraId="2C9C0E8A">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安全管理</w:t>
      </w:r>
    </w:p>
    <w:p w14:paraId="63B2B241">
      <w:pPr>
        <w:pStyle w:val="108"/>
        <w:tabs>
          <w:tab w:val="left" w:pos="0"/>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7.1 乙方应严格按施工方案和操作规程施工，因乙方原因导致的安全事故，由乙方承担主要责任，甲方承担连带责任。</w:t>
      </w:r>
    </w:p>
    <w:p w14:paraId="499BA19D">
      <w:pPr>
        <w:pStyle w:val="108"/>
        <w:tabs>
          <w:tab w:val="left" w:pos="0"/>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7.2 甲方的施工方案和现场指挥应符合安全施工要求，因甲方原因导致的安全事故，其责任与损失由甲方承担。</w:t>
      </w:r>
    </w:p>
    <w:p w14:paraId="19344574">
      <w:pPr>
        <w:pStyle w:val="108"/>
        <w:tabs>
          <w:tab w:val="left" w:pos="0"/>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7.3 乙方应配备专职安全员，协助并服从甲方进行安全管理。</w:t>
      </w:r>
    </w:p>
    <w:p w14:paraId="6A73F6DC">
      <w:pPr>
        <w:pStyle w:val="108"/>
        <w:tabs>
          <w:tab w:val="left" w:pos="0"/>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7.4乙方应按规范标准设置安全防护设施和配备劳动保护设施，对投入的安全生产费用按照实用实报原则向甲方计取；若安全防护设施和劳动保护设施投入不足的，甲方有权先行投入，其费用由乙方按照实用实报原则向甲方计取。如乙方施工内容存在一定的危险性，乙方应购买意外伤害保险，甲方认为有必要的，有权先行代购，费用由乙方承担。</w:t>
      </w:r>
    </w:p>
    <w:p w14:paraId="4F70AEA5">
      <w:pPr>
        <w:pStyle w:val="108"/>
        <w:tabs>
          <w:tab w:val="left" w:pos="0"/>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7.5 乙方的特种作业人员应持证上岗，证件复印件留甲方备查。</w:t>
      </w:r>
    </w:p>
    <w:p w14:paraId="595F75C1">
      <w:pPr>
        <w:pStyle w:val="108"/>
        <w:tabs>
          <w:tab w:val="left" w:pos="0"/>
        </w:tabs>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7.6 因乙方原因，导致发生安全事故和治安事件等，整改不力的，甲方有权终止本合同，并追偿损失。</w:t>
      </w:r>
    </w:p>
    <w:p w14:paraId="746D2F20">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结算支付</w:t>
      </w:r>
    </w:p>
    <w:p w14:paraId="152F3034">
      <w:pPr>
        <w:pStyle w:val="108"/>
        <w:ind w:firstLine="600" w:firstLineChars="25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8.1甲方每月在得到业主支付的计量款后按合同约定进行劳务费的结算和支付。</w:t>
      </w:r>
    </w:p>
    <w:p w14:paraId="497A1DB7">
      <w:pPr>
        <w:pStyle w:val="108"/>
        <w:ind w:firstLine="600" w:firstLineChars="25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8.2甲方无故未按时支付劳务款的，按同期中国人民银行贷款利率偿付给乙方逾期付款违约金。</w:t>
      </w:r>
    </w:p>
    <w:p w14:paraId="71AB5CBF">
      <w:pPr>
        <w:pStyle w:val="108"/>
        <w:numPr>
          <w:ilvl w:val="0"/>
          <w:numId w:val="22"/>
        </w:numPr>
        <w:jc w:val="left"/>
        <w:rPr>
          <w:rFonts w:hAnsi="宋体" w:cs="宋体"/>
          <w:b/>
          <w:color w:val="000000" w:themeColor="text1"/>
          <w:highlight w:val="none"/>
          <w14:textFill>
            <w14:solidFill>
              <w14:schemeClr w14:val="tx1"/>
            </w14:solidFill>
          </w14:textFill>
        </w:rPr>
      </w:pPr>
      <w:r>
        <w:rPr>
          <w:rFonts w:hint="eastAsia" w:hAnsi="宋体" w:cs="宋体"/>
          <w:b/>
          <w:color w:val="000000" w:themeColor="text1"/>
          <w:highlight w:val="none"/>
          <w14:textFill>
            <w14:solidFill>
              <w14:schemeClr w14:val="tx1"/>
            </w14:solidFill>
          </w14:textFill>
        </w:rPr>
        <w:t xml:space="preserve"> 附则</w:t>
      </w:r>
    </w:p>
    <w:p w14:paraId="57C5391B">
      <w:pPr>
        <w:pStyle w:val="108"/>
        <w:ind w:firstLine="42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9.1本协议发生纠纷时，当事人双方应及时协商解决。若协商不成时，应按以下第(  )项解决：(a)向工程所在地的仲裁委员会申请仲裁，(b)向人民法院起诉。</w:t>
      </w:r>
    </w:p>
    <w:p w14:paraId="7ABBB687">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9.2本协议一式份，甲乙双方各执正本一份，副本份，其余副本报驻地监理办和发包人。合同经发包人备案后生效。</w:t>
      </w:r>
    </w:p>
    <w:p w14:paraId="44408B9A">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合同订立时间：年   月   日；签订合同地点：。</w:t>
      </w:r>
    </w:p>
    <w:p w14:paraId="7600086B">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9.3双方商定的补充条款：</w:t>
      </w:r>
    </w:p>
    <w:p w14:paraId="362051F3">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w:t>
      </w:r>
    </w:p>
    <w:p w14:paraId="50D76D0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w:t>
      </w:r>
    </w:p>
    <w:p w14:paraId="586E41C9">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p>
    <w:p w14:paraId="520CE5D6">
      <w:pPr>
        <w:pStyle w:val="108"/>
        <w:ind w:firstLine="480" w:firstLineChars="200"/>
        <w:rPr>
          <w:rFonts w:hAnsi="宋体" w:cs="宋体"/>
          <w:color w:val="000000" w:themeColor="text1"/>
          <w:highlight w:val="none"/>
          <w14:textFill>
            <w14:solidFill>
              <w14:schemeClr w14:val="tx1"/>
            </w14:solidFill>
          </w14:textFill>
        </w:rPr>
      </w:pPr>
    </w:p>
    <w:p w14:paraId="02D04BBF">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四、本合同未尽事宜，业主与甲方签订的相关条款已有的，按其办理，未涉及的，双方协商解决。</w:t>
      </w:r>
    </w:p>
    <w:p w14:paraId="7DCF3AF7">
      <w:pPr>
        <w:pStyle w:val="108"/>
        <w:ind w:firstLine="48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合同附件：</w:t>
      </w:r>
    </w:p>
    <w:p w14:paraId="1D170134">
      <w:pPr>
        <w:pStyle w:val="108"/>
        <w:numPr>
          <w:ilvl w:val="0"/>
          <w:numId w:val="25"/>
        </w:numPr>
        <w:ind w:left="782" w:firstLine="74"/>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劳务计价清单</w:t>
      </w:r>
    </w:p>
    <w:p w14:paraId="03A8237C">
      <w:pPr>
        <w:pStyle w:val="108"/>
        <w:numPr>
          <w:ilvl w:val="0"/>
          <w:numId w:val="25"/>
        </w:numPr>
        <w:ind w:left="782" w:firstLine="74"/>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甲方提供材料清单</w:t>
      </w:r>
    </w:p>
    <w:p w14:paraId="27163B84">
      <w:pPr>
        <w:pStyle w:val="108"/>
        <w:numPr>
          <w:ilvl w:val="0"/>
          <w:numId w:val="25"/>
        </w:numPr>
        <w:ind w:left="782" w:firstLine="74"/>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甲方提供机械设备清单</w:t>
      </w:r>
    </w:p>
    <w:p w14:paraId="47E92D6A">
      <w:pPr>
        <w:pStyle w:val="108"/>
        <w:numPr>
          <w:ilvl w:val="0"/>
          <w:numId w:val="25"/>
        </w:numPr>
        <w:ind w:left="782" w:firstLine="74"/>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乙方投入关键人员表</w:t>
      </w:r>
    </w:p>
    <w:p w14:paraId="1FA24321">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甲  方： (盖章)                            乙  方：(盖章)</w:t>
      </w:r>
    </w:p>
    <w:p w14:paraId="0306F373">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法定代表人：(签字)                         法定代表人：(签字)</w:t>
      </w:r>
    </w:p>
    <w:p w14:paraId="781DE2DA">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委托代理人：(签字)                         委托代理人：(签字)</w:t>
      </w:r>
    </w:p>
    <w:p w14:paraId="00EFAC74">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地    址：                                地    址：</w:t>
      </w:r>
    </w:p>
    <w:p w14:paraId="115DB789">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邮政编码：                                邮政编码：</w:t>
      </w:r>
    </w:p>
    <w:p w14:paraId="72507F59">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电    话：                                 电    话：</w:t>
      </w:r>
    </w:p>
    <w:p w14:paraId="02421A3B">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传  真：                                   传  真：</w:t>
      </w:r>
    </w:p>
    <w:p w14:paraId="0EF11B61">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                                 开户银行：</w:t>
      </w:r>
    </w:p>
    <w:p w14:paraId="25B06062">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银行帐号：                                 银行帐号：</w:t>
      </w:r>
    </w:p>
    <w:p w14:paraId="70FD9439">
      <w:pPr>
        <w:pStyle w:val="108"/>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签订时间：                                 签订时间：</w:t>
      </w:r>
    </w:p>
    <w:p w14:paraId="02469F26">
      <w:pPr>
        <w:pStyle w:val="108"/>
        <w:rPr>
          <w:rFonts w:hAnsi="宋体" w:cs="宋体"/>
          <w:color w:val="000000" w:themeColor="text1"/>
          <w:highlight w:val="none"/>
          <w14:textFill>
            <w14:solidFill>
              <w14:schemeClr w14:val="tx1"/>
            </w14:solidFill>
          </w14:textFill>
        </w:rPr>
      </w:pPr>
    </w:p>
    <w:p w14:paraId="7F6ED79E">
      <w:pPr>
        <w:pStyle w:val="108"/>
        <w:jc w:val="center"/>
        <w:rPr>
          <w:rFonts w:hAnsi="宋体" w:cs="宋体"/>
          <w:b/>
          <w:color w:val="000000" w:themeColor="text1"/>
          <w:sz w:val="28"/>
          <w:szCs w:val="28"/>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br w:type="page"/>
      </w:r>
      <w:r>
        <w:rPr>
          <w:rFonts w:hint="eastAsia" w:hAnsi="宋体" w:cs="宋体"/>
          <w:b/>
          <w:color w:val="000000" w:themeColor="text1"/>
          <w:sz w:val="28"/>
          <w:szCs w:val="28"/>
          <w:highlight w:val="none"/>
          <w14:textFill>
            <w14:solidFill>
              <w14:schemeClr w14:val="tx1"/>
            </w14:solidFill>
          </w14:textFill>
        </w:rPr>
        <w:t>附表1：劳务计价清单</w:t>
      </w:r>
    </w:p>
    <w:p w14:paraId="1FF6869D">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工程名称及合同段：                               劳务单位：        </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752"/>
        <w:gridCol w:w="1122"/>
        <w:gridCol w:w="791"/>
        <w:gridCol w:w="1471"/>
        <w:gridCol w:w="1140"/>
        <w:gridCol w:w="1123"/>
      </w:tblGrid>
      <w:tr w14:paraId="71A4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tcPr>
          <w:p w14:paraId="47012EB5">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编号</w:t>
            </w:r>
          </w:p>
        </w:tc>
        <w:tc>
          <w:tcPr>
            <w:tcW w:w="1752" w:type="dxa"/>
          </w:tcPr>
          <w:p w14:paraId="48700C30">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工程项目名称</w:t>
            </w:r>
          </w:p>
        </w:tc>
        <w:tc>
          <w:tcPr>
            <w:tcW w:w="1122" w:type="dxa"/>
          </w:tcPr>
          <w:p w14:paraId="007ED4D4">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单位</w:t>
            </w:r>
          </w:p>
        </w:tc>
        <w:tc>
          <w:tcPr>
            <w:tcW w:w="791" w:type="dxa"/>
          </w:tcPr>
          <w:p w14:paraId="24734838">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数量</w:t>
            </w:r>
          </w:p>
        </w:tc>
        <w:tc>
          <w:tcPr>
            <w:tcW w:w="1471" w:type="dxa"/>
          </w:tcPr>
          <w:p w14:paraId="58E7EC34">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单价 (元)</w:t>
            </w:r>
          </w:p>
        </w:tc>
        <w:tc>
          <w:tcPr>
            <w:tcW w:w="1140" w:type="dxa"/>
          </w:tcPr>
          <w:p w14:paraId="4EF0DF3E">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金额 (元)</w:t>
            </w:r>
          </w:p>
        </w:tc>
        <w:tc>
          <w:tcPr>
            <w:tcW w:w="1123" w:type="dxa"/>
          </w:tcPr>
          <w:p w14:paraId="21319A57">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预定工期</w:t>
            </w:r>
          </w:p>
        </w:tc>
      </w:tr>
      <w:tr w14:paraId="4BAD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23" w:type="dxa"/>
          </w:tcPr>
          <w:p w14:paraId="638D9B20">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752" w:type="dxa"/>
          </w:tcPr>
          <w:p w14:paraId="47E41EE8">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122" w:type="dxa"/>
          </w:tcPr>
          <w:p w14:paraId="5B9B1151">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791" w:type="dxa"/>
          </w:tcPr>
          <w:p w14:paraId="2362B5B9">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471" w:type="dxa"/>
          </w:tcPr>
          <w:p w14:paraId="1096EDC8">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140" w:type="dxa"/>
          </w:tcPr>
          <w:p w14:paraId="7480771E">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123" w:type="dxa"/>
          </w:tcPr>
          <w:p w14:paraId="51870413">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r>
      <w:tr w14:paraId="0D13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23" w:type="dxa"/>
          </w:tcPr>
          <w:p w14:paraId="16ECA44F">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752" w:type="dxa"/>
          </w:tcPr>
          <w:p w14:paraId="3C65A5DF">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122" w:type="dxa"/>
          </w:tcPr>
          <w:p w14:paraId="10B32737">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791" w:type="dxa"/>
          </w:tcPr>
          <w:p w14:paraId="51AC6EFA">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471" w:type="dxa"/>
          </w:tcPr>
          <w:p w14:paraId="27AE23EB">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140" w:type="dxa"/>
          </w:tcPr>
          <w:p w14:paraId="204AE2C3">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c>
          <w:tcPr>
            <w:tcW w:w="1123" w:type="dxa"/>
          </w:tcPr>
          <w:p w14:paraId="0B0CF001">
            <w:pPr>
              <w:pStyle w:val="108"/>
              <w:keepNext w:val="0"/>
              <w:keepLines w:val="0"/>
              <w:suppressLineNumbers w:val="0"/>
              <w:spacing w:before="0" w:beforeAutospacing="0" w:after="0" w:afterAutospacing="0"/>
              <w:ind w:left="0" w:right="0"/>
              <w:rPr>
                <w:rFonts w:hint="default" w:hAnsi="宋体" w:cs="宋体"/>
                <w:b/>
                <w:color w:val="000000" w:themeColor="text1"/>
                <w:szCs w:val="21"/>
                <w:highlight w:val="none"/>
                <w14:textFill>
                  <w14:solidFill>
                    <w14:schemeClr w14:val="tx1"/>
                  </w14:solidFill>
                </w14:textFill>
              </w:rPr>
            </w:pPr>
          </w:p>
        </w:tc>
      </w:tr>
    </w:tbl>
    <w:p w14:paraId="09D83A4E">
      <w:pPr>
        <w:pStyle w:val="108"/>
        <w:jc w:val="center"/>
        <w:rPr>
          <w:rFonts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附表2：甲方提供材料清单</w:t>
      </w:r>
    </w:p>
    <w:p w14:paraId="21B2624D">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工程名称及合同段：                           劳务单位：        </w:t>
      </w:r>
    </w:p>
    <w:tbl>
      <w:tblPr>
        <w:tblStyle w:val="43"/>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382"/>
        <w:gridCol w:w="1242"/>
        <w:gridCol w:w="684"/>
        <w:gridCol w:w="1206"/>
        <w:gridCol w:w="640"/>
        <w:gridCol w:w="1601"/>
        <w:gridCol w:w="720"/>
        <w:gridCol w:w="743"/>
      </w:tblGrid>
      <w:tr w14:paraId="4123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03" w:type="dxa"/>
            <w:vAlign w:val="center"/>
          </w:tcPr>
          <w:p w14:paraId="593ED3C1">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序号</w:t>
            </w:r>
          </w:p>
        </w:tc>
        <w:tc>
          <w:tcPr>
            <w:tcW w:w="1382" w:type="dxa"/>
            <w:vAlign w:val="center"/>
          </w:tcPr>
          <w:p w14:paraId="1044A1E5">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品种</w:t>
            </w:r>
          </w:p>
        </w:tc>
        <w:tc>
          <w:tcPr>
            <w:tcW w:w="1242" w:type="dxa"/>
            <w:vAlign w:val="center"/>
          </w:tcPr>
          <w:p w14:paraId="6C0A4AD2">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规格型号</w:t>
            </w:r>
          </w:p>
        </w:tc>
        <w:tc>
          <w:tcPr>
            <w:tcW w:w="684" w:type="dxa"/>
            <w:vAlign w:val="center"/>
          </w:tcPr>
          <w:p w14:paraId="682169C3">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单位</w:t>
            </w:r>
          </w:p>
        </w:tc>
        <w:tc>
          <w:tcPr>
            <w:tcW w:w="1206" w:type="dxa"/>
            <w:vAlign w:val="center"/>
          </w:tcPr>
          <w:p w14:paraId="6DDB12BD">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图纸数量</w:t>
            </w:r>
          </w:p>
        </w:tc>
        <w:tc>
          <w:tcPr>
            <w:tcW w:w="640" w:type="dxa"/>
            <w:vAlign w:val="center"/>
          </w:tcPr>
          <w:p w14:paraId="3FF60341">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单价</w:t>
            </w:r>
          </w:p>
        </w:tc>
        <w:tc>
          <w:tcPr>
            <w:tcW w:w="1601" w:type="dxa"/>
            <w:vAlign w:val="center"/>
          </w:tcPr>
          <w:p w14:paraId="7B3A102B">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损耗系数%</w:t>
            </w:r>
          </w:p>
        </w:tc>
        <w:tc>
          <w:tcPr>
            <w:tcW w:w="720" w:type="dxa"/>
            <w:vAlign w:val="center"/>
          </w:tcPr>
          <w:p w14:paraId="49739F74">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交货</w:t>
            </w:r>
          </w:p>
          <w:p w14:paraId="029F0FB6">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时间</w:t>
            </w:r>
          </w:p>
        </w:tc>
        <w:tc>
          <w:tcPr>
            <w:tcW w:w="743" w:type="dxa"/>
            <w:vAlign w:val="center"/>
          </w:tcPr>
          <w:p w14:paraId="1B1C9043">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备注</w:t>
            </w:r>
          </w:p>
        </w:tc>
      </w:tr>
      <w:tr w14:paraId="0FC7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3" w:type="dxa"/>
            <w:vAlign w:val="center"/>
          </w:tcPr>
          <w:p w14:paraId="0A8A5CA5">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382" w:type="dxa"/>
            <w:vAlign w:val="center"/>
          </w:tcPr>
          <w:p w14:paraId="346C0F39">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242" w:type="dxa"/>
            <w:vAlign w:val="center"/>
          </w:tcPr>
          <w:p w14:paraId="40328F0D">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684" w:type="dxa"/>
            <w:vAlign w:val="center"/>
          </w:tcPr>
          <w:p w14:paraId="03798646">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206" w:type="dxa"/>
            <w:vAlign w:val="center"/>
          </w:tcPr>
          <w:p w14:paraId="66DDB33C">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640" w:type="dxa"/>
            <w:vAlign w:val="center"/>
          </w:tcPr>
          <w:p w14:paraId="2AA2B9F1">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601" w:type="dxa"/>
            <w:vAlign w:val="center"/>
          </w:tcPr>
          <w:p w14:paraId="345B8669">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720" w:type="dxa"/>
            <w:vAlign w:val="center"/>
          </w:tcPr>
          <w:p w14:paraId="71746DA9">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743" w:type="dxa"/>
            <w:vAlign w:val="center"/>
          </w:tcPr>
          <w:p w14:paraId="3C9033BB">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r>
      <w:tr w14:paraId="5524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03" w:type="dxa"/>
            <w:vAlign w:val="center"/>
          </w:tcPr>
          <w:p w14:paraId="7395CD25">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382" w:type="dxa"/>
            <w:vAlign w:val="center"/>
          </w:tcPr>
          <w:p w14:paraId="0D0956FF">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242" w:type="dxa"/>
            <w:vAlign w:val="center"/>
          </w:tcPr>
          <w:p w14:paraId="4F14DBB9">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684" w:type="dxa"/>
            <w:vAlign w:val="center"/>
          </w:tcPr>
          <w:p w14:paraId="3AF0110A">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206" w:type="dxa"/>
            <w:vAlign w:val="center"/>
          </w:tcPr>
          <w:p w14:paraId="234E79CD">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640" w:type="dxa"/>
            <w:vAlign w:val="center"/>
          </w:tcPr>
          <w:p w14:paraId="24E41493">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1601" w:type="dxa"/>
            <w:vAlign w:val="center"/>
          </w:tcPr>
          <w:p w14:paraId="213E2F64">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720" w:type="dxa"/>
            <w:vAlign w:val="center"/>
          </w:tcPr>
          <w:p w14:paraId="485F3D42">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c>
          <w:tcPr>
            <w:tcW w:w="743" w:type="dxa"/>
            <w:vAlign w:val="center"/>
          </w:tcPr>
          <w:p w14:paraId="08D0EDD5">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p>
        </w:tc>
      </w:tr>
    </w:tbl>
    <w:p w14:paraId="6E266B9F">
      <w:pPr>
        <w:pStyle w:val="108"/>
        <w:jc w:val="center"/>
        <w:rPr>
          <w:rFonts w:hAnsi="宋体" w:cs="宋体"/>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附表3：甲方提供机械设备清单</w:t>
      </w:r>
    </w:p>
    <w:p w14:paraId="6B613ED8">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工程及合同段名称：                               劳务单位：        </w:t>
      </w:r>
    </w:p>
    <w:tbl>
      <w:tblPr>
        <w:tblStyle w:val="43"/>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905"/>
        <w:gridCol w:w="1656"/>
        <w:gridCol w:w="725"/>
        <w:gridCol w:w="895"/>
        <w:gridCol w:w="2114"/>
        <w:gridCol w:w="849"/>
      </w:tblGrid>
      <w:tr w14:paraId="4C4E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6A555432">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序号</w:t>
            </w:r>
          </w:p>
        </w:tc>
        <w:tc>
          <w:tcPr>
            <w:tcW w:w="1905" w:type="dxa"/>
            <w:vAlign w:val="center"/>
          </w:tcPr>
          <w:p w14:paraId="57C22EB1">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设备名称</w:t>
            </w:r>
          </w:p>
        </w:tc>
        <w:tc>
          <w:tcPr>
            <w:tcW w:w="1656" w:type="dxa"/>
            <w:vAlign w:val="center"/>
          </w:tcPr>
          <w:p w14:paraId="313F03E6">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规格型号</w:t>
            </w:r>
          </w:p>
        </w:tc>
        <w:tc>
          <w:tcPr>
            <w:tcW w:w="725" w:type="dxa"/>
            <w:vAlign w:val="center"/>
          </w:tcPr>
          <w:p w14:paraId="2ABDBD40">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单位</w:t>
            </w:r>
          </w:p>
        </w:tc>
        <w:tc>
          <w:tcPr>
            <w:tcW w:w="895" w:type="dxa"/>
            <w:vAlign w:val="center"/>
          </w:tcPr>
          <w:p w14:paraId="740C1C70">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数量</w:t>
            </w:r>
          </w:p>
        </w:tc>
        <w:tc>
          <w:tcPr>
            <w:tcW w:w="2114" w:type="dxa"/>
            <w:vAlign w:val="center"/>
          </w:tcPr>
          <w:p w14:paraId="4BC13D76">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到场时间</w:t>
            </w:r>
          </w:p>
        </w:tc>
        <w:tc>
          <w:tcPr>
            <w:tcW w:w="849" w:type="dxa"/>
            <w:vAlign w:val="center"/>
          </w:tcPr>
          <w:p w14:paraId="62595DA4">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备注</w:t>
            </w:r>
          </w:p>
        </w:tc>
      </w:tr>
      <w:tr w14:paraId="74D7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6AE8E67D">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1905" w:type="dxa"/>
            <w:vAlign w:val="center"/>
          </w:tcPr>
          <w:p w14:paraId="4BA0C876">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1656" w:type="dxa"/>
            <w:vAlign w:val="center"/>
          </w:tcPr>
          <w:p w14:paraId="775E21FE">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725" w:type="dxa"/>
            <w:vAlign w:val="center"/>
          </w:tcPr>
          <w:p w14:paraId="336F436D">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895" w:type="dxa"/>
            <w:vAlign w:val="center"/>
          </w:tcPr>
          <w:p w14:paraId="06505A01">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2114" w:type="dxa"/>
            <w:vAlign w:val="center"/>
          </w:tcPr>
          <w:p w14:paraId="09D26D0B">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849" w:type="dxa"/>
            <w:vAlign w:val="center"/>
          </w:tcPr>
          <w:p w14:paraId="5204BFDE">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r>
      <w:tr w14:paraId="74DA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517CBE1F">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1905" w:type="dxa"/>
            <w:vAlign w:val="center"/>
          </w:tcPr>
          <w:p w14:paraId="16BFF0C0">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1656" w:type="dxa"/>
            <w:vAlign w:val="center"/>
          </w:tcPr>
          <w:p w14:paraId="4207A70C">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725" w:type="dxa"/>
            <w:vAlign w:val="center"/>
          </w:tcPr>
          <w:p w14:paraId="00B27545">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895" w:type="dxa"/>
            <w:vAlign w:val="center"/>
          </w:tcPr>
          <w:p w14:paraId="581923A4">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2114" w:type="dxa"/>
            <w:vAlign w:val="center"/>
          </w:tcPr>
          <w:p w14:paraId="282A6406">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c>
          <w:tcPr>
            <w:tcW w:w="849" w:type="dxa"/>
            <w:vAlign w:val="center"/>
          </w:tcPr>
          <w:p w14:paraId="6F62EE60">
            <w:pPr>
              <w:pStyle w:val="108"/>
              <w:keepNext w:val="0"/>
              <w:keepLines w:val="0"/>
              <w:suppressLineNumbers w:val="0"/>
              <w:spacing w:before="0" w:beforeAutospacing="0" w:after="0" w:afterAutospacing="0"/>
              <w:ind w:left="0" w:right="0"/>
              <w:jc w:val="center"/>
              <w:rPr>
                <w:rFonts w:hint="default" w:hAnsi="宋体" w:cs="宋体"/>
                <w:b/>
                <w:bCs/>
                <w:color w:val="000000" w:themeColor="text1"/>
                <w:szCs w:val="21"/>
                <w:highlight w:val="none"/>
                <w14:textFill>
                  <w14:solidFill>
                    <w14:schemeClr w14:val="tx1"/>
                  </w14:solidFill>
                </w14:textFill>
              </w:rPr>
            </w:pPr>
          </w:p>
        </w:tc>
      </w:tr>
    </w:tbl>
    <w:p w14:paraId="7541763B">
      <w:pPr>
        <w:pStyle w:val="108"/>
        <w:jc w:val="center"/>
        <w:rPr>
          <w:rFonts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附表4：乙方投入关键人员表</w:t>
      </w:r>
    </w:p>
    <w:p w14:paraId="0579C1AB">
      <w:pPr>
        <w:pStyle w:val="108"/>
        <w:rPr>
          <w:rFonts w:hAnsi="宋体" w:cs="宋体"/>
          <w:b/>
          <w:bCs/>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工程名称及合同段：                               劳务单位：        </w:t>
      </w:r>
    </w:p>
    <w:tbl>
      <w:tblPr>
        <w:tblStyle w:val="43"/>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54"/>
        <w:gridCol w:w="1028"/>
        <w:gridCol w:w="1883"/>
        <w:gridCol w:w="1348"/>
        <w:gridCol w:w="1409"/>
        <w:gridCol w:w="679"/>
      </w:tblGrid>
      <w:tr w14:paraId="046B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31" w:type="dxa"/>
            <w:vAlign w:val="center"/>
          </w:tcPr>
          <w:p w14:paraId="6494050B">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序号</w:t>
            </w:r>
          </w:p>
        </w:tc>
        <w:tc>
          <w:tcPr>
            <w:tcW w:w="1454" w:type="dxa"/>
            <w:vAlign w:val="center"/>
          </w:tcPr>
          <w:p w14:paraId="1863D4E3">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岗位或工种</w:t>
            </w:r>
          </w:p>
        </w:tc>
        <w:tc>
          <w:tcPr>
            <w:tcW w:w="1028" w:type="dxa"/>
            <w:vAlign w:val="center"/>
          </w:tcPr>
          <w:p w14:paraId="61C48DF2">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姓名</w:t>
            </w:r>
          </w:p>
        </w:tc>
        <w:tc>
          <w:tcPr>
            <w:tcW w:w="1883" w:type="dxa"/>
            <w:vAlign w:val="center"/>
          </w:tcPr>
          <w:p w14:paraId="1F28243F">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身份证号</w:t>
            </w:r>
          </w:p>
        </w:tc>
        <w:tc>
          <w:tcPr>
            <w:tcW w:w="1348" w:type="dxa"/>
            <w:vAlign w:val="center"/>
          </w:tcPr>
          <w:p w14:paraId="4B84BB9C">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劳动合同号</w:t>
            </w:r>
          </w:p>
        </w:tc>
        <w:tc>
          <w:tcPr>
            <w:tcW w:w="1409" w:type="dxa"/>
            <w:vAlign w:val="center"/>
          </w:tcPr>
          <w:p w14:paraId="34A89C85">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到场时间</w:t>
            </w:r>
          </w:p>
        </w:tc>
        <w:tc>
          <w:tcPr>
            <w:tcW w:w="679" w:type="dxa"/>
            <w:vAlign w:val="center"/>
          </w:tcPr>
          <w:p w14:paraId="0B67DABE">
            <w:pPr>
              <w:pStyle w:val="108"/>
              <w:keepNext w:val="0"/>
              <w:keepLines w:val="0"/>
              <w:suppressLineNumbers w:val="0"/>
              <w:autoSpaceDE w:val="0"/>
              <w:autoSpaceDN w:val="0"/>
              <w:spacing w:before="0" w:beforeAutospacing="0" w:after="0" w:afterAutospacing="0"/>
              <w:ind w:left="0" w:right="0"/>
              <w:jc w:val="center"/>
              <w:rPr>
                <w:rFonts w:hint="default"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备注</w:t>
            </w:r>
          </w:p>
        </w:tc>
      </w:tr>
      <w:tr w14:paraId="5A40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31" w:type="dxa"/>
            <w:vAlign w:val="center"/>
          </w:tcPr>
          <w:p w14:paraId="7F213841">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454" w:type="dxa"/>
            <w:vAlign w:val="center"/>
          </w:tcPr>
          <w:p w14:paraId="564E3DD8">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8" w:type="dxa"/>
            <w:vAlign w:val="center"/>
          </w:tcPr>
          <w:p w14:paraId="6DC4DA1E">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883" w:type="dxa"/>
            <w:vAlign w:val="center"/>
          </w:tcPr>
          <w:p w14:paraId="015B0140">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48" w:type="dxa"/>
            <w:vAlign w:val="center"/>
          </w:tcPr>
          <w:p w14:paraId="1E0A40F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409" w:type="dxa"/>
          </w:tcPr>
          <w:p w14:paraId="50B3DF1B">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679" w:type="dxa"/>
            <w:vAlign w:val="center"/>
          </w:tcPr>
          <w:p w14:paraId="778F111D">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r w14:paraId="1B7F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31" w:type="dxa"/>
            <w:vAlign w:val="center"/>
          </w:tcPr>
          <w:p w14:paraId="057046B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454" w:type="dxa"/>
            <w:vAlign w:val="center"/>
          </w:tcPr>
          <w:p w14:paraId="2CFD8774">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028" w:type="dxa"/>
            <w:vAlign w:val="center"/>
          </w:tcPr>
          <w:p w14:paraId="39CBA7AE">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883" w:type="dxa"/>
            <w:vAlign w:val="center"/>
          </w:tcPr>
          <w:p w14:paraId="367D6EFA">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348" w:type="dxa"/>
            <w:vAlign w:val="center"/>
          </w:tcPr>
          <w:p w14:paraId="2D34F5A6">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1409" w:type="dxa"/>
          </w:tcPr>
          <w:p w14:paraId="0C2E350D">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c>
          <w:tcPr>
            <w:tcW w:w="679" w:type="dxa"/>
            <w:vAlign w:val="center"/>
          </w:tcPr>
          <w:p w14:paraId="0DE2B41D">
            <w:pPr>
              <w:pStyle w:val="108"/>
              <w:keepNext w:val="0"/>
              <w:keepLines w:val="0"/>
              <w:suppressLineNumbers w:val="0"/>
              <w:spacing w:before="0" w:beforeAutospacing="0" w:after="0" w:afterAutospacing="0"/>
              <w:ind w:left="0" w:right="0"/>
              <w:jc w:val="center"/>
              <w:rPr>
                <w:rFonts w:hint="default" w:hAnsi="宋体" w:cs="宋体"/>
                <w:color w:val="000000" w:themeColor="text1"/>
                <w:szCs w:val="21"/>
                <w:highlight w:val="none"/>
                <w14:textFill>
                  <w14:solidFill>
                    <w14:schemeClr w14:val="tx1"/>
                  </w14:solidFill>
                </w14:textFill>
              </w:rPr>
            </w:pPr>
          </w:p>
        </w:tc>
      </w:tr>
    </w:tbl>
    <w:p w14:paraId="4D315EB2">
      <w:pPr>
        <w:jc w:val="center"/>
        <w:rPr>
          <w:rFonts w:ascii="宋体" w:hAnsi="宋体"/>
          <w:color w:val="000000" w:themeColor="text1"/>
          <w:sz w:val="72"/>
          <w:szCs w:val="72"/>
          <w:highlight w:val="none"/>
          <w:u w:val="single"/>
          <w14:textFill>
            <w14:solidFill>
              <w14:schemeClr w14:val="tx1"/>
            </w14:solidFill>
          </w14:textFill>
        </w:rPr>
      </w:pPr>
    </w:p>
    <w:p w14:paraId="4735BA8D">
      <w:pPr>
        <w:pStyle w:val="56"/>
        <w:rPr>
          <w:rFonts w:ascii="宋体" w:hAnsi="宋体"/>
          <w:color w:val="000000" w:themeColor="text1"/>
          <w:sz w:val="72"/>
          <w:szCs w:val="72"/>
          <w:highlight w:val="none"/>
          <w:u w:val="single"/>
          <w14:textFill>
            <w14:solidFill>
              <w14:schemeClr w14:val="tx1"/>
            </w14:solidFill>
          </w14:textFill>
        </w:rPr>
      </w:pPr>
    </w:p>
    <w:p w14:paraId="00F14075">
      <w:pPr>
        <w:pStyle w:val="56"/>
        <w:rPr>
          <w:rFonts w:ascii="宋体" w:hAnsi="宋体"/>
          <w:color w:val="000000" w:themeColor="text1"/>
          <w:sz w:val="72"/>
          <w:szCs w:val="72"/>
          <w:highlight w:val="none"/>
          <w:u w:val="single"/>
          <w14:textFill>
            <w14:solidFill>
              <w14:schemeClr w14:val="tx1"/>
            </w14:solidFill>
          </w14:textFill>
        </w:rPr>
      </w:pPr>
    </w:p>
    <w:p w14:paraId="19A4A590">
      <w:pPr>
        <w:pStyle w:val="56"/>
        <w:rPr>
          <w:rFonts w:ascii="宋体" w:hAnsi="宋体"/>
          <w:color w:val="000000" w:themeColor="text1"/>
          <w:sz w:val="72"/>
          <w:szCs w:val="72"/>
          <w:highlight w:val="none"/>
          <w:u w:val="single"/>
          <w14:textFill>
            <w14:solidFill>
              <w14:schemeClr w14:val="tx1"/>
            </w14:solidFill>
          </w14:textFill>
        </w:rPr>
      </w:pPr>
    </w:p>
    <w:p w14:paraId="522171C1">
      <w:pPr>
        <w:jc w:val="center"/>
        <w:rPr>
          <w:rFonts w:ascii="宋体" w:hAnsi="宋体"/>
          <w:color w:val="000000" w:themeColor="text1"/>
          <w:sz w:val="72"/>
          <w:szCs w:val="72"/>
          <w:highlight w:val="none"/>
          <w:u w:val="single"/>
          <w14:textFill>
            <w14:solidFill>
              <w14:schemeClr w14:val="tx1"/>
            </w14:solidFill>
          </w14:textFill>
        </w:rPr>
      </w:pPr>
    </w:p>
    <w:p w14:paraId="49FACC27">
      <w:pPr>
        <w:pStyle w:val="56"/>
        <w:rPr>
          <w:rFonts w:ascii="宋体" w:hAnsi="宋体"/>
          <w:color w:val="000000" w:themeColor="text1"/>
          <w:sz w:val="72"/>
          <w:szCs w:val="72"/>
          <w:highlight w:val="none"/>
          <w:u w:val="single"/>
          <w14:textFill>
            <w14:solidFill>
              <w14:schemeClr w14:val="tx1"/>
            </w14:solidFill>
          </w14:textFill>
        </w:rPr>
      </w:pPr>
    </w:p>
    <w:p w14:paraId="54906B19">
      <w:pPr>
        <w:pStyle w:val="56"/>
        <w:rPr>
          <w:rFonts w:ascii="宋体" w:hAnsi="宋体"/>
          <w:color w:val="000000" w:themeColor="text1"/>
          <w:sz w:val="72"/>
          <w:szCs w:val="72"/>
          <w:highlight w:val="none"/>
          <w:u w:val="single"/>
          <w14:textFill>
            <w14:solidFill>
              <w14:schemeClr w14:val="tx1"/>
            </w14:solidFill>
          </w14:textFill>
        </w:rPr>
      </w:pPr>
    </w:p>
    <w:p w14:paraId="280A5780">
      <w:pPr>
        <w:pStyle w:val="56"/>
        <w:rPr>
          <w:rFonts w:ascii="宋体" w:hAnsi="宋体"/>
          <w:color w:val="000000" w:themeColor="text1"/>
          <w:sz w:val="72"/>
          <w:szCs w:val="72"/>
          <w:highlight w:val="none"/>
          <w:u w:val="single"/>
          <w14:textFill>
            <w14:solidFill>
              <w14:schemeClr w14:val="tx1"/>
            </w14:solidFill>
          </w14:textFill>
        </w:rPr>
      </w:pPr>
    </w:p>
    <w:p w14:paraId="050C9E86">
      <w:pPr>
        <w:pStyle w:val="56"/>
        <w:rPr>
          <w:rFonts w:ascii="宋体" w:hAnsi="宋体"/>
          <w:color w:val="000000" w:themeColor="text1"/>
          <w:sz w:val="72"/>
          <w:szCs w:val="72"/>
          <w:highlight w:val="none"/>
          <w:u w:val="single"/>
          <w14:textFill>
            <w14:solidFill>
              <w14:schemeClr w14:val="tx1"/>
            </w14:solidFill>
          </w14:textFill>
        </w:rPr>
      </w:pPr>
    </w:p>
    <w:p w14:paraId="734E45EE">
      <w:pPr>
        <w:pStyle w:val="56"/>
        <w:rPr>
          <w:rFonts w:ascii="宋体" w:hAnsi="宋体"/>
          <w:color w:val="000000" w:themeColor="text1"/>
          <w:sz w:val="72"/>
          <w:szCs w:val="72"/>
          <w:highlight w:val="none"/>
          <w:u w:val="single"/>
          <w14:textFill>
            <w14:solidFill>
              <w14:schemeClr w14:val="tx1"/>
            </w14:solidFill>
          </w14:textFill>
        </w:rPr>
      </w:pPr>
    </w:p>
    <w:p w14:paraId="4E8AE197">
      <w:pPr>
        <w:jc w:val="center"/>
        <w:rPr>
          <w:rFonts w:ascii="宋体" w:hAnsi="宋体"/>
          <w:color w:val="000000" w:themeColor="text1"/>
          <w:sz w:val="72"/>
          <w:szCs w:val="72"/>
          <w:highlight w:val="none"/>
          <w:u w:val="single"/>
          <w14:textFill>
            <w14:solidFill>
              <w14:schemeClr w14:val="tx1"/>
            </w14:solidFill>
          </w14:textFill>
        </w:rPr>
      </w:pPr>
    </w:p>
    <w:p w14:paraId="49084AA1">
      <w:pPr>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第五章  工程量清单</w:t>
      </w:r>
    </w:p>
    <w:p w14:paraId="32F772BC">
      <w:pPr>
        <w:pStyle w:val="3"/>
        <w:spacing w:after="600" w:line="240" w:lineRule="auto"/>
        <w:jc w:val="center"/>
        <w:rPr>
          <w:rFonts w:ascii="宋体" w:hAnsi="宋体"/>
          <w:color w:val="000000" w:themeColor="text1"/>
          <w:sz w:val="36"/>
          <w:szCs w:val="36"/>
          <w:highlight w:val="none"/>
          <w14:textFill>
            <w14:solidFill>
              <w14:schemeClr w14:val="tx1"/>
            </w14:solidFill>
          </w14:textFill>
        </w:rPr>
      </w:pPr>
      <w:bookmarkStart w:id="1746" w:name="_Toc18365"/>
      <w:bookmarkEnd w:id="1746"/>
      <w:bookmarkStart w:id="1747" w:name="_Toc234382953"/>
      <w:bookmarkEnd w:id="1747"/>
      <w:r>
        <w:rPr>
          <w:rFonts w:ascii="宋体" w:hAnsi="宋体"/>
          <w:color w:val="000000" w:themeColor="text1"/>
          <w:sz w:val="36"/>
          <w:szCs w:val="36"/>
          <w:highlight w:val="none"/>
          <w14:textFill>
            <w14:solidFill>
              <w14:schemeClr w14:val="tx1"/>
            </w14:solidFill>
          </w14:textFill>
        </w:rPr>
        <w:br w:type="page"/>
      </w:r>
      <w:bookmarkStart w:id="1748" w:name="_Toc32324"/>
      <w:r>
        <w:rPr>
          <w:rFonts w:ascii="宋体" w:hAnsi="宋体"/>
          <w:color w:val="000000" w:themeColor="text1"/>
          <w:sz w:val="36"/>
          <w:szCs w:val="36"/>
          <w:highlight w:val="none"/>
          <w14:textFill>
            <w14:solidFill>
              <w14:schemeClr w14:val="tx1"/>
            </w14:solidFill>
          </w14:textFill>
        </w:rPr>
        <w:t>第五章  工程量清单</w:t>
      </w:r>
      <w:bookmarkEnd w:id="1748"/>
    </w:p>
    <w:p w14:paraId="5FBF044E">
      <w:pPr>
        <w:pStyle w:val="4"/>
        <w:rPr>
          <w:rFonts w:hint="eastAsia"/>
          <w:color w:val="000000" w:themeColor="text1"/>
          <w:highlight w:val="none"/>
          <w14:textFill>
            <w14:solidFill>
              <w14:schemeClr w14:val="tx1"/>
            </w14:solidFill>
          </w14:textFill>
        </w:rPr>
      </w:pPr>
      <w:bookmarkStart w:id="1749" w:name="_Toc16012"/>
      <w:r>
        <w:rPr>
          <w:rFonts w:hint="eastAsia"/>
          <w:color w:val="000000" w:themeColor="text1"/>
          <w:highlight w:val="none"/>
          <w14:textFill>
            <w14:solidFill>
              <w14:schemeClr w14:val="tx1"/>
            </w14:solidFill>
          </w14:textFill>
        </w:rPr>
        <w:t>工程量清单</w:t>
      </w:r>
      <w:bookmarkEnd w:id="1749"/>
    </w:p>
    <w:p w14:paraId="18BE811F">
      <w:pPr>
        <w:keepNext w:val="0"/>
        <w:keepLines w:val="0"/>
        <w:suppressLineNumbers w:val="0"/>
        <w:spacing w:before="0" w:beforeAutospacing="0" w:after="0" w:afterAutospacing="0"/>
        <w:ind w:left="0" w:right="113" w:firstLine="240" w:firstLineChars="100"/>
        <w:jc w:val="left"/>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以补充通知的形式在广东省招标投标监管网（http://zbtb.gd.gov.cn）、全国公共资源交易平台（广东省·韶关市）（https://ygp.gdzwfw.gov.cn/ggzy-portal/#/440200/index）公布，各投标人应自行下载。</w:t>
      </w:r>
      <w:r>
        <w:rPr>
          <w:rFonts w:hint="eastAsia" w:ascii="宋体" w:hAnsi="宋体" w:cs="宋体"/>
          <w:color w:val="000000" w:themeColor="text1"/>
          <w:sz w:val="24"/>
          <w:highlight w:val="none"/>
          <w14:textFill>
            <w14:solidFill>
              <w14:schemeClr w14:val="tx1"/>
            </w14:solidFill>
          </w14:textFill>
        </w:rPr>
        <w:t>因投标人自身原因未能及时查阅而引起的任何问题、责任由投标人自行承担。</w:t>
      </w:r>
    </w:p>
    <w:p w14:paraId="702B7EAA">
      <w:pPr>
        <w:spacing w:line="400" w:lineRule="exact"/>
        <w:rPr>
          <w:rFonts w:ascii="宋体" w:hAnsi="宋体"/>
          <w:b/>
          <w:color w:val="000000" w:themeColor="text1"/>
          <w:sz w:val="28"/>
          <w:szCs w:val="28"/>
          <w:highlight w:val="none"/>
          <w14:textFill>
            <w14:solidFill>
              <w14:schemeClr w14:val="tx1"/>
            </w14:solidFill>
          </w14:textFill>
        </w:rPr>
        <w:sectPr>
          <w:pgSz w:w="11906" w:h="16838"/>
          <w:pgMar w:top="1276" w:right="924" w:bottom="935" w:left="1418" w:header="624" w:footer="590" w:gutter="0"/>
          <w:cols w:space="720" w:num="1"/>
          <w:docGrid w:type="lines" w:linePitch="312" w:charSpace="0"/>
        </w:sectPr>
      </w:pPr>
    </w:p>
    <w:p w14:paraId="2012496D">
      <w:pPr>
        <w:pStyle w:val="56"/>
        <w:rPr>
          <w:color w:val="000000" w:themeColor="text1"/>
          <w:highlight w:val="none"/>
          <w14:textFill>
            <w14:solidFill>
              <w14:schemeClr w14:val="tx1"/>
            </w14:solidFill>
          </w14:textFill>
        </w:rPr>
      </w:pPr>
    </w:p>
    <w:p w14:paraId="2EE3DE11">
      <w:pPr>
        <w:jc w:val="center"/>
        <w:rPr>
          <w:rFonts w:ascii="宋体" w:hAnsi="宋体"/>
          <w:color w:val="000000" w:themeColor="text1"/>
          <w:sz w:val="72"/>
          <w:szCs w:val="72"/>
          <w:highlight w:val="none"/>
          <w:u w:val="single"/>
          <w14:textFill>
            <w14:solidFill>
              <w14:schemeClr w14:val="tx1"/>
            </w14:solidFill>
          </w14:textFill>
        </w:rPr>
      </w:pPr>
    </w:p>
    <w:p w14:paraId="0DFB64BC">
      <w:pPr>
        <w:jc w:val="center"/>
        <w:rPr>
          <w:rFonts w:ascii="宋体" w:hAnsi="宋体"/>
          <w:color w:val="000000" w:themeColor="text1"/>
          <w:sz w:val="72"/>
          <w:szCs w:val="72"/>
          <w:highlight w:val="none"/>
          <w:u w:val="single"/>
          <w14:textFill>
            <w14:solidFill>
              <w14:schemeClr w14:val="tx1"/>
            </w14:solidFill>
          </w14:textFill>
        </w:rPr>
      </w:pPr>
    </w:p>
    <w:p w14:paraId="73E0813C">
      <w:pPr>
        <w:jc w:val="center"/>
        <w:rPr>
          <w:rFonts w:ascii="宋体" w:hAnsi="宋体"/>
          <w:color w:val="000000" w:themeColor="text1"/>
          <w:sz w:val="72"/>
          <w:szCs w:val="72"/>
          <w:highlight w:val="none"/>
          <w:u w:val="single"/>
          <w14:textFill>
            <w14:solidFill>
              <w14:schemeClr w14:val="tx1"/>
            </w14:solidFill>
          </w14:textFill>
        </w:rPr>
      </w:pPr>
    </w:p>
    <w:p w14:paraId="7D67A766">
      <w:pPr>
        <w:pStyle w:val="3"/>
        <w:jc w:val="center"/>
        <w:rPr>
          <w:rFonts w:ascii="宋体" w:hAnsi="宋体"/>
          <w:color w:val="000000" w:themeColor="text1"/>
          <w:sz w:val="84"/>
          <w:szCs w:val="84"/>
          <w:highlight w:val="none"/>
          <w14:textFill>
            <w14:solidFill>
              <w14:schemeClr w14:val="tx1"/>
            </w14:solidFill>
          </w14:textFill>
        </w:rPr>
      </w:pPr>
      <w:bookmarkStart w:id="1750" w:name="_Toc15231"/>
      <w:r>
        <w:rPr>
          <w:rFonts w:hint="eastAsia"/>
          <w:color w:val="000000" w:themeColor="text1"/>
          <w:sz w:val="84"/>
          <w:szCs w:val="84"/>
          <w:highlight w:val="none"/>
          <w14:textFill>
            <w14:solidFill>
              <w14:schemeClr w14:val="tx1"/>
            </w14:solidFill>
          </w14:textFill>
        </w:rPr>
        <w:t>第二卷</w:t>
      </w:r>
      <w:bookmarkEnd w:id="1750"/>
    </w:p>
    <w:p w14:paraId="534FA47C">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72"/>
          <w:szCs w:val="72"/>
          <w:highlight w:val="none"/>
          <w:u w:val="single"/>
          <w14:textFill>
            <w14:solidFill>
              <w14:schemeClr w14:val="tx1"/>
            </w14:solidFill>
          </w14:textFill>
        </w:rPr>
        <w:br w:type="page"/>
      </w:r>
    </w:p>
    <w:p w14:paraId="57144427">
      <w:pPr>
        <w:jc w:val="center"/>
        <w:rPr>
          <w:rFonts w:ascii="宋体" w:hAnsi="宋体"/>
          <w:color w:val="000000" w:themeColor="text1"/>
          <w:sz w:val="72"/>
          <w:szCs w:val="72"/>
          <w:highlight w:val="none"/>
          <w:u w:val="single"/>
          <w14:textFill>
            <w14:solidFill>
              <w14:schemeClr w14:val="tx1"/>
            </w14:solidFill>
          </w14:textFill>
        </w:rPr>
      </w:pPr>
    </w:p>
    <w:p w14:paraId="62E4DB53">
      <w:pPr>
        <w:jc w:val="center"/>
        <w:rPr>
          <w:rFonts w:ascii="宋体" w:hAnsi="宋体"/>
          <w:color w:val="000000" w:themeColor="text1"/>
          <w:sz w:val="72"/>
          <w:szCs w:val="72"/>
          <w:highlight w:val="none"/>
          <w:u w:val="single"/>
          <w14:textFill>
            <w14:solidFill>
              <w14:schemeClr w14:val="tx1"/>
            </w14:solidFill>
          </w14:textFill>
        </w:rPr>
      </w:pPr>
    </w:p>
    <w:p w14:paraId="7A7CC409">
      <w:pPr>
        <w:jc w:val="center"/>
        <w:rPr>
          <w:rFonts w:ascii="宋体" w:hAnsi="宋体"/>
          <w:color w:val="000000" w:themeColor="text1"/>
          <w:sz w:val="72"/>
          <w:szCs w:val="72"/>
          <w:highlight w:val="none"/>
          <w:u w:val="single"/>
          <w14:textFill>
            <w14:solidFill>
              <w14:schemeClr w14:val="tx1"/>
            </w14:solidFill>
          </w14:textFill>
        </w:rPr>
      </w:pPr>
    </w:p>
    <w:p w14:paraId="41988816">
      <w:pPr>
        <w:jc w:val="center"/>
        <w:rPr>
          <w:rFonts w:ascii="宋体" w:hAnsi="宋体"/>
          <w:color w:val="000000" w:themeColor="text1"/>
          <w:sz w:val="72"/>
          <w:szCs w:val="72"/>
          <w:highlight w:val="none"/>
          <w:u w:val="single"/>
          <w14:textFill>
            <w14:solidFill>
              <w14:schemeClr w14:val="tx1"/>
            </w14:solidFill>
          </w14:textFill>
        </w:rPr>
      </w:pPr>
    </w:p>
    <w:p w14:paraId="0D26B2EC">
      <w:pPr>
        <w:pStyle w:val="3"/>
        <w:jc w:val="center"/>
        <w:rPr>
          <w:color w:val="000000" w:themeColor="text1"/>
          <w:highlight w:val="none"/>
          <w14:textFill>
            <w14:solidFill>
              <w14:schemeClr w14:val="tx1"/>
            </w14:solidFill>
          </w14:textFill>
        </w:rPr>
      </w:pPr>
      <w:bookmarkStart w:id="1751" w:name="_Toc25845"/>
      <w:r>
        <w:rPr>
          <w:rFonts w:hint="eastAsia"/>
          <w:color w:val="000000" w:themeColor="text1"/>
          <w:highlight w:val="none"/>
          <w14:textFill>
            <w14:solidFill>
              <w14:schemeClr w14:val="tx1"/>
            </w14:solidFill>
          </w14:textFill>
        </w:rPr>
        <w:t>第六章图纸（另册）</w:t>
      </w:r>
      <w:bookmarkEnd w:id="1751"/>
    </w:p>
    <w:p w14:paraId="43D11F1B">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72"/>
          <w:szCs w:val="72"/>
          <w:highlight w:val="none"/>
          <w:u w:val="single"/>
          <w14:textFill>
            <w14:solidFill>
              <w14:schemeClr w14:val="tx1"/>
            </w14:solidFill>
          </w14:textFill>
        </w:rPr>
        <w:br w:type="page"/>
      </w:r>
    </w:p>
    <w:p w14:paraId="3EF93425">
      <w:pPr>
        <w:jc w:val="center"/>
        <w:rPr>
          <w:rFonts w:ascii="宋体" w:hAnsi="宋体"/>
          <w:color w:val="000000" w:themeColor="text1"/>
          <w:sz w:val="72"/>
          <w:szCs w:val="72"/>
          <w:highlight w:val="none"/>
          <w:u w:val="single"/>
          <w14:textFill>
            <w14:solidFill>
              <w14:schemeClr w14:val="tx1"/>
            </w14:solidFill>
          </w14:textFill>
        </w:rPr>
      </w:pPr>
    </w:p>
    <w:p w14:paraId="3A1616AB">
      <w:pPr>
        <w:jc w:val="center"/>
        <w:rPr>
          <w:rFonts w:ascii="宋体" w:hAnsi="宋体"/>
          <w:color w:val="000000" w:themeColor="text1"/>
          <w:sz w:val="72"/>
          <w:szCs w:val="72"/>
          <w:highlight w:val="none"/>
          <w:u w:val="single"/>
          <w14:textFill>
            <w14:solidFill>
              <w14:schemeClr w14:val="tx1"/>
            </w14:solidFill>
          </w14:textFill>
        </w:rPr>
      </w:pPr>
    </w:p>
    <w:p w14:paraId="7CF19541">
      <w:pPr>
        <w:jc w:val="center"/>
        <w:rPr>
          <w:rFonts w:ascii="宋体" w:hAnsi="宋体"/>
          <w:color w:val="000000" w:themeColor="text1"/>
          <w:sz w:val="72"/>
          <w:szCs w:val="72"/>
          <w:highlight w:val="none"/>
          <w:u w:val="single"/>
          <w14:textFill>
            <w14:solidFill>
              <w14:schemeClr w14:val="tx1"/>
            </w14:solidFill>
          </w14:textFill>
        </w:rPr>
      </w:pPr>
    </w:p>
    <w:p w14:paraId="1AC32966">
      <w:pPr>
        <w:jc w:val="center"/>
        <w:rPr>
          <w:rFonts w:ascii="宋体" w:hAnsi="宋体"/>
          <w:color w:val="000000" w:themeColor="text1"/>
          <w:sz w:val="72"/>
          <w:szCs w:val="72"/>
          <w:highlight w:val="none"/>
          <w:u w:val="single"/>
          <w14:textFill>
            <w14:solidFill>
              <w14:schemeClr w14:val="tx1"/>
            </w14:solidFill>
          </w14:textFill>
        </w:rPr>
      </w:pPr>
    </w:p>
    <w:p w14:paraId="18D247A9">
      <w:pPr>
        <w:pStyle w:val="3"/>
        <w:jc w:val="center"/>
        <w:rPr>
          <w:color w:val="000000" w:themeColor="text1"/>
          <w:sz w:val="84"/>
          <w:szCs w:val="84"/>
          <w:highlight w:val="none"/>
          <w14:textFill>
            <w14:solidFill>
              <w14:schemeClr w14:val="tx1"/>
            </w14:solidFill>
          </w14:textFill>
        </w:rPr>
      </w:pPr>
      <w:bookmarkStart w:id="1752" w:name="_Toc14996"/>
      <w:r>
        <w:rPr>
          <w:rFonts w:hint="eastAsia"/>
          <w:color w:val="000000" w:themeColor="text1"/>
          <w:sz w:val="84"/>
          <w:szCs w:val="84"/>
          <w:highlight w:val="none"/>
          <w14:textFill>
            <w14:solidFill>
              <w14:schemeClr w14:val="tx1"/>
            </w14:solidFill>
          </w14:textFill>
        </w:rPr>
        <w:t>第三卷</w:t>
      </w:r>
      <w:bookmarkEnd w:id="1752"/>
    </w:p>
    <w:p w14:paraId="135177ED">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72"/>
          <w:szCs w:val="72"/>
          <w:highlight w:val="none"/>
          <w:u w:val="single"/>
          <w14:textFill>
            <w14:solidFill>
              <w14:schemeClr w14:val="tx1"/>
            </w14:solidFill>
          </w14:textFill>
        </w:rPr>
        <w:br w:type="page"/>
      </w:r>
    </w:p>
    <w:p w14:paraId="18133A87">
      <w:pPr>
        <w:jc w:val="center"/>
        <w:rPr>
          <w:rFonts w:ascii="宋体" w:hAnsi="宋体"/>
          <w:color w:val="000000" w:themeColor="text1"/>
          <w:sz w:val="72"/>
          <w:szCs w:val="72"/>
          <w:highlight w:val="none"/>
          <w:u w:val="single"/>
          <w14:textFill>
            <w14:solidFill>
              <w14:schemeClr w14:val="tx1"/>
            </w14:solidFill>
          </w14:textFill>
        </w:rPr>
      </w:pPr>
    </w:p>
    <w:p w14:paraId="1DF7A39C">
      <w:pPr>
        <w:jc w:val="center"/>
        <w:rPr>
          <w:rFonts w:ascii="宋体" w:hAnsi="宋体"/>
          <w:color w:val="000000" w:themeColor="text1"/>
          <w:sz w:val="72"/>
          <w:szCs w:val="72"/>
          <w:highlight w:val="none"/>
          <w:u w:val="single"/>
          <w14:textFill>
            <w14:solidFill>
              <w14:schemeClr w14:val="tx1"/>
            </w14:solidFill>
          </w14:textFill>
        </w:rPr>
      </w:pPr>
    </w:p>
    <w:p w14:paraId="02E75DE1">
      <w:pPr>
        <w:jc w:val="center"/>
        <w:rPr>
          <w:rFonts w:ascii="宋体" w:hAnsi="宋体"/>
          <w:color w:val="000000" w:themeColor="text1"/>
          <w:sz w:val="72"/>
          <w:szCs w:val="72"/>
          <w:highlight w:val="none"/>
          <w:u w:val="single"/>
          <w14:textFill>
            <w14:solidFill>
              <w14:schemeClr w14:val="tx1"/>
            </w14:solidFill>
          </w14:textFill>
        </w:rPr>
      </w:pPr>
    </w:p>
    <w:p w14:paraId="75A844BE">
      <w:pPr>
        <w:jc w:val="center"/>
        <w:rPr>
          <w:rFonts w:ascii="宋体" w:hAnsi="宋体"/>
          <w:color w:val="000000" w:themeColor="text1"/>
          <w:sz w:val="72"/>
          <w:szCs w:val="72"/>
          <w:highlight w:val="none"/>
          <w:u w:val="single"/>
          <w14:textFill>
            <w14:solidFill>
              <w14:schemeClr w14:val="tx1"/>
            </w14:solidFill>
          </w14:textFill>
        </w:rPr>
      </w:pPr>
    </w:p>
    <w:p w14:paraId="4600E762">
      <w:pPr>
        <w:pStyle w:val="3"/>
        <w:jc w:val="center"/>
        <w:rPr>
          <w:color w:val="000000" w:themeColor="text1"/>
          <w:highlight w:val="none"/>
          <w14:textFill>
            <w14:solidFill>
              <w14:schemeClr w14:val="tx1"/>
            </w14:solidFill>
          </w14:textFill>
        </w:rPr>
      </w:pPr>
      <w:bookmarkStart w:id="1753" w:name="_Toc27366"/>
      <w:r>
        <w:rPr>
          <w:rFonts w:hint="eastAsia"/>
          <w:color w:val="000000" w:themeColor="text1"/>
          <w:highlight w:val="none"/>
          <w14:textFill>
            <w14:solidFill>
              <w14:schemeClr w14:val="tx1"/>
            </w14:solidFill>
          </w14:textFill>
        </w:rPr>
        <w:t>第七章技术规范（自行收集）</w:t>
      </w:r>
      <w:bookmarkEnd w:id="1753"/>
    </w:p>
    <w:p w14:paraId="219471F3">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72"/>
          <w:szCs w:val="72"/>
          <w:highlight w:val="none"/>
          <w:u w:val="single"/>
          <w14:textFill>
            <w14:solidFill>
              <w14:schemeClr w14:val="tx1"/>
            </w14:solidFill>
          </w14:textFill>
        </w:rPr>
        <w:br w:type="page"/>
      </w:r>
    </w:p>
    <w:p w14:paraId="208FE28A">
      <w:pPr>
        <w:jc w:val="center"/>
        <w:rPr>
          <w:rFonts w:ascii="宋体" w:hAnsi="宋体"/>
          <w:color w:val="000000" w:themeColor="text1"/>
          <w:sz w:val="72"/>
          <w:szCs w:val="72"/>
          <w:highlight w:val="none"/>
          <w:u w:val="single"/>
          <w14:textFill>
            <w14:solidFill>
              <w14:schemeClr w14:val="tx1"/>
            </w14:solidFill>
          </w14:textFill>
        </w:rPr>
      </w:pPr>
    </w:p>
    <w:p w14:paraId="77E93E49">
      <w:pPr>
        <w:jc w:val="center"/>
        <w:rPr>
          <w:rFonts w:ascii="宋体" w:hAnsi="宋体"/>
          <w:color w:val="000000" w:themeColor="text1"/>
          <w:sz w:val="72"/>
          <w:szCs w:val="72"/>
          <w:highlight w:val="none"/>
          <w:u w:val="single"/>
          <w14:textFill>
            <w14:solidFill>
              <w14:schemeClr w14:val="tx1"/>
            </w14:solidFill>
          </w14:textFill>
        </w:rPr>
      </w:pPr>
    </w:p>
    <w:p w14:paraId="65B2A066">
      <w:pPr>
        <w:jc w:val="center"/>
        <w:rPr>
          <w:rFonts w:ascii="宋体" w:hAnsi="宋体"/>
          <w:color w:val="000000" w:themeColor="text1"/>
          <w:sz w:val="72"/>
          <w:szCs w:val="72"/>
          <w:highlight w:val="none"/>
          <w:u w:val="single"/>
          <w14:textFill>
            <w14:solidFill>
              <w14:schemeClr w14:val="tx1"/>
            </w14:solidFill>
          </w14:textFill>
        </w:rPr>
      </w:pPr>
    </w:p>
    <w:p w14:paraId="2A47310C">
      <w:pPr>
        <w:jc w:val="center"/>
        <w:rPr>
          <w:rFonts w:ascii="宋体" w:hAnsi="宋体"/>
          <w:color w:val="000000" w:themeColor="text1"/>
          <w:sz w:val="72"/>
          <w:szCs w:val="72"/>
          <w:highlight w:val="none"/>
          <w:u w:val="single"/>
          <w14:textFill>
            <w14:solidFill>
              <w14:schemeClr w14:val="tx1"/>
            </w14:solidFill>
          </w14:textFill>
        </w:rPr>
      </w:pPr>
    </w:p>
    <w:p w14:paraId="50E6EB64">
      <w:pPr>
        <w:pStyle w:val="3"/>
        <w:jc w:val="center"/>
        <w:rPr>
          <w:color w:val="000000" w:themeColor="text1"/>
          <w:highlight w:val="none"/>
          <w14:textFill>
            <w14:solidFill>
              <w14:schemeClr w14:val="tx1"/>
            </w14:solidFill>
          </w14:textFill>
        </w:rPr>
      </w:pPr>
      <w:bookmarkStart w:id="1754" w:name="_Toc4305"/>
      <w:r>
        <w:rPr>
          <w:rFonts w:hint="eastAsia"/>
          <w:color w:val="000000" w:themeColor="text1"/>
          <w:highlight w:val="none"/>
          <w14:textFill>
            <w14:solidFill>
              <w14:schemeClr w14:val="tx1"/>
            </w14:solidFill>
          </w14:textFill>
        </w:rPr>
        <w:t>第八章  工程量清单计量规则</w:t>
      </w:r>
      <w:bookmarkEnd w:id="1754"/>
    </w:p>
    <w:p w14:paraId="763364ED">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工程量清单计量规则具体应执行《广东省公路工程造价标准化管理指</w:t>
      </w:r>
    </w:p>
    <w:p w14:paraId="11FAB9F8">
      <w:pPr>
        <w:jc w:val="center"/>
        <w:rPr>
          <w:rFonts w:ascii="宋体" w:hAnsi="宋体"/>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南》（粤交基〔2022〕483 号）及现行的相关补充规定</w:t>
      </w:r>
      <w:r>
        <w:rPr>
          <w:color w:val="000000" w:themeColor="text1"/>
          <w:sz w:val="24"/>
          <w:highlight w:val="none"/>
          <w14:textFill>
            <w14:solidFill>
              <w14:schemeClr w14:val="tx1"/>
            </w14:solidFill>
          </w14:textFill>
        </w:rPr>
        <w:t>）</w:t>
      </w:r>
    </w:p>
    <w:p w14:paraId="177A981F">
      <w:pPr>
        <w:rPr>
          <w:color w:val="000000" w:themeColor="text1"/>
          <w:highlight w:val="none"/>
          <w14:textFill>
            <w14:solidFill>
              <w14:schemeClr w14:val="tx1"/>
            </w14:solidFill>
          </w14:textFill>
        </w:rPr>
      </w:pPr>
    </w:p>
    <w:p w14:paraId="2737900D">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72"/>
          <w:szCs w:val="72"/>
          <w:highlight w:val="none"/>
          <w:u w:val="single"/>
          <w14:textFill>
            <w14:solidFill>
              <w14:schemeClr w14:val="tx1"/>
            </w14:solidFill>
          </w14:textFill>
        </w:rPr>
        <w:br w:type="page"/>
      </w:r>
    </w:p>
    <w:p w14:paraId="294CD680">
      <w:pPr>
        <w:jc w:val="center"/>
        <w:rPr>
          <w:rFonts w:ascii="宋体" w:hAnsi="宋体"/>
          <w:color w:val="000000" w:themeColor="text1"/>
          <w:sz w:val="72"/>
          <w:szCs w:val="72"/>
          <w:highlight w:val="none"/>
          <w:u w:val="single"/>
          <w14:textFill>
            <w14:solidFill>
              <w14:schemeClr w14:val="tx1"/>
            </w14:solidFill>
          </w14:textFill>
        </w:rPr>
      </w:pPr>
    </w:p>
    <w:p w14:paraId="24B899A8">
      <w:pPr>
        <w:jc w:val="center"/>
        <w:rPr>
          <w:rFonts w:ascii="宋体" w:hAnsi="宋体"/>
          <w:color w:val="000000" w:themeColor="text1"/>
          <w:sz w:val="72"/>
          <w:szCs w:val="72"/>
          <w:highlight w:val="none"/>
          <w:u w:val="single"/>
          <w14:textFill>
            <w14:solidFill>
              <w14:schemeClr w14:val="tx1"/>
            </w14:solidFill>
          </w14:textFill>
        </w:rPr>
      </w:pPr>
    </w:p>
    <w:p w14:paraId="1874C4C3">
      <w:pPr>
        <w:jc w:val="center"/>
        <w:rPr>
          <w:rFonts w:ascii="宋体" w:hAnsi="宋体"/>
          <w:color w:val="000000" w:themeColor="text1"/>
          <w:sz w:val="72"/>
          <w:szCs w:val="72"/>
          <w:highlight w:val="none"/>
          <w:u w:val="single"/>
          <w14:textFill>
            <w14:solidFill>
              <w14:schemeClr w14:val="tx1"/>
            </w14:solidFill>
          </w14:textFill>
        </w:rPr>
      </w:pPr>
    </w:p>
    <w:p w14:paraId="3322972B">
      <w:pPr>
        <w:jc w:val="center"/>
        <w:rPr>
          <w:rFonts w:ascii="宋体" w:hAnsi="宋体"/>
          <w:color w:val="000000" w:themeColor="text1"/>
          <w:sz w:val="72"/>
          <w:szCs w:val="72"/>
          <w:highlight w:val="none"/>
          <w:u w:val="single"/>
          <w14:textFill>
            <w14:solidFill>
              <w14:schemeClr w14:val="tx1"/>
            </w14:solidFill>
          </w14:textFill>
        </w:rPr>
      </w:pPr>
    </w:p>
    <w:p w14:paraId="39F81414">
      <w:pPr>
        <w:pStyle w:val="3"/>
        <w:jc w:val="center"/>
        <w:rPr>
          <w:color w:val="000000" w:themeColor="text1"/>
          <w:sz w:val="84"/>
          <w:szCs w:val="84"/>
          <w:highlight w:val="none"/>
          <w14:textFill>
            <w14:solidFill>
              <w14:schemeClr w14:val="tx1"/>
            </w14:solidFill>
          </w14:textFill>
        </w:rPr>
      </w:pPr>
      <w:bookmarkStart w:id="1755" w:name="_Toc23325"/>
      <w:r>
        <w:rPr>
          <w:rFonts w:hint="eastAsia"/>
          <w:color w:val="000000" w:themeColor="text1"/>
          <w:sz w:val="84"/>
          <w:szCs w:val="84"/>
          <w:highlight w:val="none"/>
          <w14:textFill>
            <w14:solidFill>
              <w14:schemeClr w14:val="tx1"/>
            </w14:solidFill>
          </w14:textFill>
        </w:rPr>
        <w:t>第四卷</w:t>
      </w:r>
      <w:bookmarkEnd w:id="1755"/>
    </w:p>
    <w:p w14:paraId="22372A6C">
      <w:pPr>
        <w:jc w:val="center"/>
        <w:rPr>
          <w:rFonts w:ascii="宋体" w:hAnsi="宋体"/>
          <w:color w:val="000000" w:themeColor="text1"/>
          <w:sz w:val="72"/>
          <w:szCs w:val="72"/>
          <w:highlight w:val="none"/>
          <w:u w:val="single"/>
          <w14:textFill>
            <w14:solidFill>
              <w14:schemeClr w14:val="tx1"/>
            </w14:solidFill>
          </w14:textFill>
        </w:rPr>
      </w:pPr>
      <w:r>
        <w:rPr>
          <w:rFonts w:hint="eastAsia" w:ascii="宋体" w:hAnsi="宋体"/>
          <w:color w:val="000000" w:themeColor="text1"/>
          <w:sz w:val="72"/>
          <w:szCs w:val="72"/>
          <w:highlight w:val="none"/>
          <w:u w:val="single"/>
          <w14:textFill>
            <w14:solidFill>
              <w14:schemeClr w14:val="tx1"/>
            </w14:solidFill>
          </w14:textFill>
        </w:rPr>
        <w:br w:type="page"/>
      </w:r>
    </w:p>
    <w:p w14:paraId="1EC20BAE">
      <w:pPr>
        <w:jc w:val="center"/>
        <w:rPr>
          <w:rFonts w:ascii="宋体" w:hAnsi="宋体"/>
          <w:color w:val="000000" w:themeColor="text1"/>
          <w:sz w:val="72"/>
          <w:szCs w:val="72"/>
          <w:highlight w:val="none"/>
          <w:u w:val="single"/>
          <w14:textFill>
            <w14:solidFill>
              <w14:schemeClr w14:val="tx1"/>
            </w14:solidFill>
          </w14:textFill>
        </w:rPr>
      </w:pPr>
    </w:p>
    <w:p w14:paraId="057E06F8">
      <w:pPr>
        <w:jc w:val="center"/>
        <w:rPr>
          <w:rFonts w:ascii="宋体" w:hAnsi="宋体"/>
          <w:color w:val="000000" w:themeColor="text1"/>
          <w:sz w:val="72"/>
          <w:szCs w:val="72"/>
          <w:highlight w:val="none"/>
          <w:u w:val="single"/>
          <w14:textFill>
            <w14:solidFill>
              <w14:schemeClr w14:val="tx1"/>
            </w14:solidFill>
          </w14:textFill>
        </w:rPr>
      </w:pPr>
    </w:p>
    <w:p w14:paraId="63E2751E">
      <w:pPr>
        <w:jc w:val="center"/>
        <w:rPr>
          <w:rFonts w:ascii="宋体" w:hAnsi="宋体"/>
          <w:color w:val="000000" w:themeColor="text1"/>
          <w:sz w:val="72"/>
          <w:szCs w:val="72"/>
          <w:highlight w:val="none"/>
          <w:u w:val="single"/>
          <w14:textFill>
            <w14:solidFill>
              <w14:schemeClr w14:val="tx1"/>
            </w14:solidFill>
          </w14:textFill>
        </w:rPr>
      </w:pPr>
    </w:p>
    <w:p w14:paraId="127722F3">
      <w:pPr>
        <w:jc w:val="center"/>
        <w:rPr>
          <w:rFonts w:ascii="宋体" w:hAnsi="宋体"/>
          <w:color w:val="000000" w:themeColor="text1"/>
          <w:sz w:val="72"/>
          <w:szCs w:val="72"/>
          <w:highlight w:val="none"/>
          <w:u w:val="single"/>
          <w14:textFill>
            <w14:solidFill>
              <w14:schemeClr w14:val="tx1"/>
            </w14:solidFill>
          </w14:textFill>
        </w:rPr>
      </w:pPr>
    </w:p>
    <w:p w14:paraId="70799F23">
      <w:pPr>
        <w:pStyle w:val="3"/>
        <w:jc w:val="center"/>
        <w:rPr>
          <w:color w:val="000000" w:themeColor="text1"/>
          <w:highlight w:val="none"/>
          <w14:textFill>
            <w14:solidFill>
              <w14:schemeClr w14:val="tx1"/>
            </w14:solidFill>
          </w14:textFill>
        </w:rPr>
      </w:pPr>
      <w:bookmarkStart w:id="1756" w:name="_Toc26111"/>
      <w:r>
        <w:rPr>
          <w:rFonts w:hint="eastAsia"/>
          <w:color w:val="000000" w:themeColor="text1"/>
          <w:highlight w:val="none"/>
          <w14:textFill>
            <w14:solidFill>
              <w14:schemeClr w14:val="tx1"/>
            </w14:solidFill>
          </w14:textFill>
        </w:rPr>
        <w:t>第九章投标文件格式</w:t>
      </w:r>
      <w:bookmarkEnd w:id="1756"/>
    </w:p>
    <w:p w14:paraId="64CE29AF">
      <w:pPr>
        <w:adjustRightInd w:val="0"/>
        <w:snapToGrid w:val="0"/>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14:paraId="28C74F98">
      <w:pPr>
        <w:spacing w:line="360" w:lineRule="auto"/>
        <w:ind w:firstLine="643" w:firstLineChars="200"/>
        <w:jc w:val="center"/>
        <w:rPr>
          <w:rFonts w:ascii="宋体" w:hAnsi="宋体"/>
          <w:b/>
          <w:color w:val="000000" w:themeColor="text1"/>
          <w:sz w:val="32"/>
          <w:szCs w:val="32"/>
          <w:highlight w:val="none"/>
          <w:u w:val="single"/>
          <w14:textFill>
            <w14:solidFill>
              <w14:schemeClr w14:val="tx1"/>
            </w14:solidFill>
          </w14:textFill>
        </w:rPr>
      </w:pPr>
    </w:p>
    <w:p w14:paraId="034A2A6D">
      <w:pPr>
        <w:spacing w:line="360" w:lineRule="auto"/>
        <w:ind w:firstLine="883" w:firstLineChars="200"/>
        <w:jc w:val="center"/>
        <w:rPr>
          <w:rFonts w:ascii="宋体" w:hAnsi="宋体"/>
          <w:b/>
          <w:color w:val="000000" w:themeColor="text1"/>
          <w:sz w:val="44"/>
          <w:szCs w:val="44"/>
          <w:highlight w:val="none"/>
          <w:u w:val="single"/>
          <w14:textFill>
            <w14:solidFill>
              <w14:schemeClr w14:val="tx1"/>
            </w14:solidFill>
          </w14:textFill>
        </w:rPr>
      </w:pPr>
      <w:r>
        <w:rPr>
          <w:rFonts w:hint="eastAsia" w:ascii="宋体" w:hAnsi="宋体"/>
          <w:b/>
          <w:color w:val="000000" w:themeColor="text1"/>
          <w:sz w:val="44"/>
          <w:szCs w:val="44"/>
          <w:highlight w:val="none"/>
          <w:u w:val="single"/>
          <w14:textFill>
            <w14:solidFill>
              <w14:schemeClr w14:val="tx1"/>
            </w14:solidFill>
          </w14:textFill>
        </w:rPr>
        <w:t>广东省</w:t>
      </w:r>
    </w:p>
    <w:p w14:paraId="26D5995F">
      <w:pPr>
        <w:spacing w:line="360" w:lineRule="auto"/>
        <w:ind w:firstLine="883" w:firstLineChars="200"/>
        <w:jc w:val="center"/>
        <w:rPr>
          <w:rFonts w:ascii="宋体" w:hAnsi="宋体"/>
          <w:b/>
          <w:color w:val="000000" w:themeColor="text1"/>
          <w:sz w:val="44"/>
          <w:szCs w:val="44"/>
          <w:highlight w:val="none"/>
          <w:u w:val="single"/>
          <w14:textFill>
            <w14:solidFill>
              <w14:schemeClr w14:val="tx1"/>
            </w14:solidFill>
          </w14:textFill>
        </w:rPr>
      </w:pPr>
    </w:p>
    <w:p w14:paraId="3843A7AF">
      <w:pPr>
        <w:spacing w:line="360" w:lineRule="auto"/>
        <w:ind w:firstLine="883" w:firstLineChars="20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44"/>
          <w:szCs w:val="44"/>
          <w:highlight w:val="none"/>
          <w:u w:val="single"/>
          <w14:textFill>
            <w14:solidFill>
              <w14:schemeClr w14:val="tx1"/>
            </w14:solidFill>
          </w14:textFill>
        </w:rPr>
        <w:t xml:space="preserve">     </w:t>
      </w:r>
      <w:r>
        <w:rPr>
          <w:rFonts w:ascii="宋体" w:hAnsi="宋体"/>
          <w:b/>
          <w:color w:val="000000" w:themeColor="text1"/>
          <w:sz w:val="44"/>
          <w:szCs w:val="44"/>
          <w:highlight w:val="none"/>
          <w:u w:val="single"/>
          <w14:textFill>
            <w14:solidFill>
              <w14:schemeClr w14:val="tx1"/>
            </w14:solidFill>
          </w14:textFill>
        </w:rPr>
        <w:t>（项目名称）</w:t>
      </w:r>
      <w:r>
        <w:rPr>
          <w:rFonts w:hint="eastAsia" w:ascii="宋体" w:hAnsi="宋体"/>
          <w:b/>
          <w:color w:val="000000" w:themeColor="text1"/>
          <w:sz w:val="44"/>
          <w:szCs w:val="44"/>
          <w:highlight w:val="none"/>
          <w:u w:val="single"/>
          <w14:textFill>
            <w14:solidFill>
              <w14:schemeClr w14:val="tx1"/>
            </w14:solidFill>
          </w14:textFill>
        </w:rPr>
        <w:t xml:space="preserve">    </w:t>
      </w:r>
      <w:r>
        <w:rPr>
          <w:rFonts w:hint="eastAsia" w:ascii="宋体" w:hAnsi="宋体"/>
          <w:b/>
          <w:color w:val="000000" w:themeColor="text1"/>
          <w:sz w:val="44"/>
          <w:szCs w:val="44"/>
          <w:highlight w:val="none"/>
          <w14:textFill>
            <w14:solidFill>
              <w14:schemeClr w14:val="tx1"/>
            </w14:solidFill>
          </w14:textFill>
        </w:rPr>
        <w:t>施工招标</w:t>
      </w:r>
    </w:p>
    <w:p w14:paraId="5CDD225F">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127BF813">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55BFD8C4">
      <w:pPr>
        <w:spacing w:line="360" w:lineRule="auto"/>
        <w:jc w:val="center"/>
        <w:rPr>
          <w:rFonts w:ascii="宋体" w:hAnsi="宋体"/>
          <w:b/>
          <w:color w:val="000000" w:themeColor="text1"/>
          <w:sz w:val="52"/>
          <w:szCs w:val="52"/>
          <w:highlight w:val="none"/>
          <w14:textFill>
            <w14:solidFill>
              <w14:schemeClr w14:val="tx1"/>
            </w14:solidFill>
          </w14:textFill>
        </w:rPr>
      </w:pPr>
    </w:p>
    <w:p w14:paraId="45B82D65">
      <w:pPr>
        <w:spacing w:line="360" w:lineRule="auto"/>
        <w:jc w:val="center"/>
        <w:rPr>
          <w:rFonts w:ascii="宋体" w:hAnsi="宋体"/>
          <w:b/>
          <w:color w:val="000000" w:themeColor="text1"/>
          <w:sz w:val="52"/>
          <w:szCs w:val="52"/>
          <w:highlight w:val="none"/>
          <w14:textFill>
            <w14:solidFill>
              <w14:schemeClr w14:val="tx1"/>
            </w14:solidFill>
          </w14:textFill>
        </w:rPr>
      </w:pPr>
    </w:p>
    <w:p w14:paraId="049B08B7">
      <w:pPr>
        <w:jc w:val="center"/>
        <w:rPr>
          <w:rFonts w:ascii="宋体" w:hAnsi="宋体"/>
          <w:b/>
          <w:bCs/>
          <w:color w:val="000000" w:themeColor="text1"/>
          <w:sz w:val="48"/>
          <w:szCs w:val="48"/>
          <w:highlight w:val="none"/>
          <w14:textFill>
            <w14:solidFill>
              <w14:schemeClr w14:val="tx1"/>
            </w14:solidFill>
          </w14:textFill>
        </w:rPr>
      </w:pPr>
      <w:r>
        <w:rPr>
          <w:rFonts w:hint="eastAsia" w:ascii="宋体" w:hAnsi="宋体"/>
          <w:b/>
          <w:bCs/>
          <w:color w:val="000000" w:themeColor="text1"/>
          <w:sz w:val="48"/>
          <w:szCs w:val="48"/>
          <w:highlight w:val="none"/>
          <w14:textFill>
            <w14:solidFill>
              <w14:schemeClr w14:val="tx1"/>
            </w14:solidFill>
          </w14:textFill>
        </w:rPr>
        <w:t>投 标 文 件</w:t>
      </w:r>
    </w:p>
    <w:p w14:paraId="6494D078">
      <w:pPr>
        <w:pStyle w:val="56"/>
        <w:rPr>
          <w:color w:val="000000" w:themeColor="text1"/>
          <w:highlight w:val="none"/>
          <w14:textFill>
            <w14:solidFill>
              <w14:schemeClr w14:val="tx1"/>
            </w14:solidFill>
          </w14:textFill>
        </w:rPr>
      </w:pPr>
    </w:p>
    <w:p w14:paraId="601D3743">
      <w:pPr>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（第一信封：商务及技术文件）</w:t>
      </w:r>
    </w:p>
    <w:p w14:paraId="36D22331">
      <w:pPr>
        <w:spacing w:line="360" w:lineRule="auto"/>
        <w:rPr>
          <w:rFonts w:ascii="宋体" w:hAnsi="宋体"/>
          <w:b/>
          <w:color w:val="000000" w:themeColor="text1"/>
          <w:sz w:val="32"/>
          <w:szCs w:val="32"/>
          <w:highlight w:val="none"/>
          <w14:textFill>
            <w14:solidFill>
              <w14:schemeClr w14:val="tx1"/>
            </w14:solidFill>
          </w14:textFill>
        </w:rPr>
      </w:pPr>
    </w:p>
    <w:p w14:paraId="660CF006">
      <w:pPr>
        <w:spacing w:line="360" w:lineRule="auto"/>
        <w:rPr>
          <w:rFonts w:ascii="宋体" w:hAnsi="宋体"/>
          <w:b/>
          <w:color w:val="000000" w:themeColor="text1"/>
          <w:sz w:val="32"/>
          <w:szCs w:val="32"/>
          <w:highlight w:val="none"/>
          <w14:textFill>
            <w14:solidFill>
              <w14:schemeClr w14:val="tx1"/>
            </w14:solidFill>
          </w14:textFill>
        </w:rPr>
      </w:pPr>
    </w:p>
    <w:p w14:paraId="1B009881">
      <w:pPr>
        <w:spacing w:line="360" w:lineRule="auto"/>
        <w:rPr>
          <w:rFonts w:ascii="宋体" w:hAnsi="宋体"/>
          <w:b/>
          <w:color w:val="000000" w:themeColor="text1"/>
          <w:sz w:val="32"/>
          <w:szCs w:val="32"/>
          <w:highlight w:val="none"/>
          <w14:textFill>
            <w14:solidFill>
              <w14:schemeClr w14:val="tx1"/>
            </w14:solidFill>
          </w14:textFill>
        </w:rPr>
      </w:pPr>
    </w:p>
    <w:p w14:paraId="03EEA6A0">
      <w:pPr>
        <w:spacing w:line="360" w:lineRule="auto"/>
        <w:rPr>
          <w:rFonts w:ascii="宋体" w:hAnsi="宋体"/>
          <w:b/>
          <w:color w:val="000000" w:themeColor="text1"/>
          <w:sz w:val="32"/>
          <w:szCs w:val="32"/>
          <w:highlight w:val="none"/>
          <w14:textFill>
            <w14:solidFill>
              <w14:schemeClr w14:val="tx1"/>
            </w14:solidFill>
          </w14:textFill>
        </w:rPr>
      </w:pPr>
    </w:p>
    <w:p w14:paraId="13D95F3F">
      <w:pPr>
        <w:spacing w:line="360" w:lineRule="auto"/>
        <w:rPr>
          <w:rFonts w:ascii="宋体" w:hAnsi="宋体"/>
          <w:b/>
          <w:color w:val="000000" w:themeColor="text1"/>
          <w:sz w:val="32"/>
          <w:szCs w:val="32"/>
          <w:highlight w:val="none"/>
          <w14:textFill>
            <w14:solidFill>
              <w14:schemeClr w14:val="tx1"/>
            </w14:solidFill>
          </w14:textFill>
        </w:rPr>
      </w:pPr>
    </w:p>
    <w:p w14:paraId="43F6918B">
      <w:pPr>
        <w:spacing w:line="360" w:lineRule="auto"/>
        <w:rPr>
          <w:rFonts w:ascii="宋体" w:hAnsi="宋体"/>
          <w:b/>
          <w:color w:val="000000" w:themeColor="text1"/>
          <w:sz w:val="32"/>
          <w:szCs w:val="32"/>
          <w:highlight w:val="none"/>
          <w14:textFill>
            <w14:solidFill>
              <w14:schemeClr w14:val="tx1"/>
            </w14:solidFill>
          </w14:textFill>
        </w:rPr>
      </w:pPr>
    </w:p>
    <w:p w14:paraId="7CDB856B">
      <w:pPr>
        <w:spacing w:line="360" w:lineRule="auto"/>
        <w:rPr>
          <w:rFonts w:ascii="宋体" w:hAnsi="宋体"/>
          <w:b/>
          <w:color w:val="000000" w:themeColor="text1"/>
          <w:sz w:val="32"/>
          <w:szCs w:val="32"/>
          <w:highlight w:val="none"/>
          <w14:textFill>
            <w14:solidFill>
              <w14:schemeClr w14:val="tx1"/>
            </w14:solidFill>
          </w14:textFill>
        </w:rPr>
      </w:pPr>
    </w:p>
    <w:p w14:paraId="08DAA380">
      <w:pPr>
        <w:tabs>
          <w:tab w:val="left" w:pos="3848"/>
        </w:tabs>
        <w:spacing w:before="101" w:line="380" w:lineRule="auto"/>
        <w:ind w:left="2555" w:right="776" w:hanging="1614"/>
        <w:rPr>
          <w:rFonts w:ascii="宋体" w:hAnsi="宋体" w:cs="宋体"/>
          <w:b/>
          <w:bCs/>
          <w:color w:val="000000" w:themeColor="text1"/>
          <w:sz w:val="31"/>
          <w:szCs w:val="31"/>
          <w:highlight w:val="none"/>
          <w14:textFill>
            <w14:solidFill>
              <w14:schemeClr w14:val="tx1"/>
            </w14:solidFill>
          </w14:textFill>
        </w:rPr>
      </w:pPr>
      <w:r>
        <w:rPr>
          <w:rFonts w:ascii="宋体" w:hAnsi="宋体" w:cs="宋体"/>
          <w:b/>
          <w:bCs/>
          <w:color w:val="000000" w:themeColor="text1"/>
          <w:spacing w:val="-4"/>
          <w:sz w:val="31"/>
          <w:szCs w:val="31"/>
          <w:highlight w:val="none"/>
          <w14:textFill>
            <w14:solidFill>
              <w14:schemeClr w14:val="tx1"/>
            </w14:solidFill>
          </w14:textFill>
        </w:rPr>
        <w:t>投标人：</w:t>
      </w:r>
      <w:r>
        <w:rPr>
          <w:rFonts w:ascii="宋体" w:hAnsi="宋体" w:cs="宋体"/>
          <w:b/>
          <w:bCs/>
          <w:color w:val="000000" w:themeColor="text1"/>
          <w:spacing w:val="-4"/>
          <w:sz w:val="31"/>
          <w:szCs w:val="31"/>
          <w:highlight w:val="none"/>
          <w:u w:val="single"/>
          <w14:textFill>
            <w14:solidFill>
              <w14:schemeClr w14:val="tx1"/>
            </w14:solidFill>
          </w14:textFill>
        </w:rPr>
        <w:t xml:space="preserve">           </w:t>
      </w:r>
      <w:r>
        <w:rPr>
          <w:rFonts w:ascii="宋体" w:hAnsi="宋体" w:cs="宋体"/>
          <w:b/>
          <w:bCs/>
          <w:color w:val="000000" w:themeColor="text1"/>
          <w:spacing w:val="-3"/>
          <w:sz w:val="31"/>
          <w:szCs w:val="31"/>
          <w:highlight w:val="none"/>
          <w:u w:val="single"/>
          <w14:textFill>
            <w14:solidFill>
              <w14:schemeClr w14:val="tx1"/>
            </w14:solidFill>
          </w14:textFill>
        </w:rPr>
        <w:t xml:space="preserve"> </w:t>
      </w:r>
      <w:r>
        <w:rPr>
          <w:rFonts w:ascii="宋体" w:hAnsi="宋体" w:cs="宋体"/>
          <w:b/>
          <w:bCs/>
          <w:color w:val="000000" w:themeColor="text1"/>
          <w:spacing w:val="-2"/>
          <w:sz w:val="31"/>
          <w:szCs w:val="31"/>
          <w:highlight w:val="none"/>
          <w:u w:val="single"/>
          <w14:textFill>
            <w14:solidFill>
              <w14:schemeClr w14:val="tx1"/>
            </w14:solidFill>
          </w14:textFill>
        </w:rPr>
        <w:t xml:space="preserve">              </w:t>
      </w:r>
      <w:r>
        <w:rPr>
          <w:rFonts w:ascii="宋体" w:hAnsi="宋体" w:cs="宋体"/>
          <w:b/>
          <w:bCs/>
          <w:color w:val="000000" w:themeColor="text1"/>
          <w:spacing w:val="-2"/>
          <w:sz w:val="31"/>
          <w:szCs w:val="31"/>
          <w:highlight w:val="none"/>
          <w14:textFill>
            <w14:solidFill>
              <w14:schemeClr w14:val="tx1"/>
            </w14:solidFill>
          </w14:textFill>
        </w:rPr>
        <w:t>(盖单位章)</w:t>
      </w:r>
      <w:r>
        <w:rPr>
          <w:rFonts w:ascii="宋体" w:hAnsi="宋体" w:cs="宋体"/>
          <w:b/>
          <w:bCs/>
          <w:color w:val="000000" w:themeColor="text1"/>
          <w:sz w:val="31"/>
          <w:szCs w:val="31"/>
          <w:highlight w:val="none"/>
          <w14:textFill>
            <w14:solidFill>
              <w14:schemeClr w14:val="tx1"/>
            </w14:solidFill>
          </w14:textFill>
        </w:rPr>
        <w:t xml:space="preserve"> </w:t>
      </w:r>
    </w:p>
    <w:p w14:paraId="4A13F82B">
      <w:pPr>
        <w:tabs>
          <w:tab w:val="left" w:pos="3848"/>
        </w:tabs>
        <w:spacing w:before="101" w:line="380" w:lineRule="auto"/>
        <w:ind w:left="2587" w:leftChars="1232" w:right="776" w:firstLine="103" w:firstLineChars="33"/>
        <w:rPr>
          <w:rFonts w:ascii="宋体" w:hAnsi="宋体" w:cs="宋体"/>
          <w:b/>
          <w:bCs/>
          <w:color w:val="000000" w:themeColor="text1"/>
          <w:sz w:val="31"/>
          <w:szCs w:val="31"/>
          <w:highlight w:val="none"/>
          <w14:textFill>
            <w14:solidFill>
              <w14:schemeClr w14:val="tx1"/>
            </w14:solidFill>
          </w14:textFill>
        </w:rPr>
      </w:pPr>
      <w:r>
        <w:rPr>
          <w:rFonts w:ascii="宋体" w:hAnsi="宋体" w:cs="宋体"/>
          <w:b/>
          <w:bCs/>
          <w:color w:val="000000" w:themeColor="text1"/>
          <w:sz w:val="31"/>
          <w:szCs w:val="31"/>
          <w:highlight w:val="none"/>
          <w:u w:val="single"/>
          <w14:textFill>
            <w14:solidFill>
              <w14:schemeClr w14:val="tx1"/>
            </w14:solidFill>
          </w14:textFill>
        </w:rPr>
        <w:tab/>
      </w:r>
      <w:r>
        <w:rPr>
          <w:rFonts w:ascii="宋体" w:hAnsi="宋体" w:cs="宋体"/>
          <w:b/>
          <w:bCs/>
          <w:color w:val="000000" w:themeColor="text1"/>
          <w:spacing w:val="-2"/>
          <w:sz w:val="31"/>
          <w:szCs w:val="31"/>
          <w:highlight w:val="none"/>
          <w14:textFill>
            <w14:solidFill>
              <w14:schemeClr w14:val="tx1"/>
            </w14:solidFill>
          </w14:textFill>
        </w:rPr>
        <w:t>年</w:t>
      </w:r>
      <w:r>
        <w:rPr>
          <w:rFonts w:ascii="宋体" w:hAnsi="宋体" w:cs="宋体"/>
          <w:b/>
          <w:bCs/>
          <w:color w:val="000000" w:themeColor="text1"/>
          <w:spacing w:val="-2"/>
          <w:sz w:val="31"/>
          <w:szCs w:val="31"/>
          <w:highlight w:val="none"/>
          <w:u w:val="single"/>
          <w14:textFill>
            <w14:solidFill>
              <w14:schemeClr w14:val="tx1"/>
            </w14:solidFill>
          </w14:textFill>
        </w:rPr>
        <w:t xml:space="preserve">   </w:t>
      </w:r>
      <w:r>
        <w:rPr>
          <w:rFonts w:ascii="宋体" w:hAnsi="宋体" w:cs="宋体"/>
          <w:b/>
          <w:bCs/>
          <w:color w:val="000000" w:themeColor="text1"/>
          <w:spacing w:val="-1"/>
          <w:sz w:val="31"/>
          <w:szCs w:val="31"/>
          <w:highlight w:val="none"/>
          <w:u w:val="single"/>
          <w14:textFill>
            <w14:solidFill>
              <w14:schemeClr w14:val="tx1"/>
            </w14:solidFill>
          </w14:textFill>
        </w:rPr>
        <w:t xml:space="preserve">   </w:t>
      </w:r>
      <w:r>
        <w:rPr>
          <w:rFonts w:ascii="宋体" w:hAnsi="宋体" w:cs="宋体"/>
          <w:b/>
          <w:bCs/>
          <w:color w:val="000000" w:themeColor="text1"/>
          <w:spacing w:val="-1"/>
          <w:sz w:val="31"/>
          <w:szCs w:val="31"/>
          <w:highlight w:val="none"/>
          <w14:textFill>
            <w14:solidFill>
              <w14:schemeClr w14:val="tx1"/>
            </w14:solidFill>
          </w14:textFill>
        </w:rPr>
        <w:t>月</w:t>
      </w:r>
      <w:r>
        <w:rPr>
          <w:rFonts w:ascii="宋体" w:hAnsi="宋体" w:cs="宋体"/>
          <w:b/>
          <w:bCs/>
          <w:color w:val="000000" w:themeColor="text1"/>
          <w:spacing w:val="-1"/>
          <w:sz w:val="31"/>
          <w:szCs w:val="31"/>
          <w:highlight w:val="none"/>
          <w:u w:val="single"/>
          <w14:textFill>
            <w14:solidFill>
              <w14:schemeClr w14:val="tx1"/>
            </w14:solidFill>
          </w14:textFill>
        </w:rPr>
        <w:t xml:space="preserve">      </w:t>
      </w:r>
      <w:r>
        <w:rPr>
          <w:rFonts w:ascii="宋体" w:hAnsi="宋体" w:cs="宋体"/>
          <w:b/>
          <w:bCs/>
          <w:color w:val="000000" w:themeColor="text1"/>
          <w:spacing w:val="-1"/>
          <w:sz w:val="31"/>
          <w:szCs w:val="31"/>
          <w:highlight w:val="none"/>
          <w14:textFill>
            <w14:solidFill>
              <w14:schemeClr w14:val="tx1"/>
            </w14:solidFill>
          </w14:textFill>
        </w:rPr>
        <w:t xml:space="preserve"> 日</w:t>
      </w:r>
    </w:p>
    <w:p w14:paraId="3D51CFA3">
      <w:pPr>
        <w:rPr>
          <w:b/>
          <w:bCs/>
          <w:color w:val="000000" w:themeColor="text1"/>
          <w:highlight w:val="none"/>
          <w14:textFill>
            <w14:solidFill>
              <w14:schemeClr w14:val="tx1"/>
            </w14:solidFill>
          </w14:textFill>
        </w:rPr>
        <w:sectPr>
          <w:headerReference r:id="rId9" w:type="default"/>
          <w:footerReference r:id="rId10" w:type="default"/>
          <w:pgSz w:w="11900" w:h="16839"/>
          <w:pgMar w:top="947" w:right="1125" w:bottom="1134" w:left="1420" w:header="707" w:footer="974" w:gutter="0"/>
          <w:pgNumType w:fmt="decimal"/>
          <w:cols w:space="720" w:num="1"/>
        </w:sectPr>
      </w:pPr>
    </w:p>
    <w:p w14:paraId="6DCCD15D">
      <w:pPr>
        <w:spacing w:line="360" w:lineRule="auto"/>
        <w:ind w:firstLine="4498" w:firstLineChars="1400"/>
        <w:rPr>
          <w:rFonts w:ascii="宋体" w:hAnsi="宋体"/>
          <w:b/>
          <w:color w:val="000000" w:themeColor="text1"/>
          <w:sz w:val="32"/>
          <w:szCs w:val="32"/>
          <w:highlight w:val="none"/>
          <w14:textFill>
            <w14:solidFill>
              <w14:schemeClr w14:val="tx1"/>
            </w14:solidFill>
          </w14:textFill>
        </w:rPr>
      </w:pPr>
    </w:p>
    <w:p w14:paraId="5525CE99">
      <w:pPr>
        <w:spacing w:line="360" w:lineRule="auto"/>
        <w:jc w:val="center"/>
        <w:rPr>
          <w:rFonts w:ascii="宋体" w:hAnsi="宋体"/>
          <w:b/>
          <w:color w:val="000000" w:themeColor="text1"/>
          <w:sz w:val="36"/>
          <w:szCs w:val="36"/>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r>
      <w:r>
        <w:rPr>
          <w:rFonts w:hint="eastAsia" w:ascii="宋体" w:hAnsi="宋体"/>
          <w:b/>
          <w:color w:val="000000" w:themeColor="text1"/>
          <w:sz w:val="36"/>
          <w:szCs w:val="36"/>
          <w:highlight w:val="none"/>
          <w14:textFill>
            <w14:solidFill>
              <w14:schemeClr w14:val="tx1"/>
            </w14:solidFill>
          </w14:textFill>
        </w:rPr>
        <w:t xml:space="preserve">目  </w:t>
      </w:r>
      <w:r>
        <w:rPr>
          <w:rFonts w:hint="eastAsia" w:ascii="宋体" w:hAnsi="宋体"/>
          <w:b/>
          <w:color w:val="000000" w:themeColor="text1"/>
          <w:sz w:val="36"/>
          <w:szCs w:val="36"/>
          <w:highlight w:val="none"/>
          <w14:textFill>
            <w14:solidFill>
              <w14:schemeClr w14:val="tx1"/>
            </w14:solidFill>
          </w14:textFill>
        </w:rPr>
        <w:tab/>
      </w:r>
      <w:r>
        <w:rPr>
          <w:rFonts w:hint="eastAsia" w:ascii="宋体" w:hAnsi="宋体"/>
          <w:b/>
          <w:color w:val="000000" w:themeColor="text1"/>
          <w:sz w:val="36"/>
          <w:szCs w:val="36"/>
          <w:highlight w:val="none"/>
          <w14:textFill>
            <w14:solidFill>
              <w14:schemeClr w14:val="tx1"/>
            </w14:solidFill>
          </w14:textFill>
        </w:rPr>
        <w:t>录</w:t>
      </w:r>
    </w:p>
    <w:p w14:paraId="14CC594B">
      <w:pPr>
        <w:pStyle w:val="56"/>
        <w:rPr>
          <w:color w:val="000000" w:themeColor="text1"/>
          <w:highlight w:val="none"/>
          <w14:textFill>
            <w14:solidFill>
              <w14:schemeClr w14:val="tx1"/>
            </w14:solidFill>
          </w14:textFill>
        </w:rPr>
      </w:pPr>
    </w:p>
    <w:p w14:paraId="08197374">
      <w:pPr>
        <w:spacing w:line="48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第一信封</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商务及技术文件</w:t>
      </w:r>
      <w:r>
        <w:rPr>
          <w:rFonts w:hint="eastAsia"/>
          <w:color w:val="000000" w:themeColor="text1"/>
          <w:sz w:val="24"/>
          <w:highlight w:val="none"/>
          <w14:textFill>
            <w14:solidFill>
              <w14:schemeClr w14:val="tx1"/>
            </w14:solidFill>
          </w14:textFill>
        </w:rPr>
        <w:t>）</w:t>
      </w:r>
    </w:p>
    <w:p w14:paraId="723A8CD9">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一、投标函及投标函附录</w:t>
      </w:r>
    </w:p>
    <w:p w14:paraId="44EFF187">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二、授权委托书或法定代表人身份证明</w:t>
      </w:r>
    </w:p>
    <w:p w14:paraId="1EFDCD26">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三、投标保证金</w:t>
      </w:r>
    </w:p>
    <w:p w14:paraId="5C380F72">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四、施工组织设计</w:t>
      </w:r>
    </w:p>
    <w:p w14:paraId="77857B35">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五、项目管理机构</w:t>
      </w:r>
    </w:p>
    <w:p w14:paraId="182982D6">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六、拟分包项目情况表</w:t>
      </w:r>
    </w:p>
    <w:p w14:paraId="4C87053F">
      <w:pPr>
        <w:spacing w:line="480" w:lineRule="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七、资格审查资料</w:t>
      </w:r>
    </w:p>
    <w:p w14:paraId="17A1E92B">
      <w:pPr>
        <w:spacing w:line="480" w:lineRule="auto"/>
        <w:rPr>
          <w:rFonts w:cs="Calibri"/>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八、其他资料</w:t>
      </w:r>
    </w:p>
    <w:p w14:paraId="157E3EF2">
      <w:pPr>
        <w:adjustRightInd w:val="0"/>
        <w:snapToGrid w:val="0"/>
        <w:spacing w:line="360" w:lineRule="auto"/>
        <w:jc w:val="center"/>
        <w:rPr>
          <w:rFonts w:ascii="宋体" w:hAnsi="宋体"/>
          <w:b/>
          <w:color w:val="000000" w:themeColor="text1"/>
          <w:sz w:val="28"/>
          <w:szCs w:val="28"/>
          <w:highlight w:val="none"/>
          <w14:textFill>
            <w14:solidFill>
              <w14:schemeClr w14:val="tx1"/>
            </w14:solidFill>
          </w14:textFill>
        </w:rPr>
      </w:pPr>
      <w:bookmarkStart w:id="1757" w:name="_Toc234382957"/>
      <w:bookmarkEnd w:id="1757"/>
      <w:r>
        <w:rPr>
          <w:rFonts w:hint="eastAsia" w:ascii="宋体" w:hAnsi="宋体"/>
          <w:color w:val="000000" w:themeColor="text1"/>
          <w:sz w:val="24"/>
          <w:highlight w:val="none"/>
          <w14:textFill>
            <w14:solidFill>
              <w14:schemeClr w14:val="tx1"/>
            </w14:solidFill>
          </w14:textFill>
        </w:rPr>
        <w:br w:type="page"/>
      </w:r>
      <w:r>
        <w:rPr>
          <w:rFonts w:ascii="宋体" w:hAnsi="宋体"/>
          <w:b/>
          <w:color w:val="000000" w:themeColor="text1"/>
          <w:sz w:val="28"/>
          <w:szCs w:val="28"/>
          <w:highlight w:val="none"/>
          <w14:textFill>
            <w14:solidFill>
              <w14:schemeClr w14:val="tx1"/>
            </w14:solidFill>
          </w14:textFill>
        </w:rPr>
        <w:t>一、投标函及投标函附录</w:t>
      </w:r>
    </w:p>
    <w:p w14:paraId="6EA10435">
      <w:pPr>
        <w:jc w:val="center"/>
        <w:rPr>
          <w:rFonts w:ascii="宋体" w:hAnsi="宋体"/>
          <w:b/>
          <w:color w:val="000000" w:themeColor="text1"/>
          <w:sz w:val="28"/>
          <w:szCs w:val="28"/>
          <w:highlight w:val="none"/>
          <w14:textFill>
            <w14:solidFill>
              <w14:schemeClr w14:val="tx1"/>
            </w14:solidFill>
          </w14:textFill>
        </w:rPr>
      </w:pPr>
      <w:bookmarkStart w:id="1758" w:name="_Toc234382958"/>
      <w:bookmarkEnd w:id="1758"/>
      <w:r>
        <w:rPr>
          <w:rFonts w:ascii="宋体" w:hAnsi="宋体"/>
          <w:b/>
          <w:color w:val="000000" w:themeColor="text1"/>
          <w:sz w:val="28"/>
          <w:szCs w:val="28"/>
          <w:highlight w:val="none"/>
          <w14:textFill>
            <w14:solidFill>
              <w14:schemeClr w14:val="tx1"/>
            </w14:solidFill>
          </w14:textFill>
        </w:rPr>
        <w:t>（一）投  标  函</w:t>
      </w:r>
    </w:p>
    <w:p w14:paraId="23761D23">
      <w:pPr>
        <w:spacing w:line="360" w:lineRule="exact"/>
        <w:rPr>
          <w:rFonts w:ascii="宋体" w:hAnsi="宋体"/>
          <w:color w:val="000000" w:themeColor="text1"/>
          <w:sz w:val="24"/>
          <w:highlight w:val="none"/>
          <w14:textFill>
            <w14:solidFill>
              <w14:schemeClr w14:val="tx1"/>
            </w14:solidFill>
          </w14:textFill>
        </w:rPr>
      </w:pPr>
    </w:p>
    <w:p w14:paraId="20CBA86A">
      <w:pPr>
        <w:spacing w:line="360" w:lineRule="exact"/>
        <w:ind w:left="0" w:leftChars="0" w:firstLine="0" w:firstLineChars="0"/>
        <w:rPr>
          <w:rFonts w:ascii="宋体" w:hAnsi="宋体"/>
          <w:color w:val="000000" w:themeColor="text1"/>
          <w:szCs w:val="21"/>
          <w:highlight w:val="none"/>
          <w:u w:val="single"/>
          <w14:textFill>
            <w14:solidFill>
              <w14:schemeClr w14:val="tx1"/>
            </w14:solidFill>
          </w14:textFill>
        </w:rPr>
      </w:pPr>
      <w:r>
        <w:rPr>
          <w:rFonts w:ascii="宋体" w:hAnsi="宋体"/>
          <w:color w:val="000000" w:themeColor="text1"/>
          <w:szCs w:val="21"/>
          <w:highlight w:val="none"/>
          <w:u w:val="single"/>
          <w14:textFill>
            <w14:solidFill>
              <w14:schemeClr w14:val="tx1"/>
            </w14:solidFill>
          </w14:textFill>
        </w:rPr>
        <w:t>（招标人名称）：</w:t>
      </w:r>
    </w:p>
    <w:p w14:paraId="36A9AA1D">
      <w:pPr>
        <w:spacing w:line="360" w:lineRule="exact"/>
        <w:rPr>
          <w:rFonts w:ascii="宋体" w:hAnsi="宋体"/>
          <w:color w:val="000000" w:themeColor="text1"/>
          <w:szCs w:val="21"/>
          <w:highlight w:val="none"/>
          <w14:textFill>
            <w14:solidFill>
              <w14:schemeClr w14:val="tx1"/>
            </w14:solidFill>
          </w14:textFill>
        </w:rPr>
      </w:pPr>
    </w:p>
    <w:p w14:paraId="3A93D250">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1.我方已仔细研究了</w:t>
      </w:r>
      <w:r>
        <w:rPr>
          <w:rFonts w:ascii="宋体" w:hAnsi="宋体"/>
          <w:color w:val="000000" w:themeColor="text1"/>
          <w:szCs w:val="21"/>
          <w:highlight w:val="none"/>
          <w:u w:val="single"/>
          <w14:textFill>
            <w14:solidFill>
              <w14:schemeClr w14:val="tx1"/>
            </w14:solidFill>
          </w14:textFill>
        </w:rPr>
        <w:t xml:space="preserve">        （项目名称）    </w:t>
      </w:r>
      <w:r>
        <w:rPr>
          <w:rFonts w:hint="eastAsia" w:ascii="宋体" w:hAnsi="宋体"/>
          <w:color w:val="000000" w:themeColor="text1"/>
          <w:szCs w:val="21"/>
          <w:highlight w:val="none"/>
          <w14:textFill>
            <w14:solidFill>
              <w14:schemeClr w14:val="tx1"/>
            </w14:solidFill>
          </w14:textFill>
        </w:rPr>
        <w:t>施工招标</w:t>
      </w:r>
      <w:r>
        <w:rPr>
          <w:rFonts w:ascii="宋体" w:hAnsi="宋体"/>
          <w:color w:val="000000" w:themeColor="text1"/>
          <w:szCs w:val="21"/>
          <w:highlight w:val="none"/>
          <w14:textFill>
            <w14:solidFill>
              <w14:schemeClr w14:val="tx1"/>
            </w14:solidFill>
          </w14:textFill>
        </w:rPr>
        <w:t>文件的全部内容（含补遗书第</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号至第</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号），在考察工程现场后，</w:t>
      </w:r>
      <w:r>
        <w:rPr>
          <w:rFonts w:hint="eastAsia" w:ascii="宋体" w:hAnsi="宋体"/>
          <w:color w:val="000000" w:themeColor="text1"/>
          <w:szCs w:val="21"/>
          <w:highlight w:val="none"/>
          <w14:textFill>
            <w14:solidFill>
              <w14:schemeClr w14:val="tx1"/>
            </w14:solidFill>
          </w14:textFill>
        </w:rPr>
        <w:t>愿意以第二个信封</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报价文件</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中的投标总报价</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或根据招标文件规定修正核实后确定的另一金额</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按合同约定实施和完成承包工程</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修补工程中的任何缺陷。</w:t>
      </w:r>
    </w:p>
    <w:p w14:paraId="096AB008">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我方承诺在招标文件规定的投标有效期内不撤销投标文件。</w:t>
      </w:r>
    </w:p>
    <w:p w14:paraId="5456EEEE">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工程质量</w:t>
      </w:r>
      <w:r>
        <w:rPr>
          <w:rFonts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，安全目标：</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，工期</w:t>
      </w:r>
      <w:r>
        <w:rPr>
          <w:rFonts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日历天。</w:t>
      </w:r>
    </w:p>
    <w:p w14:paraId="35353CDA">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如我方中标，我方承诺</w:t>
      </w:r>
      <w:r>
        <w:rPr>
          <w:rFonts w:ascii="宋体" w:hAnsi="宋体"/>
          <w:color w:val="000000" w:themeColor="text1"/>
          <w:szCs w:val="21"/>
          <w:highlight w:val="none"/>
          <w14:textFill>
            <w14:solidFill>
              <w14:schemeClr w14:val="tx1"/>
            </w14:solidFill>
          </w14:textFill>
        </w:rPr>
        <w:t>：</w:t>
      </w:r>
    </w:p>
    <w:p w14:paraId="6B6DB9E5">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在收到中标通知书后</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在规定的期限内与你方签订合同；</w:t>
      </w:r>
    </w:p>
    <w:p w14:paraId="10585306">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在签订合同时不向你方提出附加条件；</w:t>
      </w:r>
    </w:p>
    <w:p w14:paraId="64BFF229">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按照招标文件要求提交履约保证金；</w:t>
      </w:r>
    </w:p>
    <w:p w14:paraId="2A298C06">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在合同约定的期限内完成合同规定的全部义务；</w:t>
      </w:r>
    </w:p>
    <w:p w14:paraId="7FDDE076">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在你方和我方进行合同谈判之前，我方将按照合同附件提出的最低要求填报派驻本标段的其他管理和技术人员及主要设备，经你方审批后作为派驻本标段的项目管理机构主要人员和主要设备且不进行更换。如我方拟派的人员和设备不满足合同附件要求，你方有权取消我方中标资格。</w:t>
      </w:r>
    </w:p>
    <w:p w14:paraId="2C04B823">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5.我方在此声明，所递交的投标文件及有关资料内容完整、真实和准确，且不存在招标文件第二章“投标人须知”第 1.4.3 项和第 1.4.4 项规定的任何一种情形。</w:t>
      </w:r>
    </w:p>
    <w:p w14:paraId="75BDDFF2">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我方在此承诺：拟投入本项目的项目经理（包括备选人，如有）及项目总工（包括备选人，如有）无在岗项目（指目前未在其他项目上任职，或虽在其他项目上任职但本项目中标后能够从该项目撤离），否则自愿按照招标人的有关规定接受处理。</w:t>
      </w:r>
    </w:p>
    <w:p w14:paraId="6DD9E631">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7.我方在此承诺：权利义务满足招标文件规定。</w:t>
      </w:r>
    </w:p>
    <w:p w14:paraId="039EF8EA">
      <w:pPr>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8.在合同协议书正式签署生效之前，本投标函连同你方的中标通知书将构成我们双方之间共同遵守的文件，对双方具有约束力。</w:t>
      </w:r>
    </w:p>
    <w:p w14:paraId="39B2872B">
      <w:pPr>
        <w:spacing w:line="36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9.</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（其他补充说明）。</w:t>
      </w:r>
    </w:p>
    <w:p w14:paraId="0DB6799B">
      <w:pPr>
        <w:pStyle w:val="16"/>
        <w:rPr>
          <w:rFonts w:ascii="宋体" w:hAnsi="宋体"/>
          <w:color w:val="000000" w:themeColor="text1"/>
          <w:szCs w:val="21"/>
          <w:highlight w:val="none"/>
          <w14:textFill>
            <w14:solidFill>
              <w14:schemeClr w14:val="tx1"/>
            </w14:solidFill>
          </w14:textFill>
        </w:rPr>
      </w:pPr>
    </w:p>
    <w:p w14:paraId="32EA2D07">
      <w:pPr>
        <w:pStyle w:val="16"/>
        <w:rPr>
          <w:rFonts w:ascii="宋体" w:hAnsi="宋体"/>
          <w:color w:val="000000" w:themeColor="text1"/>
          <w:szCs w:val="21"/>
          <w:highlight w:val="none"/>
          <w14:textFill>
            <w14:solidFill>
              <w14:schemeClr w14:val="tx1"/>
            </w14:solidFill>
          </w14:textFill>
        </w:rPr>
      </w:pPr>
    </w:p>
    <w:p w14:paraId="0882E3FB">
      <w:pPr>
        <w:tabs>
          <w:tab w:val="left" w:pos="2977"/>
          <w:tab w:val="left" w:pos="3261"/>
        </w:tabs>
        <w:spacing w:line="36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 标 人：</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（盖单位章）</w:t>
      </w:r>
    </w:p>
    <w:p w14:paraId="2BF3D98C">
      <w:pPr>
        <w:spacing w:line="360" w:lineRule="atLeas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法定代表人或其委托代理人：</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（签字）</w:t>
      </w:r>
    </w:p>
    <w:p w14:paraId="2830BEA6">
      <w:pPr>
        <w:spacing w:line="360" w:lineRule="atLeas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地址：</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7875B923">
      <w:pPr>
        <w:spacing w:line="360" w:lineRule="atLeas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网址：</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6E56CDF8">
      <w:pPr>
        <w:spacing w:line="360" w:lineRule="atLeas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电话：</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49C671DA">
      <w:pPr>
        <w:spacing w:line="36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传真：</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43E602E7">
      <w:pPr>
        <w:spacing w:line="360" w:lineRule="exac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邮政编码：</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2A0AB4BB">
      <w:pPr>
        <w:spacing w:line="360" w:lineRule="exact"/>
        <w:rPr>
          <w:rFonts w:ascii="宋体" w:hAnsi="宋体"/>
          <w:color w:val="000000" w:themeColor="text1"/>
          <w:szCs w:val="21"/>
          <w:highlight w:val="none"/>
          <w14:textFill>
            <w14:solidFill>
              <w14:schemeClr w14:val="tx1"/>
            </w14:solidFill>
          </w14:textFill>
        </w:rPr>
      </w:pPr>
    </w:p>
    <w:p w14:paraId="2EFCDA5C">
      <w:pPr>
        <w:spacing w:line="360" w:lineRule="exact"/>
        <w:ind w:firstLine="3780" w:firstLineChars="1800"/>
        <w:rPr>
          <w:rFonts w:ascii="宋体" w:hAnsi="宋体"/>
          <w:color w:val="000000" w:themeColor="text1"/>
          <w:sz w:val="24"/>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日</w:t>
      </w:r>
    </w:p>
    <w:p w14:paraId="60E93EC4">
      <w:pPr>
        <w:jc w:val="center"/>
        <w:rPr>
          <w:rFonts w:ascii="宋体" w:hAnsi="宋体"/>
          <w:color w:val="000000" w:themeColor="text1"/>
          <w:sz w:val="24"/>
          <w:highlight w:val="none"/>
          <w14:textFill>
            <w14:solidFill>
              <w14:schemeClr w14:val="tx1"/>
            </w14:solidFill>
          </w14:textFill>
        </w:rPr>
      </w:pPr>
      <w:bookmarkStart w:id="1759" w:name="_Toc234382959"/>
      <w:bookmarkEnd w:id="1759"/>
      <w:r>
        <w:rPr>
          <w:rFonts w:ascii="宋体" w:hAnsi="宋体"/>
          <w:b/>
          <w:color w:val="000000" w:themeColor="text1"/>
          <w:sz w:val="28"/>
          <w:szCs w:val="28"/>
          <w:highlight w:val="none"/>
          <w14:textFill>
            <w14:solidFill>
              <w14:schemeClr w14:val="tx1"/>
            </w14:solidFill>
          </w14:textFill>
        </w:rPr>
        <w:br w:type="page"/>
      </w:r>
      <w:r>
        <w:rPr>
          <w:rFonts w:ascii="宋体" w:hAnsi="宋体"/>
          <w:b/>
          <w:color w:val="000000" w:themeColor="text1"/>
          <w:sz w:val="28"/>
          <w:szCs w:val="28"/>
          <w:highlight w:val="none"/>
          <w14:textFill>
            <w14:solidFill>
              <w14:schemeClr w14:val="tx1"/>
            </w14:solidFill>
          </w14:textFill>
        </w:rPr>
        <w:t>（二）投标函附录</w:t>
      </w:r>
    </w:p>
    <w:tbl>
      <w:tblPr>
        <w:tblStyle w:val="43"/>
        <w:tblW w:w="95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0"/>
        <w:gridCol w:w="2682"/>
        <w:gridCol w:w="1411"/>
        <w:gridCol w:w="3671"/>
        <w:gridCol w:w="1185"/>
      </w:tblGrid>
      <w:tr w14:paraId="07856C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650" w:type="dxa"/>
            <w:vAlign w:val="center"/>
          </w:tcPr>
          <w:p w14:paraId="66CF879A">
            <w:pPr>
              <w:keepNext w:val="0"/>
              <w:keepLines w:val="0"/>
              <w:suppressLineNumbers w:val="0"/>
              <w:spacing w:before="0" w:beforeAutospacing="0" w:after="0" w:afterAutospacing="0"/>
              <w:ind w:left="0" w:right="0"/>
              <w:jc w:val="center"/>
              <w:rPr>
                <w:rFonts w:hint="default" w:ascii="Calibri" w:hAnsi="Calibri"/>
                <w:b/>
                <w:color w:val="000000" w:themeColor="text1"/>
                <w:szCs w:val="21"/>
                <w:highlight w:val="none"/>
                <w14:textFill>
                  <w14:solidFill>
                    <w14:schemeClr w14:val="tx1"/>
                  </w14:solidFill>
                </w14:textFill>
              </w:rPr>
            </w:pPr>
            <w:r>
              <w:rPr>
                <w:rFonts w:hint="default" w:ascii="宋体" w:hAnsi="宋体"/>
                <w:b/>
                <w:color w:val="000000" w:themeColor="text1"/>
                <w:szCs w:val="21"/>
                <w:highlight w:val="none"/>
                <w14:textFill>
                  <w14:solidFill>
                    <w14:schemeClr w14:val="tx1"/>
                  </w14:solidFill>
                </w14:textFill>
              </w:rPr>
              <w:t>序号</w:t>
            </w:r>
          </w:p>
        </w:tc>
        <w:tc>
          <w:tcPr>
            <w:tcW w:w="2682" w:type="dxa"/>
            <w:vAlign w:val="center"/>
          </w:tcPr>
          <w:p w14:paraId="70F05A79">
            <w:pPr>
              <w:keepNext w:val="0"/>
              <w:keepLines w:val="0"/>
              <w:suppressLineNumbers w:val="0"/>
              <w:spacing w:before="0" w:beforeAutospacing="0" w:after="0" w:afterAutospacing="0"/>
              <w:ind w:left="0" w:right="0"/>
              <w:jc w:val="center"/>
              <w:rPr>
                <w:rFonts w:hint="default" w:ascii="Calibri" w:hAnsi="Calibri"/>
                <w:b/>
                <w:color w:val="000000" w:themeColor="text1"/>
                <w:szCs w:val="21"/>
                <w:highlight w:val="none"/>
                <w14:textFill>
                  <w14:solidFill>
                    <w14:schemeClr w14:val="tx1"/>
                  </w14:solidFill>
                </w14:textFill>
              </w:rPr>
            </w:pPr>
            <w:r>
              <w:rPr>
                <w:rFonts w:hint="default" w:ascii="宋体" w:hAnsi="宋体"/>
                <w:b/>
                <w:color w:val="000000" w:themeColor="text1"/>
                <w:szCs w:val="21"/>
                <w:highlight w:val="none"/>
                <w14:textFill>
                  <w14:solidFill>
                    <w14:schemeClr w14:val="tx1"/>
                  </w14:solidFill>
                </w14:textFill>
              </w:rPr>
              <w:t>条款名称</w:t>
            </w:r>
          </w:p>
        </w:tc>
        <w:tc>
          <w:tcPr>
            <w:tcW w:w="1411" w:type="dxa"/>
            <w:vAlign w:val="center"/>
          </w:tcPr>
          <w:p w14:paraId="6B3D8E23">
            <w:pPr>
              <w:keepNext w:val="0"/>
              <w:keepLines w:val="0"/>
              <w:suppressLineNumbers w:val="0"/>
              <w:spacing w:before="0" w:beforeAutospacing="0" w:after="0" w:afterAutospacing="0"/>
              <w:ind w:left="0" w:right="0"/>
              <w:jc w:val="center"/>
              <w:rPr>
                <w:rFonts w:hint="default" w:ascii="Calibri" w:hAnsi="Calibri"/>
                <w:b/>
                <w:color w:val="000000" w:themeColor="text1"/>
                <w:szCs w:val="21"/>
                <w:highlight w:val="none"/>
                <w14:textFill>
                  <w14:solidFill>
                    <w14:schemeClr w14:val="tx1"/>
                  </w14:solidFill>
                </w14:textFill>
              </w:rPr>
            </w:pPr>
            <w:r>
              <w:rPr>
                <w:rFonts w:hint="default" w:ascii="宋体" w:hAnsi="宋体"/>
                <w:b/>
                <w:color w:val="000000" w:themeColor="text1"/>
                <w:szCs w:val="21"/>
                <w:highlight w:val="none"/>
                <w14:textFill>
                  <w14:solidFill>
                    <w14:schemeClr w14:val="tx1"/>
                  </w14:solidFill>
                </w14:textFill>
              </w:rPr>
              <w:t>合同条目号</w:t>
            </w:r>
          </w:p>
        </w:tc>
        <w:tc>
          <w:tcPr>
            <w:tcW w:w="3671" w:type="dxa"/>
            <w:vAlign w:val="center"/>
          </w:tcPr>
          <w:p w14:paraId="1B2F0E7B">
            <w:pPr>
              <w:keepNext w:val="0"/>
              <w:keepLines w:val="0"/>
              <w:suppressLineNumbers w:val="0"/>
              <w:spacing w:before="0" w:beforeAutospacing="0" w:after="0" w:afterAutospacing="0"/>
              <w:ind w:left="0" w:right="0"/>
              <w:jc w:val="center"/>
              <w:rPr>
                <w:rFonts w:hint="default" w:ascii="Calibri" w:hAnsi="Calibri"/>
                <w:b/>
                <w:color w:val="000000" w:themeColor="text1"/>
                <w:szCs w:val="21"/>
                <w:highlight w:val="none"/>
                <w14:textFill>
                  <w14:solidFill>
                    <w14:schemeClr w14:val="tx1"/>
                  </w14:solidFill>
                </w14:textFill>
              </w:rPr>
            </w:pPr>
            <w:r>
              <w:rPr>
                <w:rFonts w:hint="default" w:ascii="宋体" w:hAnsi="宋体"/>
                <w:b/>
                <w:color w:val="000000" w:themeColor="text1"/>
                <w:szCs w:val="21"/>
                <w:highlight w:val="none"/>
                <w14:textFill>
                  <w14:solidFill>
                    <w14:schemeClr w14:val="tx1"/>
                  </w14:solidFill>
                </w14:textFill>
              </w:rPr>
              <w:t>约定内容</w:t>
            </w:r>
          </w:p>
        </w:tc>
        <w:tc>
          <w:tcPr>
            <w:tcW w:w="1185" w:type="dxa"/>
            <w:vAlign w:val="center"/>
          </w:tcPr>
          <w:p w14:paraId="0DEBF78D">
            <w:pPr>
              <w:keepNext w:val="0"/>
              <w:keepLines w:val="0"/>
              <w:suppressLineNumbers w:val="0"/>
              <w:spacing w:before="0" w:beforeAutospacing="0" w:after="0" w:afterAutospacing="0"/>
              <w:ind w:left="0" w:right="0"/>
              <w:jc w:val="center"/>
              <w:rPr>
                <w:rFonts w:hint="default" w:ascii="Calibri" w:hAnsi="Calibri"/>
                <w:b/>
                <w:color w:val="000000" w:themeColor="text1"/>
                <w:szCs w:val="21"/>
                <w:highlight w:val="none"/>
                <w14:textFill>
                  <w14:solidFill>
                    <w14:schemeClr w14:val="tx1"/>
                  </w14:solidFill>
                </w14:textFill>
              </w:rPr>
            </w:pPr>
            <w:r>
              <w:rPr>
                <w:rFonts w:hint="default" w:ascii="宋体" w:hAnsi="宋体"/>
                <w:b/>
                <w:color w:val="000000" w:themeColor="text1"/>
                <w:szCs w:val="21"/>
                <w:highlight w:val="none"/>
                <w14:textFill>
                  <w14:solidFill>
                    <w14:schemeClr w14:val="tx1"/>
                  </w14:solidFill>
                </w14:textFill>
              </w:rPr>
              <w:t>备注</w:t>
            </w:r>
          </w:p>
        </w:tc>
      </w:tr>
      <w:tr w14:paraId="4BECC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33C4C5ED">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w:t>
            </w:r>
          </w:p>
        </w:tc>
        <w:tc>
          <w:tcPr>
            <w:tcW w:w="2682" w:type="dxa"/>
            <w:vAlign w:val="center"/>
          </w:tcPr>
          <w:p w14:paraId="6BAEB668">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缺陷责任期</w:t>
            </w:r>
          </w:p>
        </w:tc>
        <w:tc>
          <w:tcPr>
            <w:tcW w:w="1411" w:type="dxa"/>
            <w:vAlign w:val="center"/>
          </w:tcPr>
          <w:p w14:paraId="7198DDC5">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1.1.4.5</w:t>
            </w:r>
          </w:p>
        </w:tc>
        <w:tc>
          <w:tcPr>
            <w:tcW w:w="3671" w:type="dxa"/>
            <w:vAlign w:val="center"/>
          </w:tcPr>
          <w:p w14:paraId="171BE19A">
            <w:pPr>
              <w:keepNext w:val="0"/>
              <w:keepLines w:val="0"/>
              <w:suppressLineNumbers w:val="0"/>
              <w:spacing w:before="0" w:beforeAutospacing="0" w:after="0" w:afterAutospacing="0"/>
              <w:ind w:left="0" w:right="0"/>
              <w:rPr>
                <w:rFonts w:hint="eastAsia" w:ascii="Calibri" w:hAnsi="Calibri" w:eastAsia="宋体"/>
                <w:color w:val="000000" w:themeColor="text1"/>
                <w:szCs w:val="21"/>
                <w:highlight w:val="none"/>
                <w:lang w:eastAsia="zh-CN"/>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自实际</w:t>
            </w:r>
            <w:r>
              <w:rPr>
                <w:rFonts w:hint="eastAsia" w:ascii="宋体" w:hAnsi="宋体"/>
                <w:color w:val="000000" w:themeColor="text1"/>
                <w:szCs w:val="21"/>
                <w:highlight w:val="none"/>
                <w14:textFill>
                  <w14:solidFill>
                    <w14:schemeClr w14:val="tx1"/>
                  </w14:solidFill>
                </w14:textFill>
              </w:rPr>
              <w:t>交工</w:t>
            </w:r>
            <w:r>
              <w:rPr>
                <w:rFonts w:hint="default" w:ascii="宋体" w:hAnsi="宋体"/>
                <w:color w:val="000000" w:themeColor="text1"/>
                <w:szCs w:val="21"/>
                <w:highlight w:val="none"/>
                <w14:textFill>
                  <w14:solidFill>
                    <w14:schemeClr w14:val="tx1"/>
                  </w14:solidFill>
                </w14:textFill>
              </w:rPr>
              <w:t>日期起计算</w:t>
            </w:r>
            <w:r>
              <w:rPr>
                <w:rFonts w:hint="eastAsia" w:ascii="宋体" w:hAnsi="宋体"/>
                <w:color w:val="000000" w:themeColor="text1"/>
                <w:szCs w:val="21"/>
                <w:highlight w:val="none"/>
                <w:u w:val="single"/>
                <w:lang w:val="en-US" w:eastAsia="zh-CN"/>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年</w:t>
            </w:r>
          </w:p>
        </w:tc>
        <w:tc>
          <w:tcPr>
            <w:tcW w:w="1185" w:type="dxa"/>
            <w:vAlign w:val="center"/>
          </w:tcPr>
          <w:p w14:paraId="6B5E608E">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7FBE3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0D5F2066">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2</w:t>
            </w:r>
          </w:p>
        </w:tc>
        <w:tc>
          <w:tcPr>
            <w:tcW w:w="2682" w:type="dxa"/>
            <w:vAlign w:val="center"/>
          </w:tcPr>
          <w:p w14:paraId="5A41A8F7">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逾期交工违约金</w:t>
            </w:r>
          </w:p>
        </w:tc>
        <w:tc>
          <w:tcPr>
            <w:tcW w:w="1411" w:type="dxa"/>
            <w:vAlign w:val="center"/>
          </w:tcPr>
          <w:p w14:paraId="1B4BA9BC">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11.5</w:t>
            </w:r>
            <w:r>
              <w:rPr>
                <w:rFonts w:hint="eastAsia" w:ascii="宋体" w:hAnsi="宋体"/>
                <w:color w:val="000000" w:themeColor="text1"/>
                <w:szCs w:val="21"/>
                <w:highlight w:val="none"/>
                <w14:textFill>
                  <w14:solidFill>
                    <w14:schemeClr w14:val="tx1"/>
                  </w14:solidFill>
                </w14:textFill>
              </w:rPr>
              <w:t>（3）</w:t>
            </w:r>
          </w:p>
        </w:tc>
        <w:tc>
          <w:tcPr>
            <w:tcW w:w="3671" w:type="dxa"/>
            <w:vAlign w:val="center"/>
          </w:tcPr>
          <w:p w14:paraId="34419C41">
            <w:pPr>
              <w:keepNext w:val="0"/>
              <w:keepLines w:val="0"/>
              <w:suppressLineNumbers w:val="0"/>
              <w:spacing w:before="0" w:beforeAutospacing="0" w:after="0" w:afterAutospacing="0"/>
              <w:ind w:left="0" w:right="0"/>
              <w:jc w:val="left"/>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val="en-US" w:eastAsia="zh-CN"/>
                <w14:textFill>
                  <w14:solidFill>
                    <w14:schemeClr w14:val="tx1"/>
                  </w14:solidFill>
                </w14:textFill>
              </w:rPr>
              <w:t>5</w:t>
            </w:r>
            <w:r>
              <w:rPr>
                <w:rFonts w:hint="eastAsia" w:ascii="宋体" w:hAnsi="宋体"/>
                <w:color w:val="000000" w:themeColor="text1"/>
                <w:szCs w:val="21"/>
                <w:highlight w:val="none"/>
                <w:u w:val="single"/>
                <w14:textFill>
                  <w14:solidFill>
                    <w14:schemeClr w14:val="tx1"/>
                  </w14:solidFill>
                </w14:textFill>
              </w:rPr>
              <w:t>000元/天</w:t>
            </w:r>
          </w:p>
        </w:tc>
        <w:tc>
          <w:tcPr>
            <w:tcW w:w="1185" w:type="dxa"/>
            <w:vAlign w:val="center"/>
          </w:tcPr>
          <w:p w14:paraId="4D49A94B">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65A27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704A0395">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3</w:t>
            </w:r>
          </w:p>
        </w:tc>
        <w:tc>
          <w:tcPr>
            <w:tcW w:w="2682" w:type="dxa"/>
            <w:vAlign w:val="center"/>
          </w:tcPr>
          <w:p w14:paraId="2746A01A">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逾期交工违约金限额</w:t>
            </w:r>
          </w:p>
        </w:tc>
        <w:tc>
          <w:tcPr>
            <w:tcW w:w="1411" w:type="dxa"/>
            <w:vAlign w:val="center"/>
          </w:tcPr>
          <w:p w14:paraId="46CFEBF4">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11.5</w:t>
            </w:r>
            <w:r>
              <w:rPr>
                <w:rFonts w:hint="eastAsia" w:ascii="宋体" w:hAnsi="宋体"/>
                <w:color w:val="000000" w:themeColor="text1"/>
                <w:szCs w:val="21"/>
                <w:highlight w:val="none"/>
                <w14:textFill>
                  <w14:solidFill>
                    <w14:schemeClr w14:val="tx1"/>
                  </w14:solidFill>
                </w14:textFill>
              </w:rPr>
              <w:t>（3）</w:t>
            </w:r>
          </w:p>
        </w:tc>
        <w:tc>
          <w:tcPr>
            <w:tcW w:w="3671" w:type="dxa"/>
            <w:vAlign w:val="center"/>
          </w:tcPr>
          <w:p w14:paraId="56E7E044">
            <w:pPr>
              <w:keepNext w:val="0"/>
              <w:keepLines w:val="0"/>
              <w:suppressLineNumbers w:val="0"/>
              <w:spacing w:before="0" w:beforeAutospacing="0" w:after="0" w:afterAutospacing="0"/>
              <w:ind w:left="0" w:right="0"/>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u w:val="single"/>
                <w14:textFill>
                  <w14:solidFill>
                    <w14:schemeClr w14:val="tx1"/>
                  </w14:solidFill>
                </w14:textFill>
              </w:rPr>
              <w:t xml:space="preserve"> 10 </w:t>
            </w:r>
            <w:r>
              <w:rPr>
                <w:rFonts w:hint="default" w:ascii="宋体" w:hAnsi="宋体"/>
                <w:color w:val="000000" w:themeColor="text1"/>
                <w:szCs w:val="21"/>
                <w:highlight w:val="none"/>
                <w14:textFill>
                  <w14:solidFill>
                    <w14:schemeClr w14:val="tx1"/>
                  </w14:solidFill>
                </w14:textFill>
              </w:rPr>
              <w:t>%签约合同价</w:t>
            </w:r>
          </w:p>
        </w:tc>
        <w:tc>
          <w:tcPr>
            <w:tcW w:w="1185" w:type="dxa"/>
            <w:vAlign w:val="center"/>
          </w:tcPr>
          <w:p w14:paraId="108BF8EA">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3E6B4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6156DCEE">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4</w:t>
            </w:r>
          </w:p>
        </w:tc>
        <w:tc>
          <w:tcPr>
            <w:tcW w:w="2682" w:type="dxa"/>
            <w:vAlign w:val="center"/>
          </w:tcPr>
          <w:p w14:paraId="4BA4E131">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提前交工的奖金</w:t>
            </w:r>
          </w:p>
        </w:tc>
        <w:tc>
          <w:tcPr>
            <w:tcW w:w="1411" w:type="dxa"/>
            <w:vAlign w:val="center"/>
          </w:tcPr>
          <w:p w14:paraId="7533A44D">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11.6</w:t>
            </w:r>
          </w:p>
        </w:tc>
        <w:tc>
          <w:tcPr>
            <w:tcW w:w="3671" w:type="dxa"/>
            <w:vAlign w:val="center"/>
          </w:tcPr>
          <w:p w14:paraId="08600541">
            <w:pPr>
              <w:keepNext w:val="0"/>
              <w:keepLines w:val="0"/>
              <w:suppressLineNumbers w:val="0"/>
              <w:spacing w:before="0" w:beforeAutospacing="0" w:after="0" w:afterAutospacing="0"/>
              <w:ind w:left="0" w:right="0"/>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元/天</w:t>
            </w:r>
          </w:p>
        </w:tc>
        <w:tc>
          <w:tcPr>
            <w:tcW w:w="1185" w:type="dxa"/>
            <w:vAlign w:val="center"/>
          </w:tcPr>
          <w:p w14:paraId="17B46BC5">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25189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680266CF">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5</w:t>
            </w:r>
          </w:p>
        </w:tc>
        <w:tc>
          <w:tcPr>
            <w:tcW w:w="2682" w:type="dxa"/>
            <w:vAlign w:val="center"/>
          </w:tcPr>
          <w:p w14:paraId="628E3D25">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提前交工的奖金限额</w:t>
            </w:r>
          </w:p>
        </w:tc>
        <w:tc>
          <w:tcPr>
            <w:tcW w:w="1411" w:type="dxa"/>
            <w:vAlign w:val="center"/>
          </w:tcPr>
          <w:p w14:paraId="4C2EED7E">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11.6</w:t>
            </w:r>
          </w:p>
        </w:tc>
        <w:tc>
          <w:tcPr>
            <w:tcW w:w="3671" w:type="dxa"/>
            <w:vAlign w:val="center"/>
          </w:tcPr>
          <w:p w14:paraId="23705608">
            <w:pPr>
              <w:keepNext w:val="0"/>
              <w:keepLines w:val="0"/>
              <w:suppressLineNumbers w:val="0"/>
              <w:spacing w:before="0" w:beforeAutospacing="0" w:after="0" w:afterAutospacing="0"/>
              <w:ind w:left="0" w:right="0" w:firstLine="25" w:firstLineChars="12"/>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%签约合同价</w:t>
            </w:r>
          </w:p>
        </w:tc>
        <w:tc>
          <w:tcPr>
            <w:tcW w:w="1185" w:type="dxa"/>
            <w:vAlign w:val="center"/>
          </w:tcPr>
          <w:p w14:paraId="529D112B">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1DCD9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3" w:hRule="atLeast"/>
          <w:jc w:val="center"/>
        </w:trPr>
        <w:tc>
          <w:tcPr>
            <w:tcW w:w="650" w:type="dxa"/>
            <w:vAlign w:val="center"/>
          </w:tcPr>
          <w:p w14:paraId="0E1FFB5F">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2682" w:type="dxa"/>
            <w:vAlign w:val="center"/>
          </w:tcPr>
          <w:p w14:paraId="74793CCB">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因物价波动引起的价格调整</w:t>
            </w:r>
          </w:p>
        </w:tc>
        <w:tc>
          <w:tcPr>
            <w:tcW w:w="1411" w:type="dxa"/>
            <w:vAlign w:val="center"/>
          </w:tcPr>
          <w:p w14:paraId="2630CAC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16.1</w:t>
            </w:r>
          </w:p>
        </w:tc>
        <w:tc>
          <w:tcPr>
            <w:tcW w:w="3671" w:type="dxa"/>
            <w:vAlign w:val="center"/>
          </w:tcPr>
          <w:p w14:paraId="0946F012">
            <w:pPr>
              <w:keepNext w:val="0"/>
              <w:keepLines w:val="0"/>
              <w:suppressLineNumbers w:val="0"/>
              <w:spacing w:before="0" w:beforeAutospacing="0" w:after="0" w:afterAutospacing="0" w:line="320" w:lineRule="exact"/>
              <w:ind w:left="0" w:right="0"/>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 w:val="24"/>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因物价波动引起的价格调整按照第16.1项约定的原则处理</w:t>
            </w:r>
          </w:p>
          <w:p w14:paraId="106BA4AB">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 w:val="24"/>
                <w:highlight w:val="none"/>
                <w14:textFill>
                  <w14:solidFill>
                    <w14:schemeClr w14:val="tx1"/>
                  </w14:solidFill>
                </w14:textFill>
              </w:rPr>
              <w:fldChar w:fldCharType="begin"/>
            </w:r>
            <w:r>
              <w:rPr>
                <w:rFonts w:hint="eastAsia" w:ascii="宋体" w:hAnsi="宋体"/>
                <w:color w:val="000000" w:themeColor="text1"/>
                <w:sz w:val="24"/>
                <w:highlight w:val="none"/>
                <w14:textFill>
                  <w14:solidFill>
                    <w14:schemeClr w14:val="tx1"/>
                  </w14:solidFill>
                </w14:textFill>
              </w:rPr>
              <w:instrText xml:space="preserve">eq \o\ac(□,√)</w:instrText>
            </w:r>
            <w:r>
              <w:rPr>
                <w:rFonts w:hint="default" w:ascii="宋体" w:hAnsi="宋体"/>
                <w:color w:val="000000" w:themeColor="text1"/>
                <w:sz w:val="24"/>
                <w:highlight w:val="none"/>
                <w14:textFill>
                  <w14:solidFill>
                    <w14:schemeClr w14:val="tx1"/>
                  </w14:solidFill>
                </w14:textFill>
              </w:rPr>
              <w:fldChar w:fldCharType="end"/>
            </w:r>
            <w:r>
              <w:rPr>
                <w:rFonts w:hint="eastAsia" w:ascii="宋体" w:hAnsi="宋体"/>
                <w:color w:val="000000" w:themeColor="text1"/>
                <w:szCs w:val="21"/>
                <w:highlight w:val="none"/>
                <w14:textFill>
                  <w14:solidFill>
                    <w14:schemeClr w14:val="tx1"/>
                  </w14:solidFill>
                </w14:textFill>
              </w:rPr>
              <w:t>合同期内不调价</w:t>
            </w:r>
          </w:p>
        </w:tc>
        <w:tc>
          <w:tcPr>
            <w:tcW w:w="1185" w:type="dxa"/>
            <w:vAlign w:val="center"/>
          </w:tcPr>
          <w:p w14:paraId="1150A547">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p>
        </w:tc>
      </w:tr>
      <w:tr w14:paraId="40627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55E38D13">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7</w:t>
            </w:r>
          </w:p>
        </w:tc>
        <w:tc>
          <w:tcPr>
            <w:tcW w:w="2682" w:type="dxa"/>
            <w:vAlign w:val="center"/>
          </w:tcPr>
          <w:p w14:paraId="3DCC7C8C">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开工预付款金额</w:t>
            </w:r>
          </w:p>
        </w:tc>
        <w:tc>
          <w:tcPr>
            <w:tcW w:w="1411" w:type="dxa"/>
            <w:vAlign w:val="center"/>
          </w:tcPr>
          <w:p w14:paraId="6F366783">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17.2.1</w:t>
            </w:r>
            <w:r>
              <w:rPr>
                <w:rFonts w:hint="eastAsia" w:ascii="宋体" w:hAnsi="宋体"/>
                <w:color w:val="000000" w:themeColor="text1"/>
                <w:szCs w:val="21"/>
                <w:highlight w:val="none"/>
                <w14:textFill>
                  <w14:solidFill>
                    <w14:schemeClr w14:val="tx1"/>
                  </w14:solidFill>
                </w14:textFill>
              </w:rPr>
              <w:t>（1）</w:t>
            </w:r>
          </w:p>
        </w:tc>
        <w:tc>
          <w:tcPr>
            <w:tcW w:w="3671" w:type="dxa"/>
            <w:vAlign w:val="center"/>
          </w:tcPr>
          <w:p w14:paraId="76C991DF">
            <w:pPr>
              <w:keepNext w:val="0"/>
              <w:keepLines w:val="0"/>
              <w:suppressLineNumbers w:val="0"/>
              <w:spacing w:before="0" w:beforeAutospacing="0" w:after="0" w:afterAutospacing="0"/>
              <w:ind w:left="0" w:right="0" w:firstLine="25" w:firstLineChars="12"/>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val="en-US" w:eastAsia="zh-CN"/>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%签约合同价</w:t>
            </w:r>
          </w:p>
        </w:tc>
        <w:tc>
          <w:tcPr>
            <w:tcW w:w="1185" w:type="dxa"/>
            <w:vAlign w:val="center"/>
          </w:tcPr>
          <w:p w14:paraId="4E96E332">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2057B6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650" w:type="dxa"/>
            <w:vAlign w:val="center"/>
          </w:tcPr>
          <w:p w14:paraId="188E6B89">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8</w:t>
            </w:r>
          </w:p>
        </w:tc>
        <w:tc>
          <w:tcPr>
            <w:tcW w:w="2682" w:type="dxa"/>
            <w:vAlign w:val="center"/>
          </w:tcPr>
          <w:p w14:paraId="303ACE6F">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材料、设备预付款比例</w:t>
            </w:r>
          </w:p>
        </w:tc>
        <w:tc>
          <w:tcPr>
            <w:tcW w:w="1411" w:type="dxa"/>
            <w:vAlign w:val="center"/>
          </w:tcPr>
          <w:p w14:paraId="4EE87876">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17.2.1</w:t>
            </w:r>
            <w:r>
              <w:rPr>
                <w:rFonts w:hint="eastAsia" w:ascii="宋体" w:hAnsi="宋体"/>
                <w:color w:val="000000" w:themeColor="text1"/>
                <w:szCs w:val="21"/>
                <w:highlight w:val="none"/>
                <w14:textFill>
                  <w14:solidFill>
                    <w14:schemeClr w14:val="tx1"/>
                  </w14:solidFill>
                </w14:textFill>
              </w:rPr>
              <w:t>（2）</w:t>
            </w:r>
          </w:p>
        </w:tc>
        <w:tc>
          <w:tcPr>
            <w:tcW w:w="3671" w:type="dxa"/>
            <w:vAlign w:val="center"/>
          </w:tcPr>
          <w:p w14:paraId="389D3D31">
            <w:pPr>
              <w:keepNext w:val="0"/>
              <w:keepLines w:val="0"/>
              <w:suppressLineNumbers w:val="0"/>
              <w:spacing w:before="0" w:beforeAutospacing="0" w:after="0" w:afterAutospacing="0"/>
              <w:ind w:left="0" w:right="0" w:firstLine="25" w:firstLineChars="12"/>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  / </w:t>
            </w:r>
            <w:r>
              <w:rPr>
                <w:rFonts w:hint="eastAsia" w:ascii="宋体" w:hAnsi="宋体"/>
                <w:color w:val="000000" w:themeColor="text1"/>
                <w:szCs w:val="21"/>
                <w:highlight w:val="none"/>
                <w14:textFill>
                  <w14:solidFill>
                    <w14:schemeClr w14:val="tx1"/>
                  </w14:solidFill>
                </w14:textFill>
              </w:rPr>
              <w:t>等主要材料、设备单据所列费用的</w:t>
            </w:r>
            <w:r>
              <w:rPr>
                <w:rFonts w:hint="eastAsia" w:ascii="宋体" w:hAnsi="宋体"/>
                <w:color w:val="000000" w:themeColor="text1"/>
                <w:szCs w:val="21"/>
                <w:highlight w:val="none"/>
                <w:u w:val="singl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 xml:space="preserve"> %</w:t>
            </w:r>
          </w:p>
        </w:tc>
        <w:tc>
          <w:tcPr>
            <w:tcW w:w="1185" w:type="dxa"/>
            <w:vAlign w:val="center"/>
          </w:tcPr>
          <w:p w14:paraId="1DEFE35A">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0323F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37A4CFD4">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9</w:t>
            </w:r>
          </w:p>
        </w:tc>
        <w:tc>
          <w:tcPr>
            <w:tcW w:w="2682" w:type="dxa"/>
            <w:vAlign w:val="center"/>
          </w:tcPr>
          <w:p w14:paraId="40AACB98">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进度付款证书最低限额</w:t>
            </w:r>
          </w:p>
        </w:tc>
        <w:tc>
          <w:tcPr>
            <w:tcW w:w="1411" w:type="dxa"/>
            <w:vAlign w:val="center"/>
          </w:tcPr>
          <w:p w14:paraId="41A951DA">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17.3.3(1)</w:t>
            </w:r>
          </w:p>
        </w:tc>
        <w:tc>
          <w:tcPr>
            <w:tcW w:w="3671" w:type="dxa"/>
            <w:vAlign w:val="center"/>
          </w:tcPr>
          <w:p w14:paraId="782A5180">
            <w:pPr>
              <w:keepNext w:val="0"/>
              <w:keepLines w:val="0"/>
              <w:suppressLineNumbers w:val="0"/>
              <w:spacing w:before="0" w:beforeAutospacing="0" w:after="0" w:afterAutospacing="0"/>
              <w:ind w:left="0" w:right="0"/>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val="en-US" w:eastAsia="zh-CN"/>
                <w14:textFill>
                  <w14:solidFill>
                    <w14:schemeClr w14:val="tx1"/>
                  </w14:solidFill>
                </w14:textFill>
              </w:rPr>
              <w:t>50</w:t>
            </w:r>
            <w:r>
              <w:rPr>
                <w:rFonts w:hint="default" w:ascii="宋体" w:hAnsi="宋体"/>
                <w:color w:val="000000" w:themeColor="text1"/>
                <w:szCs w:val="21"/>
                <w:highlight w:val="none"/>
                <w14:textFill>
                  <w14:solidFill>
                    <w14:schemeClr w14:val="tx1"/>
                  </w14:solidFill>
                </w14:textFill>
              </w:rPr>
              <w:t>万元</w:t>
            </w:r>
          </w:p>
        </w:tc>
        <w:tc>
          <w:tcPr>
            <w:tcW w:w="1185" w:type="dxa"/>
            <w:vAlign w:val="center"/>
          </w:tcPr>
          <w:p w14:paraId="1CD0720D">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70005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650" w:type="dxa"/>
            <w:vAlign w:val="center"/>
          </w:tcPr>
          <w:p w14:paraId="57391EC0">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10</w:t>
            </w:r>
          </w:p>
        </w:tc>
        <w:tc>
          <w:tcPr>
            <w:tcW w:w="2682" w:type="dxa"/>
            <w:vAlign w:val="center"/>
          </w:tcPr>
          <w:p w14:paraId="5BADE5EB">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逾期付款违约金的利率</w:t>
            </w:r>
          </w:p>
        </w:tc>
        <w:tc>
          <w:tcPr>
            <w:tcW w:w="1411" w:type="dxa"/>
            <w:vAlign w:val="center"/>
          </w:tcPr>
          <w:p w14:paraId="388CF72C">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17.3.3(2)</w:t>
            </w:r>
          </w:p>
        </w:tc>
        <w:tc>
          <w:tcPr>
            <w:tcW w:w="3671" w:type="dxa"/>
            <w:vAlign w:val="center"/>
          </w:tcPr>
          <w:p w14:paraId="731F5320">
            <w:pPr>
              <w:keepNext w:val="0"/>
              <w:keepLines w:val="0"/>
              <w:suppressLineNumbers w:val="0"/>
              <w:spacing w:before="0" w:beforeAutospacing="0" w:after="0" w:afterAutospacing="0"/>
              <w:ind w:left="0" w:right="0"/>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  / ‰/天 </w:t>
            </w:r>
          </w:p>
        </w:tc>
        <w:tc>
          <w:tcPr>
            <w:tcW w:w="1185" w:type="dxa"/>
            <w:vAlign w:val="center"/>
          </w:tcPr>
          <w:p w14:paraId="32860579">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3CA02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650" w:type="dxa"/>
            <w:vAlign w:val="center"/>
          </w:tcPr>
          <w:p w14:paraId="7404FADD">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p>
        </w:tc>
        <w:tc>
          <w:tcPr>
            <w:tcW w:w="2682" w:type="dxa"/>
            <w:vAlign w:val="center"/>
          </w:tcPr>
          <w:p w14:paraId="14C18133">
            <w:pPr>
              <w:keepNext w:val="0"/>
              <w:keepLines w:val="0"/>
              <w:suppressLineNumbers w:val="0"/>
              <w:spacing w:before="0" w:beforeAutospacing="0" w:after="0" w:afterAutospacing="0"/>
              <w:ind w:left="0" w:right="0"/>
              <w:jc w:val="center"/>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质量保证金</w:t>
            </w:r>
            <w:r>
              <w:rPr>
                <w:rFonts w:hint="eastAsia" w:ascii="宋体" w:hAnsi="宋体"/>
                <w:color w:val="000000" w:themeColor="text1"/>
                <w:szCs w:val="21"/>
                <w:highlight w:val="none"/>
                <w14:textFill>
                  <w14:solidFill>
                    <w14:schemeClr w14:val="tx1"/>
                  </w14:solidFill>
                </w14:textFill>
              </w:rPr>
              <w:t>限额</w:t>
            </w:r>
          </w:p>
        </w:tc>
        <w:tc>
          <w:tcPr>
            <w:tcW w:w="1411" w:type="dxa"/>
            <w:vAlign w:val="center"/>
          </w:tcPr>
          <w:p w14:paraId="2B244CC7">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17.4.1</w:t>
            </w:r>
          </w:p>
        </w:tc>
        <w:tc>
          <w:tcPr>
            <w:tcW w:w="3671" w:type="dxa"/>
            <w:vAlign w:val="center"/>
          </w:tcPr>
          <w:p w14:paraId="3E1BFA87">
            <w:pPr>
              <w:keepNext w:val="0"/>
              <w:keepLines w:val="0"/>
              <w:suppressLineNumbers w:val="0"/>
              <w:spacing w:before="0" w:beforeAutospacing="0" w:after="0" w:afterAutospacing="0"/>
              <w:ind w:left="0" w:right="0"/>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 3 </w:t>
            </w:r>
            <w:r>
              <w:rPr>
                <w:rFonts w:hint="eastAsia" w:ascii="宋体" w:hAnsi="宋体"/>
                <w:color w:val="000000" w:themeColor="text1"/>
                <w:szCs w:val="21"/>
                <w:highlight w:val="none"/>
                <w14:textFill>
                  <w14:solidFill>
                    <w14:schemeClr w14:val="tx1"/>
                  </w14:solidFill>
                </w14:textFill>
              </w:rPr>
              <w:t>%合同价格</w:t>
            </w:r>
          </w:p>
        </w:tc>
        <w:tc>
          <w:tcPr>
            <w:tcW w:w="1185" w:type="dxa"/>
            <w:vAlign w:val="center"/>
          </w:tcPr>
          <w:p w14:paraId="74F7AA35">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r w14:paraId="2A3AD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650" w:type="dxa"/>
            <w:vAlign w:val="center"/>
          </w:tcPr>
          <w:p w14:paraId="0B8ECCD2">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12</w:t>
            </w:r>
          </w:p>
        </w:tc>
        <w:tc>
          <w:tcPr>
            <w:tcW w:w="2682" w:type="dxa"/>
            <w:vAlign w:val="center"/>
          </w:tcPr>
          <w:p w14:paraId="1C9A36FA">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保修期</w:t>
            </w:r>
          </w:p>
        </w:tc>
        <w:tc>
          <w:tcPr>
            <w:tcW w:w="1411" w:type="dxa"/>
            <w:vAlign w:val="center"/>
          </w:tcPr>
          <w:p w14:paraId="25E3CA74">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19.7</w:t>
            </w:r>
          </w:p>
        </w:tc>
        <w:tc>
          <w:tcPr>
            <w:tcW w:w="3671" w:type="dxa"/>
            <w:vAlign w:val="center"/>
          </w:tcPr>
          <w:p w14:paraId="4846BB73">
            <w:pPr>
              <w:keepNext w:val="0"/>
              <w:keepLines w:val="0"/>
              <w:suppressLineNumbers w:val="0"/>
              <w:spacing w:before="0" w:beforeAutospacing="0" w:after="0" w:afterAutospacing="0"/>
              <w:ind w:left="0" w:right="0"/>
              <w:rPr>
                <w:rFonts w:hint="default" w:ascii="Calibri" w:hAnsi="Calibri"/>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自本项目实际交工日期之日起计算</w:t>
            </w:r>
            <w:r>
              <w:rPr>
                <w:rFonts w:hint="eastAsia" w:ascii="宋体" w:hAnsi="宋体"/>
                <w:color w:val="000000" w:themeColor="text1"/>
                <w:szCs w:val="21"/>
                <w:highlight w:val="none"/>
                <w:u w:val="single"/>
                <w:lang w:val="en-US" w:eastAsia="zh-CN"/>
                <w14:textFill>
                  <w14:solidFill>
                    <w14:schemeClr w14:val="tx1"/>
                  </w14:solidFill>
                </w14:textFill>
              </w:rPr>
              <w:t>5</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14:textFill>
                  <w14:solidFill>
                    <w14:schemeClr w14:val="tx1"/>
                  </w14:solidFill>
                </w14:textFill>
              </w:rPr>
              <w:t>。</w:t>
            </w:r>
          </w:p>
        </w:tc>
        <w:tc>
          <w:tcPr>
            <w:tcW w:w="1185" w:type="dxa"/>
            <w:vAlign w:val="center"/>
          </w:tcPr>
          <w:p w14:paraId="232C7975">
            <w:pPr>
              <w:keepNext w:val="0"/>
              <w:keepLines w:val="0"/>
              <w:suppressLineNumbers w:val="0"/>
              <w:spacing w:before="0" w:beforeAutospacing="0" w:after="0" w:afterAutospacing="0"/>
              <w:ind w:left="0" w:right="0"/>
              <w:jc w:val="center"/>
              <w:rPr>
                <w:rFonts w:hint="default" w:ascii="Calibri" w:hAnsi="Calibri"/>
                <w:color w:val="000000" w:themeColor="text1"/>
                <w:szCs w:val="21"/>
                <w:highlight w:val="none"/>
                <w14:textFill>
                  <w14:solidFill>
                    <w14:schemeClr w14:val="tx1"/>
                  </w14:solidFill>
                </w14:textFill>
              </w:rPr>
            </w:pPr>
          </w:p>
        </w:tc>
      </w:tr>
    </w:tbl>
    <w:p w14:paraId="3651135F">
      <w:pPr>
        <w:spacing w:line="500" w:lineRule="exact"/>
        <w:ind w:right="480" w:firstLine="3480" w:firstLineChars="1450"/>
        <w:rPr>
          <w:rFonts w:ascii="宋体" w:hAnsi="宋体"/>
          <w:color w:val="000000" w:themeColor="text1"/>
          <w:sz w:val="24"/>
          <w:highlight w:val="none"/>
          <w14:textFill>
            <w14:solidFill>
              <w14:schemeClr w14:val="tx1"/>
            </w14:solidFill>
          </w14:textFill>
        </w:rPr>
      </w:pPr>
    </w:p>
    <w:p w14:paraId="6E958AEF">
      <w:pPr>
        <w:spacing w:line="500" w:lineRule="exact"/>
        <w:ind w:right="480" w:firstLine="3480" w:firstLineChars="1450"/>
        <w:rPr>
          <w:rFonts w:ascii="宋体" w:hAnsi="宋体"/>
          <w:color w:val="000000" w:themeColor="text1"/>
          <w:sz w:val="24"/>
          <w:highlight w:val="none"/>
          <w14:textFill>
            <w14:solidFill>
              <w14:schemeClr w14:val="tx1"/>
            </w14:solidFill>
          </w14:textFill>
        </w:rPr>
      </w:pPr>
    </w:p>
    <w:p w14:paraId="154F54F7">
      <w:pPr>
        <w:spacing w:line="500" w:lineRule="exact"/>
        <w:ind w:right="480" w:firstLine="3480" w:firstLineChars="1450"/>
        <w:rPr>
          <w:rFonts w:ascii="宋体" w:hAnsi="宋体"/>
          <w:color w:val="000000" w:themeColor="text1"/>
          <w:sz w:val="24"/>
          <w:highlight w:val="none"/>
          <w14:textFill>
            <w14:solidFill>
              <w14:schemeClr w14:val="tx1"/>
            </w14:solidFill>
          </w14:textFill>
        </w:rPr>
      </w:pPr>
    </w:p>
    <w:p w14:paraId="4B3E5E72">
      <w:pPr>
        <w:spacing w:line="500" w:lineRule="exact"/>
        <w:ind w:right="480"/>
        <w:rPr>
          <w:rFonts w:ascii="宋体" w:hAnsi="宋体"/>
          <w:color w:val="000000" w:themeColor="text1"/>
          <w:sz w:val="24"/>
          <w:highlight w:val="none"/>
          <w14:textFill>
            <w14:solidFill>
              <w14:schemeClr w14:val="tx1"/>
            </w14:solidFill>
          </w14:textFill>
        </w:rPr>
      </w:pPr>
    </w:p>
    <w:p w14:paraId="3006A6D6">
      <w:pPr>
        <w:jc w:val="center"/>
        <w:rPr>
          <w:rFonts w:ascii="宋体" w:hAnsi="宋体"/>
          <w:color w:val="000000" w:themeColor="text1"/>
          <w:sz w:val="28"/>
          <w:szCs w:val="28"/>
          <w:highlight w:val="none"/>
          <w14:textFill>
            <w14:solidFill>
              <w14:schemeClr w14:val="tx1"/>
            </w14:solidFill>
          </w14:textFill>
        </w:rPr>
      </w:pPr>
      <w:bookmarkStart w:id="1760" w:name="_Toc234382961"/>
      <w:bookmarkEnd w:id="1760"/>
      <w:r>
        <w:rPr>
          <w:rFonts w:ascii="宋体" w:hAnsi="宋体"/>
          <w:b/>
          <w:color w:val="000000" w:themeColor="text1"/>
          <w:sz w:val="28"/>
          <w:szCs w:val="28"/>
          <w:highlight w:val="none"/>
          <w14:textFill>
            <w14:solidFill>
              <w14:schemeClr w14:val="tx1"/>
            </w14:solidFill>
          </w14:textFill>
        </w:rPr>
        <w:br w:type="page"/>
      </w:r>
      <w:r>
        <w:rPr>
          <w:rFonts w:ascii="宋体" w:hAnsi="宋体"/>
          <w:b/>
          <w:color w:val="000000" w:themeColor="text1"/>
          <w:sz w:val="28"/>
          <w:szCs w:val="28"/>
          <w:highlight w:val="none"/>
          <w14:textFill>
            <w14:solidFill>
              <w14:schemeClr w14:val="tx1"/>
            </w14:solidFill>
          </w14:textFill>
        </w:rPr>
        <w:t>二、授权委托书</w:t>
      </w:r>
      <w:r>
        <w:rPr>
          <w:rFonts w:hint="eastAsia" w:ascii="宋体" w:hAnsi="宋体"/>
          <w:b/>
          <w:color w:val="000000" w:themeColor="text1"/>
          <w:sz w:val="28"/>
          <w:szCs w:val="28"/>
          <w:highlight w:val="none"/>
          <w14:textFill>
            <w14:solidFill>
              <w14:schemeClr w14:val="tx1"/>
            </w14:solidFill>
          </w14:textFill>
        </w:rPr>
        <w:t>或</w:t>
      </w:r>
      <w:r>
        <w:rPr>
          <w:rFonts w:ascii="宋体" w:hAnsi="宋体"/>
          <w:b/>
          <w:color w:val="000000" w:themeColor="text1"/>
          <w:sz w:val="28"/>
          <w:szCs w:val="28"/>
          <w:highlight w:val="none"/>
          <w14:textFill>
            <w14:solidFill>
              <w14:schemeClr w14:val="tx1"/>
            </w14:solidFill>
          </w14:textFill>
        </w:rPr>
        <w:t>法定代表人身份证明</w:t>
      </w:r>
    </w:p>
    <w:p w14:paraId="30013555">
      <w:pPr>
        <w:jc w:val="center"/>
        <w:rPr>
          <w:rFonts w:ascii="宋体" w:hAnsi="宋体"/>
          <w:color w:val="000000" w:themeColor="text1"/>
          <w:highlight w:val="none"/>
          <w14:textFill>
            <w14:solidFill>
              <w14:schemeClr w14:val="tx1"/>
            </w14:solidFill>
          </w14:textFill>
        </w:rPr>
      </w:pPr>
    </w:p>
    <w:p w14:paraId="4FC3D060">
      <w:pPr>
        <w:jc w:val="center"/>
        <w:rPr>
          <w:rFonts w:ascii="宋体" w:hAnsi="宋体"/>
          <w:b/>
          <w:color w:val="000000" w:themeColor="text1"/>
          <w:sz w:val="32"/>
          <w:szCs w:val="32"/>
          <w:highlight w:val="none"/>
          <w14:textFill>
            <w14:solidFill>
              <w14:schemeClr w14:val="tx1"/>
            </w14:solidFill>
          </w14:textFill>
        </w:rPr>
      </w:pPr>
      <w:r>
        <w:rPr>
          <w:rFonts w:ascii="宋体" w:hAnsi="宋体"/>
          <w:b/>
          <w:bCs/>
          <w:color w:val="000000" w:themeColor="text1"/>
          <w:kern w:val="44"/>
          <w:sz w:val="28"/>
          <w:szCs w:val="28"/>
          <w:highlight w:val="none"/>
          <w14:textFill>
            <w14:solidFill>
              <w14:schemeClr w14:val="tx1"/>
            </w14:solidFill>
          </w14:textFill>
        </w:rPr>
        <w:t>（</w:t>
      </w:r>
      <w:r>
        <w:rPr>
          <w:rFonts w:hint="eastAsia" w:ascii="宋体" w:hAnsi="宋体"/>
          <w:b/>
          <w:bCs/>
          <w:color w:val="000000" w:themeColor="text1"/>
          <w:kern w:val="44"/>
          <w:sz w:val="28"/>
          <w:szCs w:val="28"/>
          <w:highlight w:val="none"/>
          <w14:textFill>
            <w14:solidFill>
              <w14:schemeClr w14:val="tx1"/>
            </w14:solidFill>
          </w14:textFill>
        </w:rPr>
        <w:t>一</w:t>
      </w:r>
      <w:r>
        <w:rPr>
          <w:rFonts w:ascii="宋体" w:hAnsi="宋体"/>
          <w:b/>
          <w:bCs/>
          <w:color w:val="000000" w:themeColor="text1"/>
          <w:kern w:val="44"/>
          <w:sz w:val="28"/>
          <w:szCs w:val="28"/>
          <w:highlight w:val="none"/>
          <w14:textFill>
            <w14:solidFill>
              <w14:schemeClr w14:val="tx1"/>
            </w14:solidFill>
          </w14:textFill>
        </w:rPr>
        <w:t>）授权委托书</w:t>
      </w:r>
    </w:p>
    <w:p w14:paraId="41997F73">
      <w:pPr>
        <w:spacing w:line="500" w:lineRule="exact"/>
        <w:rPr>
          <w:rFonts w:ascii="宋体" w:hAnsi="宋体"/>
          <w:color w:val="000000" w:themeColor="text1"/>
          <w:sz w:val="24"/>
          <w:highlight w:val="none"/>
          <w14:textFill>
            <w14:solidFill>
              <w14:schemeClr w14:val="tx1"/>
            </w14:solidFill>
          </w14:textFill>
        </w:rPr>
      </w:pPr>
    </w:p>
    <w:p w14:paraId="5244CD2E">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本人</w:t>
      </w:r>
      <w:r>
        <w:rPr>
          <w:rFonts w:ascii="宋体" w:hAnsi="宋体"/>
          <w:color w:val="000000" w:themeColor="text1"/>
          <w:sz w:val="24"/>
          <w:highlight w:val="none"/>
          <w:u w:val="single"/>
          <w14:textFill>
            <w14:solidFill>
              <w14:schemeClr w14:val="tx1"/>
            </w14:solidFill>
          </w14:textFill>
        </w:rPr>
        <w:t>（姓名）</w:t>
      </w:r>
      <w:r>
        <w:rPr>
          <w:rFonts w:ascii="宋体" w:hAnsi="宋体"/>
          <w:color w:val="000000" w:themeColor="text1"/>
          <w:sz w:val="24"/>
          <w:highlight w:val="none"/>
          <w14:textFill>
            <w14:solidFill>
              <w14:schemeClr w14:val="tx1"/>
            </w14:solidFill>
          </w14:textFill>
        </w:rPr>
        <w:t>系</w:t>
      </w:r>
      <w:r>
        <w:rPr>
          <w:rFonts w:ascii="宋体" w:hAnsi="宋体"/>
          <w:color w:val="000000" w:themeColor="text1"/>
          <w:sz w:val="24"/>
          <w:highlight w:val="none"/>
          <w:u w:val="single"/>
          <w14:textFill>
            <w14:solidFill>
              <w14:schemeClr w14:val="tx1"/>
            </w14:solidFill>
          </w14:textFill>
        </w:rPr>
        <w:t>（投标人名称）</w:t>
      </w:r>
      <w:r>
        <w:rPr>
          <w:rFonts w:ascii="宋体" w:hAnsi="宋体"/>
          <w:color w:val="000000" w:themeColor="text1"/>
          <w:sz w:val="24"/>
          <w:highlight w:val="none"/>
          <w14:textFill>
            <w14:solidFill>
              <w14:schemeClr w14:val="tx1"/>
            </w14:solidFill>
          </w14:textFill>
        </w:rPr>
        <w:t>的法定代表人，现委托</w:t>
      </w:r>
      <w:r>
        <w:rPr>
          <w:rFonts w:ascii="宋体" w:hAnsi="宋体"/>
          <w:color w:val="000000" w:themeColor="text1"/>
          <w:sz w:val="24"/>
          <w:highlight w:val="none"/>
          <w:u w:val="single"/>
          <w14:textFill>
            <w14:solidFill>
              <w14:schemeClr w14:val="tx1"/>
            </w14:solidFill>
          </w14:textFill>
        </w:rPr>
        <w:t>（姓名）</w:t>
      </w:r>
      <w:r>
        <w:rPr>
          <w:rFonts w:ascii="宋体" w:hAnsi="宋体"/>
          <w:color w:val="000000" w:themeColor="text1"/>
          <w:sz w:val="24"/>
          <w:highlight w:val="none"/>
          <w14:textFill>
            <w14:solidFill>
              <w14:schemeClr w14:val="tx1"/>
            </w14:solidFill>
          </w14:textFill>
        </w:rPr>
        <w:t>为我方代理人。代理人根据授权，以我方名义签署、澄清</w:t>
      </w:r>
      <w:r>
        <w:rPr>
          <w:rFonts w:hint="eastAsia" w:ascii="宋体" w:hAnsi="宋体"/>
          <w:color w:val="000000" w:themeColor="text1"/>
          <w:sz w:val="24"/>
          <w:highlight w:val="none"/>
          <w14:textFill>
            <w14:solidFill>
              <w14:schemeClr w14:val="tx1"/>
            </w14:solidFill>
          </w14:textFill>
        </w:rPr>
        <w:t>确认</w:t>
      </w:r>
      <w:r>
        <w:rPr>
          <w:rFonts w:ascii="宋体" w:hAnsi="宋体"/>
          <w:color w:val="000000" w:themeColor="text1"/>
          <w:sz w:val="24"/>
          <w:highlight w:val="none"/>
          <w14:textFill>
            <w14:solidFill>
              <w14:schemeClr w14:val="tx1"/>
            </w14:solidFill>
          </w14:textFill>
        </w:rPr>
        <w:t>、递交、撤回、修改</w:t>
      </w:r>
      <w:r>
        <w:rPr>
          <w:rFonts w:ascii="宋体" w:hAnsi="宋体"/>
          <w:color w:val="000000" w:themeColor="text1"/>
          <w:sz w:val="24"/>
          <w:highlight w:val="none"/>
          <w:u w:val="single"/>
          <w14:textFill>
            <w14:solidFill>
              <w14:schemeClr w14:val="tx1"/>
            </w14:solidFill>
          </w14:textFill>
        </w:rPr>
        <w:t xml:space="preserve">   （项目名称）     </w:t>
      </w:r>
      <w:r>
        <w:rPr>
          <w:rFonts w:hint="eastAsia" w:ascii="宋体" w:hAnsi="宋体"/>
          <w:color w:val="000000" w:themeColor="text1"/>
          <w:sz w:val="24"/>
          <w:highlight w:val="none"/>
          <w14:textFill>
            <w14:solidFill>
              <w14:schemeClr w14:val="tx1"/>
            </w14:solidFill>
          </w14:textFill>
        </w:rPr>
        <w:t>施工</w:t>
      </w:r>
      <w:r>
        <w:rPr>
          <w:rFonts w:ascii="宋体" w:hAnsi="宋体"/>
          <w:color w:val="000000" w:themeColor="text1"/>
          <w:sz w:val="24"/>
          <w:highlight w:val="none"/>
          <w14:textFill>
            <w14:solidFill>
              <w14:schemeClr w14:val="tx1"/>
            </w14:solidFill>
          </w14:textFill>
        </w:rPr>
        <w:t>投标文件、签订合同和处理有关事宜，其法律后果由我方承担。</w:t>
      </w:r>
    </w:p>
    <w:p w14:paraId="6154A09F">
      <w:pPr>
        <w:snapToGrid w:val="0"/>
        <w:spacing w:line="440" w:lineRule="exact"/>
        <w:ind w:firstLine="480" w:firstLineChars="200"/>
        <w:rPr>
          <w:rFonts w:hAnsi="宋体" w:cs="宋体"/>
          <w:color w:val="000000" w:themeColor="text1"/>
          <w:szCs w:val="2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委托期限：</w:t>
      </w:r>
      <w:r>
        <w:rPr>
          <w:rFonts w:hint="eastAsia" w:ascii="宋体" w:hAnsi="宋体"/>
          <w:color w:val="000000" w:themeColor="text1"/>
          <w:sz w:val="24"/>
          <w:highlight w:val="none"/>
          <w14:textFill>
            <w14:solidFill>
              <w14:schemeClr w14:val="tx1"/>
            </w14:solidFill>
          </w14:textFill>
        </w:rPr>
        <w:t>自本委托书签署之日起至投标有效期期满。</w:t>
      </w:r>
    </w:p>
    <w:p w14:paraId="7DF3F5F1">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代理人无转委托权。</w:t>
      </w:r>
    </w:p>
    <w:p w14:paraId="7E5CC9DD">
      <w:pPr>
        <w:spacing w:line="500" w:lineRule="exact"/>
        <w:ind w:firstLine="480" w:firstLineChars="200"/>
        <w:rPr>
          <w:rFonts w:ascii="宋体" w:hAnsi="宋体"/>
          <w:color w:val="000000" w:themeColor="text1"/>
          <w:sz w:val="24"/>
          <w:highlight w:val="none"/>
          <w14:textFill>
            <w14:solidFill>
              <w14:schemeClr w14:val="tx1"/>
            </w14:solidFill>
          </w14:textFill>
        </w:rPr>
      </w:pPr>
    </w:p>
    <w:p w14:paraId="0A51491F">
      <w:pPr>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附：法定代表人身份证复印件及委托代理人身份证复印件。</w:t>
      </w:r>
    </w:p>
    <w:p w14:paraId="3319BCC3">
      <w:pPr>
        <w:spacing w:line="500" w:lineRule="exact"/>
        <w:rPr>
          <w:rFonts w:ascii="宋体" w:hAnsi="宋体"/>
          <w:color w:val="000000" w:themeColor="text1"/>
          <w:sz w:val="24"/>
          <w:highlight w:val="none"/>
          <w14:textFill>
            <w14:solidFill>
              <w14:schemeClr w14:val="tx1"/>
            </w14:solidFill>
          </w14:textFill>
        </w:rPr>
      </w:pPr>
    </w:p>
    <w:p w14:paraId="164A9944">
      <w:pPr>
        <w:spacing w:line="500" w:lineRule="exact"/>
        <w:ind w:firstLine="3840" w:firstLineChars="1600"/>
        <w:rPr>
          <w:rFonts w:ascii="宋体" w:hAnsi="宋体"/>
          <w:color w:val="000000" w:themeColor="text1"/>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投  标  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（盖单位章）</w:t>
      </w:r>
    </w:p>
    <w:p w14:paraId="6FD5B40D">
      <w:pPr>
        <w:spacing w:line="50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法定代表人：</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（签字）</w:t>
      </w:r>
    </w:p>
    <w:p w14:paraId="1F08ED88">
      <w:pPr>
        <w:spacing w:line="500" w:lineRule="exact"/>
        <w:rPr>
          <w:rFonts w:ascii="宋体" w:hAns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身份证号码：</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4CB34D95">
      <w:pPr>
        <w:spacing w:line="500" w:lineRule="exact"/>
        <w:ind w:firstLine="3840" w:firstLineChars="16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委托代理人：</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（签字）</w:t>
      </w:r>
    </w:p>
    <w:p w14:paraId="2B64B48C">
      <w:pPr>
        <w:spacing w:line="500" w:lineRule="exact"/>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身份证号码：</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505B8F40">
      <w:pPr>
        <w:spacing w:line="500" w:lineRule="exact"/>
        <w:rPr>
          <w:rFonts w:ascii="宋体" w:hAnsi="宋体"/>
          <w:color w:val="000000" w:themeColor="text1"/>
          <w:sz w:val="24"/>
          <w:highlight w:val="none"/>
          <w14:textFill>
            <w14:solidFill>
              <w14:schemeClr w14:val="tx1"/>
            </w14:solidFill>
          </w14:textFill>
        </w:rPr>
      </w:pPr>
    </w:p>
    <w:p w14:paraId="74F18BF6">
      <w:pPr>
        <w:spacing w:line="500" w:lineRule="exact"/>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日</w:t>
      </w:r>
    </w:p>
    <w:p w14:paraId="3ED8B565">
      <w:pPr>
        <w:spacing w:line="500" w:lineRule="exact"/>
        <w:rPr>
          <w:rFonts w:ascii="宋体" w:hAnsi="宋体"/>
          <w:color w:val="000000" w:themeColor="text1"/>
          <w:sz w:val="24"/>
          <w:highlight w:val="none"/>
          <w14:textFill>
            <w14:solidFill>
              <w14:schemeClr w14:val="tx1"/>
            </w14:solidFill>
          </w14:textFill>
        </w:rPr>
      </w:pPr>
    </w:p>
    <w:p w14:paraId="1A7E3101">
      <w:pPr>
        <w:rPr>
          <w:rFonts w:ascii="宋体" w:hAnsi="宋体"/>
          <w:color w:val="000000" w:themeColor="text1"/>
          <w:sz w:val="24"/>
          <w:highlight w:val="none"/>
          <w14:textFill>
            <w14:solidFill>
              <w14:schemeClr w14:val="tx1"/>
            </w14:solidFill>
          </w14:textFill>
        </w:rPr>
      </w:pPr>
    </w:p>
    <w:p w14:paraId="5EE8FD60">
      <w:pPr>
        <w:spacing w:line="400" w:lineRule="exact"/>
        <w:rPr>
          <w:rFonts w:ascii="宋体" w:hAnsi="宋体"/>
          <w:color w:val="000000" w:themeColor="text1"/>
          <w:sz w:val="24"/>
          <w:highlight w:val="none"/>
          <w14:textFill>
            <w14:solidFill>
              <w14:schemeClr w14:val="tx1"/>
            </w14:solidFill>
          </w14:textFill>
        </w:rPr>
      </w:pPr>
    </w:p>
    <w:p w14:paraId="597AEAF8">
      <w:pPr>
        <w:spacing w:line="400" w:lineRule="exact"/>
        <w:rPr>
          <w:rFonts w:ascii="宋体" w:hAnsi="宋体"/>
          <w:color w:val="000000" w:themeColor="text1"/>
          <w:sz w:val="24"/>
          <w:highlight w:val="none"/>
          <w14:textFill>
            <w14:solidFill>
              <w14:schemeClr w14:val="tx1"/>
            </w14:solidFill>
          </w14:textFill>
        </w:rPr>
      </w:pPr>
    </w:p>
    <w:p w14:paraId="40D958BA">
      <w:pPr>
        <w:pStyle w:val="56"/>
        <w:spacing w:line="360" w:lineRule="auto"/>
        <w:rPr>
          <w:rFonts w:ascii="宋体" w:hAnsi="宋体" w:cs="Times New Roman"/>
          <w:color w:val="000000" w:themeColor="text1"/>
          <w:sz w:val="24"/>
          <w:szCs w:val="24"/>
          <w:highlight w:val="none"/>
          <w14:textFill>
            <w14:solidFill>
              <w14:schemeClr w14:val="tx1"/>
            </w14:solidFill>
          </w14:textFill>
        </w:rPr>
      </w:pPr>
      <w:r>
        <w:rPr>
          <w:rFonts w:hint="eastAsia" w:ascii="宋体" w:hAnsi="宋体" w:cs="Times New Roman"/>
          <w:color w:val="000000" w:themeColor="text1"/>
          <w:sz w:val="24"/>
          <w:szCs w:val="24"/>
          <w:highlight w:val="none"/>
          <w14:textFill>
            <w14:solidFill>
              <w14:schemeClr w14:val="tx1"/>
            </w14:solidFill>
          </w14:textFill>
        </w:rPr>
        <w:t>注：1. 法定代表人和委托代理人必须在授权书上亲笔签名，不得使用印章、签名章或其他电子制版签名；如果由投标人的委托代理人签署投标文件，则不需提交（二）法定代表人身份证明。</w:t>
      </w:r>
    </w:p>
    <w:p w14:paraId="5BDF1FEA">
      <w:pPr>
        <w:pStyle w:val="56"/>
        <w:rPr>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br w:type="page"/>
      </w:r>
    </w:p>
    <w:p w14:paraId="3275AE39">
      <w:pPr>
        <w:spacing w:line="360" w:lineRule="auto"/>
        <w:ind w:firstLine="560" w:firstLineChars="200"/>
        <w:jc w:val="center"/>
        <w:rPr>
          <w:rFonts w:ascii="宋体" w:hAnsi="宋体" w:cs="宋体"/>
          <w:b/>
          <w:color w:val="000000" w:themeColor="text1"/>
          <w:sz w:val="32"/>
          <w:szCs w:val="32"/>
          <w:highlight w:val="none"/>
          <w14:textFill>
            <w14:solidFill>
              <w14:schemeClr w14:val="tx1"/>
            </w14:solidFill>
          </w14:textFill>
        </w:rPr>
      </w:pPr>
      <w:bookmarkStart w:id="1761" w:name="_Toc453057211"/>
      <w:bookmarkEnd w:id="1761"/>
      <w:r>
        <w:rPr>
          <w:rFonts w:hint="eastAsia" w:ascii="宋体" w:hAnsi="宋体" w:cs="宋体"/>
          <w:color w:val="000000" w:themeColor="text1"/>
          <w:sz w:val="28"/>
          <w:szCs w:val="28"/>
          <w:highlight w:val="none"/>
          <w14:textFill>
            <w14:solidFill>
              <w14:schemeClr w14:val="tx1"/>
            </w14:solidFill>
          </w14:textFill>
        </w:rPr>
        <w:t>（二）</w:t>
      </w:r>
      <w:r>
        <w:rPr>
          <w:rFonts w:hint="eastAsia" w:ascii="宋体" w:hAnsi="宋体" w:cs="宋体"/>
          <w:color w:val="000000" w:themeColor="text1"/>
          <w:sz w:val="28"/>
          <w:highlight w:val="none"/>
          <w14:textFill>
            <w14:solidFill>
              <w14:schemeClr w14:val="tx1"/>
            </w14:solidFill>
          </w14:textFill>
        </w:rPr>
        <w:t>法定代表人身份证明</w:t>
      </w:r>
    </w:p>
    <w:p w14:paraId="35B3A78B">
      <w:pPr>
        <w:spacing w:line="500" w:lineRule="exact"/>
        <w:rPr>
          <w:rFonts w:ascii="宋体" w:hAnsi="宋体" w:cs="宋体"/>
          <w:color w:val="000000" w:themeColor="text1"/>
          <w:sz w:val="24"/>
          <w:highlight w:val="none"/>
          <w14:textFill>
            <w14:solidFill>
              <w14:schemeClr w14:val="tx1"/>
            </w14:solidFill>
          </w14:textFill>
        </w:rPr>
      </w:pPr>
    </w:p>
    <w:p w14:paraId="18D5C962">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20F16C38">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3517FE6E">
      <w:pPr>
        <w:spacing w:line="360" w:lineRule="auto"/>
        <w:ind w:firstLine="480" w:firstLineChars="200"/>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r>
        <w:rPr>
          <w:rFonts w:hint="eastAsia" w:ascii="宋体" w:hAnsi="宋体" w:cs="宋体"/>
          <w:color w:val="000000" w:themeColor="text1"/>
          <w:sz w:val="24"/>
          <w:highlight w:val="none"/>
          <w:u w:val="single"/>
          <w14:textFill>
            <w14:solidFill>
              <w14:schemeClr w14:val="tx1"/>
            </w14:solidFill>
          </w14:textFill>
        </w:rPr>
        <w:t xml:space="preserve"> （法定代表人亲笔签名）</w:t>
      </w:r>
      <w:r>
        <w:rPr>
          <w:rFonts w:hint="eastAsia" w:ascii="宋体" w:hAnsi="宋体" w:cs="宋体"/>
          <w:color w:val="000000" w:themeColor="text1"/>
          <w:sz w:val="24"/>
          <w:highlight w:val="none"/>
          <w14:textFill>
            <w14:solidFill>
              <w14:schemeClr w14:val="tx1"/>
            </w14:solidFill>
          </w14:textFill>
        </w:rPr>
        <w:tab/>
      </w:r>
      <w:r>
        <w:rPr>
          <w:rFonts w:hint="eastAsia" w:ascii="宋体" w:hAnsi="宋体" w:cs="宋体"/>
          <w:color w:val="000000" w:themeColor="text1"/>
          <w:sz w:val="24"/>
          <w:highlight w:val="none"/>
          <w14:textFill>
            <w14:solidFill>
              <w14:schemeClr w14:val="tx1"/>
            </w14:solidFill>
          </w14:textFill>
        </w:rPr>
        <w:t>性别：</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年龄：</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职务：</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ab/>
      </w:r>
    </w:p>
    <w:p w14:paraId="4EBB9D0F">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系</w:t>
      </w:r>
      <w:r>
        <w:rPr>
          <w:rFonts w:hint="eastAsia" w:ascii="宋体" w:hAnsi="宋体" w:cs="宋体"/>
          <w:color w:val="000000" w:themeColor="text1"/>
          <w:sz w:val="24"/>
          <w:highlight w:val="none"/>
          <w:u w:val="single"/>
          <w14:textFill>
            <w14:solidFill>
              <w14:schemeClr w14:val="tx1"/>
            </w14:solidFill>
          </w14:textFill>
        </w:rPr>
        <w:tab/>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（投标人名称）的法定代表人。</w:t>
      </w:r>
    </w:p>
    <w:p w14:paraId="30DC8181">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特此证明。</w:t>
      </w:r>
    </w:p>
    <w:p w14:paraId="5403D400">
      <w:pPr>
        <w:spacing w:line="360" w:lineRule="auto"/>
        <w:rPr>
          <w:rFonts w:ascii="宋体" w:hAnsi="宋体" w:cs="宋体"/>
          <w:color w:val="000000" w:themeColor="text1"/>
          <w:sz w:val="24"/>
          <w:highlight w:val="none"/>
          <w14:textFill>
            <w14:solidFill>
              <w14:schemeClr w14:val="tx1"/>
            </w14:solidFill>
          </w14:textFill>
        </w:rPr>
      </w:pPr>
    </w:p>
    <w:p w14:paraId="52A6A942">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附：法定代表人身份证复印件。</w:t>
      </w:r>
    </w:p>
    <w:p w14:paraId="370EF746">
      <w:pPr>
        <w:pStyle w:val="16"/>
        <w:rPr>
          <w:rFonts w:ascii="宋体" w:hAnsi="宋体" w:cs="宋体"/>
          <w:color w:val="000000" w:themeColor="text1"/>
          <w:sz w:val="20"/>
          <w:highlight w:val="none"/>
          <w14:textFill>
            <w14:solidFill>
              <w14:schemeClr w14:val="tx1"/>
            </w14:solidFill>
          </w14:textFill>
        </w:rPr>
      </w:pPr>
    </w:p>
    <w:p w14:paraId="76D5817E">
      <w:pPr>
        <w:pStyle w:val="16"/>
        <w:spacing w:before="3"/>
        <w:rPr>
          <w:rFonts w:ascii="宋体" w:hAnsi="宋体" w:cs="宋体"/>
          <w:color w:val="000000" w:themeColor="text1"/>
          <w:sz w:val="28"/>
          <w:highlight w:val="none"/>
          <w14:textFill>
            <w14:solidFill>
              <w14:schemeClr w14:val="tx1"/>
            </w14:solidFill>
          </w14:textFill>
        </w:rPr>
      </w:pPr>
    </w:p>
    <w:p w14:paraId="61E1B689">
      <w:pPr>
        <w:tabs>
          <w:tab w:val="left" w:pos="6918"/>
        </w:tabs>
        <w:spacing w:before="75"/>
        <w:ind w:left="4398"/>
        <w:jc w:val="left"/>
        <w:rPr>
          <w:rFonts w:hint="eastAsia" w:ascii="宋体" w:hAnsi="宋体" w:cs="宋体"/>
          <w:color w:val="000000" w:themeColor="text1"/>
          <w:sz w:val="24"/>
          <w:highlight w:val="none"/>
          <w14:textFill>
            <w14:solidFill>
              <w14:schemeClr w14:val="tx1"/>
            </w14:solidFill>
          </w14:textFill>
        </w:rPr>
      </w:pPr>
    </w:p>
    <w:p w14:paraId="0EF1DFEB">
      <w:pPr>
        <w:tabs>
          <w:tab w:val="left" w:pos="6918"/>
        </w:tabs>
        <w:spacing w:before="75"/>
        <w:ind w:left="4398"/>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（盖单位章）</w:t>
      </w:r>
    </w:p>
    <w:p w14:paraId="6B67C240">
      <w:pPr>
        <w:tabs>
          <w:tab w:val="left" w:pos="6558"/>
          <w:tab w:val="left" w:pos="7278"/>
          <w:tab w:val="left" w:pos="7998"/>
        </w:tabs>
        <w:spacing w:before="113"/>
        <w:jc w:val="right"/>
        <w:rPr>
          <w:rFonts w:ascii="宋体" w:hAnsi="宋体" w:cs="宋体"/>
          <w:color w:val="000000" w:themeColor="text1"/>
          <w:sz w:val="24"/>
          <w:highlight w:val="none"/>
          <w14:textFill>
            <w14:solidFill>
              <w14:schemeClr w14:val="tx1"/>
            </w14:solidFill>
          </w14:textFill>
        </w:rPr>
      </w:pP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43D13FC3">
      <w:pPr>
        <w:spacing w:line="500" w:lineRule="exact"/>
        <w:rPr>
          <w:rFonts w:ascii="宋体" w:hAnsi="宋体" w:cs="宋体"/>
          <w:color w:val="000000" w:themeColor="text1"/>
          <w:sz w:val="24"/>
          <w:highlight w:val="none"/>
          <w14:textFill>
            <w14:solidFill>
              <w14:schemeClr w14:val="tx1"/>
            </w14:solidFill>
          </w14:textFill>
        </w:rPr>
      </w:pPr>
    </w:p>
    <w:p w14:paraId="6F8C9435">
      <w:pPr>
        <w:spacing w:line="500" w:lineRule="exact"/>
        <w:rPr>
          <w:rFonts w:ascii="宋体" w:hAnsi="宋体" w:cs="宋体"/>
          <w:color w:val="000000" w:themeColor="text1"/>
          <w:sz w:val="24"/>
          <w:highlight w:val="none"/>
          <w14:textFill>
            <w14:solidFill>
              <w14:schemeClr w14:val="tx1"/>
            </w14:solidFill>
          </w14:textFill>
        </w:rPr>
      </w:pPr>
    </w:p>
    <w:p w14:paraId="2F746959">
      <w:pPr>
        <w:rPr>
          <w:rFonts w:ascii="宋体" w:hAnsi="宋体" w:cs="宋体"/>
          <w:color w:val="000000" w:themeColor="text1"/>
          <w:sz w:val="24"/>
          <w:highlight w:val="none"/>
          <w14:textFill>
            <w14:solidFill>
              <w14:schemeClr w14:val="tx1"/>
            </w14:solidFill>
          </w14:textFill>
        </w:rPr>
      </w:pPr>
    </w:p>
    <w:p w14:paraId="5A9A9BEF">
      <w:pPr>
        <w:jc w:val="center"/>
        <w:rPr>
          <w:rFonts w:hint="eastAsia" w:ascii="宋体" w:hAnsi="宋体" w:cs="宋体"/>
          <w:color w:val="000000" w:themeColor="text1"/>
          <w:highlight w:val="none"/>
          <w14:textFill>
            <w14:solidFill>
              <w14:schemeClr w14:val="tx1"/>
            </w14:solidFill>
          </w14:textFill>
        </w:rPr>
      </w:pPr>
    </w:p>
    <w:p w14:paraId="4D4E7EB9">
      <w:pPr>
        <w:jc w:val="center"/>
        <w:rPr>
          <w:rFonts w:hint="eastAsia" w:ascii="宋体" w:hAnsi="宋体" w:cs="宋体"/>
          <w:color w:val="000000" w:themeColor="text1"/>
          <w:highlight w:val="none"/>
          <w14:textFill>
            <w14:solidFill>
              <w14:schemeClr w14:val="tx1"/>
            </w14:solidFill>
          </w14:textFill>
        </w:rPr>
      </w:pPr>
    </w:p>
    <w:p w14:paraId="52DCC5C1">
      <w:pPr>
        <w:jc w:val="center"/>
        <w:rPr>
          <w:rFonts w:hint="eastAsia" w:ascii="宋体" w:hAnsi="宋体" w:cs="宋体"/>
          <w:color w:val="000000" w:themeColor="text1"/>
          <w:highlight w:val="none"/>
          <w14:textFill>
            <w14:solidFill>
              <w14:schemeClr w14:val="tx1"/>
            </w14:solidFill>
          </w14:textFill>
        </w:rPr>
      </w:pPr>
    </w:p>
    <w:p w14:paraId="127D0D9D">
      <w:pPr>
        <w:jc w:val="center"/>
        <w:rPr>
          <w:rFonts w:hint="eastAsia" w:ascii="宋体" w:hAnsi="宋体" w:cs="宋体"/>
          <w:color w:val="000000" w:themeColor="text1"/>
          <w:highlight w:val="none"/>
          <w14:textFill>
            <w14:solidFill>
              <w14:schemeClr w14:val="tx1"/>
            </w14:solidFill>
          </w14:textFill>
        </w:rPr>
      </w:pPr>
    </w:p>
    <w:p w14:paraId="6E9F6DE3">
      <w:pPr>
        <w:jc w:val="center"/>
        <w:rPr>
          <w:rFonts w:hint="eastAsia" w:ascii="宋体" w:hAnsi="宋体" w:cs="宋体"/>
          <w:color w:val="000000" w:themeColor="text1"/>
          <w:highlight w:val="none"/>
          <w14:textFill>
            <w14:solidFill>
              <w14:schemeClr w14:val="tx1"/>
            </w14:solidFill>
          </w14:textFill>
        </w:rPr>
      </w:pPr>
    </w:p>
    <w:p w14:paraId="7F6EECC1">
      <w:pPr>
        <w:jc w:val="center"/>
        <w:rPr>
          <w:rFonts w:hint="eastAsia" w:ascii="宋体" w:hAnsi="宋体" w:cs="宋体"/>
          <w:color w:val="000000" w:themeColor="text1"/>
          <w:highlight w:val="none"/>
          <w14:textFill>
            <w14:solidFill>
              <w14:schemeClr w14:val="tx1"/>
            </w14:solidFill>
          </w14:textFill>
        </w:rPr>
      </w:pPr>
    </w:p>
    <w:p w14:paraId="3875798A">
      <w:pPr>
        <w:jc w:val="center"/>
        <w:rPr>
          <w:rFonts w:hint="eastAsia" w:ascii="宋体" w:hAnsi="宋体" w:cs="宋体"/>
          <w:color w:val="000000" w:themeColor="text1"/>
          <w:highlight w:val="none"/>
          <w14:textFill>
            <w14:solidFill>
              <w14:schemeClr w14:val="tx1"/>
            </w14:solidFill>
          </w14:textFill>
        </w:rPr>
      </w:pPr>
    </w:p>
    <w:p w14:paraId="5FF48C78">
      <w:pPr>
        <w:jc w:val="center"/>
        <w:rPr>
          <w:rFonts w:hint="eastAsia" w:ascii="宋体" w:hAnsi="宋体" w:cs="宋体"/>
          <w:color w:val="000000" w:themeColor="text1"/>
          <w:highlight w:val="none"/>
          <w14:textFill>
            <w14:solidFill>
              <w14:schemeClr w14:val="tx1"/>
            </w14:solidFill>
          </w14:textFill>
        </w:rPr>
      </w:pPr>
    </w:p>
    <w:p w14:paraId="78946AE1">
      <w:pPr>
        <w:jc w:val="center"/>
        <w:rPr>
          <w:rFonts w:ascii="宋体" w:hAnsi="宋体"/>
          <w:b/>
          <w:color w:val="000000" w:themeColor="text1"/>
          <w:sz w:val="28"/>
          <w:szCs w:val="28"/>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注：法定代表人的签字必须是亲笔签名，不得使用印章、签名章或其他电子制版签名代替。</w:t>
      </w:r>
    </w:p>
    <w:p w14:paraId="62BE87E1">
      <w:pP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51E665D5">
      <w:p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三、投标保证金</w:t>
      </w:r>
    </w:p>
    <w:p w14:paraId="7735EC3C">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p>
    <w:p w14:paraId="27E6162A">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如采用银行转账，投标人应在此提供汇款凭证的彩色扫描件。</w:t>
      </w:r>
    </w:p>
    <w:p w14:paraId="75305F63">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如采用电子保函，投标人应在此提供电子保函彩色扫描件。</w:t>
      </w:r>
    </w:p>
    <w:p w14:paraId="04129082">
      <w:pPr>
        <w:pStyle w:val="60"/>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如采用投标保证金保险，投标人应在此提供保单</w:t>
      </w:r>
      <w:r>
        <w:rPr>
          <w:rFonts w:hint="eastAsia" w:ascii="宋体" w:hAnsi="宋体" w:cs="宋体"/>
          <w:color w:val="000000" w:themeColor="text1"/>
          <w:highlight w:val="none"/>
          <w:lang w:val="zh-CN"/>
          <w14:textFill>
            <w14:solidFill>
              <w14:schemeClr w14:val="tx1"/>
            </w14:solidFill>
          </w14:textFill>
        </w:rPr>
        <w:t>彩色扫描件</w:t>
      </w:r>
      <w:r>
        <w:rPr>
          <w:rFonts w:hint="eastAsia" w:ascii="宋体" w:hAnsi="宋体" w:cs="宋体"/>
          <w:color w:val="000000" w:themeColor="text1"/>
          <w:highlight w:val="none"/>
          <w14:textFill>
            <w14:solidFill>
              <w14:schemeClr w14:val="tx1"/>
            </w14:solidFill>
          </w14:textFill>
        </w:rPr>
        <w:t>。</w:t>
      </w:r>
    </w:p>
    <w:p w14:paraId="3BE8AD5E">
      <w:pPr>
        <w:spacing w:line="360" w:lineRule="exact"/>
        <w:rPr>
          <w:rFonts w:ascii="宋体" w:hAnsi="宋体"/>
          <w:color w:val="000000" w:themeColor="text1"/>
          <w:sz w:val="24"/>
          <w:highlight w:val="none"/>
          <w14:textFill>
            <w14:solidFill>
              <w14:schemeClr w14:val="tx1"/>
            </w14:solidFill>
          </w14:textFill>
        </w:rPr>
      </w:pPr>
    </w:p>
    <w:p w14:paraId="0BF2C7D1">
      <w:pPr>
        <w:adjustRightInd w:val="0"/>
        <w:snapToGrid w:val="0"/>
        <w:spacing w:line="360" w:lineRule="auto"/>
        <w:rPr>
          <w:rFonts w:ascii="宋体" w:hAnsi="宋体"/>
          <w:color w:val="000000" w:themeColor="text1"/>
          <w:sz w:val="24"/>
          <w:highlight w:val="none"/>
          <w14:textFill>
            <w14:solidFill>
              <w14:schemeClr w14:val="tx1"/>
            </w14:solidFill>
          </w14:textFill>
        </w:rPr>
      </w:pPr>
    </w:p>
    <w:p w14:paraId="65A6575B">
      <w:pPr>
        <w:widowControl/>
        <w:jc w:val="left"/>
        <w:rPr>
          <w:rFonts w:ascii="宋体" w:hAnsi="宋体"/>
          <w:color w:val="000000" w:themeColor="text1"/>
          <w:sz w:val="24"/>
          <w:highlight w:val="none"/>
          <w14:textFill>
            <w14:solidFill>
              <w14:schemeClr w14:val="tx1"/>
            </w14:solidFill>
          </w14:textFill>
        </w:rPr>
      </w:pPr>
    </w:p>
    <w:p w14:paraId="5C2AE87D">
      <w:pPr>
        <w:rPr>
          <w:rFonts w:ascii="宋体" w:hAnsi="宋体" w:cs="宋体"/>
          <w:b/>
          <w:color w:val="000000" w:themeColor="text1"/>
          <w:sz w:val="28"/>
          <w:szCs w:val="28"/>
          <w:highlight w:val="none"/>
          <w14:textFill>
            <w14:solidFill>
              <w14:schemeClr w14:val="tx1"/>
            </w14:solidFill>
          </w14:textFill>
        </w:rPr>
      </w:pPr>
      <w:bookmarkStart w:id="1762" w:name="_Toc451261419"/>
      <w:bookmarkStart w:id="1763" w:name="_Toc453057237"/>
      <w:bookmarkStart w:id="1764" w:name="_Toc24192"/>
      <w:r>
        <w:rPr>
          <w:rFonts w:hint="eastAsia" w:ascii="宋体" w:hAnsi="宋体" w:cs="宋体"/>
          <w:b/>
          <w:color w:val="000000" w:themeColor="text1"/>
          <w:sz w:val="28"/>
          <w:szCs w:val="28"/>
          <w:highlight w:val="none"/>
          <w14:textFill>
            <w14:solidFill>
              <w14:schemeClr w14:val="tx1"/>
            </w14:solidFill>
          </w14:textFill>
        </w:rPr>
        <w:br w:type="page"/>
      </w:r>
    </w:p>
    <w:p w14:paraId="3BCCD3B0">
      <w:pPr>
        <w:pStyle w:val="4"/>
        <w:bidi w:val="0"/>
        <w:jc w:val="center"/>
        <w:rPr>
          <w:rFonts w:hint="eastAsia"/>
          <w:color w:val="000000" w:themeColor="text1"/>
          <w:sz w:val="28"/>
          <w:szCs w:val="36"/>
          <w:highlight w:val="none"/>
          <w14:textFill>
            <w14:solidFill>
              <w14:schemeClr w14:val="tx1"/>
            </w14:solidFill>
          </w14:textFill>
        </w:rPr>
      </w:pPr>
      <w:bookmarkStart w:id="1765" w:name="_Toc28220"/>
      <w:bookmarkStart w:id="1766" w:name="_Toc10201"/>
      <w:r>
        <w:rPr>
          <w:rFonts w:hint="eastAsia"/>
          <w:color w:val="000000" w:themeColor="text1"/>
          <w:sz w:val="28"/>
          <w:szCs w:val="36"/>
          <w:highlight w:val="none"/>
          <w14:textFill>
            <w14:solidFill>
              <w14:schemeClr w14:val="tx1"/>
            </w14:solidFill>
          </w14:textFill>
        </w:rPr>
        <w:t>四、资格审查资料（适用于未进行资格预审的）</w:t>
      </w:r>
      <w:bookmarkEnd w:id="1765"/>
      <w:bookmarkEnd w:id="1766"/>
    </w:p>
    <w:p w14:paraId="4F0E9F41">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一</w:t>
      </w:r>
      <w:r>
        <w:rPr>
          <w:rFonts w:hint="eastAsia" w:ascii="宋体" w:hAnsi="宋体" w:eastAsia="宋体" w:cs="宋体"/>
          <w:color w:val="000000" w:themeColor="text1"/>
          <w:sz w:val="24"/>
          <w:highlight w:val="none"/>
          <w14:textFill>
            <w14:solidFill>
              <w14:schemeClr w14:val="tx1"/>
            </w14:solidFill>
          </w14:textFill>
        </w:rPr>
        <w:t>）投标人基本情况表</w:t>
      </w:r>
    </w:p>
    <w:p w14:paraId="1591799D">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二</w:t>
      </w:r>
      <w:r>
        <w:rPr>
          <w:rFonts w:hint="eastAsia" w:ascii="宋体" w:hAnsi="宋体" w:eastAsia="宋体" w:cs="宋体"/>
          <w:color w:val="000000" w:themeColor="text1"/>
          <w:sz w:val="24"/>
          <w:highlight w:val="none"/>
          <w14:textFill>
            <w14:solidFill>
              <w14:schemeClr w14:val="tx1"/>
            </w14:solidFill>
          </w14:textFill>
        </w:rPr>
        <w:t>）投标人企业组织机构框图</w:t>
      </w:r>
    </w:p>
    <w:p w14:paraId="290A254D">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三</w:t>
      </w:r>
      <w:r>
        <w:rPr>
          <w:rFonts w:hint="eastAsia" w:ascii="宋体" w:hAnsi="宋体" w:eastAsia="宋体" w:cs="宋体"/>
          <w:color w:val="000000" w:themeColor="text1"/>
          <w:sz w:val="24"/>
          <w:highlight w:val="none"/>
          <w14:textFill>
            <w14:solidFill>
              <w14:schemeClr w14:val="tx1"/>
            </w14:solidFill>
          </w14:textFill>
        </w:rPr>
        <w:t>）近年财务状况表</w:t>
      </w:r>
    </w:p>
    <w:p w14:paraId="7D85B9BD">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i w:val="0"/>
          <w:iCs w:val="0"/>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四</w:t>
      </w:r>
      <w:r>
        <w:rPr>
          <w:rFonts w:hint="eastAsia" w:ascii="宋体" w:hAnsi="宋体" w:eastAsia="宋体" w:cs="宋体"/>
          <w:color w:val="000000" w:themeColor="text1"/>
          <w:sz w:val="24"/>
          <w:highlight w:val="none"/>
          <w14:textFill>
            <w14:solidFill>
              <w14:schemeClr w14:val="tx1"/>
            </w14:solidFill>
          </w14:textFill>
        </w:rPr>
        <w:t>）近年</w:t>
      </w:r>
      <w:r>
        <w:rPr>
          <w:rFonts w:hint="eastAsia" w:ascii="宋体" w:hAnsi="宋体" w:eastAsia="宋体" w:cs="宋体"/>
          <w:color w:val="000000" w:themeColor="text1"/>
          <w:sz w:val="24"/>
          <w:highlight w:val="none"/>
          <w:lang w:val="en-US" w:eastAsia="zh-CN"/>
          <w14:textFill>
            <w14:solidFill>
              <w14:schemeClr w14:val="tx1"/>
            </w14:solidFill>
          </w14:textFill>
        </w:rPr>
        <w:t>承接</w:t>
      </w:r>
      <w:r>
        <w:rPr>
          <w:rFonts w:hint="eastAsia" w:ascii="宋体" w:hAnsi="宋体" w:eastAsia="宋体" w:cs="宋体"/>
          <w:color w:val="000000" w:themeColor="text1"/>
          <w:sz w:val="24"/>
          <w:highlight w:val="none"/>
          <w14:textFill>
            <w14:solidFill>
              <w14:schemeClr w14:val="tx1"/>
            </w14:solidFill>
          </w14:textFill>
        </w:rPr>
        <w:t>的类似项目情况表</w:t>
      </w:r>
    </w:p>
    <w:p w14:paraId="416671AC">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四</w:t>
      </w: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承接</w:t>
      </w:r>
      <w:r>
        <w:rPr>
          <w:rFonts w:hint="eastAsia" w:ascii="宋体" w:hAnsi="宋体" w:eastAsia="宋体" w:cs="宋体"/>
          <w:color w:val="000000" w:themeColor="text1"/>
          <w:sz w:val="24"/>
          <w:highlight w:val="none"/>
          <w14:textFill>
            <w14:solidFill>
              <w14:schemeClr w14:val="tx1"/>
            </w14:solidFill>
          </w14:textFill>
        </w:rPr>
        <w:t>的类似项目情况汇总表</w:t>
      </w:r>
    </w:p>
    <w:p w14:paraId="62A96EB7">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四</w:t>
      </w:r>
      <w:r>
        <w:rPr>
          <w:rFonts w:hint="eastAsia" w:ascii="宋体" w:hAnsi="宋体" w:eastAsia="宋体" w:cs="宋体"/>
          <w:color w:val="000000" w:themeColor="text1"/>
          <w:sz w:val="24"/>
          <w:highlight w:val="none"/>
          <w14:textFill>
            <w14:solidFill>
              <w14:schemeClr w14:val="tx1"/>
            </w14:solidFill>
          </w14:textFill>
        </w:rPr>
        <w:t xml:space="preserve">）-2 </w:t>
      </w:r>
      <w:r>
        <w:rPr>
          <w:rFonts w:hint="eastAsia" w:ascii="宋体" w:hAnsi="宋体" w:eastAsia="宋体" w:cs="宋体"/>
          <w:color w:val="000000" w:themeColor="text1"/>
          <w:sz w:val="24"/>
          <w:highlight w:val="none"/>
          <w:lang w:val="en-US" w:eastAsia="zh-CN"/>
          <w14:textFill>
            <w14:solidFill>
              <w14:schemeClr w14:val="tx1"/>
            </w14:solidFill>
          </w14:textFill>
        </w:rPr>
        <w:t>承接</w:t>
      </w:r>
      <w:r>
        <w:rPr>
          <w:rFonts w:hint="eastAsia" w:ascii="宋体" w:hAnsi="宋体" w:eastAsia="宋体" w:cs="宋体"/>
          <w:color w:val="000000" w:themeColor="text1"/>
          <w:sz w:val="24"/>
          <w:highlight w:val="none"/>
          <w14:textFill>
            <w14:solidFill>
              <w14:schemeClr w14:val="tx1"/>
            </w14:solidFill>
          </w14:textFill>
        </w:rPr>
        <w:t>的类似项目情况表</w:t>
      </w:r>
    </w:p>
    <w:p w14:paraId="37D3D09D">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（五）投标人的信誉情况表</w:t>
      </w:r>
    </w:p>
    <w:p w14:paraId="01FA53CC">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（六）拟委任的项目经理和项目总工情况表</w:t>
      </w:r>
    </w:p>
    <w:p w14:paraId="24A8C04B">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（六）-1 拟委任的项目经理和项目总工汇总表</w:t>
      </w:r>
    </w:p>
    <w:p w14:paraId="1E6CD775">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（六）-2拟委任的项目经理和项目总工资历表</w:t>
      </w:r>
    </w:p>
    <w:p w14:paraId="28AD8461">
      <w:pPr>
        <w:pStyle w:val="2"/>
        <w:rPr>
          <w:rFonts w:hint="eastAsia" w:ascii="宋体" w:hAnsi="宋体" w:eastAsia="宋体" w:cs="宋体"/>
          <w:color w:val="000000" w:themeColor="text1"/>
          <w:sz w:val="24"/>
          <w:highlight w:val="none"/>
          <w14:textFill>
            <w14:solidFill>
              <w14:schemeClr w14:val="tx1"/>
            </w14:solidFill>
          </w14:textFill>
        </w:rPr>
      </w:pPr>
    </w:p>
    <w:p w14:paraId="54D67121">
      <w:pPr>
        <w:rPr>
          <w:rFonts w:hint="eastAsia" w:ascii="宋体" w:hAnsi="宋体" w:eastAsia="宋体" w:cs="宋体"/>
          <w:color w:val="000000" w:themeColor="text1"/>
          <w:sz w:val="24"/>
          <w:highlight w:val="none"/>
          <w14:textFill>
            <w14:solidFill>
              <w14:schemeClr w14:val="tx1"/>
            </w14:solidFill>
          </w14:textFill>
        </w:rPr>
      </w:pPr>
    </w:p>
    <w:p w14:paraId="50067B32">
      <w:pPr>
        <w:pStyle w:val="2"/>
        <w:rPr>
          <w:rFonts w:hint="eastAsia" w:ascii="宋体" w:hAnsi="宋体" w:eastAsia="宋体" w:cs="宋体"/>
          <w:color w:val="000000" w:themeColor="text1"/>
          <w:sz w:val="24"/>
          <w:highlight w:val="none"/>
          <w14:textFill>
            <w14:solidFill>
              <w14:schemeClr w14:val="tx1"/>
            </w14:solidFill>
          </w14:textFill>
        </w:rPr>
      </w:pPr>
    </w:p>
    <w:p w14:paraId="26AF6F37">
      <w:pPr>
        <w:rPr>
          <w:rFonts w:hint="eastAsia" w:ascii="宋体" w:hAnsi="宋体" w:eastAsia="宋体" w:cs="宋体"/>
          <w:color w:val="000000" w:themeColor="text1"/>
          <w:sz w:val="24"/>
          <w:highlight w:val="none"/>
          <w14:textFill>
            <w14:solidFill>
              <w14:schemeClr w14:val="tx1"/>
            </w14:solidFill>
          </w14:textFill>
        </w:rPr>
      </w:pPr>
    </w:p>
    <w:p w14:paraId="491545F3">
      <w:pPr>
        <w:pStyle w:val="2"/>
        <w:rPr>
          <w:rFonts w:hint="eastAsia" w:ascii="宋体" w:hAnsi="宋体" w:eastAsia="宋体" w:cs="宋体"/>
          <w:color w:val="000000" w:themeColor="text1"/>
          <w:sz w:val="24"/>
          <w:highlight w:val="none"/>
          <w14:textFill>
            <w14:solidFill>
              <w14:schemeClr w14:val="tx1"/>
            </w14:solidFill>
          </w14:textFill>
        </w:rPr>
      </w:pPr>
    </w:p>
    <w:p w14:paraId="54AB1129">
      <w:pPr>
        <w:rPr>
          <w:rFonts w:hint="eastAsia" w:ascii="宋体" w:hAnsi="宋体" w:eastAsia="宋体" w:cs="宋体"/>
          <w:color w:val="000000" w:themeColor="text1"/>
          <w:sz w:val="24"/>
          <w:highlight w:val="none"/>
          <w14:textFill>
            <w14:solidFill>
              <w14:schemeClr w14:val="tx1"/>
            </w14:solidFill>
          </w14:textFill>
        </w:rPr>
      </w:pPr>
    </w:p>
    <w:p w14:paraId="75CC4330">
      <w:pPr>
        <w:pStyle w:val="2"/>
        <w:rPr>
          <w:rFonts w:hint="eastAsia" w:ascii="宋体" w:hAnsi="宋体" w:eastAsia="宋体" w:cs="宋体"/>
          <w:color w:val="000000" w:themeColor="text1"/>
          <w:sz w:val="24"/>
          <w:highlight w:val="none"/>
          <w14:textFill>
            <w14:solidFill>
              <w14:schemeClr w14:val="tx1"/>
            </w14:solidFill>
          </w14:textFill>
        </w:rPr>
      </w:pPr>
    </w:p>
    <w:p w14:paraId="660BA390">
      <w:pPr>
        <w:rPr>
          <w:rFonts w:hint="eastAsia" w:ascii="宋体" w:hAnsi="宋体" w:eastAsia="宋体" w:cs="宋体"/>
          <w:color w:val="000000" w:themeColor="text1"/>
          <w:sz w:val="24"/>
          <w:highlight w:val="none"/>
          <w14:textFill>
            <w14:solidFill>
              <w14:schemeClr w14:val="tx1"/>
            </w14:solidFill>
          </w14:textFill>
        </w:rPr>
      </w:pPr>
    </w:p>
    <w:p w14:paraId="0ED1CA5F">
      <w:pPr>
        <w:pStyle w:val="2"/>
        <w:rPr>
          <w:rFonts w:hint="eastAsia" w:ascii="宋体" w:hAnsi="宋体" w:eastAsia="宋体" w:cs="宋体"/>
          <w:color w:val="000000" w:themeColor="text1"/>
          <w:sz w:val="24"/>
          <w:highlight w:val="none"/>
          <w14:textFill>
            <w14:solidFill>
              <w14:schemeClr w14:val="tx1"/>
            </w14:solidFill>
          </w14:textFill>
        </w:rPr>
      </w:pPr>
    </w:p>
    <w:p w14:paraId="01D87623">
      <w:pPr>
        <w:rPr>
          <w:rFonts w:hint="eastAsia" w:ascii="宋体" w:hAnsi="宋体" w:eastAsia="宋体" w:cs="宋体"/>
          <w:color w:val="000000" w:themeColor="text1"/>
          <w:sz w:val="24"/>
          <w:highlight w:val="none"/>
          <w14:textFill>
            <w14:solidFill>
              <w14:schemeClr w14:val="tx1"/>
            </w14:solidFill>
          </w14:textFill>
        </w:rPr>
      </w:pPr>
    </w:p>
    <w:p w14:paraId="7DA711FB">
      <w:pPr>
        <w:pStyle w:val="2"/>
        <w:rPr>
          <w:rFonts w:hint="eastAsia" w:ascii="宋体" w:hAnsi="宋体" w:eastAsia="宋体" w:cs="宋体"/>
          <w:color w:val="000000" w:themeColor="text1"/>
          <w:sz w:val="24"/>
          <w:highlight w:val="none"/>
          <w14:textFill>
            <w14:solidFill>
              <w14:schemeClr w14:val="tx1"/>
            </w14:solidFill>
          </w14:textFill>
        </w:rPr>
      </w:pPr>
    </w:p>
    <w:p w14:paraId="300255D6">
      <w:pPr>
        <w:rPr>
          <w:rFonts w:hint="eastAsia" w:ascii="宋体" w:hAnsi="宋体" w:eastAsia="宋体" w:cs="宋体"/>
          <w:color w:val="000000" w:themeColor="text1"/>
          <w:sz w:val="24"/>
          <w:highlight w:val="none"/>
          <w14:textFill>
            <w14:solidFill>
              <w14:schemeClr w14:val="tx1"/>
            </w14:solidFill>
          </w14:textFill>
        </w:rPr>
      </w:pPr>
    </w:p>
    <w:p w14:paraId="7A7D6C16">
      <w:pPr>
        <w:pStyle w:val="2"/>
        <w:rPr>
          <w:rFonts w:hint="eastAsia" w:ascii="宋体" w:hAnsi="宋体" w:eastAsia="宋体" w:cs="宋体"/>
          <w:color w:val="000000" w:themeColor="text1"/>
          <w:sz w:val="24"/>
          <w:highlight w:val="none"/>
          <w14:textFill>
            <w14:solidFill>
              <w14:schemeClr w14:val="tx1"/>
            </w14:solidFill>
          </w14:textFill>
        </w:rPr>
      </w:pPr>
    </w:p>
    <w:p w14:paraId="22722246">
      <w:pPr>
        <w:rPr>
          <w:rFonts w:hint="eastAsia"/>
          <w:color w:val="000000" w:themeColor="text1"/>
          <w14:textFill>
            <w14:solidFill>
              <w14:schemeClr w14:val="tx1"/>
            </w14:solidFill>
          </w14:textFill>
        </w:rPr>
      </w:pPr>
    </w:p>
    <w:p w14:paraId="2E2E612B">
      <w:pPr>
        <w:spacing w:line="360" w:lineRule="auto"/>
        <w:jc w:val="both"/>
        <w:rPr>
          <w:rFonts w:hint="eastAsia" w:ascii="宋体" w:hAnsi="宋体" w:cs="宋体"/>
          <w:b/>
          <w:color w:val="000000" w:themeColor="text1"/>
          <w:sz w:val="24"/>
          <w:highlight w:val="none"/>
          <w14:textFill>
            <w14:solidFill>
              <w14:schemeClr w14:val="tx1"/>
            </w14:solidFill>
          </w14:textFill>
        </w:rPr>
      </w:pPr>
    </w:p>
    <w:p w14:paraId="6CC2402B">
      <w:pPr>
        <w:widowControl w:val="0"/>
        <w:numPr>
          <w:ilvl w:val="0"/>
          <w:numId w:val="0"/>
        </w:numPr>
        <w:jc w:val="center"/>
        <w:rPr>
          <w:rFonts w:ascii="宋体" w:hAnsi="宋体"/>
          <w:b/>
          <w:color w:val="000000" w:themeColor="text1"/>
          <w:sz w:val="28"/>
          <w:szCs w:val="28"/>
          <w:highlight w:val="none"/>
          <w14:textFill>
            <w14:solidFill>
              <w14:schemeClr w14:val="tx1"/>
            </w14:solidFill>
          </w14:textFill>
        </w:rPr>
      </w:pPr>
    </w:p>
    <w:p w14:paraId="4BD224B9">
      <w:pPr>
        <w:numPr>
          <w:ilvl w:val="0"/>
          <w:numId w:val="26"/>
        </w:num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施工组织设计</w:t>
      </w:r>
    </w:p>
    <w:p w14:paraId="2467B22B">
      <w:pPr>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根据《广东省高速公路工程施工组织设计和施工方案标准化管理指南》《广东省公路工程施工标准化指南》及《广东省高速公路工程施工安全标准化指南》《公路工程施工安全防护设施技术指南》，投标人应按以下要点编制施工组织设计，契合项目实际，突出重点，抓住关键。</w:t>
      </w:r>
    </w:p>
    <w:p w14:paraId="755008A5">
      <w:pPr>
        <w:spacing w:line="440" w:lineRule="exact"/>
        <w:ind w:firstLine="480" w:firstLineChars="200"/>
        <w:rPr>
          <w:rFonts w:ascii="宋体" w:hAnsi="宋体" w:cs="宋体"/>
          <w:color w:val="000000" w:themeColor="text1"/>
          <w:sz w:val="24"/>
          <w:highlight w:val="none"/>
          <w14:textFill>
            <w14:solidFill>
              <w14:schemeClr w14:val="tx1"/>
            </w14:solidFill>
          </w14:textFill>
        </w:rPr>
      </w:pPr>
    </w:p>
    <w:p w14:paraId="0D77AD04">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1、总体施工组织布置及规划</w:t>
      </w:r>
    </w:p>
    <w:p w14:paraId="5561E885">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2、主要工程项目的施工方案与技术措施                                     </w:t>
      </w:r>
    </w:p>
    <w:p w14:paraId="1F16573D">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3、工期保证措施</w:t>
      </w:r>
    </w:p>
    <w:p w14:paraId="2E53ED29">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4、工程质量保证措施</w:t>
      </w:r>
    </w:p>
    <w:p w14:paraId="2BDAC947">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5、安全生产保证措施</w:t>
      </w:r>
    </w:p>
    <w:p w14:paraId="5F5D5B0F">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6、环境保护、水土保持保证措施</w:t>
      </w:r>
    </w:p>
    <w:p w14:paraId="19A4E7FD">
      <w:pPr>
        <w:spacing w:line="44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7、文明施工、文物保护保证措施</w:t>
      </w:r>
    </w:p>
    <w:p w14:paraId="1C64DEC3">
      <w:pPr>
        <w:pStyle w:val="56"/>
        <w:ind w:left="15" w:leftChars="7" w:firstLine="403" w:firstLineChars="168"/>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8、其他应说明的事项</w:t>
      </w:r>
    </w:p>
    <w:p w14:paraId="73B6BA3D">
      <w:pPr>
        <w:pStyle w:val="56"/>
        <w:ind w:left="15" w:leftChars="7" w:firstLine="470" w:firstLineChars="168"/>
        <w:rPr>
          <w:color w:val="000000" w:themeColor="text1"/>
          <w:highlight w:val="none"/>
          <w14:textFill>
            <w14:solidFill>
              <w14:schemeClr w14:val="tx1"/>
            </w14:solidFill>
          </w14:textFill>
        </w:rPr>
      </w:pPr>
    </w:p>
    <w:p w14:paraId="64D5F283">
      <w:pPr>
        <w:pStyle w:val="56"/>
        <w:widowControl w:val="0"/>
        <w:numPr>
          <w:ilvl w:val="0"/>
          <w:numId w:val="0"/>
        </w:numPr>
        <w:spacing w:line="560" w:lineRule="exact"/>
        <w:ind w:left="15" w:leftChars="7" w:firstLine="403" w:firstLineChars="168"/>
        <w:jc w:val="both"/>
        <w:rPr>
          <w:rFonts w:hint="eastAsia" w:ascii="宋体" w:hAnsi="宋体" w:cs="宋体"/>
          <w:color w:val="000000" w:themeColor="text1"/>
          <w:sz w:val="24"/>
          <w:szCs w:val="24"/>
          <w:highlight w:val="none"/>
          <w:lang w:val="en-US" w:eastAsia="zh-CN"/>
          <w14:textFill>
            <w14:solidFill>
              <w14:schemeClr w14:val="tx1"/>
            </w14:solidFill>
          </w14:textFill>
        </w:rPr>
      </w:pPr>
    </w:p>
    <w:p w14:paraId="60C661EA">
      <w:pPr>
        <w:pStyle w:val="56"/>
        <w:widowControl w:val="0"/>
        <w:numPr>
          <w:ilvl w:val="0"/>
          <w:numId w:val="0"/>
        </w:numPr>
        <w:spacing w:line="560" w:lineRule="exact"/>
        <w:ind w:left="15" w:leftChars="7" w:firstLine="403" w:firstLineChars="168"/>
        <w:jc w:val="both"/>
        <w:rPr>
          <w:rFonts w:hint="eastAsia" w:ascii="宋体" w:hAnsi="宋体" w:cs="宋体"/>
          <w:color w:val="000000" w:themeColor="text1"/>
          <w:sz w:val="24"/>
          <w:szCs w:val="24"/>
          <w:highlight w:val="none"/>
          <w:lang w:val="en-US" w:eastAsia="zh-CN"/>
          <w14:textFill>
            <w14:solidFill>
              <w14:schemeClr w14:val="tx1"/>
            </w14:solidFill>
          </w14:textFill>
        </w:rPr>
      </w:pPr>
    </w:p>
    <w:p w14:paraId="12026A96">
      <w:pPr>
        <w:pStyle w:val="56"/>
        <w:widowControl w:val="0"/>
        <w:numPr>
          <w:ilvl w:val="0"/>
          <w:numId w:val="0"/>
        </w:numPr>
        <w:spacing w:line="560" w:lineRule="exact"/>
        <w:ind w:left="15" w:leftChars="7" w:firstLine="403" w:firstLineChars="168"/>
        <w:jc w:val="both"/>
        <w:rPr>
          <w:rFonts w:hint="default" w:ascii="宋体" w:hAnsi="宋体" w:cs="宋体"/>
          <w:color w:val="000000" w:themeColor="text1"/>
          <w:sz w:val="24"/>
          <w:szCs w:val="24"/>
          <w:highlight w:val="none"/>
          <w:lang w:val="en-US" w:eastAsia="zh-CN"/>
          <w14:textFill>
            <w14:solidFill>
              <w14:schemeClr w14:val="tx1"/>
            </w14:solidFill>
          </w14:textFill>
        </w:rPr>
        <w:sectPr>
          <w:headerReference r:id="rId11" w:type="default"/>
          <w:footerReference r:id="rId12" w:type="default"/>
          <w:footnotePr>
            <w:numFmt w:val="decimalEnclosedCircleChinese"/>
          </w:footnotePr>
          <w:pgSz w:w="11906" w:h="16838"/>
          <w:pgMar w:top="1038" w:right="924" w:bottom="936" w:left="1418" w:header="624" w:footer="590" w:gutter="0"/>
          <w:cols w:space="720" w:num="1"/>
          <w:docGrid w:type="lines" w:linePitch="312" w:charSpace="0"/>
        </w:sectPr>
      </w:pPr>
    </w:p>
    <w:p w14:paraId="7124AA27">
      <w:pPr>
        <w:spacing w:before="66" w:line="379" w:lineRule="auto"/>
        <w:ind w:left="7" w:right="382" w:firstLine="420"/>
        <w:rPr>
          <w:rFonts w:ascii="宋体" w:hAnsi="宋体" w:cs="宋体"/>
          <w:color w:val="000000" w:themeColor="text1"/>
          <w:spacing w:val="9"/>
          <w:sz w:val="20"/>
          <w:szCs w:val="20"/>
          <w:highlight w:val="none"/>
          <w14:textFill>
            <w14:solidFill>
              <w14:schemeClr w14:val="tx1"/>
            </w14:solidFill>
          </w14:textFill>
        </w:rPr>
      </w:pPr>
    </w:p>
    <w:p w14:paraId="60F57665">
      <w:p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五、项目管理机构</w:t>
      </w:r>
    </w:p>
    <w:tbl>
      <w:tblPr>
        <w:tblStyle w:val="43"/>
        <w:tblW w:w="9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56"/>
      </w:tblGrid>
      <w:tr w14:paraId="74484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88" w:hRule="atLeast"/>
          <w:jc w:val="center"/>
        </w:trPr>
        <w:tc>
          <w:tcPr>
            <w:tcW w:w="9356" w:type="dxa"/>
          </w:tcPr>
          <w:p w14:paraId="5D96170F">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p>
          <w:p w14:paraId="59D62638">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拟为承包本标段工程设立的组织机构以框图方式表示。</w:t>
            </w:r>
          </w:p>
        </w:tc>
      </w:tr>
      <w:tr w14:paraId="07EAD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8" w:hRule="atLeast"/>
          <w:jc w:val="center"/>
        </w:trPr>
        <w:tc>
          <w:tcPr>
            <w:tcW w:w="9356" w:type="dxa"/>
          </w:tcPr>
          <w:p w14:paraId="54247EF9">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p>
          <w:p w14:paraId="7F507659">
            <w:pPr>
              <w:keepNext w:val="0"/>
              <w:keepLines w:val="0"/>
              <w:suppressLineNumbers w:val="0"/>
              <w:spacing w:before="0" w:beforeAutospacing="0" w:after="0" w:afterAutospacing="0"/>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tc>
      </w:tr>
    </w:tbl>
    <w:p w14:paraId="718996C8">
      <w:pPr>
        <w:pStyle w:val="56"/>
        <w:ind w:left="15" w:leftChars="7" w:firstLine="403" w:firstLineChars="168"/>
        <w:rPr>
          <w:rFonts w:ascii="宋体" w:hAnsi="宋体" w:cs="宋体"/>
          <w:color w:val="000000" w:themeColor="text1"/>
          <w:sz w:val="24"/>
          <w:szCs w:val="24"/>
          <w:highlight w:val="none"/>
          <w14:textFill>
            <w14:solidFill>
              <w14:schemeClr w14:val="tx1"/>
            </w14:solidFill>
          </w14:textFill>
        </w:rPr>
        <w:sectPr>
          <w:headerReference r:id="rId13" w:type="default"/>
          <w:footerReference r:id="rId14" w:type="default"/>
          <w:footnotePr>
            <w:numFmt w:val="decimalEnclosedCircleChinese"/>
          </w:footnotePr>
          <w:pgSz w:w="11906" w:h="16838"/>
          <w:pgMar w:top="1038" w:right="924" w:bottom="936" w:left="1418" w:header="624" w:footer="590" w:gutter="0"/>
          <w:pgNumType w:fmt="decimal"/>
          <w:cols w:space="720" w:num="1"/>
          <w:docGrid w:type="lines" w:linePitch="312" w:charSpace="0"/>
        </w:sectPr>
      </w:pPr>
    </w:p>
    <w:p w14:paraId="4312358B">
      <w:p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六、拟分包项目情况表</w:t>
      </w:r>
    </w:p>
    <w:tbl>
      <w:tblPr>
        <w:tblStyle w:val="43"/>
        <w:tblW w:w="9638" w:type="dxa"/>
        <w:tblInd w:w="16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10"/>
        <w:gridCol w:w="2409"/>
        <w:gridCol w:w="2409"/>
        <w:gridCol w:w="2410"/>
      </w:tblGrid>
      <w:tr w14:paraId="0EDF02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2" w:hRule="atLeast"/>
        </w:trPr>
        <w:tc>
          <w:tcPr>
            <w:tcW w:w="2410" w:type="dxa"/>
            <w:tcBorders>
              <w:bottom w:val="single" w:color="000000" w:sz="6" w:space="0"/>
              <w:right w:val="single" w:color="000000" w:sz="6" w:space="0"/>
            </w:tcBorders>
          </w:tcPr>
          <w:p w14:paraId="07FD3FC8">
            <w:pPr>
              <w:pStyle w:val="81"/>
              <w:keepNext w:val="0"/>
              <w:keepLines w:val="0"/>
              <w:suppressLineNumbers w:val="0"/>
              <w:spacing w:before="46" w:beforeAutospacing="0" w:after="0" w:afterAutospacing="0" w:line="242" w:lineRule="auto"/>
              <w:ind w:left="964" w:right="461" w:hanging="48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拟分包的工程项目</w:t>
            </w:r>
          </w:p>
        </w:tc>
        <w:tc>
          <w:tcPr>
            <w:tcW w:w="2409" w:type="dxa"/>
            <w:tcBorders>
              <w:left w:val="single" w:color="000000" w:sz="6" w:space="0"/>
              <w:bottom w:val="single" w:color="000000" w:sz="6" w:space="0"/>
              <w:right w:val="single" w:color="000000" w:sz="6" w:space="0"/>
            </w:tcBorders>
          </w:tcPr>
          <w:p w14:paraId="5E5AC2EB">
            <w:pPr>
              <w:pStyle w:val="81"/>
              <w:keepNext w:val="0"/>
              <w:keepLines w:val="0"/>
              <w:suppressLineNumbers w:val="0"/>
              <w:spacing w:before="201" w:beforeAutospacing="0" w:after="0" w:afterAutospacing="0"/>
              <w:ind w:left="491"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主要工程内容</w:t>
            </w:r>
          </w:p>
        </w:tc>
        <w:tc>
          <w:tcPr>
            <w:tcW w:w="2409" w:type="dxa"/>
            <w:tcBorders>
              <w:left w:val="single" w:color="000000" w:sz="6" w:space="0"/>
              <w:bottom w:val="single" w:color="000000" w:sz="6" w:space="0"/>
              <w:right w:val="single" w:color="000000" w:sz="6" w:space="0"/>
            </w:tcBorders>
          </w:tcPr>
          <w:p w14:paraId="704AD9D3">
            <w:pPr>
              <w:pStyle w:val="81"/>
              <w:keepNext w:val="0"/>
              <w:keepLines w:val="0"/>
              <w:suppressLineNumbers w:val="0"/>
              <w:spacing w:before="201" w:beforeAutospacing="0" w:after="0" w:afterAutospacing="0"/>
              <w:ind w:left="253"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预计造价（万元）</w:t>
            </w:r>
          </w:p>
        </w:tc>
        <w:tc>
          <w:tcPr>
            <w:tcW w:w="2410" w:type="dxa"/>
            <w:tcBorders>
              <w:left w:val="single" w:color="000000" w:sz="6" w:space="0"/>
              <w:bottom w:val="single" w:color="000000" w:sz="6" w:space="0"/>
            </w:tcBorders>
          </w:tcPr>
          <w:p w14:paraId="6ADA34F0">
            <w:pPr>
              <w:pStyle w:val="81"/>
              <w:keepNext w:val="0"/>
              <w:keepLines w:val="0"/>
              <w:suppressLineNumbers w:val="0"/>
              <w:spacing w:before="201" w:beforeAutospacing="0" w:after="0" w:afterAutospacing="0"/>
              <w:ind w:left="130" w:right="91"/>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r>
      <w:tr w14:paraId="732D65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410" w:type="dxa"/>
            <w:tcBorders>
              <w:top w:val="single" w:color="000000" w:sz="6" w:space="0"/>
              <w:bottom w:val="single" w:color="000000" w:sz="6" w:space="0"/>
              <w:right w:val="single" w:color="000000" w:sz="6" w:space="0"/>
            </w:tcBorders>
          </w:tcPr>
          <w:p w14:paraId="7313F560">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46C08B24">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2FE50B41">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restart"/>
            <w:tcBorders>
              <w:top w:val="single" w:color="000000" w:sz="6" w:space="0"/>
              <w:left w:val="single" w:color="000000" w:sz="6" w:space="0"/>
            </w:tcBorders>
          </w:tcPr>
          <w:p w14:paraId="7FD0BC65">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523149CB">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19223B4A">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0E223280">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6D65D2C1">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7DE04597">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174611E3">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7200775F">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364857AC">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7945665E">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45043913">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66DBC946">
            <w:pPr>
              <w:pStyle w:val="81"/>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4DDBAF66">
            <w:pPr>
              <w:pStyle w:val="81"/>
              <w:keepNext w:val="0"/>
              <w:keepLines w:val="0"/>
              <w:suppressLineNumbers w:val="0"/>
              <w:spacing w:before="1" w:beforeAutospacing="0" w:after="0" w:afterAutospacing="0"/>
              <w:ind w:left="0" w:right="0"/>
              <w:rPr>
                <w:rFonts w:hint="default" w:ascii="宋体" w:hAnsi="宋体" w:cs="宋体"/>
                <w:color w:val="000000" w:themeColor="text1"/>
                <w:sz w:val="29"/>
                <w:highlight w:val="none"/>
                <w14:textFill>
                  <w14:solidFill>
                    <w14:schemeClr w14:val="tx1"/>
                  </w14:solidFill>
                </w14:textFill>
              </w:rPr>
            </w:pPr>
          </w:p>
          <w:p w14:paraId="3C2FD69A">
            <w:pPr>
              <w:pStyle w:val="81"/>
              <w:keepNext w:val="0"/>
              <w:keepLines w:val="0"/>
              <w:suppressLineNumbers w:val="0"/>
              <w:spacing w:before="0" w:beforeAutospacing="0" w:after="0" w:afterAutospacing="0" w:line="242" w:lineRule="auto"/>
              <w:ind w:left="133" w:right="91"/>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注：若无分包计划， 则投标人应在本表填写“无”。</w:t>
            </w:r>
          </w:p>
        </w:tc>
      </w:tr>
      <w:tr w14:paraId="66C63C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01375513">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4E3BF69E">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4383408B">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05CC2DE0">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647066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360117D5">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4B762EB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31062E7E">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17EB6D4F">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180366F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384BAB2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C19B1E5">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2671D575">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42EF202A">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29AD35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75BC840A">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CDE4FDB">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5F8BF733">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6081DB6">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476123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426E335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54A5BD59">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B28DC77">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D05AE89">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38E5C8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3C570722">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4EA8B0EB">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21E72DB">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F6EEE17">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3410C1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4E1CCF4C">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6EB23265">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0C5D734A">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F6CA57A">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04F786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1A611034">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2DAED835">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31D8752D">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3C5CC137">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7659CA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191E9C2F">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6E4ECC2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FD7232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D56F019">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100E567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4B4CA84C">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3141595C">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4429913E">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144FCFB">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64C420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0F4A1EBE">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9A028C9">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6DDD8D0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40AA984D">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4A383C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374FCF98">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24D82FC8">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1760ABA1">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16A51F3">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731339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2410" w:type="dxa"/>
            <w:tcBorders>
              <w:top w:val="single" w:color="000000" w:sz="6" w:space="0"/>
              <w:bottom w:val="single" w:color="000000" w:sz="6" w:space="0"/>
              <w:right w:val="single" w:color="000000" w:sz="6" w:space="0"/>
            </w:tcBorders>
          </w:tcPr>
          <w:p w14:paraId="2CD4D0FC">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310B9754">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70A7BD01">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7365D973">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3D6F70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2410" w:type="dxa"/>
            <w:tcBorders>
              <w:top w:val="single" w:color="000000" w:sz="6" w:space="0"/>
              <w:bottom w:val="single" w:color="000000" w:sz="6" w:space="0"/>
              <w:right w:val="single" w:color="000000" w:sz="6" w:space="0"/>
            </w:tcBorders>
          </w:tcPr>
          <w:p w14:paraId="4F29C140">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69070007">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09" w:type="dxa"/>
            <w:tcBorders>
              <w:top w:val="single" w:color="000000" w:sz="6" w:space="0"/>
              <w:left w:val="single" w:color="000000" w:sz="6" w:space="0"/>
              <w:bottom w:val="single" w:color="000000" w:sz="6" w:space="0"/>
              <w:right w:val="single" w:color="000000" w:sz="6" w:space="0"/>
            </w:tcBorders>
          </w:tcPr>
          <w:p w14:paraId="156EEA50">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0D1128BD">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r w14:paraId="422819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4819" w:type="dxa"/>
            <w:gridSpan w:val="2"/>
            <w:tcBorders>
              <w:top w:val="single" w:color="000000" w:sz="6" w:space="0"/>
              <w:right w:val="single" w:color="000000" w:sz="6" w:space="0"/>
            </w:tcBorders>
          </w:tcPr>
          <w:p w14:paraId="2A53DDB8">
            <w:pPr>
              <w:pStyle w:val="81"/>
              <w:keepNext w:val="0"/>
              <w:keepLines w:val="0"/>
              <w:suppressLineNumbers w:val="0"/>
              <w:spacing w:before="140" w:beforeAutospacing="0" w:after="0" w:afterAutospacing="0"/>
              <w:ind w:left="1109" w:right="0"/>
              <w:rPr>
                <w:rFonts w:hint="default" w:ascii="宋体" w:hAnsi="宋体" w:cs="宋体"/>
                <w:color w:val="000000" w:themeColor="text1"/>
                <w:sz w:val="20"/>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拟分包工程造价合计（万元）</w:t>
            </w:r>
          </w:p>
        </w:tc>
        <w:tc>
          <w:tcPr>
            <w:tcW w:w="2409" w:type="dxa"/>
            <w:tcBorders>
              <w:top w:val="single" w:color="000000" w:sz="6" w:space="0"/>
              <w:left w:val="single" w:color="000000" w:sz="6" w:space="0"/>
              <w:right w:val="single" w:color="000000" w:sz="6" w:space="0"/>
            </w:tcBorders>
          </w:tcPr>
          <w:p w14:paraId="521558F6">
            <w:pPr>
              <w:pStyle w:val="81"/>
              <w:keepNext w:val="0"/>
              <w:keepLines w:val="0"/>
              <w:suppressLineNumbers w:val="0"/>
              <w:spacing w:before="0" w:beforeAutospacing="0" w:after="0" w:afterAutospacing="0"/>
              <w:ind w:left="0" w:right="0"/>
              <w:rPr>
                <w:rFonts w:hint="default" w:ascii="宋体" w:hAnsi="宋体" w:cs="宋体"/>
                <w:color w:val="000000" w:themeColor="text1"/>
                <w:sz w:val="20"/>
                <w:highlight w:val="none"/>
                <w14:textFill>
                  <w14:solidFill>
                    <w14:schemeClr w14:val="tx1"/>
                  </w14:solidFill>
                </w14:textFill>
              </w:rPr>
            </w:pPr>
          </w:p>
        </w:tc>
        <w:tc>
          <w:tcPr>
            <w:tcW w:w="2410" w:type="dxa"/>
            <w:vMerge w:val="continue"/>
            <w:tcBorders>
              <w:top w:val="nil"/>
              <w:left w:val="single" w:color="000000" w:sz="6" w:space="0"/>
            </w:tcBorders>
          </w:tcPr>
          <w:p w14:paraId="5F9B126D">
            <w:pPr>
              <w:keepNext w:val="0"/>
              <w:keepLines w:val="0"/>
              <w:suppressLineNumbers w:val="0"/>
              <w:spacing w:before="0" w:beforeAutospacing="0" w:after="0" w:afterAutospacing="0"/>
              <w:ind w:left="0" w:right="0"/>
              <w:rPr>
                <w:rFonts w:hint="default" w:ascii="宋体" w:hAnsi="宋体" w:cs="宋体"/>
                <w:color w:val="000000" w:themeColor="text1"/>
                <w:sz w:val="2"/>
                <w:szCs w:val="2"/>
                <w:highlight w:val="none"/>
                <w14:textFill>
                  <w14:solidFill>
                    <w14:schemeClr w14:val="tx1"/>
                  </w14:solidFill>
                </w14:textFill>
              </w:rPr>
            </w:pPr>
          </w:p>
        </w:tc>
      </w:tr>
    </w:tbl>
    <w:p w14:paraId="113F94DC">
      <w:pPr>
        <w:pStyle w:val="16"/>
        <w:spacing w:before="4"/>
        <w:rPr>
          <w:rFonts w:ascii="宋体" w:hAnsi="宋体" w:cs="宋体"/>
          <w:color w:val="000000" w:themeColor="text1"/>
          <w:sz w:val="24"/>
          <w:highlight w:val="none"/>
          <w14:textFill>
            <w14:solidFill>
              <w14:schemeClr w14:val="tx1"/>
            </w14:solidFill>
          </w14:textFill>
        </w:rPr>
      </w:pPr>
    </w:p>
    <w:p w14:paraId="47DFBD04">
      <w:pPr>
        <w:pStyle w:val="16"/>
        <w:spacing w:before="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注：1、若投标人中标须按本招标文件的约定执行。</w:t>
      </w:r>
    </w:p>
    <w:p w14:paraId="70EFF5FE">
      <w:pPr>
        <w:pStyle w:val="16"/>
        <w:spacing w:before="2"/>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2、本表填写的造价不属于投标报价的内容。</w:t>
      </w:r>
    </w:p>
    <w:p w14:paraId="3DA2E117">
      <w:pPr>
        <w:pStyle w:val="16"/>
        <w:spacing w:before="2"/>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3、如投标人不具备拟分包工程所需的某专项工程相应资质或投标人如有分包计划，应符合招标文件第二章“投标人须知” 第 1.11 款规定，且按本表的要求填写。</w:t>
      </w:r>
    </w:p>
    <w:p w14:paraId="62A15AA7">
      <w:pPr>
        <w:jc w:val="center"/>
        <w:rPr>
          <w:rFonts w:ascii="宋体" w:hAnsi="宋体" w:cs="宋体"/>
          <w:b/>
          <w:color w:val="000000" w:themeColor="text1"/>
          <w:sz w:val="28"/>
          <w:szCs w:val="28"/>
          <w:highlight w:val="none"/>
          <w14:textFill>
            <w14:solidFill>
              <w14:schemeClr w14:val="tx1"/>
            </w14:solidFill>
          </w14:textFill>
        </w:rPr>
        <w:sectPr>
          <w:footnotePr>
            <w:numFmt w:val="decimalEnclosedCircleChinese"/>
          </w:footnotePr>
          <w:pgSz w:w="11906" w:h="16838"/>
          <w:pgMar w:top="1038" w:right="924" w:bottom="936" w:left="1418" w:header="624" w:footer="590" w:gutter="0"/>
          <w:pgNumType w:fmt="decimal"/>
          <w:cols w:space="720" w:num="1"/>
          <w:docGrid w:type="lines" w:linePitch="312" w:charSpace="0"/>
        </w:sectPr>
      </w:pPr>
    </w:p>
    <w:p w14:paraId="71F1321A">
      <w:pPr>
        <w:numPr>
          <w:ilvl w:val="0"/>
          <w:numId w:val="27"/>
        </w:num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资格审查资料</w:t>
      </w:r>
    </w:p>
    <w:p w14:paraId="496EAC19">
      <w:pPr>
        <w:pStyle w:val="56"/>
        <w:ind w:firstLine="0"/>
        <w:rPr>
          <w:color w:val="000000" w:themeColor="text1"/>
          <w:highlight w:val="none"/>
          <w14:textFill>
            <w14:solidFill>
              <w14:schemeClr w14:val="tx1"/>
            </w14:solidFill>
          </w14:textFill>
        </w:rPr>
      </w:pPr>
    </w:p>
    <w:p w14:paraId="3651A92C">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(一)投标人基本情况表</w:t>
      </w:r>
    </w:p>
    <w:p w14:paraId="2E15B1C7">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(二)投标人企业组织机构框图</w:t>
      </w:r>
    </w:p>
    <w:p w14:paraId="68E3F303">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(三)近年财务状况表</w:t>
      </w:r>
    </w:p>
    <w:p w14:paraId="6439B096">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(四) 近年</w:t>
      </w:r>
      <w:r>
        <w:rPr>
          <w:rFonts w:hint="eastAsia" w:ascii="宋体" w:hAnsi="宋体" w:cs="宋体"/>
          <w:bCs/>
          <w:color w:val="000000" w:themeColor="text1"/>
          <w:sz w:val="24"/>
          <w:highlight w:val="none"/>
          <w:lang w:val="en-US" w:eastAsia="zh-CN"/>
          <w14:textFill>
            <w14:solidFill>
              <w14:schemeClr w14:val="tx1"/>
            </w14:solidFill>
          </w14:textFill>
        </w:rPr>
        <w:t>承接</w:t>
      </w:r>
      <w:r>
        <w:rPr>
          <w:rFonts w:hint="eastAsia" w:ascii="宋体" w:hAnsi="宋体" w:cs="宋体"/>
          <w:bCs/>
          <w:color w:val="000000" w:themeColor="text1"/>
          <w:sz w:val="24"/>
          <w:highlight w:val="none"/>
          <w14:textFill>
            <w14:solidFill>
              <w14:schemeClr w14:val="tx1"/>
            </w14:solidFill>
          </w14:textFill>
        </w:rPr>
        <w:t>的类似项目情况表</w:t>
      </w:r>
    </w:p>
    <w:p w14:paraId="2862B2B3">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(四)-1</w:t>
      </w:r>
      <w:r>
        <w:rPr>
          <w:rFonts w:hint="eastAsia" w:ascii="宋体" w:hAnsi="宋体" w:cs="宋体"/>
          <w:bCs/>
          <w:color w:val="000000" w:themeColor="text1"/>
          <w:sz w:val="24"/>
          <w:highlight w:val="none"/>
          <w:lang w:val="en-US" w:eastAsia="zh-CN"/>
          <w14:textFill>
            <w14:solidFill>
              <w14:schemeClr w14:val="tx1"/>
            </w14:solidFill>
          </w14:textFill>
        </w:rPr>
        <w:t>承接</w:t>
      </w:r>
      <w:r>
        <w:rPr>
          <w:rFonts w:hint="eastAsia" w:ascii="宋体" w:hAnsi="宋体" w:cs="宋体"/>
          <w:bCs/>
          <w:color w:val="000000" w:themeColor="text1"/>
          <w:sz w:val="24"/>
          <w:highlight w:val="none"/>
          <w14:textFill>
            <w14:solidFill>
              <w14:schemeClr w14:val="tx1"/>
            </w14:solidFill>
          </w14:textFill>
        </w:rPr>
        <w:t>的类似项目情况表</w:t>
      </w:r>
    </w:p>
    <w:p w14:paraId="28581069">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(四)-2 </w:t>
      </w:r>
      <w:r>
        <w:rPr>
          <w:rFonts w:hint="eastAsia" w:ascii="宋体" w:hAnsi="宋体" w:cs="宋体"/>
          <w:bCs/>
          <w:color w:val="000000" w:themeColor="text1"/>
          <w:sz w:val="24"/>
          <w:highlight w:val="none"/>
          <w:lang w:val="en-US" w:eastAsia="zh-CN"/>
          <w14:textFill>
            <w14:solidFill>
              <w14:schemeClr w14:val="tx1"/>
            </w14:solidFill>
          </w14:textFill>
        </w:rPr>
        <w:t>承接</w:t>
      </w:r>
      <w:r>
        <w:rPr>
          <w:rFonts w:hint="eastAsia" w:ascii="宋体" w:hAnsi="宋体" w:cs="宋体"/>
          <w:bCs/>
          <w:color w:val="000000" w:themeColor="text1"/>
          <w:sz w:val="24"/>
          <w:highlight w:val="none"/>
          <w14:textFill>
            <w14:solidFill>
              <w14:schemeClr w14:val="tx1"/>
            </w14:solidFill>
          </w14:textFill>
        </w:rPr>
        <w:t>的类似项目情况汇总表</w:t>
      </w:r>
    </w:p>
    <w:p w14:paraId="11298918">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（五）投标人的信誉情况表</w:t>
      </w:r>
    </w:p>
    <w:p w14:paraId="5FFE0F06">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（六）拟委任的项目经理和项目总工情况表</w:t>
      </w:r>
    </w:p>
    <w:p w14:paraId="322998E4">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（六）-1 拟委任的项目经理和项目总工汇总表</w:t>
      </w:r>
    </w:p>
    <w:p w14:paraId="54916A87">
      <w:pPr>
        <w:spacing w:line="360" w:lineRule="auto"/>
        <w:ind w:firstLine="840" w:firstLineChars="35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（六）-2拟委任的项目经理和项目总工资历表</w:t>
      </w:r>
    </w:p>
    <w:p w14:paraId="187BA045">
      <w:pP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br w:type="page"/>
      </w:r>
    </w:p>
    <w:p w14:paraId="428FD56F">
      <w:pPr>
        <w:jc w:val="center"/>
        <w:rPr>
          <w:rFonts w:ascii="宋体" w:hAnsi="宋体" w:cs="宋体"/>
          <w:b/>
          <w:color w:val="000000" w:themeColor="text1"/>
          <w:sz w:val="24"/>
          <w:highlight w:val="none"/>
          <w14:textFill>
            <w14:solidFill>
              <w14:schemeClr w14:val="tx1"/>
            </w14:solidFill>
          </w14:textFill>
        </w:rPr>
      </w:pPr>
    </w:p>
    <w:p w14:paraId="185CEB2F">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（一）投标人基本情况表</w:t>
      </w:r>
    </w:p>
    <w:tbl>
      <w:tblPr>
        <w:tblStyle w:val="43"/>
        <w:tblW w:w="936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7"/>
        <w:gridCol w:w="1111"/>
        <w:gridCol w:w="852"/>
        <w:gridCol w:w="868"/>
        <w:gridCol w:w="755"/>
        <w:gridCol w:w="1302"/>
        <w:gridCol w:w="322"/>
        <w:gridCol w:w="892"/>
        <w:gridCol w:w="1025"/>
      </w:tblGrid>
      <w:tr w14:paraId="64D01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78248D7A">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7127" w:type="dxa"/>
            <w:gridSpan w:val="8"/>
            <w:tcBorders>
              <w:top w:val="single" w:color="auto" w:sz="4" w:space="0"/>
              <w:left w:val="single" w:color="auto" w:sz="4" w:space="0"/>
              <w:bottom w:val="single" w:color="auto" w:sz="4" w:space="0"/>
              <w:right w:val="single" w:color="auto" w:sz="4" w:space="0"/>
            </w:tcBorders>
            <w:vAlign w:val="center"/>
          </w:tcPr>
          <w:p w14:paraId="2FEB6975">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38A941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4D97E411">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注册地址</w:t>
            </w:r>
          </w:p>
        </w:tc>
        <w:tc>
          <w:tcPr>
            <w:tcW w:w="3586" w:type="dxa"/>
            <w:gridSpan w:val="4"/>
            <w:tcBorders>
              <w:top w:val="single" w:color="auto" w:sz="4" w:space="0"/>
              <w:left w:val="single" w:color="auto" w:sz="4" w:space="0"/>
              <w:bottom w:val="single" w:color="auto" w:sz="4" w:space="0"/>
              <w:right w:val="single" w:color="auto" w:sz="4" w:space="0"/>
            </w:tcBorders>
            <w:vAlign w:val="center"/>
          </w:tcPr>
          <w:p w14:paraId="6C4B8D58">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302" w:type="dxa"/>
            <w:tcBorders>
              <w:top w:val="single" w:color="auto" w:sz="4" w:space="0"/>
              <w:left w:val="single" w:color="auto" w:sz="4" w:space="0"/>
              <w:bottom w:val="single" w:color="auto" w:sz="4" w:space="0"/>
              <w:right w:val="single" w:color="auto" w:sz="4" w:space="0"/>
            </w:tcBorders>
            <w:vAlign w:val="center"/>
          </w:tcPr>
          <w:p w14:paraId="1EB2BE3E">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邮政编码</w:t>
            </w:r>
          </w:p>
        </w:tc>
        <w:tc>
          <w:tcPr>
            <w:tcW w:w="2239" w:type="dxa"/>
            <w:gridSpan w:val="3"/>
            <w:tcBorders>
              <w:top w:val="single" w:color="auto" w:sz="4" w:space="0"/>
              <w:left w:val="single" w:color="auto" w:sz="4" w:space="0"/>
              <w:bottom w:val="single" w:color="auto" w:sz="4" w:space="0"/>
              <w:right w:val="single" w:color="auto" w:sz="4" w:space="0"/>
            </w:tcBorders>
            <w:vAlign w:val="center"/>
          </w:tcPr>
          <w:p w14:paraId="4557935C">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523D9A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vMerge w:val="restart"/>
            <w:tcBorders>
              <w:top w:val="single" w:color="auto" w:sz="4" w:space="0"/>
              <w:left w:val="single" w:color="auto" w:sz="4" w:space="0"/>
              <w:bottom w:val="single" w:color="auto" w:sz="4" w:space="0"/>
              <w:right w:val="single" w:color="auto" w:sz="4" w:space="0"/>
            </w:tcBorders>
            <w:vAlign w:val="center"/>
          </w:tcPr>
          <w:p w14:paraId="3BD43C3B">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联系方式</w:t>
            </w:r>
          </w:p>
        </w:tc>
        <w:tc>
          <w:tcPr>
            <w:tcW w:w="1111" w:type="dxa"/>
            <w:tcBorders>
              <w:top w:val="single" w:color="auto" w:sz="4" w:space="0"/>
              <w:left w:val="single" w:color="auto" w:sz="4" w:space="0"/>
              <w:bottom w:val="single" w:color="auto" w:sz="4" w:space="0"/>
              <w:right w:val="single" w:color="auto" w:sz="4" w:space="0"/>
            </w:tcBorders>
            <w:vAlign w:val="center"/>
          </w:tcPr>
          <w:p w14:paraId="5DA5907C">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p>
        </w:tc>
        <w:tc>
          <w:tcPr>
            <w:tcW w:w="2475" w:type="dxa"/>
            <w:gridSpan w:val="3"/>
            <w:tcBorders>
              <w:top w:val="single" w:color="auto" w:sz="4" w:space="0"/>
              <w:left w:val="single" w:color="auto" w:sz="4" w:space="0"/>
              <w:bottom w:val="single" w:color="auto" w:sz="4" w:space="0"/>
              <w:right w:val="single" w:color="auto" w:sz="4" w:space="0"/>
            </w:tcBorders>
            <w:vAlign w:val="center"/>
          </w:tcPr>
          <w:p w14:paraId="7299DD9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302" w:type="dxa"/>
            <w:tcBorders>
              <w:top w:val="single" w:color="auto" w:sz="4" w:space="0"/>
              <w:left w:val="single" w:color="auto" w:sz="4" w:space="0"/>
              <w:bottom w:val="single" w:color="auto" w:sz="4" w:space="0"/>
              <w:right w:val="single" w:color="auto" w:sz="4" w:space="0"/>
            </w:tcBorders>
            <w:vAlign w:val="center"/>
          </w:tcPr>
          <w:p w14:paraId="130BE53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 话</w:t>
            </w:r>
          </w:p>
        </w:tc>
        <w:tc>
          <w:tcPr>
            <w:tcW w:w="2239" w:type="dxa"/>
            <w:gridSpan w:val="3"/>
            <w:tcBorders>
              <w:top w:val="single" w:color="auto" w:sz="4" w:space="0"/>
              <w:left w:val="single" w:color="auto" w:sz="4" w:space="0"/>
              <w:bottom w:val="single" w:color="auto" w:sz="4" w:space="0"/>
              <w:right w:val="single" w:color="auto" w:sz="4" w:space="0"/>
            </w:tcBorders>
            <w:vAlign w:val="center"/>
          </w:tcPr>
          <w:p w14:paraId="0775726D">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7C649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vMerge w:val="continue"/>
            <w:tcBorders>
              <w:top w:val="single" w:color="auto" w:sz="4" w:space="0"/>
              <w:left w:val="single" w:color="auto" w:sz="4" w:space="0"/>
              <w:bottom w:val="single" w:color="auto" w:sz="4" w:space="0"/>
              <w:right w:val="single" w:color="auto" w:sz="4" w:space="0"/>
            </w:tcBorders>
            <w:vAlign w:val="center"/>
          </w:tcPr>
          <w:p w14:paraId="66542E2A">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111" w:type="dxa"/>
            <w:tcBorders>
              <w:top w:val="single" w:color="auto" w:sz="4" w:space="0"/>
              <w:left w:val="single" w:color="auto" w:sz="4" w:space="0"/>
              <w:bottom w:val="single" w:color="auto" w:sz="4" w:space="0"/>
              <w:right w:val="single" w:color="auto" w:sz="4" w:space="0"/>
            </w:tcBorders>
            <w:vAlign w:val="center"/>
          </w:tcPr>
          <w:p w14:paraId="5CB94D47">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传  真</w:t>
            </w:r>
          </w:p>
        </w:tc>
        <w:tc>
          <w:tcPr>
            <w:tcW w:w="2475" w:type="dxa"/>
            <w:gridSpan w:val="3"/>
            <w:tcBorders>
              <w:top w:val="single" w:color="auto" w:sz="4" w:space="0"/>
              <w:left w:val="single" w:color="auto" w:sz="4" w:space="0"/>
              <w:bottom w:val="single" w:color="auto" w:sz="4" w:space="0"/>
              <w:right w:val="single" w:color="auto" w:sz="4" w:space="0"/>
            </w:tcBorders>
            <w:vAlign w:val="center"/>
          </w:tcPr>
          <w:p w14:paraId="2F8D14F5">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302" w:type="dxa"/>
            <w:tcBorders>
              <w:top w:val="single" w:color="auto" w:sz="4" w:space="0"/>
              <w:left w:val="single" w:color="auto" w:sz="4" w:space="0"/>
              <w:bottom w:val="single" w:color="auto" w:sz="4" w:space="0"/>
              <w:right w:val="single" w:color="auto" w:sz="4" w:space="0"/>
            </w:tcBorders>
            <w:vAlign w:val="center"/>
          </w:tcPr>
          <w:p w14:paraId="15C6ED4B">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电子邮件</w:t>
            </w:r>
          </w:p>
        </w:tc>
        <w:tc>
          <w:tcPr>
            <w:tcW w:w="2239" w:type="dxa"/>
            <w:gridSpan w:val="3"/>
            <w:tcBorders>
              <w:top w:val="single" w:color="auto" w:sz="4" w:space="0"/>
              <w:left w:val="single" w:color="auto" w:sz="4" w:space="0"/>
              <w:bottom w:val="single" w:color="auto" w:sz="4" w:space="0"/>
              <w:right w:val="single" w:color="auto" w:sz="4" w:space="0"/>
            </w:tcBorders>
            <w:vAlign w:val="center"/>
          </w:tcPr>
          <w:p w14:paraId="62E4AD3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064F2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2EEE8431">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w:t>
            </w:r>
          </w:p>
        </w:tc>
        <w:tc>
          <w:tcPr>
            <w:tcW w:w="1111" w:type="dxa"/>
            <w:tcBorders>
              <w:top w:val="single" w:color="auto" w:sz="4" w:space="0"/>
              <w:left w:val="single" w:color="auto" w:sz="4" w:space="0"/>
              <w:bottom w:val="single" w:color="auto" w:sz="4" w:space="0"/>
              <w:right w:val="single" w:color="auto" w:sz="4" w:space="0"/>
            </w:tcBorders>
            <w:vAlign w:val="center"/>
          </w:tcPr>
          <w:p w14:paraId="32046518">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852" w:type="dxa"/>
            <w:tcBorders>
              <w:top w:val="single" w:color="auto" w:sz="4" w:space="0"/>
              <w:left w:val="single" w:color="auto" w:sz="4" w:space="0"/>
              <w:bottom w:val="single" w:color="auto" w:sz="4" w:space="0"/>
              <w:right w:val="single" w:color="auto" w:sz="4" w:space="0"/>
            </w:tcBorders>
            <w:vAlign w:val="center"/>
          </w:tcPr>
          <w:p w14:paraId="29DAD19E">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14:paraId="136D834C">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技术职称</w:t>
            </w:r>
          </w:p>
        </w:tc>
        <w:tc>
          <w:tcPr>
            <w:tcW w:w="1302" w:type="dxa"/>
            <w:tcBorders>
              <w:top w:val="single" w:color="auto" w:sz="4" w:space="0"/>
              <w:left w:val="single" w:color="auto" w:sz="4" w:space="0"/>
              <w:bottom w:val="single" w:color="auto" w:sz="4" w:space="0"/>
              <w:right w:val="single" w:color="auto" w:sz="4" w:space="0"/>
            </w:tcBorders>
            <w:vAlign w:val="center"/>
          </w:tcPr>
          <w:p w14:paraId="18B15DB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214" w:type="dxa"/>
            <w:gridSpan w:val="2"/>
            <w:tcBorders>
              <w:top w:val="single" w:color="auto" w:sz="4" w:space="0"/>
              <w:left w:val="single" w:color="auto" w:sz="4" w:space="0"/>
              <w:bottom w:val="single" w:color="auto" w:sz="4" w:space="0"/>
              <w:right w:val="single" w:color="auto" w:sz="4" w:space="0"/>
            </w:tcBorders>
            <w:vAlign w:val="center"/>
          </w:tcPr>
          <w:p w14:paraId="30A85968">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025" w:type="dxa"/>
            <w:tcBorders>
              <w:top w:val="single" w:color="auto" w:sz="4" w:space="0"/>
              <w:left w:val="single" w:color="auto" w:sz="4" w:space="0"/>
              <w:bottom w:val="single" w:color="auto" w:sz="4" w:space="0"/>
              <w:right w:val="single" w:color="auto" w:sz="4" w:space="0"/>
            </w:tcBorders>
            <w:vAlign w:val="center"/>
          </w:tcPr>
          <w:p w14:paraId="063A1CA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083B4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38580A1D">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技术负责人</w:t>
            </w:r>
          </w:p>
        </w:tc>
        <w:tc>
          <w:tcPr>
            <w:tcW w:w="1111" w:type="dxa"/>
            <w:tcBorders>
              <w:top w:val="single" w:color="auto" w:sz="4" w:space="0"/>
              <w:left w:val="single" w:color="auto" w:sz="4" w:space="0"/>
              <w:bottom w:val="single" w:color="auto" w:sz="4" w:space="0"/>
              <w:right w:val="single" w:color="auto" w:sz="4" w:space="0"/>
            </w:tcBorders>
            <w:vAlign w:val="center"/>
          </w:tcPr>
          <w:p w14:paraId="3E0CC00D">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852" w:type="dxa"/>
            <w:tcBorders>
              <w:top w:val="single" w:color="auto" w:sz="4" w:space="0"/>
              <w:left w:val="single" w:color="auto" w:sz="4" w:space="0"/>
              <w:bottom w:val="single" w:color="auto" w:sz="4" w:space="0"/>
              <w:right w:val="single" w:color="auto" w:sz="4" w:space="0"/>
            </w:tcBorders>
            <w:vAlign w:val="center"/>
          </w:tcPr>
          <w:p w14:paraId="4ED82755">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14:paraId="4ED52B5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技术职称</w:t>
            </w:r>
          </w:p>
        </w:tc>
        <w:tc>
          <w:tcPr>
            <w:tcW w:w="1302" w:type="dxa"/>
            <w:tcBorders>
              <w:top w:val="single" w:color="auto" w:sz="4" w:space="0"/>
              <w:left w:val="single" w:color="auto" w:sz="4" w:space="0"/>
              <w:bottom w:val="single" w:color="auto" w:sz="4" w:space="0"/>
              <w:right w:val="single" w:color="auto" w:sz="4" w:space="0"/>
            </w:tcBorders>
            <w:vAlign w:val="center"/>
          </w:tcPr>
          <w:p w14:paraId="2940AEFD">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214" w:type="dxa"/>
            <w:gridSpan w:val="2"/>
            <w:tcBorders>
              <w:top w:val="single" w:color="auto" w:sz="4" w:space="0"/>
              <w:left w:val="single" w:color="auto" w:sz="4" w:space="0"/>
              <w:bottom w:val="single" w:color="auto" w:sz="4" w:space="0"/>
              <w:right w:val="single" w:color="auto" w:sz="4" w:space="0"/>
            </w:tcBorders>
            <w:vAlign w:val="center"/>
          </w:tcPr>
          <w:p w14:paraId="6FC2EA87">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w:t>
            </w:r>
          </w:p>
        </w:tc>
        <w:tc>
          <w:tcPr>
            <w:tcW w:w="1025" w:type="dxa"/>
            <w:tcBorders>
              <w:top w:val="single" w:color="auto" w:sz="4" w:space="0"/>
              <w:left w:val="single" w:color="auto" w:sz="4" w:space="0"/>
              <w:bottom w:val="single" w:color="auto" w:sz="4" w:space="0"/>
              <w:right w:val="single" w:color="auto" w:sz="4" w:space="0"/>
            </w:tcBorders>
            <w:vAlign w:val="center"/>
          </w:tcPr>
          <w:p w14:paraId="63C9B51F">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C5D87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16E5516B">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营业执照号</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6485A0AA">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5164" w:type="dxa"/>
            <w:gridSpan w:val="6"/>
            <w:tcBorders>
              <w:top w:val="single" w:color="auto" w:sz="4" w:space="0"/>
              <w:left w:val="single" w:color="auto" w:sz="4" w:space="0"/>
              <w:bottom w:val="single" w:color="auto" w:sz="4" w:space="0"/>
              <w:right w:val="single" w:color="auto" w:sz="4" w:space="0"/>
            </w:tcBorders>
            <w:vAlign w:val="center"/>
          </w:tcPr>
          <w:p w14:paraId="7D362ED3">
            <w:pPr>
              <w:keepNext w:val="0"/>
              <w:keepLines w:val="0"/>
              <w:suppressLineNumbers w:val="0"/>
              <w:topLinePunct/>
              <w:spacing w:before="0" w:beforeAutospacing="0" w:after="0" w:afterAutospacing="0" w:line="320" w:lineRule="exact"/>
              <w:ind w:left="0" w:right="0" w:firstLine="1200" w:firstLineChars="50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员工总人数：</w:t>
            </w:r>
          </w:p>
        </w:tc>
      </w:tr>
      <w:tr w14:paraId="0F5C6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11283823">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企业资质等级</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206C59C3">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868" w:type="dxa"/>
            <w:vMerge w:val="restart"/>
            <w:tcBorders>
              <w:top w:val="single" w:color="auto" w:sz="4" w:space="0"/>
              <w:left w:val="single" w:color="auto" w:sz="4" w:space="0"/>
              <w:bottom w:val="single" w:color="auto" w:sz="4" w:space="0"/>
              <w:right w:val="single" w:color="auto" w:sz="4" w:space="0"/>
            </w:tcBorders>
            <w:vAlign w:val="center"/>
          </w:tcPr>
          <w:p w14:paraId="5E9E2B5F">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w:t>
            </w:r>
          </w:p>
          <w:p w14:paraId="55EF730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p w14:paraId="06E0AB9E">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w:t>
            </w:r>
          </w:p>
        </w:tc>
        <w:tc>
          <w:tcPr>
            <w:tcW w:w="2379" w:type="dxa"/>
            <w:gridSpan w:val="3"/>
            <w:tcBorders>
              <w:top w:val="single" w:color="auto" w:sz="4" w:space="0"/>
              <w:left w:val="single" w:color="auto" w:sz="4" w:space="0"/>
              <w:bottom w:val="single" w:color="auto" w:sz="4" w:space="0"/>
              <w:right w:val="single" w:color="auto" w:sz="4" w:space="0"/>
            </w:tcBorders>
            <w:vAlign w:val="center"/>
          </w:tcPr>
          <w:p w14:paraId="00ECCD7A">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w:t>
            </w:r>
          </w:p>
        </w:tc>
        <w:tc>
          <w:tcPr>
            <w:tcW w:w="1917" w:type="dxa"/>
            <w:gridSpan w:val="2"/>
            <w:tcBorders>
              <w:top w:val="single" w:color="auto" w:sz="4" w:space="0"/>
              <w:left w:val="single" w:color="auto" w:sz="4" w:space="0"/>
              <w:bottom w:val="single" w:color="auto" w:sz="4" w:space="0"/>
              <w:right w:val="single" w:color="auto" w:sz="4" w:space="0"/>
            </w:tcBorders>
            <w:vAlign w:val="center"/>
          </w:tcPr>
          <w:p w14:paraId="0CC99F7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2EB3B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77E9DA9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注册资金</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5EC33367">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14:paraId="758FC547">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2379" w:type="dxa"/>
            <w:gridSpan w:val="3"/>
            <w:tcBorders>
              <w:top w:val="single" w:color="auto" w:sz="4" w:space="0"/>
              <w:left w:val="single" w:color="auto" w:sz="4" w:space="0"/>
              <w:bottom w:val="single" w:color="auto" w:sz="4" w:space="0"/>
              <w:right w:val="single" w:color="auto" w:sz="4" w:space="0"/>
            </w:tcBorders>
            <w:vAlign w:val="center"/>
          </w:tcPr>
          <w:p w14:paraId="00EAE9DB">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高级职称人员</w:t>
            </w:r>
          </w:p>
        </w:tc>
        <w:tc>
          <w:tcPr>
            <w:tcW w:w="1917" w:type="dxa"/>
            <w:gridSpan w:val="2"/>
            <w:tcBorders>
              <w:top w:val="single" w:color="auto" w:sz="4" w:space="0"/>
              <w:left w:val="single" w:color="auto" w:sz="4" w:space="0"/>
              <w:bottom w:val="single" w:color="auto" w:sz="4" w:space="0"/>
              <w:right w:val="single" w:color="auto" w:sz="4" w:space="0"/>
            </w:tcBorders>
            <w:vAlign w:val="center"/>
          </w:tcPr>
          <w:p w14:paraId="460DE258">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29738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1F821397">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成立日期</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47B90411">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14:paraId="4D3591ED">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2379" w:type="dxa"/>
            <w:gridSpan w:val="3"/>
            <w:tcBorders>
              <w:top w:val="single" w:color="auto" w:sz="4" w:space="0"/>
              <w:left w:val="single" w:color="auto" w:sz="4" w:space="0"/>
              <w:bottom w:val="single" w:color="auto" w:sz="4" w:space="0"/>
              <w:right w:val="single" w:color="auto" w:sz="4" w:space="0"/>
            </w:tcBorders>
            <w:vAlign w:val="center"/>
          </w:tcPr>
          <w:p w14:paraId="0EEE28C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中级职称人员</w:t>
            </w:r>
          </w:p>
        </w:tc>
        <w:tc>
          <w:tcPr>
            <w:tcW w:w="1917" w:type="dxa"/>
            <w:gridSpan w:val="2"/>
            <w:tcBorders>
              <w:top w:val="single" w:color="auto" w:sz="4" w:space="0"/>
              <w:left w:val="single" w:color="auto" w:sz="4" w:space="0"/>
              <w:bottom w:val="single" w:color="auto" w:sz="4" w:space="0"/>
              <w:right w:val="single" w:color="auto" w:sz="4" w:space="0"/>
            </w:tcBorders>
            <w:vAlign w:val="center"/>
          </w:tcPr>
          <w:p w14:paraId="6EBF2A13">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1A69F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587FB103">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基本账户开户银行</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13116B13">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14:paraId="7CB1A05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2379" w:type="dxa"/>
            <w:gridSpan w:val="3"/>
            <w:tcBorders>
              <w:top w:val="single" w:color="auto" w:sz="4" w:space="0"/>
              <w:left w:val="single" w:color="auto" w:sz="4" w:space="0"/>
              <w:bottom w:val="single" w:color="auto" w:sz="4" w:space="0"/>
              <w:right w:val="single" w:color="auto" w:sz="4" w:space="0"/>
            </w:tcBorders>
            <w:vAlign w:val="center"/>
          </w:tcPr>
          <w:p w14:paraId="40AFD28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初级职称人员</w:t>
            </w:r>
          </w:p>
        </w:tc>
        <w:tc>
          <w:tcPr>
            <w:tcW w:w="1917" w:type="dxa"/>
            <w:gridSpan w:val="2"/>
            <w:tcBorders>
              <w:top w:val="single" w:color="auto" w:sz="4" w:space="0"/>
              <w:left w:val="single" w:color="auto" w:sz="4" w:space="0"/>
              <w:bottom w:val="single" w:color="auto" w:sz="4" w:space="0"/>
              <w:right w:val="single" w:color="auto" w:sz="4" w:space="0"/>
            </w:tcBorders>
            <w:vAlign w:val="center"/>
          </w:tcPr>
          <w:p w14:paraId="0905EA75">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27456C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2237" w:type="dxa"/>
            <w:tcBorders>
              <w:top w:val="single" w:color="auto" w:sz="4" w:space="0"/>
              <w:left w:val="single" w:color="auto" w:sz="4" w:space="0"/>
              <w:bottom w:val="single" w:color="auto" w:sz="4" w:space="0"/>
              <w:right w:val="single" w:color="auto" w:sz="4" w:space="0"/>
            </w:tcBorders>
            <w:vAlign w:val="center"/>
          </w:tcPr>
          <w:p w14:paraId="3B3180C8">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基本账户银行账号</w:t>
            </w:r>
          </w:p>
        </w:tc>
        <w:tc>
          <w:tcPr>
            <w:tcW w:w="1963" w:type="dxa"/>
            <w:gridSpan w:val="2"/>
            <w:tcBorders>
              <w:top w:val="single" w:color="auto" w:sz="4" w:space="0"/>
              <w:left w:val="single" w:color="auto" w:sz="4" w:space="0"/>
              <w:bottom w:val="single" w:color="auto" w:sz="4" w:space="0"/>
              <w:right w:val="single" w:color="auto" w:sz="4" w:space="0"/>
            </w:tcBorders>
            <w:vAlign w:val="center"/>
          </w:tcPr>
          <w:p w14:paraId="659BD760">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868" w:type="dxa"/>
            <w:vMerge w:val="continue"/>
            <w:tcBorders>
              <w:top w:val="single" w:color="auto" w:sz="4" w:space="0"/>
              <w:left w:val="single" w:color="auto" w:sz="4" w:space="0"/>
              <w:bottom w:val="single" w:color="auto" w:sz="4" w:space="0"/>
              <w:right w:val="single" w:color="auto" w:sz="4" w:space="0"/>
            </w:tcBorders>
            <w:vAlign w:val="center"/>
          </w:tcPr>
          <w:p w14:paraId="0A7DE632">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2379" w:type="dxa"/>
            <w:gridSpan w:val="3"/>
            <w:tcBorders>
              <w:top w:val="single" w:color="auto" w:sz="4" w:space="0"/>
              <w:left w:val="single" w:color="auto" w:sz="4" w:space="0"/>
              <w:bottom w:val="single" w:color="auto" w:sz="4" w:space="0"/>
              <w:right w:val="single" w:color="auto" w:sz="4" w:space="0"/>
            </w:tcBorders>
            <w:vAlign w:val="center"/>
          </w:tcPr>
          <w:p w14:paraId="55F8E6AE">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  工</w:t>
            </w:r>
          </w:p>
        </w:tc>
        <w:tc>
          <w:tcPr>
            <w:tcW w:w="1917" w:type="dxa"/>
            <w:gridSpan w:val="2"/>
            <w:tcBorders>
              <w:top w:val="single" w:color="auto" w:sz="4" w:space="0"/>
              <w:left w:val="single" w:color="auto" w:sz="4" w:space="0"/>
              <w:bottom w:val="single" w:color="auto" w:sz="4" w:space="0"/>
              <w:right w:val="single" w:color="auto" w:sz="4" w:space="0"/>
            </w:tcBorders>
            <w:vAlign w:val="center"/>
          </w:tcPr>
          <w:p w14:paraId="231F452D">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7DB539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55" w:hRule="atLeast"/>
          <w:jc w:val="center"/>
        </w:trPr>
        <w:tc>
          <w:tcPr>
            <w:tcW w:w="2237" w:type="dxa"/>
            <w:tcBorders>
              <w:top w:val="single" w:color="auto" w:sz="4" w:space="0"/>
              <w:left w:val="single" w:color="auto" w:sz="4" w:space="0"/>
              <w:right w:val="single" w:color="auto" w:sz="4" w:space="0"/>
            </w:tcBorders>
            <w:vAlign w:val="center"/>
          </w:tcPr>
          <w:p w14:paraId="77C4607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经营范围</w:t>
            </w:r>
          </w:p>
        </w:tc>
        <w:tc>
          <w:tcPr>
            <w:tcW w:w="7127" w:type="dxa"/>
            <w:gridSpan w:val="8"/>
            <w:tcBorders>
              <w:top w:val="single" w:color="auto" w:sz="4" w:space="0"/>
              <w:left w:val="single" w:color="auto" w:sz="4" w:space="0"/>
              <w:bottom w:val="single" w:color="auto" w:sz="4" w:space="0"/>
              <w:right w:val="single" w:color="auto" w:sz="4" w:space="0"/>
            </w:tcBorders>
            <w:vAlign w:val="center"/>
          </w:tcPr>
          <w:p w14:paraId="67527ECA">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5A2B36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7" w:hRule="atLeast"/>
          <w:jc w:val="center"/>
        </w:trPr>
        <w:tc>
          <w:tcPr>
            <w:tcW w:w="2237" w:type="dxa"/>
            <w:tcBorders>
              <w:top w:val="single" w:color="auto" w:sz="4" w:space="0"/>
              <w:left w:val="single" w:color="auto" w:sz="4" w:space="0"/>
              <w:right w:val="single" w:color="auto" w:sz="4" w:space="0"/>
            </w:tcBorders>
            <w:vAlign w:val="center"/>
          </w:tcPr>
          <w:p w14:paraId="02102F0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投标人关联企业</w:t>
            </w:r>
          </w:p>
          <w:p w14:paraId="160F050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情况</w:t>
            </w:r>
          </w:p>
        </w:tc>
        <w:tc>
          <w:tcPr>
            <w:tcW w:w="7127" w:type="dxa"/>
            <w:gridSpan w:val="8"/>
            <w:tcBorders>
              <w:top w:val="single" w:color="auto" w:sz="4" w:space="0"/>
              <w:left w:val="single" w:color="auto" w:sz="4" w:space="0"/>
              <w:right w:val="single" w:color="auto" w:sz="4" w:space="0"/>
            </w:tcBorders>
            <w:vAlign w:val="center"/>
          </w:tcPr>
          <w:p w14:paraId="1D4E2B65">
            <w:pPr>
              <w:pStyle w:val="60"/>
              <w:keepNext w:val="0"/>
              <w:keepLines w:val="0"/>
              <w:suppressLineNumbers w:val="0"/>
              <w:spacing w:before="0" w:beforeAutospacing="0" w:after="0" w:afterAutospacing="0"/>
              <w:ind w:left="0" w:right="0"/>
              <w:jc w:val="left"/>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投标人应提供关联企业情况，包括：</w:t>
            </w:r>
          </w:p>
          <w:p w14:paraId="786A0B07">
            <w:pPr>
              <w:pStyle w:val="60"/>
              <w:keepNext w:val="0"/>
              <w:keepLines w:val="0"/>
              <w:suppressLineNumbers w:val="0"/>
              <w:spacing w:before="0" w:beforeAutospacing="0" w:after="0" w:afterAutospacing="0"/>
              <w:ind w:left="0" w:right="0"/>
              <w:jc w:val="left"/>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（1）投标人的所有股东名称及相应股权（出资额）比例；如投标人为上市公司，投标人应提供股权占公司股份总数</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以上的所有股东名称及相应股权比例；</w:t>
            </w:r>
          </w:p>
          <w:p w14:paraId="631FCAB8">
            <w:pPr>
              <w:pStyle w:val="60"/>
              <w:keepNext w:val="0"/>
              <w:keepLines w:val="0"/>
              <w:suppressLineNumbers w:val="0"/>
              <w:spacing w:before="0" w:beforeAutospacing="0" w:after="0" w:afterAutospacing="0"/>
              <w:ind w:left="0" w:right="0"/>
              <w:jc w:val="left"/>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（2）投标人投资（控股）或管理的下属企业名称、持有股权（出资额）比例；</w:t>
            </w:r>
          </w:p>
          <w:p w14:paraId="7947410E">
            <w:pPr>
              <w:pStyle w:val="60"/>
              <w:keepNext w:val="0"/>
              <w:keepLines w:val="0"/>
              <w:suppressLineNumbers w:val="0"/>
              <w:spacing w:before="0" w:beforeAutospacing="0" w:after="0" w:afterAutospacing="0"/>
              <w:ind w:left="0" w:right="0"/>
              <w:jc w:val="left"/>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（3）与投标人单位负责人（即法定代表人）为同一人的其他单位名称。</w:t>
            </w:r>
          </w:p>
        </w:tc>
      </w:tr>
      <w:tr w14:paraId="0C13E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2237" w:type="dxa"/>
            <w:tcBorders>
              <w:top w:val="single" w:color="auto" w:sz="4" w:space="0"/>
              <w:left w:val="single" w:color="auto" w:sz="4" w:space="0"/>
              <w:bottom w:val="single" w:color="auto" w:sz="4" w:space="0"/>
              <w:right w:val="single" w:color="auto" w:sz="4" w:space="0"/>
            </w:tcBorders>
            <w:vAlign w:val="center"/>
          </w:tcPr>
          <w:p w14:paraId="40634C35">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c>
          <w:tcPr>
            <w:tcW w:w="7127" w:type="dxa"/>
            <w:gridSpan w:val="8"/>
            <w:tcBorders>
              <w:top w:val="single" w:color="auto" w:sz="4" w:space="0"/>
              <w:left w:val="single" w:color="auto" w:sz="4" w:space="0"/>
              <w:bottom w:val="single" w:color="auto" w:sz="4" w:space="0"/>
              <w:right w:val="single" w:color="auto" w:sz="4" w:space="0"/>
            </w:tcBorders>
            <w:vAlign w:val="center"/>
          </w:tcPr>
          <w:p w14:paraId="04CD3634">
            <w:pPr>
              <w:keepNext w:val="0"/>
              <w:keepLines w:val="0"/>
              <w:suppressLineNumbers w:val="0"/>
              <w:topLinePunct/>
              <w:spacing w:before="0" w:beforeAutospacing="0" w:after="0" w:afterAutospacing="0" w:line="320" w:lineRule="exact"/>
              <w:ind w:left="0" w:right="0"/>
              <w:jc w:val="center"/>
              <w:rPr>
                <w:rFonts w:hint="default" w:ascii="宋体" w:hAnsi="宋体" w:cs="宋体"/>
                <w:color w:val="000000" w:themeColor="text1"/>
                <w:sz w:val="24"/>
                <w:highlight w:val="none"/>
                <w14:textFill>
                  <w14:solidFill>
                    <w14:schemeClr w14:val="tx1"/>
                  </w14:solidFill>
                </w14:textFill>
              </w:rPr>
            </w:pPr>
          </w:p>
        </w:tc>
      </w:tr>
    </w:tbl>
    <w:p w14:paraId="03EFF99B">
      <w:pPr>
        <w:spacing w:line="400" w:lineRule="exact"/>
        <w:ind w:left="720" w:hanging="720" w:hanging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 投标人应根据招标文件第二章“投标人须知”第3.5.1项的要求在本表后附相关证明材料。</w:t>
      </w:r>
    </w:p>
    <w:p w14:paraId="1AEB459D">
      <w:pPr>
        <w:spacing w:line="400" w:lineRule="exact"/>
        <w:ind w:left="719" w:leftChars="228" w:hanging="240" w:hanging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2.上述信息如经调查核实未如实填写的，按提供虚假材料对待。</w:t>
      </w:r>
    </w:p>
    <w:p w14:paraId="3E6B896D">
      <w:pPr>
        <w:jc w:val="center"/>
        <w:rPr>
          <w:rFonts w:ascii="宋体" w:hAnsi="宋体" w:cs="宋体"/>
          <w:b/>
          <w:color w:val="000000" w:themeColor="text1"/>
          <w:sz w:val="28"/>
          <w:szCs w:val="28"/>
          <w:highlight w:val="none"/>
          <w14:textFill>
            <w14:solidFill>
              <w14:schemeClr w14:val="tx1"/>
            </w14:solidFill>
          </w14:textFill>
        </w:rPr>
      </w:pPr>
      <w:bookmarkStart w:id="1767" w:name="_Toc238804116"/>
      <w:bookmarkEnd w:id="1767"/>
      <w:r>
        <w:rPr>
          <w:rFonts w:hint="eastAsia" w:ascii="宋体" w:hAnsi="宋体" w:cs="宋体"/>
          <w:b/>
          <w:color w:val="000000" w:themeColor="text1"/>
          <w:sz w:val="28"/>
          <w:szCs w:val="28"/>
          <w:highlight w:val="none"/>
          <w14:textFill>
            <w14:solidFill>
              <w14:schemeClr w14:val="tx1"/>
            </w14:solidFill>
          </w14:textFill>
        </w:rPr>
        <w:br w:type="page"/>
      </w:r>
      <w:r>
        <w:rPr>
          <w:rFonts w:hint="eastAsia" w:ascii="宋体" w:hAnsi="宋体" w:cs="宋体"/>
          <w:b/>
          <w:color w:val="000000" w:themeColor="text1"/>
          <w:sz w:val="28"/>
          <w:szCs w:val="28"/>
          <w:highlight w:val="none"/>
          <w14:textFill>
            <w14:solidFill>
              <w14:schemeClr w14:val="tx1"/>
            </w14:solidFill>
          </w14:textFill>
        </w:rPr>
        <w:t>（二）投标人企业组织机构框图</w:t>
      </w:r>
    </w:p>
    <w:p w14:paraId="58E4ABAB">
      <w:pPr>
        <w:spacing w:line="400" w:lineRule="exact"/>
        <w:rPr>
          <w:rFonts w:ascii="宋体" w:hAnsi="宋体" w:cs="宋体"/>
          <w:color w:val="000000" w:themeColor="text1"/>
          <w:highlight w:val="none"/>
          <w14:textFill>
            <w14:solidFill>
              <w14:schemeClr w14:val="tx1"/>
            </w14:solidFill>
          </w14:textFill>
        </w:rPr>
      </w:pPr>
    </w:p>
    <w:tbl>
      <w:tblPr>
        <w:tblStyle w:val="43"/>
        <w:tblW w:w="935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56"/>
      </w:tblGrid>
      <w:tr w14:paraId="66F41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16" w:hRule="atLeast"/>
        </w:trPr>
        <w:tc>
          <w:tcPr>
            <w:tcW w:w="9356" w:type="dxa"/>
            <w:tcBorders>
              <w:top w:val="single" w:color="auto" w:sz="4" w:space="0"/>
              <w:left w:val="single" w:color="auto" w:sz="4" w:space="0"/>
              <w:bottom w:val="single" w:color="auto" w:sz="4" w:space="0"/>
              <w:right w:val="single" w:color="auto" w:sz="4" w:space="0"/>
            </w:tcBorders>
          </w:tcPr>
          <w:p w14:paraId="040E0636">
            <w:pPr>
              <w:keepNext w:val="0"/>
              <w:keepLines w:val="0"/>
              <w:suppressLineNumbers w:val="0"/>
              <w:topLinePunct/>
              <w:spacing w:before="0" w:beforeAutospacing="0" w:after="0" w:afterAutospacing="0" w:line="32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以框图方式表示</w:t>
            </w:r>
          </w:p>
        </w:tc>
      </w:tr>
      <w:tr w14:paraId="42B8D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33" w:hRule="atLeast"/>
        </w:trPr>
        <w:tc>
          <w:tcPr>
            <w:tcW w:w="9356" w:type="dxa"/>
            <w:tcBorders>
              <w:top w:val="single" w:color="auto" w:sz="4" w:space="0"/>
              <w:left w:val="single" w:color="auto" w:sz="4" w:space="0"/>
              <w:right w:val="single" w:color="auto" w:sz="4" w:space="0"/>
            </w:tcBorders>
          </w:tcPr>
          <w:p w14:paraId="19FBF560">
            <w:pPr>
              <w:keepNext w:val="0"/>
              <w:keepLines w:val="0"/>
              <w:suppressLineNumbers w:val="0"/>
              <w:topLinePunct/>
              <w:spacing w:before="0" w:beforeAutospacing="0" w:after="0" w:afterAutospacing="0" w:line="32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说明</w:t>
            </w:r>
          </w:p>
        </w:tc>
      </w:tr>
    </w:tbl>
    <w:p w14:paraId="6EFC268E">
      <w:pPr>
        <w:jc w:val="center"/>
        <w:rPr>
          <w:rFonts w:ascii="宋体" w:hAnsi="宋体" w:cs="宋体"/>
          <w:b/>
          <w:color w:val="000000" w:themeColor="text1"/>
          <w:sz w:val="28"/>
          <w:szCs w:val="28"/>
          <w:highlight w:val="none"/>
          <w14:textFill>
            <w14:solidFill>
              <w14:schemeClr w14:val="tx1"/>
            </w14:solidFill>
          </w14:textFill>
        </w:rPr>
      </w:pPr>
      <w:bookmarkStart w:id="1768" w:name="_Toc238804117"/>
      <w:bookmarkEnd w:id="1768"/>
      <w:r>
        <w:rPr>
          <w:rFonts w:hint="eastAsia" w:ascii="宋体" w:hAnsi="宋体" w:cs="宋体"/>
          <w:b/>
          <w:color w:val="000000" w:themeColor="text1"/>
          <w:sz w:val="28"/>
          <w:szCs w:val="28"/>
          <w:highlight w:val="none"/>
          <w14:textFill>
            <w14:solidFill>
              <w14:schemeClr w14:val="tx1"/>
            </w14:solidFill>
          </w14:textFill>
        </w:rPr>
        <w:br w:type="page"/>
      </w:r>
      <w:r>
        <w:rPr>
          <w:rFonts w:hint="eastAsia" w:ascii="宋体" w:hAnsi="宋体" w:cs="宋体"/>
          <w:b/>
          <w:color w:val="000000" w:themeColor="text1"/>
          <w:sz w:val="28"/>
          <w:szCs w:val="28"/>
          <w:highlight w:val="none"/>
          <w14:textFill>
            <w14:solidFill>
              <w14:schemeClr w14:val="tx1"/>
            </w14:solidFill>
          </w14:textFill>
        </w:rPr>
        <w:t>（三）近年财务状况表</w:t>
      </w:r>
    </w:p>
    <w:tbl>
      <w:tblPr>
        <w:tblStyle w:val="43"/>
        <w:tblW w:w="9318" w:type="dxa"/>
        <w:tblInd w:w="2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39"/>
        <w:gridCol w:w="1276"/>
        <w:gridCol w:w="1730"/>
        <w:gridCol w:w="1672"/>
        <w:gridCol w:w="1701"/>
      </w:tblGrid>
      <w:tr w14:paraId="389B0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05D700DC">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项目或指标</w:t>
            </w:r>
          </w:p>
        </w:tc>
        <w:tc>
          <w:tcPr>
            <w:tcW w:w="1276" w:type="dxa"/>
          </w:tcPr>
          <w:p w14:paraId="37BE1340">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单位</w:t>
            </w:r>
          </w:p>
        </w:tc>
        <w:tc>
          <w:tcPr>
            <w:tcW w:w="1730" w:type="dxa"/>
          </w:tcPr>
          <w:p w14:paraId="01625A95">
            <w:pPr>
              <w:keepNext w:val="0"/>
              <w:keepLines w:val="0"/>
              <w:suppressLineNumbers w:val="0"/>
              <w:spacing w:before="0" w:beforeAutospacing="0" w:after="0" w:afterAutospacing="0" w:line="400" w:lineRule="exact"/>
              <w:ind w:left="0" w:right="0" w:firstLine="696" w:firstLineChars="29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w:t>
            </w:r>
          </w:p>
        </w:tc>
        <w:tc>
          <w:tcPr>
            <w:tcW w:w="1672" w:type="dxa"/>
          </w:tcPr>
          <w:p w14:paraId="07D766F7">
            <w:pPr>
              <w:keepNext w:val="0"/>
              <w:keepLines w:val="0"/>
              <w:suppressLineNumbers w:val="0"/>
              <w:spacing w:before="0" w:beforeAutospacing="0" w:after="0" w:afterAutospacing="0" w:line="400" w:lineRule="exact"/>
              <w:ind w:left="0" w:right="0" w:firstLine="696" w:firstLineChars="29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w:t>
            </w:r>
          </w:p>
        </w:tc>
        <w:tc>
          <w:tcPr>
            <w:tcW w:w="1701" w:type="dxa"/>
          </w:tcPr>
          <w:p w14:paraId="52DC1352">
            <w:pPr>
              <w:keepNext w:val="0"/>
              <w:keepLines w:val="0"/>
              <w:suppressLineNumbers w:val="0"/>
              <w:spacing w:before="0" w:beforeAutospacing="0" w:after="0" w:afterAutospacing="0" w:line="400" w:lineRule="exact"/>
              <w:ind w:left="0" w:right="0" w:firstLine="696" w:firstLineChars="29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w:t>
            </w:r>
          </w:p>
        </w:tc>
      </w:tr>
      <w:tr w14:paraId="152A0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3EBFA67B">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一、注册资金</w:t>
            </w:r>
          </w:p>
        </w:tc>
        <w:tc>
          <w:tcPr>
            <w:tcW w:w="1276" w:type="dxa"/>
          </w:tcPr>
          <w:p w14:paraId="3872D8E1">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5651754E">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1E1D435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4734844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01115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4C425C8B">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二、净资产</w:t>
            </w:r>
          </w:p>
        </w:tc>
        <w:tc>
          <w:tcPr>
            <w:tcW w:w="1276" w:type="dxa"/>
          </w:tcPr>
          <w:p w14:paraId="109EA417">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0CEDD5FC">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6ACFC46">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32D8289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5424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47B5BA6E">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三、总资产</w:t>
            </w:r>
          </w:p>
        </w:tc>
        <w:tc>
          <w:tcPr>
            <w:tcW w:w="1276" w:type="dxa"/>
          </w:tcPr>
          <w:p w14:paraId="40CB22F6">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01ECDA27">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B293CE4">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13E37192">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61FB9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4C09670B">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四、固定资产</w:t>
            </w:r>
          </w:p>
        </w:tc>
        <w:tc>
          <w:tcPr>
            <w:tcW w:w="1276" w:type="dxa"/>
          </w:tcPr>
          <w:p w14:paraId="3A2CE3AA">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2D0D03DD">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6905324">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211C8A64">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041B9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60F9B85D">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五、流动资产</w:t>
            </w:r>
          </w:p>
        </w:tc>
        <w:tc>
          <w:tcPr>
            <w:tcW w:w="1276" w:type="dxa"/>
          </w:tcPr>
          <w:p w14:paraId="27633819">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50C3C3A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0AA03686">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66437471">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28D60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3C37DE5F">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六、流动负债</w:t>
            </w:r>
          </w:p>
        </w:tc>
        <w:tc>
          <w:tcPr>
            <w:tcW w:w="1276" w:type="dxa"/>
          </w:tcPr>
          <w:p w14:paraId="1E63473E">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3EC20144">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F95C3CA">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57C6F2B1">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5C323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1143D0C7">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七、负债合计</w:t>
            </w:r>
          </w:p>
        </w:tc>
        <w:tc>
          <w:tcPr>
            <w:tcW w:w="1276" w:type="dxa"/>
          </w:tcPr>
          <w:p w14:paraId="21EFBE17">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4C572F12">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7102EC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39AD953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D1D1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3CBC84DC">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八、营业收入</w:t>
            </w:r>
          </w:p>
        </w:tc>
        <w:tc>
          <w:tcPr>
            <w:tcW w:w="1276" w:type="dxa"/>
          </w:tcPr>
          <w:p w14:paraId="55C47A2E">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1ADF8E2D">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847E4A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4EF89A1E">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06F2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13BFC13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九、净利润</w:t>
            </w:r>
          </w:p>
        </w:tc>
        <w:tc>
          <w:tcPr>
            <w:tcW w:w="1276" w:type="dxa"/>
          </w:tcPr>
          <w:p w14:paraId="24C2E35D">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615FFA8B">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2F6B2AE0">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1394F88B">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C537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5DB01998">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十、现金流量净额</w:t>
            </w:r>
          </w:p>
        </w:tc>
        <w:tc>
          <w:tcPr>
            <w:tcW w:w="1276" w:type="dxa"/>
          </w:tcPr>
          <w:p w14:paraId="18E0FFEB">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1730" w:type="dxa"/>
          </w:tcPr>
          <w:p w14:paraId="0E984A76">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022F0A5D">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5ABB00F9">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6C461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5CC5D8DB">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十一、主要财务指标</w:t>
            </w:r>
          </w:p>
        </w:tc>
        <w:tc>
          <w:tcPr>
            <w:tcW w:w="1276" w:type="dxa"/>
          </w:tcPr>
          <w:p w14:paraId="57CD2DA2">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c>
          <w:tcPr>
            <w:tcW w:w="1730" w:type="dxa"/>
          </w:tcPr>
          <w:p w14:paraId="7D7E40D9">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6F150FE8">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3D87A18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9D47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3D2C78C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1.净资产收益率</w:t>
            </w:r>
          </w:p>
        </w:tc>
        <w:tc>
          <w:tcPr>
            <w:tcW w:w="1276" w:type="dxa"/>
          </w:tcPr>
          <w:p w14:paraId="20A6DB38">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730" w:type="dxa"/>
          </w:tcPr>
          <w:p w14:paraId="3C870672">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3BE769F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03152C43">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5B49E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46E7923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2.总资产报酬率</w:t>
            </w:r>
          </w:p>
        </w:tc>
        <w:tc>
          <w:tcPr>
            <w:tcW w:w="1276" w:type="dxa"/>
          </w:tcPr>
          <w:p w14:paraId="226C322E">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730" w:type="dxa"/>
          </w:tcPr>
          <w:p w14:paraId="5A9A808E">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318E8416">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0ECFE2A1">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4BA8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173682C8">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3.主营业务利润率</w:t>
            </w:r>
          </w:p>
        </w:tc>
        <w:tc>
          <w:tcPr>
            <w:tcW w:w="1276" w:type="dxa"/>
          </w:tcPr>
          <w:p w14:paraId="3122327D">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730" w:type="dxa"/>
          </w:tcPr>
          <w:p w14:paraId="69E0D990">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4EF79FF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5CB460A5">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60328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048DA2DF">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4.资产负债率</w:t>
            </w:r>
          </w:p>
        </w:tc>
        <w:tc>
          <w:tcPr>
            <w:tcW w:w="1276" w:type="dxa"/>
          </w:tcPr>
          <w:p w14:paraId="77A06140">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730" w:type="dxa"/>
          </w:tcPr>
          <w:p w14:paraId="7FF0A517">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2496E04A">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77D4CD08">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630A2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28C0CBB4">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5.流动比率</w:t>
            </w:r>
          </w:p>
        </w:tc>
        <w:tc>
          <w:tcPr>
            <w:tcW w:w="1276" w:type="dxa"/>
          </w:tcPr>
          <w:p w14:paraId="329B24DA">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730" w:type="dxa"/>
          </w:tcPr>
          <w:p w14:paraId="323C9EC8">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5594E701">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5F0D90CC">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1EDA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50CBB0BA">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6.速动比率</w:t>
            </w:r>
          </w:p>
        </w:tc>
        <w:tc>
          <w:tcPr>
            <w:tcW w:w="1276" w:type="dxa"/>
          </w:tcPr>
          <w:p w14:paraId="3A933DC2">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1730" w:type="dxa"/>
          </w:tcPr>
          <w:p w14:paraId="3095B2C8">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672" w:type="dxa"/>
          </w:tcPr>
          <w:p w14:paraId="1AD6AC20">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c>
          <w:tcPr>
            <w:tcW w:w="1701" w:type="dxa"/>
          </w:tcPr>
          <w:p w14:paraId="2CCD3316">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741C4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24EDE72D">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近三个年度的年平均营业总收入</w:t>
            </w:r>
          </w:p>
        </w:tc>
        <w:tc>
          <w:tcPr>
            <w:tcW w:w="1276" w:type="dxa"/>
            <w:vAlign w:val="center"/>
          </w:tcPr>
          <w:p w14:paraId="378E42E2">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5103" w:type="dxa"/>
            <w:gridSpan w:val="3"/>
          </w:tcPr>
          <w:p w14:paraId="2017582E">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r w14:paraId="390EF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39" w:type="dxa"/>
          </w:tcPr>
          <w:p w14:paraId="6472F0FA">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最新年度具有的营运资金（流动资产-流动负债）</w:t>
            </w:r>
          </w:p>
        </w:tc>
        <w:tc>
          <w:tcPr>
            <w:tcW w:w="1276" w:type="dxa"/>
            <w:vAlign w:val="center"/>
          </w:tcPr>
          <w:p w14:paraId="42D2369C">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万元</w:t>
            </w:r>
          </w:p>
        </w:tc>
        <w:tc>
          <w:tcPr>
            <w:tcW w:w="5103" w:type="dxa"/>
            <w:gridSpan w:val="3"/>
          </w:tcPr>
          <w:p w14:paraId="4B6E514A">
            <w:pPr>
              <w:keepNext w:val="0"/>
              <w:keepLines w:val="0"/>
              <w:suppressLineNumbers w:val="0"/>
              <w:spacing w:before="0" w:beforeAutospacing="0" w:after="0" w:afterAutospacing="0" w:line="400" w:lineRule="exact"/>
              <w:ind w:left="0" w:right="0"/>
              <w:rPr>
                <w:rFonts w:hint="default" w:ascii="宋体" w:hAnsi="宋体" w:cs="宋体"/>
                <w:color w:val="000000" w:themeColor="text1"/>
                <w:sz w:val="24"/>
                <w:highlight w:val="none"/>
                <w14:textFill>
                  <w14:solidFill>
                    <w14:schemeClr w14:val="tx1"/>
                  </w14:solidFill>
                </w14:textFill>
              </w:rPr>
            </w:pPr>
          </w:p>
        </w:tc>
      </w:tr>
    </w:tbl>
    <w:p w14:paraId="4AD437FF">
      <w:pPr>
        <w:ind w:left="810" w:leftChars="100" w:hanging="600" w:hangingChars="25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 投标人应根据招标文件第二章“投标人须知”第 3.5.2 项的要求在本表后附相关证明材料。</w:t>
      </w:r>
    </w:p>
    <w:p w14:paraId="555D99D8">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br w:type="page"/>
      </w:r>
    </w:p>
    <w:p w14:paraId="04EA995E">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(四) 近年承接的类似项目情况表</w:t>
      </w:r>
    </w:p>
    <w:p w14:paraId="3B157DC8">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（四）</w:t>
      </w:r>
      <w:r>
        <w:rPr>
          <w:rFonts w:hint="eastAsia" w:ascii="宋体" w:hAnsi="宋体" w:cs="宋体"/>
          <w:b/>
          <w:bCs/>
          <w:color w:val="000000" w:themeColor="text1"/>
          <w:sz w:val="28"/>
          <w:szCs w:val="28"/>
          <w:highlight w:val="none"/>
          <w14:textFill>
            <w14:solidFill>
              <w14:schemeClr w14:val="tx1"/>
            </w14:solidFill>
          </w14:textFill>
        </w:rPr>
        <w:t>-1</w:t>
      </w:r>
      <w:r>
        <w:rPr>
          <w:rFonts w:hint="eastAsia" w:ascii="宋体" w:hAnsi="宋体" w:cs="宋体"/>
          <w:b/>
          <w:color w:val="000000" w:themeColor="text1"/>
          <w:sz w:val="28"/>
          <w:szCs w:val="28"/>
          <w:highlight w:val="none"/>
          <w14:textFill>
            <w14:solidFill>
              <w14:schemeClr w14:val="tx1"/>
            </w14:solidFill>
          </w14:textFill>
        </w:rPr>
        <w:t>承接</w:t>
      </w:r>
      <w:r>
        <w:rPr>
          <w:rFonts w:hint="eastAsia" w:ascii="宋体" w:hAnsi="宋体" w:cs="宋体"/>
          <w:b/>
          <w:bCs/>
          <w:color w:val="000000" w:themeColor="text1"/>
          <w:sz w:val="28"/>
          <w:szCs w:val="28"/>
          <w:highlight w:val="none"/>
          <w14:textFill>
            <w14:solidFill>
              <w14:schemeClr w14:val="tx1"/>
            </w14:solidFill>
          </w14:textFill>
        </w:rPr>
        <w:t>的类似项目情况表</w:t>
      </w:r>
    </w:p>
    <w:tbl>
      <w:tblPr>
        <w:tblStyle w:val="43"/>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6554"/>
      </w:tblGrid>
      <w:tr w14:paraId="23841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359CF293">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序    号</w:t>
            </w:r>
          </w:p>
        </w:tc>
        <w:tc>
          <w:tcPr>
            <w:tcW w:w="6554" w:type="dxa"/>
            <w:vAlign w:val="center"/>
          </w:tcPr>
          <w:p w14:paraId="67FEB766">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6FFB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57209839">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554" w:type="dxa"/>
            <w:vAlign w:val="center"/>
          </w:tcPr>
          <w:p w14:paraId="01A06C49">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31FB5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557548F2">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项目所在地</w:t>
            </w:r>
          </w:p>
        </w:tc>
        <w:tc>
          <w:tcPr>
            <w:tcW w:w="6554" w:type="dxa"/>
            <w:vAlign w:val="center"/>
          </w:tcPr>
          <w:p w14:paraId="199ABEA0">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47F73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19B21502">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发包人名称</w:t>
            </w:r>
          </w:p>
        </w:tc>
        <w:tc>
          <w:tcPr>
            <w:tcW w:w="6554" w:type="dxa"/>
            <w:vAlign w:val="center"/>
          </w:tcPr>
          <w:p w14:paraId="17B74F72">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60757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0F609D7B">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发包人地址</w:t>
            </w:r>
          </w:p>
        </w:tc>
        <w:tc>
          <w:tcPr>
            <w:tcW w:w="6554" w:type="dxa"/>
            <w:vAlign w:val="center"/>
          </w:tcPr>
          <w:p w14:paraId="5D86E7F0">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8184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3B5F71A5">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发包人电话</w:t>
            </w:r>
          </w:p>
        </w:tc>
        <w:tc>
          <w:tcPr>
            <w:tcW w:w="6554" w:type="dxa"/>
            <w:vAlign w:val="center"/>
          </w:tcPr>
          <w:p w14:paraId="081D3ED3">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85C5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2E022253">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合同价格</w:t>
            </w:r>
          </w:p>
        </w:tc>
        <w:tc>
          <w:tcPr>
            <w:tcW w:w="6554" w:type="dxa"/>
            <w:vAlign w:val="center"/>
          </w:tcPr>
          <w:p w14:paraId="262C9E91">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031C7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1FE6077C">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开工日期</w:t>
            </w:r>
          </w:p>
        </w:tc>
        <w:tc>
          <w:tcPr>
            <w:tcW w:w="6554" w:type="dxa"/>
            <w:vAlign w:val="center"/>
          </w:tcPr>
          <w:p w14:paraId="01888516">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07FD5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0F5041B0">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交工（或一次性竣</w:t>
            </w:r>
          </w:p>
          <w:p w14:paraId="0B72F92D">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工）日期</w:t>
            </w:r>
          </w:p>
        </w:tc>
        <w:tc>
          <w:tcPr>
            <w:tcW w:w="6554" w:type="dxa"/>
            <w:vAlign w:val="center"/>
          </w:tcPr>
          <w:p w14:paraId="667E5DF4">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5B3FF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6DEFB5FF">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承担的工作</w:t>
            </w:r>
          </w:p>
        </w:tc>
        <w:tc>
          <w:tcPr>
            <w:tcW w:w="6554" w:type="dxa"/>
            <w:vAlign w:val="center"/>
          </w:tcPr>
          <w:p w14:paraId="68F46C91">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6612F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0B26EFB0">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工程质量评分（或</w:t>
            </w:r>
          </w:p>
          <w:p w14:paraId="776CADB7">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等级）</w:t>
            </w:r>
          </w:p>
        </w:tc>
        <w:tc>
          <w:tcPr>
            <w:tcW w:w="6554" w:type="dxa"/>
            <w:vAlign w:val="center"/>
          </w:tcPr>
          <w:p w14:paraId="786C5B89">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3584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4785ECCE">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项目经理</w:t>
            </w:r>
          </w:p>
        </w:tc>
        <w:tc>
          <w:tcPr>
            <w:tcW w:w="6554" w:type="dxa"/>
            <w:vAlign w:val="center"/>
          </w:tcPr>
          <w:p w14:paraId="48892C2F">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60DAA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3AC3C874">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项目总工</w:t>
            </w:r>
          </w:p>
        </w:tc>
        <w:tc>
          <w:tcPr>
            <w:tcW w:w="6554" w:type="dxa"/>
            <w:vAlign w:val="center"/>
          </w:tcPr>
          <w:p w14:paraId="0DEDC193">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53302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123923D6">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总监理工程师及电话</w:t>
            </w:r>
          </w:p>
        </w:tc>
        <w:tc>
          <w:tcPr>
            <w:tcW w:w="6554" w:type="dxa"/>
            <w:vAlign w:val="center"/>
          </w:tcPr>
          <w:p w14:paraId="018EBA7E">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0C3B8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2802" w:type="dxa"/>
            <w:vAlign w:val="center"/>
          </w:tcPr>
          <w:p w14:paraId="0316D444">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项目描述</w:t>
            </w:r>
          </w:p>
        </w:tc>
        <w:tc>
          <w:tcPr>
            <w:tcW w:w="6554" w:type="dxa"/>
            <w:vAlign w:val="center"/>
          </w:tcPr>
          <w:p w14:paraId="42C40905">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1A8A2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2" w:type="dxa"/>
            <w:vAlign w:val="center"/>
          </w:tcPr>
          <w:p w14:paraId="4CB68FD5">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c>
          <w:tcPr>
            <w:tcW w:w="6554" w:type="dxa"/>
            <w:vAlign w:val="center"/>
          </w:tcPr>
          <w:p w14:paraId="3DE19A8A">
            <w:pPr>
              <w:keepNext w:val="0"/>
              <w:keepLines w:val="0"/>
              <w:suppressLineNumbers w:val="0"/>
              <w:spacing w:before="0" w:beforeAutospacing="0" w:after="0" w:afterAutospacing="0" w:line="400" w:lineRule="exact"/>
              <w:ind w:left="0" w:right="0"/>
              <w:jc w:val="center"/>
              <w:rPr>
                <w:rFonts w:hint="default" w:ascii="宋体" w:hAnsi="宋体" w:cs="宋体"/>
                <w:color w:val="000000" w:themeColor="text1"/>
                <w:sz w:val="24"/>
                <w:highlight w:val="none"/>
                <w14:textFill>
                  <w14:solidFill>
                    <w14:schemeClr w14:val="tx1"/>
                  </w14:solidFill>
                </w14:textFill>
              </w:rPr>
            </w:pPr>
          </w:p>
        </w:tc>
      </w:tr>
    </w:tbl>
    <w:p w14:paraId="3D3CAE0A">
      <w:pPr>
        <w:pStyle w:val="6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注：1.每张表格只填写一个项目，并标明序号。</w:t>
      </w:r>
    </w:p>
    <w:p w14:paraId="2B0BE35E">
      <w:pPr>
        <w:pStyle w:val="60"/>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 投标人应根据招标文件第二章“投标人须知”第 3.5.3 项的要求在本表后附相关证明材料。</w:t>
      </w:r>
    </w:p>
    <w:p w14:paraId="286092EA">
      <w:pPr>
        <w:pStyle w:val="60"/>
        <w:ind w:firstLine="562" w:firstLineChars="200"/>
        <w:rPr>
          <w:rFonts w:ascii="宋体" w:hAnsi="宋体" w:cs="宋体"/>
          <w:b/>
          <w:color w:val="000000" w:themeColor="text1"/>
          <w:sz w:val="28"/>
          <w:szCs w:val="28"/>
          <w:highlight w:val="none"/>
          <w14:textFill>
            <w14:solidFill>
              <w14:schemeClr w14:val="tx1"/>
            </w14:solidFill>
          </w14:textFill>
        </w:rPr>
        <w:sectPr>
          <w:footnotePr>
            <w:numFmt w:val="decimalEnclosedCircleChinese"/>
          </w:footnotePr>
          <w:pgSz w:w="11906" w:h="16838"/>
          <w:pgMar w:top="1038" w:right="924" w:bottom="936" w:left="1418" w:header="624" w:footer="590" w:gutter="0"/>
          <w:pgNumType w:fmt="decimal"/>
          <w:cols w:space="720" w:num="1"/>
          <w:docGrid w:type="lines" w:linePitch="312" w:charSpace="0"/>
        </w:sectPr>
      </w:pPr>
    </w:p>
    <w:p w14:paraId="79FB95F8">
      <w:pPr>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（四）-2 承接的类似项目情况汇总表</w:t>
      </w:r>
    </w:p>
    <w:tbl>
      <w:tblPr>
        <w:tblStyle w:val="43"/>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1064"/>
        <w:gridCol w:w="1286"/>
        <w:gridCol w:w="1286"/>
        <w:gridCol w:w="936"/>
        <w:gridCol w:w="1034"/>
        <w:gridCol w:w="936"/>
        <w:gridCol w:w="978"/>
        <w:gridCol w:w="805"/>
        <w:gridCol w:w="805"/>
      </w:tblGrid>
      <w:tr w14:paraId="6EB52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0C31FFA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1064" w:type="dxa"/>
            <w:vAlign w:val="center"/>
          </w:tcPr>
          <w:p w14:paraId="77198E8A">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w:t>
            </w:r>
          </w:p>
          <w:p w14:paraId="01D49E4F">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p>
        </w:tc>
        <w:tc>
          <w:tcPr>
            <w:tcW w:w="1286" w:type="dxa"/>
            <w:vAlign w:val="center"/>
          </w:tcPr>
          <w:p w14:paraId="246A1EE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路基桥涵里程</w:t>
            </w:r>
          </w:p>
          <w:p w14:paraId="09A36D7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（km）</w:t>
            </w:r>
          </w:p>
        </w:tc>
        <w:tc>
          <w:tcPr>
            <w:tcW w:w="1286" w:type="dxa"/>
            <w:vAlign w:val="center"/>
          </w:tcPr>
          <w:p w14:paraId="575068B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路面类型及里程（km）</w:t>
            </w:r>
          </w:p>
        </w:tc>
        <w:tc>
          <w:tcPr>
            <w:tcW w:w="936" w:type="dxa"/>
            <w:vAlign w:val="center"/>
          </w:tcPr>
          <w:p w14:paraId="0E78974A">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大桥（座）</w:t>
            </w:r>
          </w:p>
        </w:tc>
        <w:tc>
          <w:tcPr>
            <w:tcW w:w="1034" w:type="dxa"/>
            <w:vAlign w:val="center"/>
          </w:tcPr>
          <w:p w14:paraId="7488711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特大桥</w:t>
            </w:r>
          </w:p>
          <w:p w14:paraId="21DB0F9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（座）</w:t>
            </w:r>
          </w:p>
        </w:tc>
        <w:tc>
          <w:tcPr>
            <w:tcW w:w="936" w:type="dxa"/>
            <w:vAlign w:val="center"/>
          </w:tcPr>
          <w:p w14:paraId="1C8367B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长隧道</w:t>
            </w:r>
          </w:p>
          <w:p w14:paraId="79E1DD1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（座）</w:t>
            </w:r>
          </w:p>
        </w:tc>
        <w:tc>
          <w:tcPr>
            <w:tcW w:w="978" w:type="dxa"/>
            <w:vAlign w:val="center"/>
          </w:tcPr>
          <w:p w14:paraId="6FD6C70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特长隧道（座）</w:t>
            </w:r>
          </w:p>
        </w:tc>
        <w:tc>
          <w:tcPr>
            <w:tcW w:w="805" w:type="dxa"/>
            <w:vAlign w:val="center"/>
          </w:tcPr>
          <w:p w14:paraId="7EF9985B">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tc>
        <w:tc>
          <w:tcPr>
            <w:tcW w:w="805" w:type="dxa"/>
            <w:vAlign w:val="center"/>
          </w:tcPr>
          <w:p w14:paraId="1F1B140B">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备注</w:t>
            </w:r>
          </w:p>
        </w:tc>
      </w:tr>
      <w:tr w14:paraId="078CB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3DA9CEC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1064" w:type="dxa"/>
            <w:vAlign w:val="center"/>
          </w:tcPr>
          <w:p w14:paraId="3E3339EE">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5A8D1A6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61732AF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0B60F4E8">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7D3E063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60B7CD5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7BD9C24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270C9DDE">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5BF2D908">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64471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4BC3C19B">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c>
          <w:tcPr>
            <w:tcW w:w="1064" w:type="dxa"/>
            <w:vAlign w:val="center"/>
          </w:tcPr>
          <w:p w14:paraId="1E04DA8E">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7014A6A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40865B4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287FBDA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29ED5F4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3B3F09A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6F6E28D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5043163A">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74D955A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7F417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7D8E615E">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p>
        </w:tc>
        <w:tc>
          <w:tcPr>
            <w:tcW w:w="1064" w:type="dxa"/>
            <w:vAlign w:val="center"/>
          </w:tcPr>
          <w:p w14:paraId="5B2D6B87">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3CFE7B88">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06F02BA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1873BAF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1851F49A">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234DC33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3B5A2C1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02D2719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6C375B4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4641F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27DC40AF">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1064" w:type="dxa"/>
            <w:vAlign w:val="center"/>
          </w:tcPr>
          <w:p w14:paraId="0541D49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6EB56D9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7AF78C50">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73C35CF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1989AB5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1EEF5D49">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290E28D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22B9A36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02ADB45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7BACD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11348CF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p>
        </w:tc>
        <w:tc>
          <w:tcPr>
            <w:tcW w:w="1064" w:type="dxa"/>
            <w:vAlign w:val="center"/>
          </w:tcPr>
          <w:p w14:paraId="320A612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3C4A27F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1BE7F65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39C57D3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4AED8EA7">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3CF1AB3B">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40E3C39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163CCB8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17669767">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2808B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7B878B07">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w:t>
            </w:r>
          </w:p>
        </w:tc>
        <w:tc>
          <w:tcPr>
            <w:tcW w:w="1064" w:type="dxa"/>
            <w:vAlign w:val="center"/>
          </w:tcPr>
          <w:p w14:paraId="69C6E77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3613FFF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21DF0C2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14BE609F">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751B084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6123238F">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78471492">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3764C229">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7AF3F86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4A379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40E0EA69">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w:t>
            </w:r>
          </w:p>
        </w:tc>
        <w:tc>
          <w:tcPr>
            <w:tcW w:w="1064" w:type="dxa"/>
            <w:vAlign w:val="center"/>
          </w:tcPr>
          <w:p w14:paraId="663482D8">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1F9677F8">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539808A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7F7697E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06D17891">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33689B6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4836159E">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29664E00">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4D71D29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43037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24" w:type="dxa"/>
            <w:vAlign w:val="center"/>
          </w:tcPr>
          <w:p w14:paraId="4052835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p>
        </w:tc>
        <w:tc>
          <w:tcPr>
            <w:tcW w:w="1064" w:type="dxa"/>
            <w:vAlign w:val="center"/>
          </w:tcPr>
          <w:p w14:paraId="1DAA49C5">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5ED35948">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78B0F10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4BB6B54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7C1E1DD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3CCF5DE5">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14DFE66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6768CF53">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1ED8E8B0">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r w14:paraId="43BEB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88" w:type="dxa"/>
            <w:gridSpan w:val="2"/>
            <w:vAlign w:val="center"/>
          </w:tcPr>
          <w:p w14:paraId="7B48580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业绩合计</w:t>
            </w:r>
          </w:p>
        </w:tc>
        <w:tc>
          <w:tcPr>
            <w:tcW w:w="1286" w:type="dxa"/>
          </w:tcPr>
          <w:p w14:paraId="689E91B0">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286" w:type="dxa"/>
          </w:tcPr>
          <w:p w14:paraId="7DE6415C">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5B4FF656">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1034" w:type="dxa"/>
          </w:tcPr>
          <w:p w14:paraId="476B6D14">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36" w:type="dxa"/>
          </w:tcPr>
          <w:p w14:paraId="6E15237E">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978" w:type="dxa"/>
          </w:tcPr>
          <w:p w14:paraId="139E90ED">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4F1C76FF">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c>
          <w:tcPr>
            <w:tcW w:w="805" w:type="dxa"/>
          </w:tcPr>
          <w:p w14:paraId="1DE196D7">
            <w:pPr>
              <w:pStyle w:val="60"/>
              <w:keepNext w:val="0"/>
              <w:keepLines w:val="0"/>
              <w:suppressLineNumbers w:val="0"/>
              <w:spacing w:before="0" w:beforeAutospacing="0" w:after="0" w:afterAutospacing="0"/>
              <w:ind w:left="0" w:right="0"/>
              <w:jc w:val="center"/>
              <w:rPr>
                <w:rFonts w:hint="default" w:ascii="宋体" w:hAnsi="宋体" w:cs="宋体"/>
                <w:color w:val="000000" w:themeColor="text1"/>
                <w:highlight w:val="none"/>
                <w14:textFill>
                  <w14:solidFill>
                    <w14:schemeClr w14:val="tx1"/>
                  </w14:solidFill>
                </w14:textFill>
              </w:rPr>
            </w:pPr>
          </w:p>
        </w:tc>
      </w:tr>
    </w:tbl>
    <w:p w14:paraId="0B272FDE">
      <w:pPr>
        <w:spacing w:line="360" w:lineRule="auto"/>
        <w:ind w:left="621" w:leftChars="-13" w:hanging="648" w:hangingChars="309"/>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注：业绩要求应符合投标人须知前附表 3.5.3、10.6 及 10.7 款的要求。</w:t>
      </w:r>
    </w:p>
    <w:p w14:paraId="2A2182E4">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r>
        <w:rPr>
          <w:rFonts w:hint="eastAsia" w:ascii="宋体" w:hAnsi="宋体" w:cs="宋体"/>
          <w:b/>
          <w:color w:val="000000" w:themeColor="text1"/>
          <w:sz w:val="28"/>
          <w:szCs w:val="28"/>
          <w:highlight w:val="none"/>
          <w14:textFill>
            <w14:solidFill>
              <w14:schemeClr w14:val="tx1"/>
            </w14:solidFill>
          </w14:textFill>
        </w:rPr>
        <w:t>（五）投标人的信誉情况表</w:t>
      </w:r>
    </w:p>
    <w:p w14:paraId="36D7891B">
      <w:pPr>
        <w:spacing w:line="300" w:lineRule="exact"/>
        <w:rPr>
          <w:rFonts w:ascii="宋体" w:hAnsi="宋体" w:cs="宋体"/>
          <w:color w:val="000000" w:themeColor="text1"/>
          <w:sz w:val="24"/>
          <w:highlight w:val="none"/>
          <w14:textFill>
            <w14:solidFill>
              <w14:schemeClr w14:val="tx1"/>
            </w14:solidFill>
          </w14:textFill>
        </w:rPr>
      </w:pPr>
    </w:p>
    <w:tbl>
      <w:tblPr>
        <w:tblStyle w:val="43"/>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0"/>
        <w:gridCol w:w="4890"/>
      </w:tblGrid>
      <w:tr w14:paraId="734C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890" w:type="dxa"/>
            <w:vAlign w:val="center"/>
          </w:tcPr>
          <w:p w14:paraId="77E00769">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  目</w:t>
            </w:r>
          </w:p>
        </w:tc>
        <w:tc>
          <w:tcPr>
            <w:tcW w:w="4890" w:type="dxa"/>
            <w:vAlign w:val="center"/>
          </w:tcPr>
          <w:p w14:paraId="05EB2320">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投标人情况说明</w:t>
            </w:r>
          </w:p>
        </w:tc>
      </w:tr>
      <w:tr w14:paraId="3FC4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890" w:type="dxa"/>
            <w:vAlign w:val="center"/>
          </w:tcPr>
          <w:p w14:paraId="3FA36A17">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（1）在最新年度广东省公路工程从业单位（施工单位）信用评价（含无最新年度而上一年度有信用评价）中，信用等级被评为 D 级；初次进入广东省的投标人，在最新年度的全国公路从业单位（施工单位）信用评价结果中被评为 D 级；</w:t>
            </w:r>
          </w:p>
        </w:tc>
        <w:tc>
          <w:tcPr>
            <w:tcW w:w="4890" w:type="dxa"/>
            <w:vAlign w:val="center"/>
          </w:tcPr>
          <w:p w14:paraId="4CAA3C36">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4FA8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4890" w:type="dxa"/>
            <w:vAlign w:val="center"/>
          </w:tcPr>
          <w:p w14:paraId="57EC5C77">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（2）被省级及以上交通运输主管部门取消招标项目所在地的投标资格且处于有效期内；</w:t>
            </w:r>
          </w:p>
        </w:tc>
        <w:tc>
          <w:tcPr>
            <w:tcW w:w="4890" w:type="dxa"/>
            <w:vAlign w:val="center"/>
          </w:tcPr>
          <w:p w14:paraId="304954AC">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3799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4890" w:type="dxa"/>
            <w:vAlign w:val="center"/>
          </w:tcPr>
          <w:p w14:paraId="18193D7F">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（3）被责令停业，暂扣或吊销执照，或吊销资质证书；</w:t>
            </w:r>
          </w:p>
        </w:tc>
        <w:tc>
          <w:tcPr>
            <w:tcW w:w="4890" w:type="dxa"/>
            <w:vAlign w:val="center"/>
          </w:tcPr>
          <w:p w14:paraId="763F0350">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3FD8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90" w:type="dxa"/>
            <w:vAlign w:val="center"/>
          </w:tcPr>
          <w:p w14:paraId="46FE7B5C">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（4）进入清算程序，或被宣告破产，或其他丧失履约能力的情形；</w:t>
            </w:r>
          </w:p>
        </w:tc>
        <w:tc>
          <w:tcPr>
            <w:tcW w:w="4890" w:type="dxa"/>
            <w:vAlign w:val="center"/>
          </w:tcPr>
          <w:p w14:paraId="0F5B1B49">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24FC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890" w:type="dxa"/>
            <w:vAlign w:val="center"/>
          </w:tcPr>
          <w:p w14:paraId="20624A92">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（5）在国家企业信用信息公示系统中被列入严重违法失信企业名单；</w:t>
            </w:r>
          </w:p>
        </w:tc>
        <w:tc>
          <w:tcPr>
            <w:tcW w:w="4890" w:type="dxa"/>
            <w:vAlign w:val="center"/>
          </w:tcPr>
          <w:p w14:paraId="1A9A2F5C">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68A9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890" w:type="dxa"/>
            <w:vAlign w:val="center"/>
          </w:tcPr>
          <w:p w14:paraId="61999F4D">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（6）在“信用中国”网站中被列入失信被执行人名单；</w:t>
            </w:r>
          </w:p>
        </w:tc>
        <w:tc>
          <w:tcPr>
            <w:tcW w:w="4890" w:type="dxa"/>
            <w:vAlign w:val="center"/>
          </w:tcPr>
          <w:p w14:paraId="13588CC1">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3BC9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890" w:type="dxa"/>
            <w:vAlign w:val="center"/>
          </w:tcPr>
          <w:p w14:paraId="68D8BA6F">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（7）投标人及其法定代表人、拟委任的项目经理（以及备选人，如有）、项目总工（以及备选人，如有）在近三年内有行贿犯罪行为的（以投标人投标函中的承诺为准）；</w:t>
            </w:r>
          </w:p>
        </w:tc>
        <w:tc>
          <w:tcPr>
            <w:tcW w:w="4890" w:type="dxa"/>
            <w:vAlign w:val="center"/>
          </w:tcPr>
          <w:p w14:paraId="621AD534">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51BD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4890" w:type="dxa"/>
            <w:vAlign w:val="center"/>
          </w:tcPr>
          <w:p w14:paraId="4E484A52">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（8）法律法规或投标人须知前附表规定的其他情形。</w:t>
            </w:r>
          </w:p>
        </w:tc>
        <w:tc>
          <w:tcPr>
            <w:tcW w:w="4890" w:type="dxa"/>
            <w:vAlign w:val="center"/>
          </w:tcPr>
          <w:p w14:paraId="2B582F59">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r w14:paraId="302A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890" w:type="dxa"/>
            <w:vAlign w:val="center"/>
          </w:tcPr>
          <w:p w14:paraId="28AEB396">
            <w:pPr>
              <w:keepNext w:val="0"/>
              <w:keepLines w:val="0"/>
              <w:suppressLineNumbers w:val="0"/>
              <w:spacing w:before="0" w:beforeAutospacing="0" w:after="0" w:afterAutospacing="0" w:line="300" w:lineRule="exact"/>
              <w:ind w:left="0" w:right="0"/>
              <w:jc w:val="left"/>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tc>
        <w:tc>
          <w:tcPr>
            <w:tcW w:w="4890" w:type="dxa"/>
            <w:vAlign w:val="center"/>
          </w:tcPr>
          <w:p w14:paraId="13507255">
            <w:pPr>
              <w:keepNext w:val="0"/>
              <w:keepLines w:val="0"/>
              <w:suppressLineNumbers w:val="0"/>
              <w:spacing w:before="0" w:beforeAutospacing="0" w:after="0" w:afterAutospacing="0" w:line="300" w:lineRule="exact"/>
              <w:ind w:left="0" w:right="0"/>
              <w:jc w:val="center"/>
              <w:rPr>
                <w:rFonts w:hint="default" w:ascii="宋体" w:hAnsi="宋体" w:cs="宋体"/>
                <w:color w:val="000000" w:themeColor="text1"/>
                <w:sz w:val="24"/>
                <w:highlight w:val="none"/>
                <w14:textFill>
                  <w14:solidFill>
                    <w14:schemeClr w14:val="tx1"/>
                  </w14:solidFill>
                </w14:textFill>
              </w:rPr>
            </w:pPr>
          </w:p>
        </w:tc>
      </w:tr>
    </w:tbl>
    <w:p w14:paraId="15A3AC83">
      <w:pPr>
        <w:spacing w:line="360" w:lineRule="auto"/>
        <w:ind w:left="720" w:hanging="720" w:hanging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注：1.投标人应按照招标文件第二章“投标人须知”前附表附录 4 和“投标人须知”第</w:t>
      </w:r>
    </w:p>
    <w:p w14:paraId="373A97AB">
      <w:pPr>
        <w:spacing w:line="360" w:lineRule="auto"/>
        <w:ind w:left="720" w:hanging="720" w:hanging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1.4.4 条款号中的各项规定，逐条说明其信誉情况。</w:t>
      </w:r>
    </w:p>
    <w:p w14:paraId="0D57B13C">
      <w:pPr>
        <w:spacing w:line="360" w:lineRule="auto"/>
        <w:ind w:left="719" w:leftChars="228" w:hanging="240" w:hanging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2.投标人应根据招标文件第二章“投标人须知”第 3.5.4 项的要求在本表后附相关</w:t>
      </w:r>
    </w:p>
    <w:p w14:paraId="40E360DF">
      <w:pPr>
        <w:spacing w:line="360" w:lineRule="auto"/>
        <w:ind w:left="720" w:hanging="720" w:hangingChars="3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证明材料。</w:t>
      </w:r>
    </w:p>
    <w:p w14:paraId="6B2BC093">
      <w:pPr>
        <w:spacing w:line="360" w:lineRule="auto"/>
        <w:ind w:left="719" w:leftChars="228" w:hanging="240" w:hangingChars="100"/>
        <w:rPr>
          <w:rFonts w:ascii="宋体" w:hAnsi="宋体" w:cs="宋体"/>
          <w:color w:val="000000" w:themeColor="text1"/>
          <w:sz w:val="24"/>
          <w:highlight w:val="none"/>
          <w14:textFill>
            <w14:solidFill>
              <w14:schemeClr w14:val="tx1"/>
            </w14:solidFill>
          </w14:textFill>
        </w:rPr>
      </w:pPr>
    </w:p>
    <w:p w14:paraId="592154BC">
      <w:pPr>
        <w:spacing w:line="360" w:lineRule="auto"/>
        <w:ind w:left="643" w:leftChars="226" w:hanging="168" w:hangingChars="70"/>
        <w:rPr>
          <w:rFonts w:ascii="宋体" w:hAnsi="宋体" w:cs="宋体"/>
          <w:color w:val="000000" w:themeColor="text1"/>
          <w:sz w:val="24"/>
          <w:highlight w:val="none"/>
          <w14:textFill>
            <w14:solidFill>
              <w14:schemeClr w14:val="tx1"/>
            </w14:solidFill>
          </w14:textFill>
        </w:rPr>
      </w:pPr>
    </w:p>
    <w:p w14:paraId="2722B171">
      <w:pPr>
        <w:spacing w:line="300" w:lineRule="exact"/>
        <w:rPr>
          <w:rFonts w:ascii="宋体" w:hAnsi="宋体" w:cs="宋体"/>
          <w:color w:val="000000" w:themeColor="text1"/>
          <w:sz w:val="24"/>
          <w:highlight w:val="none"/>
          <w14:textFill>
            <w14:solidFill>
              <w14:schemeClr w14:val="tx1"/>
            </w14:solidFill>
          </w14:textFill>
        </w:rPr>
        <w:sectPr>
          <w:footerReference r:id="rId16" w:type="first"/>
          <w:footerReference r:id="rId15" w:type="default"/>
          <w:footnotePr>
            <w:numFmt w:val="decimalEnclosedCircleChinese"/>
          </w:footnotePr>
          <w:pgSz w:w="11906" w:h="16838"/>
          <w:pgMar w:top="1038" w:right="924" w:bottom="936" w:left="1418" w:header="624" w:footer="590" w:gutter="0"/>
          <w:pgNumType w:fmt="decimal"/>
          <w:cols w:space="720" w:num="1"/>
          <w:docGrid w:type="lines" w:linePitch="312" w:charSpace="0"/>
        </w:sectPr>
      </w:pPr>
    </w:p>
    <w:p w14:paraId="4D57A140">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（六）拟委任的项目经理和项目总工情况表</w:t>
      </w:r>
    </w:p>
    <w:p w14:paraId="1D328248">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（六）-1拟委任的项目经理和项目总工汇总表</w:t>
      </w:r>
    </w:p>
    <w:p w14:paraId="4F06B8F0">
      <w:pPr>
        <w:pStyle w:val="56"/>
        <w:rPr>
          <w:rFonts w:ascii="宋体" w:hAnsi="宋体" w:cs="宋体"/>
          <w:b/>
          <w:color w:val="000000" w:themeColor="text1"/>
          <w:highlight w:val="none"/>
          <w14:textFill>
            <w14:solidFill>
              <w14:schemeClr w14:val="tx1"/>
            </w14:solidFill>
          </w14:textFill>
        </w:rPr>
      </w:pPr>
    </w:p>
    <w:tbl>
      <w:tblPr>
        <w:tblStyle w:val="44"/>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97"/>
        <w:gridCol w:w="1397"/>
        <w:gridCol w:w="1397"/>
        <w:gridCol w:w="1397"/>
        <w:gridCol w:w="1397"/>
        <w:gridCol w:w="1398"/>
      </w:tblGrid>
      <w:tr w14:paraId="29A7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14:paraId="180DA2D2">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姓名</w:t>
            </w:r>
          </w:p>
        </w:tc>
        <w:tc>
          <w:tcPr>
            <w:tcW w:w="1397" w:type="dxa"/>
            <w:vAlign w:val="center"/>
          </w:tcPr>
          <w:p w14:paraId="02BFAAAB">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年龄</w:t>
            </w:r>
          </w:p>
        </w:tc>
        <w:tc>
          <w:tcPr>
            <w:tcW w:w="1397" w:type="dxa"/>
            <w:vAlign w:val="center"/>
          </w:tcPr>
          <w:p w14:paraId="43C3C5CE">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拟在本项目中担任的职务</w:t>
            </w:r>
          </w:p>
        </w:tc>
        <w:tc>
          <w:tcPr>
            <w:tcW w:w="1397" w:type="dxa"/>
            <w:vAlign w:val="center"/>
          </w:tcPr>
          <w:p w14:paraId="3D419667">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技术</w:t>
            </w:r>
          </w:p>
          <w:p w14:paraId="7C8ADA18">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职称</w:t>
            </w:r>
          </w:p>
        </w:tc>
        <w:tc>
          <w:tcPr>
            <w:tcW w:w="1397" w:type="dxa"/>
            <w:vAlign w:val="center"/>
          </w:tcPr>
          <w:p w14:paraId="5E7B0E4E">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建造师类别及注册号</w:t>
            </w:r>
          </w:p>
        </w:tc>
        <w:tc>
          <w:tcPr>
            <w:tcW w:w="1397" w:type="dxa"/>
            <w:vAlign w:val="center"/>
          </w:tcPr>
          <w:p w14:paraId="3C67DAF4">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累计对应岗位的工作年限（月）</w:t>
            </w:r>
          </w:p>
        </w:tc>
        <w:tc>
          <w:tcPr>
            <w:tcW w:w="1398" w:type="dxa"/>
            <w:vAlign w:val="center"/>
          </w:tcPr>
          <w:p w14:paraId="3366392A">
            <w:pPr>
              <w:keepNext w:val="0"/>
              <w:keepLines w:val="0"/>
              <w:suppressLineNumbers w:val="0"/>
              <w:spacing w:before="0" w:beforeAutospacing="0" w:after="0" w:afterAutospacing="0"/>
              <w:ind w:left="0" w:right="0"/>
              <w:jc w:val="center"/>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备注</w:t>
            </w:r>
          </w:p>
        </w:tc>
      </w:tr>
      <w:tr w14:paraId="0B8D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397" w:type="dxa"/>
          </w:tcPr>
          <w:p w14:paraId="78F0BD8D">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CB94645">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6504A3D0">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34AD325D">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46696D74">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2437355A">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8" w:type="dxa"/>
          </w:tcPr>
          <w:p w14:paraId="4752949D">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r>
      <w:tr w14:paraId="71CB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397" w:type="dxa"/>
          </w:tcPr>
          <w:p w14:paraId="3D874CE7">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462AC425">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7809F879">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2C3AA1F2">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44951BD2">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0BB480D6">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8" w:type="dxa"/>
          </w:tcPr>
          <w:p w14:paraId="02991C05">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r>
      <w:tr w14:paraId="49F4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397" w:type="dxa"/>
          </w:tcPr>
          <w:p w14:paraId="6575277B">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0F8AE29">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08D148C3">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32BBC29">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62D79513">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ABA8603">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8" w:type="dxa"/>
          </w:tcPr>
          <w:p w14:paraId="13D8D494">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r>
      <w:tr w14:paraId="0E64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397" w:type="dxa"/>
          </w:tcPr>
          <w:p w14:paraId="2030C68E">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E7CC256">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CEC2243">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1ABE7861">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6D08BD96">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3A588208">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8" w:type="dxa"/>
          </w:tcPr>
          <w:p w14:paraId="1106115D">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r>
      <w:tr w14:paraId="72A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397" w:type="dxa"/>
          </w:tcPr>
          <w:p w14:paraId="7CDD7286">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792FEFAB">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4EBA1E53">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755F6B58">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5B8BF362">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7" w:type="dxa"/>
          </w:tcPr>
          <w:p w14:paraId="7D873515">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c>
          <w:tcPr>
            <w:tcW w:w="1398" w:type="dxa"/>
          </w:tcPr>
          <w:p w14:paraId="360CC956">
            <w:pPr>
              <w:pStyle w:val="56"/>
              <w:keepNext w:val="0"/>
              <w:keepLines w:val="0"/>
              <w:suppressLineNumbers w:val="0"/>
              <w:spacing w:before="0" w:beforeAutospacing="0" w:after="0" w:afterAutospacing="0"/>
              <w:ind w:left="0" w:right="0"/>
              <w:rPr>
                <w:rFonts w:hint="default" w:ascii="宋体" w:hAnsi="宋体" w:cs="宋体"/>
                <w:b/>
                <w:color w:val="000000" w:themeColor="text1"/>
                <w:highlight w:val="none"/>
                <w14:textFill>
                  <w14:solidFill>
                    <w14:schemeClr w14:val="tx1"/>
                  </w14:solidFill>
                </w14:textFill>
              </w:rPr>
            </w:pPr>
          </w:p>
        </w:tc>
      </w:tr>
    </w:tbl>
    <w:p w14:paraId="0AC46694">
      <w:pPr>
        <w:pStyle w:val="56"/>
        <w:rPr>
          <w:rFonts w:ascii="宋体" w:hAnsi="宋体" w:cs="宋体"/>
          <w:b/>
          <w:color w:val="000000" w:themeColor="text1"/>
          <w:highlight w:val="none"/>
          <w14:textFill>
            <w14:solidFill>
              <w14:schemeClr w14:val="tx1"/>
            </w14:solidFill>
          </w14:textFill>
        </w:rPr>
        <w:sectPr>
          <w:pgSz w:w="11906" w:h="16838"/>
          <w:pgMar w:top="1276" w:right="924" w:bottom="935" w:left="1418" w:header="624" w:footer="590" w:gutter="0"/>
          <w:pgNumType w:fmt="decimal"/>
          <w:cols w:space="720" w:num="1"/>
          <w:docGrid w:type="lines" w:linePitch="312" w:charSpace="0"/>
        </w:sectPr>
      </w:pPr>
    </w:p>
    <w:p w14:paraId="70E35E99">
      <w:pPr>
        <w:pStyle w:val="56"/>
        <w:rPr>
          <w:color w:val="000000" w:themeColor="text1"/>
          <w:highlight w:val="none"/>
          <w14:textFill>
            <w14:solidFill>
              <w14:schemeClr w14:val="tx1"/>
            </w14:solidFill>
          </w14:textFill>
        </w:rPr>
      </w:pPr>
    </w:p>
    <w:p w14:paraId="38FA5FFB">
      <w:pPr>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（六）-2拟委任的项目经理和项目总工资历表</w:t>
      </w:r>
    </w:p>
    <w:tbl>
      <w:tblPr>
        <w:tblStyle w:val="43"/>
        <w:tblW w:w="10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400"/>
        <w:gridCol w:w="217"/>
        <w:gridCol w:w="1516"/>
        <w:gridCol w:w="1450"/>
        <w:gridCol w:w="2382"/>
        <w:gridCol w:w="1835"/>
      </w:tblGrid>
      <w:tr w14:paraId="6E01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25BB7C08">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姓    名</w:t>
            </w:r>
          </w:p>
        </w:tc>
        <w:tc>
          <w:tcPr>
            <w:tcW w:w="1400" w:type="dxa"/>
            <w:vAlign w:val="center"/>
          </w:tcPr>
          <w:p w14:paraId="03AB5B12">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1733" w:type="dxa"/>
            <w:gridSpan w:val="2"/>
            <w:vAlign w:val="center"/>
          </w:tcPr>
          <w:p w14:paraId="79CFE93A">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年    龄</w:t>
            </w:r>
          </w:p>
        </w:tc>
        <w:tc>
          <w:tcPr>
            <w:tcW w:w="1450" w:type="dxa"/>
            <w:vAlign w:val="center"/>
          </w:tcPr>
          <w:p w14:paraId="5F1BCDB6">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vAlign w:val="center"/>
          </w:tcPr>
          <w:p w14:paraId="78E3B4CE">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专    业</w:t>
            </w:r>
          </w:p>
        </w:tc>
        <w:tc>
          <w:tcPr>
            <w:tcW w:w="1835" w:type="dxa"/>
            <w:vAlign w:val="center"/>
          </w:tcPr>
          <w:p w14:paraId="5D8EDFB7">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3ED4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34DB839E">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技术职称</w:t>
            </w:r>
          </w:p>
        </w:tc>
        <w:tc>
          <w:tcPr>
            <w:tcW w:w="1400" w:type="dxa"/>
            <w:vAlign w:val="center"/>
          </w:tcPr>
          <w:p w14:paraId="5315E6CC">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1733" w:type="dxa"/>
            <w:gridSpan w:val="2"/>
            <w:vAlign w:val="center"/>
          </w:tcPr>
          <w:p w14:paraId="7A293C21">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学    历</w:t>
            </w:r>
          </w:p>
        </w:tc>
        <w:tc>
          <w:tcPr>
            <w:tcW w:w="1450" w:type="dxa"/>
            <w:vAlign w:val="center"/>
          </w:tcPr>
          <w:p w14:paraId="022471BF">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vAlign w:val="center"/>
          </w:tcPr>
          <w:p w14:paraId="5A05F421">
            <w:pPr>
              <w:keepNext w:val="0"/>
              <w:keepLines w:val="0"/>
              <w:suppressLineNumbers w:val="0"/>
              <w:spacing w:before="0" w:beforeAutospacing="0" w:after="0" w:afterAutospacing="0" w:line="400" w:lineRule="exact"/>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拟在本标段</w:t>
            </w:r>
          </w:p>
          <w:p w14:paraId="2E41848E">
            <w:pPr>
              <w:keepNext w:val="0"/>
              <w:keepLines w:val="0"/>
              <w:suppressLineNumbers w:val="0"/>
              <w:spacing w:before="0" w:beforeAutospacing="0" w:after="0" w:afterAutospacing="0" w:line="400" w:lineRule="exact"/>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工程任职</w:t>
            </w:r>
          </w:p>
        </w:tc>
        <w:tc>
          <w:tcPr>
            <w:tcW w:w="1835" w:type="dxa"/>
            <w:vAlign w:val="center"/>
          </w:tcPr>
          <w:p w14:paraId="73F5E9F2">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7811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4438B42E">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工作年限</w:t>
            </w:r>
          </w:p>
        </w:tc>
        <w:tc>
          <w:tcPr>
            <w:tcW w:w="4583" w:type="dxa"/>
            <w:gridSpan w:val="4"/>
            <w:vAlign w:val="center"/>
          </w:tcPr>
          <w:p w14:paraId="3D9DE510">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vAlign w:val="center"/>
          </w:tcPr>
          <w:p w14:paraId="2F6F090F">
            <w:pPr>
              <w:keepNext w:val="0"/>
              <w:keepLines w:val="0"/>
              <w:suppressLineNumbers w:val="0"/>
              <w:spacing w:before="0" w:beforeAutospacing="0" w:after="0" w:afterAutospacing="0" w:line="400" w:lineRule="exact"/>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类似施工经验年限</w:t>
            </w:r>
          </w:p>
        </w:tc>
        <w:tc>
          <w:tcPr>
            <w:tcW w:w="1835" w:type="dxa"/>
            <w:vAlign w:val="center"/>
          </w:tcPr>
          <w:p w14:paraId="662AF4E9">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5501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bottom"/>
          </w:tcPr>
          <w:p w14:paraId="76C9B0B4">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毕业学校</w:t>
            </w:r>
          </w:p>
        </w:tc>
        <w:tc>
          <w:tcPr>
            <w:tcW w:w="8800" w:type="dxa"/>
            <w:gridSpan w:val="6"/>
            <w:vAlign w:val="bottom"/>
          </w:tcPr>
          <w:p w14:paraId="7D33FFB4">
            <w:pPr>
              <w:keepNext w:val="0"/>
              <w:keepLines w:val="0"/>
              <w:suppressLineNumbers w:val="0"/>
              <w:spacing w:before="0" w:beforeAutospacing="0" w:after="0" w:afterAutospacing="0"/>
              <w:ind w:left="0" w:right="0"/>
              <w:jc w:val="left"/>
              <w:rPr>
                <w:rFonts w:hint="default" w:ascii="宋体" w:hAnsi="宋体" w:cs="宋体"/>
                <w:bCs/>
                <w:color w:val="000000" w:themeColor="text1"/>
                <w:sz w:val="24"/>
                <w:highlight w:val="none"/>
                <w:u w:val="single"/>
                <w14:textFill>
                  <w14:solidFill>
                    <w14:schemeClr w14:val="tx1"/>
                  </w14:solidFill>
                </w14:textFill>
              </w:rPr>
            </w:pP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月毕业于</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学校</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专业，学制</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年</w:t>
            </w:r>
          </w:p>
        </w:tc>
      </w:tr>
      <w:tr w14:paraId="279F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0" w:type="dxa"/>
            <w:gridSpan w:val="7"/>
            <w:vAlign w:val="center"/>
          </w:tcPr>
          <w:p w14:paraId="137D2617">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经          历</w:t>
            </w:r>
          </w:p>
        </w:tc>
      </w:tr>
      <w:tr w14:paraId="6235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29369DB4">
            <w:pPr>
              <w:keepNext w:val="0"/>
              <w:keepLines w:val="0"/>
              <w:suppressLineNumbers w:val="0"/>
              <w:spacing w:before="0" w:beforeAutospacing="0" w:after="0" w:afterAutospacing="0" w:line="400" w:lineRule="exact"/>
              <w:ind w:left="0" w:right="0"/>
              <w:jc w:val="center"/>
              <w:rPr>
                <w:rFonts w:hint="default" w:ascii="宋体" w:hAnsi="宋体" w:cs="宋体"/>
                <w:bCs/>
                <w:color w:val="000000" w:themeColor="text1"/>
                <w:sz w:val="24"/>
                <w:highlight w:val="none"/>
                <w:u w:val="singl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时    间</w:t>
            </w:r>
          </w:p>
        </w:tc>
        <w:tc>
          <w:tcPr>
            <w:tcW w:w="4583" w:type="dxa"/>
            <w:gridSpan w:val="4"/>
            <w:vAlign w:val="center"/>
          </w:tcPr>
          <w:p w14:paraId="36B0CF67">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参加过的类似工程项目名称</w:t>
            </w:r>
          </w:p>
        </w:tc>
        <w:tc>
          <w:tcPr>
            <w:tcW w:w="2382" w:type="dxa"/>
            <w:vAlign w:val="center"/>
          </w:tcPr>
          <w:p w14:paraId="06B22B13">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担任职务</w:t>
            </w:r>
          </w:p>
        </w:tc>
        <w:tc>
          <w:tcPr>
            <w:tcW w:w="1835" w:type="dxa"/>
            <w:vAlign w:val="center"/>
          </w:tcPr>
          <w:p w14:paraId="10D818F4">
            <w:pPr>
              <w:keepNext w:val="0"/>
              <w:keepLines w:val="0"/>
              <w:suppressLineNumbers w:val="0"/>
              <w:spacing w:before="0" w:beforeAutospacing="0" w:after="0" w:afterAutospacing="0" w:line="400" w:lineRule="exact"/>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发包人及联系电话</w:t>
            </w:r>
          </w:p>
        </w:tc>
      </w:tr>
      <w:tr w14:paraId="673A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781CE38E">
            <w:pPr>
              <w:keepNext w:val="0"/>
              <w:keepLines w:val="0"/>
              <w:suppressLineNumbers w:val="0"/>
              <w:tabs>
                <w:tab w:val="left" w:pos="680"/>
              </w:tabs>
              <w:autoSpaceDE w:val="0"/>
              <w:autoSpaceDN w:val="0"/>
              <w:adjustRightInd w:val="0"/>
              <w:spacing w:before="73"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4583" w:type="dxa"/>
            <w:gridSpan w:val="4"/>
            <w:vAlign w:val="center"/>
          </w:tcPr>
          <w:p w14:paraId="7567BA93">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vAlign w:val="center"/>
          </w:tcPr>
          <w:p w14:paraId="4CAC3339">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1835" w:type="dxa"/>
            <w:vAlign w:val="center"/>
          </w:tcPr>
          <w:p w14:paraId="4516B5AA">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65C4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17531507">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4583" w:type="dxa"/>
            <w:gridSpan w:val="4"/>
            <w:vAlign w:val="center"/>
          </w:tcPr>
          <w:p w14:paraId="40E45DC5">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vAlign w:val="center"/>
          </w:tcPr>
          <w:p w14:paraId="6B70E765">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1835" w:type="dxa"/>
            <w:vAlign w:val="center"/>
          </w:tcPr>
          <w:p w14:paraId="44899819">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4E5C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vAlign w:val="center"/>
          </w:tcPr>
          <w:p w14:paraId="207B47ED">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4583" w:type="dxa"/>
            <w:gridSpan w:val="4"/>
            <w:vAlign w:val="center"/>
          </w:tcPr>
          <w:p w14:paraId="52F8D549">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vAlign w:val="center"/>
          </w:tcPr>
          <w:p w14:paraId="4E809A09">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c>
          <w:tcPr>
            <w:tcW w:w="1835" w:type="dxa"/>
            <w:vAlign w:val="center"/>
          </w:tcPr>
          <w:p w14:paraId="02F51655">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6BFB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tcPr>
          <w:p w14:paraId="06351D21">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4583" w:type="dxa"/>
            <w:gridSpan w:val="4"/>
          </w:tcPr>
          <w:p w14:paraId="2053E895">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tcPr>
          <w:p w14:paraId="2D45FC4E">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1835" w:type="dxa"/>
          </w:tcPr>
          <w:p w14:paraId="7BFE51A0">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r>
      <w:tr w14:paraId="6E61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tcPr>
          <w:p w14:paraId="52757B18">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4583" w:type="dxa"/>
            <w:gridSpan w:val="4"/>
          </w:tcPr>
          <w:p w14:paraId="62CD344A">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tcPr>
          <w:p w14:paraId="40909B72">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1835" w:type="dxa"/>
          </w:tcPr>
          <w:p w14:paraId="52ABD5F9">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r>
      <w:tr w14:paraId="257E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 w:type="dxa"/>
          </w:tcPr>
          <w:p w14:paraId="524C2C18">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4583" w:type="dxa"/>
            <w:gridSpan w:val="4"/>
          </w:tcPr>
          <w:p w14:paraId="2C5AD5B6">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2382" w:type="dxa"/>
          </w:tcPr>
          <w:p w14:paraId="2F197594">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c>
          <w:tcPr>
            <w:tcW w:w="1835" w:type="dxa"/>
          </w:tcPr>
          <w:p w14:paraId="37317B6E">
            <w:pPr>
              <w:keepNext w:val="0"/>
              <w:keepLines w:val="0"/>
              <w:suppressLineNumbers w:val="0"/>
              <w:spacing w:before="0" w:beforeAutospacing="0" w:after="0" w:afterAutospacing="0" w:line="460" w:lineRule="exact"/>
              <w:ind w:left="0" w:right="0"/>
              <w:jc w:val="center"/>
              <w:rPr>
                <w:rFonts w:hint="default" w:ascii="宋体" w:hAnsi="宋体" w:cs="宋体"/>
                <w:bCs/>
                <w:color w:val="000000" w:themeColor="text1"/>
                <w:sz w:val="24"/>
                <w:highlight w:val="none"/>
                <w14:textFill>
                  <w14:solidFill>
                    <w14:schemeClr w14:val="tx1"/>
                  </w14:solidFill>
                </w14:textFill>
              </w:rPr>
            </w:pPr>
          </w:p>
        </w:tc>
      </w:tr>
      <w:tr w14:paraId="32B6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17" w:type="dxa"/>
            <w:gridSpan w:val="3"/>
            <w:vAlign w:val="center"/>
          </w:tcPr>
          <w:p w14:paraId="1BD32279">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获奖情况</w:t>
            </w:r>
          </w:p>
        </w:tc>
        <w:tc>
          <w:tcPr>
            <w:tcW w:w="7183" w:type="dxa"/>
            <w:gridSpan w:val="4"/>
          </w:tcPr>
          <w:p w14:paraId="4AC28CF6">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r w14:paraId="0B49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0200" w:type="dxa"/>
            <w:gridSpan w:val="7"/>
            <w:vAlign w:val="center"/>
          </w:tcPr>
          <w:p w14:paraId="014C60BF">
            <w:pPr>
              <w:keepNext w:val="0"/>
              <w:keepLines w:val="0"/>
              <w:suppressLineNumbers w:val="0"/>
              <w:spacing w:before="0" w:beforeAutospacing="0" w:after="0" w:afterAutospacing="0" w:line="360" w:lineRule="auto"/>
              <w:ind w:left="0" w:right="0"/>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    本人</w:t>
            </w:r>
            <w:r>
              <w:rPr>
                <w:rFonts w:hint="eastAsia" w:ascii="宋体" w:hAnsi="宋体" w:cs="宋体"/>
                <w:bCs/>
                <w:color w:val="000000" w:themeColor="text1"/>
                <w:sz w:val="24"/>
                <w:highlight w:val="none"/>
                <w:u w:val="single"/>
                <w14:textFill>
                  <w14:solidFill>
                    <w14:schemeClr w14:val="tx1"/>
                  </w14:solidFill>
                </w14:textFill>
              </w:rPr>
              <w:t xml:space="preserve"> （亲笔签字） </w:t>
            </w:r>
            <w:r>
              <w:rPr>
                <w:rFonts w:hint="eastAsia" w:ascii="宋体" w:hAnsi="宋体" w:cs="宋体"/>
                <w:bCs/>
                <w:color w:val="000000" w:themeColor="text1"/>
                <w:sz w:val="24"/>
                <w:highlight w:val="none"/>
                <w14:textFill>
                  <w14:solidFill>
                    <w14:schemeClr w14:val="tx1"/>
                  </w14:solidFill>
                </w14:textFill>
              </w:rPr>
              <w:t>知晓自己为本项目的</w:t>
            </w:r>
            <w:r>
              <w:rPr>
                <w:rFonts w:hint="eastAsia" w:ascii="宋体" w:hAnsi="宋体" w:cs="宋体"/>
                <w:bCs/>
                <w:color w:val="000000" w:themeColor="text1"/>
                <w:sz w:val="24"/>
                <w:highlight w:val="none"/>
                <w:u w:val="single"/>
                <w14:textFill>
                  <w14:solidFill>
                    <w14:schemeClr w14:val="tx1"/>
                  </w14:solidFill>
                </w14:textFill>
              </w:rPr>
              <w:t xml:space="preserve"> (填写项目经理或项目总工)</w:t>
            </w:r>
            <w:r>
              <w:rPr>
                <w:rFonts w:hint="eastAsia" w:ascii="宋体" w:hAnsi="宋体" w:cs="宋体"/>
                <w:bCs/>
                <w:color w:val="000000" w:themeColor="text1"/>
                <w:sz w:val="24"/>
                <w:highlight w:val="none"/>
                <w14:textFill>
                  <w14:solidFill>
                    <w14:schemeClr w14:val="tx1"/>
                  </w14:solidFill>
                </w14:textFill>
              </w:rPr>
              <w:t>，并对其真实性负责。</w:t>
            </w:r>
          </w:p>
        </w:tc>
      </w:tr>
      <w:tr w14:paraId="230F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17" w:type="dxa"/>
            <w:gridSpan w:val="3"/>
            <w:vAlign w:val="center"/>
          </w:tcPr>
          <w:p w14:paraId="7657DE9E">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备    注</w:t>
            </w:r>
          </w:p>
        </w:tc>
        <w:tc>
          <w:tcPr>
            <w:tcW w:w="7183" w:type="dxa"/>
            <w:gridSpan w:val="4"/>
          </w:tcPr>
          <w:p w14:paraId="16AD9F06">
            <w:pPr>
              <w:keepNext w:val="0"/>
              <w:keepLines w:val="0"/>
              <w:suppressLineNumbers w:val="0"/>
              <w:spacing w:before="0" w:beforeAutospacing="0" w:after="0" w:afterAutospacing="0"/>
              <w:ind w:left="0" w:right="0"/>
              <w:jc w:val="center"/>
              <w:rPr>
                <w:rFonts w:hint="default" w:ascii="宋体" w:hAnsi="宋体" w:cs="宋体"/>
                <w:bCs/>
                <w:color w:val="000000" w:themeColor="text1"/>
                <w:sz w:val="24"/>
                <w:highlight w:val="none"/>
                <w14:textFill>
                  <w14:solidFill>
                    <w14:schemeClr w14:val="tx1"/>
                  </w14:solidFill>
                </w14:textFill>
              </w:rPr>
            </w:pPr>
          </w:p>
        </w:tc>
      </w:tr>
    </w:tbl>
    <w:p w14:paraId="0837E6FA">
      <w:pPr>
        <w:spacing w:line="400" w:lineRule="exact"/>
        <w:ind w:left="-283" w:leftChars="-13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注：1.本表后应填写项目经理（以及备选人，如有）和项目总工（以及备选人，如有）相关情况。</w:t>
      </w:r>
    </w:p>
    <w:p w14:paraId="2D6463C3">
      <w:pPr>
        <w:spacing w:line="400" w:lineRule="exact"/>
        <w:ind w:left="-283" w:leftChars="-135"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2.投标人应根据招标文件第二章“投标人须知”第 3.5.5 项的要求在本表后附相关证明材料。</w:t>
      </w:r>
    </w:p>
    <w:bookmarkEnd w:id="1762"/>
    <w:bookmarkEnd w:id="1763"/>
    <w:bookmarkEnd w:id="1764"/>
    <w:p w14:paraId="0B1CFE3B">
      <w:pPr>
        <w:adjustRightInd w:val="0"/>
        <w:snapToGrid w:val="0"/>
        <w:spacing w:line="360" w:lineRule="auto"/>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r>
        <w:rPr>
          <w:rFonts w:hint="eastAsia" w:ascii="宋体" w:hAnsi="宋体" w:cs="宋体"/>
          <w:b/>
          <w:bCs/>
          <w:color w:val="000000" w:themeColor="text1"/>
          <w:sz w:val="28"/>
          <w:szCs w:val="28"/>
          <w:highlight w:val="none"/>
          <w14:textFill>
            <w14:solidFill>
              <w14:schemeClr w14:val="tx1"/>
            </w14:solidFill>
          </w14:textFill>
        </w:rPr>
        <w:t>八、其 他 材 料</w:t>
      </w:r>
    </w:p>
    <w:tbl>
      <w:tblPr>
        <w:tblStyle w:val="43"/>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14:paraId="4593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tcPr>
          <w:p w14:paraId="387116ED">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提供“八-1、使用广东省信用评价等级的申请承诺书”。</w:t>
            </w:r>
          </w:p>
          <w:p w14:paraId="40A74DA4">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提供“八-2、投标人的自评分表”。</w:t>
            </w:r>
          </w:p>
          <w:p w14:paraId="729A5493">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 提供最新年度广东省公路工程从业单位（施工单位）信用评价等级（若有），并标识单位所在位置。</w:t>
            </w:r>
          </w:p>
          <w:p w14:paraId="62CC453D">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 初次进入广东省的，但在最新年度的全国综合评价结果为 C 级或 D 级的，提供最新年度的全国综合评价结果单位查询所在页。</w:t>
            </w:r>
          </w:p>
          <w:p w14:paraId="1C5D81FF">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 如上一年度有信用评价而最新年度在广东省无信用等级的需提供上一年度的信用评价（若有），并标识单位所在位置。</w:t>
            </w:r>
          </w:p>
          <w:p w14:paraId="0ABAE7EF">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6、详细说明投标人投标文件递交截止日前 1 年内，因公路工程（含附属设施）质量、安全、履约问题或招标投标问题等原因被交通运输部行政处罚、广东省交通运输厅行政处罚或正式约谈、招标项目所在地地级以上市交通运输局行政处罚的文件。</w:t>
            </w:r>
          </w:p>
          <w:p w14:paraId="64B8E564">
            <w:pPr>
              <w:keepNext w:val="0"/>
              <w:keepLines w:val="0"/>
              <w:suppressLineNumbers w:val="0"/>
              <w:spacing w:before="0" w:beforeAutospacing="0" w:after="0" w:afterAutospacing="0" w:line="360" w:lineRule="auto"/>
              <w:ind w:left="0" w:right="0"/>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7、投标人认为需要的其他内容（如体现技术能力的相关证明材料）。</w:t>
            </w:r>
          </w:p>
          <w:p w14:paraId="5392001D">
            <w:pPr>
              <w:keepNext w:val="0"/>
              <w:keepLines w:val="0"/>
              <w:suppressLineNumbers w:val="0"/>
              <w:spacing w:before="0" w:beforeAutospacing="0" w:after="0" w:afterAutospacing="0"/>
              <w:ind w:left="0" w:right="0"/>
              <w:rPr>
                <w:rFonts w:hint="default" w:ascii="宋体" w:hAnsi="宋体" w:cs="宋体"/>
                <w:color w:val="000000" w:themeColor="text1"/>
                <w:sz w:val="24"/>
                <w:highlight w:val="none"/>
                <w14:textFill>
                  <w14:solidFill>
                    <w14:schemeClr w14:val="tx1"/>
                  </w14:solidFill>
                </w14:textFill>
              </w:rPr>
            </w:pPr>
          </w:p>
          <w:p w14:paraId="42CD3981">
            <w:pPr>
              <w:keepNext w:val="0"/>
              <w:keepLines w:val="0"/>
              <w:suppressLineNumbers w:val="0"/>
              <w:spacing w:before="0" w:beforeAutospacing="0" w:after="0" w:afterAutospacing="0" w:line="360" w:lineRule="auto"/>
              <w:ind w:left="0" w:right="0"/>
              <w:rPr>
                <w:rFonts w:hint="default" w:ascii="宋体" w:hAnsi="宋体" w:cs="宋体"/>
                <w:b/>
                <w:color w:val="000000" w:themeColor="text1"/>
                <w:sz w:val="32"/>
                <w:szCs w:val="32"/>
                <w:highlight w:val="none"/>
                <w14:textFill>
                  <w14:solidFill>
                    <w14:schemeClr w14:val="tx1"/>
                  </w14:solidFill>
                </w14:textFill>
              </w:rPr>
            </w:pPr>
          </w:p>
          <w:p w14:paraId="41DE73A0">
            <w:pPr>
              <w:keepNext w:val="0"/>
              <w:keepLines w:val="0"/>
              <w:suppressLineNumbers w:val="0"/>
              <w:spacing w:before="0" w:beforeAutospacing="0" w:after="0" w:afterAutospacing="0" w:line="360" w:lineRule="auto"/>
              <w:ind w:left="0" w:right="0"/>
              <w:rPr>
                <w:rFonts w:hint="default" w:ascii="宋体" w:hAnsi="宋体" w:cs="宋体"/>
                <w:bCs/>
                <w:color w:val="000000" w:themeColor="text1"/>
                <w:sz w:val="32"/>
                <w:szCs w:val="32"/>
                <w:highlight w:val="none"/>
                <w14:textFill>
                  <w14:solidFill>
                    <w14:schemeClr w14:val="tx1"/>
                  </w14:solidFill>
                </w14:textFill>
              </w:rPr>
            </w:pPr>
          </w:p>
          <w:p w14:paraId="5676FF67">
            <w:pPr>
              <w:keepNext w:val="0"/>
              <w:keepLines w:val="0"/>
              <w:suppressLineNumbers w:val="0"/>
              <w:spacing w:before="0" w:beforeAutospacing="0" w:after="0" w:afterAutospacing="0" w:line="360" w:lineRule="auto"/>
              <w:ind w:left="0" w:right="0"/>
              <w:rPr>
                <w:rFonts w:hint="default" w:ascii="宋体" w:hAnsi="宋体" w:cs="宋体"/>
                <w:bCs/>
                <w:color w:val="000000" w:themeColor="text1"/>
                <w:sz w:val="32"/>
                <w:szCs w:val="32"/>
                <w:highlight w:val="none"/>
                <w14:textFill>
                  <w14:solidFill>
                    <w14:schemeClr w14:val="tx1"/>
                  </w14:solidFill>
                </w14:textFill>
              </w:rPr>
            </w:pPr>
          </w:p>
        </w:tc>
      </w:tr>
    </w:tbl>
    <w:p w14:paraId="45A802B0">
      <w:pPr>
        <w:pStyle w:val="60"/>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br w:type="page"/>
      </w:r>
    </w:p>
    <w:p w14:paraId="5799F929">
      <w:pPr>
        <w:pStyle w:val="60"/>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xml:space="preserve">八-1 </w:t>
      </w:r>
      <w:r>
        <w:rPr>
          <w:rFonts w:hint="eastAsia" w:ascii="宋体" w:hAnsi="宋体" w:cs="宋体"/>
          <w:b/>
          <w:bCs/>
          <w:color w:val="000000" w:themeColor="text1"/>
          <w:sz w:val="28"/>
          <w:szCs w:val="28"/>
          <w:highlight w:val="none"/>
          <w14:textFill>
            <w14:solidFill>
              <w14:schemeClr w14:val="tx1"/>
            </w14:solidFill>
          </w14:textFill>
        </w:rPr>
        <w:t>使用广东省信用评价等级的申请承诺书</w:t>
      </w:r>
      <w:r>
        <w:rPr>
          <w:rFonts w:hint="eastAsia" w:ascii="宋体" w:hAnsi="宋体"/>
          <w:b/>
          <w:bCs/>
          <w:color w:val="000000" w:themeColor="text1"/>
          <w:sz w:val="28"/>
          <w:szCs w:val="28"/>
          <w:highlight w:val="none"/>
          <w14:textFill>
            <w14:solidFill>
              <w14:schemeClr w14:val="tx1"/>
            </w14:solidFill>
          </w14:textFill>
        </w:rPr>
        <w:t>（格式）</w:t>
      </w:r>
    </w:p>
    <w:p w14:paraId="79D17321">
      <w:pPr>
        <w:jc w:val="center"/>
        <w:rPr>
          <w:rFonts w:ascii="宋体" w:hAnsi="宋体"/>
          <w:b/>
          <w:color w:val="000000" w:themeColor="text1"/>
          <w:sz w:val="28"/>
          <w:szCs w:val="28"/>
          <w:highlight w:val="none"/>
          <w14:textFill>
            <w14:solidFill>
              <w14:schemeClr w14:val="tx1"/>
            </w14:solidFill>
          </w14:textFill>
        </w:rPr>
      </w:pPr>
    </w:p>
    <w:p w14:paraId="70D315D4">
      <w:pPr>
        <w:spacing w:line="36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致招标人：</w:t>
      </w:r>
      <w:r>
        <w:rPr>
          <w:rFonts w:ascii="宋体" w:hAnsi="宋体"/>
          <w:color w:val="000000" w:themeColor="text1"/>
          <w:sz w:val="24"/>
          <w:highlight w:val="none"/>
          <w:u w:val="single"/>
          <w14:textFill>
            <w14:solidFill>
              <w14:schemeClr w14:val="tx1"/>
            </w14:solidFill>
          </w14:textFill>
        </w:rPr>
        <w:t>（招标人全称）</w:t>
      </w:r>
    </w:p>
    <w:p w14:paraId="7B7F6B68">
      <w:pPr>
        <w:spacing w:line="36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按相关要求，现我单位对使用信用等级申请如下：</w:t>
      </w:r>
    </w:p>
    <w:p w14:paraId="1B0E5BFF">
      <w:pPr>
        <w:spacing w:line="360" w:lineRule="auto"/>
        <w:ind w:firstLine="480" w:firstLineChars="200"/>
        <w:jc w:val="left"/>
        <w:rPr>
          <w:rFonts w:ascii="宋体" w:hAnsi="宋体"/>
          <w:color w:val="000000" w:themeColor="text1"/>
          <w:sz w:val="24"/>
          <w:highlight w:val="none"/>
          <w:u w:val="singl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一、我单位在</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施工招标</w:t>
      </w:r>
      <w:r>
        <w:rPr>
          <w:rFonts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ascii="宋体" w:hAnsi="宋体" w:cs="宋体"/>
          <w:color w:val="000000" w:themeColor="text1"/>
          <w:kern w:val="0"/>
          <w:sz w:val="24"/>
          <w:highlight w:val="none"/>
          <w14:textFill>
            <w14:solidFill>
              <w14:schemeClr w14:val="tx1"/>
            </w14:solidFill>
          </w14:textFill>
        </w:rPr>
        <w:t>标类/标段）的招标中，</w:t>
      </w:r>
      <w:r>
        <w:rPr>
          <w:rFonts w:ascii="宋体" w:hAnsi="宋体" w:cs="宋体"/>
          <w:b/>
          <w:bCs/>
          <w:color w:val="000000" w:themeColor="text1"/>
          <w:kern w:val="0"/>
          <w:sz w:val="24"/>
          <w:highlight w:val="none"/>
          <w14:textFill>
            <w14:solidFill>
              <w14:schemeClr w14:val="tx1"/>
            </w14:solidFill>
          </w14:textFill>
        </w:rPr>
        <w:t>第</w:t>
      </w:r>
      <w:r>
        <w:rPr>
          <w:rFonts w:hint="eastAsia" w:ascii="宋体" w:hAnsi="宋体" w:cs="宋体"/>
          <w:b/>
          <w:bCs/>
          <w:color w:val="000000" w:themeColor="text1"/>
          <w:kern w:val="0"/>
          <w:sz w:val="24"/>
          <w:highlight w:val="none"/>
          <w:u w:val="single"/>
          <w14:textFill>
            <w14:solidFill>
              <w14:schemeClr w14:val="tx1"/>
            </w14:solidFill>
          </w14:textFill>
        </w:rPr>
        <w:t xml:space="preserve">    </w:t>
      </w:r>
      <w:r>
        <w:rPr>
          <w:rFonts w:ascii="宋体" w:hAnsi="宋体" w:cs="宋体"/>
          <w:b/>
          <w:bCs/>
          <w:color w:val="000000" w:themeColor="text1"/>
          <w:kern w:val="0"/>
          <w:sz w:val="24"/>
          <w:highlight w:val="none"/>
          <w14:textFill>
            <w14:solidFill>
              <w14:schemeClr w14:val="tx1"/>
            </w14:solidFill>
          </w14:textFill>
        </w:rPr>
        <w:t>次使用（或不使用）</w:t>
      </w:r>
      <w:r>
        <w:rPr>
          <w:rFonts w:ascii="宋体" w:hAnsi="宋体" w:cs="宋体"/>
          <w:color w:val="000000" w:themeColor="text1"/>
          <w:kern w:val="0"/>
          <w:sz w:val="24"/>
          <w:highlight w:val="none"/>
          <w14:textFill>
            <w14:solidFill>
              <w14:schemeClr w14:val="tx1"/>
            </w14:solidFill>
          </w14:textFill>
        </w:rPr>
        <w:t>广东省交通运输厅发布的</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年</w:t>
      </w:r>
      <w:r>
        <w:rPr>
          <w:rFonts w:ascii="宋体" w:hAnsi="宋体" w:cs="宋体"/>
          <w:color w:val="000000" w:themeColor="text1"/>
          <w:kern w:val="0"/>
          <w:sz w:val="24"/>
          <w:highlight w:val="none"/>
          <w14:textFill>
            <w14:solidFill>
              <w14:schemeClr w14:val="tx1"/>
            </w14:solidFill>
          </w14:textFill>
        </w:rPr>
        <w:t>度信用评价</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ascii="宋体" w:hAnsi="宋体" w:cs="宋体"/>
          <w:color w:val="000000" w:themeColor="text1"/>
          <w:kern w:val="0"/>
          <w:sz w:val="24"/>
          <w:highlight w:val="none"/>
          <w14:textFill>
            <w14:solidFill>
              <w14:schemeClr w14:val="tx1"/>
            </w14:solidFill>
          </w14:textFill>
        </w:rPr>
        <w:t>等级结果和对应等级分值。</w:t>
      </w:r>
    </w:p>
    <w:p w14:paraId="1F1EDB15">
      <w:pPr>
        <w:spacing w:line="360" w:lineRule="auto"/>
        <w:ind w:firstLine="495"/>
        <w:jc w:val="left"/>
        <w:rPr>
          <w:rFonts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二、我单位承诺，在递交本次申请后，我单位将失去一次使用</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ascii="宋体" w:hAnsi="宋体" w:cs="宋体"/>
          <w:color w:val="000000" w:themeColor="text1"/>
          <w:kern w:val="0"/>
          <w:sz w:val="24"/>
          <w:highlight w:val="none"/>
          <w14:textFill>
            <w14:solidFill>
              <w14:schemeClr w14:val="tx1"/>
            </w14:solidFill>
          </w14:textFill>
        </w:rPr>
        <w:t>等级结果（</w:t>
      </w:r>
      <w:r>
        <w:rPr>
          <w:rFonts w:ascii="宋体" w:hAnsi="宋体" w:cs="宋体"/>
          <w:b/>
          <w:bCs/>
          <w:color w:val="000000" w:themeColor="text1"/>
          <w:kern w:val="0"/>
          <w:sz w:val="24"/>
          <w:highlight w:val="none"/>
          <w:u w:val="single"/>
          <w14:textFill>
            <w14:solidFill>
              <w14:schemeClr w14:val="tx1"/>
            </w14:solidFill>
          </w14:textFill>
        </w:rPr>
        <w:t>不使用时上述填“/”</w:t>
      </w:r>
      <w:r>
        <w:rPr>
          <w:rFonts w:ascii="宋体" w:hAnsi="宋体" w:cs="宋体"/>
          <w:color w:val="000000" w:themeColor="text1"/>
          <w:kern w:val="0"/>
          <w:sz w:val="24"/>
          <w:highlight w:val="none"/>
          <w14:textFill>
            <w14:solidFill>
              <w14:schemeClr w14:val="tx1"/>
            </w14:solidFill>
          </w14:textFill>
        </w:rPr>
        <w:t>）参与投标的机会。</w:t>
      </w:r>
      <w:r>
        <w:rPr>
          <w:rFonts w:hint="eastAsia" w:ascii="宋体" w:hAnsi="宋体" w:cs="宋体"/>
          <w:color w:val="000000" w:themeColor="text1"/>
          <w:kern w:val="0"/>
          <w:sz w:val="24"/>
          <w:highlight w:val="none"/>
          <w14:textFill>
            <w14:solidFill>
              <w14:schemeClr w14:val="tx1"/>
            </w14:solidFill>
          </w14:textFill>
        </w:rPr>
        <w:t>当累计使用超过规定的次数，我单位同意按降低一个信用等级对应分值来认定参与投标评审。</w:t>
      </w:r>
    </w:p>
    <w:p w14:paraId="683E9649">
      <w:pPr>
        <w:spacing w:line="360" w:lineRule="auto"/>
        <w:ind w:firstLine="495"/>
        <w:jc w:val="left"/>
        <w:rPr>
          <w:rFonts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三、</w:t>
      </w:r>
      <w:r>
        <w:rPr>
          <w:rFonts w:hint="eastAsia" w:ascii="宋体" w:hAnsi="宋体" w:cs="宋体"/>
          <w:color w:val="000000" w:themeColor="text1"/>
          <w:kern w:val="0"/>
          <w:sz w:val="24"/>
          <w:highlight w:val="none"/>
          <w14:textFill>
            <w14:solidFill>
              <w14:schemeClr w14:val="tx1"/>
            </w14:solidFill>
          </w14:textFill>
        </w:rPr>
        <w:t>如果我单位发生违反规定使用信用等级结果的情形，自愿接受省级交通运输主管部门的处理。</w:t>
      </w:r>
    </w:p>
    <w:p w14:paraId="31722C69">
      <w:pPr>
        <w:spacing w:line="360" w:lineRule="auto"/>
        <w:ind w:firstLine="495"/>
        <w:jc w:val="left"/>
        <w:rPr>
          <w:rFonts w:ascii="宋体" w:hAnsi="宋体"/>
          <w:b/>
          <w:color w:val="000000" w:themeColor="text1"/>
          <w:sz w:val="24"/>
          <w:highlight w:val="none"/>
          <w:u w:val="singl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附件：</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ascii="宋体" w:hAnsi="宋体" w:cs="宋体"/>
          <w:color w:val="000000" w:themeColor="text1"/>
          <w:kern w:val="0"/>
          <w:sz w:val="24"/>
          <w:highlight w:val="none"/>
          <w14:textFill>
            <w14:solidFill>
              <w14:schemeClr w14:val="tx1"/>
            </w14:solidFill>
          </w14:textFill>
        </w:rPr>
        <w:t>单位使用</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年度广东省公路工程从业单位信用等级情况汇总表。</w:t>
      </w:r>
    </w:p>
    <w:p w14:paraId="444CE56A">
      <w:pPr>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p>
    <w:p w14:paraId="20AF1BA6">
      <w:pPr>
        <w:spacing w:line="360" w:lineRule="auto"/>
        <w:ind w:firstLine="480" w:firstLineChars="200"/>
        <w:jc w:val="left"/>
        <w:rPr>
          <w:rFonts w:ascii="宋体" w:hAnsi="宋体" w:cs="宋体"/>
          <w:color w:val="000000" w:themeColor="text1"/>
          <w:kern w:val="0"/>
          <w:sz w:val="24"/>
          <w:highlight w:val="none"/>
          <w14:textFill>
            <w14:solidFill>
              <w14:schemeClr w14:val="tx1"/>
            </w14:solidFill>
          </w14:textFill>
        </w:rPr>
      </w:pPr>
      <w:r>
        <w:rPr>
          <w:rFonts w:ascii="宋体" w:hAnsi="宋体" w:cs="宋体"/>
          <w:color w:val="000000" w:themeColor="text1"/>
          <w:kern w:val="0"/>
          <w:sz w:val="24"/>
          <w:highlight w:val="none"/>
          <w14:textFill>
            <w14:solidFill>
              <w14:schemeClr w14:val="tx1"/>
            </w14:solidFill>
          </w14:textFill>
        </w:rPr>
        <w:t>特此承诺</w:t>
      </w:r>
    </w:p>
    <w:p w14:paraId="47146A94">
      <w:pPr>
        <w:spacing w:line="360" w:lineRule="auto"/>
        <w:jc w:val="center"/>
        <w:rPr>
          <w:rFonts w:ascii="宋体" w:hAnsi="宋体" w:cs="宋体"/>
          <w:color w:val="000000" w:themeColor="text1"/>
          <w:kern w:val="0"/>
          <w:sz w:val="24"/>
          <w:highlight w:val="none"/>
          <w14:textFill>
            <w14:solidFill>
              <w14:schemeClr w14:val="tx1"/>
            </w14:solidFill>
          </w14:textFill>
        </w:rPr>
      </w:pPr>
    </w:p>
    <w:p w14:paraId="55D29A95">
      <w:pPr>
        <w:pStyle w:val="56"/>
        <w:rPr>
          <w:color w:val="000000" w:themeColor="text1"/>
          <w:highlight w:val="none"/>
          <w14:textFill>
            <w14:solidFill>
              <w14:schemeClr w14:val="tx1"/>
            </w14:solidFill>
          </w14:textFill>
        </w:rPr>
      </w:pPr>
    </w:p>
    <w:p w14:paraId="45846EF8">
      <w:pPr>
        <w:spacing w:line="360" w:lineRule="auto"/>
        <w:ind w:firstLine="2640" w:firstLineChars="1100"/>
        <w:jc w:val="left"/>
        <w:rPr>
          <w:rFonts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投标人（单位全称）：</w:t>
      </w:r>
      <w:r>
        <w:rPr>
          <w:rFonts w:hint="eastAsia" w:ascii="宋体" w:hAnsi="宋体" w:cs="宋体"/>
          <w:color w:val="000000" w:themeColor="text1"/>
          <w:kern w:val="0"/>
          <w:sz w:val="24"/>
          <w:highlight w:val="none"/>
          <w:u w:val="single"/>
          <w14:textFill>
            <w14:solidFill>
              <w14:schemeClr w14:val="tx1"/>
            </w14:solidFill>
          </w14:textFill>
        </w:rPr>
        <w:t xml:space="preserve">   </w:t>
      </w:r>
    </w:p>
    <w:p w14:paraId="0036CBDD">
      <w:pPr>
        <w:spacing w:line="360" w:lineRule="auto"/>
        <w:ind w:firstLine="2640" w:firstLineChars="11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投标人的法定代表人或其委托代理人签名：</w:t>
      </w:r>
    </w:p>
    <w:p w14:paraId="40D9F95A">
      <w:pPr>
        <w:spacing w:line="360" w:lineRule="auto"/>
        <w:ind w:firstLine="4320" w:firstLineChars="18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年   月   日</w:t>
      </w:r>
    </w:p>
    <w:p w14:paraId="57E17853">
      <w:pPr>
        <w:spacing w:line="360" w:lineRule="auto"/>
        <w:jc w:val="right"/>
        <w:rPr>
          <w:rFonts w:ascii="宋体" w:hAnsi="宋体" w:cs="宋体"/>
          <w:color w:val="000000" w:themeColor="text1"/>
          <w:kern w:val="0"/>
          <w:sz w:val="24"/>
          <w:highlight w:val="none"/>
          <w14:textFill>
            <w14:solidFill>
              <w14:schemeClr w14:val="tx1"/>
            </w14:solidFill>
          </w14:textFill>
        </w:rPr>
      </w:pPr>
    </w:p>
    <w:p w14:paraId="7902EFFF">
      <w:pP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注：1、AA、A 级信用等级企业必须填写此申请承诺书；选择“使用”时需和附表（</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单位使用</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年度广东省公路工程从业单位信用等级情况汇总表）一起编入投标文件中。</w:t>
      </w:r>
    </w:p>
    <w:p w14:paraId="65D48599">
      <w:pPr>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2、AA、A 级信用等级企业应区分标段、分别填写并提交此申请承诺书；如同时对多个标段选择“使用”时，使用次数应按标段累加（即各个标段申请承诺书的使用次数应不一致）。如同时对多个标段选择“使用”而多个标段所附申请承诺书的使用次数为同一次时，多个标段均视为未正确填报申请承诺书，均按不承诺使用对应的信用等级处理。</w:t>
      </w:r>
    </w:p>
    <w:p w14:paraId="7BC5276B">
      <w:pPr>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3、中标候选人公示中，将对所有承诺使用最新年度 AA、A 级投标人的年度信用等级使用情进行公开。</w:t>
      </w:r>
    </w:p>
    <w:p w14:paraId="6C75A1A2">
      <w:pPr>
        <w:jc w:val="center"/>
        <w:rPr>
          <w:rFonts w:ascii="宋体" w:hAnsi="宋体" w:cs="宋体"/>
          <w:color w:val="000000" w:themeColor="text1"/>
          <w:kern w:val="0"/>
          <w:sz w:val="28"/>
          <w:szCs w:val="28"/>
          <w:highlight w:val="none"/>
          <w14:textFill>
            <w14:solidFill>
              <w14:schemeClr w14:val="tx1"/>
            </w14:solidFill>
          </w14:textFill>
        </w:rPr>
      </w:pPr>
    </w:p>
    <w:p w14:paraId="370574A7">
      <w:pPr>
        <w:jc w:val="left"/>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br w:type="page"/>
      </w:r>
      <w:r>
        <w:rPr>
          <w:rFonts w:hint="eastAsia" w:ascii="宋体" w:hAnsi="宋体" w:cs="宋体"/>
          <w:color w:val="000000" w:themeColor="text1"/>
          <w:kern w:val="0"/>
          <w:sz w:val="28"/>
          <w:szCs w:val="28"/>
          <w:highlight w:val="none"/>
          <w14:textFill>
            <w14:solidFill>
              <w14:schemeClr w14:val="tx1"/>
            </w14:solidFill>
          </w14:textFill>
        </w:rPr>
        <w:t>附表：</w:t>
      </w:r>
    </w:p>
    <w:p w14:paraId="106D4EDD">
      <w:pPr>
        <w:jc w:val="center"/>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u w:val="single"/>
          <w14:textFill>
            <w14:solidFill>
              <w14:schemeClr w14:val="tx1"/>
            </w14:solidFill>
          </w14:textFill>
        </w:rPr>
        <w:t xml:space="preserve">        </w:t>
      </w:r>
      <w:r>
        <w:rPr>
          <w:rFonts w:hint="eastAsia" w:ascii="宋体" w:hAnsi="宋体" w:cs="宋体"/>
          <w:color w:val="000000" w:themeColor="text1"/>
          <w:kern w:val="0"/>
          <w:sz w:val="28"/>
          <w:szCs w:val="28"/>
          <w:highlight w:val="none"/>
          <w14:textFill>
            <w14:solidFill>
              <w14:schemeClr w14:val="tx1"/>
            </w14:solidFill>
          </w14:textFill>
        </w:rPr>
        <w:t>单位使用</w:t>
      </w:r>
      <w:r>
        <w:rPr>
          <w:rFonts w:hint="eastAsia" w:ascii="宋体" w:hAnsi="宋体" w:cs="宋体"/>
          <w:color w:val="000000" w:themeColor="text1"/>
          <w:kern w:val="0"/>
          <w:sz w:val="28"/>
          <w:szCs w:val="28"/>
          <w:highlight w:val="none"/>
          <w:u w:val="single"/>
          <w14:textFill>
            <w14:solidFill>
              <w14:schemeClr w14:val="tx1"/>
            </w14:solidFill>
          </w14:textFill>
        </w:rPr>
        <w:t xml:space="preserve">       </w:t>
      </w:r>
      <w:r>
        <w:rPr>
          <w:rFonts w:hint="eastAsia" w:ascii="宋体" w:hAnsi="宋体" w:cs="宋体"/>
          <w:color w:val="000000" w:themeColor="text1"/>
          <w:kern w:val="0"/>
          <w:sz w:val="28"/>
          <w:szCs w:val="28"/>
          <w:highlight w:val="none"/>
          <w14:textFill>
            <w14:solidFill>
              <w14:schemeClr w14:val="tx1"/>
            </w14:solidFill>
          </w14:textFill>
        </w:rPr>
        <w:t>年度广东省公路工程从业单位</w:t>
      </w:r>
    </w:p>
    <w:p w14:paraId="775AF44D">
      <w:pPr>
        <w:jc w:val="center"/>
        <w:rPr>
          <w:rFonts w:ascii="宋体" w:hAnsi="宋体" w:cs="宋体"/>
          <w:color w:val="000000" w:themeColor="text1"/>
          <w:kern w:val="0"/>
          <w:sz w:val="28"/>
          <w:szCs w:val="28"/>
          <w:highlight w:val="none"/>
          <w:u w:val="singl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信用等级情况汇总表</w:t>
      </w:r>
    </w:p>
    <w:p w14:paraId="602C4764">
      <w:pPr>
        <w:jc w:val="center"/>
        <w:rPr>
          <w:rFonts w:ascii="宋体" w:hAnsi="宋体" w:cs="宋体"/>
          <w:color w:val="000000" w:themeColor="text1"/>
          <w:kern w:val="0"/>
          <w:sz w:val="28"/>
          <w:szCs w:val="28"/>
          <w:highlight w:val="none"/>
          <w14:textFill>
            <w14:solidFill>
              <w14:schemeClr w14:val="tx1"/>
            </w14:solidFill>
          </w14:textFill>
        </w:rPr>
      </w:pPr>
    </w:p>
    <w:tbl>
      <w:tblPr>
        <w:tblStyle w:val="43"/>
        <w:tblW w:w="99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701"/>
        <w:gridCol w:w="1843"/>
        <w:gridCol w:w="1984"/>
        <w:gridCol w:w="2126"/>
        <w:gridCol w:w="1463"/>
      </w:tblGrid>
      <w:tr w14:paraId="29018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087B21A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序号</w:t>
            </w:r>
          </w:p>
        </w:tc>
        <w:tc>
          <w:tcPr>
            <w:tcW w:w="1701" w:type="dxa"/>
            <w:vAlign w:val="center"/>
          </w:tcPr>
          <w:p w14:paraId="74D80BC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招标人名称</w:t>
            </w:r>
          </w:p>
        </w:tc>
        <w:tc>
          <w:tcPr>
            <w:tcW w:w="1843" w:type="dxa"/>
            <w:vAlign w:val="center"/>
          </w:tcPr>
          <w:p w14:paraId="0B6E77B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标类或（标</w:t>
            </w:r>
          </w:p>
          <w:p w14:paraId="492D2BF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段）名称</w:t>
            </w:r>
          </w:p>
        </w:tc>
        <w:tc>
          <w:tcPr>
            <w:tcW w:w="1984" w:type="dxa"/>
            <w:vAlign w:val="center"/>
          </w:tcPr>
          <w:p w14:paraId="6F19D65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递交文件时间</w:t>
            </w:r>
          </w:p>
          <w:p w14:paraId="2D111FF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（年月日）</w:t>
            </w:r>
          </w:p>
        </w:tc>
        <w:tc>
          <w:tcPr>
            <w:tcW w:w="2126" w:type="dxa"/>
            <w:vAlign w:val="center"/>
          </w:tcPr>
          <w:p w14:paraId="157904F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使用信用等</w:t>
            </w:r>
          </w:p>
          <w:p w14:paraId="51BF165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级（AA/A）</w:t>
            </w:r>
          </w:p>
        </w:tc>
        <w:tc>
          <w:tcPr>
            <w:tcW w:w="1463" w:type="dxa"/>
            <w:vAlign w:val="center"/>
          </w:tcPr>
          <w:p w14:paraId="7D7021B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备注</w:t>
            </w:r>
          </w:p>
        </w:tc>
      </w:tr>
      <w:tr w14:paraId="20B77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22403DA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1701" w:type="dxa"/>
          </w:tcPr>
          <w:p w14:paraId="22D58A9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4D731DF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7B25ACB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35B9FFC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41B8F93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15CD2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6FA7133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1701" w:type="dxa"/>
          </w:tcPr>
          <w:p w14:paraId="5AD5B32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7A2A7A5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2D9B779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2515A50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2812709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4D4DA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3343ECC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1701" w:type="dxa"/>
          </w:tcPr>
          <w:p w14:paraId="68DB090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3148BF3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05D9994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40D6954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3483E83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67D38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6153E4E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w:t>
            </w:r>
          </w:p>
        </w:tc>
        <w:tc>
          <w:tcPr>
            <w:tcW w:w="1701" w:type="dxa"/>
          </w:tcPr>
          <w:p w14:paraId="751D107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36DE0DF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543946B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645B0D5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7A29B31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6FEB7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244058A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w:t>
            </w:r>
          </w:p>
        </w:tc>
        <w:tc>
          <w:tcPr>
            <w:tcW w:w="1701" w:type="dxa"/>
          </w:tcPr>
          <w:p w14:paraId="0881A27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2F81874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7C53AD5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46CD8F9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291AD25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9626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401533C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6</w:t>
            </w:r>
          </w:p>
        </w:tc>
        <w:tc>
          <w:tcPr>
            <w:tcW w:w="1701" w:type="dxa"/>
          </w:tcPr>
          <w:p w14:paraId="4401FE1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71CC669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54EFE4A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4426CF0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5D321AD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21411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686F68D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7</w:t>
            </w:r>
          </w:p>
        </w:tc>
        <w:tc>
          <w:tcPr>
            <w:tcW w:w="1701" w:type="dxa"/>
          </w:tcPr>
          <w:p w14:paraId="7D9D554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04ACE4F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27BEA53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6FD1A7E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666F34F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15C5F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16CC338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8</w:t>
            </w:r>
          </w:p>
        </w:tc>
        <w:tc>
          <w:tcPr>
            <w:tcW w:w="1701" w:type="dxa"/>
          </w:tcPr>
          <w:p w14:paraId="002FE45F">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7902F1D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3646F52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0B8337B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5D7235C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78EBE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17" w:type="dxa"/>
            <w:vAlign w:val="center"/>
          </w:tcPr>
          <w:p w14:paraId="27FA62F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1701" w:type="dxa"/>
          </w:tcPr>
          <w:p w14:paraId="0507D33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843" w:type="dxa"/>
          </w:tcPr>
          <w:p w14:paraId="66BE985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984" w:type="dxa"/>
          </w:tcPr>
          <w:p w14:paraId="25890BC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126" w:type="dxa"/>
          </w:tcPr>
          <w:p w14:paraId="3F9F805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63" w:type="dxa"/>
          </w:tcPr>
          <w:p w14:paraId="252E7CF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39943F38">
      <w:pPr>
        <w:spacing w:line="360" w:lineRule="auto"/>
        <w:jc w:val="left"/>
        <w:rPr>
          <w:rFonts w:ascii="宋体" w:hAnsi="宋体" w:cs="宋体"/>
          <w:color w:val="000000" w:themeColor="text1"/>
          <w:kern w:val="0"/>
          <w:sz w:val="24"/>
          <w:highlight w:val="none"/>
          <w14:textFill>
            <w14:solidFill>
              <w14:schemeClr w14:val="tx1"/>
            </w14:solidFill>
          </w14:textFill>
        </w:rPr>
        <w:sectPr>
          <w:pgSz w:w="11906" w:h="16838"/>
          <w:pgMar w:top="1134" w:right="1134" w:bottom="1134" w:left="1134" w:header="851" w:footer="992" w:gutter="0"/>
          <w:pgNumType w:fmt="decimal"/>
          <w:cols w:space="720" w:num="1"/>
          <w:docGrid w:type="lines" w:linePitch="312" w:charSpace="0"/>
        </w:sectPr>
      </w:pPr>
      <w:r>
        <w:rPr>
          <w:rFonts w:hint="eastAsia" w:ascii="宋体" w:hAnsi="宋体" w:cs="宋体"/>
          <w:color w:val="000000" w:themeColor="text1"/>
          <w:kern w:val="0"/>
          <w:sz w:val="24"/>
          <w:highlight w:val="none"/>
          <w14:textFill>
            <w14:solidFill>
              <w14:schemeClr w14:val="tx1"/>
            </w14:solidFill>
          </w14:textFill>
        </w:rPr>
        <w:t>备注：应如实填报信用评价等级使用情况。</w:t>
      </w:r>
    </w:p>
    <w:p w14:paraId="4CAD8FA6">
      <w:pPr>
        <w:pStyle w:val="5"/>
        <w:bidi w:val="0"/>
        <w:jc w:val="center"/>
        <w:rPr>
          <w:rFonts w:hint="eastAsia"/>
          <w:color w:val="000000" w:themeColor="text1"/>
          <w:sz w:val="28"/>
          <w:szCs w:val="36"/>
          <w:highlight w:val="none"/>
          <w14:textFill>
            <w14:solidFill>
              <w14:schemeClr w14:val="tx1"/>
            </w14:solidFill>
          </w14:textFill>
        </w:rPr>
      </w:pPr>
      <w:bookmarkStart w:id="1769" w:name="_Toc13029"/>
      <w:bookmarkStart w:id="1770" w:name="_Toc26694"/>
      <w:r>
        <w:rPr>
          <w:rFonts w:hint="eastAsia"/>
          <w:color w:val="000000" w:themeColor="text1"/>
          <w:sz w:val="28"/>
          <w:szCs w:val="36"/>
          <w:highlight w:val="none"/>
          <w:lang w:val="en-US" w:eastAsia="zh-CN"/>
          <w14:textFill>
            <w14:solidFill>
              <w14:schemeClr w14:val="tx1"/>
            </w14:solidFill>
          </w14:textFill>
        </w:rPr>
        <w:t>八</w:t>
      </w:r>
      <w:r>
        <w:rPr>
          <w:color w:val="000000" w:themeColor="text1"/>
          <w:sz w:val="28"/>
          <w:szCs w:val="36"/>
          <w:highlight w:val="none"/>
          <w14:textFill>
            <w14:solidFill>
              <w14:schemeClr w14:val="tx1"/>
            </w14:solidFill>
          </w14:textFill>
        </w:rPr>
        <w:t>-2、投标人拟投入的关键设备承诺表</w:t>
      </w:r>
      <w:bookmarkEnd w:id="1769"/>
      <w:bookmarkEnd w:id="1770"/>
    </w:p>
    <w:tbl>
      <w:tblPr>
        <w:tblStyle w:val="118"/>
        <w:tblW w:w="923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281"/>
        <w:gridCol w:w="1324"/>
        <w:gridCol w:w="1325"/>
        <w:gridCol w:w="1324"/>
        <w:gridCol w:w="1325"/>
        <w:gridCol w:w="979"/>
      </w:tblGrid>
      <w:tr w14:paraId="2ECA5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79" w:type="dxa"/>
            <w:tcBorders>
              <w:left w:val="single" w:color="000000" w:sz="10" w:space="0"/>
            </w:tcBorders>
            <w:noWrap w:val="0"/>
            <w:textDirection w:val="tbRlV"/>
            <w:vAlign w:val="top"/>
          </w:tcPr>
          <w:p w14:paraId="578C7238">
            <w:pPr>
              <w:spacing w:before="222" w:line="217" w:lineRule="auto"/>
              <w:ind w:left="337"/>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8"/>
                <w:sz w:val="23"/>
                <w:szCs w:val="23"/>
                <w:highlight w:val="none"/>
                <w:shd w:val="clear" w:color="auto" w:fill="auto"/>
                <w14:textFill>
                  <w14:solidFill>
                    <w14:schemeClr w14:val="tx1"/>
                  </w14:solidFill>
                </w14:textFill>
              </w:rPr>
              <w:t>序 号</w:t>
            </w:r>
          </w:p>
        </w:tc>
        <w:tc>
          <w:tcPr>
            <w:tcW w:w="2281" w:type="dxa"/>
            <w:noWrap w:val="0"/>
            <w:vAlign w:val="top"/>
          </w:tcPr>
          <w:p w14:paraId="706BBB79">
            <w:pPr>
              <w:spacing w:line="440" w:lineRule="auto"/>
              <w:rPr>
                <w:rFonts w:ascii="Arial"/>
                <w:color w:val="000000" w:themeColor="text1"/>
                <w:sz w:val="21"/>
                <w:highlight w:val="none"/>
                <w:shd w:val="clear" w:color="auto" w:fill="auto"/>
                <w14:textFill>
                  <w14:solidFill>
                    <w14:schemeClr w14:val="tx1"/>
                  </w14:solidFill>
                </w14:textFill>
              </w:rPr>
            </w:pPr>
          </w:p>
          <w:p w14:paraId="44EB019A">
            <w:pPr>
              <w:spacing w:before="74" w:line="229" w:lineRule="auto"/>
              <w:ind w:left="662"/>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8"/>
                <w:sz w:val="23"/>
                <w:szCs w:val="23"/>
                <w:highlight w:val="none"/>
                <w:shd w:val="clear" w:color="auto" w:fill="auto"/>
                <w14:textFill>
                  <w14:solidFill>
                    <w14:schemeClr w14:val="tx1"/>
                  </w14:solidFill>
                </w14:textFill>
              </w:rPr>
              <w:t>设</w:t>
            </w:r>
            <w:r>
              <w:rPr>
                <w:rFonts w:ascii="宋体" w:hAnsi="宋体" w:eastAsia="宋体" w:cs="宋体"/>
                <w:color w:val="000000" w:themeColor="text1"/>
                <w:spacing w:val="6"/>
                <w:sz w:val="23"/>
                <w:szCs w:val="23"/>
                <w:highlight w:val="none"/>
                <w:shd w:val="clear" w:color="auto" w:fill="auto"/>
                <w14:textFill>
                  <w14:solidFill>
                    <w14:schemeClr w14:val="tx1"/>
                  </w14:solidFill>
                </w14:textFill>
              </w:rPr>
              <w:t>备名称</w:t>
            </w:r>
          </w:p>
        </w:tc>
        <w:tc>
          <w:tcPr>
            <w:tcW w:w="1324" w:type="dxa"/>
            <w:noWrap w:val="0"/>
            <w:vAlign w:val="top"/>
          </w:tcPr>
          <w:p w14:paraId="5EE70700">
            <w:pPr>
              <w:spacing w:line="440" w:lineRule="auto"/>
              <w:rPr>
                <w:rFonts w:ascii="Arial"/>
                <w:color w:val="000000" w:themeColor="text1"/>
                <w:sz w:val="21"/>
                <w:highlight w:val="none"/>
                <w:shd w:val="clear" w:color="auto" w:fill="auto"/>
                <w14:textFill>
                  <w14:solidFill>
                    <w14:schemeClr w14:val="tx1"/>
                  </w14:solidFill>
                </w14:textFill>
              </w:rPr>
            </w:pPr>
          </w:p>
          <w:p w14:paraId="46C04E8A">
            <w:pPr>
              <w:spacing w:before="75" w:line="227" w:lineRule="auto"/>
              <w:ind w:left="18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7"/>
                <w:sz w:val="23"/>
                <w:szCs w:val="23"/>
                <w:highlight w:val="none"/>
                <w:shd w:val="clear" w:color="auto" w:fill="auto"/>
                <w14:textFill>
                  <w14:solidFill>
                    <w14:schemeClr w14:val="tx1"/>
                  </w14:solidFill>
                </w14:textFill>
              </w:rPr>
              <w:t>生产厂家</w:t>
            </w:r>
          </w:p>
        </w:tc>
        <w:tc>
          <w:tcPr>
            <w:tcW w:w="1325" w:type="dxa"/>
            <w:noWrap w:val="0"/>
            <w:vAlign w:val="top"/>
          </w:tcPr>
          <w:p w14:paraId="610E9E74">
            <w:pPr>
              <w:spacing w:line="261" w:lineRule="auto"/>
              <w:rPr>
                <w:rFonts w:ascii="Arial"/>
                <w:color w:val="000000" w:themeColor="text1"/>
                <w:sz w:val="21"/>
                <w:highlight w:val="none"/>
                <w:shd w:val="clear" w:color="auto" w:fill="auto"/>
                <w14:textFill>
                  <w14:solidFill>
                    <w14:schemeClr w14:val="tx1"/>
                  </w14:solidFill>
                </w14:textFill>
              </w:rPr>
            </w:pPr>
          </w:p>
          <w:p w14:paraId="6DE3BBB1">
            <w:pPr>
              <w:spacing w:before="75" w:line="360" w:lineRule="exact"/>
              <w:ind w:left="433"/>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4"/>
                <w:position w:val="9"/>
                <w:sz w:val="23"/>
                <w:szCs w:val="23"/>
                <w:highlight w:val="none"/>
                <w:shd w:val="clear" w:color="auto" w:fill="auto"/>
                <w14:textFill>
                  <w14:solidFill>
                    <w14:schemeClr w14:val="tx1"/>
                  </w14:solidFill>
                </w14:textFill>
              </w:rPr>
              <w:t>工</w:t>
            </w:r>
            <w:r>
              <w:rPr>
                <w:rFonts w:ascii="宋体" w:hAnsi="宋体" w:eastAsia="宋体" w:cs="宋体"/>
                <w:color w:val="000000" w:themeColor="text1"/>
                <w:spacing w:val="3"/>
                <w:position w:val="9"/>
                <w:sz w:val="23"/>
                <w:szCs w:val="23"/>
                <w:highlight w:val="none"/>
                <w:shd w:val="clear" w:color="auto" w:fill="auto"/>
                <w14:textFill>
                  <w14:solidFill>
                    <w14:schemeClr w14:val="tx1"/>
                  </w14:solidFill>
                </w14:textFill>
              </w:rPr>
              <w:t>厂</w:t>
            </w:r>
          </w:p>
          <w:p w14:paraId="4854C048">
            <w:pPr>
              <w:spacing w:line="228" w:lineRule="auto"/>
              <w:ind w:left="310"/>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7"/>
                <w:sz w:val="23"/>
                <w:szCs w:val="23"/>
                <w:highlight w:val="none"/>
                <w:shd w:val="clear" w:color="auto" w:fill="auto"/>
                <w14:textFill>
                  <w14:solidFill>
                    <w14:schemeClr w14:val="tx1"/>
                  </w14:solidFill>
                </w14:textFill>
              </w:rPr>
              <w:t>所在</w:t>
            </w:r>
            <w:r>
              <w:rPr>
                <w:rFonts w:ascii="宋体" w:hAnsi="宋体" w:eastAsia="宋体" w:cs="宋体"/>
                <w:color w:val="000000" w:themeColor="text1"/>
                <w:spacing w:val="6"/>
                <w:sz w:val="23"/>
                <w:szCs w:val="23"/>
                <w:highlight w:val="none"/>
                <w:shd w:val="clear" w:color="auto" w:fill="auto"/>
                <w14:textFill>
                  <w14:solidFill>
                    <w14:schemeClr w14:val="tx1"/>
                  </w14:solidFill>
                </w14:textFill>
              </w:rPr>
              <w:t>地</w:t>
            </w:r>
          </w:p>
        </w:tc>
        <w:tc>
          <w:tcPr>
            <w:tcW w:w="1324" w:type="dxa"/>
            <w:noWrap w:val="0"/>
            <w:vAlign w:val="top"/>
          </w:tcPr>
          <w:p w14:paraId="56A13370">
            <w:pPr>
              <w:spacing w:line="440" w:lineRule="auto"/>
              <w:rPr>
                <w:rFonts w:ascii="Arial"/>
                <w:color w:val="000000" w:themeColor="text1"/>
                <w:sz w:val="21"/>
                <w:highlight w:val="none"/>
                <w:shd w:val="clear" w:color="auto" w:fill="auto"/>
                <w14:textFill>
                  <w14:solidFill>
                    <w14:schemeClr w14:val="tx1"/>
                  </w14:solidFill>
                </w14:textFill>
              </w:rPr>
            </w:pPr>
          </w:p>
          <w:p w14:paraId="067D47E0">
            <w:pPr>
              <w:spacing w:before="75" w:line="227" w:lineRule="auto"/>
              <w:ind w:left="454"/>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6"/>
                <w:sz w:val="23"/>
                <w:szCs w:val="23"/>
                <w:highlight w:val="none"/>
                <w:shd w:val="clear" w:color="auto" w:fill="auto"/>
                <w14:textFill>
                  <w14:solidFill>
                    <w14:schemeClr w14:val="tx1"/>
                  </w14:solidFill>
                </w14:textFill>
              </w:rPr>
              <w:t>品</w:t>
            </w:r>
            <w:r>
              <w:rPr>
                <w:rFonts w:ascii="宋体" w:hAnsi="宋体" w:eastAsia="宋体" w:cs="宋体"/>
                <w:color w:val="000000" w:themeColor="text1"/>
                <w:spacing w:val="-4"/>
                <w:sz w:val="23"/>
                <w:szCs w:val="23"/>
                <w:highlight w:val="none"/>
                <w:shd w:val="clear" w:color="auto" w:fill="auto"/>
                <w14:textFill>
                  <w14:solidFill>
                    <w14:schemeClr w14:val="tx1"/>
                  </w14:solidFill>
                </w14:textFill>
              </w:rPr>
              <w:t>牌</w:t>
            </w:r>
          </w:p>
        </w:tc>
        <w:tc>
          <w:tcPr>
            <w:tcW w:w="1325" w:type="dxa"/>
            <w:tcBorders>
              <w:right w:val="single" w:color="000000" w:sz="10" w:space="0"/>
            </w:tcBorders>
            <w:noWrap w:val="0"/>
            <w:vAlign w:val="top"/>
          </w:tcPr>
          <w:p w14:paraId="29F402DA">
            <w:pPr>
              <w:spacing w:line="440" w:lineRule="auto"/>
              <w:rPr>
                <w:rFonts w:ascii="Arial"/>
                <w:color w:val="000000" w:themeColor="text1"/>
                <w:sz w:val="21"/>
                <w:highlight w:val="none"/>
                <w:shd w:val="clear" w:color="auto" w:fill="auto"/>
                <w14:textFill>
                  <w14:solidFill>
                    <w14:schemeClr w14:val="tx1"/>
                  </w14:solidFill>
                </w14:textFill>
              </w:rPr>
            </w:pPr>
          </w:p>
          <w:p w14:paraId="760875DF">
            <w:pPr>
              <w:spacing w:before="75" w:line="227" w:lineRule="auto"/>
              <w:ind w:left="19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8"/>
                <w:sz w:val="23"/>
                <w:szCs w:val="23"/>
                <w:highlight w:val="none"/>
                <w:shd w:val="clear" w:color="auto" w:fill="auto"/>
                <w14:textFill>
                  <w14:solidFill>
                    <w14:schemeClr w14:val="tx1"/>
                  </w14:solidFill>
                </w14:textFill>
              </w:rPr>
              <w:t>权重系</w:t>
            </w:r>
            <w:r>
              <w:rPr>
                <w:rFonts w:ascii="宋体" w:hAnsi="宋体" w:eastAsia="宋体" w:cs="宋体"/>
                <w:color w:val="000000" w:themeColor="text1"/>
                <w:spacing w:val="7"/>
                <w:sz w:val="23"/>
                <w:szCs w:val="23"/>
                <w:highlight w:val="none"/>
                <w:shd w:val="clear" w:color="auto" w:fill="auto"/>
                <w14:textFill>
                  <w14:solidFill>
                    <w14:schemeClr w14:val="tx1"/>
                  </w14:solidFill>
                </w14:textFill>
              </w:rPr>
              <w:t>数</w:t>
            </w:r>
          </w:p>
        </w:tc>
        <w:tc>
          <w:tcPr>
            <w:tcW w:w="979" w:type="dxa"/>
            <w:tcBorders>
              <w:left w:val="single" w:color="000000" w:sz="10" w:space="0"/>
              <w:right w:val="single" w:color="000000" w:sz="10" w:space="0"/>
            </w:tcBorders>
            <w:noWrap w:val="0"/>
            <w:vAlign w:val="top"/>
          </w:tcPr>
          <w:p w14:paraId="1AC5E746">
            <w:pPr>
              <w:spacing w:line="440" w:lineRule="auto"/>
              <w:rPr>
                <w:rFonts w:ascii="Arial"/>
                <w:color w:val="000000" w:themeColor="text1"/>
                <w:sz w:val="21"/>
                <w:highlight w:val="none"/>
                <w:shd w:val="clear" w:color="auto" w:fill="auto"/>
                <w14:textFill>
                  <w14:solidFill>
                    <w14:schemeClr w14:val="tx1"/>
                  </w14:solidFill>
                </w14:textFill>
              </w:rPr>
            </w:pPr>
          </w:p>
          <w:p w14:paraId="209AAE23">
            <w:pPr>
              <w:spacing w:before="74" w:line="229" w:lineRule="auto"/>
              <w:ind w:left="253"/>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4"/>
                <w:sz w:val="23"/>
                <w:szCs w:val="23"/>
                <w:highlight w:val="none"/>
                <w:shd w:val="clear" w:color="auto" w:fill="auto"/>
                <w14:textFill>
                  <w14:solidFill>
                    <w14:schemeClr w14:val="tx1"/>
                  </w14:solidFill>
                </w14:textFill>
              </w:rPr>
              <w:t>备</w:t>
            </w:r>
            <w:r>
              <w:rPr>
                <w:rFonts w:ascii="宋体" w:hAnsi="宋体" w:eastAsia="宋体" w:cs="宋体"/>
                <w:color w:val="000000" w:themeColor="text1"/>
                <w:spacing w:val="3"/>
                <w:sz w:val="23"/>
                <w:szCs w:val="23"/>
                <w:highlight w:val="none"/>
                <w:shd w:val="clear" w:color="auto" w:fill="auto"/>
                <w14:textFill>
                  <w14:solidFill>
                    <w14:schemeClr w14:val="tx1"/>
                  </w14:solidFill>
                </w14:textFill>
              </w:rPr>
              <w:t>注</w:t>
            </w:r>
          </w:p>
        </w:tc>
      </w:tr>
      <w:tr w14:paraId="2C381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679" w:type="dxa"/>
            <w:tcBorders>
              <w:left w:val="single" w:color="000000" w:sz="10" w:space="0"/>
            </w:tcBorders>
            <w:noWrap w:val="0"/>
            <w:vAlign w:val="top"/>
          </w:tcPr>
          <w:p w14:paraId="2C153EFD">
            <w:pPr>
              <w:spacing w:before="300" w:line="192" w:lineRule="auto"/>
              <w:ind w:left="289"/>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1</w:t>
            </w:r>
          </w:p>
        </w:tc>
        <w:tc>
          <w:tcPr>
            <w:tcW w:w="2281" w:type="dxa"/>
            <w:noWrap w:val="0"/>
            <w:vAlign w:val="top"/>
          </w:tcPr>
          <w:p w14:paraId="67020273">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4CFCA2C3">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538328C6">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53B9D827">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33BE961F">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5537E560">
            <w:pPr>
              <w:rPr>
                <w:rFonts w:ascii="Arial"/>
                <w:color w:val="000000" w:themeColor="text1"/>
                <w:sz w:val="21"/>
                <w:highlight w:val="none"/>
                <w:shd w:val="clear" w:color="auto" w:fill="auto"/>
                <w14:textFill>
                  <w14:solidFill>
                    <w14:schemeClr w14:val="tx1"/>
                  </w14:solidFill>
                </w14:textFill>
              </w:rPr>
            </w:pPr>
          </w:p>
        </w:tc>
      </w:tr>
      <w:tr w14:paraId="68B32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679" w:type="dxa"/>
            <w:tcBorders>
              <w:left w:val="single" w:color="000000" w:sz="10" w:space="0"/>
            </w:tcBorders>
            <w:noWrap w:val="0"/>
            <w:vAlign w:val="top"/>
          </w:tcPr>
          <w:p w14:paraId="4A873EDF">
            <w:pPr>
              <w:spacing w:before="302" w:line="192" w:lineRule="auto"/>
              <w:ind w:left="274"/>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2</w:t>
            </w:r>
          </w:p>
        </w:tc>
        <w:tc>
          <w:tcPr>
            <w:tcW w:w="2281" w:type="dxa"/>
            <w:noWrap w:val="0"/>
            <w:vAlign w:val="top"/>
          </w:tcPr>
          <w:p w14:paraId="0323B627">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16FE2260">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4F64AA38">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17B92A47">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65199200">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5FB8FDD2">
            <w:pPr>
              <w:rPr>
                <w:rFonts w:ascii="Arial"/>
                <w:color w:val="000000" w:themeColor="text1"/>
                <w:sz w:val="21"/>
                <w:highlight w:val="none"/>
                <w:shd w:val="clear" w:color="auto" w:fill="auto"/>
                <w14:textFill>
                  <w14:solidFill>
                    <w14:schemeClr w14:val="tx1"/>
                  </w14:solidFill>
                </w14:textFill>
              </w:rPr>
            </w:pPr>
          </w:p>
        </w:tc>
      </w:tr>
      <w:tr w14:paraId="7A3A1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79" w:type="dxa"/>
            <w:tcBorders>
              <w:left w:val="single" w:color="000000" w:sz="10" w:space="0"/>
            </w:tcBorders>
            <w:noWrap w:val="0"/>
            <w:vAlign w:val="top"/>
          </w:tcPr>
          <w:p w14:paraId="20EEE4A1">
            <w:pPr>
              <w:spacing w:before="302" w:line="190" w:lineRule="auto"/>
              <w:ind w:left="27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3</w:t>
            </w:r>
          </w:p>
        </w:tc>
        <w:tc>
          <w:tcPr>
            <w:tcW w:w="2281" w:type="dxa"/>
            <w:noWrap w:val="0"/>
            <w:vAlign w:val="top"/>
          </w:tcPr>
          <w:p w14:paraId="2410FCE9">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69AE13B5">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784E932F">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5C24196E">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582541FC">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44CA6D43">
            <w:pPr>
              <w:rPr>
                <w:rFonts w:ascii="Arial"/>
                <w:color w:val="000000" w:themeColor="text1"/>
                <w:sz w:val="21"/>
                <w:highlight w:val="none"/>
                <w:shd w:val="clear" w:color="auto" w:fill="auto"/>
                <w14:textFill>
                  <w14:solidFill>
                    <w14:schemeClr w14:val="tx1"/>
                  </w14:solidFill>
                </w14:textFill>
              </w:rPr>
            </w:pPr>
          </w:p>
        </w:tc>
      </w:tr>
      <w:tr w14:paraId="019A8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679" w:type="dxa"/>
            <w:tcBorders>
              <w:left w:val="single" w:color="000000" w:sz="10" w:space="0"/>
            </w:tcBorders>
            <w:noWrap w:val="0"/>
            <w:vAlign w:val="top"/>
          </w:tcPr>
          <w:p w14:paraId="312E0AFB">
            <w:pPr>
              <w:spacing w:before="303" w:line="192" w:lineRule="auto"/>
              <w:ind w:left="270"/>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4</w:t>
            </w:r>
          </w:p>
        </w:tc>
        <w:tc>
          <w:tcPr>
            <w:tcW w:w="2281" w:type="dxa"/>
            <w:noWrap w:val="0"/>
            <w:vAlign w:val="top"/>
          </w:tcPr>
          <w:p w14:paraId="332B1297">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29979220">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0FD3ED5A">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36E0E93E">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5B3290C6">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6A952D51">
            <w:pPr>
              <w:rPr>
                <w:rFonts w:ascii="Arial"/>
                <w:color w:val="000000" w:themeColor="text1"/>
                <w:sz w:val="21"/>
                <w:highlight w:val="none"/>
                <w:shd w:val="clear" w:color="auto" w:fill="auto"/>
                <w14:textFill>
                  <w14:solidFill>
                    <w14:schemeClr w14:val="tx1"/>
                  </w14:solidFill>
                </w14:textFill>
              </w:rPr>
            </w:pPr>
          </w:p>
        </w:tc>
      </w:tr>
      <w:tr w14:paraId="3C0C4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79" w:type="dxa"/>
            <w:tcBorders>
              <w:left w:val="single" w:color="000000" w:sz="10" w:space="0"/>
            </w:tcBorders>
            <w:noWrap w:val="0"/>
            <w:vAlign w:val="top"/>
          </w:tcPr>
          <w:p w14:paraId="77314749">
            <w:pPr>
              <w:spacing w:before="304" w:line="189" w:lineRule="auto"/>
              <w:ind w:left="27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5</w:t>
            </w:r>
          </w:p>
        </w:tc>
        <w:tc>
          <w:tcPr>
            <w:tcW w:w="2281" w:type="dxa"/>
            <w:noWrap w:val="0"/>
            <w:vAlign w:val="top"/>
          </w:tcPr>
          <w:p w14:paraId="3F2C57BB">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0BE79A0C">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69632C6E">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2A1FCB67">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16AF9653">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44C67442">
            <w:pPr>
              <w:rPr>
                <w:rFonts w:ascii="Arial"/>
                <w:color w:val="000000" w:themeColor="text1"/>
                <w:sz w:val="21"/>
                <w:highlight w:val="none"/>
                <w:shd w:val="clear" w:color="auto" w:fill="auto"/>
                <w14:textFill>
                  <w14:solidFill>
                    <w14:schemeClr w14:val="tx1"/>
                  </w14:solidFill>
                </w14:textFill>
              </w:rPr>
            </w:pPr>
          </w:p>
        </w:tc>
      </w:tr>
      <w:tr w14:paraId="7C6B8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679" w:type="dxa"/>
            <w:tcBorders>
              <w:left w:val="single" w:color="000000" w:sz="10" w:space="0"/>
            </w:tcBorders>
            <w:noWrap w:val="0"/>
            <w:vAlign w:val="top"/>
          </w:tcPr>
          <w:p w14:paraId="22BAA254">
            <w:pPr>
              <w:spacing w:before="304" w:line="190" w:lineRule="auto"/>
              <w:ind w:left="273"/>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6</w:t>
            </w:r>
          </w:p>
        </w:tc>
        <w:tc>
          <w:tcPr>
            <w:tcW w:w="2281" w:type="dxa"/>
            <w:noWrap w:val="0"/>
            <w:vAlign w:val="top"/>
          </w:tcPr>
          <w:p w14:paraId="5BBE2070">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4D7E5194">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5660FAF6">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2F7DB2D3">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2C6617C1">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132E0E9F">
            <w:pPr>
              <w:rPr>
                <w:rFonts w:ascii="Arial"/>
                <w:color w:val="000000" w:themeColor="text1"/>
                <w:sz w:val="21"/>
                <w:highlight w:val="none"/>
                <w:shd w:val="clear" w:color="auto" w:fill="auto"/>
                <w14:textFill>
                  <w14:solidFill>
                    <w14:schemeClr w14:val="tx1"/>
                  </w14:solidFill>
                </w14:textFill>
              </w:rPr>
            </w:pPr>
          </w:p>
        </w:tc>
      </w:tr>
      <w:tr w14:paraId="78B9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79" w:type="dxa"/>
            <w:tcBorders>
              <w:left w:val="single" w:color="000000" w:sz="10" w:space="0"/>
            </w:tcBorders>
            <w:noWrap w:val="0"/>
            <w:vAlign w:val="top"/>
          </w:tcPr>
          <w:p w14:paraId="7AB35CA9">
            <w:pPr>
              <w:spacing w:before="305" w:line="189" w:lineRule="auto"/>
              <w:ind w:left="277"/>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7</w:t>
            </w:r>
          </w:p>
        </w:tc>
        <w:tc>
          <w:tcPr>
            <w:tcW w:w="2281" w:type="dxa"/>
            <w:noWrap w:val="0"/>
            <w:vAlign w:val="top"/>
          </w:tcPr>
          <w:p w14:paraId="5DC7D5DF">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1CD1728E">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6034CBCB">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4B63B8B7">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49868C05">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0E98FD4C">
            <w:pPr>
              <w:rPr>
                <w:rFonts w:ascii="Arial"/>
                <w:color w:val="000000" w:themeColor="text1"/>
                <w:sz w:val="21"/>
                <w:highlight w:val="none"/>
                <w:shd w:val="clear" w:color="auto" w:fill="auto"/>
                <w14:textFill>
                  <w14:solidFill>
                    <w14:schemeClr w14:val="tx1"/>
                  </w14:solidFill>
                </w14:textFill>
              </w:rPr>
            </w:pPr>
          </w:p>
        </w:tc>
      </w:tr>
      <w:tr w14:paraId="446B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79" w:type="dxa"/>
            <w:tcBorders>
              <w:left w:val="single" w:color="000000" w:sz="10" w:space="0"/>
            </w:tcBorders>
            <w:noWrap w:val="0"/>
            <w:vAlign w:val="top"/>
          </w:tcPr>
          <w:p w14:paraId="11CFCB95">
            <w:pPr>
              <w:spacing w:before="305" w:line="190" w:lineRule="auto"/>
              <w:ind w:left="272"/>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8</w:t>
            </w:r>
          </w:p>
        </w:tc>
        <w:tc>
          <w:tcPr>
            <w:tcW w:w="2281" w:type="dxa"/>
            <w:noWrap w:val="0"/>
            <w:vAlign w:val="top"/>
          </w:tcPr>
          <w:p w14:paraId="0B7B8A24">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4A54FB70">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6FCBEA7D">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4E65534A">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78C77DAA">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07ABBA2E">
            <w:pPr>
              <w:rPr>
                <w:rFonts w:ascii="Arial"/>
                <w:color w:val="000000" w:themeColor="text1"/>
                <w:sz w:val="21"/>
                <w:highlight w:val="none"/>
                <w:shd w:val="clear" w:color="auto" w:fill="auto"/>
                <w14:textFill>
                  <w14:solidFill>
                    <w14:schemeClr w14:val="tx1"/>
                  </w14:solidFill>
                </w14:textFill>
              </w:rPr>
            </w:pPr>
          </w:p>
        </w:tc>
      </w:tr>
      <w:tr w14:paraId="746C6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79" w:type="dxa"/>
            <w:tcBorders>
              <w:left w:val="single" w:color="000000" w:sz="10" w:space="0"/>
            </w:tcBorders>
            <w:noWrap w:val="0"/>
            <w:vAlign w:val="top"/>
          </w:tcPr>
          <w:p w14:paraId="4322FF6C">
            <w:pPr>
              <w:spacing w:before="304" w:line="190" w:lineRule="auto"/>
              <w:ind w:left="272"/>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z w:val="23"/>
                <w:szCs w:val="23"/>
                <w:highlight w:val="none"/>
                <w:shd w:val="clear" w:color="auto" w:fill="auto"/>
                <w14:textFill>
                  <w14:solidFill>
                    <w14:schemeClr w14:val="tx1"/>
                  </w14:solidFill>
                </w14:textFill>
              </w:rPr>
              <w:t>9</w:t>
            </w:r>
          </w:p>
        </w:tc>
        <w:tc>
          <w:tcPr>
            <w:tcW w:w="2281" w:type="dxa"/>
            <w:noWrap w:val="0"/>
            <w:vAlign w:val="top"/>
          </w:tcPr>
          <w:p w14:paraId="67FD8C36">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5121F5B3">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25D8DC22">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2B3195AC">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50AB4BBA">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70B698B3">
            <w:pPr>
              <w:rPr>
                <w:rFonts w:ascii="Arial"/>
                <w:color w:val="000000" w:themeColor="text1"/>
                <w:sz w:val="21"/>
                <w:highlight w:val="none"/>
                <w:shd w:val="clear" w:color="auto" w:fill="auto"/>
                <w14:textFill>
                  <w14:solidFill>
                    <w14:schemeClr w14:val="tx1"/>
                  </w14:solidFill>
                </w14:textFill>
              </w:rPr>
            </w:pPr>
          </w:p>
        </w:tc>
      </w:tr>
      <w:tr w14:paraId="4FC4A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679" w:type="dxa"/>
            <w:tcBorders>
              <w:left w:val="single" w:color="000000" w:sz="10" w:space="0"/>
            </w:tcBorders>
            <w:noWrap w:val="0"/>
            <w:vAlign w:val="top"/>
          </w:tcPr>
          <w:p w14:paraId="1E603FF8">
            <w:pPr>
              <w:spacing w:before="140" w:line="360" w:lineRule="exact"/>
              <w:ind w:left="22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position w:val="9"/>
                <w:sz w:val="23"/>
                <w:szCs w:val="23"/>
                <w:highlight w:val="none"/>
                <w:shd w:val="clear" w:color="auto" w:fill="auto"/>
                <w14:textFill>
                  <w14:solidFill>
                    <w14:schemeClr w14:val="tx1"/>
                  </w14:solidFill>
                </w14:textFill>
              </w:rPr>
              <w:t>…</w:t>
            </w:r>
          </w:p>
          <w:p w14:paraId="0B430221">
            <w:pPr>
              <w:spacing w:line="349" w:lineRule="exact"/>
              <w:ind w:left="22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position w:val="2"/>
                <w:sz w:val="23"/>
                <w:szCs w:val="23"/>
                <w:highlight w:val="none"/>
                <w:shd w:val="clear" w:color="auto" w:fill="auto"/>
                <w14:textFill>
                  <w14:solidFill>
                    <w14:schemeClr w14:val="tx1"/>
                  </w14:solidFill>
                </w14:textFill>
              </w:rPr>
              <w:t>…</w:t>
            </w:r>
          </w:p>
        </w:tc>
        <w:tc>
          <w:tcPr>
            <w:tcW w:w="2281" w:type="dxa"/>
            <w:noWrap w:val="0"/>
            <w:vAlign w:val="top"/>
          </w:tcPr>
          <w:p w14:paraId="0D8F151E">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32050087">
            <w:pPr>
              <w:rPr>
                <w:rFonts w:ascii="Arial"/>
                <w:color w:val="000000" w:themeColor="text1"/>
                <w:sz w:val="21"/>
                <w:highlight w:val="none"/>
                <w:shd w:val="clear" w:color="auto" w:fill="auto"/>
                <w14:textFill>
                  <w14:solidFill>
                    <w14:schemeClr w14:val="tx1"/>
                  </w14:solidFill>
                </w14:textFill>
              </w:rPr>
            </w:pPr>
          </w:p>
        </w:tc>
        <w:tc>
          <w:tcPr>
            <w:tcW w:w="1325" w:type="dxa"/>
            <w:noWrap w:val="0"/>
            <w:vAlign w:val="top"/>
          </w:tcPr>
          <w:p w14:paraId="1034CA9F">
            <w:pPr>
              <w:rPr>
                <w:rFonts w:ascii="Arial"/>
                <w:color w:val="000000" w:themeColor="text1"/>
                <w:sz w:val="21"/>
                <w:highlight w:val="none"/>
                <w:shd w:val="clear" w:color="auto" w:fill="auto"/>
                <w14:textFill>
                  <w14:solidFill>
                    <w14:schemeClr w14:val="tx1"/>
                  </w14:solidFill>
                </w14:textFill>
              </w:rPr>
            </w:pPr>
          </w:p>
        </w:tc>
        <w:tc>
          <w:tcPr>
            <w:tcW w:w="1324" w:type="dxa"/>
            <w:noWrap w:val="0"/>
            <w:vAlign w:val="top"/>
          </w:tcPr>
          <w:p w14:paraId="3D3688AC">
            <w:pPr>
              <w:rPr>
                <w:rFonts w:ascii="Arial"/>
                <w:color w:val="000000" w:themeColor="text1"/>
                <w:sz w:val="21"/>
                <w:highlight w:val="none"/>
                <w:shd w:val="clear" w:color="auto" w:fill="auto"/>
                <w14:textFill>
                  <w14:solidFill>
                    <w14:schemeClr w14:val="tx1"/>
                  </w14:solidFill>
                </w14:textFill>
              </w:rPr>
            </w:pPr>
          </w:p>
        </w:tc>
        <w:tc>
          <w:tcPr>
            <w:tcW w:w="1325" w:type="dxa"/>
            <w:tcBorders>
              <w:right w:val="single" w:color="000000" w:sz="10" w:space="0"/>
            </w:tcBorders>
            <w:noWrap w:val="0"/>
            <w:vAlign w:val="top"/>
          </w:tcPr>
          <w:p w14:paraId="59F3B2ED">
            <w:pPr>
              <w:rPr>
                <w:rFonts w:ascii="Arial"/>
                <w:color w:val="000000" w:themeColor="text1"/>
                <w:sz w:val="21"/>
                <w:highlight w:val="none"/>
                <w:shd w:val="clear" w:color="auto" w:fill="auto"/>
                <w14:textFill>
                  <w14:solidFill>
                    <w14:schemeClr w14:val="tx1"/>
                  </w14:solidFill>
                </w14:textFill>
              </w:rPr>
            </w:pPr>
          </w:p>
        </w:tc>
        <w:tc>
          <w:tcPr>
            <w:tcW w:w="979" w:type="dxa"/>
            <w:tcBorders>
              <w:left w:val="single" w:color="000000" w:sz="10" w:space="0"/>
              <w:right w:val="single" w:color="000000" w:sz="10" w:space="0"/>
            </w:tcBorders>
            <w:noWrap w:val="0"/>
            <w:vAlign w:val="top"/>
          </w:tcPr>
          <w:p w14:paraId="0D1B2723">
            <w:pPr>
              <w:rPr>
                <w:rFonts w:ascii="Arial"/>
                <w:color w:val="000000" w:themeColor="text1"/>
                <w:sz w:val="21"/>
                <w:highlight w:val="none"/>
                <w:shd w:val="clear" w:color="auto" w:fill="auto"/>
                <w14:textFill>
                  <w14:solidFill>
                    <w14:schemeClr w14:val="tx1"/>
                  </w14:solidFill>
                </w14:textFill>
              </w:rPr>
            </w:pPr>
          </w:p>
        </w:tc>
      </w:tr>
    </w:tbl>
    <w:p w14:paraId="3CE9C0D2">
      <w:pPr>
        <w:spacing w:before="75" w:line="227" w:lineRule="auto"/>
        <w:ind w:left="3709"/>
        <w:rPr>
          <w:rFonts w:ascii="宋体" w:hAnsi="宋体" w:eastAsia="宋体" w:cs="宋体"/>
          <w:color w:val="000000" w:themeColor="text1"/>
          <w:spacing w:val="-2"/>
          <w:sz w:val="23"/>
          <w:szCs w:val="23"/>
          <w:highlight w:val="none"/>
          <w:shd w:val="clear" w:color="auto" w:fill="auto"/>
          <w14:textFill>
            <w14:solidFill>
              <w14:schemeClr w14:val="tx1"/>
            </w14:solidFill>
          </w14:textFill>
        </w:rPr>
      </w:pPr>
    </w:p>
    <w:p w14:paraId="1694D7FF">
      <w:pPr>
        <w:spacing w:before="75" w:line="227" w:lineRule="auto"/>
        <w:ind w:left="3709"/>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2"/>
          <w:sz w:val="23"/>
          <w:szCs w:val="23"/>
          <w:highlight w:val="none"/>
          <w:shd w:val="clear" w:color="auto" w:fill="auto"/>
          <w14:textFill>
            <w14:solidFill>
              <w14:schemeClr w14:val="tx1"/>
            </w14:solidFill>
          </w14:textFill>
        </w:rPr>
        <w:t>投标</w:t>
      </w:r>
      <w:r>
        <w:rPr>
          <w:rFonts w:ascii="宋体" w:hAnsi="宋体" w:eastAsia="宋体" w:cs="宋体"/>
          <w:color w:val="000000" w:themeColor="text1"/>
          <w:spacing w:val="-1"/>
          <w:sz w:val="23"/>
          <w:szCs w:val="23"/>
          <w:highlight w:val="none"/>
          <w:shd w:val="clear" w:color="auto" w:fill="auto"/>
          <w14:textFill>
            <w14:solidFill>
              <w14:schemeClr w14:val="tx1"/>
            </w14:solidFill>
          </w14:textFill>
        </w:rPr>
        <w:t>人：</w:t>
      </w:r>
      <w:r>
        <w:rPr>
          <w:rFonts w:ascii="宋体" w:hAnsi="宋体" w:eastAsia="宋体" w:cs="宋体"/>
          <w:color w:val="000000" w:themeColor="text1"/>
          <w:spacing w:val="-1"/>
          <w:sz w:val="23"/>
          <w:szCs w:val="23"/>
          <w:highlight w:val="none"/>
          <w:u w:val="single" w:color="auto"/>
          <w:shd w:val="clear" w:color="auto" w:fill="auto"/>
          <w14:textFill>
            <w14:solidFill>
              <w14:schemeClr w14:val="tx1"/>
            </w14:solidFill>
          </w14:textFill>
        </w:rPr>
        <w:t xml:space="preserve">                          </w:t>
      </w:r>
      <w:r>
        <w:rPr>
          <w:rFonts w:ascii="宋体" w:hAnsi="宋体" w:eastAsia="宋体" w:cs="宋体"/>
          <w:color w:val="000000" w:themeColor="text1"/>
          <w:spacing w:val="-1"/>
          <w:sz w:val="23"/>
          <w:szCs w:val="23"/>
          <w:highlight w:val="none"/>
          <w:shd w:val="clear" w:color="auto" w:fill="auto"/>
          <w14:textFill>
            <w14:solidFill>
              <w14:schemeClr w14:val="tx1"/>
            </w14:solidFill>
          </w14:textFill>
        </w:rPr>
        <w:t>(盖单位章)</w:t>
      </w:r>
    </w:p>
    <w:p w14:paraId="03BE9C59">
      <w:pPr>
        <w:spacing w:before="296" w:line="227" w:lineRule="auto"/>
        <w:ind w:left="3676"/>
        <w:rPr>
          <w:rFonts w:ascii="宋体" w:hAnsi="宋体" w:eastAsia="宋体" w:cs="宋体"/>
          <w:color w:val="000000" w:themeColor="text1"/>
          <w:sz w:val="23"/>
          <w:szCs w:val="23"/>
          <w:highlight w:val="none"/>
          <w:shd w:val="clear" w:color="auto" w:fill="auto"/>
          <w14:textFill>
            <w14:solidFill>
              <w14:schemeClr w14:val="tx1"/>
            </w14:solidFill>
          </w14:textFill>
        </w:rPr>
      </w:pPr>
      <w:r>
        <w:rPr>
          <w:rFonts w:ascii="宋体" w:hAnsi="宋体" w:eastAsia="宋体" w:cs="宋体"/>
          <w:color w:val="000000" w:themeColor="text1"/>
          <w:spacing w:val="1"/>
          <w:sz w:val="23"/>
          <w:szCs w:val="23"/>
          <w:highlight w:val="none"/>
          <w:shd w:val="clear" w:color="auto" w:fill="auto"/>
          <w14:textFill>
            <w14:solidFill>
              <w14:schemeClr w14:val="tx1"/>
            </w14:solidFill>
          </w14:textFill>
        </w:rPr>
        <w:t>法定代</w:t>
      </w:r>
      <w:r>
        <w:rPr>
          <w:rFonts w:ascii="宋体" w:hAnsi="宋体" w:eastAsia="宋体" w:cs="宋体"/>
          <w:color w:val="000000" w:themeColor="text1"/>
          <w:sz w:val="23"/>
          <w:szCs w:val="23"/>
          <w:highlight w:val="none"/>
          <w:shd w:val="clear" w:color="auto" w:fill="auto"/>
          <w14:textFill>
            <w14:solidFill>
              <w14:schemeClr w14:val="tx1"/>
            </w14:solidFill>
          </w14:textFill>
        </w:rPr>
        <w:t>表人或其委托代理人：</w:t>
      </w:r>
      <w:r>
        <w:rPr>
          <w:rFonts w:ascii="宋体" w:hAnsi="宋体" w:eastAsia="宋体" w:cs="宋体"/>
          <w:color w:val="000000" w:themeColor="text1"/>
          <w:sz w:val="23"/>
          <w:szCs w:val="23"/>
          <w:highlight w:val="none"/>
          <w:u w:val="single" w:color="auto"/>
          <w:shd w:val="clear" w:color="auto" w:fill="auto"/>
          <w14:textFill>
            <w14:solidFill>
              <w14:schemeClr w14:val="tx1"/>
            </w14:solidFill>
          </w14:textFill>
        </w:rPr>
        <w:t xml:space="preserve">            </w:t>
      </w:r>
      <w:r>
        <w:rPr>
          <w:rFonts w:ascii="宋体" w:hAnsi="宋体" w:eastAsia="宋体" w:cs="宋体"/>
          <w:color w:val="000000" w:themeColor="text1"/>
          <w:sz w:val="23"/>
          <w:szCs w:val="23"/>
          <w:highlight w:val="none"/>
          <w:shd w:val="clear" w:color="auto" w:fill="auto"/>
          <w14:textFill>
            <w14:solidFill>
              <w14:schemeClr w14:val="tx1"/>
            </w14:solidFill>
          </w14:textFill>
        </w:rPr>
        <w:t>(签字)</w:t>
      </w:r>
    </w:p>
    <w:p w14:paraId="30FBAF72">
      <w:pPr>
        <w:spacing w:line="273" w:lineRule="auto"/>
        <w:rPr>
          <w:rFonts w:ascii="Arial"/>
          <w:color w:val="000000" w:themeColor="text1"/>
          <w:sz w:val="21"/>
          <w:highlight w:val="none"/>
          <w:shd w:val="clear" w:color="auto" w:fill="auto"/>
          <w14:textFill>
            <w14:solidFill>
              <w14:schemeClr w14:val="tx1"/>
            </w14:solidFill>
          </w14:textFill>
        </w:rPr>
      </w:pPr>
    </w:p>
    <w:p w14:paraId="7B4ED3DD">
      <w:pPr>
        <w:spacing w:line="273" w:lineRule="auto"/>
        <w:rPr>
          <w:rFonts w:ascii="Arial"/>
          <w:color w:val="000000" w:themeColor="text1"/>
          <w:sz w:val="21"/>
          <w:highlight w:val="none"/>
          <w:shd w:val="clear" w:color="auto" w:fill="auto"/>
          <w14:textFill>
            <w14:solidFill>
              <w14:schemeClr w14:val="tx1"/>
            </w14:solidFill>
          </w14:textFill>
        </w:rPr>
      </w:pPr>
    </w:p>
    <w:p w14:paraId="2B81AAA1">
      <w:pPr>
        <w:spacing w:line="273" w:lineRule="auto"/>
        <w:rPr>
          <w:rFonts w:ascii="Arial"/>
          <w:color w:val="000000" w:themeColor="text1"/>
          <w:sz w:val="21"/>
          <w:highlight w:val="none"/>
          <w:shd w:val="clear" w:color="auto" w:fill="auto"/>
          <w14:textFill>
            <w14:solidFill>
              <w14:schemeClr w14:val="tx1"/>
            </w14:solidFill>
          </w14:textFill>
        </w:rPr>
      </w:pPr>
    </w:p>
    <w:p w14:paraId="173D09E8">
      <w:pPr>
        <w:spacing w:line="274" w:lineRule="auto"/>
        <w:rPr>
          <w:rFonts w:ascii="Arial"/>
          <w:color w:val="000000" w:themeColor="text1"/>
          <w:sz w:val="21"/>
          <w:highlight w:val="none"/>
          <w:shd w:val="clear" w:color="auto" w:fill="auto"/>
          <w14:textFill>
            <w14:solidFill>
              <w14:schemeClr w14:val="tx1"/>
            </w14:solidFill>
          </w14:textFill>
        </w:rPr>
      </w:pPr>
    </w:p>
    <w:p w14:paraId="7D5DECEE">
      <w:pPr>
        <w:spacing w:before="65" w:line="232" w:lineRule="auto"/>
        <w:ind w:left="105"/>
        <w:rPr>
          <w:rFonts w:ascii="宋体" w:hAnsi="宋体" w:eastAsia="宋体" w:cs="宋体"/>
          <w:color w:val="000000" w:themeColor="text1"/>
          <w:sz w:val="20"/>
          <w:szCs w:val="20"/>
          <w:highlight w:val="none"/>
          <w:shd w:val="clear" w:color="auto" w:fill="auto"/>
          <w14:textFill>
            <w14:solidFill>
              <w14:schemeClr w14:val="tx1"/>
            </w14:solidFill>
          </w14:textFill>
        </w:rPr>
      </w:pPr>
      <w:r>
        <w:rPr>
          <w:rFonts w:ascii="宋体" w:hAnsi="宋体" w:eastAsia="宋体" w:cs="宋体"/>
          <w:color w:val="000000" w:themeColor="text1"/>
          <w:spacing w:val="16"/>
          <w:sz w:val="20"/>
          <w:szCs w:val="20"/>
          <w:highlight w:val="none"/>
          <w:shd w:val="clear" w:color="auto" w:fill="auto"/>
          <w14:textFill>
            <w14:solidFill>
              <w14:schemeClr w14:val="tx1"/>
            </w14:solidFill>
          </w14:textFill>
        </w:rPr>
        <w:t>注</w:t>
      </w:r>
      <w:r>
        <w:rPr>
          <w:rFonts w:ascii="宋体" w:hAnsi="宋体" w:eastAsia="宋体" w:cs="宋体"/>
          <w:color w:val="000000" w:themeColor="text1"/>
          <w:spacing w:val="9"/>
          <w:sz w:val="20"/>
          <w:szCs w:val="20"/>
          <w:highlight w:val="none"/>
          <w:shd w:val="clear" w:color="auto" w:fill="auto"/>
          <w14:textFill>
            <w14:solidFill>
              <w14:schemeClr w14:val="tx1"/>
            </w14:solidFill>
          </w14:textFill>
        </w:rPr>
        <w:t>：1、一个设备只允许填报一个品牌，漏填或多填均按否决投标处理。</w:t>
      </w:r>
    </w:p>
    <w:p w14:paraId="2CD51485">
      <w:pPr>
        <w:spacing w:before="22" w:line="270" w:lineRule="exact"/>
        <w:ind w:left="528"/>
        <w:rPr>
          <w:rFonts w:ascii="宋体" w:hAnsi="宋体" w:eastAsia="宋体" w:cs="宋体"/>
          <w:color w:val="000000" w:themeColor="text1"/>
          <w:sz w:val="20"/>
          <w:szCs w:val="20"/>
          <w:highlight w:val="none"/>
          <w:shd w:val="clear" w:color="auto" w:fill="auto"/>
          <w14:textFill>
            <w14:solidFill>
              <w14:schemeClr w14:val="tx1"/>
            </w14:solidFill>
          </w14:textFill>
        </w:rPr>
      </w:pPr>
      <w:r>
        <w:rPr>
          <w:rFonts w:ascii="宋体" w:hAnsi="宋体" w:eastAsia="宋体" w:cs="宋体"/>
          <w:color w:val="000000" w:themeColor="text1"/>
          <w:spacing w:val="9"/>
          <w:position w:val="1"/>
          <w:sz w:val="20"/>
          <w:szCs w:val="20"/>
          <w:highlight w:val="none"/>
          <w:shd w:val="clear" w:color="auto" w:fill="auto"/>
          <w14:textFill>
            <w14:solidFill>
              <w14:schemeClr w14:val="tx1"/>
            </w14:solidFill>
          </w14:textFill>
        </w:rPr>
        <w:t>2、填入的品牌名称应按照其官方发布的规范中文全称填入，并在备注中注明是进口或是国产设备</w:t>
      </w:r>
      <w:r>
        <w:rPr>
          <w:rFonts w:ascii="宋体" w:hAnsi="宋体" w:eastAsia="宋体" w:cs="宋体"/>
          <w:color w:val="000000" w:themeColor="text1"/>
          <w:spacing w:val="2"/>
          <w:position w:val="1"/>
          <w:sz w:val="20"/>
          <w:szCs w:val="20"/>
          <w:highlight w:val="none"/>
          <w:shd w:val="clear" w:color="auto" w:fill="auto"/>
          <w14:textFill>
            <w14:solidFill>
              <w14:schemeClr w14:val="tx1"/>
            </w14:solidFill>
          </w14:textFill>
        </w:rPr>
        <w:t>。</w:t>
      </w:r>
    </w:p>
    <w:p w14:paraId="1DFC8B4C">
      <w:pPr>
        <w:spacing w:before="100" w:line="228" w:lineRule="auto"/>
        <w:ind w:left="2783"/>
        <w:rPr>
          <w:rStyle w:val="119"/>
          <w:rFonts w:hint="eastAsia"/>
          <w:color w:val="000000" w:themeColor="text1"/>
          <w:highlight w:val="none"/>
          <w:lang w:val="en-US" w:eastAsia="zh-CN"/>
          <w14:textFill>
            <w14:solidFill>
              <w14:schemeClr w14:val="tx1"/>
            </w14:solidFill>
          </w14:textFill>
        </w:rPr>
      </w:pPr>
    </w:p>
    <w:p w14:paraId="6906871D">
      <w:pPr>
        <w:spacing w:before="100" w:line="228" w:lineRule="auto"/>
        <w:ind w:left="2783"/>
        <w:rPr>
          <w:rStyle w:val="119"/>
          <w:rFonts w:hint="eastAsia"/>
          <w:color w:val="000000" w:themeColor="text1"/>
          <w:highlight w:val="none"/>
          <w:lang w:val="en-US" w:eastAsia="zh-CN"/>
          <w14:textFill>
            <w14:solidFill>
              <w14:schemeClr w14:val="tx1"/>
            </w14:solidFill>
          </w14:textFill>
        </w:rPr>
      </w:pPr>
    </w:p>
    <w:p w14:paraId="2BDE5E71">
      <w:pPr>
        <w:spacing w:before="100" w:line="228" w:lineRule="auto"/>
        <w:ind w:left="2783"/>
        <w:rPr>
          <w:rStyle w:val="119"/>
          <w:rFonts w:hint="eastAsia"/>
          <w:color w:val="000000" w:themeColor="text1"/>
          <w:highlight w:val="none"/>
          <w:lang w:val="en-US" w:eastAsia="zh-CN"/>
          <w14:textFill>
            <w14:solidFill>
              <w14:schemeClr w14:val="tx1"/>
            </w14:solidFill>
          </w14:textFill>
        </w:rPr>
      </w:pPr>
    </w:p>
    <w:p w14:paraId="2C79E756">
      <w:pPr>
        <w:spacing w:before="100" w:line="228" w:lineRule="auto"/>
        <w:ind w:left="2783"/>
        <w:rPr>
          <w:rStyle w:val="119"/>
          <w:rFonts w:hint="eastAsia"/>
          <w:color w:val="000000" w:themeColor="text1"/>
          <w:highlight w:val="none"/>
          <w:lang w:val="en-US" w:eastAsia="zh-CN"/>
          <w14:textFill>
            <w14:solidFill>
              <w14:schemeClr w14:val="tx1"/>
            </w14:solidFill>
          </w14:textFill>
        </w:rPr>
      </w:pPr>
    </w:p>
    <w:p w14:paraId="462A2549">
      <w:pPr>
        <w:spacing w:before="100" w:line="228" w:lineRule="auto"/>
        <w:ind w:left="2783"/>
        <w:rPr>
          <w:rStyle w:val="119"/>
          <w:rFonts w:hint="eastAsia"/>
          <w:color w:val="000000" w:themeColor="text1"/>
          <w:highlight w:val="none"/>
          <w:lang w:val="en-US" w:eastAsia="zh-CN"/>
          <w14:textFill>
            <w14:solidFill>
              <w14:schemeClr w14:val="tx1"/>
            </w14:solidFill>
          </w14:textFill>
        </w:rPr>
      </w:pPr>
    </w:p>
    <w:p w14:paraId="0205ADAE">
      <w:pPr>
        <w:pStyle w:val="60"/>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八-</w:t>
      </w:r>
      <w:r>
        <w:rPr>
          <w:rFonts w:hint="eastAsia" w:ascii="宋体" w:hAnsi="宋体" w:cs="宋体"/>
          <w:b/>
          <w:bCs/>
          <w:color w:val="000000" w:themeColor="text1"/>
          <w:highlight w:val="none"/>
          <w:lang w:val="en-US" w:eastAsia="zh-CN"/>
          <w14:textFill>
            <w14:solidFill>
              <w14:schemeClr w14:val="tx1"/>
            </w14:solidFill>
          </w14:textFill>
        </w:rPr>
        <w:t>3</w:t>
      </w:r>
      <w:r>
        <w:rPr>
          <w:rFonts w:hint="eastAsia" w:ascii="宋体" w:hAnsi="宋体" w:cs="宋体"/>
          <w:b/>
          <w:bCs/>
          <w:color w:val="000000" w:themeColor="text1"/>
          <w:highlight w:val="none"/>
          <w14:textFill>
            <w14:solidFill>
              <w14:schemeClr w14:val="tx1"/>
            </w14:solidFill>
          </w14:textFill>
        </w:rPr>
        <w:t>、投标人的自评分表</w:t>
      </w:r>
    </w:p>
    <w:p w14:paraId="7B4AB151">
      <w:pPr>
        <w:pStyle w:val="60"/>
        <w:jc w:val="center"/>
        <w:rPr>
          <w:rFonts w:ascii="宋体" w:hAnsi="宋体" w:cs="宋体"/>
          <w:b/>
          <w:bCs/>
          <w:color w:val="000000" w:themeColor="text1"/>
          <w:highlight w:val="none"/>
          <w14:textFill>
            <w14:solidFill>
              <w14:schemeClr w14:val="tx1"/>
            </w14:solidFill>
          </w14:textFill>
        </w:rPr>
      </w:pPr>
    </w:p>
    <w:p w14:paraId="491EE336">
      <w:pPr>
        <w:pStyle w:val="60"/>
        <w:jc w:val="center"/>
        <w:rPr>
          <w:rFonts w:ascii="宋体" w:hAnsi="宋体" w:cs="宋体"/>
          <w:b/>
          <w:bCs/>
          <w:color w:val="000000" w:themeColor="text1"/>
          <w:highlight w:val="none"/>
          <w14:textFill>
            <w14:solidFill>
              <w14:schemeClr w14:val="tx1"/>
            </w14:solidFill>
          </w14:textFill>
        </w:rPr>
      </w:pPr>
    </w:p>
    <w:tbl>
      <w:tblPr>
        <w:tblStyle w:val="4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748"/>
        <w:gridCol w:w="1408"/>
        <w:gridCol w:w="1408"/>
        <w:gridCol w:w="1408"/>
        <w:gridCol w:w="1408"/>
        <w:gridCol w:w="1408"/>
      </w:tblGrid>
      <w:tr w14:paraId="2679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66" w:type="dxa"/>
            <w:vAlign w:val="center"/>
          </w:tcPr>
          <w:p w14:paraId="2C15ADE4">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序号</w:t>
            </w:r>
          </w:p>
        </w:tc>
        <w:tc>
          <w:tcPr>
            <w:tcW w:w="1748" w:type="dxa"/>
            <w:vAlign w:val="center"/>
          </w:tcPr>
          <w:p w14:paraId="05E9822B">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评分因素</w:t>
            </w:r>
          </w:p>
        </w:tc>
        <w:tc>
          <w:tcPr>
            <w:tcW w:w="1408" w:type="dxa"/>
            <w:vAlign w:val="center"/>
          </w:tcPr>
          <w:p w14:paraId="2D223B25">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满分</w:t>
            </w:r>
          </w:p>
        </w:tc>
        <w:tc>
          <w:tcPr>
            <w:tcW w:w="1408" w:type="dxa"/>
            <w:vAlign w:val="center"/>
          </w:tcPr>
          <w:p w14:paraId="72DDBF05">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评分标准</w:t>
            </w:r>
          </w:p>
        </w:tc>
        <w:tc>
          <w:tcPr>
            <w:tcW w:w="1408" w:type="dxa"/>
            <w:vAlign w:val="center"/>
          </w:tcPr>
          <w:p w14:paraId="21FB9F5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自评分</w:t>
            </w:r>
          </w:p>
        </w:tc>
        <w:tc>
          <w:tcPr>
            <w:tcW w:w="1408" w:type="dxa"/>
            <w:vAlign w:val="center"/>
          </w:tcPr>
          <w:p w14:paraId="66E70D80">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评分情况</w:t>
            </w:r>
          </w:p>
          <w:p w14:paraId="2ABC794C">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说明</w:t>
            </w:r>
          </w:p>
        </w:tc>
        <w:tc>
          <w:tcPr>
            <w:tcW w:w="1408" w:type="dxa"/>
            <w:vAlign w:val="center"/>
          </w:tcPr>
          <w:p w14:paraId="785AAD8A">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页码索引</w:t>
            </w:r>
          </w:p>
        </w:tc>
      </w:tr>
      <w:tr w14:paraId="084B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6221D7FD">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321212CA">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3260B3F0">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5E75BE3">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33045BA6">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6F205723">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49CDD80B">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378D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1B4CBE9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31EB1DF7">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DAAC9DB">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09A30D1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765E684D">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32EDBC59">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74A5608C">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2299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04C527AD">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03C07DA6">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4CDCFEB1">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67845C1">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40B310A">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156001B">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70B62774">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6B03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55526838">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7669DF15">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6755E16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6E154BFF">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356F82CD">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4CE4EB2A">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50761D2F">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3810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1ED6CB82">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7942E2DD">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0DF5D823">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44014297">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3BF673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359F3457">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5186A7E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2D2D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520ED5A0">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258D1762">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D7CFF2F">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2DB811B">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40E889A6">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09417A9">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F0BD525">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1AAA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066" w:type="dxa"/>
          </w:tcPr>
          <w:p w14:paraId="3264D5DE">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748" w:type="dxa"/>
          </w:tcPr>
          <w:p w14:paraId="20A92DDA">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05DB1AC">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3C20A56">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37BD0078">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084CD86C">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0EA515B">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r w14:paraId="4CED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2814" w:type="dxa"/>
            <w:gridSpan w:val="2"/>
            <w:vAlign w:val="center"/>
          </w:tcPr>
          <w:p w14:paraId="1BFDE535">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合计</w:t>
            </w:r>
          </w:p>
        </w:tc>
        <w:tc>
          <w:tcPr>
            <w:tcW w:w="1408" w:type="dxa"/>
          </w:tcPr>
          <w:p w14:paraId="215C6B0D">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12FEB651">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740FA512">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243AFE95">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c>
          <w:tcPr>
            <w:tcW w:w="1408" w:type="dxa"/>
          </w:tcPr>
          <w:p w14:paraId="7784CAEA">
            <w:pPr>
              <w:pStyle w:val="60"/>
              <w:keepNext w:val="0"/>
              <w:keepLines w:val="0"/>
              <w:suppressLineNumbers w:val="0"/>
              <w:spacing w:before="0" w:beforeAutospacing="0" w:after="0" w:afterAutospacing="0"/>
              <w:ind w:left="0" w:right="0"/>
              <w:jc w:val="center"/>
              <w:rPr>
                <w:rFonts w:hint="default" w:ascii="宋体" w:hAnsi="宋体" w:cs="宋体"/>
                <w:b/>
                <w:bCs/>
                <w:color w:val="000000" w:themeColor="text1"/>
                <w:highlight w:val="none"/>
                <w14:textFill>
                  <w14:solidFill>
                    <w14:schemeClr w14:val="tx1"/>
                  </w14:solidFill>
                </w14:textFill>
              </w:rPr>
            </w:pPr>
          </w:p>
        </w:tc>
      </w:tr>
    </w:tbl>
    <w:p w14:paraId="5F4ADE28">
      <w:pPr>
        <w:pStyle w:val="60"/>
        <w:jc w:val="left"/>
        <w:rPr>
          <w:rFonts w:ascii="宋体" w:hAnsi="宋体" w:cs="宋体"/>
          <w:b/>
          <w:bCs/>
          <w:color w:val="000000" w:themeColor="text1"/>
          <w:highlight w:val="none"/>
          <w14:textFill>
            <w14:solidFill>
              <w14:schemeClr w14:val="tx1"/>
            </w14:solidFill>
          </w14:textFill>
        </w:rPr>
      </w:pPr>
    </w:p>
    <w:p w14:paraId="5BC01BDF">
      <w:pPr>
        <w:pStyle w:val="60"/>
        <w:jc w:val="left"/>
        <w:rPr>
          <w:rFonts w:ascii="宋体" w:hAnsi="宋体" w:cs="宋体"/>
          <w:b/>
          <w:bCs/>
          <w:color w:val="000000" w:themeColor="text1"/>
          <w:highlight w:val="none"/>
          <w14:textFill>
            <w14:solidFill>
              <w14:schemeClr w14:val="tx1"/>
            </w14:solidFill>
          </w14:textFill>
        </w:rPr>
      </w:pPr>
    </w:p>
    <w:p w14:paraId="68CA7E97">
      <w:pPr>
        <w:pStyle w:val="60"/>
        <w:jc w:val="left"/>
        <w:rPr>
          <w:rFonts w:ascii="宋体" w:hAnsi="宋体" w:cs="宋体"/>
          <w:b/>
          <w:bCs/>
          <w:color w:val="000000" w:themeColor="text1"/>
          <w:highlight w:val="none"/>
          <w14:textFill>
            <w14:solidFill>
              <w14:schemeClr w14:val="tx1"/>
            </w14:solidFill>
          </w14:textFill>
        </w:rPr>
      </w:pPr>
    </w:p>
    <w:p w14:paraId="48BCFB41">
      <w:pPr>
        <w:pStyle w:val="60"/>
        <w:spacing w:line="480" w:lineRule="auto"/>
        <w:ind w:firstLine="4096" w:firstLineChars="1700"/>
        <w:jc w:val="left"/>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xml:space="preserve">投标人： </w:t>
      </w:r>
      <w:r>
        <w:rPr>
          <w:rFonts w:hint="eastAsia" w:ascii="宋体" w:hAnsi="宋体" w:cs="宋体"/>
          <w:b/>
          <w:bCs/>
          <w:color w:val="000000" w:themeColor="text1"/>
          <w:highlight w:val="none"/>
          <w:u w:val="single"/>
          <w14:textFill>
            <w14:solidFill>
              <w14:schemeClr w14:val="tx1"/>
            </w14:solidFill>
          </w14:textFill>
        </w:rPr>
        <w:t xml:space="preserve">                        </w:t>
      </w:r>
      <w:r>
        <w:rPr>
          <w:rFonts w:hint="eastAsia" w:ascii="宋体" w:hAnsi="宋体" w:cs="宋体"/>
          <w:b/>
          <w:bCs/>
          <w:color w:val="000000" w:themeColor="text1"/>
          <w:highlight w:val="none"/>
          <w14:textFill>
            <w14:solidFill>
              <w14:schemeClr w14:val="tx1"/>
            </w14:solidFill>
          </w14:textFill>
        </w:rPr>
        <w:t>(盖单位章)</w:t>
      </w:r>
    </w:p>
    <w:p w14:paraId="3FF9AF9E">
      <w:pPr>
        <w:pStyle w:val="60"/>
        <w:spacing w:line="480" w:lineRule="auto"/>
        <w:ind w:firstLine="4096" w:firstLineChars="1700"/>
        <w:jc w:val="left"/>
        <w:rPr>
          <w:rFonts w:ascii="宋体" w:hAnsi="宋体" w:cs="宋体"/>
          <w:b/>
          <w:bCs/>
          <w:color w:val="000000" w:themeColor="text1"/>
          <w:highlight w:val="none"/>
          <w14:textFill>
            <w14:solidFill>
              <w14:schemeClr w14:val="tx1"/>
            </w14:solidFill>
          </w14:textFill>
        </w:rPr>
        <w:sectPr>
          <w:pgSz w:w="11906" w:h="16838"/>
          <w:pgMar w:top="1134" w:right="1134" w:bottom="1134" w:left="1134" w:header="851" w:footer="992" w:gutter="0"/>
          <w:pgNumType w:fmt="decimal"/>
          <w:cols w:space="720" w:num="1"/>
          <w:docGrid w:type="lines" w:linePitch="312" w:charSpace="0"/>
        </w:sectPr>
      </w:pPr>
      <w:r>
        <w:rPr>
          <w:rFonts w:hint="eastAsia" w:ascii="宋体" w:hAnsi="宋体" w:cs="宋体"/>
          <w:b/>
          <w:bCs/>
          <w:color w:val="000000" w:themeColor="text1"/>
          <w:highlight w:val="none"/>
          <w14:textFill>
            <w14:solidFill>
              <w14:schemeClr w14:val="tx1"/>
            </w14:solidFill>
          </w14:textFill>
        </w:rPr>
        <w:t>法定代表人或其委托代理人：</w:t>
      </w:r>
      <w:r>
        <w:rPr>
          <w:rFonts w:hint="eastAsia" w:ascii="宋体" w:hAnsi="宋体" w:cs="宋体"/>
          <w:b/>
          <w:bCs/>
          <w:color w:val="000000" w:themeColor="text1"/>
          <w:highlight w:val="none"/>
          <w:u w:val="single"/>
          <w14:textFill>
            <w14:solidFill>
              <w14:schemeClr w14:val="tx1"/>
            </w14:solidFill>
          </w14:textFill>
        </w:rPr>
        <w:t xml:space="preserve">      </w:t>
      </w:r>
      <w:r>
        <w:rPr>
          <w:rFonts w:hint="eastAsia" w:ascii="宋体" w:hAnsi="宋体" w:cs="宋体"/>
          <w:b/>
          <w:bCs/>
          <w:color w:val="000000" w:themeColor="text1"/>
          <w:highlight w:val="none"/>
          <w14:textFill>
            <w14:solidFill>
              <w14:schemeClr w14:val="tx1"/>
            </w14:solidFill>
          </w14:textFill>
        </w:rPr>
        <w:t>（签字）</w:t>
      </w:r>
    </w:p>
    <w:p w14:paraId="0D7DCE90">
      <w:pPr>
        <w:spacing w:line="360" w:lineRule="auto"/>
        <w:jc w:val="center"/>
        <w:rPr>
          <w:rFonts w:ascii="宋体" w:hAnsi="宋体"/>
          <w:b/>
          <w:color w:val="000000" w:themeColor="text1"/>
          <w:sz w:val="32"/>
          <w:szCs w:val="32"/>
          <w:highlight w:val="none"/>
          <w:u w:val="single"/>
          <w14:textFill>
            <w14:solidFill>
              <w14:schemeClr w14:val="tx1"/>
            </w14:solidFill>
          </w14:textFill>
        </w:rPr>
      </w:pPr>
    </w:p>
    <w:p w14:paraId="2D4BF5DF">
      <w:pPr>
        <w:spacing w:line="360" w:lineRule="auto"/>
        <w:jc w:val="center"/>
        <w:rPr>
          <w:rFonts w:ascii="宋体" w:hAnsi="宋体"/>
          <w:b/>
          <w:color w:val="000000" w:themeColor="text1"/>
          <w:sz w:val="32"/>
          <w:szCs w:val="32"/>
          <w:highlight w:val="none"/>
          <w:u w:val="single"/>
          <w14:textFill>
            <w14:solidFill>
              <w14:schemeClr w14:val="tx1"/>
            </w14:solidFill>
          </w14:textFill>
        </w:rPr>
      </w:pPr>
    </w:p>
    <w:p w14:paraId="001FE640">
      <w:pPr>
        <w:spacing w:line="360" w:lineRule="auto"/>
        <w:ind w:firstLine="883" w:firstLineChars="200"/>
        <w:jc w:val="center"/>
        <w:rPr>
          <w:rFonts w:ascii="宋体" w:hAnsi="宋体"/>
          <w:b/>
          <w:color w:val="000000" w:themeColor="text1"/>
          <w:sz w:val="44"/>
          <w:szCs w:val="44"/>
          <w:highlight w:val="none"/>
          <w:u w:val="single"/>
          <w14:textFill>
            <w14:solidFill>
              <w14:schemeClr w14:val="tx1"/>
            </w14:solidFill>
          </w14:textFill>
        </w:rPr>
      </w:pPr>
      <w:r>
        <w:rPr>
          <w:rFonts w:hint="eastAsia" w:ascii="宋体" w:hAnsi="宋体"/>
          <w:b/>
          <w:color w:val="000000" w:themeColor="text1"/>
          <w:sz w:val="44"/>
          <w:szCs w:val="44"/>
          <w:highlight w:val="none"/>
          <w:u w:val="single"/>
          <w14:textFill>
            <w14:solidFill>
              <w14:schemeClr w14:val="tx1"/>
            </w14:solidFill>
          </w14:textFill>
        </w:rPr>
        <w:t>广东省</w:t>
      </w:r>
    </w:p>
    <w:p w14:paraId="4E7EC5B6">
      <w:pPr>
        <w:spacing w:line="360" w:lineRule="auto"/>
        <w:ind w:firstLine="883" w:firstLineChars="200"/>
        <w:jc w:val="center"/>
        <w:rPr>
          <w:rFonts w:ascii="宋体" w:hAnsi="宋体"/>
          <w:b/>
          <w:color w:val="000000" w:themeColor="text1"/>
          <w:sz w:val="44"/>
          <w:szCs w:val="44"/>
          <w:highlight w:val="none"/>
          <w:u w:val="single"/>
          <w14:textFill>
            <w14:solidFill>
              <w14:schemeClr w14:val="tx1"/>
            </w14:solidFill>
          </w14:textFill>
        </w:rPr>
      </w:pPr>
    </w:p>
    <w:p w14:paraId="0686C357">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b/>
          <w:color w:val="000000" w:themeColor="text1"/>
          <w:sz w:val="44"/>
          <w:szCs w:val="44"/>
          <w:highlight w:val="none"/>
          <w:u w:val="single"/>
          <w14:textFill>
            <w14:solidFill>
              <w14:schemeClr w14:val="tx1"/>
            </w14:solidFill>
          </w14:textFill>
        </w:rPr>
        <w:t xml:space="preserve">     </w:t>
      </w:r>
      <w:r>
        <w:rPr>
          <w:rFonts w:ascii="宋体" w:hAnsi="宋体"/>
          <w:b/>
          <w:color w:val="000000" w:themeColor="text1"/>
          <w:sz w:val="44"/>
          <w:szCs w:val="44"/>
          <w:highlight w:val="none"/>
          <w:u w:val="single"/>
          <w14:textFill>
            <w14:solidFill>
              <w14:schemeClr w14:val="tx1"/>
            </w14:solidFill>
          </w14:textFill>
        </w:rPr>
        <w:t>（项目名称）</w:t>
      </w:r>
      <w:r>
        <w:rPr>
          <w:rFonts w:hint="eastAsia" w:ascii="宋体" w:hAnsi="宋体"/>
          <w:b/>
          <w:color w:val="000000" w:themeColor="text1"/>
          <w:sz w:val="44"/>
          <w:szCs w:val="44"/>
          <w:highlight w:val="none"/>
          <w:u w:val="single"/>
          <w14:textFill>
            <w14:solidFill>
              <w14:schemeClr w14:val="tx1"/>
            </w14:solidFill>
          </w14:textFill>
        </w:rPr>
        <w:t xml:space="preserve">    </w:t>
      </w:r>
      <w:r>
        <w:rPr>
          <w:rFonts w:hint="eastAsia" w:ascii="宋体" w:hAnsi="宋体"/>
          <w:b/>
          <w:color w:val="000000" w:themeColor="text1"/>
          <w:sz w:val="44"/>
          <w:szCs w:val="44"/>
          <w:highlight w:val="none"/>
          <w14:textFill>
            <w14:solidFill>
              <w14:schemeClr w14:val="tx1"/>
            </w14:solidFill>
          </w14:textFill>
        </w:rPr>
        <w:t>施工招标</w:t>
      </w:r>
    </w:p>
    <w:p w14:paraId="417B738A">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14:paraId="2706BFB0">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14:paraId="7C973B71">
      <w:pPr>
        <w:spacing w:line="360" w:lineRule="auto"/>
        <w:jc w:val="center"/>
        <w:rPr>
          <w:rFonts w:ascii="宋体" w:hAnsi="宋体" w:cs="宋体"/>
          <w:b/>
          <w:color w:val="000000" w:themeColor="text1"/>
          <w:sz w:val="52"/>
          <w:szCs w:val="52"/>
          <w:highlight w:val="none"/>
          <w14:textFill>
            <w14:solidFill>
              <w14:schemeClr w14:val="tx1"/>
            </w14:solidFill>
          </w14:textFill>
        </w:rPr>
      </w:pPr>
    </w:p>
    <w:p w14:paraId="46BFEC2A">
      <w:pPr>
        <w:spacing w:line="360" w:lineRule="auto"/>
        <w:jc w:val="center"/>
        <w:rPr>
          <w:rFonts w:ascii="宋体" w:hAnsi="宋体" w:cs="宋体"/>
          <w:b/>
          <w:color w:val="000000" w:themeColor="text1"/>
          <w:sz w:val="52"/>
          <w:szCs w:val="52"/>
          <w:highlight w:val="none"/>
          <w14:textFill>
            <w14:solidFill>
              <w14:schemeClr w14:val="tx1"/>
            </w14:solidFill>
          </w14:textFill>
        </w:rPr>
      </w:pPr>
    </w:p>
    <w:p w14:paraId="602E13E6">
      <w:pPr>
        <w:jc w:val="center"/>
        <w:rPr>
          <w:rFonts w:ascii="宋体" w:hAnsi="宋体" w:cs="宋体"/>
          <w:color w:val="000000" w:themeColor="text1"/>
          <w:sz w:val="52"/>
          <w:szCs w:val="52"/>
          <w:highlight w:val="none"/>
          <w14:textFill>
            <w14:solidFill>
              <w14:schemeClr w14:val="tx1"/>
            </w14:solidFill>
          </w14:textFill>
        </w:rPr>
      </w:pPr>
      <w:r>
        <w:rPr>
          <w:rFonts w:hint="eastAsia" w:ascii="宋体" w:hAnsi="宋体" w:cs="宋体"/>
          <w:color w:val="000000" w:themeColor="text1"/>
          <w:sz w:val="52"/>
          <w:szCs w:val="52"/>
          <w:highlight w:val="none"/>
          <w14:textFill>
            <w14:solidFill>
              <w14:schemeClr w14:val="tx1"/>
            </w14:solidFill>
          </w14:textFill>
        </w:rPr>
        <w:t>投 标 文 件</w:t>
      </w:r>
    </w:p>
    <w:p w14:paraId="57015DEA">
      <w:pPr>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（第二个信封：报价文件）</w:t>
      </w:r>
    </w:p>
    <w:p w14:paraId="53679CB7">
      <w:pPr>
        <w:jc w:val="center"/>
        <w:rPr>
          <w:rFonts w:ascii="宋体" w:hAnsi="宋体" w:cs="宋体"/>
          <w:color w:val="000000" w:themeColor="text1"/>
          <w:sz w:val="44"/>
          <w:szCs w:val="44"/>
          <w:highlight w:val="none"/>
          <w14:textFill>
            <w14:solidFill>
              <w14:schemeClr w14:val="tx1"/>
            </w14:solidFill>
          </w14:textFill>
        </w:rPr>
      </w:pPr>
    </w:p>
    <w:p w14:paraId="35D34D1B">
      <w:pPr>
        <w:spacing w:line="360" w:lineRule="auto"/>
        <w:rPr>
          <w:rFonts w:ascii="宋体" w:hAnsi="宋体" w:cs="宋体"/>
          <w:b/>
          <w:color w:val="000000" w:themeColor="text1"/>
          <w:sz w:val="32"/>
          <w:szCs w:val="32"/>
          <w:highlight w:val="none"/>
          <w14:textFill>
            <w14:solidFill>
              <w14:schemeClr w14:val="tx1"/>
            </w14:solidFill>
          </w14:textFill>
        </w:rPr>
      </w:pPr>
    </w:p>
    <w:p w14:paraId="08F88648">
      <w:pPr>
        <w:spacing w:line="360" w:lineRule="auto"/>
        <w:rPr>
          <w:rFonts w:ascii="宋体" w:hAnsi="宋体" w:cs="宋体"/>
          <w:b/>
          <w:color w:val="000000" w:themeColor="text1"/>
          <w:sz w:val="32"/>
          <w:szCs w:val="32"/>
          <w:highlight w:val="none"/>
          <w14:textFill>
            <w14:solidFill>
              <w14:schemeClr w14:val="tx1"/>
            </w14:solidFill>
          </w14:textFill>
        </w:rPr>
      </w:pPr>
    </w:p>
    <w:p w14:paraId="16E24469">
      <w:pPr>
        <w:spacing w:line="360" w:lineRule="auto"/>
        <w:rPr>
          <w:rFonts w:ascii="宋体" w:hAnsi="宋体" w:cs="宋体"/>
          <w:b/>
          <w:color w:val="000000" w:themeColor="text1"/>
          <w:sz w:val="32"/>
          <w:szCs w:val="32"/>
          <w:highlight w:val="none"/>
          <w14:textFill>
            <w14:solidFill>
              <w14:schemeClr w14:val="tx1"/>
            </w14:solidFill>
          </w14:textFill>
        </w:rPr>
      </w:pPr>
    </w:p>
    <w:p w14:paraId="46C0DC38">
      <w:pPr>
        <w:spacing w:line="360" w:lineRule="auto"/>
        <w:rPr>
          <w:rFonts w:ascii="宋体" w:hAnsi="宋体" w:cs="宋体"/>
          <w:b/>
          <w:color w:val="000000" w:themeColor="text1"/>
          <w:sz w:val="32"/>
          <w:szCs w:val="32"/>
          <w:highlight w:val="none"/>
          <w14:textFill>
            <w14:solidFill>
              <w14:schemeClr w14:val="tx1"/>
            </w14:solidFill>
          </w14:textFill>
        </w:rPr>
      </w:pPr>
    </w:p>
    <w:p w14:paraId="4EEC84FB">
      <w:pPr>
        <w:spacing w:line="360" w:lineRule="auto"/>
        <w:rPr>
          <w:rFonts w:ascii="宋体" w:hAnsi="宋体" w:cs="宋体"/>
          <w:b/>
          <w:color w:val="000000" w:themeColor="text1"/>
          <w:sz w:val="32"/>
          <w:szCs w:val="32"/>
          <w:highlight w:val="none"/>
          <w14:textFill>
            <w14:solidFill>
              <w14:schemeClr w14:val="tx1"/>
            </w14:solidFill>
          </w14:textFill>
        </w:rPr>
      </w:pPr>
    </w:p>
    <w:p w14:paraId="6EC15ED3">
      <w:pPr>
        <w:tabs>
          <w:tab w:val="left" w:pos="3342"/>
        </w:tabs>
        <w:spacing w:before="101" w:line="380" w:lineRule="auto"/>
        <w:ind w:left="2049" w:right="665" w:hanging="1663"/>
        <w:rPr>
          <w:rFonts w:ascii="宋体" w:hAnsi="宋体" w:cs="宋体"/>
          <w:color w:val="000000" w:themeColor="text1"/>
          <w:sz w:val="31"/>
          <w:szCs w:val="31"/>
          <w:highlight w:val="none"/>
          <w14:textFill>
            <w14:solidFill>
              <w14:schemeClr w14:val="tx1"/>
            </w14:solidFill>
          </w14:textFill>
        </w:rPr>
      </w:pPr>
      <w:r>
        <w:rPr>
          <w:rFonts w:ascii="宋体" w:hAnsi="宋体" w:cs="宋体"/>
          <w:color w:val="000000" w:themeColor="text1"/>
          <w:spacing w:val="-8"/>
          <w:sz w:val="31"/>
          <w:szCs w:val="31"/>
          <w:highlight w:val="none"/>
          <w14:textFill>
            <w14:solidFill>
              <w14:schemeClr w14:val="tx1"/>
            </w14:solidFill>
          </w14:textFill>
        </w:rPr>
        <w:t>投标人：</w:t>
      </w:r>
      <w:r>
        <w:rPr>
          <w:rFonts w:ascii="宋体" w:hAnsi="宋体" w:cs="宋体"/>
          <w:color w:val="000000" w:themeColor="text1"/>
          <w:spacing w:val="-8"/>
          <w:sz w:val="31"/>
          <w:szCs w:val="31"/>
          <w:highlight w:val="none"/>
          <w:u w:val="single"/>
          <w14:textFill>
            <w14:solidFill>
              <w14:schemeClr w14:val="tx1"/>
            </w14:solidFill>
          </w14:textFill>
        </w:rPr>
        <w:t xml:space="preserve">    </w:t>
      </w:r>
      <w:r>
        <w:rPr>
          <w:rFonts w:ascii="宋体" w:hAnsi="宋体" w:cs="宋体"/>
          <w:color w:val="000000" w:themeColor="text1"/>
          <w:spacing w:val="-6"/>
          <w:sz w:val="31"/>
          <w:szCs w:val="31"/>
          <w:highlight w:val="none"/>
          <w:u w:val="single"/>
          <w14:textFill>
            <w14:solidFill>
              <w14:schemeClr w14:val="tx1"/>
            </w14:solidFill>
          </w14:textFill>
        </w:rPr>
        <w:t xml:space="preserve"> </w:t>
      </w:r>
      <w:r>
        <w:rPr>
          <w:rFonts w:ascii="宋体" w:hAnsi="宋体" w:cs="宋体"/>
          <w:color w:val="000000" w:themeColor="text1"/>
          <w:spacing w:val="-4"/>
          <w:sz w:val="31"/>
          <w:szCs w:val="31"/>
          <w:highlight w:val="none"/>
          <w:u w:val="single"/>
          <w14:textFill>
            <w14:solidFill>
              <w14:schemeClr w14:val="tx1"/>
            </w14:solidFill>
          </w14:textFill>
        </w:rPr>
        <w:t xml:space="preserve">                           </w:t>
      </w:r>
      <w:r>
        <w:rPr>
          <w:rFonts w:ascii="宋体" w:hAnsi="宋体" w:cs="宋体"/>
          <w:color w:val="000000" w:themeColor="text1"/>
          <w:spacing w:val="-4"/>
          <w:sz w:val="31"/>
          <w:szCs w:val="31"/>
          <w:highlight w:val="none"/>
          <w14:textFill>
            <w14:solidFill>
              <w14:schemeClr w14:val="tx1"/>
            </w14:solidFill>
          </w14:textFill>
        </w:rPr>
        <w:t>(盖单位章)</w:t>
      </w:r>
      <w:r>
        <w:rPr>
          <w:rFonts w:ascii="宋体" w:hAnsi="宋体" w:cs="宋体"/>
          <w:color w:val="000000" w:themeColor="text1"/>
          <w:sz w:val="31"/>
          <w:szCs w:val="31"/>
          <w:highlight w:val="none"/>
          <w14:textFill>
            <w14:solidFill>
              <w14:schemeClr w14:val="tx1"/>
            </w14:solidFill>
          </w14:textFill>
        </w:rPr>
        <w:t xml:space="preserve"> </w:t>
      </w:r>
    </w:p>
    <w:p w14:paraId="62063E7B">
      <w:pPr>
        <w:tabs>
          <w:tab w:val="left" w:pos="3342"/>
        </w:tabs>
        <w:spacing w:before="101" w:line="380" w:lineRule="auto"/>
        <w:ind w:left="2166" w:leftChars="751" w:right="665" w:hanging="589" w:hangingChars="190"/>
        <w:rPr>
          <w:rFonts w:ascii="宋体" w:hAnsi="宋体" w:cs="宋体"/>
          <w:color w:val="000000" w:themeColor="text1"/>
          <w:sz w:val="31"/>
          <w:szCs w:val="31"/>
          <w:highlight w:val="none"/>
          <w14:textFill>
            <w14:solidFill>
              <w14:schemeClr w14:val="tx1"/>
            </w14:solidFill>
          </w14:textFill>
        </w:rPr>
      </w:pPr>
      <w:r>
        <w:rPr>
          <w:rFonts w:ascii="宋体" w:hAnsi="宋体" w:cs="宋体"/>
          <w:color w:val="000000" w:themeColor="text1"/>
          <w:sz w:val="31"/>
          <w:szCs w:val="31"/>
          <w:highlight w:val="none"/>
          <w:u w:val="single"/>
          <w14:textFill>
            <w14:solidFill>
              <w14:schemeClr w14:val="tx1"/>
            </w14:solidFill>
          </w14:textFill>
        </w:rPr>
        <w:tab/>
      </w:r>
      <w:r>
        <w:rPr>
          <w:rFonts w:hint="eastAsia" w:ascii="宋体" w:hAnsi="宋体" w:cs="宋体"/>
          <w:color w:val="000000" w:themeColor="text1"/>
          <w:sz w:val="31"/>
          <w:szCs w:val="31"/>
          <w:highlight w:val="none"/>
          <w:u w:val="single"/>
          <w14:textFill>
            <w14:solidFill>
              <w14:schemeClr w14:val="tx1"/>
            </w14:solidFill>
          </w14:textFill>
        </w:rPr>
        <w:t xml:space="preserve">  </w:t>
      </w:r>
      <w:r>
        <w:rPr>
          <w:rFonts w:ascii="宋体" w:hAnsi="宋体" w:cs="宋体"/>
          <w:color w:val="000000" w:themeColor="text1"/>
          <w:spacing w:val="-7"/>
          <w:sz w:val="31"/>
          <w:szCs w:val="31"/>
          <w:highlight w:val="none"/>
          <w14:textFill>
            <w14:solidFill>
              <w14:schemeClr w14:val="tx1"/>
            </w14:solidFill>
          </w14:textFill>
        </w:rPr>
        <w:t>年</w:t>
      </w:r>
      <w:r>
        <w:rPr>
          <w:rFonts w:ascii="宋体" w:hAnsi="宋体" w:cs="宋体"/>
          <w:color w:val="000000" w:themeColor="text1"/>
          <w:spacing w:val="-7"/>
          <w:sz w:val="31"/>
          <w:szCs w:val="31"/>
          <w:highlight w:val="none"/>
          <w:u w:val="single"/>
          <w14:textFill>
            <w14:solidFill>
              <w14:schemeClr w14:val="tx1"/>
            </w14:solidFill>
          </w14:textFill>
        </w:rPr>
        <w:t xml:space="preserve">       </w:t>
      </w:r>
      <w:r>
        <w:rPr>
          <w:rFonts w:ascii="宋体" w:hAnsi="宋体" w:cs="宋体"/>
          <w:color w:val="000000" w:themeColor="text1"/>
          <w:spacing w:val="-7"/>
          <w:sz w:val="31"/>
          <w:szCs w:val="31"/>
          <w:highlight w:val="none"/>
          <w14:textFill>
            <w14:solidFill>
              <w14:schemeClr w14:val="tx1"/>
            </w14:solidFill>
          </w14:textFill>
        </w:rPr>
        <w:t xml:space="preserve"> 月</w:t>
      </w:r>
      <w:r>
        <w:rPr>
          <w:rFonts w:ascii="宋体" w:hAnsi="宋体" w:cs="宋体"/>
          <w:color w:val="000000" w:themeColor="text1"/>
          <w:spacing w:val="-7"/>
          <w:sz w:val="31"/>
          <w:szCs w:val="31"/>
          <w:highlight w:val="none"/>
          <w:u w:val="single"/>
          <w14:textFill>
            <w14:solidFill>
              <w14:schemeClr w14:val="tx1"/>
            </w14:solidFill>
          </w14:textFill>
        </w:rPr>
        <w:t xml:space="preserve">        </w:t>
      </w:r>
      <w:r>
        <w:rPr>
          <w:rFonts w:ascii="宋体" w:hAnsi="宋体" w:cs="宋体"/>
          <w:color w:val="000000" w:themeColor="text1"/>
          <w:spacing w:val="-5"/>
          <w:sz w:val="31"/>
          <w:szCs w:val="31"/>
          <w:highlight w:val="none"/>
          <w14:textFill>
            <w14:solidFill>
              <w14:schemeClr w14:val="tx1"/>
            </w14:solidFill>
          </w14:textFill>
        </w:rPr>
        <w:t>日</w:t>
      </w:r>
    </w:p>
    <w:p w14:paraId="2373EE64">
      <w:pPr>
        <w:rPr>
          <w:color w:val="000000" w:themeColor="text1"/>
          <w:highlight w:val="none"/>
          <w14:textFill>
            <w14:solidFill>
              <w14:schemeClr w14:val="tx1"/>
            </w14:solidFill>
          </w14:textFill>
        </w:rPr>
        <w:sectPr>
          <w:footerReference r:id="rId17" w:type="default"/>
          <w:pgSz w:w="11900" w:h="16839"/>
          <w:pgMar w:top="947" w:right="1125" w:bottom="1134" w:left="1420" w:header="707" w:footer="974" w:gutter="0"/>
          <w:pgNumType w:fmt="decimal"/>
          <w:cols w:space="720" w:num="1"/>
        </w:sectPr>
      </w:pPr>
    </w:p>
    <w:p w14:paraId="53835474">
      <w:pPr>
        <w:rPr>
          <w:rFonts w:ascii="宋体" w:hAnsi="宋体"/>
          <w:color w:val="000000" w:themeColor="text1"/>
          <w:sz w:val="24"/>
          <w:highlight w:val="none"/>
          <w14:textFill>
            <w14:solidFill>
              <w14:schemeClr w14:val="tx1"/>
            </w14:solidFill>
          </w14:textFill>
        </w:rPr>
      </w:pPr>
    </w:p>
    <w:p w14:paraId="1AAD5400">
      <w:pPr>
        <w:jc w:val="center"/>
        <w:rPr>
          <w:rFonts w:ascii="宋体" w:hAnsi="宋体"/>
          <w:b/>
          <w:color w:val="000000" w:themeColor="text1"/>
          <w:sz w:val="44"/>
          <w:szCs w:val="44"/>
          <w:highlight w:val="none"/>
          <w14:textFill>
            <w14:solidFill>
              <w14:schemeClr w14:val="tx1"/>
            </w14:solidFill>
          </w14:textFill>
        </w:rPr>
      </w:pPr>
    </w:p>
    <w:p w14:paraId="03DECDA4">
      <w:pPr>
        <w:jc w:val="center"/>
        <w:rPr>
          <w:rFonts w:ascii="宋体" w:hAnsi="宋体"/>
          <w:b/>
          <w:color w:val="000000" w:themeColor="text1"/>
          <w:sz w:val="44"/>
          <w:szCs w:val="44"/>
          <w:highlight w:val="none"/>
          <w14:textFill>
            <w14:solidFill>
              <w14:schemeClr w14:val="tx1"/>
            </w14:solidFill>
          </w14:textFill>
        </w:rPr>
      </w:pPr>
    </w:p>
    <w:p w14:paraId="78C8D829">
      <w:pPr>
        <w:jc w:val="center"/>
        <w:rPr>
          <w:rFonts w:ascii="宋体" w:hAnsi="宋体"/>
          <w:b/>
          <w:color w:val="000000" w:themeColor="text1"/>
          <w:sz w:val="44"/>
          <w:szCs w:val="44"/>
          <w:highlight w:val="none"/>
          <w14:textFill>
            <w14:solidFill>
              <w14:schemeClr w14:val="tx1"/>
            </w14:solidFill>
          </w14:textFill>
        </w:rPr>
      </w:pPr>
    </w:p>
    <w:p w14:paraId="1FAC5F78">
      <w:pPr>
        <w:pStyle w:val="56"/>
        <w:rPr>
          <w:rFonts w:ascii="宋体" w:hAnsi="宋体"/>
          <w:b/>
          <w:color w:val="000000" w:themeColor="text1"/>
          <w:sz w:val="44"/>
          <w:szCs w:val="44"/>
          <w:highlight w:val="none"/>
          <w14:textFill>
            <w14:solidFill>
              <w14:schemeClr w14:val="tx1"/>
            </w14:solidFill>
          </w14:textFill>
        </w:rPr>
      </w:pPr>
    </w:p>
    <w:p w14:paraId="4EE702AC">
      <w:pPr>
        <w:pStyle w:val="56"/>
        <w:rPr>
          <w:rFonts w:ascii="宋体" w:hAnsi="宋体"/>
          <w:b/>
          <w:color w:val="000000" w:themeColor="text1"/>
          <w:sz w:val="44"/>
          <w:szCs w:val="44"/>
          <w:highlight w:val="none"/>
          <w14:textFill>
            <w14:solidFill>
              <w14:schemeClr w14:val="tx1"/>
            </w14:solidFill>
          </w14:textFill>
        </w:rPr>
      </w:pPr>
    </w:p>
    <w:p w14:paraId="73ED73CA">
      <w:pPr>
        <w:jc w:val="center"/>
        <w:rPr>
          <w:rFonts w:ascii="宋体" w:hAnsi="宋体"/>
          <w:b/>
          <w:color w:val="000000" w:themeColor="text1"/>
          <w:sz w:val="44"/>
          <w:szCs w:val="44"/>
          <w:highlight w:val="none"/>
          <w14:textFill>
            <w14:solidFill>
              <w14:schemeClr w14:val="tx1"/>
            </w14:solidFill>
          </w14:textFill>
        </w:rPr>
      </w:pPr>
    </w:p>
    <w:p w14:paraId="00FD98B1">
      <w:pPr>
        <w:jc w:val="center"/>
        <w:rPr>
          <w:rFonts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目</w:t>
      </w:r>
      <w:r>
        <w:rPr>
          <w:rFonts w:hint="eastAsia" w:ascii="宋体" w:hAnsi="宋体"/>
          <w:b/>
          <w:color w:val="000000" w:themeColor="text1"/>
          <w:sz w:val="36"/>
          <w:szCs w:val="36"/>
          <w:highlight w:val="none"/>
          <w14:textFill>
            <w14:solidFill>
              <w14:schemeClr w14:val="tx1"/>
            </w14:solidFill>
          </w14:textFill>
        </w:rPr>
        <w:tab/>
      </w:r>
      <w:r>
        <w:rPr>
          <w:rFonts w:hint="eastAsia" w:ascii="宋体" w:hAnsi="宋体"/>
          <w:b/>
          <w:color w:val="000000" w:themeColor="text1"/>
          <w:sz w:val="36"/>
          <w:szCs w:val="36"/>
          <w:highlight w:val="none"/>
          <w14:textFill>
            <w14:solidFill>
              <w14:schemeClr w14:val="tx1"/>
            </w14:solidFill>
          </w14:textFill>
        </w:rPr>
        <w:t xml:space="preserve">      录</w:t>
      </w:r>
    </w:p>
    <w:p w14:paraId="147A8298">
      <w:pPr>
        <w:pStyle w:val="56"/>
        <w:rPr>
          <w:rFonts w:ascii="宋体" w:hAnsi="宋体"/>
          <w:b/>
          <w:color w:val="000000" w:themeColor="text1"/>
          <w:sz w:val="36"/>
          <w:szCs w:val="36"/>
          <w:highlight w:val="none"/>
          <w14:textFill>
            <w14:solidFill>
              <w14:schemeClr w14:val="tx1"/>
            </w14:solidFill>
          </w14:textFill>
        </w:rPr>
      </w:pPr>
    </w:p>
    <w:p w14:paraId="04DAAD62">
      <w:pPr>
        <w:jc w:val="center"/>
        <w:rPr>
          <w:rFonts w:ascii="宋体" w:hAnsi="宋体"/>
          <w:b/>
          <w:bCs/>
          <w:color w:val="000000" w:themeColor="text1"/>
          <w:sz w:val="28"/>
          <w:szCs w:val="28"/>
          <w:highlight w:val="none"/>
          <w14:textFill>
            <w14:solidFill>
              <w14:schemeClr w14:val="tx1"/>
            </w14:solidFill>
          </w14:textFill>
        </w:rPr>
      </w:pPr>
      <w:r>
        <w:rPr>
          <w:b/>
          <w:bCs/>
          <w:color w:val="000000" w:themeColor="text1"/>
          <w:sz w:val="28"/>
          <w:szCs w:val="28"/>
          <w:highlight w:val="none"/>
          <w14:textFill>
            <w14:solidFill>
              <w14:schemeClr w14:val="tx1"/>
            </w14:solidFill>
          </w14:textFill>
        </w:rPr>
        <w:t>第二个信封</w:t>
      </w:r>
      <w:r>
        <w:rPr>
          <w:rFonts w:hint="eastAsia"/>
          <w:b/>
          <w:bCs/>
          <w:color w:val="000000" w:themeColor="text1"/>
          <w:sz w:val="28"/>
          <w:szCs w:val="28"/>
          <w:highlight w:val="none"/>
          <w14:textFill>
            <w14:solidFill>
              <w14:schemeClr w14:val="tx1"/>
            </w14:solidFill>
          </w14:textFill>
        </w:rPr>
        <w:t>（</w:t>
      </w:r>
      <w:r>
        <w:rPr>
          <w:b/>
          <w:bCs/>
          <w:color w:val="000000" w:themeColor="text1"/>
          <w:sz w:val="28"/>
          <w:szCs w:val="28"/>
          <w:highlight w:val="none"/>
          <w14:textFill>
            <w14:solidFill>
              <w14:schemeClr w14:val="tx1"/>
            </w14:solidFill>
          </w14:textFill>
        </w:rPr>
        <w:t>报价文件</w:t>
      </w:r>
      <w:r>
        <w:rPr>
          <w:rFonts w:hint="eastAsia"/>
          <w:b/>
          <w:bCs/>
          <w:color w:val="000000" w:themeColor="text1"/>
          <w:sz w:val="28"/>
          <w:szCs w:val="28"/>
          <w:highlight w:val="none"/>
          <w14:textFill>
            <w14:solidFill>
              <w14:schemeClr w14:val="tx1"/>
            </w14:solidFill>
          </w14:textFill>
        </w:rPr>
        <w:t>）</w:t>
      </w:r>
    </w:p>
    <w:p w14:paraId="562D1F4D">
      <w:pPr>
        <w:pStyle w:val="56"/>
        <w:rPr>
          <w:rFonts w:ascii="宋体" w:hAnsi="宋体"/>
          <w:b/>
          <w:color w:val="000000" w:themeColor="text1"/>
          <w:sz w:val="36"/>
          <w:szCs w:val="36"/>
          <w:highlight w:val="none"/>
          <w14:textFill>
            <w14:solidFill>
              <w14:schemeClr w14:val="tx1"/>
            </w14:solidFill>
          </w14:textFill>
        </w:rPr>
      </w:pPr>
    </w:p>
    <w:p w14:paraId="41D26E08">
      <w:pPr>
        <w:rPr>
          <w:rFonts w:ascii="宋体" w:hAnsi="宋体"/>
          <w:color w:val="000000" w:themeColor="text1"/>
          <w:sz w:val="24"/>
          <w:highlight w:val="none"/>
          <w14:textFill>
            <w14:solidFill>
              <w14:schemeClr w14:val="tx1"/>
            </w14:solidFill>
          </w14:textFill>
        </w:rPr>
      </w:pPr>
    </w:p>
    <w:p w14:paraId="5101CC0F">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w:t>
      </w:r>
      <w:r>
        <w:rPr>
          <w:rFonts w:ascii="宋体" w:hAnsi="宋体"/>
          <w:color w:val="000000" w:themeColor="text1"/>
          <w:sz w:val="24"/>
          <w:highlight w:val="none"/>
          <w14:textFill>
            <w14:solidFill>
              <w14:schemeClr w14:val="tx1"/>
            </w14:solidFill>
          </w14:textFill>
        </w:rPr>
        <w:t>、投标函</w:t>
      </w:r>
    </w:p>
    <w:p w14:paraId="4D4C906A">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已标价工程量清单</w:t>
      </w:r>
    </w:p>
    <w:p w14:paraId="45F93FE2">
      <w:pPr>
        <w:rPr>
          <w:rFonts w:ascii="宋体" w:hAnsi="宋体"/>
          <w:color w:val="000000" w:themeColor="text1"/>
          <w:sz w:val="24"/>
          <w:highlight w:val="none"/>
          <w14:textFill>
            <w14:solidFill>
              <w14:schemeClr w14:val="tx1"/>
            </w14:solidFill>
          </w14:textFill>
        </w:rPr>
      </w:pPr>
    </w:p>
    <w:p w14:paraId="09ADBD08">
      <w:pPr>
        <w:rPr>
          <w:rFonts w:ascii="宋体" w:hAnsi="宋体"/>
          <w:color w:val="000000" w:themeColor="text1"/>
          <w:sz w:val="24"/>
          <w:highlight w:val="none"/>
          <w14:textFill>
            <w14:solidFill>
              <w14:schemeClr w14:val="tx1"/>
            </w14:solidFill>
          </w14:textFill>
        </w:rPr>
      </w:pPr>
    </w:p>
    <w:p w14:paraId="201258FA">
      <w:pPr>
        <w:jc w:val="center"/>
        <w:rPr>
          <w:rFonts w:ascii="宋体" w:hAnsi="宋体"/>
          <w:color w:val="000000" w:themeColor="text1"/>
          <w:sz w:val="24"/>
          <w:highlight w:val="none"/>
          <w14:textFill>
            <w14:solidFill>
              <w14:schemeClr w14:val="tx1"/>
            </w14:solidFill>
          </w14:textFill>
        </w:rPr>
      </w:pPr>
      <w:bookmarkStart w:id="1771" w:name="_Toc275856199"/>
      <w:r>
        <w:rPr>
          <w:rFonts w:ascii="宋体" w:hAnsi="宋体"/>
          <w:color w:val="000000" w:themeColor="text1"/>
          <w:sz w:val="24"/>
          <w:highlight w:val="none"/>
          <w14:textFill>
            <w14:solidFill>
              <w14:schemeClr w14:val="tx1"/>
            </w14:solidFill>
          </w14:textFill>
        </w:rPr>
        <w:br w:type="page"/>
      </w:r>
    </w:p>
    <w:bookmarkEnd w:id="1771"/>
    <w:p w14:paraId="27AF7165">
      <w:pPr>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一、投标函</w:t>
      </w:r>
    </w:p>
    <w:p w14:paraId="2403CA45">
      <w:pPr>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（一）投 标 函</w:t>
      </w:r>
    </w:p>
    <w:p w14:paraId="1C4D5CD6">
      <w:pPr>
        <w:spacing w:line="360" w:lineRule="exact"/>
        <w:rPr>
          <w:rFonts w:ascii="宋体" w:hAnsi="宋体"/>
          <w:color w:val="000000" w:themeColor="text1"/>
          <w:sz w:val="24"/>
          <w:highlight w:val="none"/>
          <w14:textFill>
            <w14:solidFill>
              <w14:schemeClr w14:val="tx1"/>
            </w14:solidFill>
          </w14:textFill>
        </w:rPr>
      </w:pPr>
    </w:p>
    <w:p w14:paraId="13B0ED2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（招标人名称）：</w:t>
      </w:r>
    </w:p>
    <w:p w14:paraId="1F2D492C">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1.我方已仔细研究</w:t>
      </w:r>
      <w:r>
        <w:rPr>
          <w:rFonts w:hint="eastAsia" w:ascii="宋体" w:hAnsi="宋体" w:cs="宋体"/>
          <w:color w:val="000000" w:themeColor="text1"/>
          <w:sz w:val="24"/>
          <w:highlight w:val="none"/>
          <w:u w:val="single"/>
          <w14:textFill>
            <w14:solidFill>
              <w14:schemeClr w14:val="tx1"/>
            </w14:solidFill>
          </w14:textFill>
        </w:rPr>
        <w:t xml:space="preserve">              （项目名称）          </w:t>
      </w:r>
      <w:r>
        <w:rPr>
          <w:rFonts w:hint="eastAsia" w:ascii="宋体" w:hAnsi="宋体" w:cs="宋体"/>
          <w:color w:val="000000" w:themeColor="text1"/>
          <w:sz w:val="24"/>
          <w:highlight w:val="none"/>
          <w14:textFill>
            <w14:solidFill>
              <w14:schemeClr w14:val="tx1"/>
            </w14:solidFill>
          </w14:textFill>
        </w:rPr>
        <w:t>施工招标文件的全部内容（含补遗书第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号至第</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号），在考察工程现场后，愿意以人民币</w:t>
      </w:r>
      <w:r>
        <w:rPr>
          <w:rFonts w:hint="eastAsia" w:ascii="宋体" w:hAnsi="宋体" w:cs="宋体"/>
          <w:color w:val="000000" w:themeColor="text1"/>
          <w:sz w:val="24"/>
          <w:highlight w:val="none"/>
          <w:u w:val="single"/>
          <w14:textFill>
            <w14:solidFill>
              <w14:schemeClr w14:val="tx1"/>
            </w14:solidFill>
          </w14:textFill>
        </w:rPr>
        <w:t>（大写）    （</w:t>
      </w:r>
      <w:r>
        <w:rPr>
          <w:rFonts w:ascii="宋体" w:hAnsi="宋体" w:cs="Arial"/>
          <w:color w:val="000000" w:themeColor="text1"/>
          <w:sz w:val="24"/>
          <w:highlight w:val="none"/>
          <w:u w:val="single"/>
          <w14:textFill>
            <w14:solidFill>
              <w14:schemeClr w14:val="tx1"/>
            </w14:solidFill>
          </w14:textFill>
        </w:rPr>
        <w:t>¥</w:t>
      </w:r>
      <w:r>
        <w:rPr>
          <w:rFonts w:hint="eastAsia" w:ascii="宋体" w:hAnsi="宋体" w:cs="Arial"/>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元）</w:t>
      </w:r>
      <w:r>
        <w:rPr>
          <w:rFonts w:hint="eastAsia" w:ascii="宋体" w:hAnsi="宋体" w:cs="宋体"/>
          <w:color w:val="000000" w:themeColor="text1"/>
          <w:sz w:val="24"/>
          <w:highlight w:val="none"/>
          <w14:textFill>
            <w14:solidFill>
              <w14:schemeClr w14:val="tx1"/>
            </w14:solidFill>
          </w14:textFill>
        </w:rPr>
        <w:t>的投标总报价（或根据招标文件规定修正核实后确定的另一金额，其中，增值税税率为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），按合同约定实施和完成承包工程，修补工程中的任何缺陷。</w:t>
      </w:r>
    </w:p>
    <w:p w14:paraId="31ABFFE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2.在合同协议书正式签署生效之前，本投标函连同你方的中标通知书将构成我们双方之间共同遵守的文件，对双方具有约束力。</w:t>
      </w:r>
    </w:p>
    <w:p w14:paraId="4062056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u w:val="single"/>
          <w14:textFill>
            <w14:solidFill>
              <w14:schemeClr w14:val="tx1"/>
            </w14:solidFill>
          </w14:textFill>
        </w:rPr>
        <w:t xml:space="preserve">                （其他补充说明）</w:t>
      </w:r>
      <w:r>
        <w:rPr>
          <w:rFonts w:hint="eastAsia" w:ascii="宋体" w:hAnsi="宋体" w:cs="宋体"/>
          <w:color w:val="000000" w:themeColor="text1"/>
          <w:sz w:val="24"/>
          <w:highlight w:val="none"/>
          <w14:textFill>
            <w14:solidFill>
              <w14:schemeClr w14:val="tx1"/>
            </w14:solidFill>
          </w14:textFill>
        </w:rPr>
        <w:t>。</w:t>
      </w:r>
    </w:p>
    <w:p w14:paraId="23B2F167">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7D6735E8">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3881A1D8">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0A1532E8">
      <w:pPr>
        <w:spacing w:line="360" w:lineRule="auto"/>
        <w:rPr>
          <w:rFonts w:ascii="宋体" w:hAnsi="宋体"/>
          <w:color w:val="000000" w:themeColor="text1"/>
          <w:szCs w:val="21"/>
          <w:highlight w:val="none"/>
          <w14:textFill>
            <w14:solidFill>
              <w14:schemeClr w14:val="tx1"/>
            </w14:solidFill>
          </w14:textFill>
        </w:rPr>
      </w:pPr>
    </w:p>
    <w:p w14:paraId="129028DC">
      <w:pPr>
        <w:tabs>
          <w:tab w:val="left" w:pos="2977"/>
          <w:tab w:val="left" w:pos="3261"/>
        </w:tabs>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投标人：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（盖单位章）</w:t>
      </w:r>
    </w:p>
    <w:p w14:paraId="310CE1B7">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法定代表人或其委托代理人：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（签字）</w:t>
      </w:r>
    </w:p>
    <w:p w14:paraId="5DB4FB5D">
      <w:pPr>
        <w:pStyle w:val="56"/>
        <w:spacing w:line="360" w:lineRule="auto"/>
        <w:ind w:firstLine="0"/>
        <w:rPr>
          <w:rFonts w:ascii="宋体" w:hAnsi="宋体"/>
          <w:color w:val="000000" w:themeColor="text1"/>
          <w:szCs w:val="21"/>
          <w:highlight w:val="none"/>
          <w14:textFill>
            <w14:solidFill>
              <w14:schemeClr w14:val="tx1"/>
            </w14:solidFill>
          </w14:textFill>
        </w:rPr>
      </w:pPr>
      <w:r>
        <w:rPr>
          <w:rFonts w:ascii="宋体" w:hAnsi="宋体" w:cs="Times New Roman"/>
          <w:color w:val="000000" w:themeColor="text1"/>
          <w:sz w:val="21"/>
          <w:szCs w:val="21"/>
          <w:highlight w:val="none"/>
          <w14:textFill>
            <w14:solidFill>
              <w14:schemeClr w14:val="tx1"/>
            </w14:solidFill>
          </w14:textFill>
        </w:rPr>
        <w:t>地址：</w:t>
      </w:r>
      <w:r>
        <w:rPr>
          <w:rFonts w:hint="eastAsia" w:ascii="宋体" w:hAnsi="宋体"/>
          <w:color w:val="000000" w:themeColor="text1"/>
          <w:sz w:val="24"/>
          <w:highlight w:val="none"/>
          <w:u w:val="single"/>
          <w14:textFill>
            <w14:solidFill>
              <w14:schemeClr w14:val="tx1"/>
            </w14:solidFill>
          </w14:textFill>
        </w:rPr>
        <w:t xml:space="preserve">      </w:t>
      </w:r>
    </w:p>
    <w:p w14:paraId="65007BB5">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网址：</w:t>
      </w:r>
      <w:r>
        <w:rPr>
          <w:rFonts w:hint="eastAsia" w:ascii="宋体" w:hAnsi="宋体"/>
          <w:color w:val="000000" w:themeColor="text1"/>
          <w:sz w:val="24"/>
          <w:highlight w:val="none"/>
          <w:u w:val="single"/>
          <w14:textFill>
            <w14:solidFill>
              <w14:schemeClr w14:val="tx1"/>
            </w14:solidFill>
          </w14:textFill>
        </w:rPr>
        <w:t xml:space="preserve">      </w:t>
      </w:r>
    </w:p>
    <w:p w14:paraId="3A8C340A">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电话：</w:t>
      </w:r>
      <w:r>
        <w:rPr>
          <w:rFonts w:hint="eastAsia" w:ascii="宋体" w:hAnsi="宋体"/>
          <w:color w:val="000000" w:themeColor="text1"/>
          <w:sz w:val="24"/>
          <w:highlight w:val="none"/>
          <w:u w:val="single"/>
          <w14:textFill>
            <w14:solidFill>
              <w14:schemeClr w14:val="tx1"/>
            </w14:solidFill>
          </w14:textFill>
        </w:rPr>
        <w:t xml:space="preserve">      </w:t>
      </w:r>
    </w:p>
    <w:p w14:paraId="1C60398E">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传真：</w:t>
      </w:r>
      <w:r>
        <w:rPr>
          <w:rFonts w:hint="eastAsia" w:ascii="宋体" w:hAnsi="宋体"/>
          <w:color w:val="000000" w:themeColor="text1"/>
          <w:sz w:val="24"/>
          <w:highlight w:val="none"/>
          <w:u w:val="single"/>
          <w14:textFill>
            <w14:solidFill>
              <w14:schemeClr w14:val="tx1"/>
            </w14:solidFill>
          </w14:textFill>
        </w:rPr>
        <w:t xml:space="preserve">      </w:t>
      </w:r>
    </w:p>
    <w:p w14:paraId="3FD53154">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邮政编码：</w:t>
      </w:r>
      <w:r>
        <w:rPr>
          <w:rFonts w:hint="eastAsia" w:ascii="宋体" w:hAnsi="宋体"/>
          <w:color w:val="000000" w:themeColor="text1"/>
          <w:sz w:val="24"/>
          <w:highlight w:val="none"/>
          <w:u w:val="single"/>
          <w14:textFill>
            <w14:solidFill>
              <w14:schemeClr w14:val="tx1"/>
            </w14:solidFill>
          </w14:textFill>
        </w:rPr>
        <w:t xml:space="preserve">      </w:t>
      </w:r>
    </w:p>
    <w:p w14:paraId="53B1FD80">
      <w:pPr>
        <w:spacing w:line="360" w:lineRule="auto"/>
        <w:rPr>
          <w:rFonts w:ascii="宋体" w:hAnsi="宋体"/>
          <w:color w:val="000000" w:themeColor="text1"/>
          <w:szCs w:val="21"/>
          <w:highlight w:val="none"/>
          <w14:textFill>
            <w14:solidFill>
              <w14:schemeClr w14:val="tx1"/>
            </w14:solidFill>
          </w14:textFill>
        </w:rPr>
      </w:pPr>
    </w:p>
    <w:p w14:paraId="30ADC650">
      <w:pPr>
        <w:ind w:firstLine="720" w:firstLineChars="300"/>
        <w:rPr>
          <w:rFonts w:ascii="宋体" w:hAnsi="宋体"/>
          <w:color w:val="000000" w:themeColor="text1"/>
          <w:szCs w:val="2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日</w:t>
      </w:r>
    </w:p>
    <w:p w14:paraId="1558A83E">
      <w:pPr>
        <w:rPr>
          <w:rFonts w:ascii="宋体" w:hAnsi="宋体"/>
          <w:color w:val="000000" w:themeColor="text1"/>
          <w:szCs w:val="21"/>
          <w:highlight w:val="none"/>
          <w14:textFill>
            <w14:solidFill>
              <w14:schemeClr w14:val="tx1"/>
            </w14:solidFill>
          </w14:textFill>
        </w:rPr>
      </w:pPr>
    </w:p>
    <w:p w14:paraId="152A1FA2">
      <w:pPr>
        <w:jc w:val="center"/>
        <w:rPr>
          <w:rFonts w:ascii="宋体" w:hAnsi="宋体"/>
          <w:b/>
          <w:color w:val="000000" w:themeColor="text1"/>
          <w:sz w:val="28"/>
          <w:szCs w:val="28"/>
          <w:highlight w:val="none"/>
          <w14:textFill>
            <w14:solidFill>
              <w14:schemeClr w14:val="tx1"/>
            </w14:solidFill>
          </w14:textFill>
        </w:rPr>
      </w:pPr>
      <w:bookmarkStart w:id="1772" w:name="_Toc275856200"/>
      <w:bookmarkEnd w:id="1772"/>
      <w:r>
        <w:rPr>
          <w:rFonts w:hint="eastAsia" w:ascii="宋体" w:hAnsi="宋体"/>
          <w:color w:val="000000" w:themeColor="text1"/>
          <w:szCs w:val="21"/>
          <w:highlight w:val="none"/>
          <w14:textFill>
            <w14:solidFill>
              <w14:schemeClr w14:val="tx1"/>
            </w14:solidFill>
          </w14:textFill>
        </w:rPr>
        <w:br w:type="page"/>
      </w:r>
      <w:r>
        <w:rPr>
          <w:rFonts w:hint="eastAsia" w:ascii="宋体" w:hAnsi="宋体"/>
          <w:b/>
          <w:color w:val="000000" w:themeColor="text1"/>
          <w:sz w:val="28"/>
          <w:szCs w:val="28"/>
          <w:highlight w:val="none"/>
          <w14:textFill>
            <w14:solidFill>
              <w14:schemeClr w14:val="tx1"/>
            </w14:solidFill>
          </w14:textFill>
        </w:rPr>
        <w:t>二</w:t>
      </w:r>
      <w:r>
        <w:rPr>
          <w:rFonts w:ascii="宋体" w:hAnsi="宋体"/>
          <w:b/>
          <w:color w:val="000000" w:themeColor="text1"/>
          <w:sz w:val="28"/>
          <w:szCs w:val="28"/>
          <w:highlight w:val="none"/>
          <w14:textFill>
            <w14:solidFill>
              <w14:schemeClr w14:val="tx1"/>
            </w14:solidFill>
          </w14:textFill>
        </w:rPr>
        <w:t>、已标价工程量清单</w:t>
      </w:r>
    </w:p>
    <w:p w14:paraId="6BE39049">
      <w:pPr>
        <w:spacing w:line="360" w:lineRule="auto"/>
        <w:rPr>
          <w:rFonts w:ascii="宋体" w:hAnsi="宋体" w:cs="宋体"/>
          <w:color w:val="000000" w:themeColor="text1"/>
          <w:sz w:val="24"/>
          <w:highlight w:val="none"/>
          <w14:textFill>
            <w14:solidFill>
              <w14:schemeClr w14:val="tx1"/>
            </w14:solidFill>
          </w14:textFill>
        </w:rPr>
      </w:pPr>
    </w:p>
    <w:p w14:paraId="0EA08243">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 工程量清单说明</w:t>
      </w:r>
    </w:p>
    <w:p w14:paraId="5901732B">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74514623">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1.2本工程量清单应与招标文件中的投标人须知、通用合同条款、专用合同条款、工程量清单计量规则、技术规范及图纸等一起阅读和理解。</w:t>
      </w:r>
    </w:p>
    <w:p w14:paraId="349BD56C">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1.3</w:t>
      </w:r>
      <w:r>
        <w:rPr>
          <w:rFonts w:ascii="宋体" w:hAnsi="宋体"/>
          <w:color w:val="000000" w:themeColor="text1"/>
          <w:sz w:val="24"/>
          <w:highlight w:val="none"/>
          <w14:textFill>
            <w14:solidFill>
              <w14:schemeClr w14:val="tx1"/>
            </w14:solidFill>
          </w14:textFill>
        </w:rPr>
        <w:t>本工程量清单中所列工程数量是估算的或设计的预计数量，仅作为投标报价的共同基础，不能作为最终结算与支付的依据。实际支付应按实际完成的工程量， 由承包人按工程量清单计量规则规定的计量方法，以监理人认可的尺寸、断面计量，按本工程量清单的单价和总额价计算支付金额；或根据具体情况，按合同条款第 15.4 款的规定，按监理人确定的单价或总额价计算支付额。</w:t>
      </w:r>
    </w:p>
    <w:p w14:paraId="69FA380D">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1.4</w:t>
      </w:r>
      <w:r>
        <w:rPr>
          <w:rFonts w:ascii="宋体" w:hAnsi="宋体"/>
          <w:color w:val="000000" w:themeColor="text1"/>
          <w:sz w:val="24"/>
          <w:highlight w:val="none"/>
          <w14:textFill>
            <w14:solidFill>
              <w14:schemeClr w14:val="tx1"/>
            </w14:solidFill>
          </w14:textFill>
        </w:rPr>
        <w:t>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14:paraId="6D08E96C">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1.5</w:t>
      </w:r>
      <w:r>
        <w:rPr>
          <w:rFonts w:ascii="宋体" w:hAnsi="宋体"/>
          <w:color w:val="000000" w:themeColor="text1"/>
          <w:sz w:val="24"/>
          <w:highlight w:val="none"/>
          <w14:textFill>
            <w14:solidFill>
              <w14:schemeClr w14:val="tx1"/>
            </w14:solidFill>
          </w14:textFill>
        </w:rPr>
        <w:t>对作业和材料的一般说明或规定，未重复写入工程量清单内，在给工程量清单各子目标价前，应参阅第七章“技术规范”的有关内容。</w:t>
      </w:r>
    </w:p>
    <w:p w14:paraId="789510B8">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1.6</w:t>
      </w:r>
      <w:r>
        <w:rPr>
          <w:rFonts w:ascii="宋体" w:hAnsi="宋体"/>
          <w:color w:val="000000" w:themeColor="text1"/>
          <w:sz w:val="24"/>
          <w:highlight w:val="none"/>
          <w14:textFill>
            <w14:solidFill>
              <w14:schemeClr w14:val="tx1"/>
            </w14:solidFill>
          </w14:textFill>
        </w:rPr>
        <w:t>工程量清单中所列工程量的变动，丝毫不会降低或影响合同条款的效力，也不免除承包人按规定的标准进行施工和修复缺陷的责任。</w:t>
      </w:r>
    </w:p>
    <w:p w14:paraId="04866E07">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1.7</w:t>
      </w:r>
      <w:r>
        <w:rPr>
          <w:rFonts w:ascii="宋体" w:hAnsi="宋体"/>
          <w:color w:val="000000" w:themeColor="text1"/>
          <w:sz w:val="24"/>
          <w:highlight w:val="none"/>
          <w14:textFill>
            <w14:solidFill>
              <w14:schemeClr w14:val="tx1"/>
            </w14:solidFill>
          </w14:textFill>
        </w:rPr>
        <w:t>图纸中所列的工程数量表及数量汇总表仅是提供资料，不是工程量清单的外延。当图纸与工程量清单所列数量不一致时，以工程量清单所列数量作为报价的依据。</w:t>
      </w:r>
    </w:p>
    <w:p w14:paraId="4BD94ED9">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w:t>
      </w:r>
      <w:r>
        <w:rPr>
          <w:rFonts w:ascii="宋体" w:hAnsi="宋体"/>
          <w:color w:val="000000" w:themeColor="text1"/>
          <w:sz w:val="24"/>
          <w:highlight w:val="none"/>
          <w14:textFill>
            <w14:solidFill>
              <w14:schemeClr w14:val="tx1"/>
            </w14:solidFill>
          </w14:textFill>
        </w:rPr>
        <w:t xml:space="preserve"> 投标报价说明</w:t>
      </w:r>
    </w:p>
    <w:p w14:paraId="534E02BB">
      <w:pPr>
        <w:spacing w:line="348"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2.1</w:t>
      </w:r>
      <w:r>
        <w:rPr>
          <w:rFonts w:ascii="宋体" w:hAnsi="宋体"/>
          <w:color w:val="000000" w:themeColor="text1"/>
          <w:sz w:val="24"/>
          <w:highlight w:val="none"/>
          <w14:textFill>
            <w14:solidFill>
              <w14:schemeClr w14:val="tx1"/>
            </w14:solidFill>
          </w14:textFill>
        </w:rPr>
        <w:t>工程量清单中的每一子目须填入单价或价格，且只允许有一个报价。</w:t>
      </w:r>
    </w:p>
    <w:p w14:paraId="169A937A">
      <w:pPr>
        <w:spacing w:line="348"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2.2</w:t>
      </w:r>
      <w:r>
        <w:rPr>
          <w:rFonts w:ascii="宋体" w:hAnsi="宋体"/>
          <w:color w:val="000000" w:themeColor="text1"/>
          <w:sz w:val="24"/>
          <w:highlight w:val="none"/>
          <w14:textFill>
            <w14:solidFill>
              <w14:schemeClr w14:val="tx1"/>
            </w14:solidFill>
          </w14:textFill>
        </w:rPr>
        <w:t>除非合同另有规定，工程量清单中有标价的单价和总额价均已包括了为实施和完成合同工程所需的劳务、材料、机械、质检(自检)、安装、缺陷修复、管理、保险（建筑工程一切险及第三者责任险除外）、税费、利润等费用，以及合同明示或暗示的所有责任、义务和一般风险。</w:t>
      </w:r>
    </w:p>
    <w:p w14:paraId="2E723986">
      <w:pPr>
        <w:spacing w:line="348"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2.3</w:t>
      </w:r>
      <w:r>
        <w:rPr>
          <w:rFonts w:ascii="宋体" w:hAnsi="宋体"/>
          <w:color w:val="000000" w:themeColor="text1"/>
          <w:sz w:val="24"/>
          <w:highlight w:val="none"/>
          <w14:textFill>
            <w14:solidFill>
              <w14:schemeClr w14:val="tx1"/>
            </w14:solidFill>
          </w14:textFill>
        </w:rPr>
        <w:t>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7F1E1FEE">
      <w:pPr>
        <w:spacing w:line="348"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2.4</w:t>
      </w:r>
      <w:r>
        <w:rPr>
          <w:rFonts w:ascii="宋体" w:hAnsi="宋体"/>
          <w:color w:val="000000" w:themeColor="text1"/>
          <w:sz w:val="24"/>
          <w:highlight w:val="none"/>
          <w14:textFill>
            <w14:solidFill>
              <w14:schemeClr w14:val="tx1"/>
            </w14:solidFill>
          </w14:textFill>
        </w:rPr>
        <w:t>符合合同条款规定的全部费用应认为已被计入有标价的工程量清单所列各子目之中，未列子目不予计量的工作，其费用应视为已分摊在本合同工程的有关子目的单价或总额价之中。</w:t>
      </w:r>
    </w:p>
    <w:p w14:paraId="27122768">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2.5</w:t>
      </w:r>
      <w:r>
        <w:rPr>
          <w:rFonts w:ascii="宋体" w:hAnsi="宋体"/>
          <w:color w:val="000000" w:themeColor="text1"/>
          <w:sz w:val="24"/>
          <w:highlight w:val="none"/>
          <w14:textFill>
            <w14:solidFill>
              <w14:schemeClr w14:val="tx1"/>
            </w14:solidFill>
          </w14:textFill>
        </w:rPr>
        <w:t>承包人用于本合同工程的各类装备的提供、运输、维护、拆卸、拼装等支付的费用，已包括在工程量清单的单价与总额价之中。</w:t>
      </w:r>
    </w:p>
    <w:p w14:paraId="297D5EDC">
      <w:pPr>
        <w:spacing w:line="348"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2.6</w:t>
      </w:r>
      <w:r>
        <w:rPr>
          <w:rFonts w:ascii="宋体" w:hAnsi="宋体"/>
          <w:color w:val="000000" w:themeColor="text1"/>
          <w:sz w:val="24"/>
          <w:highlight w:val="none"/>
          <w14:textFill>
            <w14:solidFill>
              <w14:schemeClr w14:val="tx1"/>
            </w14:solidFill>
          </w14:textFill>
        </w:rPr>
        <w:t>工程量清单中各项金额均以人民币(元)结算。</w:t>
      </w:r>
    </w:p>
    <w:p w14:paraId="79E07141">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 xml:space="preserve"> 计日工说明</w:t>
      </w:r>
    </w:p>
    <w:p w14:paraId="52CB42CF">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本款不适用。</w:t>
      </w:r>
    </w:p>
    <w:p w14:paraId="0B8A64AF">
      <w:pPr>
        <w:spacing w:line="348"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r>
        <w:rPr>
          <w:rFonts w:ascii="宋体" w:hAnsi="宋体" w:cs="宋体"/>
          <w:color w:val="000000" w:themeColor="text1"/>
          <w:sz w:val="24"/>
          <w:highlight w:val="none"/>
          <w14:textFill>
            <w14:solidFill>
              <w14:schemeClr w14:val="tx1"/>
            </w14:solidFill>
          </w14:textFill>
        </w:rPr>
        <w:t xml:space="preserve"> 其他说明</w:t>
      </w:r>
    </w:p>
    <w:p w14:paraId="23A31098">
      <w:pPr>
        <w:spacing w:line="348" w:lineRule="auto"/>
        <w:ind w:firstLine="460" w:firstLineChars="200"/>
        <w:rPr>
          <w:rFonts w:ascii="宋体" w:hAnsi="宋体"/>
          <w:color w:val="000000" w:themeColor="text1"/>
          <w:spacing w:val="-5"/>
          <w:sz w:val="24"/>
          <w:highlight w:val="none"/>
          <w14:textFill>
            <w14:solidFill>
              <w14:schemeClr w14:val="tx1"/>
            </w14:solidFill>
          </w14:textFill>
        </w:rPr>
      </w:pPr>
      <w:r>
        <w:rPr>
          <w:rFonts w:hint="eastAsia" w:ascii="宋体" w:hAnsi="宋体"/>
          <w:color w:val="000000" w:themeColor="text1"/>
          <w:spacing w:val="-5"/>
          <w:sz w:val="24"/>
          <w:highlight w:val="none"/>
          <w14:textFill>
            <w14:solidFill>
              <w14:schemeClr w14:val="tx1"/>
            </w14:solidFill>
          </w14:textFill>
        </w:rPr>
        <w:t>工程量清单中各个细目的报价与计量支付原则，详见招标文件第七章技术规范的工程量清单计量与支付规则。</w:t>
      </w:r>
    </w:p>
    <w:p w14:paraId="1770A8FB">
      <w:pPr>
        <w:spacing w:line="348"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 xml:space="preserve"> 工程量清单</w:t>
      </w:r>
    </w:p>
    <w:p w14:paraId="35436F0E">
      <w:pPr>
        <w:spacing w:line="348"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5.1</w:t>
      </w:r>
      <w:r>
        <w:rPr>
          <w:rFonts w:ascii="宋体" w:hAnsi="宋体"/>
          <w:color w:val="000000" w:themeColor="text1"/>
          <w:sz w:val="24"/>
          <w:highlight w:val="none"/>
          <w14:textFill>
            <w14:solidFill>
              <w14:schemeClr w14:val="tx1"/>
            </w14:solidFill>
          </w14:textFill>
        </w:rPr>
        <w:t>工程量清单表</w:t>
      </w:r>
    </w:p>
    <w:p w14:paraId="2DA67C5F">
      <w:pPr>
        <w:spacing w:line="348" w:lineRule="auto"/>
        <w:ind w:firstLine="460" w:firstLineChars="200"/>
        <w:rPr>
          <w:rFonts w:ascii="宋体" w:hAnsi="宋体"/>
          <w:color w:val="000000" w:themeColor="text1"/>
          <w:spacing w:val="-5"/>
          <w:sz w:val="24"/>
          <w:highlight w:val="none"/>
          <w14:textFill>
            <w14:solidFill>
              <w14:schemeClr w14:val="tx1"/>
            </w14:solidFill>
          </w14:textFill>
        </w:rPr>
      </w:pPr>
      <w:r>
        <w:rPr>
          <w:rFonts w:hint="eastAsia" w:ascii="宋体" w:hAnsi="宋体"/>
          <w:color w:val="000000" w:themeColor="text1"/>
          <w:spacing w:val="-5"/>
          <w:sz w:val="24"/>
          <w:highlight w:val="none"/>
          <w14:textFill>
            <w14:solidFill>
              <w14:schemeClr w14:val="tx1"/>
            </w14:solidFill>
          </w14:textFill>
        </w:rPr>
        <w:t>工程量清单具体应执行《广东省公路工程造价标准化管理指南》（粤交基〔2022〕483 号）及现行的《广东省执行交通运输部&lt;公路工程标准施工招标文件范本&gt;的补充规定》、《广东省公路工程施工招标清单预算管理规程》。如以上文件有修订，本范本则依照最新修订版本执行。</w:t>
      </w:r>
    </w:p>
    <w:p w14:paraId="7E0C13AA">
      <w:pPr>
        <w:spacing w:line="348" w:lineRule="auto"/>
        <w:rPr>
          <w:rFonts w:ascii="宋体" w:hAnsi="宋体"/>
          <w:color w:val="000000" w:themeColor="text1"/>
          <w:spacing w:val="-5"/>
          <w:sz w:val="24"/>
          <w:highlight w:val="none"/>
          <w14:textFill>
            <w14:solidFill>
              <w14:schemeClr w14:val="tx1"/>
            </w14:solidFill>
          </w14:textFill>
        </w:rPr>
      </w:pPr>
    </w:p>
    <w:p w14:paraId="0664E641">
      <w:pPr>
        <w:spacing w:line="348"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备注：</w:t>
      </w:r>
      <w:r>
        <w:rPr>
          <w:rFonts w:hint="eastAsia" w:ascii="宋体" w:hAnsi="宋体" w:cs="宋体"/>
          <w:color w:val="000000" w:themeColor="text1"/>
          <w:sz w:val="24"/>
          <w:highlight w:val="none"/>
          <w14:textFill>
            <w14:solidFill>
              <w14:schemeClr w14:val="tx1"/>
            </w14:solidFill>
          </w14:textFill>
        </w:rPr>
        <w:t>投标人应按照第五章“工程量清单”的要求逐项填报工程量清单。工程量清单不需要附项目清单、分项清单及单价分析表，但投标人中标后，发包人可要求中标人提交项目清单、分项清单及单价分析表，中标人不得拒绝。</w:t>
      </w:r>
    </w:p>
    <w:p w14:paraId="0F0250F0">
      <w:pPr>
        <w:pStyle w:val="53"/>
        <w:rPr>
          <w:rFonts w:ascii="宋体" w:hAnsi="宋体" w:cs="宋体"/>
          <w:color w:val="000000" w:themeColor="text1"/>
          <w:sz w:val="24"/>
          <w:highlight w:val="none"/>
          <w14:textFill>
            <w14:solidFill>
              <w14:schemeClr w14:val="tx1"/>
            </w14:solidFill>
          </w14:textFill>
        </w:rPr>
      </w:pPr>
    </w:p>
    <w:p w14:paraId="5B225667">
      <w:pPr>
        <w:pStyle w:val="53"/>
        <w:rPr>
          <w:rFonts w:ascii="宋体" w:hAnsi="宋体" w:cs="宋体"/>
          <w:color w:val="000000" w:themeColor="text1"/>
          <w:sz w:val="24"/>
          <w:highlight w:val="none"/>
          <w14:textFill>
            <w14:solidFill>
              <w14:schemeClr w14:val="tx1"/>
            </w14:solidFill>
          </w14:textFill>
        </w:rPr>
      </w:pPr>
    </w:p>
    <w:sectPr>
      <w:footerReference r:id="rId19" w:type="first"/>
      <w:footerReference r:id="rId18" w:type="default"/>
      <w:footnotePr>
        <w:numFmt w:val="decimalEnclosedCircleChinese"/>
      </w:footnotePr>
      <w:pgSz w:w="11906" w:h="16838"/>
      <w:pgMar w:top="1038" w:right="924" w:bottom="936" w:left="1418" w:header="624" w:footer="59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8602D">
    <w:pPr>
      <w:pStyle w:val="2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7F4FC58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wrap="none" lIns="0" tIns="0" rIns="0" bIns="0" upright="1">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n3a/TAAAABQEAAA8AAAAAAAAAAQAgAAAAIgAAAGRy&#10;cy9kb3ducmV2LnhtbFBLAQIUABQAAAAIAIdO4kBEj5BM0QEAAKUDAAAOAAAAAAAAAAEAIAAAACIB&#10;AABkcnMvZTJvRG9jLnhtbFBLBQYAAAAABgAGAFkBAABlBQAAAAA=&#10;">
              <v:fill on="f" focussize="0,0"/>
              <v:stroke on="f" weight="1pt"/>
              <v:imagedata o:title=""/>
              <o:lock v:ext="edit" aspectratio="f"/>
              <v:textbox inset="0mm,0mm,0mm,0mm" style="mso-fit-shape-to-text:t;">
                <w:txbxContent>
                  <w:p w14:paraId="7F4FC58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55719C9">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Hpe0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OHpe0zAgAAZQQAAA4AAAAAAAAAAQAgAAAAHwEAAGRycy9lMm9Eb2MueG1sUEsF&#10;BgAAAAAGAAYAWQEAAMQFAAAAAA==&#10;">
              <v:fill on="f" focussize="0,0"/>
              <v:stroke on="f" weight="0.5pt"/>
              <v:imagedata o:title=""/>
              <o:lock v:ext="edit" aspectratio="f"/>
              <v:textbox inset="0mm,0mm,0mm,0mm" style="mso-fit-shape-to-text:t;">
                <w:txbxContent>
                  <w:p w14:paraId="255719C9">
                    <w:pPr>
                      <w:snapToGrid w:val="0"/>
                      <w:rPr>
                        <w:sz w:val="18"/>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a:effectLst/>
                    </wps:spPr>
                    <wps:txbx>
                      <w:txbxContent>
                        <w:p w14:paraId="05552CF5">
                          <w:pPr>
                            <w:snapToGrid w:val="0"/>
                            <w:rPr>
                              <w:sz w:val="18"/>
                            </w:rPr>
                          </w:pPr>
                        </w:p>
                      </w:txbxContent>
                    </wps:txbx>
                    <wps:bodyPr rot="0" vert="horz" wrap="none" lIns="0" tIns="0" rIns="0" bIns="0" anchor="t" anchorCtr="0">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A&#10;DMeA1AAAAAMBAAAPAAAAAAAAAAEAIAAAACIAAABkcnMvZG93bnJldi54bWxQSwECFAAUAAAACACH&#10;TuJAk3abV+8BAADRAwAADgAAAAAAAAABACAAAAAjAQAAZHJzL2Uyb0RvYy54bWxQSwUGAAAAAAYA&#10;BgBZAQAAhAUAAAAA&#10;">
              <v:fill on="f" focussize="0,0"/>
              <v:stroke on="f" weight="1.25pt"/>
              <v:imagedata o:title=""/>
              <o:lock v:ext="edit" aspectratio="f"/>
              <v:textbox inset="0mm,0mm,0mm,0mm" style="mso-fit-shape-to-text:t;">
                <w:txbxContent>
                  <w:p w14:paraId="05552CF5">
                    <w:pPr>
                      <w:snapToGrid w:val="0"/>
                      <w:rPr>
                        <w:sz w:val="1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0E6DD">
    <w:pPr>
      <w:pStyle w:val="28"/>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0C5A">
    <w:pPr>
      <w:spacing w:line="196" w:lineRule="auto"/>
      <w:ind w:left="4382"/>
      <w:rPr>
        <w:rFonts w:eastAsia="Times New Roman"/>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78223B">
                          <w:pPr>
                            <w:pStyle w:val="28"/>
                          </w:pPr>
                          <w:r>
                            <w:fldChar w:fldCharType="begin"/>
                          </w:r>
                          <w:r>
                            <w:instrText xml:space="preserve"> PAGE  \* MERGEFORMAT </w:instrText>
                          </w:r>
                          <w:r>
                            <w:fldChar w:fldCharType="separate"/>
                          </w:r>
                          <w:r>
                            <w:t>269</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Kt18kBAACa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m+&#10;zv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q3XyQEAAJoDAAAOAAAAAAAAAAEAIAAAAB4BAABkcnMvZTJvRG9j&#10;LnhtbFBLBQYAAAAABgAGAFkBAABZBQAAAAA=&#10;">
              <v:fill on="f" focussize="0,0"/>
              <v:stroke on="f"/>
              <v:imagedata o:title=""/>
              <o:lock v:ext="edit" aspectratio="f"/>
              <v:textbox inset="0mm,0mm,0mm,0mm" style="mso-fit-shape-to-text:t;">
                <w:txbxContent>
                  <w:p w14:paraId="7678223B">
                    <w:pPr>
                      <w:pStyle w:val="28"/>
                    </w:pPr>
                    <w:r>
                      <w:fldChar w:fldCharType="begin"/>
                    </w:r>
                    <w:r>
                      <w:instrText xml:space="preserve"> PAGE  \* MERGEFORMAT </w:instrText>
                    </w:r>
                    <w:r>
                      <w:fldChar w:fldCharType="separate"/>
                    </w:r>
                    <w:r>
                      <w:t>269</w:t>
                    </w:r>
                    <w:r>
                      <w:fldChar w:fldCharType="end"/>
                    </w:r>
                  </w:p>
                </w:txbxContent>
              </v:textbox>
            </v:shape>
          </w:pict>
        </mc:Fallback>
      </mc:AlternateContent>
    </w:r>
    <w:r>
      <w:rPr>
        <w:rFonts w:eastAsia="Times New Roman"/>
        <w:spacing w:val="5"/>
        <w:sz w:val="17"/>
        <w:szCs w:val="17"/>
      </w:rPr>
      <w:t>2</w:t>
    </w:r>
    <w:r>
      <w:rPr>
        <w:rFonts w:eastAsia="Times New Roman"/>
        <w:spacing w:val="3"/>
        <w:sz w:val="17"/>
        <w:szCs w:val="17"/>
      </w:rPr>
      <w:t>42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118B3">
    <w:pPr>
      <w:pStyle w:val="28"/>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532BA86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274</w:t>
                          </w:r>
                          <w:r>
                            <w:rPr>
                              <w:rFonts w:hint="eastAsia"/>
                              <w:sz w:val="18"/>
                            </w:rPr>
                            <w:fldChar w:fldCharType="end"/>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ifdr9MAAAAFAQAADwAAAAAAAAABACAAAAAiAAAAZHJz&#10;L2Rvd25yZXYueG1sUEsBAhQAFAAAAAgAh07iQOedMwvQAQAApQMAAA4AAAAAAAAAAQAgAAAAIgEA&#10;AGRycy9lMm9Eb2MueG1sUEsFBgAAAAAGAAYAWQEAAGQFAAAAAA==&#10;">
              <v:fill on="f" focussize="0,0"/>
              <v:stroke on="f" weight="1pt"/>
              <v:imagedata o:title=""/>
              <o:lock v:ext="edit" aspectratio="f"/>
              <v:textbox inset="0mm,0mm,0mm,0mm" style="mso-fit-shape-to-text:t;">
                <w:txbxContent>
                  <w:p w14:paraId="532BA86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274</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42C00">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-47625</wp:posOffset>
              </wp:positionV>
              <wp:extent cx="1115060" cy="157480"/>
              <wp:effectExtent l="0" t="0" r="0" b="0"/>
              <wp:wrapNone/>
              <wp:docPr id="13" name="文本框 14"/>
              <wp:cNvGraphicFramePr/>
              <a:graphic xmlns:a="http://schemas.openxmlformats.org/drawingml/2006/main">
                <a:graphicData uri="http://schemas.microsoft.com/office/word/2010/wordprocessingShape">
                  <wps:wsp>
                    <wps:cNvSpPr txBox="1"/>
                    <wps:spPr>
                      <a:xfrm>
                        <a:off x="0" y="0"/>
                        <a:ext cx="1115060" cy="157480"/>
                      </a:xfrm>
                      <a:prstGeom prst="rect">
                        <a:avLst/>
                      </a:prstGeom>
                      <a:noFill/>
                      <a:ln w="15875">
                        <a:noFill/>
                      </a:ln>
                      <a:effectLst/>
                    </wps:spPr>
                    <wps:txbx>
                      <w:txbxContent>
                        <w:p w14:paraId="5053134E">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t>132</w:t>
                          </w:r>
                          <w:r>
                            <w:rPr>
                              <w:rFonts w:hint="eastAsia"/>
                              <w:sz w:val="18"/>
                            </w:rPr>
                            <w:fldChar w:fldCharType="end"/>
                          </w:r>
                          <w:r>
                            <w:rPr>
                              <w:rFonts w:hint="eastAsia"/>
                              <w:sz w:val="18"/>
                            </w:rPr>
                            <w:t>页共</w:t>
                          </w:r>
                          <w:r>
                            <w:fldChar w:fldCharType="begin"/>
                          </w:r>
                          <w:r>
                            <w:instrText xml:space="preserve"> NUMPAGES  \* MERGEFORMAT </w:instrText>
                          </w:r>
                          <w:r>
                            <w:fldChar w:fldCharType="separate"/>
                          </w:r>
                          <w:r>
                            <w:rPr>
                              <w:sz w:val="18"/>
                            </w:rPr>
                            <w:t>263</w:t>
                          </w:r>
                          <w:r>
                            <w:rPr>
                              <w:sz w:val="18"/>
                            </w:rPr>
                            <w:fldChar w:fldCharType="end"/>
                          </w:r>
                          <w:r>
                            <w:rPr>
                              <w:rFonts w:hint="eastAsia"/>
                              <w:sz w:val="18"/>
                            </w:rPr>
                            <w:t>页</w:t>
                          </w:r>
                        </w:p>
                      </w:txbxContent>
                    </wps:txbx>
                    <wps:bodyPr rot="0" vert="horz" wrap="none" lIns="0" tIns="0" rIns="0" bIns="0" anchor="t" anchorCtr="0">
                      <a:spAutoFit/>
                    </wps:bodyPr>
                  </wps:wsp>
                </a:graphicData>
              </a:graphic>
            </wp:anchor>
          </w:drawing>
        </mc:Choice>
        <mc:Fallback>
          <w:pict>
            <v:shape id="文本框 14" o:spid="_x0000_s1026" o:spt="202" type="#_x0000_t202" style="position:absolute;left:0pt;margin-top:-3.75pt;height:12.4pt;width:87.8pt;mso-position-horizontal:center;mso-position-horizontal-relative:margin;mso-wrap-style:none;z-index:251661312;mso-width-relative:page;mso-height-relative:page;" filled="f" stroked="f" coordsize="21600,21600" o:gfxdata="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2JpyzWAAAABgEAAA8AAAAAAAAAAQAgAAAAIgAAAGRycy9kb3ducmV2LnhtbFBLAQIUABQAAAAI&#10;AIdO4kCLgJXs7wEAANMDAAAOAAAAAAAAAAEAIAAAACUBAABkcnMvZTJvRG9jLnhtbFBLBQYAAAAA&#10;BgAGAFkBAACGBQAAAAA=&#10;">
              <v:fill on="f" focussize="0,0"/>
              <v:stroke on="f" weight="1.25pt"/>
              <v:imagedata o:title=""/>
              <o:lock v:ext="edit" aspectratio="f"/>
              <v:textbox inset="0mm,0mm,0mm,0mm" style="mso-fit-shape-to-text:t;">
                <w:txbxContent>
                  <w:p w14:paraId="5053134E">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t>132</w:t>
                    </w:r>
                    <w:r>
                      <w:rPr>
                        <w:rFonts w:hint="eastAsia"/>
                        <w:sz w:val="18"/>
                      </w:rPr>
                      <w:fldChar w:fldCharType="end"/>
                    </w:r>
                    <w:r>
                      <w:rPr>
                        <w:rFonts w:hint="eastAsia"/>
                        <w:sz w:val="18"/>
                      </w:rPr>
                      <w:t>页共</w:t>
                    </w:r>
                    <w:r>
                      <w:fldChar w:fldCharType="begin"/>
                    </w:r>
                    <w:r>
                      <w:instrText xml:space="preserve"> NUMPAGES  \* MERGEFORMAT </w:instrText>
                    </w:r>
                    <w:r>
                      <w:fldChar w:fldCharType="separate"/>
                    </w:r>
                    <w:r>
                      <w:rPr>
                        <w:sz w:val="18"/>
                      </w:rPr>
                      <w:t>263</w:t>
                    </w:r>
                    <w:r>
                      <w:rPr>
                        <w:sz w:val="18"/>
                      </w:rPr>
                      <w:fldChar w:fldCharType="end"/>
                    </w:r>
                    <w:r>
                      <w:rPr>
                        <w:rFonts w:hint="eastAsia"/>
                        <w:sz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7358F">
    <w:pPr>
      <w:pStyle w:val="2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2C32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H/8c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8f/xzICAABlBAAADgAAAAAAAAABACAAAAAfAQAAZHJzL2Uyb0RvYy54bWxQSwUG&#10;AAAAAAYABgBZAQAAwwUAAAAA&#10;">
              <v:fill on="f" focussize="0,0"/>
              <v:stroke on="f" weight="0.5pt"/>
              <v:imagedata o:title=""/>
              <o:lock v:ext="edit" aspectratio="f"/>
              <v:textbox inset="0mm,0mm,0mm,0mm" style="mso-fit-shape-to-text:t;">
                <w:txbxContent>
                  <w:p w14:paraId="022C32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8296B">
    <w:pPr>
      <w:pStyle w:val="28"/>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5771591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wrap="none" lIns="0" tIns="0" rIns="0" bIns="0" upright="1">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n3a/TAAAABQEAAA8AAAAAAAAAAQAgAAAAIgAAAGRy&#10;cy9kb3ducmV2LnhtbFBLAQIUABQAAAAIAIdO4kDt0oyA0QEAAKUDAAAOAAAAAAAAAAEAIAAAACIB&#10;AABkcnMvZTJvRG9jLnhtbFBLBQYAAAAABgAGAFkBAABlBQAAAAA=&#10;">
              <v:fill on="f" focussize="0,0"/>
              <v:stroke on="f" weight="1pt"/>
              <v:imagedata o:title=""/>
              <o:lock v:ext="edit" aspectratio="f"/>
              <v:textbox inset="0mm,0mm,0mm,0mm" style="mso-fit-shape-to-text:t;">
                <w:txbxContent>
                  <w:p w14:paraId="5771591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-11430</wp:posOffset>
              </wp:positionV>
              <wp:extent cx="1143000" cy="29718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143000" cy="297180"/>
                      </a:xfrm>
                      <a:prstGeom prst="rect">
                        <a:avLst/>
                      </a:prstGeom>
                      <a:noFill/>
                      <a:ln w="15875">
                        <a:noFill/>
                      </a:ln>
                      <a:effectLst/>
                    </wps:spPr>
                    <wps:txbx>
                      <w:txbxContent>
                        <w:p w14:paraId="04215DD5">
                          <w:pPr>
                            <w:pStyle w:val="28"/>
                          </w:pPr>
                        </w:p>
                      </w:txbxContent>
                    </wps:txbx>
                    <wps:bodyPr rot="0" vert="horz" wrap="square" lIns="0" tIns="0" rIns="0" bIns="0" anchor="t" anchorCtr="0"/>
                  </wps:wsp>
                </a:graphicData>
              </a:graphic>
            </wp:anchor>
          </w:drawing>
        </mc:Choice>
        <mc:Fallback>
          <w:pict>
            <v:shape id="文本框 17" o:spid="_x0000_s1026" o:spt="202" type="#_x0000_t202" style="position:absolute;left:0pt;margin-top:-0.9pt;height:23.4pt;width:90pt;mso-position-horizontal:center;mso-position-horizontal-relative:margin;z-index:251662336;mso-width-relative:page;mso-height-relative:page;" filled="f" stroked="f" coordsize="21600,21600" o:gfxdata="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wjZsbVAAAABgEA&#10;AA8AAAAAAAAAAQAgAAAAIgAAAGRycy9kb3ducmV2LnhtbFBLAQIUABQAAAAIAIdO4kBJFhII5AEA&#10;ALoDAAAOAAAAAAAAAAEAIAAAACQBAABkcnMvZTJvRG9jLnhtbFBLBQYAAAAABgAGAFkBAAB6BQAA&#10;AAA=&#10;">
              <v:fill on="f" focussize="0,0"/>
              <v:stroke on="f" weight="1.25pt"/>
              <v:imagedata o:title=""/>
              <o:lock v:ext="edit" aspectratio="f"/>
              <v:textbox inset="0mm,0mm,0mm,0mm">
                <w:txbxContent>
                  <w:p w14:paraId="04215DD5">
                    <w:pPr>
                      <w:pStyle w:val="2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E5498">
    <w:pPr>
      <w:pStyle w:val="2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E26A0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137</w:t>
                          </w:r>
                          <w:r>
                            <w:rPr>
                              <w:rFonts w:hint="eastAsia"/>
                              <w:sz w:val="18"/>
                            </w:rP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F3MqidIBAACkAwAADgAAAAAAAAABACAAAAAfAQAA&#10;ZHJzL2Uyb0RvYy54bWxQSwUGAAAAAAYABgBZAQAAYwUAAAAA&#10;">
              <v:fill on="f" focussize="0,0"/>
              <v:stroke on="f" weight="0.5pt"/>
              <v:imagedata o:title=""/>
              <o:lock v:ext="edit" aspectratio="f"/>
              <v:textbox inset="0mm,0mm,0mm,0mm" style="mso-fit-shape-to-text:t;">
                <w:txbxContent>
                  <w:p w14:paraId="3E26A0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137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776BF">
    <w:pPr>
      <w:pStyle w:val="28"/>
      <w:ind w:firstLine="4590" w:firstLineChars="2550"/>
      <w:rPr>
        <w:color w:val="FFFFFF"/>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E274403">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r>
                            <w:rPr>
                              <w:rFonts w:hint="eastAsia"/>
                              <w:sz w:val="18"/>
                            </w:rPr>
                            <w:t>页共</w:t>
                          </w:r>
                          <w:r>
                            <w:fldChar w:fldCharType="begin"/>
                          </w:r>
                          <w:r>
                            <w:instrText xml:space="preserve"> NUMPAGES  \* MERGEFORMAT </w:instrText>
                          </w:r>
                          <w:r>
                            <w:fldChar w:fldCharType="separate"/>
                          </w:r>
                          <w:r>
                            <w:rPr>
                              <w:sz w:val="18"/>
                            </w:rPr>
                            <w:t>263</w:t>
                          </w:r>
                          <w:r>
                            <w:rPr>
                              <w:sz w:val="18"/>
                            </w:rPr>
                            <w:fldChar w:fldCharType="end"/>
                          </w:r>
                          <w:r>
                            <w:rPr>
                              <w:rFonts w:hint="eastAsia"/>
                              <w:sz w:val="18"/>
                            </w:rPr>
                            <w:t>页</w:t>
                          </w:r>
                        </w:p>
                      </w:txbxContent>
                    </wps:txbx>
                    <wps:bodyPr rot="0"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aYJL0wAA&#10;AAUBAAAPAAAAAAAAAAEAIAAAACIAAABkcnMvZG93bnJldi54bWxQSwECFAAUAAAACACHTuJAI4/A&#10;FeoBAADSAwAADgAAAAAAAAABACAAAAAiAQAAZHJzL2Uyb0RvYy54bWxQSwUGAAAAAAYABgBZAQAA&#10;fgUAAAAA&#10;">
              <v:fill on="f" focussize="0,0"/>
              <v:stroke on="f" weight="1.25pt"/>
              <v:imagedata o:title=""/>
              <o:lock v:ext="edit" aspectratio="f"/>
              <v:textbox inset="0mm,0mm,0mm,0mm" style="mso-fit-shape-to-text:t;">
                <w:txbxContent>
                  <w:p w14:paraId="6E274403">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r>
                      <w:rPr>
                        <w:rFonts w:hint="eastAsia"/>
                        <w:sz w:val="18"/>
                      </w:rPr>
                      <w:t>页共</w:t>
                    </w:r>
                    <w:r>
                      <w:fldChar w:fldCharType="begin"/>
                    </w:r>
                    <w:r>
                      <w:instrText xml:space="preserve"> NUMPAGES  \* MERGEFORMAT </w:instrText>
                    </w:r>
                    <w:r>
                      <w:fldChar w:fldCharType="separate"/>
                    </w:r>
                    <w:r>
                      <w:rPr>
                        <w:sz w:val="18"/>
                      </w:rPr>
                      <w:t>263</w:t>
                    </w:r>
                    <w:r>
                      <w:rPr>
                        <w:sz w:val="18"/>
                      </w:rPr>
                      <w:fldChar w:fldCharType="end"/>
                    </w:r>
                    <w:r>
                      <w:rPr>
                        <w:rFonts w:hint="eastAsia"/>
                        <w:sz w:val="18"/>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C0BDC">
    <w:pPr>
      <w:pStyle w:val="2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A2978D">
                          <w:pPr>
                            <w:pStyle w:val="28"/>
                          </w:pPr>
                          <w:r>
                            <w:fldChar w:fldCharType="begin"/>
                          </w:r>
                          <w:r>
                            <w:instrText xml:space="preserve"> PAGE  \* MERGEFORMAT </w:instrText>
                          </w:r>
                          <w:r>
                            <w:fldChar w:fldCharType="separate"/>
                          </w:r>
                          <w:r>
                            <w:t>238</w:t>
                          </w:r>
                          <w: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NNHVjIAQAAmgMAAA4AAAAAAAAAAQAgAAAAHgEAAGRycy9lMm9Eb2Mu&#10;eG1sUEsFBgAAAAAGAAYAWQEAAFgFAAAAAA==&#10;">
              <v:fill on="f" focussize="0,0"/>
              <v:stroke on="f"/>
              <v:imagedata o:title=""/>
              <o:lock v:ext="edit" aspectratio="f"/>
              <v:textbox inset="0mm,0mm,0mm,0mm" style="mso-fit-shape-to-text:t;">
                <w:txbxContent>
                  <w:p w14:paraId="14A2978D">
                    <w:pPr>
                      <w:pStyle w:val="28"/>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C6D31">
    <w:pPr>
      <w:pStyle w:val="2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ln w="12700">
                        <a:noFill/>
                      </a:ln>
                      <a:effectLst/>
                    </wps:spPr>
                    <wps:txbx>
                      <w:txbxContent>
                        <w:p w14:paraId="59235FDA">
                          <w:pPr>
                            <w:pStyle w:val="28"/>
                          </w:pPr>
                          <w:r>
                            <w:fldChar w:fldCharType="begin"/>
                          </w:r>
                          <w:r>
                            <w:instrText xml:space="preserve"> PAGE  \* MERGEFORMAT </w:instrText>
                          </w:r>
                          <w:r>
                            <w:fldChar w:fldCharType="separate"/>
                          </w:r>
                          <w:r>
                            <w:t>243</w:t>
                          </w:r>
                          <w:r>
                            <w:fldChar w:fldCharType="end"/>
                          </w:r>
                        </w:p>
                      </w:txbxContent>
                    </wps:txbx>
                    <wps:bodyPr rot="0" vert="horz" wrap="none" lIns="0" tIns="0" rIns="0" bIns="0" anchor="t" anchorCtr="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ifdr9MAAAAFAQAA&#10;DwAAAAAAAAABACAAAAAiAAAAZHJzL2Rvd25yZXYueG1sUEsBAhQAFAAAAAgAh07iQDzttN7lAQAA&#10;yQMAAA4AAAAAAAAAAQAgAAAAIgEAAGRycy9lMm9Eb2MueG1sUEsFBgAAAAAGAAYAWQEAAHkFAAAA&#10;AA==&#10;">
              <v:fill on="f" focussize="0,0"/>
              <v:stroke on="f" weight="1pt"/>
              <v:imagedata o:title=""/>
              <o:lock v:ext="edit" aspectratio="f"/>
              <v:textbox inset="0mm,0mm,0mm,0mm" style="mso-fit-shape-to-text:t;">
                <w:txbxContent>
                  <w:p w14:paraId="59235FDA">
                    <w:pPr>
                      <w:pStyle w:val="28"/>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C41EA">
    <w:pPr>
      <w:pStyle w:val="2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6E471359">
                          <w:pPr>
                            <w:pStyle w:val="28"/>
                          </w:pPr>
                          <w:r>
                            <w:fldChar w:fldCharType="begin"/>
                          </w:r>
                          <w:r>
                            <w:instrText xml:space="preserve"> PAGE  \* MERGEFORMAT </w:instrText>
                          </w:r>
                          <w:r>
                            <w:fldChar w:fldCharType="separate"/>
                          </w:r>
                          <w:r>
                            <w:t>261</w:t>
                          </w:r>
                          <w:r>
                            <w:fldChar w:fldCharType="end"/>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n3a/TAAAABQEAAA8AAAAAAAAAAQAgAAAAIgAAAGRy&#10;cy9kb3ducmV2LnhtbFBLAQIUABQAAAAIAIdO4kANrMiI0QEAAKQDAAAOAAAAAAAAAAEAIAAAACIB&#10;AABkcnMvZTJvRG9jLnhtbFBLBQYAAAAABgAGAFkBAABlBQAAAAA=&#10;">
              <v:fill on="f" focussize="0,0"/>
              <v:stroke on="f" weight="1pt"/>
              <v:imagedata o:title=""/>
              <o:lock v:ext="edit" aspectratio="f"/>
              <v:textbox inset="0mm,0mm,0mm,0mm" style="mso-fit-shape-to-text:t;">
                <w:txbxContent>
                  <w:p w14:paraId="6E471359">
                    <w:pPr>
                      <w:pStyle w:val="28"/>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50B61">
    <w:pPr>
      <w:pStyle w:val="2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1728B41A">
                          <w:pPr>
                            <w:pStyle w:val="28"/>
                          </w:pPr>
                          <w:r>
                            <w:fldChar w:fldCharType="begin"/>
                          </w:r>
                          <w:r>
                            <w:instrText xml:space="preserve"> PAGE  \* MERGEFORMAT </w:instrText>
                          </w:r>
                          <w:r>
                            <w:fldChar w:fldCharType="separate"/>
                          </w:r>
                          <w:r>
                            <w:t>269</w:t>
                          </w:r>
                          <w:r>
                            <w:fldChar w:fldCharType="end"/>
                          </w:r>
                        </w:p>
                      </w:txbxContent>
                    </wps:txbx>
                    <wps:bodyPr wrap="none" lIns="0" tIns="0" rIns="0" bIns="0" upright="1">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In3a/TAAAABQEAAA8AAAAAAAAAAQAgAAAAIgAAAGRy&#10;cy9kb3ducmV2LnhtbFBLAQIUABQAAAAIAIdO4kCqa+MH0QEAAKUDAAAOAAAAAAAAAAEAIAAAACIB&#10;AABkcnMvZTJvRG9jLnhtbFBLBQYAAAAABgAGAFkBAABlBQAAAAA=&#10;">
              <v:fill on="f" focussize="0,0"/>
              <v:stroke on="f" weight="1pt"/>
              <v:imagedata o:title=""/>
              <o:lock v:ext="edit" aspectratio="f"/>
              <v:textbox inset="0mm,0mm,0mm,0mm" style="mso-fit-shape-to-text:t;">
                <w:txbxContent>
                  <w:p w14:paraId="1728B41A">
                    <w:pPr>
                      <w:pStyle w:val="28"/>
                    </w:pPr>
                    <w:r>
                      <w:fldChar w:fldCharType="begin"/>
                    </w:r>
                    <w:r>
                      <w:instrText xml:space="preserve"> PAGE  \* MERGEFORMAT </w:instrText>
                    </w:r>
                    <w:r>
                      <w:fldChar w:fldCharType="separate"/>
                    </w:r>
                    <w:r>
                      <w:t>269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F8CC6">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4A87C">
    <w:pPr>
      <w:pStyle w:val="2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9888B">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7ADA1">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A56F56"/>
    <w:multiLevelType w:val="singleLevel"/>
    <w:tmpl w:val="B4A56F56"/>
    <w:lvl w:ilvl="0" w:tentative="0">
      <w:start w:val="7"/>
      <w:numFmt w:val="chineseCounting"/>
      <w:suff w:val="nothing"/>
      <w:lvlText w:val="%1、"/>
      <w:lvlJc w:val="left"/>
      <w:rPr>
        <w:rFonts w:hint="eastAsia"/>
      </w:rPr>
    </w:lvl>
  </w:abstractNum>
  <w:abstractNum w:abstractNumId="1">
    <w:nsid w:val="CC6B917F"/>
    <w:multiLevelType w:val="singleLevel"/>
    <w:tmpl w:val="CC6B917F"/>
    <w:lvl w:ilvl="0" w:tentative="0">
      <w:start w:val="1"/>
      <w:numFmt w:val="decimal"/>
      <w:suff w:val="nothing"/>
      <w:lvlText w:val="%1）"/>
      <w:lvlJc w:val="left"/>
    </w:lvl>
  </w:abstractNum>
  <w:abstractNum w:abstractNumId="2">
    <w:nsid w:val="E17B46C6"/>
    <w:multiLevelType w:val="singleLevel"/>
    <w:tmpl w:val="E17B46C6"/>
    <w:lvl w:ilvl="0" w:tentative="0">
      <w:start w:val="9"/>
      <w:numFmt w:val="decimal"/>
      <w:lvlText w:val="%1)"/>
      <w:lvlJc w:val="left"/>
      <w:pPr>
        <w:tabs>
          <w:tab w:val="left" w:pos="312"/>
        </w:tabs>
      </w:pPr>
    </w:lvl>
  </w:abstractNum>
  <w:abstractNum w:abstractNumId="3">
    <w:nsid w:val="00000004"/>
    <w:multiLevelType w:val="multilevel"/>
    <w:tmpl w:val="00000004"/>
    <w:lvl w:ilvl="0" w:tentative="0">
      <w:start w:val="1"/>
      <w:numFmt w:val="decimal"/>
      <w:lvlText w:val="（%1）"/>
      <w:lvlJc w:val="left"/>
      <w:pPr>
        <w:tabs>
          <w:tab w:val="left" w:pos="1430"/>
        </w:tabs>
        <w:ind w:left="143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4">
    <w:nsid w:val="00000008"/>
    <w:multiLevelType w:val="multilevel"/>
    <w:tmpl w:val="00000008"/>
    <w:lvl w:ilvl="0" w:tentative="0">
      <w:start w:val="1"/>
      <w:numFmt w:val="decimal"/>
      <w:lvlText w:val="(%1)"/>
      <w:lvlJc w:val="left"/>
      <w:pPr>
        <w:tabs>
          <w:tab w:val="left" w:pos="675"/>
        </w:tabs>
        <w:ind w:left="675" w:hanging="360"/>
      </w:pPr>
      <w:rPr>
        <w:rFonts w:hint="default"/>
      </w:rPr>
    </w:lvl>
    <w:lvl w:ilvl="1" w:tentative="0">
      <w:start w:val="1"/>
      <w:numFmt w:val="lowerLetter"/>
      <w:lvlText w:val="%2)"/>
      <w:lvlJc w:val="left"/>
      <w:pPr>
        <w:tabs>
          <w:tab w:val="left" w:pos="1155"/>
        </w:tabs>
        <w:ind w:left="1155" w:hanging="420"/>
      </w:p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
    <w:nsid w:val="0000000B"/>
    <w:multiLevelType w:val="multilevel"/>
    <w:tmpl w:val="0000000B"/>
    <w:lvl w:ilvl="0" w:tentative="0">
      <w:start w:val="1"/>
      <w:numFmt w:val="chineseCountingThousand"/>
      <w:suff w:val="space"/>
      <w:lvlText w:val="第%1章"/>
      <w:lvlJc w:val="left"/>
      <w:pPr>
        <w:ind w:left="567" w:hanging="279"/>
      </w:pPr>
      <w:rPr>
        <w:rFonts w:hint="eastAsia" w:ascii="宋体" w:hAnsi="Times New Roman" w:eastAsia="宋体"/>
        <w:b/>
        <w:i w:val="0"/>
        <w:spacing w:val="0"/>
        <w:sz w:val="44"/>
      </w:rPr>
    </w:lvl>
    <w:lvl w:ilvl="1" w:tentative="0">
      <w:start w:val="1"/>
      <w:numFmt w:val="decimal"/>
      <w:suff w:val="space"/>
      <w:lvlText w:val="%2."/>
      <w:lvlJc w:val="left"/>
      <w:pPr>
        <w:ind w:left="454" w:hanging="454"/>
      </w:pPr>
      <w:rPr>
        <w:rFonts w:hint="eastAsia" w:ascii="宋体" w:hAnsi="Times New Roman" w:eastAsia="宋体"/>
        <w:b/>
        <w:i w:val="0"/>
        <w:sz w:val="32"/>
      </w:rPr>
    </w:lvl>
    <w:lvl w:ilvl="2" w:tentative="0">
      <w:start w:val="1"/>
      <w:numFmt w:val="decimal"/>
      <w:suff w:val="space"/>
      <w:lvlText w:val="%2.%3"/>
      <w:lvlJc w:val="left"/>
      <w:pPr>
        <w:ind w:left="454" w:hanging="454"/>
      </w:pPr>
      <w:rPr>
        <w:rFonts w:hint="eastAsia" w:ascii="宋体" w:hAnsi="Times New Roman" w:eastAsia="宋体"/>
        <w:b/>
        <w:i w:val="0"/>
        <w:sz w:val="28"/>
      </w:rPr>
    </w:lvl>
    <w:lvl w:ilvl="3" w:tentative="0">
      <w:start w:val="1"/>
      <w:numFmt w:val="decimal"/>
      <w:suff w:val="space"/>
      <w:lvlText w:val="%2.%3.%4"/>
      <w:lvlJc w:val="left"/>
      <w:pPr>
        <w:ind w:left="284" w:hanging="284"/>
      </w:pPr>
      <w:rPr>
        <w:rFonts w:hint="eastAsia" w:ascii="宋体" w:hAnsi="Times New Roman" w:eastAsia="宋体"/>
        <w:b/>
        <w:i w:val="0"/>
        <w:sz w:val="28"/>
      </w:rPr>
    </w:lvl>
    <w:lvl w:ilvl="4" w:tentative="0">
      <w:start w:val="1"/>
      <w:numFmt w:val="decimal"/>
      <w:suff w:val="space"/>
      <w:lvlText w:val="%2.%3.%4.%5"/>
      <w:lvlJc w:val="left"/>
      <w:pPr>
        <w:ind w:left="284" w:hanging="284"/>
      </w:pPr>
      <w:rPr>
        <w:rFonts w:hint="eastAsia" w:ascii="宋体" w:hAnsi="Times New Roman" w:eastAsia="宋体"/>
        <w:b/>
        <w:i w:val="0"/>
        <w:sz w:val="28"/>
        <w:u w:val="none"/>
      </w:rPr>
    </w:lvl>
    <w:lvl w:ilvl="5" w:tentative="0">
      <w:start w:val="1"/>
      <w:numFmt w:val="decimal"/>
      <w:lvlRestart w:val="0"/>
      <w:suff w:val="space"/>
      <w:lvlText w:val="1.1.1.1.1.%6%5"/>
      <w:lvlJc w:val="left"/>
      <w:pPr>
        <w:ind w:left="0" w:firstLine="0"/>
      </w:pPr>
      <w:rPr>
        <w:rFonts w:hint="eastAsia" w:ascii="宋体" w:hAnsi="Times New Roman" w:eastAsia="宋体"/>
        <w:b/>
        <w:i w:val="0"/>
        <w:sz w:val="28"/>
      </w:rPr>
    </w:lvl>
    <w:lvl w:ilvl="6" w:tentative="0">
      <w:start w:val="1"/>
      <w:numFmt w:val="none"/>
      <w:suff w:val="nothing"/>
      <w:lvlText w:val=""/>
      <w:lvlJc w:val="left"/>
      <w:pPr>
        <w:ind w:left="0" w:firstLine="0"/>
      </w:pPr>
    </w:lvl>
    <w:lvl w:ilvl="7" w:tentative="0">
      <w:start w:val="1"/>
      <w:numFmt w:val="none"/>
      <w:pStyle w:val="8"/>
      <w:suff w:val="nothing"/>
      <w:lvlText w:val=""/>
      <w:lvlJc w:val="left"/>
      <w:pPr>
        <w:ind w:left="0" w:firstLine="0"/>
      </w:pPr>
    </w:lvl>
    <w:lvl w:ilvl="8" w:tentative="0">
      <w:start w:val="1"/>
      <w:numFmt w:val="none"/>
      <w:suff w:val="nothing"/>
      <w:lvlText w:val=""/>
      <w:lvlJc w:val="left"/>
      <w:pPr>
        <w:ind w:left="0" w:firstLine="0"/>
      </w:pPr>
    </w:lvl>
  </w:abstractNum>
  <w:abstractNum w:abstractNumId="6">
    <w:nsid w:val="0000000E"/>
    <w:multiLevelType w:val="singleLevel"/>
    <w:tmpl w:val="0000000E"/>
    <w:lvl w:ilvl="0" w:tentative="0">
      <w:start w:val="1"/>
      <w:numFmt w:val="chineseCounting"/>
      <w:pStyle w:val="12"/>
      <w:suff w:val="space"/>
      <w:lvlText w:val="第%1章"/>
      <w:lvlJc w:val="left"/>
    </w:lvl>
  </w:abstractNum>
  <w:abstractNum w:abstractNumId="7">
    <w:nsid w:val="00000013"/>
    <w:multiLevelType w:val="multilevel"/>
    <w:tmpl w:val="0000001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0000017"/>
    <w:multiLevelType w:val="multilevel"/>
    <w:tmpl w:val="0000001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8"/>
    <w:multiLevelType w:val="multilevel"/>
    <w:tmpl w:val="0000001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C"/>
    <w:multiLevelType w:val="multilevel"/>
    <w:tmpl w:val="0000001C"/>
    <w:lvl w:ilvl="0" w:tentative="0">
      <w:start w:val="1"/>
      <w:numFmt w:val="decimal"/>
      <w:lvlText w:val="(%1)"/>
      <w:lvlJc w:val="left"/>
      <w:pPr>
        <w:tabs>
          <w:tab w:val="left" w:pos="360"/>
        </w:tabs>
        <w:ind w:left="360" w:hanging="360"/>
      </w:pPr>
      <w:rPr>
        <w:rFonts w:hint="default" w:ascii="宋体" w:hAnsi="宋体" w:eastAsia="宋体" w:cs="宋体"/>
      </w:rPr>
    </w:lvl>
    <w:lvl w:ilvl="1" w:tentative="0">
      <w:start w:val="1"/>
      <w:numFmt w:val="lowerLetter"/>
      <w:lvlText w:val="%2)"/>
      <w:lvlJc w:val="left"/>
      <w:pPr>
        <w:tabs>
          <w:tab w:val="left" w:pos="840"/>
        </w:tabs>
        <w:ind w:left="840" w:hanging="420"/>
      </w:pPr>
      <w:rPr>
        <w:rFonts w:hint="default"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D"/>
    <w:multiLevelType w:val="multilevel"/>
    <w:tmpl w:val="0000001D"/>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0000001F"/>
    <w:multiLevelType w:val="multilevel"/>
    <w:tmpl w:val="0000001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0"/>
    <w:multiLevelType w:val="multilevel"/>
    <w:tmpl w:val="00000020"/>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4">
    <w:nsid w:val="00000024"/>
    <w:multiLevelType w:val="multilevel"/>
    <w:tmpl w:val="00000024"/>
    <w:lvl w:ilvl="0" w:tentative="0">
      <w:start w:val="2"/>
      <w:numFmt w:val="decimal"/>
      <w:lvlText w:val="%1"/>
      <w:lvlJc w:val="left"/>
      <w:pPr>
        <w:tabs>
          <w:tab w:val="left" w:pos="360"/>
        </w:tabs>
        <w:ind w:left="360" w:hanging="360"/>
      </w:pPr>
      <w:rPr>
        <w:rFonts w:hint="default"/>
      </w:rPr>
    </w:lvl>
    <w:lvl w:ilvl="1" w:tentative="0">
      <w:start w:val="5"/>
      <w:numFmt w:val="decimal"/>
      <w:lvlText w:val="%1.%2"/>
      <w:lvlJc w:val="left"/>
      <w:pPr>
        <w:tabs>
          <w:tab w:val="left" w:pos="785"/>
        </w:tabs>
        <w:ind w:left="785" w:hanging="360"/>
      </w:pPr>
      <w:rPr>
        <w:rFonts w:hint="default"/>
      </w:rPr>
    </w:lvl>
    <w:lvl w:ilvl="2" w:tentative="0">
      <w:start w:val="1"/>
      <w:numFmt w:val="decimal"/>
      <w:lvlText w:val="%1.%2.%3"/>
      <w:lvlJc w:val="left"/>
      <w:pPr>
        <w:tabs>
          <w:tab w:val="left" w:pos="1570"/>
        </w:tabs>
        <w:ind w:left="1570" w:hanging="720"/>
      </w:pPr>
      <w:rPr>
        <w:rFonts w:hint="default"/>
      </w:rPr>
    </w:lvl>
    <w:lvl w:ilvl="3" w:tentative="0">
      <w:start w:val="1"/>
      <w:numFmt w:val="decimal"/>
      <w:lvlText w:val="%1.%2.%3.%4"/>
      <w:lvlJc w:val="left"/>
      <w:pPr>
        <w:tabs>
          <w:tab w:val="left" w:pos="1995"/>
        </w:tabs>
        <w:ind w:left="1995" w:hanging="720"/>
      </w:pPr>
      <w:rPr>
        <w:rFonts w:hint="default"/>
      </w:rPr>
    </w:lvl>
    <w:lvl w:ilvl="4" w:tentative="0">
      <w:start w:val="1"/>
      <w:numFmt w:val="decimal"/>
      <w:lvlText w:val="%1.%2.%3.%4.%5"/>
      <w:lvlJc w:val="left"/>
      <w:pPr>
        <w:tabs>
          <w:tab w:val="left" w:pos="2780"/>
        </w:tabs>
        <w:ind w:left="2780" w:hanging="1080"/>
      </w:pPr>
      <w:rPr>
        <w:rFonts w:hint="default"/>
      </w:rPr>
    </w:lvl>
    <w:lvl w:ilvl="5" w:tentative="0">
      <w:start w:val="1"/>
      <w:numFmt w:val="decimal"/>
      <w:lvlText w:val="%1.%2.%3.%4.%5.%6"/>
      <w:lvlJc w:val="left"/>
      <w:pPr>
        <w:tabs>
          <w:tab w:val="left" w:pos="3205"/>
        </w:tabs>
        <w:ind w:left="3205" w:hanging="1080"/>
      </w:pPr>
      <w:rPr>
        <w:rFonts w:hint="default"/>
      </w:rPr>
    </w:lvl>
    <w:lvl w:ilvl="6" w:tentative="0">
      <w:start w:val="1"/>
      <w:numFmt w:val="decimal"/>
      <w:lvlText w:val="%1.%2.%3.%4.%5.%6.%7"/>
      <w:lvlJc w:val="left"/>
      <w:pPr>
        <w:tabs>
          <w:tab w:val="left" w:pos="3990"/>
        </w:tabs>
        <w:ind w:left="3990" w:hanging="1440"/>
      </w:pPr>
      <w:rPr>
        <w:rFonts w:hint="default"/>
      </w:rPr>
    </w:lvl>
    <w:lvl w:ilvl="7" w:tentative="0">
      <w:start w:val="1"/>
      <w:numFmt w:val="decimal"/>
      <w:lvlText w:val="%1.%2.%3.%4.%5.%6.%7.%8"/>
      <w:lvlJc w:val="left"/>
      <w:pPr>
        <w:tabs>
          <w:tab w:val="left" w:pos="4415"/>
        </w:tabs>
        <w:ind w:left="4415" w:hanging="1440"/>
      </w:pPr>
      <w:rPr>
        <w:rFonts w:hint="default"/>
      </w:rPr>
    </w:lvl>
    <w:lvl w:ilvl="8" w:tentative="0">
      <w:start w:val="1"/>
      <w:numFmt w:val="decimal"/>
      <w:lvlText w:val="%1.%2.%3.%4.%5.%6.%7.%8.%9"/>
      <w:lvlJc w:val="left"/>
      <w:pPr>
        <w:tabs>
          <w:tab w:val="left" w:pos="5200"/>
        </w:tabs>
        <w:ind w:left="5200" w:hanging="1800"/>
      </w:pPr>
      <w:rPr>
        <w:rFonts w:hint="default"/>
      </w:rPr>
    </w:lvl>
  </w:abstractNum>
  <w:abstractNum w:abstractNumId="15">
    <w:nsid w:val="04742A9C"/>
    <w:multiLevelType w:val="singleLevel"/>
    <w:tmpl w:val="04742A9C"/>
    <w:lvl w:ilvl="0" w:tentative="0">
      <w:start w:val="4"/>
      <w:numFmt w:val="chineseCounting"/>
      <w:suff w:val="nothing"/>
      <w:lvlText w:val="%1、"/>
      <w:lvlJc w:val="left"/>
      <w:rPr>
        <w:rFonts w:hint="eastAsia"/>
      </w:rPr>
    </w:lvl>
  </w:abstractNum>
  <w:abstractNum w:abstractNumId="16">
    <w:nsid w:val="26D534A7"/>
    <w:multiLevelType w:val="singleLevel"/>
    <w:tmpl w:val="26D534A7"/>
    <w:lvl w:ilvl="0" w:tentative="0">
      <w:start w:val="2"/>
      <w:numFmt w:val="decimal"/>
      <w:suff w:val="nothing"/>
      <w:lvlText w:val="%1、"/>
      <w:lvlJc w:val="left"/>
    </w:lvl>
  </w:abstractNum>
  <w:abstractNum w:abstractNumId="17">
    <w:nsid w:val="5AAF1C38"/>
    <w:multiLevelType w:val="multilevel"/>
    <w:tmpl w:val="5AAF1C38"/>
    <w:lvl w:ilvl="0" w:tentative="0">
      <w:start w:val="1"/>
      <w:numFmt w:val="chineseCountingThousand"/>
      <w:suff w:val="space"/>
      <w:lvlText w:val="第%1章  "/>
      <w:lvlJc w:val="left"/>
      <w:pPr>
        <w:ind w:left="0" w:firstLine="0"/>
      </w:pPr>
      <w:rPr>
        <w:rFonts w:hint="eastAsia"/>
      </w:rPr>
    </w:lvl>
    <w:lvl w:ilvl="1" w:tentative="0">
      <w:start w:val="1"/>
      <w:numFmt w:val="decimal"/>
      <w:pStyle w:val="70"/>
      <w:suff w:val="space"/>
      <w:lvlText w:val="%2."/>
      <w:lvlJc w:val="left"/>
      <w:pPr>
        <w:tabs>
          <w:tab w:val="left" w:pos="0"/>
        </w:tabs>
        <w:ind w:left="284" w:firstLine="0"/>
      </w:pPr>
      <w:rPr>
        <w:rFonts w:hint="eastAsia" w:ascii="宋体" w:hAnsi="宋体" w:eastAsia="宋体" w:cs="宋体"/>
      </w:rPr>
    </w:lvl>
    <w:lvl w:ilvl="2" w:tentative="0">
      <w:start w:val="1"/>
      <w:numFmt w:val="decimal"/>
      <w:pStyle w:val="72"/>
      <w:suff w:val="space"/>
      <w:lvlText w:val="%2.%3"/>
      <w:lvlJc w:val="left"/>
      <w:pPr>
        <w:tabs>
          <w:tab w:val="left" w:pos="0"/>
        </w:tabs>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643377FD"/>
    <w:multiLevelType w:val="singleLevel"/>
    <w:tmpl w:val="643377FD"/>
    <w:lvl w:ilvl="0" w:tentative="0">
      <w:start w:val="1"/>
      <w:numFmt w:val="lowerLetter"/>
      <w:suff w:val="nothing"/>
      <w:lvlText w:val="%1、"/>
      <w:lvlJc w:val="left"/>
    </w:lvl>
  </w:abstractNum>
  <w:abstractNum w:abstractNumId="19">
    <w:nsid w:val="64338314"/>
    <w:multiLevelType w:val="singleLevel"/>
    <w:tmpl w:val="64338314"/>
    <w:lvl w:ilvl="0" w:tentative="0">
      <w:start w:val="2"/>
      <w:numFmt w:val="decimal"/>
      <w:suff w:val="nothing"/>
      <w:lvlText w:val="（%1）"/>
      <w:lvlJc w:val="left"/>
    </w:lvl>
  </w:abstractNum>
  <w:abstractNum w:abstractNumId="20">
    <w:nsid w:val="64338395"/>
    <w:multiLevelType w:val="singleLevel"/>
    <w:tmpl w:val="64338395"/>
    <w:lvl w:ilvl="0" w:tentative="0">
      <w:start w:val="5"/>
      <w:numFmt w:val="decimal"/>
      <w:suff w:val="nothing"/>
      <w:lvlText w:val="（%1）"/>
      <w:lvlJc w:val="left"/>
    </w:lvl>
  </w:abstractNum>
  <w:abstractNum w:abstractNumId="21">
    <w:nsid w:val="643388B3"/>
    <w:multiLevelType w:val="singleLevel"/>
    <w:tmpl w:val="643388B3"/>
    <w:lvl w:ilvl="0" w:tentative="0">
      <w:start w:val="1"/>
      <w:numFmt w:val="decimal"/>
      <w:suff w:val="nothing"/>
      <w:lvlText w:val="（%1）"/>
      <w:lvlJc w:val="left"/>
    </w:lvl>
  </w:abstractNum>
  <w:abstractNum w:abstractNumId="22">
    <w:nsid w:val="643388EF"/>
    <w:multiLevelType w:val="singleLevel"/>
    <w:tmpl w:val="643388EF"/>
    <w:lvl w:ilvl="0" w:tentative="0">
      <w:start w:val="1"/>
      <w:numFmt w:val="decimal"/>
      <w:suff w:val="nothing"/>
      <w:lvlText w:val="（%1）"/>
      <w:lvlJc w:val="left"/>
    </w:lvl>
  </w:abstractNum>
  <w:abstractNum w:abstractNumId="23">
    <w:nsid w:val="64338920"/>
    <w:multiLevelType w:val="singleLevel"/>
    <w:tmpl w:val="64338920"/>
    <w:lvl w:ilvl="0" w:tentative="0">
      <w:start w:val="1"/>
      <w:numFmt w:val="chineseCounting"/>
      <w:suff w:val="nothing"/>
      <w:lvlText w:val="（%1）"/>
      <w:lvlJc w:val="left"/>
    </w:lvl>
  </w:abstractNum>
  <w:abstractNum w:abstractNumId="24">
    <w:nsid w:val="66709935"/>
    <w:multiLevelType w:val="singleLevel"/>
    <w:tmpl w:val="66709935"/>
    <w:lvl w:ilvl="0" w:tentative="0">
      <w:start w:val="8"/>
      <w:numFmt w:val="decimal"/>
      <w:suff w:val="nothing"/>
      <w:lvlText w:val="%1．"/>
      <w:lvlJc w:val="left"/>
    </w:lvl>
  </w:abstractNum>
  <w:abstractNum w:abstractNumId="25">
    <w:nsid w:val="740654F9"/>
    <w:multiLevelType w:val="singleLevel"/>
    <w:tmpl w:val="740654F9"/>
    <w:lvl w:ilvl="0" w:tentative="0">
      <w:start w:val="1"/>
      <w:numFmt w:val="decimal"/>
      <w:suff w:val="nothing"/>
      <w:lvlText w:val="（%1）"/>
      <w:lvlJc w:val="left"/>
    </w:lvl>
  </w:abstractNum>
  <w:abstractNum w:abstractNumId="26">
    <w:nsid w:val="7F1B7743"/>
    <w:multiLevelType w:val="multilevel"/>
    <w:tmpl w:val="7F1B7743"/>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5"/>
  </w:num>
  <w:num w:numId="2">
    <w:abstractNumId w:val="6"/>
  </w:num>
  <w:num w:numId="3">
    <w:abstractNumId w:val="17"/>
  </w:num>
  <w:num w:numId="4">
    <w:abstractNumId w:val="24"/>
  </w:num>
  <w:num w:numId="5">
    <w:abstractNumId w:val="3"/>
  </w:num>
  <w:num w:numId="6">
    <w:abstractNumId w:val="25"/>
  </w:num>
  <w:num w:numId="7">
    <w:abstractNumId w:val="18"/>
  </w:num>
  <w:num w:numId="8">
    <w:abstractNumId w:val="16"/>
  </w:num>
  <w:num w:numId="9">
    <w:abstractNumId w:val="19"/>
  </w:num>
  <w:num w:numId="10">
    <w:abstractNumId w:val="20"/>
  </w:num>
  <w:num w:numId="11">
    <w:abstractNumId w:val="21"/>
  </w:num>
  <w:num w:numId="12">
    <w:abstractNumId w:val="22"/>
  </w:num>
  <w:num w:numId="13">
    <w:abstractNumId w:val="23"/>
  </w:num>
  <w:num w:numId="14">
    <w:abstractNumId w:val="26"/>
  </w:num>
  <w:num w:numId="15">
    <w:abstractNumId w:val="4"/>
  </w:num>
  <w:num w:numId="16">
    <w:abstractNumId w:val="12"/>
  </w:num>
  <w:num w:numId="17">
    <w:abstractNumId w:val="8"/>
  </w:num>
  <w:num w:numId="18">
    <w:abstractNumId w:val="1"/>
  </w:num>
  <w:num w:numId="19">
    <w:abstractNumId w:val="2"/>
  </w:num>
  <w:num w:numId="20">
    <w:abstractNumId w:val="9"/>
  </w:num>
  <w:num w:numId="21">
    <w:abstractNumId w:val="10"/>
  </w:num>
  <w:num w:numId="22">
    <w:abstractNumId w:val="13"/>
  </w:num>
  <w:num w:numId="23">
    <w:abstractNumId w:val="11"/>
  </w:num>
  <w:num w:numId="24">
    <w:abstractNumId w:val="14"/>
  </w:num>
  <w:num w:numId="25">
    <w:abstractNumId w:val="7"/>
  </w:num>
  <w:num w:numId="26">
    <w:abstractNumId w:val="1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ODk5NTZlNjg2OGI5ZGFlZjJiZDMyZGNiZDMxNWUifQ=="/>
  </w:docVars>
  <w:rsids>
    <w:rsidRoot w:val="00172A27"/>
    <w:rsid w:val="00000151"/>
    <w:rsid w:val="00000AE6"/>
    <w:rsid w:val="00002CFC"/>
    <w:rsid w:val="00004A77"/>
    <w:rsid w:val="00005D9A"/>
    <w:rsid w:val="00005F60"/>
    <w:rsid w:val="0000612D"/>
    <w:rsid w:val="00007098"/>
    <w:rsid w:val="00007502"/>
    <w:rsid w:val="00010CA9"/>
    <w:rsid w:val="00011DA3"/>
    <w:rsid w:val="00012481"/>
    <w:rsid w:val="000133F5"/>
    <w:rsid w:val="00013AEB"/>
    <w:rsid w:val="000145E8"/>
    <w:rsid w:val="00015040"/>
    <w:rsid w:val="00015931"/>
    <w:rsid w:val="000171CB"/>
    <w:rsid w:val="0001796D"/>
    <w:rsid w:val="000208BC"/>
    <w:rsid w:val="000209DC"/>
    <w:rsid w:val="00024A69"/>
    <w:rsid w:val="000301DE"/>
    <w:rsid w:val="0003212A"/>
    <w:rsid w:val="000327BC"/>
    <w:rsid w:val="000327CC"/>
    <w:rsid w:val="00034ACB"/>
    <w:rsid w:val="00034B07"/>
    <w:rsid w:val="000373E8"/>
    <w:rsid w:val="000375DC"/>
    <w:rsid w:val="000404B0"/>
    <w:rsid w:val="000409AC"/>
    <w:rsid w:val="00041F75"/>
    <w:rsid w:val="00042B0F"/>
    <w:rsid w:val="000430F3"/>
    <w:rsid w:val="000442EC"/>
    <w:rsid w:val="00045648"/>
    <w:rsid w:val="0004586E"/>
    <w:rsid w:val="00045F85"/>
    <w:rsid w:val="00047D26"/>
    <w:rsid w:val="00047D6D"/>
    <w:rsid w:val="00052B6F"/>
    <w:rsid w:val="00052CBA"/>
    <w:rsid w:val="000531FC"/>
    <w:rsid w:val="0005433E"/>
    <w:rsid w:val="00055C88"/>
    <w:rsid w:val="0005635C"/>
    <w:rsid w:val="00056C24"/>
    <w:rsid w:val="00060CB6"/>
    <w:rsid w:val="000619E6"/>
    <w:rsid w:val="00061A6D"/>
    <w:rsid w:val="00062C84"/>
    <w:rsid w:val="00062CDB"/>
    <w:rsid w:val="00063A72"/>
    <w:rsid w:val="00064226"/>
    <w:rsid w:val="0006467C"/>
    <w:rsid w:val="00064691"/>
    <w:rsid w:val="00065568"/>
    <w:rsid w:val="00071D95"/>
    <w:rsid w:val="00073A85"/>
    <w:rsid w:val="0007502F"/>
    <w:rsid w:val="00076847"/>
    <w:rsid w:val="00076AF7"/>
    <w:rsid w:val="000815EB"/>
    <w:rsid w:val="00084446"/>
    <w:rsid w:val="0008573A"/>
    <w:rsid w:val="000866BA"/>
    <w:rsid w:val="000901EA"/>
    <w:rsid w:val="00090C03"/>
    <w:rsid w:val="0009136E"/>
    <w:rsid w:val="00092E73"/>
    <w:rsid w:val="000938F7"/>
    <w:rsid w:val="00094099"/>
    <w:rsid w:val="0009520D"/>
    <w:rsid w:val="000964FA"/>
    <w:rsid w:val="0009724E"/>
    <w:rsid w:val="000A04A7"/>
    <w:rsid w:val="000A13E1"/>
    <w:rsid w:val="000A4773"/>
    <w:rsid w:val="000A4CE5"/>
    <w:rsid w:val="000A4D64"/>
    <w:rsid w:val="000B0C96"/>
    <w:rsid w:val="000B0D8E"/>
    <w:rsid w:val="000B10DF"/>
    <w:rsid w:val="000B4A5B"/>
    <w:rsid w:val="000B65B1"/>
    <w:rsid w:val="000B7036"/>
    <w:rsid w:val="000C0059"/>
    <w:rsid w:val="000C0CD8"/>
    <w:rsid w:val="000C1008"/>
    <w:rsid w:val="000C31E9"/>
    <w:rsid w:val="000C41E1"/>
    <w:rsid w:val="000C4F1C"/>
    <w:rsid w:val="000C566B"/>
    <w:rsid w:val="000C6C82"/>
    <w:rsid w:val="000C7DA5"/>
    <w:rsid w:val="000D02A0"/>
    <w:rsid w:val="000D0B73"/>
    <w:rsid w:val="000D1897"/>
    <w:rsid w:val="000D4F62"/>
    <w:rsid w:val="000D5747"/>
    <w:rsid w:val="000D5B2F"/>
    <w:rsid w:val="000D7D43"/>
    <w:rsid w:val="000E003D"/>
    <w:rsid w:val="000E0A9A"/>
    <w:rsid w:val="000E1771"/>
    <w:rsid w:val="000E23D1"/>
    <w:rsid w:val="000E28F5"/>
    <w:rsid w:val="000E2FE5"/>
    <w:rsid w:val="000E33A6"/>
    <w:rsid w:val="000E33DA"/>
    <w:rsid w:val="000E432A"/>
    <w:rsid w:val="000E5BEF"/>
    <w:rsid w:val="000E66A5"/>
    <w:rsid w:val="000E7ADB"/>
    <w:rsid w:val="000F01A6"/>
    <w:rsid w:val="000F1FEE"/>
    <w:rsid w:val="000F284D"/>
    <w:rsid w:val="000F2ADD"/>
    <w:rsid w:val="000F2D22"/>
    <w:rsid w:val="000F5CFF"/>
    <w:rsid w:val="001020AF"/>
    <w:rsid w:val="001027FC"/>
    <w:rsid w:val="00102D03"/>
    <w:rsid w:val="00103723"/>
    <w:rsid w:val="00105355"/>
    <w:rsid w:val="00106F86"/>
    <w:rsid w:val="00107AA5"/>
    <w:rsid w:val="00111011"/>
    <w:rsid w:val="00111023"/>
    <w:rsid w:val="00111A9B"/>
    <w:rsid w:val="0011506F"/>
    <w:rsid w:val="00120715"/>
    <w:rsid w:val="00120CA6"/>
    <w:rsid w:val="001216DD"/>
    <w:rsid w:val="001223C2"/>
    <w:rsid w:val="00126D03"/>
    <w:rsid w:val="00127723"/>
    <w:rsid w:val="00127F21"/>
    <w:rsid w:val="00130605"/>
    <w:rsid w:val="00130C2F"/>
    <w:rsid w:val="001312EC"/>
    <w:rsid w:val="00134281"/>
    <w:rsid w:val="00134902"/>
    <w:rsid w:val="00135D3B"/>
    <w:rsid w:val="00136C80"/>
    <w:rsid w:val="00137701"/>
    <w:rsid w:val="001411B2"/>
    <w:rsid w:val="0014138D"/>
    <w:rsid w:val="0014171E"/>
    <w:rsid w:val="00141CEE"/>
    <w:rsid w:val="00141E40"/>
    <w:rsid w:val="001441DD"/>
    <w:rsid w:val="001471E9"/>
    <w:rsid w:val="001477B5"/>
    <w:rsid w:val="00147998"/>
    <w:rsid w:val="0015088B"/>
    <w:rsid w:val="00150E02"/>
    <w:rsid w:val="0015183B"/>
    <w:rsid w:val="00152BDA"/>
    <w:rsid w:val="00154F4C"/>
    <w:rsid w:val="00155AE1"/>
    <w:rsid w:val="00157BED"/>
    <w:rsid w:val="00161306"/>
    <w:rsid w:val="0016186D"/>
    <w:rsid w:val="001646E4"/>
    <w:rsid w:val="00164CCE"/>
    <w:rsid w:val="00166264"/>
    <w:rsid w:val="0016686E"/>
    <w:rsid w:val="001728E2"/>
    <w:rsid w:val="00172A27"/>
    <w:rsid w:val="00172C98"/>
    <w:rsid w:val="001743CA"/>
    <w:rsid w:val="00174703"/>
    <w:rsid w:val="001747D8"/>
    <w:rsid w:val="00177A9F"/>
    <w:rsid w:val="00180BCD"/>
    <w:rsid w:val="001812C0"/>
    <w:rsid w:val="00181693"/>
    <w:rsid w:val="00184128"/>
    <w:rsid w:val="00184E5C"/>
    <w:rsid w:val="00184E71"/>
    <w:rsid w:val="00184FDD"/>
    <w:rsid w:val="00187610"/>
    <w:rsid w:val="001879CA"/>
    <w:rsid w:val="001909A4"/>
    <w:rsid w:val="0019322A"/>
    <w:rsid w:val="001974D3"/>
    <w:rsid w:val="001A394B"/>
    <w:rsid w:val="001A3D34"/>
    <w:rsid w:val="001A4C09"/>
    <w:rsid w:val="001A660B"/>
    <w:rsid w:val="001A719C"/>
    <w:rsid w:val="001A759D"/>
    <w:rsid w:val="001A7A90"/>
    <w:rsid w:val="001B251D"/>
    <w:rsid w:val="001B36A2"/>
    <w:rsid w:val="001B3C99"/>
    <w:rsid w:val="001B4536"/>
    <w:rsid w:val="001B5E91"/>
    <w:rsid w:val="001B60DF"/>
    <w:rsid w:val="001B6335"/>
    <w:rsid w:val="001C125D"/>
    <w:rsid w:val="001C1FD8"/>
    <w:rsid w:val="001C2B43"/>
    <w:rsid w:val="001C469C"/>
    <w:rsid w:val="001C7DAB"/>
    <w:rsid w:val="001D11E0"/>
    <w:rsid w:val="001D294A"/>
    <w:rsid w:val="001D2DE7"/>
    <w:rsid w:val="001D4572"/>
    <w:rsid w:val="001D4BFA"/>
    <w:rsid w:val="001D4FBC"/>
    <w:rsid w:val="001D6704"/>
    <w:rsid w:val="001D73B8"/>
    <w:rsid w:val="001E12B4"/>
    <w:rsid w:val="001E237E"/>
    <w:rsid w:val="001E2D1D"/>
    <w:rsid w:val="001E3ADE"/>
    <w:rsid w:val="001E3C65"/>
    <w:rsid w:val="001E3CD0"/>
    <w:rsid w:val="001E46FD"/>
    <w:rsid w:val="001E5D6D"/>
    <w:rsid w:val="001E61D6"/>
    <w:rsid w:val="001F4606"/>
    <w:rsid w:val="001F4A17"/>
    <w:rsid w:val="001F51C4"/>
    <w:rsid w:val="001F6285"/>
    <w:rsid w:val="001F62C8"/>
    <w:rsid w:val="0020049C"/>
    <w:rsid w:val="00201E35"/>
    <w:rsid w:val="002022FE"/>
    <w:rsid w:val="00203D85"/>
    <w:rsid w:val="002040D5"/>
    <w:rsid w:val="0020505E"/>
    <w:rsid w:val="0020531F"/>
    <w:rsid w:val="00205A20"/>
    <w:rsid w:val="00205FBA"/>
    <w:rsid w:val="0020604E"/>
    <w:rsid w:val="002077CB"/>
    <w:rsid w:val="00207E85"/>
    <w:rsid w:val="002111D6"/>
    <w:rsid w:val="00211CE3"/>
    <w:rsid w:val="00212A88"/>
    <w:rsid w:val="00213BDD"/>
    <w:rsid w:val="0021403D"/>
    <w:rsid w:val="00214C79"/>
    <w:rsid w:val="00214C88"/>
    <w:rsid w:val="00215993"/>
    <w:rsid w:val="002160A2"/>
    <w:rsid w:val="00216336"/>
    <w:rsid w:val="002167B9"/>
    <w:rsid w:val="00217C99"/>
    <w:rsid w:val="00221164"/>
    <w:rsid w:val="0022292E"/>
    <w:rsid w:val="0022463C"/>
    <w:rsid w:val="00224F4D"/>
    <w:rsid w:val="002253EB"/>
    <w:rsid w:val="002276A9"/>
    <w:rsid w:val="00233863"/>
    <w:rsid w:val="00235411"/>
    <w:rsid w:val="00236486"/>
    <w:rsid w:val="00237130"/>
    <w:rsid w:val="002375E6"/>
    <w:rsid w:val="0024010A"/>
    <w:rsid w:val="00240378"/>
    <w:rsid w:val="002404F7"/>
    <w:rsid w:val="002419EE"/>
    <w:rsid w:val="00243FCB"/>
    <w:rsid w:val="002440FF"/>
    <w:rsid w:val="00245CB2"/>
    <w:rsid w:val="00245D36"/>
    <w:rsid w:val="002469F9"/>
    <w:rsid w:val="00250B23"/>
    <w:rsid w:val="00252EE0"/>
    <w:rsid w:val="00256508"/>
    <w:rsid w:val="002577BF"/>
    <w:rsid w:val="00257EED"/>
    <w:rsid w:val="002603C1"/>
    <w:rsid w:val="002610CB"/>
    <w:rsid w:val="002614CC"/>
    <w:rsid w:val="00261C61"/>
    <w:rsid w:val="00263185"/>
    <w:rsid w:val="00264463"/>
    <w:rsid w:val="002644DE"/>
    <w:rsid w:val="00265CA3"/>
    <w:rsid w:val="002673CB"/>
    <w:rsid w:val="00267477"/>
    <w:rsid w:val="0027060C"/>
    <w:rsid w:val="0027155C"/>
    <w:rsid w:val="00271C1F"/>
    <w:rsid w:val="002722D4"/>
    <w:rsid w:val="002733E2"/>
    <w:rsid w:val="0027378E"/>
    <w:rsid w:val="00273FF6"/>
    <w:rsid w:val="00274DBC"/>
    <w:rsid w:val="0027538C"/>
    <w:rsid w:val="00275B21"/>
    <w:rsid w:val="00280292"/>
    <w:rsid w:val="00280A1A"/>
    <w:rsid w:val="00284768"/>
    <w:rsid w:val="0028742E"/>
    <w:rsid w:val="00287431"/>
    <w:rsid w:val="0028779F"/>
    <w:rsid w:val="00290F66"/>
    <w:rsid w:val="00291466"/>
    <w:rsid w:val="00291FD1"/>
    <w:rsid w:val="00292246"/>
    <w:rsid w:val="0029343C"/>
    <w:rsid w:val="002944C8"/>
    <w:rsid w:val="0029524E"/>
    <w:rsid w:val="00295EEA"/>
    <w:rsid w:val="00296158"/>
    <w:rsid w:val="0029758D"/>
    <w:rsid w:val="002A15DA"/>
    <w:rsid w:val="002A183F"/>
    <w:rsid w:val="002A192E"/>
    <w:rsid w:val="002A1FD9"/>
    <w:rsid w:val="002A677A"/>
    <w:rsid w:val="002A73F5"/>
    <w:rsid w:val="002A7F5D"/>
    <w:rsid w:val="002B38B8"/>
    <w:rsid w:val="002B3D0C"/>
    <w:rsid w:val="002B4429"/>
    <w:rsid w:val="002B4B1B"/>
    <w:rsid w:val="002B623C"/>
    <w:rsid w:val="002C07ED"/>
    <w:rsid w:val="002C07EE"/>
    <w:rsid w:val="002C3BB1"/>
    <w:rsid w:val="002C57C4"/>
    <w:rsid w:val="002C621C"/>
    <w:rsid w:val="002C711C"/>
    <w:rsid w:val="002D1689"/>
    <w:rsid w:val="002D1966"/>
    <w:rsid w:val="002D24D5"/>
    <w:rsid w:val="002D4CDF"/>
    <w:rsid w:val="002D5AF8"/>
    <w:rsid w:val="002D7868"/>
    <w:rsid w:val="002D7EE2"/>
    <w:rsid w:val="002E0C04"/>
    <w:rsid w:val="002E253D"/>
    <w:rsid w:val="002E2D3F"/>
    <w:rsid w:val="002E427F"/>
    <w:rsid w:val="002E4298"/>
    <w:rsid w:val="002E4E87"/>
    <w:rsid w:val="002E4E8E"/>
    <w:rsid w:val="002E768E"/>
    <w:rsid w:val="002F3C6E"/>
    <w:rsid w:val="002F4D33"/>
    <w:rsid w:val="002F59DC"/>
    <w:rsid w:val="002F5F37"/>
    <w:rsid w:val="002F6265"/>
    <w:rsid w:val="002F6CB9"/>
    <w:rsid w:val="00300FCD"/>
    <w:rsid w:val="00301DF8"/>
    <w:rsid w:val="00302B90"/>
    <w:rsid w:val="003078D2"/>
    <w:rsid w:val="00310B31"/>
    <w:rsid w:val="0031351C"/>
    <w:rsid w:val="003217B4"/>
    <w:rsid w:val="003234BE"/>
    <w:rsid w:val="00323ED7"/>
    <w:rsid w:val="00331189"/>
    <w:rsid w:val="00332789"/>
    <w:rsid w:val="00334E65"/>
    <w:rsid w:val="0033572A"/>
    <w:rsid w:val="00335762"/>
    <w:rsid w:val="00335D2D"/>
    <w:rsid w:val="00336D28"/>
    <w:rsid w:val="003410D7"/>
    <w:rsid w:val="00341347"/>
    <w:rsid w:val="00341EFD"/>
    <w:rsid w:val="0034327B"/>
    <w:rsid w:val="0034415A"/>
    <w:rsid w:val="00345DD6"/>
    <w:rsid w:val="0034765C"/>
    <w:rsid w:val="003510C0"/>
    <w:rsid w:val="003520FE"/>
    <w:rsid w:val="003531FD"/>
    <w:rsid w:val="00355A80"/>
    <w:rsid w:val="00355C7F"/>
    <w:rsid w:val="00356938"/>
    <w:rsid w:val="003571B9"/>
    <w:rsid w:val="00361206"/>
    <w:rsid w:val="00361A85"/>
    <w:rsid w:val="00362B12"/>
    <w:rsid w:val="00362DBA"/>
    <w:rsid w:val="00366E6D"/>
    <w:rsid w:val="00371788"/>
    <w:rsid w:val="00371FC6"/>
    <w:rsid w:val="0037429D"/>
    <w:rsid w:val="00375654"/>
    <w:rsid w:val="00376A9E"/>
    <w:rsid w:val="00376E44"/>
    <w:rsid w:val="00380ED3"/>
    <w:rsid w:val="0038199A"/>
    <w:rsid w:val="00382360"/>
    <w:rsid w:val="003842DC"/>
    <w:rsid w:val="00386CCE"/>
    <w:rsid w:val="003875B7"/>
    <w:rsid w:val="00390491"/>
    <w:rsid w:val="00390EF4"/>
    <w:rsid w:val="003913EE"/>
    <w:rsid w:val="00391A6B"/>
    <w:rsid w:val="00392F1B"/>
    <w:rsid w:val="0039382B"/>
    <w:rsid w:val="00393AF1"/>
    <w:rsid w:val="00395821"/>
    <w:rsid w:val="00397018"/>
    <w:rsid w:val="003A0AAE"/>
    <w:rsid w:val="003A1A50"/>
    <w:rsid w:val="003A26CC"/>
    <w:rsid w:val="003A2AB1"/>
    <w:rsid w:val="003A3BC6"/>
    <w:rsid w:val="003A46B3"/>
    <w:rsid w:val="003A7325"/>
    <w:rsid w:val="003A7E2D"/>
    <w:rsid w:val="003B0DBC"/>
    <w:rsid w:val="003B2229"/>
    <w:rsid w:val="003B3416"/>
    <w:rsid w:val="003B4484"/>
    <w:rsid w:val="003B4642"/>
    <w:rsid w:val="003B5754"/>
    <w:rsid w:val="003B5C9A"/>
    <w:rsid w:val="003B5DCC"/>
    <w:rsid w:val="003C182C"/>
    <w:rsid w:val="003C2652"/>
    <w:rsid w:val="003C3A29"/>
    <w:rsid w:val="003C431B"/>
    <w:rsid w:val="003C64F7"/>
    <w:rsid w:val="003C76CE"/>
    <w:rsid w:val="003C79A3"/>
    <w:rsid w:val="003C7A10"/>
    <w:rsid w:val="003D20AF"/>
    <w:rsid w:val="003D32CB"/>
    <w:rsid w:val="003D365A"/>
    <w:rsid w:val="003D3BCE"/>
    <w:rsid w:val="003D52BD"/>
    <w:rsid w:val="003D7C55"/>
    <w:rsid w:val="003E16D9"/>
    <w:rsid w:val="003E3B7F"/>
    <w:rsid w:val="003E565C"/>
    <w:rsid w:val="003E5967"/>
    <w:rsid w:val="003E7F5A"/>
    <w:rsid w:val="003F104B"/>
    <w:rsid w:val="003F1298"/>
    <w:rsid w:val="003F4E37"/>
    <w:rsid w:val="003F5271"/>
    <w:rsid w:val="00400A5B"/>
    <w:rsid w:val="00403AEE"/>
    <w:rsid w:val="00405CE2"/>
    <w:rsid w:val="004065A1"/>
    <w:rsid w:val="004068AD"/>
    <w:rsid w:val="00410C32"/>
    <w:rsid w:val="00411722"/>
    <w:rsid w:val="0041219F"/>
    <w:rsid w:val="00412419"/>
    <w:rsid w:val="00412863"/>
    <w:rsid w:val="00412BF6"/>
    <w:rsid w:val="004130AC"/>
    <w:rsid w:val="00414B29"/>
    <w:rsid w:val="00414E9C"/>
    <w:rsid w:val="00417B46"/>
    <w:rsid w:val="004200FC"/>
    <w:rsid w:val="00421800"/>
    <w:rsid w:val="004234B6"/>
    <w:rsid w:val="004238F2"/>
    <w:rsid w:val="0042559D"/>
    <w:rsid w:val="00426534"/>
    <w:rsid w:val="004266E6"/>
    <w:rsid w:val="00431036"/>
    <w:rsid w:val="00432115"/>
    <w:rsid w:val="00432A72"/>
    <w:rsid w:val="00433B5D"/>
    <w:rsid w:val="00434BD1"/>
    <w:rsid w:val="004354B2"/>
    <w:rsid w:val="00435BFE"/>
    <w:rsid w:val="004430A4"/>
    <w:rsid w:val="00443189"/>
    <w:rsid w:val="004440C4"/>
    <w:rsid w:val="00444AD7"/>
    <w:rsid w:val="00444CB9"/>
    <w:rsid w:val="00445D18"/>
    <w:rsid w:val="00451AB8"/>
    <w:rsid w:val="004537BA"/>
    <w:rsid w:val="004544B6"/>
    <w:rsid w:val="0045470D"/>
    <w:rsid w:val="00457AF9"/>
    <w:rsid w:val="00462714"/>
    <w:rsid w:val="00463598"/>
    <w:rsid w:val="00464C4C"/>
    <w:rsid w:val="00464CCE"/>
    <w:rsid w:val="00472144"/>
    <w:rsid w:val="00473A0E"/>
    <w:rsid w:val="00473B61"/>
    <w:rsid w:val="004740A8"/>
    <w:rsid w:val="00474F15"/>
    <w:rsid w:val="00480D0F"/>
    <w:rsid w:val="00481180"/>
    <w:rsid w:val="00481793"/>
    <w:rsid w:val="00482711"/>
    <w:rsid w:val="00482CF6"/>
    <w:rsid w:val="00483D07"/>
    <w:rsid w:val="00484D5C"/>
    <w:rsid w:val="00484DE8"/>
    <w:rsid w:val="00485546"/>
    <w:rsid w:val="00486364"/>
    <w:rsid w:val="004874D5"/>
    <w:rsid w:val="00487580"/>
    <w:rsid w:val="004953D8"/>
    <w:rsid w:val="00496A24"/>
    <w:rsid w:val="00497298"/>
    <w:rsid w:val="0049782F"/>
    <w:rsid w:val="004A063F"/>
    <w:rsid w:val="004A0B5F"/>
    <w:rsid w:val="004A2184"/>
    <w:rsid w:val="004A3761"/>
    <w:rsid w:val="004A3D2E"/>
    <w:rsid w:val="004A410E"/>
    <w:rsid w:val="004A6092"/>
    <w:rsid w:val="004A6C4E"/>
    <w:rsid w:val="004B0205"/>
    <w:rsid w:val="004B04AE"/>
    <w:rsid w:val="004B3700"/>
    <w:rsid w:val="004B3B4B"/>
    <w:rsid w:val="004B6C42"/>
    <w:rsid w:val="004C000D"/>
    <w:rsid w:val="004C13CA"/>
    <w:rsid w:val="004C1640"/>
    <w:rsid w:val="004C3C58"/>
    <w:rsid w:val="004C5058"/>
    <w:rsid w:val="004C64B4"/>
    <w:rsid w:val="004D1CE8"/>
    <w:rsid w:val="004D3DD0"/>
    <w:rsid w:val="004D4BA4"/>
    <w:rsid w:val="004D64F6"/>
    <w:rsid w:val="004E036E"/>
    <w:rsid w:val="004E3161"/>
    <w:rsid w:val="004E47E7"/>
    <w:rsid w:val="004E60ED"/>
    <w:rsid w:val="004E6924"/>
    <w:rsid w:val="004E72B9"/>
    <w:rsid w:val="004F1CA9"/>
    <w:rsid w:val="004F1F08"/>
    <w:rsid w:val="004F3B38"/>
    <w:rsid w:val="004F486A"/>
    <w:rsid w:val="004F6400"/>
    <w:rsid w:val="004F6CE7"/>
    <w:rsid w:val="004F75EF"/>
    <w:rsid w:val="00501093"/>
    <w:rsid w:val="00502AF4"/>
    <w:rsid w:val="00504845"/>
    <w:rsid w:val="00506059"/>
    <w:rsid w:val="0051037E"/>
    <w:rsid w:val="00512693"/>
    <w:rsid w:val="005126D0"/>
    <w:rsid w:val="0051363B"/>
    <w:rsid w:val="00514D2D"/>
    <w:rsid w:val="00515174"/>
    <w:rsid w:val="00515E93"/>
    <w:rsid w:val="00516166"/>
    <w:rsid w:val="00516FB3"/>
    <w:rsid w:val="00520558"/>
    <w:rsid w:val="00522FF6"/>
    <w:rsid w:val="0052438B"/>
    <w:rsid w:val="00535059"/>
    <w:rsid w:val="00535396"/>
    <w:rsid w:val="0053598F"/>
    <w:rsid w:val="00540158"/>
    <w:rsid w:val="00540A9A"/>
    <w:rsid w:val="00540EFC"/>
    <w:rsid w:val="00542733"/>
    <w:rsid w:val="00542BA4"/>
    <w:rsid w:val="00543769"/>
    <w:rsid w:val="00544A1E"/>
    <w:rsid w:val="00545B57"/>
    <w:rsid w:val="00547C7C"/>
    <w:rsid w:val="005503FF"/>
    <w:rsid w:val="00550BC6"/>
    <w:rsid w:val="00551B71"/>
    <w:rsid w:val="00552046"/>
    <w:rsid w:val="0055797F"/>
    <w:rsid w:val="00557A13"/>
    <w:rsid w:val="005605A8"/>
    <w:rsid w:val="0056113F"/>
    <w:rsid w:val="00565B42"/>
    <w:rsid w:val="00566A07"/>
    <w:rsid w:val="005671B3"/>
    <w:rsid w:val="005672FA"/>
    <w:rsid w:val="005719ED"/>
    <w:rsid w:val="005730AC"/>
    <w:rsid w:val="005748D1"/>
    <w:rsid w:val="0057598B"/>
    <w:rsid w:val="00575C99"/>
    <w:rsid w:val="005762F5"/>
    <w:rsid w:val="005765EF"/>
    <w:rsid w:val="00580FC0"/>
    <w:rsid w:val="00582A21"/>
    <w:rsid w:val="005844FA"/>
    <w:rsid w:val="00590F57"/>
    <w:rsid w:val="00590FAC"/>
    <w:rsid w:val="00591201"/>
    <w:rsid w:val="00591828"/>
    <w:rsid w:val="00592894"/>
    <w:rsid w:val="005933D9"/>
    <w:rsid w:val="00597C67"/>
    <w:rsid w:val="005A006E"/>
    <w:rsid w:val="005A0C43"/>
    <w:rsid w:val="005A21D5"/>
    <w:rsid w:val="005A66AB"/>
    <w:rsid w:val="005B061E"/>
    <w:rsid w:val="005B0FCE"/>
    <w:rsid w:val="005B1A45"/>
    <w:rsid w:val="005C00C0"/>
    <w:rsid w:val="005C0BD1"/>
    <w:rsid w:val="005C1ED1"/>
    <w:rsid w:val="005C267C"/>
    <w:rsid w:val="005C4C29"/>
    <w:rsid w:val="005C5ECE"/>
    <w:rsid w:val="005C7DE6"/>
    <w:rsid w:val="005D03E0"/>
    <w:rsid w:val="005D22D3"/>
    <w:rsid w:val="005D4A02"/>
    <w:rsid w:val="005D66C9"/>
    <w:rsid w:val="005E06CC"/>
    <w:rsid w:val="005E3278"/>
    <w:rsid w:val="005E4675"/>
    <w:rsid w:val="005F01B7"/>
    <w:rsid w:val="005F0640"/>
    <w:rsid w:val="005F212B"/>
    <w:rsid w:val="005F2BC7"/>
    <w:rsid w:val="005F39FA"/>
    <w:rsid w:val="005F3C10"/>
    <w:rsid w:val="005F496B"/>
    <w:rsid w:val="005F4DC9"/>
    <w:rsid w:val="005F5787"/>
    <w:rsid w:val="005F59E7"/>
    <w:rsid w:val="00600C9B"/>
    <w:rsid w:val="00602384"/>
    <w:rsid w:val="006024FA"/>
    <w:rsid w:val="0060333C"/>
    <w:rsid w:val="006033E1"/>
    <w:rsid w:val="00603757"/>
    <w:rsid w:val="00605CC1"/>
    <w:rsid w:val="00612006"/>
    <w:rsid w:val="0061290F"/>
    <w:rsid w:val="00612C6C"/>
    <w:rsid w:val="006134DA"/>
    <w:rsid w:val="00614F2D"/>
    <w:rsid w:val="006150CF"/>
    <w:rsid w:val="006169FF"/>
    <w:rsid w:val="00617357"/>
    <w:rsid w:val="00617650"/>
    <w:rsid w:val="00617B64"/>
    <w:rsid w:val="00617E95"/>
    <w:rsid w:val="00621951"/>
    <w:rsid w:val="0062493F"/>
    <w:rsid w:val="006252AB"/>
    <w:rsid w:val="00625372"/>
    <w:rsid w:val="0063118F"/>
    <w:rsid w:val="00633611"/>
    <w:rsid w:val="00635F76"/>
    <w:rsid w:val="00636D65"/>
    <w:rsid w:val="0064086E"/>
    <w:rsid w:val="00641D41"/>
    <w:rsid w:val="00642767"/>
    <w:rsid w:val="00642B44"/>
    <w:rsid w:val="006452DB"/>
    <w:rsid w:val="00646DF1"/>
    <w:rsid w:val="0065009B"/>
    <w:rsid w:val="006527F5"/>
    <w:rsid w:val="00652B86"/>
    <w:rsid w:val="00652CE7"/>
    <w:rsid w:val="00655183"/>
    <w:rsid w:val="006613EC"/>
    <w:rsid w:val="00661A50"/>
    <w:rsid w:val="00661BFA"/>
    <w:rsid w:val="006622B8"/>
    <w:rsid w:val="00662314"/>
    <w:rsid w:val="0066277F"/>
    <w:rsid w:val="00662F23"/>
    <w:rsid w:val="00663822"/>
    <w:rsid w:val="00664203"/>
    <w:rsid w:val="0066436D"/>
    <w:rsid w:val="0066475F"/>
    <w:rsid w:val="006658F6"/>
    <w:rsid w:val="00665AD5"/>
    <w:rsid w:val="0067097E"/>
    <w:rsid w:val="00674C5D"/>
    <w:rsid w:val="00675479"/>
    <w:rsid w:val="006755F9"/>
    <w:rsid w:val="00676969"/>
    <w:rsid w:val="006778DC"/>
    <w:rsid w:val="00677AFA"/>
    <w:rsid w:val="00680420"/>
    <w:rsid w:val="00681337"/>
    <w:rsid w:val="00684310"/>
    <w:rsid w:val="00684443"/>
    <w:rsid w:val="00687A04"/>
    <w:rsid w:val="006910D5"/>
    <w:rsid w:val="00691BF6"/>
    <w:rsid w:val="00691CC7"/>
    <w:rsid w:val="0069215C"/>
    <w:rsid w:val="00693997"/>
    <w:rsid w:val="00693DFD"/>
    <w:rsid w:val="00693E9F"/>
    <w:rsid w:val="0069725F"/>
    <w:rsid w:val="006A065F"/>
    <w:rsid w:val="006A12D2"/>
    <w:rsid w:val="006A2181"/>
    <w:rsid w:val="006A2456"/>
    <w:rsid w:val="006A3354"/>
    <w:rsid w:val="006A49D4"/>
    <w:rsid w:val="006A5A17"/>
    <w:rsid w:val="006A63C7"/>
    <w:rsid w:val="006A7567"/>
    <w:rsid w:val="006B1983"/>
    <w:rsid w:val="006B3231"/>
    <w:rsid w:val="006B3CC1"/>
    <w:rsid w:val="006B5073"/>
    <w:rsid w:val="006B765B"/>
    <w:rsid w:val="006B7C11"/>
    <w:rsid w:val="006C1F30"/>
    <w:rsid w:val="006C211D"/>
    <w:rsid w:val="006C33BD"/>
    <w:rsid w:val="006C38CF"/>
    <w:rsid w:val="006C41E0"/>
    <w:rsid w:val="006C5170"/>
    <w:rsid w:val="006C61AA"/>
    <w:rsid w:val="006D0506"/>
    <w:rsid w:val="006D1D93"/>
    <w:rsid w:val="006D3176"/>
    <w:rsid w:val="006D3190"/>
    <w:rsid w:val="006D4294"/>
    <w:rsid w:val="006D4C69"/>
    <w:rsid w:val="006D615D"/>
    <w:rsid w:val="006E039C"/>
    <w:rsid w:val="006E1CF9"/>
    <w:rsid w:val="006E2117"/>
    <w:rsid w:val="006E275C"/>
    <w:rsid w:val="006E39C2"/>
    <w:rsid w:val="006E4070"/>
    <w:rsid w:val="006E6ECB"/>
    <w:rsid w:val="006F074E"/>
    <w:rsid w:val="006F2E32"/>
    <w:rsid w:val="006F375E"/>
    <w:rsid w:val="006F4E96"/>
    <w:rsid w:val="006F57D5"/>
    <w:rsid w:val="006F59BE"/>
    <w:rsid w:val="006F6666"/>
    <w:rsid w:val="006F7E4C"/>
    <w:rsid w:val="00700425"/>
    <w:rsid w:val="00702B82"/>
    <w:rsid w:val="00703BEF"/>
    <w:rsid w:val="007042A4"/>
    <w:rsid w:val="0070695A"/>
    <w:rsid w:val="007069C0"/>
    <w:rsid w:val="00711853"/>
    <w:rsid w:val="0071199E"/>
    <w:rsid w:val="007121A2"/>
    <w:rsid w:val="00713720"/>
    <w:rsid w:val="00713BE8"/>
    <w:rsid w:val="00720E49"/>
    <w:rsid w:val="00721C24"/>
    <w:rsid w:val="007222B7"/>
    <w:rsid w:val="00723509"/>
    <w:rsid w:val="00723BFA"/>
    <w:rsid w:val="00723F3B"/>
    <w:rsid w:val="00723F4B"/>
    <w:rsid w:val="00724A4B"/>
    <w:rsid w:val="00724C63"/>
    <w:rsid w:val="007268C7"/>
    <w:rsid w:val="00727D5D"/>
    <w:rsid w:val="00732F61"/>
    <w:rsid w:val="0073380C"/>
    <w:rsid w:val="00734C54"/>
    <w:rsid w:val="00736A02"/>
    <w:rsid w:val="007462A0"/>
    <w:rsid w:val="00750139"/>
    <w:rsid w:val="00750A0E"/>
    <w:rsid w:val="00750F47"/>
    <w:rsid w:val="00751DD1"/>
    <w:rsid w:val="00753141"/>
    <w:rsid w:val="00753281"/>
    <w:rsid w:val="00753428"/>
    <w:rsid w:val="0075400B"/>
    <w:rsid w:val="007556C5"/>
    <w:rsid w:val="00755F3D"/>
    <w:rsid w:val="007626AF"/>
    <w:rsid w:val="007636DD"/>
    <w:rsid w:val="00766582"/>
    <w:rsid w:val="00767C3E"/>
    <w:rsid w:val="00770B0B"/>
    <w:rsid w:val="00775600"/>
    <w:rsid w:val="00775914"/>
    <w:rsid w:val="00776CA4"/>
    <w:rsid w:val="00785DDD"/>
    <w:rsid w:val="007872B1"/>
    <w:rsid w:val="007903FA"/>
    <w:rsid w:val="0079159E"/>
    <w:rsid w:val="00791D3D"/>
    <w:rsid w:val="007948F6"/>
    <w:rsid w:val="00794A1D"/>
    <w:rsid w:val="00794C79"/>
    <w:rsid w:val="00795DBB"/>
    <w:rsid w:val="007960F0"/>
    <w:rsid w:val="007A14B7"/>
    <w:rsid w:val="007A1E40"/>
    <w:rsid w:val="007A1FBC"/>
    <w:rsid w:val="007A455A"/>
    <w:rsid w:val="007A494F"/>
    <w:rsid w:val="007B0CC5"/>
    <w:rsid w:val="007B0EEA"/>
    <w:rsid w:val="007B4931"/>
    <w:rsid w:val="007B6781"/>
    <w:rsid w:val="007C407D"/>
    <w:rsid w:val="007C416E"/>
    <w:rsid w:val="007C4E73"/>
    <w:rsid w:val="007C5824"/>
    <w:rsid w:val="007C5BF2"/>
    <w:rsid w:val="007C6FB1"/>
    <w:rsid w:val="007D1D1B"/>
    <w:rsid w:val="007D25C7"/>
    <w:rsid w:val="007D5978"/>
    <w:rsid w:val="007D7086"/>
    <w:rsid w:val="007D7252"/>
    <w:rsid w:val="007D7C1A"/>
    <w:rsid w:val="007E03E4"/>
    <w:rsid w:val="007E0D8A"/>
    <w:rsid w:val="007E1354"/>
    <w:rsid w:val="007E1D6B"/>
    <w:rsid w:val="007E2C2F"/>
    <w:rsid w:val="007E352C"/>
    <w:rsid w:val="007E4575"/>
    <w:rsid w:val="007E4C49"/>
    <w:rsid w:val="007E531C"/>
    <w:rsid w:val="007E552D"/>
    <w:rsid w:val="007F25AD"/>
    <w:rsid w:val="007F273E"/>
    <w:rsid w:val="007F281B"/>
    <w:rsid w:val="007F3D51"/>
    <w:rsid w:val="007F721F"/>
    <w:rsid w:val="007F7DE3"/>
    <w:rsid w:val="00800450"/>
    <w:rsid w:val="008007AC"/>
    <w:rsid w:val="008011C7"/>
    <w:rsid w:val="00802062"/>
    <w:rsid w:val="0080250D"/>
    <w:rsid w:val="0080289D"/>
    <w:rsid w:val="0080386D"/>
    <w:rsid w:val="00804171"/>
    <w:rsid w:val="00805410"/>
    <w:rsid w:val="00806FA2"/>
    <w:rsid w:val="008077A9"/>
    <w:rsid w:val="008078FE"/>
    <w:rsid w:val="00810210"/>
    <w:rsid w:val="0081055C"/>
    <w:rsid w:val="008149FB"/>
    <w:rsid w:val="00814D7B"/>
    <w:rsid w:val="00815855"/>
    <w:rsid w:val="00815B30"/>
    <w:rsid w:val="00816AAD"/>
    <w:rsid w:val="00817364"/>
    <w:rsid w:val="00817C46"/>
    <w:rsid w:val="00817CF5"/>
    <w:rsid w:val="008213F4"/>
    <w:rsid w:val="00821AD6"/>
    <w:rsid w:val="00822728"/>
    <w:rsid w:val="00823C90"/>
    <w:rsid w:val="00823D6E"/>
    <w:rsid w:val="008241EC"/>
    <w:rsid w:val="00824524"/>
    <w:rsid w:val="0082604E"/>
    <w:rsid w:val="00826E2A"/>
    <w:rsid w:val="00831DF1"/>
    <w:rsid w:val="008323FF"/>
    <w:rsid w:val="00833E8B"/>
    <w:rsid w:val="00833F93"/>
    <w:rsid w:val="00834409"/>
    <w:rsid w:val="008400CF"/>
    <w:rsid w:val="008438C9"/>
    <w:rsid w:val="00843C7D"/>
    <w:rsid w:val="00843FD3"/>
    <w:rsid w:val="00846380"/>
    <w:rsid w:val="00846CC6"/>
    <w:rsid w:val="008519D7"/>
    <w:rsid w:val="008522AE"/>
    <w:rsid w:val="00854769"/>
    <w:rsid w:val="00854977"/>
    <w:rsid w:val="008576C6"/>
    <w:rsid w:val="00860B0F"/>
    <w:rsid w:val="00860EB3"/>
    <w:rsid w:val="0086108D"/>
    <w:rsid w:val="00862937"/>
    <w:rsid w:val="00865FC1"/>
    <w:rsid w:val="00873A5A"/>
    <w:rsid w:val="00874560"/>
    <w:rsid w:val="008763B2"/>
    <w:rsid w:val="008810E9"/>
    <w:rsid w:val="008823A1"/>
    <w:rsid w:val="00882664"/>
    <w:rsid w:val="00883460"/>
    <w:rsid w:val="00885F36"/>
    <w:rsid w:val="00886440"/>
    <w:rsid w:val="00887AB9"/>
    <w:rsid w:val="00890CF1"/>
    <w:rsid w:val="00890DF6"/>
    <w:rsid w:val="00892286"/>
    <w:rsid w:val="0089609F"/>
    <w:rsid w:val="0089630A"/>
    <w:rsid w:val="00896A29"/>
    <w:rsid w:val="00896DD0"/>
    <w:rsid w:val="00896DD6"/>
    <w:rsid w:val="008A0221"/>
    <w:rsid w:val="008A1807"/>
    <w:rsid w:val="008A188A"/>
    <w:rsid w:val="008A4D0A"/>
    <w:rsid w:val="008A60B3"/>
    <w:rsid w:val="008A6181"/>
    <w:rsid w:val="008A6D2E"/>
    <w:rsid w:val="008A7196"/>
    <w:rsid w:val="008A7C54"/>
    <w:rsid w:val="008B4239"/>
    <w:rsid w:val="008B4A37"/>
    <w:rsid w:val="008B5983"/>
    <w:rsid w:val="008B5C0D"/>
    <w:rsid w:val="008B7636"/>
    <w:rsid w:val="008B7DD4"/>
    <w:rsid w:val="008C1A07"/>
    <w:rsid w:val="008C1D06"/>
    <w:rsid w:val="008C4005"/>
    <w:rsid w:val="008C49C5"/>
    <w:rsid w:val="008D0CDA"/>
    <w:rsid w:val="008D40E9"/>
    <w:rsid w:val="008D558B"/>
    <w:rsid w:val="008E151C"/>
    <w:rsid w:val="008E2307"/>
    <w:rsid w:val="008E63E0"/>
    <w:rsid w:val="008E713C"/>
    <w:rsid w:val="008F0F30"/>
    <w:rsid w:val="008F2563"/>
    <w:rsid w:val="008F329A"/>
    <w:rsid w:val="008F3D93"/>
    <w:rsid w:val="008F4677"/>
    <w:rsid w:val="008F7E11"/>
    <w:rsid w:val="00900438"/>
    <w:rsid w:val="00900D36"/>
    <w:rsid w:val="00901011"/>
    <w:rsid w:val="0090110D"/>
    <w:rsid w:val="00901C5B"/>
    <w:rsid w:val="00901D62"/>
    <w:rsid w:val="0090392C"/>
    <w:rsid w:val="00906416"/>
    <w:rsid w:val="009103D3"/>
    <w:rsid w:val="00910EE0"/>
    <w:rsid w:val="0091213A"/>
    <w:rsid w:val="009152E5"/>
    <w:rsid w:val="00916B52"/>
    <w:rsid w:val="00916EB9"/>
    <w:rsid w:val="0092033A"/>
    <w:rsid w:val="0092735C"/>
    <w:rsid w:val="00930058"/>
    <w:rsid w:val="00930A61"/>
    <w:rsid w:val="00931C30"/>
    <w:rsid w:val="00932A6F"/>
    <w:rsid w:val="00934319"/>
    <w:rsid w:val="00934928"/>
    <w:rsid w:val="00934AB5"/>
    <w:rsid w:val="00934AE5"/>
    <w:rsid w:val="009354DB"/>
    <w:rsid w:val="009365DC"/>
    <w:rsid w:val="009440EC"/>
    <w:rsid w:val="0094480B"/>
    <w:rsid w:val="00944A0A"/>
    <w:rsid w:val="0094655B"/>
    <w:rsid w:val="0094663A"/>
    <w:rsid w:val="00946725"/>
    <w:rsid w:val="00946B97"/>
    <w:rsid w:val="00946F87"/>
    <w:rsid w:val="00950488"/>
    <w:rsid w:val="00951086"/>
    <w:rsid w:val="009547AC"/>
    <w:rsid w:val="00955A1D"/>
    <w:rsid w:val="0095633F"/>
    <w:rsid w:val="009568A6"/>
    <w:rsid w:val="00956A1C"/>
    <w:rsid w:val="00957A3D"/>
    <w:rsid w:val="00957E94"/>
    <w:rsid w:val="0096229B"/>
    <w:rsid w:val="009629BC"/>
    <w:rsid w:val="00964ECB"/>
    <w:rsid w:val="009677C8"/>
    <w:rsid w:val="0097042A"/>
    <w:rsid w:val="00971634"/>
    <w:rsid w:val="00972358"/>
    <w:rsid w:val="00972526"/>
    <w:rsid w:val="0097259B"/>
    <w:rsid w:val="009738B8"/>
    <w:rsid w:val="00973BBA"/>
    <w:rsid w:val="00974101"/>
    <w:rsid w:val="00974AD6"/>
    <w:rsid w:val="00974B67"/>
    <w:rsid w:val="009758E0"/>
    <w:rsid w:val="00976487"/>
    <w:rsid w:val="009770D4"/>
    <w:rsid w:val="009800D3"/>
    <w:rsid w:val="00980255"/>
    <w:rsid w:val="0098281C"/>
    <w:rsid w:val="00982D39"/>
    <w:rsid w:val="00985E65"/>
    <w:rsid w:val="0098635A"/>
    <w:rsid w:val="0098795C"/>
    <w:rsid w:val="0099010A"/>
    <w:rsid w:val="00991479"/>
    <w:rsid w:val="0099375B"/>
    <w:rsid w:val="0099390E"/>
    <w:rsid w:val="00997785"/>
    <w:rsid w:val="009A085C"/>
    <w:rsid w:val="009A32FB"/>
    <w:rsid w:val="009A3693"/>
    <w:rsid w:val="009A5448"/>
    <w:rsid w:val="009A7FE2"/>
    <w:rsid w:val="009B1E85"/>
    <w:rsid w:val="009B2A1D"/>
    <w:rsid w:val="009B301D"/>
    <w:rsid w:val="009B4356"/>
    <w:rsid w:val="009B452D"/>
    <w:rsid w:val="009B471E"/>
    <w:rsid w:val="009B6B03"/>
    <w:rsid w:val="009C01BC"/>
    <w:rsid w:val="009C3500"/>
    <w:rsid w:val="009C44B7"/>
    <w:rsid w:val="009C5FE3"/>
    <w:rsid w:val="009C6097"/>
    <w:rsid w:val="009D0CA8"/>
    <w:rsid w:val="009D2977"/>
    <w:rsid w:val="009D440F"/>
    <w:rsid w:val="009D4765"/>
    <w:rsid w:val="009D52AA"/>
    <w:rsid w:val="009D6242"/>
    <w:rsid w:val="009D725E"/>
    <w:rsid w:val="009D74FD"/>
    <w:rsid w:val="009E0161"/>
    <w:rsid w:val="009E0426"/>
    <w:rsid w:val="009E1403"/>
    <w:rsid w:val="009E199B"/>
    <w:rsid w:val="009E4B5D"/>
    <w:rsid w:val="009E5840"/>
    <w:rsid w:val="009E6C54"/>
    <w:rsid w:val="009E70B3"/>
    <w:rsid w:val="009F1535"/>
    <w:rsid w:val="009F1BE2"/>
    <w:rsid w:val="009F4147"/>
    <w:rsid w:val="009F648C"/>
    <w:rsid w:val="009F742D"/>
    <w:rsid w:val="00A032FC"/>
    <w:rsid w:val="00A05297"/>
    <w:rsid w:val="00A053DE"/>
    <w:rsid w:val="00A06B02"/>
    <w:rsid w:val="00A10443"/>
    <w:rsid w:val="00A12C3E"/>
    <w:rsid w:val="00A12CEC"/>
    <w:rsid w:val="00A139AB"/>
    <w:rsid w:val="00A13C26"/>
    <w:rsid w:val="00A14D57"/>
    <w:rsid w:val="00A15A4B"/>
    <w:rsid w:val="00A17DB4"/>
    <w:rsid w:val="00A24C79"/>
    <w:rsid w:val="00A25DE6"/>
    <w:rsid w:val="00A3127C"/>
    <w:rsid w:val="00A32894"/>
    <w:rsid w:val="00A3346F"/>
    <w:rsid w:val="00A33AEE"/>
    <w:rsid w:val="00A3580F"/>
    <w:rsid w:val="00A358EA"/>
    <w:rsid w:val="00A36539"/>
    <w:rsid w:val="00A40D14"/>
    <w:rsid w:val="00A4276A"/>
    <w:rsid w:val="00A433EF"/>
    <w:rsid w:val="00A43C9C"/>
    <w:rsid w:val="00A43ECF"/>
    <w:rsid w:val="00A44D81"/>
    <w:rsid w:val="00A4543E"/>
    <w:rsid w:val="00A45B85"/>
    <w:rsid w:val="00A46FBF"/>
    <w:rsid w:val="00A53879"/>
    <w:rsid w:val="00A56C04"/>
    <w:rsid w:val="00A572E7"/>
    <w:rsid w:val="00A57A10"/>
    <w:rsid w:val="00A61397"/>
    <w:rsid w:val="00A618FC"/>
    <w:rsid w:val="00A61FF9"/>
    <w:rsid w:val="00A628E0"/>
    <w:rsid w:val="00A62C47"/>
    <w:rsid w:val="00A63BB9"/>
    <w:rsid w:val="00A63BE7"/>
    <w:rsid w:val="00A642C3"/>
    <w:rsid w:val="00A64EC3"/>
    <w:rsid w:val="00A70570"/>
    <w:rsid w:val="00A7114E"/>
    <w:rsid w:val="00A7153E"/>
    <w:rsid w:val="00A71A77"/>
    <w:rsid w:val="00A72883"/>
    <w:rsid w:val="00A730A8"/>
    <w:rsid w:val="00A73579"/>
    <w:rsid w:val="00A7425F"/>
    <w:rsid w:val="00A742C6"/>
    <w:rsid w:val="00A74724"/>
    <w:rsid w:val="00A74B05"/>
    <w:rsid w:val="00A75075"/>
    <w:rsid w:val="00A75520"/>
    <w:rsid w:val="00A758A7"/>
    <w:rsid w:val="00A759A7"/>
    <w:rsid w:val="00A76060"/>
    <w:rsid w:val="00A76190"/>
    <w:rsid w:val="00A76B65"/>
    <w:rsid w:val="00A76EF1"/>
    <w:rsid w:val="00A83B71"/>
    <w:rsid w:val="00A849F0"/>
    <w:rsid w:val="00A876FD"/>
    <w:rsid w:val="00A90FD8"/>
    <w:rsid w:val="00A9420B"/>
    <w:rsid w:val="00A94534"/>
    <w:rsid w:val="00A9648B"/>
    <w:rsid w:val="00A97092"/>
    <w:rsid w:val="00A97914"/>
    <w:rsid w:val="00AA0550"/>
    <w:rsid w:val="00AA1CD4"/>
    <w:rsid w:val="00AA24BF"/>
    <w:rsid w:val="00AA2693"/>
    <w:rsid w:val="00AA3EAE"/>
    <w:rsid w:val="00AA4520"/>
    <w:rsid w:val="00AA4609"/>
    <w:rsid w:val="00AA74AB"/>
    <w:rsid w:val="00AB14CA"/>
    <w:rsid w:val="00AB3DB4"/>
    <w:rsid w:val="00AB58A1"/>
    <w:rsid w:val="00AC06B1"/>
    <w:rsid w:val="00AC16E6"/>
    <w:rsid w:val="00AC1DD5"/>
    <w:rsid w:val="00AC2423"/>
    <w:rsid w:val="00AC4518"/>
    <w:rsid w:val="00AC56E8"/>
    <w:rsid w:val="00AC5DBA"/>
    <w:rsid w:val="00AC5FC8"/>
    <w:rsid w:val="00AD0064"/>
    <w:rsid w:val="00AD0B43"/>
    <w:rsid w:val="00AD0BDC"/>
    <w:rsid w:val="00AD21D6"/>
    <w:rsid w:val="00AD361F"/>
    <w:rsid w:val="00AD40F0"/>
    <w:rsid w:val="00AD422A"/>
    <w:rsid w:val="00AD45CE"/>
    <w:rsid w:val="00AD4AF7"/>
    <w:rsid w:val="00AE0070"/>
    <w:rsid w:val="00AE1103"/>
    <w:rsid w:val="00AE15E8"/>
    <w:rsid w:val="00AE3B99"/>
    <w:rsid w:val="00AE3C32"/>
    <w:rsid w:val="00AE5044"/>
    <w:rsid w:val="00AF3FAC"/>
    <w:rsid w:val="00AF5703"/>
    <w:rsid w:val="00AF57A0"/>
    <w:rsid w:val="00AF58AC"/>
    <w:rsid w:val="00AF62AA"/>
    <w:rsid w:val="00AF6DB4"/>
    <w:rsid w:val="00B0011C"/>
    <w:rsid w:val="00B00C2F"/>
    <w:rsid w:val="00B013C0"/>
    <w:rsid w:val="00B01670"/>
    <w:rsid w:val="00B018F1"/>
    <w:rsid w:val="00B07113"/>
    <w:rsid w:val="00B11127"/>
    <w:rsid w:val="00B125C5"/>
    <w:rsid w:val="00B1346A"/>
    <w:rsid w:val="00B135EF"/>
    <w:rsid w:val="00B13F8F"/>
    <w:rsid w:val="00B1474A"/>
    <w:rsid w:val="00B16C1E"/>
    <w:rsid w:val="00B17501"/>
    <w:rsid w:val="00B2122C"/>
    <w:rsid w:val="00B2130E"/>
    <w:rsid w:val="00B2140A"/>
    <w:rsid w:val="00B22255"/>
    <w:rsid w:val="00B2255F"/>
    <w:rsid w:val="00B2330D"/>
    <w:rsid w:val="00B263DD"/>
    <w:rsid w:val="00B30CE7"/>
    <w:rsid w:val="00B3287D"/>
    <w:rsid w:val="00B33056"/>
    <w:rsid w:val="00B33474"/>
    <w:rsid w:val="00B34656"/>
    <w:rsid w:val="00B34C4F"/>
    <w:rsid w:val="00B361CA"/>
    <w:rsid w:val="00B41DD0"/>
    <w:rsid w:val="00B42136"/>
    <w:rsid w:val="00B44586"/>
    <w:rsid w:val="00B45AEA"/>
    <w:rsid w:val="00B5175F"/>
    <w:rsid w:val="00B51BC6"/>
    <w:rsid w:val="00B520E4"/>
    <w:rsid w:val="00B5320A"/>
    <w:rsid w:val="00B54D36"/>
    <w:rsid w:val="00B6108E"/>
    <w:rsid w:val="00B619AB"/>
    <w:rsid w:val="00B61E04"/>
    <w:rsid w:val="00B629D5"/>
    <w:rsid w:val="00B6392B"/>
    <w:rsid w:val="00B64092"/>
    <w:rsid w:val="00B6451F"/>
    <w:rsid w:val="00B64C42"/>
    <w:rsid w:val="00B65EFC"/>
    <w:rsid w:val="00B667EA"/>
    <w:rsid w:val="00B67E93"/>
    <w:rsid w:val="00B722AA"/>
    <w:rsid w:val="00B7346C"/>
    <w:rsid w:val="00B734E9"/>
    <w:rsid w:val="00B753ED"/>
    <w:rsid w:val="00B7543C"/>
    <w:rsid w:val="00B7635F"/>
    <w:rsid w:val="00B769DB"/>
    <w:rsid w:val="00B80971"/>
    <w:rsid w:val="00B81C75"/>
    <w:rsid w:val="00B82799"/>
    <w:rsid w:val="00B82928"/>
    <w:rsid w:val="00B82C2C"/>
    <w:rsid w:val="00B82FBC"/>
    <w:rsid w:val="00B847F7"/>
    <w:rsid w:val="00B85790"/>
    <w:rsid w:val="00B86CA6"/>
    <w:rsid w:val="00B87654"/>
    <w:rsid w:val="00B94752"/>
    <w:rsid w:val="00B96796"/>
    <w:rsid w:val="00B97B0D"/>
    <w:rsid w:val="00BA0003"/>
    <w:rsid w:val="00BA041E"/>
    <w:rsid w:val="00BA08F9"/>
    <w:rsid w:val="00BA16B5"/>
    <w:rsid w:val="00BA2DE7"/>
    <w:rsid w:val="00BA3B80"/>
    <w:rsid w:val="00BA511A"/>
    <w:rsid w:val="00BA51EB"/>
    <w:rsid w:val="00BA56C0"/>
    <w:rsid w:val="00BA5A5D"/>
    <w:rsid w:val="00BA6642"/>
    <w:rsid w:val="00BA6F55"/>
    <w:rsid w:val="00BB09D5"/>
    <w:rsid w:val="00BB20AA"/>
    <w:rsid w:val="00BB2A7D"/>
    <w:rsid w:val="00BB4260"/>
    <w:rsid w:val="00BB4E73"/>
    <w:rsid w:val="00BB5073"/>
    <w:rsid w:val="00BB5DF0"/>
    <w:rsid w:val="00BB6265"/>
    <w:rsid w:val="00BB7770"/>
    <w:rsid w:val="00BB78B2"/>
    <w:rsid w:val="00BB7D57"/>
    <w:rsid w:val="00BC05A3"/>
    <w:rsid w:val="00BC0990"/>
    <w:rsid w:val="00BC0DFA"/>
    <w:rsid w:val="00BC3580"/>
    <w:rsid w:val="00BC6BE1"/>
    <w:rsid w:val="00BD16BD"/>
    <w:rsid w:val="00BD3739"/>
    <w:rsid w:val="00BD4232"/>
    <w:rsid w:val="00BD524B"/>
    <w:rsid w:val="00BD56FD"/>
    <w:rsid w:val="00BD7800"/>
    <w:rsid w:val="00BE08DA"/>
    <w:rsid w:val="00BE15E7"/>
    <w:rsid w:val="00BE1726"/>
    <w:rsid w:val="00BE1922"/>
    <w:rsid w:val="00BE2A58"/>
    <w:rsid w:val="00BE357C"/>
    <w:rsid w:val="00BE521C"/>
    <w:rsid w:val="00BE79B8"/>
    <w:rsid w:val="00BF0A82"/>
    <w:rsid w:val="00BF2DB6"/>
    <w:rsid w:val="00BF57B4"/>
    <w:rsid w:val="00BF6057"/>
    <w:rsid w:val="00BF71BF"/>
    <w:rsid w:val="00C006AA"/>
    <w:rsid w:val="00C0531D"/>
    <w:rsid w:val="00C07E2A"/>
    <w:rsid w:val="00C07EEA"/>
    <w:rsid w:val="00C10787"/>
    <w:rsid w:val="00C11588"/>
    <w:rsid w:val="00C128FD"/>
    <w:rsid w:val="00C13D59"/>
    <w:rsid w:val="00C140BB"/>
    <w:rsid w:val="00C150E0"/>
    <w:rsid w:val="00C177D3"/>
    <w:rsid w:val="00C1788E"/>
    <w:rsid w:val="00C20188"/>
    <w:rsid w:val="00C206F8"/>
    <w:rsid w:val="00C21960"/>
    <w:rsid w:val="00C233FC"/>
    <w:rsid w:val="00C23D08"/>
    <w:rsid w:val="00C2712F"/>
    <w:rsid w:val="00C3051F"/>
    <w:rsid w:val="00C34258"/>
    <w:rsid w:val="00C34ACE"/>
    <w:rsid w:val="00C35180"/>
    <w:rsid w:val="00C36BDE"/>
    <w:rsid w:val="00C37035"/>
    <w:rsid w:val="00C37D25"/>
    <w:rsid w:val="00C4147F"/>
    <w:rsid w:val="00C422E6"/>
    <w:rsid w:val="00C42732"/>
    <w:rsid w:val="00C42A55"/>
    <w:rsid w:val="00C452FE"/>
    <w:rsid w:val="00C503CF"/>
    <w:rsid w:val="00C50AAF"/>
    <w:rsid w:val="00C50E00"/>
    <w:rsid w:val="00C511E0"/>
    <w:rsid w:val="00C515CE"/>
    <w:rsid w:val="00C51F95"/>
    <w:rsid w:val="00C52613"/>
    <w:rsid w:val="00C53C9F"/>
    <w:rsid w:val="00C54057"/>
    <w:rsid w:val="00C559C1"/>
    <w:rsid w:val="00C55D0C"/>
    <w:rsid w:val="00C61969"/>
    <w:rsid w:val="00C62A47"/>
    <w:rsid w:val="00C63087"/>
    <w:rsid w:val="00C634DC"/>
    <w:rsid w:val="00C64595"/>
    <w:rsid w:val="00C6494E"/>
    <w:rsid w:val="00C64A0F"/>
    <w:rsid w:val="00C70FF6"/>
    <w:rsid w:val="00C712DB"/>
    <w:rsid w:val="00C736C8"/>
    <w:rsid w:val="00C739D6"/>
    <w:rsid w:val="00C740BB"/>
    <w:rsid w:val="00C764B0"/>
    <w:rsid w:val="00C765A2"/>
    <w:rsid w:val="00C7771E"/>
    <w:rsid w:val="00C81AA5"/>
    <w:rsid w:val="00C825DE"/>
    <w:rsid w:val="00C8379F"/>
    <w:rsid w:val="00C84E92"/>
    <w:rsid w:val="00C858C1"/>
    <w:rsid w:val="00C86BC4"/>
    <w:rsid w:val="00C86E9B"/>
    <w:rsid w:val="00C87A9B"/>
    <w:rsid w:val="00C931B7"/>
    <w:rsid w:val="00C95FC7"/>
    <w:rsid w:val="00C9735C"/>
    <w:rsid w:val="00C97B6C"/>
    <w:rsid w:val="00CA0376"/>
    <w:rsid w:val="00CA04B7"/>
    <w:rsid w:val="00CA0928"/>
    <w:rsid w:val="00CA09B2"/>
    <w:rsid w:val="00CA12FD"/>
    <w:rsid w:val="00CA33DB"/>
    <w:rsid w:val="00CA39FA"/>
    <w:rsid w:val="00CA4231"/>
    <w:rsid w:val="00CA60E9"/>
    <w:rsid w:val="00CA72BF"/>
    <w:rsid w:val="00CA74DA"/>
    <w:rsid w:val="00CB04E8"/>
    <w:rsid w:val="00CB0F54"/>
    <w:rsid w:val="00CB108C"/>
    <w:rsid w:val="00CB15A0"/>
    <w:rsid w:val="00CB22DE"/>
    <w:rsid w:val="00CB41C1"/>
    <w:rsid w:val="00CB4EE1"/>
    <w:rsid w:val="00CB5017"/>
    <w:rsid w:val="00CB6073"/>
    <w:rsid w:val="00CB6FCA"/>
    <w:rsid w:val="00CC014D"/>
    <w:rsid w:val="00CC53AA"/>
    <w:rsid w:val="00CC6C5C"/>
    <w:rsid w:val="00CD0575"/>
    <w:rsid w:val="00CD13B5"/>
    <w:rsid w:val="00CD2BDA"/>
    <w:rsid w:val="00CD4194"/>
    <w:rsid w:val="00CD553B"/>
    <w:rsid w:val="00CD6434"/>
    <w:rsid w:val="00CD6A57"/>
    <w:rsid w:val="00CE0BC0"/>
    <w:rsid w:val="00CE1700"/>
    <w:rsid w:val="00CE177D"/>
    <w:rsid w:val="00CE47CF"/>
    <w:rsid w:val="00CE53AE"/>
    <w:rsid w:val="00CE60BC"/>
    <w:rsid w:val="00CF2827"/>
    <w:rsid w:val="00CF44F3"/>
    <w:rsid w:val="00CF5613"/>
    <w:rsid w:val="00CF61C7"/>
    <w:rsid w:val="00CF7DEC"/>
    <w:rsid w:val="00D0303A"/>
    <w:rsid w:val="00D05F01"/>
    <w:rsid w:val="00D076D1"/>
    <w:rsid w:val="00D10463"/>
    <w:rsid w:val="00D11B31"/>
    <w:rsid w:val="00D11E6A"/>
    <w:rsid w:val="00D12905"/>
    <w:rsid w:val="00D12D14"/>
    <w:rsid w:val="00D1428A"/>
    <w:rsid w:val="00D15D84"/>
    <w:rsid w:val="00D17A85"/>
    <w:rsid w:val="00D212EE"/>
    <w:rsid w:val="00D213A1"/>
    <w:rsid w:val="00D21B28"/>
    <w:rsid w:val="00D23C58"/>
    <w:rsid w:val="00D263D9"/>
    <w:rsid w:val="00D30B8B"/>
    <w:rsid w:val="00D310B4"/>
    <w:rsid w:val="00D3716A"/>
    <w:rsid w:val="00D375C7"/>
    <w:rsid w:val="00D37E7F"/>
    <w:rsid w:val="00D37F76"/>
    <w:rsid w:val="00D410AD"/>
    <w:rsid w:val="00D41631"/>
    <w:rsid w:val="00D41A03"/>
    <w:rsid w:val="00D42097"/>
    <w:rsid w:val="00D42653"/>
    <w:rsid w:val="00D42788"/>
    <w:rsid w:val="00D431F8"/>
    <w:rsid w:val="00D43C1F"/>
    <w:rsid w:val="00D440CE"/>
    <w:rsid w:val="00D4413C"/>
    <w:rsid w:val="00D52F66"/>
    <w:rsid w:val="00D53AFA"/>
    <w:rsid w:val="00D55E01"/>
    <w:rsid w:val="00D576E0"/>
    <w:rsid w:val="00D57C35"/>
    <w:rsid w:val="00D61C77"/>
    <w:rsid w:val="00D61DB0"/>
    <w:rsid w:val="00D61FA6"/>
    <w:rsid w:val="00D626EA"/>
    <w:rsid w:val="00D639DB"/>
    <w:rsid w:val="00D63AAC"/>
    <w:rsid w:val="00D649BE"/>
    <w:rsid w:val="00D64F32"/>
    <w:rsid w:val="00D65383"/>
    <w:rsid w:val="00D674DE"/>
    <w:rsid w:val="00D67C80"/>
    <w:rsid w:val="00D702E7"/>
    <w:rsid w:val="00D70578"/>
    <w:rsid w:val="00D71A59"/>
    <w:rsid w:val="00D71FAC"/>
    <w:rsid w:val="00D738AF"/>
    <w:rsid w:val="00D74876"/>
    <w:rsid w:val="00D75D57"/>
    <w:rsid w:val="00D764A2"/>
    <w:rsid w:val="00D76A0B"/>
    <w:rsid w:val="00D7795E"/>
    <w:rsid w:val="00D82A36"/>
    <w:rsid w:val="00D9032B"/>
    <w:rsid w:val="00D90456"/>
    <w:rsid w:val="00D90771"/>
    <w:rsid w:val="00D90D89"/>
    <w:rsid w:val="00D90F55"/>
    <w:rsid w:val="00D91855"/>
    <w:rsid w:val="00D92253"/>
    <w:rsid w:val="00D9296E"/>
    <w:rsid w:val="00D95C8F"/>
    <w:rsid w:val="00D967C8"/>
    <w:rsid w:val="00D97A81"/>
    <w:rsid w:val="00DA136E"/>
    <w:rsid w:val="00DA17EA"/>
    <w:rsid w:val="00DA2288"/>
    <w:rsid w:val="00DA30F3"/>
    <w:rsid w:val="00DA46E2"/>
    <w:rsid w:val="00DA7E4C"/>
    <w:rsid w:val="00DB0CAE"/>
    <w:rsid w:val="00DB1F99"/>
    <w:rsid w:val="00DB22A2"/>
    <w:rsid w:val="00DB4A34"/>
    <w:rsid w:val="00DB5284"/>
    <w:rsid w:val="00DB5338"/>
    <w:rsid w:val="00DB5C6A"/>
    <w:rsid w:val="00DB6219"/>
    <w:rsid w:val="00DB7663"/>
    <w:rsid w:val="00DC0DB8"/>
    <w:rsid w:val="00DC2AF2"/>
    <w:rsid w:val="00DC2CB0"/>
    <w:rsid w:val="00DC35DB"/>
    <w:rsid w:val="00DC3B29"/>
    <w:rsid w:val="00DC58A9"/>
    <w:rsid w:val="00DD0C82"/>
    <w:rsid w:val="00DD3427"/>
    <w:rsid w:val="00DD41CB"/>
    <w:rsid w:val="00DD55B2"/>
    <w:rsid w:val="00DD6413"/>
    <w:rsid w:val="00DE03CA"/>
    <w:rsid w:val="00DE0F69"/>
    <w:rsid w:val="00DE39A4"/>
    <w:rsid w:val="00DE3EA8"/>
    <w:rsid w:val="00DE3FAF"/>
    <w:rsid w:val="00DE4625"/>
    <w:rsid w:val="00DE46F0"/>
    <w:rsid w:val="00DE7100"/>
    <w:rsid w:val="00DF0C92"/>
    <w:rsid w:val="00DF2607"/>
    <w:rsid w:val="00DF6365"/>
    <w:rsid w:val="00DF68D3"/>
    <w:rsid w:val="00DF6E3F"/>
    <w:rsid w:val="00E00AC8"/>
    <w:rsid w:val="00E00C22"/>
    <w:rsid w:val="00E02930"/>
    <w:rsid w:val="00E07383"/>
    <w:rsid w:val="00E116F3"/>
    <w:rsid w:val="00E117E4"/>
    <w:rsid w:val="00E1321E"/>
    <w:rsid w:val="00E15781"/>
    <w:rsid w:val="00E15C93"/>
    <w:rsid w:val="00E15EEE"/>
    <w:rsid w:val="00E15FF0"/>
    <w:rsid w:val="00E1712C"/>
    <w:rsid w:val="00E20C9B"/>
    <w:rsid w:val="00E2230B"/>
    <w:rsid w:val="00E230E2"/>
    <w:rsid w:val="00E24ECC"/>
    <w:rsid w:val="00E2549F"/>
    <w:rsid w:val="00E25E50"/>
    <w:rsid w:val="00E26A05"/>
    <w:rsid w:val="00E26F2B"/>
    <w:rsid w:val="00E2752E"/>
    <w:rsid w:val="00E32C70"/>
    <w:rsid w:val="00E34DD4"/>
    <w:rsid w:val="00E35F96"/>
    <w:rsid w:val="00E37DA2"/>
    <w:rsid w:val="00E4055D"/>
    <w:rsid w:val="00E407DF"/>
    <w:rsid w:val="00E414F3"/>
    <w:rsid w:val="00E41879"/>
    <w:rsid w:val="00E420A6"/>
    <w:rsid w:val="00E421F7"/>
    <w:rsid w:val="00E42D6F"/>
    <w:rsid w:val="00E45B71"/>
    <w:rsid w:val="00E51670"/>
    <w:rsid w:val="00E520CC"/>
    <w:rsid w:val="00E53188"/>
    <w:rsid w:val="00E565CD"/>
    <w:rsid w:val="00E619A3"/>
    <w:rsid w:val="00E6462D"/>
    <w:rsid w:val="00E64AD3"/>
    <w:rsid w:val="00E66671"/>
    <w:rsid w:val="00E668C1"/>
    <w:rsid w:val="00E70E14"/>
    <w:rsid w:val="00E71E60"/>
    <w:rsid w:val="00E725F7"/>
    <w:rsid w:val="00E758E9"/>
    <w:rsid w:val="00E7609F"/>
    <w:rsid w:val="00E776B6"/>
    <w:rsid w:val="00E800C0"/>
    <w:rsid w:val="00E81211"/>
    <w:rsid w:val="00E81392"/>
    <w:rsid w:val="00E82633"/>
    <w:rsid w:val="00E83232"/>
    <w:rsid w:val="00E84FD2"/>
    <w:rsid w:val="00E851A1"/>
    <w:rsid w:val="00E87466"/>
    <w:rsid w:val="00E87760"/>
    <w:rsid w:val="00E90BB7"/>
    <w:rsid w:val="00E9342A"/>
    <w:rsid w:val="00E94075"/>
    <w:rsid w:val="00E94A0E"/>
    <w:rsid w:val="00E968D0"/>
    <w:rsid w:val="00E978E4"/>
    <w:rsid w:val="00EA0219"/>
    <w:rsid w:val="00EA244F"/>
    <w:rsid w:val="00EA3B22"/>
    <w:rsid w:val="00EA408A"/>
    <w:rsid w:val="00EA4D41"/>
    <w:rsid w:val="00EA5041"/>
    <w:rsid w:val="00EB18BB"/>
    <w:rsid w:val="00EB3DB3"/>
    <w:rsid w:val="00EB4763"/>
    <w:rsid w:val="00EB5A51"/>
    <w:rsid w:val="00EB67D8"/>
    <w:rsid w:val="00EB698E"/>
    <w:rsid w:val="00EC188B"/>
    <w:rsid w:val="00EC31A6"/>
    <w:rsid w:val="00EC33B9"/>
    <w:rsid w:val="00EC3AC2"/>
    <w:rsid w:val="00EC3E40"/>
    <w:rsid w:val="00EC4268"/>
    <w:rsid w:val="00EC4362"/>
    <w:rsid w:val="00EC5493"/>
    <w:rsid w:val="00EC610E"/>
    <w:rsid w:val="00ED022D"/>
    <w:rsid w:val="00ED08F0"/>
    <w:rsid w:val="00ED3AD5"/>
    <w:rsid w:val="00ED3CFA"/>
    <w:rsid w:val="00ED42B4"/>
    <w:rsid w:val="00EE26EA"/>
    <w:rsid w:val="00EE27F6"/>
    <w:rsid w:val="00EE39F3"/>
    <w:rsid w:val="00EE3EEB"/>
    <w:rsid w:val="00EE42F5"/>
    <w:rsid w:val="00EE56FE"/>
    <w:rsid w:val="00EE6398"/>
    <w:rsid w:val="00EF5A24"/>
    <w:rsid w:val="00EF603B"/>
    <w:rsid w:val="00EF656F"/>
    <w:rsid w:val="00F0214D"/>
    <w:rsid w:val="00F03F4D"/>
    <w:rsid w:val="00F05212"/>
    <w:rsid w:val="00F1065D"/>
    <w:rsid w:val="00F1224F"/>
    <w:rsid w:val="00F122AB"/>
    <w:rsid w:val="00F13A78"/>
    <w:rsid w:val="00F1551F"/>
    <w:rsid w:val="00F20B73"/>
    <w:rsid w:val="00F20CBD"/>
    <w:rsid w:val="00F21308"/>
    <w:rsid w:val="00F217C0"/>
    <w:rsid w:val="00F21A54"/>
    <w:rsid w:val="00F22291"/>
    <w:rsid w:val="00F2240F"/>
    <w:rsid w:val="00F2316B"/>
    <w:rsid w:val="00F25500"/>
    <w:rsid w:val="00F26399"/>
    <w:rsid w:val="00F268B6"/>
    <w:rsid w:val="00F274AA"/>
    <w:rsid w:val="00F27C49"/>
    <w:rsid w:val="00F30931"/>
    <w:rsid w:val="00F31E80"/>
    <w:rsid w:val="00F32D94"/>
    <w:rsid w:val="00F331C8"/>
    <w:rsid w:val="00F3446B"/>
    <w:rsid w:val="00F35765"/>
    <w:rsid w:val="00F36541"/>
    <w:rsid w:val="00F37517"/>
    <w:rsid w:val="00F409FC"/>
    <w:rsid w:val="00F40AC3"/>
    <w:rsid w:val="00F41B3D"/>
    <w:rsid w:val="00F41C2F"/>
    <w:rsid w:val="00F426C6"/>
    <w:rsid w:val="00F47669"/>
    <w:rsid w:val="00F500EB"/>
    <w:rsid w:val="00F50A08"/>
    <w:rsid w:val="00F50F62"/>
    <w:rsid w:val="00F55D76"/>
    <w:rsid w:val="00F55E0A"/>
    <w:rsid w:val="00F55FB4"/>
    <w:rsid w:val="00F5655B"/>
    <w:rsid w:val="00F575D4"/>
    <w:rsid w:val="00F57B45"/>
    <w:rsid w:val="00F6055F"/>
    <w:rsid w:val="00F6157E"/>
    <w:rsid w:val="00F63D88"/>
    <w:rsid w:val="00F65082"/>
    <w:rsid w:val="00F66E5F"/>
    <w:rsid w:val="00F671FA"/>
    <w:rsid w:val="00F70E59"/>
    <w:rsid w:val="00F7122C"/>
    <w:rsid w:val="00F71D2E"/>
    <w:rsid w:val="00F72553"/>
    <w:rsid w:val="00F72DB0"/>
    <w:rsid w:val="00F807C7"/>
    <w:rsid w:val="00F808C6"/>
    <w:rsid w:val="00F810BB"/>
    <w:rsid w:val="00F815DC"/>
    <w:rsid w:val="00F81B5E"/>
    <w:rsid w:val="00F81DE4"/>
    <w:rsid w:val="00F822B8"/>
    <w:rsid w:val="00F8632E"/>
    <w:rsid w:val="00F867BB"/>
    <w:rsid w:val="00F86D2A"/>
    <w:rsid w:val="00F907EB"/>
    <w:rsid w:val="00F90EFA"/>
    <w:rsid w:val="00F934D7"/>
    <w:rsid w:val="00F9358D"/>
    <w:rsid w:val="00F96D53"/>
    <w:rsid w:val="00F97099"/>
    <w:rsid w:val="00F975D3"/>
    <w:rsid w:val="00F978CD"/>
    <w:rsid w:val="00FA1242"/>
    <w:rsid w:val="00FA1CEB"/>
    <w:rsid w:val="00FA2303"/>
    <w:rsid w:val="00FA3F98"/>
    <w:rsid w:val="00FA4E63"/>
    <w:rsid w:val="00FA548C"/>
    <w:rsid w:val="00FA5B6C"/>
    <w:rsid w:val="00FA6E76"/>
    <w:rsid w:val="00FA7479"/>
    <w:rsid w:val="00FB02B6"/>
    <w:rsid w:val="00FB23E4"/>
    <w:rsid w:val="00FB3BB2"/>
    <w:rsid w:val="00FC01B3"/>
    <w:rsid w:val="00FC03C1"/>
    <w:rsid w:val="00FC06AE"/>
    <w:rsid w:val="00FC27B3"/>
    <w:rsid w:val="00FC2C3E"/>
    <w:rsid w:val="00FC4E5A"/>
    <w:rsid w:val="00FC5386"/>
    <w:rsid w:val="00FC6088"/>
    <w:rsid w:val="00FC7C36"/>
    <w:rsid w:val="00FD06FF"/>
    <w:rsid w:val="00FD3150"/>
    <w:rsid w:val="00FD38E8"/>
    <w:rsid w:val="00FD43CB"/>
    <w:rsid w:val="00FD5076"/>
    <w:rsid w:val="00FD5486"/>
    <w:rsid w:val="00FD5899"/>
    <w:rsid w:val="00FD7175"/>
    <w:rsid w:val="00FE038B"/>
    <w:rsid w:val="00FE09D4"/>
    <w:rsid w:val="00FE114B"/>
    <w:rsid w:val="00FE1D5F"/>
    <w:rsid w:val="00FE3EEF"/>
    <w:rsid w:val="00FE5FB6"/>
    <w:rsid w:val="00FE6F61"/>
    <w:rsid w:val="00FE7DE1"/>
    <w:rsid w:val="00FF088A"/>
    <w:rsid w:val="00FF0967"/>
    <w:rsid w:val="00FF0E8A"/>
    <w:rsid w:val="00FF1A75"/>
    <w:rsid w:val="00FF215C"/>
    <w:rsid w:val="010D765D"/>
    <w:rsid w:val="011428D2"/>
    <w:rsid w:val="011557B2"/>
    <w:rsid w:val="01160D4F"/>
    <w:rsid w:val="01272A80"/>
    <w:rsid w:val="0138518F"/>
    <w:rsid w:val="013D4B60"/>
    <w:rsid w:val="017E0CD4"/>
    <w:rsid w:val="01A1088D"/>
    <w:rsid w:val="01A6243B"/>
    <w:rsid w:val="01A975FA"/>
    <w:rsid w:val="01B17AD3"/>
    <w:rsid w:val="01FF3414"/>
    <w:rsid w:val="020B4B2E"/>
    <w:rsid w:val="02276623"/>
    <w:rsid w:val="02305C5A"/>
    <w:rsid w:val="023A275E"/>
    <w:rsid w:val="023D61D9"/>
    <w:rsid w:val="024834EF"/>
    <w:rsid w:val="02493812"/>
    <w:rsid w:val="024C396F"/>
    <w:rsid w:val="02AD361F"/>
    <w:rsid w:val="02EC325F"/>
    <w:rsid w:val="02EE5F03"/>
    <w:rsid w:val="02F24863"/>
    <w:rsid w:val="02F727C1"/>
    <w:rsid w:val="030435CA"/>
    <w:rsid w:val="03056203"/>
    <w:rsid w:val="0316724E"/>
    <w:rsid w:val="031F6D59"/>
    <w:rsid w:val="032543B7"/>
    <w:rsid w:val="034104E4"/>
    <w:rsid w:val="034512CF"/>
    <w:rsid w:val="03630182"/>
    <w:rsid w:val="0369718D"/>
    <w:rsid w:val="036D416B"/>
    <w:rsid w:val="036E7F6D"/>
    <w:rsid w:val="037B07B2"/>
    <w:rsid w:val="039667A2"/>
    <w:rsid w:val="039C6BC9"/>
    <w:rsid w:val="03A91F09"/>
    <w:rsid w:val="03C42215"/>
    <w:rsid w:val="03D06AB2"/>
    <w:rsid w:val="03D51B83"/>
    <w:rsid w:val="03E43EA8"/>
    <w:rsid w:val="03F238EF"/>
    <w:rsid w:val="03F24DC6"/>
    <w:rsid w:val="03F37758"/>
    <w:rsid w:val="03F509F2"/>
    <w:rsid w:val="03FE70CA"/>
    <w:rsid w:val="04185903"/>
    <w:rsid w:val="04390B08"/>
    <w:rsid w:val="043D6C25"/>
    <w:rsid w:val="044D0E2E"/>
    <w:rsid w:val="04561A99"/>
    <w:rsid w:val="04657F2A"/>
    <w:rsid w:val="04673937"/>
    <w:rsid w:val="04697A1A"/>
    <w:rsid w:val="046B0878"/>
    <w:rsid w:val="04721A40"/>
    <w:rsid w:val="04966335"/>
    <w:rsid w:val="04A10F62"/>
    <w:rsid w:val="04B564EB"/>
    <w:rsid w:val="04BC5D9C"/>
    <w:rsid w:val="04E968FD"/>
    <w:rsid w:val="050D470B"/>
    <w:rsid w:val="05103C33"/>
    <w:rsid w:val="05120DCD"/>
    <w:rsid w:val="052727D2"/>
    <w:rsid w:val="053955AF"/>
    <w:rsid w:val="0541626C"/>
    <w:rsid w:val="05512F6C"/>
    <w:rsid w:val="056702C8"/>
    <w:rsid w:val="05682476"/>
    <w:rsid w:val="05780411"/>
    <w:rsid w:val="057D43FA"/>
    <w:rsid w:val="058D2943"/>
    <w:rsid w:val="059102CD"/>
    <w:rsid w:val="05C15431"/>
    <w:rsid w:val="05E01F5E"/>
    <w:rsid w:val="062A31D9"/>
    <w:rsid w:val="06382080"/>
    <w:rsid w:val="06954AF6"/>
    <w:rsid w:val="06A21D17"/>
    <w:rsid w:val="06A719C5"/>
    <w:rsid w:val="06AF0556"/>
    <w:rsid w:val="06B32B01"/>
    <w:rsid w:val="06B45C87"/>
    <w:rsid w:val="06B73083"/>
    <w:rsid w:val="06BA469C"/>
    <w:rsid w:val="06C059F0"/>
    <w:rsid w:val="06D84272"/>
    <w:rsid w:val="06DA3CF9"/>
    <w:rsid w:val="06F53549"/>
    <w:rsid w:val="06FB1C97"/>
    <w:rsid w:val="07306132"/>
    <w:rsid w:val="07351E35"/>
    <w:rsid w:val="07822989"/>
    <w:rsid w:val="07907A6C"/>
    <w:rsid w:val="07923111"/>
    <w:rsid w:val="079408E9"/>
    <w:rsid w:val="07BD5C46"/>
    <w:rsid w:val="07CD3169"/>
    <w:rsid w:val="07D24151"/>
    <w:rsid w:val="07EB22D1"/>
    <w:rsid w:val="08003304"/>
    <w:rsid w:val="08067789"/>
    <w:rsid w:val="0825330C"/>
    <w:rsid w:val="084A1F11"/>
    <w:rsid w:val="084E4E5E"/>
    <w:rsid w:val="084F33CB"/>
    <w:rsid w:val="08500CCB"/>
    <w:rsid w:val="085C4738"/>
    <w:rsid w:val="086B2D25"/>
    <w:rsid w:val="089B1BCA"/>
    <w:rsid w:val="08BB45BC"/>
    <w:rsid w:val="08C173D5"/>
    <w:rsid w:val="08D92DE8"/>
    <w:rsid w:val="08EB4EA1"/>
    <w:rsid w:val="08F63846"/>
    <w:rsid w:val="08FA2F86"/>
    <w:rsid w:val="08FC6C67"/>
    <w:rsid w:val="09014362"/>
    <w:rsid w:val="090175E7"/>
    <w:rsid w:val="09176653"/>
    <w:rsid w:val="09205831"/>
    <w:rsid w:val="093F3C94"/>
    <w:rsid w:val="09493552"/>
    <w:rsid w:val="094A5C8C"/>
    <w:rsid w:val="095A5B83"/>
    <w:rsid w:val="0965293E"/>
    <w:rsid w:val="097C1E98"/>
    <w:rsid w:val="0986294B"/>
    <w:rsid w:val="099077F7"/>
    <w:rsid w:val="09B02E2E"/>
    <w:rsid w:val="09B763F1"/>
    <w:rsid w:val="09BF66C0"/>
    <w:rsid w:val="09C120A6"/>
    <w:rsid w:val="09D136C7"/>
    <w:rsid w:val="09D45935"/>
    <w:rsid w:val="09DF5ED2"/>
    <w:rsid w:val="0A085E4A"/>
    <w:rsid w:val="0A111F7C"/>
    <w:rsid w:val="0A1C1A19"/>
    <w:rsid w:val="0A481C84"/>
    <w:rsid w:val="0A4843DF"/>
    <w:rsid w:val="0A4D018D"/>
    <w:rsid w:val="0A5E4DD4"/>
    <w:rsid w:val="0A6A1286"/>
    <w:rsid w:val="0A7361E8"/>
    <w:rsid w:val="0A7553ED"/>
    <w:rsid w:val="0A841BDB"/>
    <w:rsid w:val="0A8A7BC6"/>
    <w:rsid w:val="0A8E519B"/>
    <w:rsid w:val="0A917D7D"/>
    <w:rsid w:val="0A957D67"/>
    <w:rsid w:val="0AA35975"/>
    <w:rsid w:val="0AA96BA7"/>
    <w:rsid w:val="0AAA74CE"/>
    <w:rsid w:val="0AD52896"/>
    <w:rsid w:val="0ADC1380"/>
    <w:rsid w:val="0AE47E42"/>
    <w:rsid w:val="0AE607E4"/>
    <w:rsid w:val="0B1F5249"/>
    <w:rsid w:val="0B2428ED"/>
    <w:rsid w:val="0B262E7E"/>
    <w:rsid w:val="0B321B7D"/>
    <w:rsid w:val="0B60746C"/>
    <w:rsid w:val="0B7218AA"/>
    <w:rsid w:val="0B756CA4"/>
    <w:rsid w:val="0B9B3DDB"/>
    <w:rsid w:val="0BBC0D77"/>
    <w:rsid w:val="0BBF6171"/>
    <w:rsid w:val="0BC31119"/>
    <w:rsid w:val="0BD31C1D"/>
    <w:rsid w:val="0BDB4C3A"/>
    <w:rsid w:val="0BE5635A"/>
    <w:rsid w:val="0C0C564E"/>
    <w:rsid w:val="0C121766"/>
    <w:rsid w:val="0C1954E8"/>
    <w:rsid w:val="0C252478"/>
    <w:rsid w:val="0C3D753B"/>
    <w:rsid w:val="0C623AA6"/>
    <w:rsid w:val="0C654F6B"/>
    <w:rsid w:val="0C803008"/>
    <w:rsid w:val="0C8542F1"/>
    <w:rsid w:val="0C88211D"/>
    <w:rsid w:val="0CCF4ADA"/>
    <w:rsid w:val="0CD41B17"/>
    <w:rsid w:val="0CEB4D54"/>
    <w:rsid w:val="0CF9617A"/>
    <w:rsid w:val="0CFD51A3"/>
    <w:rsid w:val="0D47792E"/>
    <w:rsid w:val="0D625D3E"/>
    <w:rsid w:val="0D6F24EF"/>
    <w:rsid w:val="0D703BC7"/>
    <w:rsid w:val="0D97603C"/>
    <w:rsid w:val="0DBC0E93"/>
    <w:rsid w:val="0DC33667"/>
    <w:rsid w:val="0DED416A"/>
    <w:rsid w:val="0E030797"/>
    <w:rsid w:val="0E0620AA"/>
    <w:rsid w:val="0E1718FF"/>
    <w:rsid w:val="0E305629"/>
    <w:rsid w:val="0E4D69B9"/>
    <w:rsid w:val="0E52151F"/>
    <w:rsid w:val="0E5911AE"/>
    <w:rsid w:val="0E763D1A"/>
    <w:rsid w:val="0E8518F4"/>
    <w:rsid w:val="0E966D0C"/>
    <w:rsid w:val="0EB601BD"/>
    <w:rsid w:val="0EC47E38"/>
    <w:rsid w:val="0ED85EC8"/>
    <w:rsid w:val="0EEC0897"/>
    <w:rsid w:val="0F0212CD"/>
    <w:rsid w:val="0F0E792B"/>
    <w:rsid w:val="0F1A2BBA"/>
    <w:rsid w:val="0F2B0C29"/>
    <w:rsid w:val="0F346E76"/>
    <w:rsid w:val="0F652341"/>
    <w:rsid w:val="0F78713B"/>
    <w:rsid w:val="0F8926C1"/>
    <w:rsid w:val="0F9E75F8"/>
    <w:rsid w:val="0FB3423F"/>
    <w:rsid w:val="0FD540C6"/>
    <w:rsid w:val="0FDC721A"/>
    <w:rsid w:val="0FFA025E"/>
    <w:rsid w:val="10061EB8"/>
    <w:rsid w:val="10256796"/>
    <w:rsid w:val="103C1EC8"/>
    <w:rsid w:val="103F5AD3"/>
    <w:rsid w:val="1041184B"/>
    <w:rsid w:val="105855AB"/>
    <w:rsid w:val="107446C0"/>
    <w:rsid w:val="1086368C"/>
    <w:rsid w:val="108F405E"/>
    <w:rsid w:val="109D078F"/>
    <w:rsid w:val="10A67900"/>
    <w:rsid w:val="10B14C22"/>
    <w:rsid w:val="10BB77FC"/>
    <w:rsid w:val="10C6614A"/>
    <w:rsid w:val="10C82F4E"/>
    <w:rsid w:val="10D0776E"/>
    <w:rsid w:val="10EF12A7"/>
    <w:rsid w:val="10EF56FD"/>
    <w:rsid w:val="10F74FC2"/>
    <w:rsid w:val="10F90377"/>
    <w:rsid w:val="110034B4"/>
    <w:rsid w:val="110F36F7"/>
    <w:rsid w:val="11146EB1"/>
    <w:rsid w:val="111C1C2B"/>
    <w:rsid w:val="112E33A2"/>
    <w:rsid w:val="113B418B"/>
    <w:rsid w:val="115B4E23"/>
    <w:rsid w:val="115B5A86"/>
    <w:rsid w:val="115D1DA6"/>
    <w:rsid w:val="11651A69"/>
    <w:rsid w:val="117169C2"/>
    <w:rsid w:val="11757DC9"/>
    <w:rsid w:val="117711F5"/>
    <w:rsid w:val="117A14B8"/>
    <w:rsid w:val="11805C0F"/>
    <w:rsid w:val="119B6B11"/>
    <w:rsid w:val="11AB70D0"/>
    <w:rsid w:val="11D53C86"/>
    <w:rsid w:val="11DD55A3"/>
    <w:rsid w:val="11E6296C"/>
    <w:rsid w:val="11EA1D1F"/>
    <w:rsid w:val="11ED7E0F"/>
    <w:rsid w:val="11F712AD"/>
    <w:rsid w:val="11FF497A"/>
    <w:rsid w:val="12106784"/>
    <w:rsid w:val="12293685"/>
    <w:rsid w:val="124342E7"/>
    <w:rsid w:val="12443874"/>
    <w:rsid w:val="12494D8E"/>
    <w:rsid w:val="12633CFA"/>
    <w:rsid w:val="126E56A8"/>
    <w:rsid w:val="127500BF"/>
    <w:rsid w:val="127A4DD3"/>
    <w:rsid w:val="127A580F"/>
    <w:rsid w:val="127C2C38"/>
    <w:rsid w:val="128B537C"/>
    <w:rsid w:val="12D12D85"/>
    <w:rsid w:val="12D24757"/>
    <w:rsid w:val="12D92CED"/>
    <w:rsid w:val="12E844A3"/>
    <w:rsid w:val="12F519A1"/>
    <w:rsid w:val="12F60BEA"/>
    <w:rsid w:val="12FA3A33"/>
    <w:rsid w:val="12FE1529"/>
    <w:rsid w:val="13001549"/>
    <w:rsid w:val="13033AD5"/>
    <w:rsid w:val="13085C6B"/>
    <w:rsid w:val="131C75ED"/>
    <w:rsid w:val="13294F44"/>
    <w:rsid w:val="133D279D"/>
    <w:rsid w:val="133F3C27"/>
    <w:rsid w:val="134E4840"/>
    <w:rsid w:val="13581C27"/>
    <w:rsid w:val="13587D14"/>
    <w:rsid w:val="135B70C7"/>
    <w:rsid w:val="13625F4D"/>
    <w:rsid w:val="136B6F2A"/>
    <w:rsid w:val="13712447"/>
    <w:rsid w:val="1378132E"/>
    <w:rsid w:val="13824216"/>
    <w:rsid w:val="13854A5E"/>
    <w:rsid w:val="13877AAA"/>
    <w:rsid w:val="13916E35"/>
    <w:rsid w:val="13B14921"/>
    <w:rsid w:val="13B54A2A"/>
    <w:rsid w:val="13B919E1"/>
    <w:rsid w:val="13BA2040"/>
    <w:rsid w:val="13DD60F3"/>
    <w:rsid w:val="13F70688"/>
    <w:rsid w:val="13FF3637"/>
    <w:rsid w:val="1409109F"/>
    <w:rsid w:val="140F7A3D"/>
    <w:rsid w:val="14191ADB"/>
    <w:rsid w:val="142B3F97"/>
    <w:rsid w:val="14564EA2"/>
    <w:rsid w:val="145676E8"/>
    <w:rsid w:val="14575E04"/>
    <w:rsid w:val="145B76B3"/>
    <w:rsid w:val="14616CA9"/>
    <w:rsid w:val="14754DDE"/>
    <w:rsid w:val="1476355A"/>
    <w:rsid w:val="14810258"/>
    <w:rsid w:val="148D40B7"/>
    <w:rsid w:val="14A821D5"/>
    <w:rsid w:val="14D37DF5"/>
    <w:rsid w:val="14E835ED"/>
    <w:rsid w:val="1506268B"/>
    <w:rsid w:val="15272F18"/>
    <w:rsid w:val="153D13FE"/>
    <w:rsid w:val="154776F1"/>
    <w:rsid w:val="15482C41"/>
    <w:rsid w:val="1568450D"/>
    <w:rsid w:val="15974250"/>
    <w:rsid w:val="159E1662"/>
    <w:rsid w:val="15D911DF"/>
    <w:rsid w:val="15DA4B83"/>
    <w:rsid w:val="15ED5A58"/>
    <w:rsid w:val="15F52D8A"/>
    <w:rsid w:val="1602382A"/>
    <w:rsid w:val="160857A4"/>
    <w:rsid w:val="162C6CB2"/>
    <w:rsid w:val="163568A5"/>
    <w:rsid w:val="16604583"/>
    <w:rsid w:val="166E068F"/>
    <w:rsid w:val="16777ECD"/>
    <w:rsid w:val="167A3D60"/>
    <w:rsid w:val="16AF7627"/>
    <w:rsid w:val="16B30809"/>
    <w:rsid w:val="16B32D77"/>
    <w:rsid w:val="16C1304D"/>
    <w:rsid w:val="16C563C2"/>
    <w:rsid w:val="16F25DEA"/>
    <w:rsid w:val="170D23EB"/>
    <w:rsid w:val="171040E0"/>
    <w:rsid w:val="17195B93"/>
    <w:rsid w:val="17212B98"/>
    <w:rsid w:val="172B2E75"/>
    <w:rsid w:val="172B5F8A"/>
    <w:rsid w:val="1758726D"/>
    <w:rsid w:val="176C5A76"/>
    <w:rsid w:val="17856C06"/>
    <w:rsid w:val="179C4A76"/>
    <w:rsid w:val="179C6471"/>
    <w:rsid w:val="17A10052"/>
    <w:rsid w:val="17A64372"/>
    <w:rsid w:val="17BE19D3"/>
    <w:rsid w:val="17C57205"/>
    <w:rsid w:val="17C646BB"/>
    <w:rsid w:val="17D22FC7"/>
    <w:rsid w:val="17DA48DF"/>
    <w:rsid w:val="17E551B2"/>
    <w:rsid w:val="17EA0CE8"/>
    <w:rsid w:val="17EC44B9"/>
    <w:rsid w:val="17FC2CB3"/>
    <w:rsid w:val="18015D13"/>
    <w:rsid w:val="180B47A6"/>
    <w:rsid w:val="18132377"/>
    <w:rsid w:val="181D1C4C"/>
    <w:rsid w:val="18416B0B"/>
    <w:rsid w:val="18420655"/>
    <w:rsid w:val="18420856"/>
    <w:rsid w:val="184F055A"/>
    <w:rsid w:val="18575D65"/>
    <w:rsid w:val="18694749"/>
    <w:rsid w:val="186F023A"/>
    <w:rsid w:val="18711A73"/>
    <w:rsid w:val="187A7FF0"/>
    <w:rsid w:val="1884144D"/>
    <w:rsid w:val="188761F2"/>
    <w:rsid w:val="188931D2"/>
    <w:rsid w:val="188932F1"/>
    <w:rsid w:val="18901D2C"/>
    <w:rsid w:val="18AA4093"/>
    <w:rsid w:val="18BB3C2D"/>
    <w:rsid w:val="18BF1EA7"/>
    <w:rsid w:val="18C3639C"/>
    <w:rsid w:val="18D655F1"/>
    <w:rsid w:val="18DE7568"/>
    <w:rsid w:val="18E4469E"/>
    <w:rsid w:val="18E87F50"/>
    <w:rsid w:val="18ED6702"/>
    <w:rsid w:val="18FD4947"/>
    <w:rsid w:val="190A1374"/>
    <w:rsid w:val="190C1BE7"/>
    <w:rsid w:val="193F5973"/>
    <w:rsid w:val="19442A4D"/>
    <w:rsid w:val="19492AEA"/>
    <w:rsid w:val="194D3AC9"/>
    <w:rsid w:val="196855D2"/>
    <w:rsid w:val="19685F9C"/>
    <w:rsid w:val="197762DD"/>
    <w:rsid w:val="197D5C29"/>
    <w:rsid w:val="19965BB4"/>
    <w:rsid w:val="199B7E1F"/>
    <w:rsid w:val="19D96C4F"/>
    <w:rsid w:val="19E81A6C"/>
    <w:rsid w:val="19EB65F6"/>
    <w:rsid w:val="19EF1965"/>
    <w:rsid w:val="19EF4EF7"/>
    <w:rsid w:val="19F12F16"/>
    <w:rsid w:val="19F418BE"/>
    <w:rsid w:val="1A0717BC"/>
    <w:rsid w:val="1A1B30B1"/>
    <w:rsid w:val="1A223D60"/>
    <w:rsid w:val="1A2608AF"/>
    <w:rsid w:val="1A361CF4"/>
    <w:rsid w:val="1A473F02"/>
    <w:rsid w:val="1A4C5819"/>
    <w:rsid w:val="1A542F59"/>
    <w:rsid w:val="1A560F87"/>
    <w:rsid w:val="1A5B696C"/>
    <w:rsid w:val="1A807F7F"/>
    <w:rsid w:val="1A91583D"/>
    <w:rsid w:val="1A9224D0"/>
    <w:rsid w:val="1AC06D68"/>
    <w:rsid w:val="1ADC46E9"/>
    <w:rsid w:val="1B1153AE"/>
    <w:rsid w:val="1B2E7BE8"/>
    <w:rsid w:val="1B3404EA"/>
    <w:rsid w:val="1B431208"/>
    <w:rsid w:val="1B651A0F"/>
    <w:rsid w:val="1B65257F"/>
    <w:rsid w:val="1B6D5BEA"/>
    <w:rsid w:val="1B7178E4"/>
    <w:rsid w:val="1B8D5D0B"/>
    <w:rsid w:val="1B990926"/>
    <w:rsid w:val="1BD7136C"/>
    <w:rsid w:val="1BE67190"/>
    <w:rsid w:val="1BE6757E"/>
    <w:rsid w:val="1BEF0C63"/>
    <w:rsid w:val="1BF64007"/>
    <w:rsid w:val="1C005643"/>
    <w:rsid w:val="1C141D47"/>
    <w:rsid w:val="1C270694"/>
    <w:rsid w:val="1C3103F6"/>
    <w:rsid w:val="1C4155A7"/>
    <w:rsid w:val="1C531F97"/>
    <w:rsid w:val="1C6643BC"/>
    <w:rsid w:val="1C7550F6"/>
    <w:rsid w:val="1C906479"/>
    <w:rsid w:val="1C962F1E"/>
    <w:rsid w:val="1CBD29F9"/>
    <w:rsid w:val="1CE44157"/>
    <w:rsid w:val="1CF05B1D"/>
    <w:rsid w:val="1CF163A7"/>
    <w:rsid w:val="1CFE4D5B"/>
    <w:rsid w:val="1D035BF9"/>
    <w:rsid w:val="1D0820A6"/>
    <w:rsid w:val="1D136646"/>
    <w:rsid w:val="1D551D12"/>
    <w:rsid w:val="1D5D664C"/>
    <w:rsid w:val="1D5E2780"/>
    <w:rsid w:val="1D61177E"/>
    <w:rsid w:val="1D65543B"/>
    <w:rsid w:val="1D79243E"/>
    <w:rsid w:val="1D813BCE"/>
    <w:rsid w:val="1D842C76"/>
    <w:rsid w:val="1DA3586A"/>
    <w:rsid w:val="1DA577ED"/>
    <w:rsid w:val="1DBA69FC"/>
    <w:rsid w:val="1DF3112A"/>
    <w:rsid w:val="1DF747CB"/>
    <w:rsid w:val="1E0823F2"/>
    <w:rsid w:val="1E0B06C7"/>
    <w:rsid w:val="1E260E83"/>
    <w:rsid w:val="1E2701AC"/>
    <w:rsid w:val="1E276399"/>
    <w:rsid w:val="1E340C41"/>
    <w:rsid w:val="1E3A3CAF"/>
    <w:rsid w:val="1E4720E7"/>
    <w:rsid w:val="1E4B0FF8"/>
    <w:rsid w:val="1E592A0F"/>
    <w:rsid w:val="1E5D4E56"/>
    <w:rsid w:val="1E636869"/>
    <w:rsid w:val="1E6B2139"/>
    <w:rsid w:val="1E7A374E"/>
    <w:rsid w:val="1E7C1C53"/>
    <w:rsid w:val="1E810E96"/>
    <w:rsid w:val="1E8A753F"/>
    <w:rsid w:val="1E924AE7"/>
    <w:rsid w:val="1EAE6E23"/>
    <w:rsid w:val="1EDA3FAB"/>
    <w:rsid w:val="1EE477A0"/>
    <w:rsid w:val="1EF17ACF"/>
    <w:rsid w:val="1EF46FC2"/>
    <w:rsid w:val="1EF74148"/>
    <w:rsid w:val="1F0E3240"/>
    <w:rsid w:val="1F1C16B0"/>
    <w:rsid w:val="1F3D0174"/>
    <w:rsid w:val="1F3D59A5"/>
    <w:rsid w:val="1F420031"/>
    <w:rsid w:val="1F4257E9"/>
    <w:rsid w:val="1F6850E2"/>
    <w:rsid w:val="1F6C3A98"/>
    <w:rsid w:val="1F6E0D89"/>
    <w:rsid w:val="1F7D25DA"/>
    <w:rsid w:val="1FA63BE5"/>
    <w:rsid w:val="1FB3239E"/>
    <w:rsid w:val="1FBA5114"/>
    <w:rsid w:val="1FBB0D34"/>
    <w:rsid w:val="1FC624D8"/>
    <w:rsid w:val="1FCD0DC2"/>
    <w:rsid w:val="1FDC30F1"/>
    <w:rsid w:val="1FE00A4B"/>
    <w:rsid w:val="1FE50445"/>
    <w:rsid w:val="1FFE2851"/>
    <w:rsid w:val="20014FB8"/>
    <w:rsid w:val="201E5705"/>
    <w:rsid w:val="20505BEE"/>
    <w:rsid w:val="205138AB"/>
    <w:rsid w:val="20683984"/>
    <w:rsid w:val="207F1198"/>
    <w:rsid w:val="2087794C"/>
    <w:rsid w:val="20CC0941"/>
    <w:rsid w:val="20D128F2"/>
    <w:rsid w:val="20E51308"/>
    <w:rsid w:val="20F3093F"/>
    <w:rsid w:val="20F76B2D"/>
    <w:rsid w:val="21016FB2"/>
    <w:rsid w:val="21091931"/>
    <w:rsid w:val="213E2EA1"/>
    <w:rsid w:val="2149055F"/>
    <w:rsid w:val="216F0F77"/>
    <w:rsid w:val="217336E6"/>
    <w:rsid w:val="2194799D"/>
    <w:rsid w:val="21B909B9"/>
    <w:rsid w:val="21BA2AC2"/>
    <w:rsid w:val="21DC13D3"/>
    <w:rsid w:val="21E21C0E"/>
    <w:rsid w:val="21E53673"/>
    <w:rsid w:val="21F14AC4"/>
    <w:rsid w:val="21F5141A"/>
    <w:rsid w:val="21FB74E7"/>
    <w:rsid w:val="220152DE"/>
    <w:rsid w:val="22226917"/>
    <w:rsid w:val="223175B2"/>
    <w:rsid w:val="223A312F"/>
    <w:rsid w:val="224D7B7A"/>
    <w:rsid w:val="225059CB"/>
    <w:rsid w:val="226A3A35"/>
    <w:rsid w:val="22712C34"/>
    <w:rsid w:val="227C4964"/>
    <w:rsid w:val="229413BA"/>
    <w:rsid w:val="22A86252"/>
    <w:rsid w:val="22AA4925"/>
    <w:rsid w:val="22BC02B2"/>
    <w:rsid w:val="22C0677F"/>
    <w:rsid w:val="22DE5F28"/>
    <w:rsid w:val="22E505A2"/>
    <w:rsid w:val="22F866E1"/>
    <w:rsid w:val="230230BC"/>
    <w:rsid w:val="23081EF0"/>
    <w:rsid w:val="23107AAF"/>
    <w:rsid w:val="231E149A"/>
    <w:rsid w:val="231F6668"/>
    <w:rsid w:val="23362282"/>
    <w:rsid w:val="233E248C"/>
    <w:rsid w:val="234D19E9"/>
    <w:rsid w:val="234F0B1A"/>
    <w:rsid w:val="235B0B5A"/>
    <w:rsid w:val="2372597F"/>
    <w:rsid w:val="2374166C"/>
    <w:rsid w:val="23807611"/>
    <w:rsid w:val="238920BB"/>
    <w:rsid w:val="239A32F4"/>
    <w:rsid w:val="23BE1A45"/>
    <w:rsid w:val="23BE276C"/>
    <w:rsid w:val="23D76713"/>
    <w:rsid w:val="23DD042B"/>
    <w:rsid w:val="23E17175"/>
    <w:rsid w:val="241F1A4B"/>
    <w:rsid w:val="24206146"/>
    <w:rsid w:val="24223E87"/>
    <w:rsid w:val="24341609"/>
    <w:rsid w:val="243C316D"/>
    <w:rsid w:val="24421B74"/>
    <w:rsid w:val="244301A5"/>
    <w:rsid w:val="24457B3A"/>
    <w:rsid w:val="24506626"/>
    <w:rsid w:val="248875F1"/>
    <w:rsid w:val="24905AE4"/>
    <w:rsid w:val="249E6E2F"/>
    <w:rsid w:val="24A00DDE"/>
    <w:rsid w:val="24B108F5"/>
    <w:rsid w:val="24C46FB6"/>
    <w:rsid w:val="24DC44D8"/>
    <w:rsid w:val="24F20F0E"/>
    <w:rsid w:val="250332B8"/>
    <w:rsid w:val="25074187"/>
    <w:rsid w:val="25331BC4"/>
    <w:rsid w:val="25373650"/>
    <w:rsid w:val="2558601D"/>
    <w:rsid w:val="25BE07F9"/>
    <w:rsid w:val="25BF40E0"/>
    <w:rsid w:val="25C247EA"/>
    <w:rsid w:val="25C27F03"/>
    <w:rsid w:val="25CB47A5"/>
    <w:rsid w:val="25E83EE0"/>
    <w:rsid w:val="26087016"/>
    <w:rsid w:val="26281FA7"/>
    <w:rsid w:val="26543C2E"/>
    <w:rsid w:val="265C4507"/>
    <w:rsid w:val="26605B6C"/>
    <w:rsid w:val="26704790"/>
    <w:rsid w:val="268222D7"/>
    <w:rsid w:val="2685203A"/>
    <w:rsid w:val="26950AE8"/>
    <w:rsid w:val="26976DCD"/>
    <w:rsid w:val="26983290"/>
    <w:rsid w:val="269D5F7D"/>
    <w:rsid w:val="26A128C9"/>
    <w:rsid w:val="26AF3F58"/>
    <w:rsid w:val="26FB0253"/>
    <w:rsid w:val="270A569F"/>
    <w:rsid w:val="270F2863"/>
    <w:rsid w:val="27133AE9"/>
    <w:rsid w:val="27164841"/>
    <w:rsid w:val="271D04C4"/>
    <w:rsid w:val="272022CB"/>
    <w:rsid w:val="273852FE"/>
    <w:rsid w:val="273F4CB5"/>
    <w:rsid w:val="27460068"/>
    <w:rsid w:val="274B4C71"/>
    <w:rsid w:val="27506C7C"/>
    <w:rsid w:val="2753161C"/>
    <w:rsid w:val="27590D31"/>
    <w:rsid w:val="27840065"/>
    <w:rsid w:val="27886D81"/>
    <w:rsid w:val="27C2106B"/>
    <w:rsid w:val="27C54369"/>
    <w:rsid w:val="2811449B"/>
    <w:rsid w:val="285511EC"/>
    <w:rsid w:val="28916AE4"/>
    <w:rsid w:val="28965D63"/>
    <w:rsid w:val="28B70B59"/>
    <w:rsid w:val="28C50E13"/>
    <w:rsid w:val="290477A4"/>
    <w:rsid w:val="29121862"/>
    <w:rsid w:val="29127DD1"/>
    <w:rsid w:val="29142C02"/>
    <w:rsid w:val="2918110F"/>
    <w:rsid w:val="2919237C"/>
    <w:rsid w:val="292C162F"/>
    <w:rsid w:val="293E274E"/>
    <w:rsid w:val="29594084"/>
    <w:rsid w:val="29862A2C"/>
    <w:rsid w:val="298D3BAC"/>
    <w:rsid w:val="298E3718"/>
    <w:rsid w:val="29986A8C"/>
    <w:rsid w:val="29A22F02"/>
    <w:rsid w:val="29C82EAF"/>
    <w:rsid w:val="29D43D3E"/>
    <w:rsid w:val="29DD3F3B"/>
    <w:rsid w:val="29EB2594"/>
    <w:rsid w:val="29EC5D17"/>
    <w:rsid w:val="29ED1066"/>
    <w:rsid w:val="2A0D6D35"/>
    <w:rsid w:val="2A17737B"/>
    <w:rsid w:val="2A2008D8"/>
    <w:rsid w:val="2A214516"/>
    <w:rsid w:val="2A3C5105"/>
    <w:rsid w:val="2A430052"/>
    <w:rsid w:val="2A500BB0"/>
    <w:rsid w:val="2A584D21"/>
    <w:rsid w:val="2A614B6C"/>
    <w:rsid w:val="2A616F93"/>
    <w:rsid w:val="2A64367C"/>
    <w:rsid w:val="2A660473"/>
    <w:rsid w:val="2A663F31"/>
    <w:rsid w:val="2A6910D3"/>
    <w:rsid w:val="2A6B0855"/>
    <w:rsid w:val="2A6B54EF"/>
    <w:rsid w:val="2A8F792B"/>
    <w:rsid w:val="2A923A78"/>
    <w:rsid w:val="2A954815"/>
    <w:rsid w:val="2A9807F2"/>
    <w:rsid w:val="2A9C4B34"/>
    <w:rsid w:val="2AA83702"/>
    <w:rsid w:val="2ABC3F27"/>
    <w:rsid w:val="2AF14141"/>
    <w:rsid w:val="2B134799"/>
    <w:rsid w:val="2B20653D"/>
    <w:rsid w:val="2B266F08"/>
    <w:rsid w:val="2B44352B"/>
    <w:rsid w:val="2B587219"/>
    <w:rsid w:val="2B601926"/>
    <w:rsid w:val="2B6835F0"/>
    <w:rsid w:val="2B6C7799"/>
    <w:rsid w:val="2B703494"/>
    <w:rsid w:val="2B8D23FE"/>
    <w:rsid w:val="2B940739"/>
    <w:rsid w:val="2B954674"/>
    <w:rsid w:val="2BA81AEB"/>
    <w:rsid w:val="2BAB173B"/>
    <w:rsid w:val="2BAF4E36"/>
    <w:rsid w:val="2BB877FE"/>
    <w:rsid w:val="2BF95ED1"/>
    <w:rsid w:val="2C016606"/>
    <w:rsid w:val="2C090ED9"/>
    <w:rsid w:val="2C1D00E0"/>
    <w:rsid w:val="2C1F4CDE"/>
    <w:rsid w:val="2C3F012B"/>
    <w:rsid w:val="2C403CCE"/>
    <w:rsid w:val="2C5405D1"/>
    <w:rsid w:val="2C583D4C"/>
    <w:rsid w:val="2C7E2E47"/>
    <w:rsid w:val="2C7F1DCF"/>
    <w:rsid w:val="2C83526D"/>
    <w:rsid w:val="2C8D7E9A"/>
    <w:rsid w:val="2C992645"/>
    <w:rsid w:val="2C9A590A"/>
    <w:rsid w:val="2CA759EA"/>
    <w:rsid w:val="2CA86A82"/>
    <w:rsid w:val="2CB10CA8"/>
    <w:rsid w:val="2CC82A4F"/>
    <w:rsid w:val="2CDA515E"/>
    <w:rsid w:val="2CE37ABA"/>
    <w:rsid w:val="2CE77794"/>
    <w:rsid w:val="2D477083"/>
    <w:rsid w:val="2D535EA7"/>
    <w:rsid w:val="2D5F5D06"/>
    <w:rsid w:val="2D67631C"/>
    <w:rsid w:val="2D6B4743"/>
    <w:rsid w:val="2D6C2E14"/>
    <w:rsid w:val="2D766B80"/>
    <w:rsid w:val="2D8044D3"/>
    <w:rsid w:val="2D8717DA"/>
    <w:rsid w:val="2DA12813"/>
    <w:rsid w:val="2DCD0A11"/>
    <w:rsid w:val="2DD65295"/>
    <w:rsid w:val="2DD81810"/>
    <w:rsid w:val="2DE84A63"/>
    <w:rsid w:val="2DEB621C"/>
    <w:rsid w:val="2DF26583"/>
    <w:rsid w:val="2E0E6DB8"/>
    <w:rsid w:val="2E1D2F05"/>
    <w:rsid w:val="2E22169E"/>
    <w:rsid w:val="2E224612"/>
    <w:rsid w:val="2E231110"/>
    <w:rsid w:val="2E350E71"/>
    <w:rsid w:val="2E3660F5"/>
    <w:rsid w:val="2E415370"/>
    <w:rsid w:val="2E68632E"/>
    <w:rsid w:val="2E7701B7"/>
    <w:rsid w:val="2E811F00"/>
    <w:rsid w:val="2E823EE8"/>
    <w:rsid w:val="2E930EF9"/>
    <w:rsid w:val="2EB140C2"/>
    <w:rsid w:val="2EB57F44"/>
    <w:rsid w:val="2EB66C46"/>
    <w:rsid w:val="2EC536DE"/>
    <w:rsid w:val="2ED10DA9"/>
    <w:rsid w:val="2ED15B5F"/>
    <w:rsid w:val="2EE221E3"/>
    <w:rsid w:val="2F372D57"/>
    <w:rsid w:val="2F553CB1"/>
    <w:rsid w:val="2F642F4F"/>
    <w:rsid w:val="2F6963BA"/>
    <w:rsid w:val="2F7305E4"/>
    <w:rsid w:val="2F803204"/>
    <w:rsid w:val="2FB3060A"/>
    <w:rsid w:val="2FB93134"/>
    <w:rsid w:val="2FC17E5A"/>
    <w:rsid w:val="2FCE5B1E"/>
    <w:rsid w:val="2FD858D0"/>
    <w:rsid w:val="2FDE7753"/>
    <w:rsid w:val="2FE25580"/>
    <w:rsid w:val="2FE70B36"/>
    <w:rsid w:val="2FEF0361"/>
    <w:rsid w:val="2FF614EE"/>
    <w:rsid w:val="301A2140"/>
    <w:rsid w:val="30436A9A"/>
    <w:rsid w:val="304C34A3"/>
    <w:rsid w:val="30611B3E"/>
    <w:rsid w:val="306959DD"/>
    <w:rsid w:val="307216B2"/>
    <w:rsid w:val="30A048EF"/>
    <w:rsid w:val="30A21987"/>
    <w:rsid w:val="30AD5BBE"/>
    <w:rsid w:val="30AD61C5"/>
    <w:rsid w:val="30B12B1F"/>
    <w:rsid w:val="30DA2523"/>
    <w:rsid w:val="30E01C54"/>
    <w:rsid w:val="30FE25A7"/>
    <w:rsid w:val="30FF6E8C"/>
    <w:rsid w:val="31140E1D"/>
    <w:rsid w:val="311F752F"/>
    <w:rsid w:val="312C4A57"/>
    <w:rsid w:val="312E593C"/>
    <w:rsid w:val="316D52EA"/>
    <w:rsid w:val="31785216"/>
    <w:rsid w:val="318E3088"/>
    <w:rsid w:val="31944A9C"/>
    <w:rsid w:val="31A17F44"/>
    <w:rsid w:val="31F5152A"/>
    <w:rsid w:val="32096215"/>
    <w:rsid w:val="320E5953"/>
    <w:rsid w:val="322E5409"/>
    <w:rsid w:val="323954D8"/>
    <w:rsid w:val="323B2882"/>
    <w:rsid w:val="324757BB"/>
    <w:rsid w:val="3248318A"/>
    <w:rsid w:val="324B5172"/>
    <w:rsid w:val="325C38FB"/>
    <w:rsid w:val="326C7130"/>
    <w:rsid w:val="328161FB"/>
    <w:rsid w:val="329B2319"/>
    <w:rsid w:val="329F541B"/>
    <w:rsid w:val="32A93554"/>
    <w:rsid w:val="32C4038E"/>
    <w:rsid w:val="32D11EE7"/>
    <w:rsid w:val="32F22ABF"/>
    <w:rsid w:val="332A6465"/>
    <w:rsid w:val="33314EDB"/>
    <w:rsid w:val="334A0FC5"/>
    <w:rsid w:val="335675DB"/>
    <w:rsid w:val="33567C45"/>
    <w:rsid w:val="338036E9"/>
    <w:rsid w:val="339252DF"/>
    <w:rsid w:val="3393661B"/>
    <w:rsid w:val="33941379"/>
    <w:rsid w:val="33947611"/>
    <w:rsid w:val="33970F14"/>
    <w:rsid w:val="33A93C7C"/>
    <w:rsid w:val="33AA1331"/>
    <w:rsid w:val="33AE1321"/>
    <w:rsid w:val="33BB0AE5"/>
    <w:rsid w:val="33CB3314"/>
    <w:rsid w:val="33D90146"/>
    <w:rsid w:val="33D91D99"/>
    <w:rsid w:val="33DA1999"/>
    <w:rsid w:val="33E368C0"/>
    <w:rsid w:val="33E84F84"/>
    <w:rsid w:val="33FA5C92"/>
    <w:rsid w:val="34013C71"/>
    <w:rsid w:val="341C2288"/>
    <w:rsid w:val="341F37EA"/>
    <w:rsid w:val="343155AF"/>
    <w:rsid w:val="34485A7E"/>
    <w:rsid w:val="34512F0D"/>
    <w:rsid w:val="345B1B40"/>
    <w:rsid w:val="346239BA"/>
    <w:rsid w:val="346425D6"/>
    <w:rsid w:val="346F3383"/>
    <w:rsid w:val="348F7181"/>
    <w:rsid w:val="34BB131C"/>
    <w:rsid w:val="34BB660F"/>
    <w:rsid w:val="34C854C1"/>
    <w:rsid w:val="34CB0A62"/>
    <w:rsid w:val="34D42007"/>
    <w:rsid w:val="34E14FC2"/>
    <w:rsid w:val="34F767F8"/>
    <w:rsid w:val="34FC06A8"/>
    <w:rsid w:val="35006F50"/>
    <w:rsid w:val="35155F52"/>
    <w:rsid w:val="353D61D5"/>
    <w:rsid w:val="354155DB"/>
    <w:rsid w:val="354237EC"/>
    <w:rsid w:val="356A456C"/>
    <w:rsid w:val="35765D46"/>
    <w:rsid w:val="359C1008"/>
    <w:rsid w:val="35A2045C"/>
    <w:rsid w:val="35B932C7"/>
    <w:rsid w:val="35D51966"/>
    <w:rsid w:val="35F4580E"/>
    <w:rsid w:val="361D6083"/>
    <w:rsid w:val="361E3DDE"/>
    <w:rsid w:val="362A2E4B"/>
    <w:rsid w:val="363160E8"/>
    <w:rsid w:val="364A608C"/>
    <w:rsid w:val="364C21A1"/>
    <w:rsid w:val="365C330A"/>
    <w:rsid w:val="365E22A2"/>
    <w:rsid w:val="36914A2B"/>
    <w:rsid w:val="36981915"/>
    <w:rsid w:val="36A7267E"/>
    <w:rsid w:val="36C02DE4"/>
    <w:rsid w:val="36C46063"/>
    <w:rsid w:val="36EF0964"/>
    <w:rsid w:val="36FA12C5"/>
    <w:rsid w:val="372E0D47"/>
    <w:rsid w:val="373C1E47"/>
    <w:rsid w:val="37487137"/>
    <w:rsid w:val="374F291D"/>
    <w:rsid w:val="376F784C"/>
    <w:rsid w:val="37753AFC"/>
    <w:rsid w:val="37816E64"/>
    <w:rsid w:val="379E4B3A"/>
    <w:rsid w:val="37AE31C5"/>
    <w:rsid w:val="37E7226A"/>
    <w:rsid w:val="37F708BD"/>
    <w:rsid w:val="37FB44BE"/>
    <w:rsid w:val="37FE3B62"/>
    <w:rsid w:val="3807365F"/>
    <w:rsid w:val="38074CAF"/>
    <w:rsid w:val="383A67F8"/>
    <w:rsid w:val="38841206"/>
    <w:rsid w:val="38842B21"/>
    <w:rsid w:val="388A0F0C"/>
    <w:rsid w:val="388F1F05"/>
    <w:rsid w:val="389A280A"/>
    <w:rsid w:val="38B22A36"/>
    <w:rsid w:val="38B842AB"/>
    <w:rsid w:val="38D17A9A"/>
    <w:rsid w:val="38E21299"/>
    <w:rsid w:val="38E82A6A"/>
    <w:rsid w:val="38E91841"/>
    <w:rsid w:val="38EA21D0"/>
    <w:rsid w:val="38ED5E93"/>
    <w:rsid w:val="390031DA"/>
    <w:rsid w:val="39006B5D"/>
    <w:rsid w:val="390B4877"/>
    <w:rsid w:val="391334D5"/>
    <w:rsid w:val="39745EB7"/>
    <w:rsid w:val="398B420A"/>
    <w:rsid w:val="398E2379"/>
    <w:rsid w:val="39904FFE"/>
    <w:rsid w:val="39967A4F"/>
    <w:rsid w:val="39A64349"/>
    <w:rsid w:val="39AA21F8"/>
    <w:rsid w:val="39B373A8"/>
    <w:rsid w:val="39C848E7"/>
    <w:rsid w:val="39D32535"/>
    <w:rsid w:val="39D569DC"/>
    <w:rsid w:val="39E60BE9"/>
    <w:rsid w:val="39EF4708"/>
    <w:rsid w:val="39F66885"/>
    <w:rsid w:val="3A173289"/>
    <w:rsid w:val="3A1D56C3"/>
    <w:rsid w:val="3A2002B9"/>
    <w:rsid w:val="3A3404B8"/>
    <w:rsid w:val="3A5969D7"/>
    <w:rsid w:val="3A615D93"/>
    <w:rsid w:val="3A655FB2"/>
    <w:rsid w:val="3A7D0EFD"/>
    <w:rsid w:val="3A8A2CAF"/>
    <w:rsid w:val="3A8C79E3"/>
    <w:rsid w:val="3A98147F"/>
    <w:rsid w:val="3AA8258A"/>
    <w:rsid w:val="3AB00351"/>
    <w:rsid w:val="3AB02FA5"/>
    <w:rsid w:val="3AE6228D"/>
    <w:rsid w:val="3B1E031B"/>
    <w:rsid w:val="3B20012B"/>
    <w:rsid w:val="3B285155"/>
    <w:rsid w:val="3B3A7D13"/>
    <w:rsid w:val="3B3C43AA"/>
    <w:rsid w:val="3B472B34"/>
    <w:rsid w:val="3B567FF1"/>
    <w:rsid w:val="3B5A4D5F"/>
    <w:rsid w:val="3B7558E0"/>
    <w:rsid w:val="3B765928"/>
    <w:rsid w:val="3BAF5DD3"/>
    <w:rsid w:val="3BB56AC5"/>
    <w:rsid w:val="3BCD723F"/>
    <w:rsid w:val="3BCF0455"/>
    <w:rsid w:val="3BE473AB"/>
    <w:rsid w:val="3C0C0B8F"/>
    <w:rsid w:val="3C1A63FE"/>
    <w:rsid w:val="3C2A1B75"/>
    <w:rsid w:val="3C455744"/>
    <w:rsid w:val="3C5938F5"/>
    <w:rsid w:val="3C59458E"/>
    <w:rsid w:val="3C5B4AA8"/>
    <w:rsid w:val="3C6A70E9"/>
    <w:rsid w:val="3C87185B"/>
    <w:rsid w:val="3C8F153C"/>
    <w:rsid w:val="3CBC1F12"/>
    <w:rsid w:val="3CBD1D89"/>
    <w:rsid w:val="3CDD2030"/>
    <w:rsid w:val="3CE942B0"/>
    <w:rsid w:val="3CEC70FD"/>
    <w:rsid w:val="3CF47E52"/>
    <w:rsid w:val="3D001E69"/>
    <w:rsid w:val="3D040AF0"/>
    <w:rsid w:val="3D1309DC"/>
    <w:rsid w:val="3D197528"/>
    <w:rsid w:val="3D3954D4"/>
    <w:rsid w:val="3D497C25"/>
    <w:rsid w:val="3D4D0ABF"/>
    <w:rsid w:val="3D526936"/>
    <w:rsid w:val="3D5C0FE1"/>
    <w:rsid w:val="3D5D11C3"/>
    <w:rsid w:val="3D75235E"/>
    <w:rsid w:val="3D787C3F"/>
    <w:rsid w:val="3D931F15"/>
    <w:rsid w:val="3D954ED7"/>
    <w:rsid w:val="3DBE1EF0"/>
    <w:rsid w:val="3DC77A97"/>
    <w:rsid w:val="3DD218ED"/>
    <w:rsid w:val="3E1D7988"/>
    <w:rsid w:val="3E2640C3"/>
    <w:rsid w:val="3E2829A7"/>
    <w:rsid w:val="3E3D28CD"/>
    <w:rsid w:val="3E490C82"/>
    <w:rsid w:val="3E5766DA"/>
    <w:rsid w:val="3EA87EB5"/>
    <w:rsid w:val="3EAD5738"/>
    <w:rsid w:val="3EAE43A0"/>
    <w:rsid w:val="3EAF7F6B"/>
    <w:rsid w:val="3EC82FB3"/>
    <w:rsid w:val="3ECD4126"/>
    <w:rsid w:val="3EF42816"/>
    <w:rsid w:val="3EF43DA9"/>
    <w:rsid w:val="3EFE3805"/>
    <w:rsid w:val="3F054809"/>
    <w:rsid w:val="3F280936"/>
    <w:rsid w:val="3F340649"/>
    <w:rsid w:val="3F394E34"/>
    <w:rsid w:val="3F3D2A3A"/>
    <w:rsid w:val="3F5C0D92"/>
    <w:rsid w:val="3F5D31CC"/>
    <w:rsid w:val="3F721E1A"/>
    <w:rsid w:val="3F8709DD"/>
    <w:rsid w:val="3F892368"/>
    <w:rsid w:val="3F937B2C"/>
    <w:rsid w:val="3FA21419"/>
    <w:rsid w:val="3FB178C1"/>
    <w:rsid w:val="3FB31DB6"/>
    <w:rsid w:val="3FC65745"/>
    <w:rsid w:val="3FCB1064"/>
    <w:rsid w:val="3FD37A21"/>
    <w:rsid w:val="3FD528D1"/>
    <w:rsid w:val="3FE060DB"/>
    <w:rsid w:val="3FEF7A43"/>
    <w:rsid w:val="3FF15E1B"/>
    <w:rsid w:val="3FF72BDD"/>
    <w:rsid w:val="400C1023"/>
    <w:rsid w:val="40122FCF"/>
    <w:rsid w:val="40185875"/>
    <w:rsid w:val="401C4254"/>
    <w:rsid w:val="40391D8F"/>
    <w:rsid w:val="40412092"/>
    <w:rsid w:val="4041301D"/>
    <w:rsid w:val="40770E48"/>
    <w:rsid w:val="407B0539"/>
    <w:rsid w:val="407F2D00"/>
    <w:rsid w:val="409107DD"/>
    <w:rsid w:val="40AB5008"/>
    <w:rsid w:val="40D300F5"/>
    <w:rsid w:val="40D979B2"/>
    <w:rsid w:val="40DE01D9"/>
    <w:rsid w:val="40ED0A97"/>
    <w:rsid w:val="40F830F8"/>
    <w:rsid w:val="41021F4C"/>
    <w:rsid w:val="4113523C"/>
    <w:rsid w:val="41144C6A"/>
    <w:rsid w:val="411B73DB"/>
    <w:rsid w:val="4125450C"/>
    <w:rsid w:val="41524DB6"/>
    <w:rsid w:val="415D7063"/>
    <w:rsid w:val="41794ED2"/>
    <w:rsid w:val="418737DA"/>
    <w:rsid w:val="419363A1"/>
    <w:rsid w:val="41973F00"/>
    <w:rsid w:val="41A536F9"/>
    <w:rsid w:val="41AC7E24"/>
    <w:rsid w:val="41BF53C8"/>
    <w:rsid w:val="41C41EBD"/>
    <w:rsid w:val="41C46262"/>
    <w:rsid w:val="41D854BE"/>
    <w:rsid w:val="41FF037B"/>
    <w:rsid w:val="420328B9"/>
    <w:rsid w:val="42072045"/>
    <w:rsid w:val="420A1021"/>
    <w:rsid w:val="42112457"/>
    <w:rsid w:val="422F5E98"/>
    <w:rsid w:val="42546C14"/>
    <w:rsid w:val="425C6C61"/>
    <w:rsid w:val="427F1BDB"/>
    <w:rsid w:val="42823509"/>
    <w:rsid w:val="42925DB2"/>
    <w:rsid w:val="4295155E"/>
    <w:rsid w:val="42AD5D08"/>
    <w:rsid w:val="42B2644E"/>
    <w:rsid w:val="42B51F06"/>
    <w:rsid w:val="42CA5FA0"/>
    <w:rsid w:val="42FE1677"/>
    <w:rsid w:val="43204077"/>
    <w:rsid w:val="43212C92"/>
    <w:rsid w:val="43287DFF"/>
    <w:rsid w:val="432A2749"/>
    <w:rsid w:val="43382DA2"/>
    <w:rsid w:val="437004DF"/>
    <w:rsid w:val="43717A0B"/>
    <w:rsid w:val="43A67007"/>
    <w:rsid w:val="43A86F10"/>
    <w:rsid w:val="43B330A8"/>
    <w:rsid w:val="43E721D3"/>
    <w:rsid w:val="43EC32A0"/>
    <w:rsid w:val="43ED075C"/>
    <w:rsid w:val="43F54197"/>
    <w:rsid w:val="440E57F4"/>
    <w:rsid w:val="444609F6"/>
    <w:rsid w:val="4465614F"/>
    <w:rsid w:val="446A2412"/>
    <w:rsid w:val="446C5083"/>
    <w:rsid w:val="446D2DC8"/>
    <w:rsid w:val="44725AF2"/>
    <w:rsid w:val="447369B2"/>
    <w:rsid w:val="449A4B87"/>
    <w:rsid w:val="44A55963"/>
    <w:rsid w:val="44BA4FD7"/>
    <w:rsid w:val="44BE5822"/>
    <w:rsid w:val="44C25999"/>
    <w:rsid w:val="44D51F86"/>
    <w:rsid w:val="44D631F8"/>
    <w:rsid w:val="44E20A57"/>
    <w:rsid w:val="44E663D7"/>
    <w:rsid w:val="44FD4B3A"/>
    <w:rsid w:val="450E4321"/>
    <w:rsid w:val="451F3201"/>
    <w:rsid w:val="452837C5"/>
    <w:rsid w:val="455D1FCD"/>
    <w:rsid w:val="455F6FCB"/>
    <w:rsid w:val="456F6ED9"/>
    <w:rsid w:val="457D0FE9"/>
    <w:rsid w:val="45844238"/>
    <w:rsid w:val="458B4DE9"/>
    <w:rsid w:val="45916115"/>
    <w:rsid w:val="45A02A9B"/>
    <w:rsid w:val="45C71DDB"/>
    <w:rsid w:val="45D60EF0"/>
    <w:rsid w:val="45D87CB9"/>
    <w:rsid w:val="45DA5C79"/>
    <w:rsid w:val="45F33346"/>
    <w:rsid w:val="45F8591F"/>
    <w:rsid w:val="460346FB"/>
    <w:rsid w:val="46230BE6"/>
    <w:rsid w:val="46466103"/>
    <w:rsid w:val="464A7768"/>
    <w:rsid w:val="464E28BD"/>
    <w:rsid w:val="465A0CE8"/>
    <w:rsid w:val="46636835"/>
    <w:rsid w:val="46733DB2"/>
    <w:rsid w:val="46773555"/>
    <w:rsid w:val="467F26E9"/>
    <w:rsid w:val="46A07194"/>
    <w:rsid w:val="46A95479"/>
    <w:rsid w:val="46AE4DD2"/>
    <w:rsid w:val="46B34549"/>
    <w:rsid w:val="46B95A90"/>
    <w:rsid w:val="46BA4959"/>
    <w:rsid w:val="46C73B51"/>
    <w:rsid w:val="46D15EB0"/>
    <w:rsid w:val="46D82400"/>
    <w:rsid w:val="46EF0EC3"/>
    <w:rsid w:val="46FC4B2B"/>
    <w:rsid w:val="4729480B"/>
    <w:rsid w:val="47296042"/>
    <w:rsid w:val="473A2575"/>
    <w:rsid w:val="474B45FC"/>
    <w:rsid w:val="47590C4D"/>
    <w:rsid w:val="4765490F"/>
    <w:rsid w:val="47705BB8"/>
    <w:rsid w:val="47991EA8"/>
    <w:rsid w:val="47E04A28"/>
    <w:rsid w:val="47E744AA"/>
    <w:rsid w:val="47FC77AB"/>
    <w:rsid w:val="480451D0"/>
    <w:rsid w:val="48162150"/>
    <w:rsid w:val="48167AE8"/>
    <w:rsid w:val="48256121"/>
    <w:rsid w:val="482A3CF7"/>
    <w:rsid w:val="483738A3"/>
    <w:rsid w:val="48777F4D"/>
    <w:rsid w:val="488162D3"/>
    <w:rsid w:val="488779FB"/>
    <w:rsid w:val="48887540"/>
    <w:rsid w:val="48A42FAD"/>
    <w:rsid w:val="48D32BDC"/>
    <w:rsid w:val="48FA6D19"/>
    <w:rsid w:val="4914489A"/>
    <w:rsid w:val="49184DB0"/>
    <w:rsid w:val="491C0184"/>
    <w:rsid w:val="493039E2"/>
    <w:rsid w:val="4947077A"/>
    <w:rsid w:val="494805CB"/>
    <w:rsid w:val="494D6D05"/>
    <w:rsid w:val="49535B70"/>
    <w:rsid w:val="495938AA"/>
    <w:rsid w:val="495B08F6"/>
    <w:rsid w:val="49782884"/>
    <w:rsid w:val="497F0713"/>
    <w:rsid w:val="498A016F"/>
    <w:rsid w:val="49A04CC0"/>
    <w:rsid w:val="49A061BE"/>
    <w:rsid w:val="49A27D5F"/>
    <w:rsid w:val="49A36CE7"/>
    <w:rsid w:val="49A4245E"/>
    <w:rsid w:val="49B1684A"/>
    <w:rsid w:val="49D843DC"/>
    <w:rsid w:val="49E5749A"/>
    <w:rsid w:val="49F37F0C"/>
    <w:rsid w:val="49FA4639"/>
    <w:rsid w:val="49FE6B2E"/>
    <w:rsid w:val="4A370F44"/>
    <w:rsid w:val="4A772AFC"/>
    <w:rsid w:val="4A834233"/>
    <w:rsid w:val="4ABD1B1F"/>
    <w:rsid w:val="4B014E39"/>
    <w:rsid w:val="4B04271D"/>
    <w:rsid w:val="4B0516D8"/>
    <w:rsid w:val="4B2A05A0"/>
    <w:rsid w:val="4B3A23F9"/>
    <w:rsid w:val="4B44006C"/>
    <w:rsid w:val="4B4627DA"/>
    <w:rsid w:val="4B716E2D"/>
    <w:rsid w:val="4B863B11"/>
    <w:rsid w:val="4B94369C"/>
    <w:rsid w:val="4BAE5327"/>
    <w:rsid w:val="4BB67896"/>
    <w:rsid w:val="4BBB1D94"/>
    <w:rsid w:val="4BD27220"/>
    <w:rsid w:val="4BF2341E"/>
    <w:rsid w:val="4BFA282F"/>
    <w:rsid w:val="4BFB2A5E"/>
    <w:rsid w:val="4BFB556E"/>
    <w:rsid w:val="4C15710C"/>
    <w:rsid w:val="4C1E3C30"/>
    <w:rsid w:val="4C271CF5"/>
    <w:rsid w:val="4C383E74"/>
    <w:rsid w:val="4C3D6D8F"/>
    <w:rsid w:val="4C4F261E"/>
    <w:rsid w:val="4C51276D"/>
    <w:rsid w:val="4C612351"/>
    <w:rsid w:val="4CA35AB2"/>
    <w:rsid w:val="4CA5064C"/>
    <w:rsid w:val="4CCC3C6F"/>
    <w:rsid w:val="4CCE2BC8"/>
    <w:rsid w:val="4CD15548"/>
    <w:rsid w:val="4CD35265"/>
    <w:rsid w:val="4CF15365"/>
    <w:rsid w:val="4D0C12F6"/>
    <w:rsid w:val="4D134C44"/>
    <w:rsid w:val="4D2A6BE7"/>
    <w:rsid w:val="4D4574CF"/>
    <w:rsid w:val="4D494DA1"/>
    <w:rsid w:val="4D4B1038"/>
    <w:rsid w:val="4D4C7C7F"/>
    <w:rsid w:val="4D4D23A2"/>
    <w:rsid w:val="4D5819A6"/>
    <w:rsid w:val="4D637E12"/>
    <w:rsid w:val="4DB50A61"/>
    <w:rsid w:val="4DB528BE"/>
    <w:rsid w:val="4DBA440F"/>
    <w:rsid w:val="4DBF35A7"/>
    <w:rsid w:val="4DC80330"/>
    <w:rsid w:val="4DD57BC2"/>
    <w:rsid w:val="4DD74FC1"/>
    <w:rsid w:val="4DED2BA0"/>
    <w:rsid w:val="4E384E18"/>
    <w:rsid w:val="4E3C59C3"/>
    <w:rsid w:val="4E4A7541"/>
    <w:rsid w:val="4E505B47"/>
    <w:rsid w:val="4E524648"/>
    <w:rsid w:val="4E6A2BCE"/>
    <w:rsid w:val="4E7229C4"/>
    <w:rsid w:val="4E765BA1"/>
    <w:rsid w:val="4E9C79A7"/>
    <w:rsid w:val="4E9D7347"/>
    <w:rsid w:val="4EB42C0C"/>
    <w:rsid w:val="4EC418FE"/>
    <w:rsid w:val="4ED24B8F"/>
    <w:rsid w:val="4EF23C29"/>
    <w:rsid w:val="4EFE38D4"/>
    <w:rsid w:val="4EFE5390"/>
    <w:rsid w:val="4F177F55"/>
    <w:rsid w:val="4F192C84"/>
    <w:rsid w:val="4F351C75"/>
    <w:rsid w:val="4F371313"/>
    <w:rsid w:val="4F3C40D8"/>
    <w:rsid w:val="4F64497A"/>
    <w:rsid w:val="4F675ED1"/>
    <w:rsid w:val="4FBC4E36"/>
    <w:rsid w:val="4FD318AB"/>
    <w:rsid w:val="4FD87D0C"/>
    <w:rsid w:val="500E6D42"/>
    <w:rsid w:val="502142D2"/>
    <w:rsid w:val="502D2C76"/>
    <w:rsid w:val="504466D4"/>
    <w:rsid w:val="50593A6B"/>
    <w:rsid w:val="505D33F6"/>
    <w:rsid w:val="506373B6"/>
    <w:rsid w:val="5066262C"/>
    <w:rsid w:val="5082753D"/>
    <w:rsid w:val="50862061"/>
    <w:rsid w:val="508C2401"/>
    <w:rsid w:val="50972863"/>
    <w:rsid w:val="50AC243E"/>
    <w:rsid w:val="50D67E4A"/>
    <w:rsid w:val="50E023DF"/>
    <w:rsid w:val="50E23A41"/>
    <w:rsid w:val="50E96241"/>
    <w:rsid w:val="51095DF3"/>
    <w:rsid w:val="511E4826"/>
    <w:rsid w:val="512548F2"/>
    <w:rsid w:val="512879D2"/>
    <w:rsid w:val="512F31D9"/>
    <w:rsid w:val="513D0E6F"/>
    <w:rsid w:val="514A4F1E"/>
    <w:rsid w:val="514C4457"/>
    <w:rsid w:val="517A6384"/>
    <w:rsid w:val="518A1C13"/>
    <w:rsid w:val="519252C5"/>
    <w:rsid w:val="51A451BA"/>
    <w:rsid w:val="51AF03DA"/>
    <w:rsid w:val="51B05DB2"/>
    <w:rsid w:val="51BF0246"/>
    <w:rsid w:val="51C4517F"/>
    <w:rsid w:val="51C759C9"/>
    <w:rsid w:val="51F8488A"/>
    <w:rsid w:val="52082D3C"/>
    <w:rsid w:val="52222EB5"/>
    <w:rsid w:val="52321763"/>
    <w:rsid w:val="524A0F73"/>
    <w:rsid w:val="524C41A5"/>
    <w:rsid w:val="529B31C7"/>
    <w:rsid w:val="52A13B73"/>
    <w:rsid w:val="52A24537"/>
    <w:rsid w:val="52B928F9"/>
    <w:rsid w:val="52ED6FB1"/>
    <w:rsid w:val="52FB049E"/>
    <w:rsid w:val="52FC6541"/>
    <w:rsid w:val="53016F33"/>
    <w:rsid w:val="53065675"/>
    <w:rsid w:val="53100B3A"/>
    <w:rsid w:val="533146A8"/>
    <w:rsid w:val="533B3826"/>
    <w:rsid w:val="534A7FE3"/>
    <w:rsid w:val="534F0BAB"/>
    <w:rsid w:val="536F7A4A"/>
    <w:rsid w:val="53A771E4"/>
    <w:rsid w:val="53B06C4C"/>
    <w:rsid w:val="53C53E12"/>
    <w:rsid w:val="53C5766A"/>
    <w:rsid w:val="53E421E6"/>
    <w:rsid w:val="53F54A09"/>
    <w:rsid w:val="540061C5"/>
    <w:rsid w:val="540627A3"/>
    <w:rsid w:val="54163097"/>
    <w:rsid w:val="541C6180"/>
    <w:rsid w:val="544F7544"/>
    <w:rsid w:val="545D3F1C"/>
    <w:rsid w:val="546B4490"/>
    <w:rsid w:val="546C7AF6"/>
    <w:rsid w:val="54753AA5"/>
    <w:rsid w:val="54830907"/>
    <w:rsid w:val="54837309"/>
    <w:rsid w:val="54CC31B5"/>
    <w:rsid w:val="54D7068C"/>
    <w:rsid w:val="54EC025D"/>
    <w:rsid w:val="54F53A05"/>
    <w:rsid w:val="550A2531"/>
    <w:rsid w:val="550C72B7"/>
    <w:rsid w:val="55321795"/>
    <w:rsid w:val="554259E1"/>
    <w:rsid w:val="554B168C"/>
    <w:rsid w:val="55553E18"/>
    <w:rsid w:val="55595E36"/>
    <w:rsid w:val="555F38B9"/>
    <w:rsid w:val="55633C1C"/>
    <w:rsid w:val="5566359D"/>
    <w:rsid w:val="556825AC"/>
    <w:rsid w:val="5576055B"/>
    <w:rsid w:val="557E12E2"/>
    <w:rsid w:val="558F2598"/>
    <w:rsid w:val="55A501C4"/>
    <w:rsid w:val="55A8570A"/>
    <w:rsid w:val="55AF7E22"/>
    <w:rsid w:val="55C43A6D"/>
    <w:rsid w:val="55D85898"/>
    <w:rsid w:val="55E87B1A"/>
    <w:rsid w:val="56010B19"/>
    <w:rsid w:val="5619547C"/>
    <w:rsid w:val="564505A1"/>
    <w:rsid w:val="564A6B43"/>
    <w:rsid w:val="565C2231"/>
    <w:rsid w:val="565F394E"/>
    <w:rsid w:val="568A6C6F"/>
    <w:rsid w:val="56933A4F"/>
    <w:rsid w:val="569B2050"/>
    <w:rsid w:val="56A83D23"/>
    <w:rsid w:val="56C21867"/>
    <w:rsid w:val="57084AE0"/>
    <w:rsid w:val="57164A47"/>
    <w:rsid w:val="571C3D6B"/>
    <w:rsid w:val="571F452A"/>
    <w:rsid w:val="571F7891"/>
    <w:rsid w:val="572343A9"/>
    <w:rsid w:val="572D48DD"/>
    <w:rsid w:val="572D5C52"/>
    <w:rsid w:val="573A7A20"/>
    <w:rsid w:val="574511ED"/>
    <w:rsid w:val="57553846"/>
    <w:rsid w:val="5756180B"/>
    <w:rsid w:val="5762159B"/>
    <w:rsid w:val="577216B2"/>
    <w:rsid w:val="5773710D"/>
    <w:rsid w:val="579509C7"/>
    <w:rsid w:val="579D553A"/>
    <w:rsid w:val="57A973C0"/>
    <w:rsid w:val="57AD7AE7"/>
    <w:rsid w:val="57B57363"/>
    <w:rsid w:val="57B62CE2"/>
    <w:rsid w:val="57B92419"/>
    <w:rsid w:val="57BA5086"/>
    <w:rsid w:val="57C10684"/>
    <w:rsid w:val="57CC2F54"/>
    <w:rsid w:val="57CC7219"/>
    <w:rsid w:val="57CF18FE"/>
    <w:rsid w:val="57E2382A"/>
    <w:rsid w:val="57E36310"/>
    <w:rsid w:val="57E43CE6"/>
    <w:rsid w:val="57E8658F"/>
    <w:rsid w:val="58067046"/>
    <w:rsid w:val="582346FA"/>
    <w:rsid w:val="58277A16"/>
    <w:rsid w:val="58310E71"/>
    <w:rsid w:val="583C37BF"/>
    <w:rsid w:val="58437985"/>
    <w:rsid w:val="585E590B"/>
    <w:rsid w:val="5861756D"/>
    <w:rsid w:val="58B24473"/>
    <w:rsid w:val="58C06DD0"/>
    <w:rsid w:val="58CE6FC1"/>
    <w:rsid w:val="58D13E39"/>
    <w:rsid w:val="58E5035E"/>
    <w:rsid w:val="58F91EF9"/>
    <w:rsid w:val="58FA6008"/>
    <w:rsid w:val="590734FB"/>
    <w:rsid w:val="591907F4"/>
    <w:rsid w:val="592F4120"/>
    <w:rsid w:val="593836A9"/>
    <w:rsid w:val="594B0F85"/>
    <w:rsid w:val="59567793"/>
    <w:rsid w:val="595A43BE"/>
    <w:rsid w:val="595E5865"/>
    <w:rsid w:val="599B50F5"/>
    <w:rsid w:val="59BA7443"/>
    <w:rsid w:val="59C96D08"/>
    <w:rsid w:val="59D61290"/>
    <w:rsid w:val="59D625D1"/>
    <w:rsid w:val="59DA29DE"/>
    <w:rsid w:val="59DF6694"/>
    <w:rsid w:val="59F747FC"/>
    <w:rsid w:val="5A0E69B6"/>
    <w:rsid w:val="5A0F163F"/>
    <w:rsid w:val="5A167109"/>
    <w:rsid w:val="5A236E98"/>
    <w:rsid w:val="5A5C23B6"/>
    <w:rsid w:val="5A960290"/>
    <w:rsid w:val="5AA67AA6"/>
    <w:rsid w:val="5AAE70AA"/>
    <w:rsid w:val="5ADC2449"/>
    <w:rsid w:val="5AFB40DB"/>
    <w:rsid w:val="5B054EB5"/>
    <w:rsid w:val="5B0A6270"/>
    <w:rsid w:val="5B3343AB"/>
    <w:rsid w:val="5B3A29BF"/>
    <w:rsid w:val="5B4A4C11"/>
    <w:rsid w:val="5B4B66A7"/>
    <w:rsid w:val="5B74386F"/>
    <w:rsid w:val="5B825CAE"/>
    <w:rsid w:val="5B881776"/>
    <w:rsid w:val="5B8A5692"/>
    <w:rsid w:val="5B8C30E2"/>
    <w:rsid w:val="5BAD71F7"/>
    <w:rsid w:val="5BB57706"/>
    <w:rsid w:val="5BF46D3E"/>
    <w:rsid w:val="5C2D0EE9"/>
    <w:rsid w:val="5C48561E"/>
    <w:rsid w:val="5C553C81"/>
    <w:rsid w:val="5C6A19F9"/>
    <w:rsid w:val="5C6B2683"/>
    <w:rsid w:val="5C7932E6"/>
    <w:rsid w:val="5C7C6288"/>
    <w:rsid w:val="5C890AEE"/>
    <w:rsid w:val="5C9B365E"/>
    <w:rsid w:val="5CB151DB"/>
    <w:rsid w:val="5CB80C32"/>
    <w:rsid w:val="5CBF734C"/>
    <w:rsid w:val="5CD25402"/>
    <w:rsid w:val="5CE449B3"/>
    <w:rsid w:val="5CE97BA7"/>
    <w:rsid w:val="5CFD7258"/>
    <w:rsid w:val="5D1B7AA6"/>
    <w:rsid w:val="5D2C7548"/>
    <w:rsid w:val="5D4351CF"/>
    <w:rsid w:val="5D806108"/>
    <w:rsid w:val="5DA830AD"/>
    <w:rsid w:val="5DC80482"/>
    <w:rsid w:val="5DCF4009"/>
    <w:rsid w:val="5DD4742E"/>
    <w:rsid w:val="5DE64A71"/>
    <w:rsid w:val="5DE64B7D"/>
    <w:rsid w:val="5E021BE6"/>
    <w:rsid w:val="5E08142B"/>
    <w:rsid w:val="5E0A7679"/>
    <w:rsid w:val="5E253B1C"/>
    <w:rsid w:val="5E254310"/>
    <w:rsid w:val="5E34491B"/>
    <w:rsid w:val="5E5000B4"/>
    <w:rsid w:val="5E52592E"/>
    <w:rsid w:val="5E5D7F21"/>
    <w:rsid w:val="5E7E6D93"/>
    <w:rsid w:val="5E9E02C7"/>
    <w:rsid w:val="5EA552F2"/>
    <w:rsid w:val="5EBC0561"/>
    <w:rsid w:val="5EC11B7F"/>
    <w:rsid w:val="5ED0552E"/>
    <w:rsid w:val="5EDE5269"/>
    <w:rsid w:val="5EE43A05"/>
    <w:rsid w:val="5EF4181F"/>
    <w:rsid w:val="5F311F0D"/>
    <w:rsid w:val="5F376D86"/>
    <w:rsid w:val="5F571ABE"/>
    <w:rsid w:val="5F6E07EF"/>
    <w:rsid w:val="5F7E1A8C"/>
    <w:rsid w:val="5F8B5DFF"/>
    <w:rsid w:val="5F904BC5"/>
    <w:rsid w:val="5FA35296"/>
    <w:rsid w:val="5FA55B60"/>
    <w:rsid w:val="5FCA2AC0"/>
    <w:rsid w:val="5FCC305F"/>
    <w:rsid w:val="5FE0450C"/>
    <w:rsid w:val="60011A2A"/>
    <w:rsid w:val="60042075"/>
    <w:rsid w:val="602950CC"/>
    <w:rsid w:val="602D3ADF"/>
    <w:rsid w:val="603E2C7E"/>
    <w:rsid w:val="60571300"/>
    <w:rsid w:val="606D72B0"/>
    <w:rsid w:val="6075257A"/>
    <w:rsid w:val="607D01A8"/>
    <w:rsid w:val="60814B98"/>
    <w:rsid w:val="608647FB"/>
    <w:rsid w:val="60AA6F84"/>
    <w:rsid w:val="60B506D1"/>
    <w:rsid w:val="60BC5C6D"/>
    <w:rsid w:val="60CB69E6"/>
    <w:rsid w:val="60D33784"/>
    <w:rsid w:val="60D57D69"/>
    <w:rsid w:val="60EC35BF"/>
    <w:rsid w:val="60F91E59"/>
    <w:rsid w:val="60FF065F"/>
    <w:rsid w:val="610120A5"/>
    <w:rsid w:val="61102184"/>
    <w:rsid w:val="61123C94"/>
    <w:rsid w:val="612B4734"/>
    <w:rsid w:val="61711018"/>
    <w:rsid w:val="617F2857"/>
    <w:rsid w:val="61843050"/>
    <w:rsid w:val="61864830"/>
    <w:rsid w:val="619A276D"/>
    <w:rsid w:val="61A11B98"/>
    <w:rsid w:val="61A67F49"/>
    <w:rsid w:val="61AA41D8"/>
    <w:rsid w:val="61AB534D"/>
    <w:rsid w:val="61B4420E"/>
    <w:rsid w:val="61B551C2"/>
    <w:rsid w:val="61BB06B6"/>
    <w:rsid w:val="61BE5E24"/>
    <w:rsid w:val="61C45773"/>
    <w:rsid w:val="61E10F44"/>
    <w:rsid w:val="61F71336"/>
    <w:rsid w:val="61FA4277"/>
    <w:rsid w:val="623E3C23"/>
    <w:rsid w:val="624E31D0"/>
    <w:rsid w:val="62622DFB"/>
    <w:rsid w:val="627363E3"/>
    <w:rsid w:val="62754788"/>
    <w:rsid w:val="627703DF"/>
    <w:rsid w:val="62786AC1"/>
    <w:rsid w:val="62876273"/>
    <w:rsid w:val="62947454"/>
    <w:rsid w:val="62C06CDE"/>
    <w:rsid w:val="62C14866"/>
    <w:rsid w:val="62D548D4"/>
    <w:rsid w:val="62DD052C"/>
    <w:rsid w:val="62E21FE6"/>
    <w:rsid w:val="630D2ADC"/>
    <w:rsid w:val="632D66D7"/>
    <w:rsid w:val="63365237"/>
    <w:rsid w:val="634D2A92"/>
    <w:rsid w:val="635348C2"/>
    <w:rsid w:val="636C18B0"/>
    <w:rsid w:val="637A5594"/>
    <w:rsid w:val="637F25EE"/>
    <w:rsid w:val="63C17E4E"/>
    <w:rsid w:val="63C31359"/>
    <w:rsid w:val="63D211A0"/>
    <w:rsid w:val="63D31079"/>
    <w:rsid w:val="640B10C9"/>
    <w:rsid w:val="641205E0"/>
    <w:rsid w:val="641B2B1B"/>
    <w:rsid w:val="64246731"/>
    <w:rsid w:val="6432186F"/>
    <w:rsid w:val="643423CE"/>
    <w:rsid w:val="64364712"/>
    <w:rsid w:val="64406FC4"/>
    <w:rsid w:val="6445282D"/>
    <w:rsid w:val="644D7933"/>
    <w:rsid w:val="644F5CEA"/>
    <w:rsid w:val="645171A5"/>
    <w:rsid w:val="64631E61"/>
    <w:rsid w:val="646E4F44"/>
    <w:rsid w:val="646F086E"/>
    <w:rsid w:val="64A26B90"/>
    <w:rsid w:val="64AB6568"/>
    <w:rsid w:val="64C30E6C"/>
    <w:rsid w:val="64C33752"/>
    <w:rsid w:val="64DB1ED4"/>
    <w:rsid w:val="64DE5BE0"/>
    <w:rsid w:val="64E82BC8"/>
    <w:rsid w:val="65093FB7"/>
    <w:rsid w:val="65183A9D"/>
    <w:rsid w:val="6520139B"/>
    <w:rsid w:val="652354C5"/>
    <w:rsid w:val="6524339F"/>
    <w:rsid w:val="65355DF9"/>
    <w:rsid w:val="65532DA0"/>
    <w:rsid w:val="656A6EA9"/>
    <w:rsid w:val="657E5DC6"/>
    <w:rsid w:val="65A00B3D"/>
    <w:rsid w:val="65AD581B"/>
    <w:rsid w:val="65CC2E5B"/>
    <w:rsid w:val="66061B48"/>
    <w:rsid w:val="662C6A34"/>
    <w:rsid w:val="664277CD"/>
    <w:rsid w:val="66632596"/>
    <w:rsid w:val="668F4F0F"/>
    <w:rsid w:val="6695111E"/>
    <w:rsid w:val="66974E96"/>
    <w:rsid w:val="66DC557A"/>
    <w:rsid w:val="670F0ED0"/>
    <w:rsid w:val="671543CB"/>
    <w:rsid w:val="671E7669"/>
    <w:rsid w:val="67340937"/>
    <w:rsid w:val="67386679"/>
    <w:rsid w:val="674F751F"/>
    <w:rsid w:val="676E57FB"/>
    <w:rsid w:val="677C4AF0"/>
    <w:rsid w:val="677C5A1E"/>
    <w:rsid w:val="67920713"/>
    <w:rsid w:val="67A22C39"/>
    <w:rsid w:val="67A36CA4"/>
    <w:rsid w:val="67B101D9"/>
    <w:rsid w:val="67B32D00"/>
    <w:rsid w:val="67C432B5"/>
    <w:rsid w:val="67C51CD1"/>
    <w:rsid w:val="67CA3576"/>
    <w:rsid w:val="680F708F"/>
    <w:rsid w:val="68245CC5"/>
    <w:rsid w:val="682B0D0D"/>
    <w:rsid w:val="68300B43"/>
    <w:rsid w:val="68755B25"/>
    <w:rsid w:val="689768A9"/>
    <w:rsid w:val="68A67612"/>
    <w:rsid w:val="68DA10C7"/>
    <w:rsid w:val="69024E7D"/>
    <w:rsid w:val="690422F9"/>
    <w:rsid w:val="691D2949"/>
    <w:rsid w:val="692769A5"/>
    <w:rsid w:val="692B3EEB"/>
    <w:rsid w:val="69511659"/>
    <w:rsid w:val="695F01B3"/>
    <w:rsid w:val="69652819"/>
    <w:rsid w:val="69740E9C"/>
    <w:rsid w:val="697B2A2E"/>
    <w:rsid w:val="69886D18"/>
    <w:rsid w:val="698B3B86"/>
    <w:rsid w:val="699464E8"/>
    <w:rsid w:val="6998164F"/>
    <w:rsid w:val="699A7177"/>
    <w:rsid w:val="69A14E6A"/>
    <w:rsid w:val="69AA4EE0"/>
    <w:rsid w:val="69C82FD4"/>
    <w:rsid w:val="69F63CC2"/>
    <w:rsid w:val="69F76F06"/>
    <w:rsid w:val="69F95788"/>
    <w:rsid w:val="69FD57CD"/>
    <w:rsid w:val="6A046725"/>
    <w:rsid w:val="6A111A69"/>
    <w:rsid w:val="6A3912BA"/>
    <w:rsid w:val="6A394390"/>
    <w:rsid w:val="6A3B3C33"/>
    <w:rsid w:val="6A3C0C06"/>
    <w:rsid w:val="6A3D46F4"/>
    <w:rsid w:val="6A4315BC"/>
    <w:rsid w:val="6A476285"/>
    <w:rsid w:val="6A6A21F1"/>
    <w:rsid w:val="6A9260A0"/>
    <w:rsid w:val="6ABF2745"/>
    <w:rsid w:val="6AC052DF"/>
    <w:rsid w:val="6AC364B9"/>
    <w:rsid w:val="6AE44704"/>
    <w:rsid w:val="6AE54422"/>
    <w:rsid w:val="6AF16CA1"/>
    <w:rsid w:val="6B0A346D"/>
    <w:rsid w:val="6B1C2F58"/>
    <w:rsid w:val="6B1F03E8"/>
    <w:rsid w:val="6B2253AA"/>
    <w:rsid w:val="6B286A04"/>
    <w:rsid w:val="6B2F66F5"/>
    <w:rsid w:val="6B3D24B0"/>
    <w:rsid w:val="6B465884"/>
    <w:rsid w:val="6B4D3018"/>
    <w:rsid w:val="6B670DC2"/>
    <w:rsid w:val="6B74167C"/>
    <w:rsid w:val="6B8D3D19"/>
    <w:rsid w:val="6B936732"/>
    <w:rsid w:val="6B936945"/>
    <w:rsid w:val="6B96571C"/>
    <w:rsid w:val="6B9F1C3E"/>
    <w:rsid w:val="6BC64C77"/>
    <w:rsid w:val="6BC66E8F"/>
    <w:rsid w:val="6BEF346A"/>
    <w:rsid w:val="6C0F274B"/>
    <w:rsid w:val="6C134FBF"/>
    <w:rsid w:val="6C2B67AC"/>
    <w:rsid w:val="6C6A090B"/>
    <w:rsid w:val="6C6D2921"/>
    <w:rsid w:val="6C73344A"/>
    <w:rsid w:val="6C746E94"/>
    <w:rsid w:val="6C7546AC"/>
    <w:rsid w:val="6C8031E6"/>
    <w:rsid w:val="6C8C60E1"/>
    <w:rsid w:val="6CD10828"/>
    <w:rsid w:val="6CD27BD3"/>
    <w:rsid w:val="6CFC50C6"/>
    <w:rsid w:val="6D0A63C2"/>
    <w:rsid w:val="6D1024A0"/>
    <w:rsid w:val="6D1A5002"/>
    <w:rsid w:val="6D435C50"/>
    <w:rsid w:val="6D4C602D"/>
    <w:rsid w:val="6D613BD6"/>
    <w:rsid w:val="6D8406BF"/>
    <w:rsid w:val="6D84290A"/>
    <w:rsid w:val="6D8A5D00"/>
    <w:rsid w:val="6D8E6FF3"/>
    <w:rsid w:val="6D943BF5"/>
    <w:rsid w:val="6D9F66CF"/>
    <w:rsid w:val="6DA2049B"/>
    <w:rsid w:val="6DA343EE"/>
    <w:rsid w:val="6DA4704F"/>
    <w:rsid w:val="6DA472EF"/>
    <w:rsid w:val="6DCC18C9"/>
    <w:rsid w:val="6DDF442E"/>
    <w:rsid w:val="6DE4571A"/>
    <w:rsid w:val="6DF66946"/>
    <w:rsid w:val="6DFD138C"/>
    <w:rsid w:val="6E071901"/>
    <w:rsid w:val="6E0728D3"/>
    <w:rsid w:val="6E295CE1"/>
    <w:rsid w:val="6E2C6902"/>
    <w:rsid w:val="6E3E7170"/>
    <w:rsid w:val="6E4D1D18"/>
    <w:rsid w:val="6E511782"/>
    <w:rsid w:val="6E5813AF"/>
    <w:rsid w:val="6E6E2980"/>
    <w:rsid w:val="6E8F004B"/>
    <w:rsid w:val="6EAC7DB2"/>
    <w:rsid w:val="6EBE1783"/>
    <w:rsid w:val="6ED924EF"/>
    <w:rsid w:val="6EDA4F66"/>
    <w:rsid w:val="6EF92F92"/>
    <w:rsid w:val="6F12155D"/>
    <w:rsid w:val="6F1B634E"/>
    <w:rsid w:val="6F2179F2"/>
    <w:rsid w:val="6F2B2066"/>
    <w:rsid w:val="6F3632F9"/>
    <w:rsid w:val="6F497D22"/>
    <w:rsid w:val="6F50628D"/>
    <w:rsid w:val="6F58592A"/>
    <w:rsid w:val="6F585DD6"/>
    <w:rsid w:val="6F7B6738"/>
    <w:rsid w:val="6F832748"/>
    <w:rsid w:val="6FC85E76"/>
    <w:rsid w:val="6FD511F4"/>
    <w:rsid w:val="6FD664F7"/>
    <w:rsid w:val="6FD874F0"/>
    <w:rsid w:val="701200B7"/>
    <w:rsid w:val="701439A6"/>
    <w:rsid w:val="701B2694"/>
    <w:rsid w:val="70333E81"/>
    <w:rsid w:val="70334479"/>
    <w:rsid w:val="706031F7"/>
    <w:rsid w:val="70671D7D"/>
    <w:rsid w:val="706A5BC3"/>
    <w:rsid w:val="707D6FDF"/>
    <w:rsid w:val="70824DD6"/>
    <w:rsid w:val="70931E99"/>
    <w:rsid w:val="70A16D3D"/>
    <w:rsid w:val="70B91B22"/>
    <w:rsid w:val="70DA7C73"/>
    <w:rsid w:val="70DF1913"/>
    <w:rsid w:val="70DF571C"/>
    <w:rsid w:val="70E21403"/>
    <w:rsid w:val="70EC49AE"/>
    <w:rsid w:val="70F01CD3"/>
    <w:rsid w:val="70F21646"/>
    <w:rsid w:val="70FA17E5"/>
    <w:rsid w:val="7102107D"/>
    <w:rsid w:val="71174FE9"/>
    <w:rsid w:val="71241A1C"/>
    <w:rsid w:val="71466F47"/>
    <w:rsid w:val="71650526"/>
    <w:rsid w:val="716F2C97"/>
    <w:rsid w:val="71785BF6"/>
    <w:rsid w:val="718017AD"/>
    <w:rsid w:val="71954FDA"/>
    <w:rsid w:val="71A63DB4"/>
    <w:rsid w:val="71A861A9"/>
    <w:rsid w:val="71B22C2F"/>
    <w:rsid w:val="71CE7119"/>
    <w:rsid w:val="71DA1B12"/>
    <w:rsid w:val="71EC253A"/>
    <w:rsid w:val="71FF16C4"/>
    <w:rsid w:val="7212699F"/>
    <w:rsid w:val="7225308B"/>
    <w:rsid w:val="72396F36"/>
    <w:rsid w:val="724C0C12"/>
    <w:rsid w:val="72526028"/>
    <w:rsid w:val="72555A55"/>
    <w:rsid w:val="72586C7B"/>
    <w:rsid w:val="72797CB1"/>
    <w:rsid w:val="72827019"/>
    <w:rsid w:val="72982221"/>
    <w:rsid w:val="72AA4D7A"/>
    <w:rsid w:val="72BD03A7"/>
    <w:rsid w:val="72C0644E"/>
    <w:rsid w:val="72C14665"/>
    <w:rsid w:val="72D65B7D"/>
    <w:rsid w:val="72FC49FE"/>
    <w:rsid w:val="73086358"/>
    <w:rsid w:val="732D4A53"/>
    <w:rsid w:val="7330362D"/>
    <w:rsid w:val="733851B2"/>
    <w:rsid w:val="733B500C"/>
    <w:rsid w:val="734B400D"/>
    <w:rsid w:val="73770529"/>
    <w:rsid w:val="73800B33"/>
    <w:rsid w:val="73804C5E"/>
    <w:rsid w:val="7381115D"/>
    <w:rsid w:val="738B680C"/>
    <w:rsid w:val="73A57998"/>
    <w:rsid w:val="73C03C7E"/>
    <w:rsid w:val="73C3376E"/>
    <w:rsid w:val="73C97E80"/>
    <w:rsid w:val="74086509"/>
    <w:rsid w:val="740F250F"/>
    <w:rsid w:val="74323B10"/>
    <w:rsid w:val="7439758C"/>
    <w:rsid w:val="747E0B22"/>
    <w:rsid w:val="74891470"/>
    <w:rsid w:val="74934EEE"/>
    <w:rsid w:val="74B166C0"/>
    <w:rsid w:val="74BD3280"/>
    <w:rsid w:val="74FE7006"/>
    <w:rsid w:val="75196DE5"/>
    <w:rsid w:val="7521181E"/>
    <w:rsid w:val="754F347F"/>
    <w:rsid w:val="75617A3D"/>
    <w:rsid w:val="756264EB"/>
    <w:rsid w:val="756579A3"/>
    <w:rsid w:val="75871421"/>
    <w:rsid w:val="758E41ED"/>
    <w:rsid w:val="75A35ED5"/>
    <w:rsid w:val="75A52DA7"/>
    <w:rsid w:val="75BB4E6B"/>
    <w:rsid w:val="75D14529"/>
    <w:rsid w:val="75D719B2"/>
    <w:rsid w:val="75D752AF"/>
    <w:rsid w:val="75DA62B7"/>
    <w:rsid w:val="75E36C9A"/>
    <w:rsid w:val="760B4F58"/>
    <w:rsid w:val="76161FE7"/>
    <w:rsid w:val="7616399E"/>
    <w:rsid w:val="76177D7F"/>
    <w:rsid w:val="762D1628"/>
    <w:rsid w:val="76422773"/>
    <w:rsid w:val="765A4445"/>
    <w:rsid w:val="76665235"/>
    <w:rsid w:val="76870208"/>
    <w:rsid w:val="769F4581"/>
    <w:rsid w:val="76A66638"/>
    <w:rsid w:val="76AB2C13"/>
    <w:rsid w:val="76B1227C"/>
    <w:rsid w:val="76BF2EA4"/>
    <w:rsid w:val="76DA7E70"/>
    <w:rsid w:val="76FA4CC1"/>
    <w:rsid w:val="770F092C"/>
    <w:rsid w:val="771A35DE"/>
    <w:rsid w:val="77215189"/>
    <w:rsid w:val="77381D7D"/>
    <w:rsid w:val="77414905"/>
    <w:rsid w:val="774310DC"/>
    <w:rsid w:val="77495D38"/>
    <w:rsid w:val="776369E5"/>
    <w:rsid w:val="777165EE"/>
    <w:rsid w:val="77B5498B"/>
    <w:rsid w:val="77C3048F"/>
    <w:rsid w:val="77CC3857"/>
    <w:rsid w:val="77CE6299"/>
    <w:rsid w:val="77E617D9"/>
    <w:rsid w:val="77E82354"/>
    <w:rsid w:val="781420EA"/>
    <w:rsid w:val="78225ACD"/>
    <w:rsid w:val="78342545"/>
    <w:rsid w:val="784A1D68"/>
    <w:rsid w:val="785E4EE7"/>
    <w:rsid w:val="786C3FC5"/>
    <w:rsid w:val="78B118C2"/>
    <w:rsid w:val="78B74E51"/>
    <w:rsid w:val="78DA57B9"/>
    <w:rsid w:val="78F079D7"/>
    <w:rsid w:val="79241281"/>
    <w:rsid w:val="7925066A"/>
    <w:rsid w:val="792C0369"/>
    <w:rsid w:val="793547C6"/>
    <w:rsid w:val="79542A76"/>
    <w:rsid w:val="79842B92"/>
    <w:rsid w:val="79981665"/>
    <w:rsid w:val="79AB6836"/>
    <w:rsid w:val="79B02BFF"/>
    <w:rsid w:val="79B61120"/>
    <w:rsid w:val="79BB3FE5"/>
    <w:rsid w:val="79C30024"/>
    <w:rsid w:val="79D51B05"/>
    <w:rsid w:val="79DC2EAD"/>
    <w:rsid w:val="79E87A8A"/>
    <w:rsid w:val="79EB1329"/>
    <w:rsid w:val="7A0615F6"/>
    <w:rsid w:val="7A16135A"/>
    <w:rsid w:val="7A167146"/>
    <w:rsid w:val="7A187C44"/>
    <w:rsid w:val="7A1C2659"/>
    <w:rsid w:val="7A323B65"/>
    <w:rsid w:val="7A3F58F1"/>
    <w:rsid w:val="7A481DF0"/>
    <w:rsid w:val="7A6835EA"/>
    <w:rsid w:val="7A7728CB"/>
    <w:rsid w:val="7A84375F"/>
    <w:rsid w:val="7A953818"/>
    <w:rsid w:val="7A957049"/>
    <w:rsid w:val="7A957BAA"/>
    <w:rsid w:val="7AA9197D"/>
    <w:rsid w:val="7AB14634"/>
    <w:rsid w:val="7AB61937"/>
    <w:rsid w:val="7ACF6AF1"/>
    <w:rsid w:val="7ADE5956"/>
    <w:rsid w:val="7AE704B1"/>
    <w:rsid w:val="7AEB45F7"/>
    <w:rsid w:val="7AFD093D"/>
    <w:rsid w:val="7B00756F"/>
    <w:rsid w:val="7B205CC3"/>
    <w:rsid w:val="7B427806"/>
    <w:rsid w:val="7B4B600C"/>
    <w:rsid w:val="7B4E115C"/>
    <w:rsid w:val="7B58185E"/>
    <w:rsid w:val="7B6B0973"/>
    <w:rsid w:val="7B6D7075"/>
    <w:rsid w:val="7B832B77"/>
    <w:rsid w:val="7B9A08EC"/>
    <w:rsid w:val="7BA774D1"/>
    <w:rsid w:val="7BBA497F"/>
    <w:rsid w:val="7BBD74D2"/>
    <w:rsid w:val="7BED2FF3"/>
    <w:rsid w:val="7BEF49C3"/>
    <w:rsid w:val="7C072E2B"/>
    <w:rsid w:val="7C1879B2"/>
    <w:rsid w:val="7C365845"/>
    <w:rsid w:val="7C60493E"/>
    <w:rsid w:val="7C7D3800"/>
    <w:rsid w:val="7C7F7D49"/>
    <w:rsid w:val="7CAE09CB"/>
    <w:rsid w:val="7CB80B12"/>
    <w:rsid w:val="7CB8291D"/>
    <w:rsid w:val="7CCA4B01"/>
    <w:rsid w:val="7CD03434"/>
    <w:rsid w:val="7CD07BCF"/>
    <w:rsid w:val="7CD47EDB"/>
    <w:rsid w:val="7D086B79"/>
    <w:rsid w:val="7D094939"/>
    <w:rsid w:val="7D145441"/>
    <w:rsid w:val="7D175464"/>
    <w:rsid w:val="7D300BC9"/>
    <w:rsid w:val="7D4B2BBA"/>
    <w:rsid w:val="7D4C2883"/>
    <w:rsid w:val="7D54159C"/>
    <w:rsid w:val="7D66553F"/>
    <w:rsid w:val="7D882FD3"/>
    <w:rsid w:val="7D8B7BCC"/>
    <w:rsid w:val="7DB4489E"/>
    <w:rsid w:val="7DC10E09"/>
    <w:rsid w:val="7DCB6E8A"/>
    <w:rsid w:val="7DE20FA2"/>
    <w:rsid w:val="7DFE03FA"/>
    <w:rsid w:val="7E105802"/>
    <w:rsid w:val="7E1F77F3"/>
    <w:rsid w:val="7E4F632A"/>
    <w:rsid w:val="7E63122D"/>
    <w:rsid w:val="7E706E61"/>
    <w:rsid w:val="7E737A61"/>
    <w:rsid w:val="7E7D54BB"/>
    <w:rsid w:val="7E896F3F"/>
    <w:rsid w:val="7E8A476F"/>
    <w:rsid w:val="7E9E5BF3"/>
    <w:rsid w:val="7EAC7030"/>
    <w:rsid w:val="7EBB42CC"/>
    <w:rsid w:val="7EBE55CA"/>
    <w:rsid w:val="7ECE0404"/>
    <w:rsid w:val="7EDD00FE"/>
    <w:rsid w:val="7EFE4F4F"/>
    <w:rsid w:val="7F0C19DE"/>
    <w:rsid w:val="7F1447AA"/>
    <w:rsid w:val="7F343527"/>
    <w:rsid w:val="7F431B5D"/>
    <w:rsid w:val="7F452037"/>
    <w:rsid w:val="7F6E0A32"/>
    <w:rsid w:val="7F7B6BEB"/>
    <w:rsid w:val="7F91256E"/>
    <w:rsid w:val="7FC306CA"/>
    <w:rsid w:val="7FD1331A"/>
    <w:rsid w:val="7FD95892"/>
    <w:rsid w:val="7FEA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uiPriority="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7"/>
    <w:qFormat/>
    <w:uiPriority w:val="0"/>
    <w:pPr>
      <w:keepNext/>
      <w:keepLines/>
      <w:spacing w:line="578" w:lineRule="auto"/>
      <w:outlineLvl w:val="0"/>
    </w:pPr>
    <w:rPr>
      <w:b/>
      <w:bCs/>
      <w:kern w:val="44"/>
      <w:sz w:val="44"/>
      <w:szCs w:val="44"/>
    </w:rPr>
  </w:style>
  <w:style w:type="paragraph" w:styleId="4">
    <w:name w:val="heading 2"/>
    <w:basedOn w:val="1"/>
    <w:next w:val="1"/>
    <w:link w:val="57"/>
    <w:qFormat/>
    <w:uiPriority w:val="0"/>
    <w:pPr>
      <w:keepNext/>
      <w:keepLines/>
      <w:spacing w:line="416" w:lineRule="auto"/>
      <w:outlineLvl w:val="1"/>
    </w:pPr>
    <w:rPr>
      <w:rFonts w:ascii="Arial" w:hAnsi="Arial" w:eastAsia="黑体"/>
      <w:b/>
      <w:bCs/>
      <w:sz w:val="32"/>
      <w:szCs w:val="32"/>
    </w:rPr>
  </w:style>
  <w:style w:type="paragraph" w:styleId="5">
    <w:name w:val="heading 3"/>
    <w:basedOn w:val="1"/>
    <w:next w:val="1"/>
    <w:link w:val="119"/>
    <w:qFormat/>
    <w:uiPriority w:val="0"/>
    <w:pPr>
      <w:keepNext/>
      <w:keepLines/>
      <w:spacing w:line="416" w:lineRule="auto"/>
      <w:outlineLvl w:val="2"/>
    </w:pPr>
    <w:rPr>
      <w:b/>
      <w:bCs/>
      <w:sz w:val="32"/>
      <w:szCs w:val="32"/>
    </w:rPr>
  </w:style>
  <w:style w:type="paragraph" w:styleId="2">
    <w:name w:val="heading 4"/>
    <w:basedOn w:val="1"/>
    <w:next w:val="1"/>
    <w:link w:val="98"/>
    <w:qFormat/>
    <w:uiPriority w:val="0"/>
    <w:pPr>
      <w:keepNext/>
      <w:keepLines/>
      <w:spacing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line="372" w:lineRule="auto"/>
      <w:outlineLvl w:val="4"/>
    </w:pPr>
    <w:rPr>
      <w:b/>
      <w:sz w:val="28"/>
    </w:rPr>
  </w:style>
  <w:style w:type="paragraph" w:styleId="7">
    <w:name w:val="heading 6"/>
    <w:basedOn w:val="1"/>
    <w:next w:val="1"/>
    <w:qFormat/>
    <w:uiPriority w:val="0"/>
    <w:pPr>
      <w:keepNext/>
      <w:keepLines/>
      <w:widowControl/>
      <w:tabs>
        <w:tab w:val="left" w:pos="1440"/>
      </w:tabs>
      <w:spacing w:line="320" w:lineRule="auto"/>
      <w:ind w:left="1152" w:hanging="1152"/>
      <w:jc w:val="left"/>
      <w:outlineLvl w:val="5"/>
    </w:pPr>
    <w:rPr>
      <w:rFonts w:ascii="Arial" w:hAnsi="Arial" w:eastAsia="黑体"/>
      <w:b/>
      <w:bCs/>
      <w:sz w:val="24"/>
    </w:rPr>
  </w:style>
  <w:style w:type="paragraph" w:styleId="8">
    <w:name w:val="heading 8"/>
    <w:basedOn w:val="1"/>
    <w:next w:val="1"/>
    <w:qFormat/>
    <w:uiPriority w:val="0"/>
    <w:pPr>
      <w:keepNext/>
      <w:keepLines/>
      <w:numPr>
        <w:ilvl w:val="7"/>
        <w:numId w:val="1"/>
      </w:numPr>
      <w:spacing w:line="312" w:lineRule="auto"/>
      <w:outlineLvl w:val="7"/>
    </w:pPr>
    <w:rPr>
      <w:rFonts w:ascii="Arial" w:hAnsi="Arial" w:eastAsia="黑体"/>
      <w:kern w:val="0"/>
      <w:sz w:val="24"/>
      <w:szCs w:val="20"/>
    </w:rPr>
  </w:style>
  <w:style w:type="paragraph" w:styleId="9">
    <w:name w:val="heading 9"/>
    <w:basedOn w:val="1"/>
    <w:next w:val="1"/>
    <w:qFormat/>
    <w:uiPriority w:val="0"/>
    <w:pPr>
      <w:ind w:left="438"/>
      <w:outlineLvl w:val="8"/>
    </w:pPr>
    <w:rPr>
      <w:rFonts w:ascii="Noto Sans Mono CJK JP Regular" w:hAnsi="Noto Sans Mono CJK JP Regular" w:eastAsia="Noto Sans Mono CJK JP Regular" w:cs="Noto Sans Mono CJK JP Regular"/>
      <w:sz w:val="24"/>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0">
    <w:name w:val="toc 7"/>
    <w:basedOn w:val="1"/>
    <w:next w:val="1"/>
    <w:qFormat/>
    <w:uiPriority w:val="39"/>
    <w:pPr>
      <w:ind w:left="2520" w:leftChars="1200"/>
    </w:pPr>
    <w:rPr>
      <w:rFonts w:ascii="Calibri" w:hAnsi="Calibri"/>
      <w:szCs w:val="22"/>
    </w:rPr>
  </w:style>
  <w:style w:type="paragraph" w:styleId="11">
    <w:name w:val="Normal Indent"/>
    <w:basedOn w:val="1"/>
    <w:qFormat/>
    <w:uiPriority w:val="0"/>
    <w:pPr>
      <w:ind w:firstLine="420" w:firstLineChars="200"/>
    </w:pPr>
  </w:style>
  <w:style w:type="paragraph" w:styleId="12">
    <w:name w:val="List Bullet"/>
    <w:basedOn w:val="1"/>
    <w:qFormat/>
    <w:uiPriority w:val="0"/>
    <w:pPr>
      <w:numPr>
        <w:ilvl w:val="0"/>
        <w:numId w:val="2"/>
      </w:numPr>
      <w:tabs>
        <w:tab w:val="left" w:pos="360"/>
      </w:tabs>
    </w:pPr>
  </w:style>
  <w:style w:type="paragraph" w:styleId="13">
    <w:name w:val="Document Map"/>
    <w:basedOn w:val="1"/>
    <w:qFormat/>
    <w:uiPriority w:val="0"/>
    <w:pPr>
      <w:shd w:val="clear" w:color="auto" w:fill="000080"/>
    </w:pPr>
  </w:style>
  <w:style w:type="paragraph" w:styleId="14">
    <w:name w:val="annotation text"/>
    <w:basedOn w:val="1"/>
    <w:link w:val="92"/>
    <w:qFormat/>
    <w:uiPriority w:val="0"/>
    <w:pPr>
      <w:jc w:val="left"/>
    </w:pPr>
  </w:style>
  <w:style w:type="paragraph" w:styleId="15">
    <w:name w:val="Body Text 3"/>
    <w:basedOn w:val="1"/>
    <w:link w:val="93"/>
    <w:qFormat/>
    <w:uiPriority w:val="0"/>
    <w:rPr>
      <w:rFonts w:ascii="宋体"/>
      <w:sz w:val="24"/>
    </w:rPr>
  </w:style>
  <w:style w:type="paragraph" w:styleId="16">
    <w:name w:val="Body Text"/>
    <w:basedOn w:val="1"/>
    <w:next w:val="17"/>
    <w:link w:val="95"/>
    <w:qFormat/>
    <w:uiPriority w:val="0"/>
  </w:style>
  <w:style w:type="paragraph" w:styleId="17">
    <w:name w:val="Body Text 2"/>
    <w:basedOn w:val="1"/>
    <w:next w:val="16"/>
    <w:qFormat/>
    <w:uiPriority w:val="0"/>
    <w:pPr>
      <w:spacing w:line="500" w:lineRule="exact"/>
    </w:pPr>
  </w:style>
  <w:style w:type="paragraph" w:styleId="18">
    <w:name w:val="Body Text Indent"/>
    <w:basedOn w:val="1"/>
    <w:qFormat/>
    <w:uiPriority w:val="0"/>
    <w:pPr>
      <w:adjustRightInd w:val="0"/>
      <w:spacing w:after="120" w:line="420" w:lineRule="atLeast"/>
      <w:ind w:left="420" w:firstLine="454"/>
    </w:pPr>
    <w:rPr>
      <w:kern w:val="0"/>
      <w:szCs w:val="20"/>
    </w:rPr>
  </w:style>
  <w:style w:type="paragraph" w:styleId="19">
    <w:name w:val="index 4"/>
    <w:basedOn w:val="1"/>
    <w:next w:val="1"/>
    <w:qFormat/>
    <w:uiPriority w:val="0"/>
    <w:pPr>
      <w:ind w:left="600" w:leftChars="600"/>
    </w:pPr>
  </w:style>
  <w:style w:type="paragraph" w:styleId="20">
    <w:name w:val="toc 5"/>
    <w:basedOn w:val="1"/>
    <w:next w:val="1"/>
    <w:link w:val="88"/>
    <w:qFormat/>
    <w:uiPriority w:val="39"/>
    <w:pPr>
      <w:ind w:left="1680" w:leftChars="800"/>
    </w:pPr>
    <w:rPr>
      <w:kern w:val="0"/>
      <w:sz w:val="20"/>
      <w:szCs w:val="22"/>
    </w:rPr>
  </w:style>
  <w:style w:type="paragraph" w:styleId="21">
    <w:name w:val="toc 3"/>
    <w:basedOn w:val="1"/>
    <w:next w:val="1"/>
    <w:qFormat/>
    <w:uiPriority w:val="39"/>
    <w:pPr>
      <w:ind w:left="840" w:leftChars="400"/>
    </w:pPr>
  </w:style>
  <w:style w:type="paragraph" w:styleId="22">
    <w:name w:val="Plain Text"/>
    <w:basedOn w:val="1"/>
    <w:qFormat/>
    <w:uiPriority w:val="0"/>
    <w:rPr>
      <w:rFonts w:ascii="宋体" w:hAnsi="Courier New"/>
      <w:szCs w:val="20"/>
    </w:rPr>
  </w:style>
  <w:style w:type="paragraph" w:styleId="23">
    <w:name w:val="toc 8"/>
    <w:basedOn w:val="1"/>
    <w:next w:val="1"/>
    <w:qFormat/>
    <w:uiPriority w:val="39"/>
    <w:pPr>
      <w:ind w:left="2940" w:leftChars="1400"/>
    </w:pPr>
    <w:rPr>
      <w:rFonts w:ascii="Calibri" w:hAnsi="Calibri"/>
      <w:szCs w:val="22"/>
    </w:rPr>
  </w:style>
  <w:style w:type="paragraph" w:styleId="24">
    <w:name w:val="index 3"/>
    <w:basedOn w:val="1"/>
    <w:next w:val="1"/>
    <w:qFormat/>
    <w:uiPriority w:val="0"/>
    <w:pPr>
      <w:ind w:left="400" w:leftChars="400"/>
    </w:pPr>
  </w:style>
  <w:style w:type="paragraph" w:styleId="25">
    <w:name w:val="Date"/>
    <w:basedOn w:val="1"/>
    <w:next w:val="1"/>
    <w:qFormat/>
    <w:uiPriority w:val="0"/>
    <w:pPr>
      <w:ind w:left="100" w:leftChars="2500"/>
    </w:pPr>
  </w:style>
  <w:style w:type="paragraph" w:styleId="26">
    <w:name w:val="endnote text"/>
    <w:basedOn w:val="1"/>
    <w:qFormat/>
    <w:uiPriority w:val="0"/>
    <w:pPr>
      <w:snapToGrid w:val="0"/>
      <w:jc w:val="left"/>
    </w:pPr>
  </w:style>
  <w:style w:type="paragraph" w:styleId="27">
    <w:name w:val="Balloon Text"/>
    <w:basedOn w:val="1"/>
    <w:qFormat/>
    <w:uiPriority w:val="0"/>
    <w:rPr>
      <w:sz w:val="18"/>
      <w:szCs w:val="18"/>
    </w:rPr>
  </w:style>
  <w:style w:type="paragraph" w:styleId="28">
    <w:name w:val="footer"/>
    <w:basedOn w:val="1"/>
    <w:link w:val="100"/>
    <w:qFormat/>
    <w:uiPriority w:val="0"/>
    <w:pPr>
      <w:tabs>
        <w:tab w:val="center" w:pos="4153"/>
        <w:tab w:val="right" w:pos="8306"/>
      </w:tabs>
      <w:snapToGrid w:val="0"/>
      <w:jc w:val="left"/>
    </w:pPr>
    <w:rPr>
      <w:sz w:val="18"/>
      <w:szCs w:val="18"/>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style>
  <w:style w:type="paragraph" w:styleId="31">
    <w:name w:val="toc 4"/>
    <w:basedOn w:val="1"/>
    <w:next w:val="1"/>
    <w:qFormat/>
    <w:uiPriority w:val="39"/>
    <w:pPr>
      <w:ind w:left="1260" w:leftChars="600"/>
    </w:pPr>
    <w:rPr>
      <w:rFonts w:ascii="Calibri" w:hAnsi="Calibri"/>
      <w:szCs w:val="22"/>
    </w:rPr>
  </w:style>
  <w:style w:type="paragraph" w:styleId="32">
    <w:name w:val="Subtitle"/>
    <w:basedOn w:val="1"/>
    <w:link w:val="89"/>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99"/>
    <w:qFormat/>
    <w:uiPriority w:val="0"/>
    <w:pPr>
      <w:snapToGrid w:val="0"/>
      <w:jc w:val="left"/>
    </w:pPr>
    <w:rPr>
      <w:sz w:val="18"/>
      <w:szCs w:val="18"/>
    </w:rPr>
  </w:style>
  <w:style w:type="paragraph" w:styleId="34">
    <w:name w:val="toc 6"/>
    <w:basedOn w:val="1"/>
    <w:next w:val="1"/>
    <w:qFormat/>
    <w:uiPriority w:val="39"/>
    <w:pPr>
      <w:ind w:left="2100" w:leftChars="1000"/>
    </w:pPr>
    <w:rPr>
      <w:rFonts w:ascii="Calibri" w:hAnsi="Calibri"/>
      <w:szCs w:val="22"/>
    </w:rPr>
  </w:style>
  <w:style w:type="paragraph" w:styleId="35">
    <w:name w:val="toc 2"/>
    <w:basedOn w:val="1"/>
    <w:next w:val="1"/>
    <w:qFormat/>
    <w:uiPriority w:val="39"/>
    <w:pPr>
      <w:ind w:left="420" w:leftChars="200"/>
    </w:pPr>
  </w:style>
  <w:style w:type="paragraph" w:styleId="36">
    <w:name w:val="toc 9"/>
    <w:basedOn w:val="1"/>
    <w:next w:val="1"/>
    <w:qFormat/>
    <w:uiPriority w:val="39"/>
    <w:pPr>
      <w:ind w:left="3360" w:leftChars="1600"/>
    </w:pPr>
    <w:rPr>
      <w:rFonts w:ascii="Calibri" w:hAnsi="Calibri"/>
      <w:szCs w:val="22"/>
    </w:rPr>
  </w:style>
  <w:style w:type="paragraph" w:styleId="37">
    <w:name w:val="Normal (Web)"/>
    <w:basedOn w:val="1"/>
    <w:qFormat/>
    <w:uiPriority w:val="0"/>
    <w:rPr>
      <w:sz w:val="24"/>
    </w:rPr>
  </w:style>
  <w:style w:type="paragraph" w:styleId="38">
    <w:name w:val="index 1"/>
    <w:basedOn w:val="1"/>
    <w:next w:val="1"/>
    <w:qFormat/>
    <w:uiPriority w:val="0"/>
  </w:style>
  <w:style w:type="paragraph" w:styleId="39">
    <w:name w:val="index 2"/>
    <w:basedOn w:val="1"/>
    <w:next w:val="1"/>
    <w:qFormat/>
    <w:uiPriority w:val="0"/>
    <w:pPr>
      <w:ind w:left="200" w:leftChars="200"/>
    </w:pPr>
  </w:style>
  <w:style w:type="paragraph" w:styleId="40">
    <w:name w:val="Title"/>
    <w:basedOn w:val="1"/>
    <w:qFormat/>
    <w:uiPriority w:val="0"/>
    <w:pPr>
      <w:adjustRightInd w:val="0"/>
      <w:spacing w:line="420" w:lineRule="atLeast"/>
      <w:jc w:val="center"/>
      <w:outlineLvl w:val="0"/>
    </w:pPr>
    <w:rPr>
      <w:rFonts w:ascii="Arial" w:hAnsi="Arial"/>
      <w:b/>
      <w:kern w:val="0"/>
      <w:sz w:val="32"/>
      <w:szCs w:val="20"/>
    </w:rPr>
  </w:style>
  <w:style w:type="paragraph" w:styleId="41">
    <w:name w:val="annotation subject"/>
    <w:basedOn w:val="14"/>
    <w:next w:val="14"/>
    <w:link w:val="97"/>
    <w:qFormat/>
    <w:uiPriority w:val="0"/>
    <w:rPr>
      <w:b/>
      <w:bCs/>
    </w:rPr>
  </w:style>
  <w:style w:type="paragraph" w:styleId="42">
    <w:name w:val="Body Text First Indent 2"/>
    <w:basedOn w:val="18"/>
    <w:qFormat/>
    <w:uiPriority w:val="0"/>
    <w:pPr>
      <w:ind w:left="0" w:firstLine="960" w:firstLineChars="200"/>
    </w:pPr>
    <w:rPr>
      <w:sz w:val="24"/>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22"/>
    <w:rPr>
      <w:b/>
    </w:rPr>
  </w:style>
  <w:style w:type="character" w:styleId="47">
    <w:name w:val="endnote reference"/>
    <w:basedOn w:val="45"/>
    <w:qFormat/>
    <w:uiPriority w:val="0"/>
    <w:rPr>
      <w:vertAlign w:val="superscript"/>
    </w:rPr>
  </w:style>
  <w:style w:type="character" w:styleId="48">
    <w:name w:val="page number"/>
    <w:basedOn w:val="45"/>
    <w:qFormat/>
    <w:uiPriority w:val="0"/>
  </w:style>
  <w:style w:type="character" w:styleId="49">
    <w:name w:val="FollowedHyperlink"/>
    <w:basedOn w:val="45"/>
    <w:qFormat/>
    <w:uiPriority w:val="0"/>
    <w:rPr>
      <w:color w:val="333333"/>
      <w:sz w:val="18"/>
      <w:szCs w:val="18"/>
      <w:u w:val="single"/>
    </w:rPr>
  </w:style>
  <w:style w:type="character" w:styleId="50">
    <w:name w:val="Hyperlink"/>
    <w:basedOn w:val="45"/>
    <w:qFormat/>
    <w:uiPriority w:val="99"/>
    <w:rPr>
      <w:color w:val="333333"/>
      <w:sz w:val="18"/>
      <w:szCs w:val="18"/>
      <w:u w:val="single"/>
    </w:rPr>
  </w:style>
  <w:style w:type="character" w:styleId="51">
    <w:name w:val="annotation reference"/>
    <w:basedOn w:val="45"/>
    <w:qFormat/>
    <w:uiPriority w:val="0"/>
    <w:rPr>
      <w:sz w:val="21"/>
      <w:szCs w:val="21"/>
    </w:rPr>
  </w:style>
  <w:style w:type="character" w:styleId="52">
    <w:name w:val="footnote reference"/>
    <w:basedOn w:val="45"/>
    <w:qFormat/>
    <w:uiPriority w:val="0"/>
    <w:rPr>
      <w:vertAlign w:val="superscript"/>
    </w:rPr>
  </w:style>
  <w:style w:type="paragraph" w:customStyle="1" w:styleId="53">
    <w:name w:val="样式 宋体 行距: 1.5 倍行距"/>
    <w:basedOn w:val="54"/>
    <w:next w:val="1"/>
    <w:qFormat/>
    <w:uiPriority w:val="0"/>
    <w:pPr>
      <w:jc w:val="center"/>
    </w:pPr>
    <w:rPr>
      <w:b/>
    </w:rPr>
  </w:style>
  <w:style w:type="paragraph" w:customStyle="1" w:styleId="54">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53"/>
    <w:qFormat/>
    <w:uiPriority w:val="0"/>
    <w:pPr>
      <w:widowControl w:val="0"/>
      <w:jc w:val="both"/>
    </w:pPr>
    <w:rPr>
      <w:rFonts w:ascii="Calibri" w:hAnsi="Calibri" w:eastAsia="宋体" w:cs="黑体"/>
      <w:kern w:val="2"/>
      <w:sz w:val="21"/>
      <w:szCs w:val="24"/>
      <w:lang w:val="en-US" w:eastAsia="zh-CN" w:bidi="ar-SA"/>
    </w:rPr>
  </w:style>
  <w:style w:type="paragraph" w:customStyle="1" w:styleId="55">
    <w:name w:val="正文 New New New New New New New New New New New New New New New New New New New New New New New New New New New New New New New New New New New New New New New New New New New New New New New New New New New New New New New New New New New New New New Ne"/>
    <w:next w:val="53"/>
    <w:qFormat/>
    <w:uiPriority w:val="0"/>
    <w:pPr>
      <w:widowControl w:val="0"/>
      <w:jc w:val="both"/>
    </w:pPr>
    <w:rPr>
      <w:rFonts w:ascii="Calibri" w:hAnsi="Calibri" w:eastAsia="宋体" w:cs="黑体"/>
      <w:kern w:val="2"/>
      <w:sz w:val="21"/>
      <w:szCs w:val="24"/>
      <w:lang w:val="en-US" w:eastAsia="zh-CN" w:bidi="ar-SA"/>
    </w:rPr>
  </w:style>
  <w:style w:type="paragraph" w:customStyle="1" w:styleId="56">
    <w:name w:val="正文正"/>
    <w:basedOn w:val="1"/>
    <w:qFormat/>
    <w:uiPriority w:val="99"/>
    <w:pPr>
      <w:spacing w:line="560" w:lineRule="exact"/>
      <w:ind w:firstLine="561"/>
    </w:pPr>
    <w:rPr>
      <w:rFonts w:ascii="Calibri" w:hAnsi="Calibri" w:cs="Calibri"/>
      <w:sz w:val="28"/>
      <w:szCs w:val="28"/>
    </w:rPr>
  </w:style>
  <w:style w:type="character" w:customStyle="1" w:styleId="57">
    <w:name w:val="标题 2 Char"/>
    <w:basedOn w:val="45"/>
    <w:link w:val="4"/>
    <w:qFormat/>
    <w:uiPriority w:val="0"/>
    <w:rPr>
      <w:rFonts w:ascii="Arial" w:hAnsi="Arial" w:eastAsia="黑体"/>
      <w:b/>
      <w:bCs/>
      <w:kern w:val="2"/>
      <w:sz w:val="32"/>
      <w:szCs w:val="32"/>
      <w:lang w:val="en-US" w:eastAsia="zh-CN" w:bidi="ar-SA"/>
    </w:rPr>
  </w:style>
  <w:style w:type="paragraph" w:customStyle="1" w:styleId="58">
    <w:name w:val="表格内容"/>
    <w:basedOn w:val="59"/>
    <w:qFormat/>
    <w:uiPriority w:val="0"/>
    <w:pPr>
      <w:ind w:firstLine="0" w:firstLineChars="0"/>
      <w:jc w:val="center"/>
    </w:pPr>
  </w:style>
  <w:style w:type="paragraph" w:customStyle="1" w:styleId="59">
    <w:name w:val="招标正文"/>
    <w:basedOn w:val="1"/>
    <w:qFormat/>
    <w:uiPriority w:val="0"/>
    <w:pPr>
      <w:autoSpaceDE w:val="0"/>
      <w:autoSpaceDN w:val="0"/>
      <w:adjustRightInd w:val="0"/>
      <w:ind w:firstLine="480" w:firstLineChars="200"/>
    </w:pPr>
    <w:rPr>
      <w:rFonts w:cs="微软雅黑"/>
      <w:kern w:val="0"/>
      <w:sz w:val="24"/>
    </w:rPr>
  </w:style>
  <w:style w:type="paragraph" w:customStyle="1" w:styleId="60">
    <w:name w:val="条款正文"/>
    <w:basedOn w:val="59"/>
    <w:qFormat/>
    <w:uiPriority w:val="0"/>
    <w:pPr>
      <w:ind w:firstLine="0" w:firstLineChars="0"/>
    </w:pPr>
  </w:style>
  <w:style w:type="paragraph" w:customStyle="1" w:styleId="61">
    <w:name w:val="_Style 52"/>
    <w:basedOn w:val="1"/>
    <w:qFormat/>
    <w:uiPriority w:val="0"/>
    <w:pPr>
      <w:pBdr>
        <w:bottom w:val="single" w:color="auto" w:sz="6" w:space="1"/>
      </w:pBdr>
      <w:jc w:val="center"/>
    </w:pPr>
    <w:rPr>
      <w:rFonts w:ascii="Arial"/>
      <w:vanish/>
      <w:sz w:val="16"/>
    </w:rPr>
  </w:style>
  <w:style w:type="paragraph" w:customStyle="1" w:styleId="62">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文本_0"/>
    <w:basedOn w:val="64"/>
    <w:qFormat/>
    <w:uiPriority w:val="0"/>
    <w:pPr>
      <w:spacing w:after="120"/>
    </w:pPr>
  </w:style>
  <w:style w:type="paragraph" w:customStyle="1" w:styleId="64">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op_mapdots_left"/>
    <w:basedOn w:val="1"/>
    <w:qFormat/>
    <w:uiPriority w:val="0"/>
    <w:pPr>
      <w:jc w:val="left"/>
    </w:pPr>
    <w:rPr>
      <w:kern w:val="0"/>
    </w:rPr>
  </w:style>
  <w:style w:type="paragraph" w:customStyle="1" w:styleId="6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7">
    <w:name w:val="正文 New New New New"/>
    <w:qFormat/>
    <w:uiPriority w:val="0"/>
    <w:pPr>
      <w:widowControl w:val="0"/>
      <w:spacing w:after="200" w:line="276" w:lineRule="auto"/>
    </w:pPr>
    <w:rPr>
      <w:rFonts w:ascii="Times New Roman" w:hAnsi="Times New Roman" w:eastAsia="宋体" w:cs="Times New Roman"/>
      <w:sz w:val="22"/>
      <w:szCs w:val="22"/>
      <w:lang w:val="en-US" w:eastAsia="en-US" w:bidi="ar-SA"/>
    </w:rPr>
  </w:style>
  <w:style w:type="paragraph" w:customStyle="1" w:styleId="68">
    <w:name w:val="样式 标题 3 + (中文) 黑体 小四 非加粗 段前: 7.8 磅 段后: 0 磅 行距: 固定值 20 磅"/>
    <w:basedOn w:val="5"/>
    <w:qFormat/>
    <w:uiPriority w:val="0"/>
    <w:pPr>
      <w:spacing w:line="400" w:lineRule="exact"/>
    </w:pPr>
    <w:rPr>
      <w:rFonts w:eastAsia="黑体" w:cs="宋体"/>
      <w:b w:val="0"/>
      <w:bCs w:val="0"/>
      <w:sz w:val="24"/>
      <w:szCs w:val="20"/>
    </w:rPr>
  </w:style>
  <w:style w:type="paragraph" w:customStyle="1" w:styleId="69">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标题1、"/>
    <w:basedOn w:val="4"/>
    <w:qFormat/>
    <w:uiPriority w:val="0"/>
    <w:pPr>
      <w:numPr>
        <w:ilvl w:val="1"/>
        <w:numId w:val="3"/>
      </w:numPr>
      <w:autoSpaceDE w:val="0"/>
      <w:autoSpaceDN w:val="0"/>
      <w:adjustRightInd w:val="0"/>
      <w:spacing w:beforeLines="50"/>
      <w:jc w:val="left"/>
    </w:pPr>
    <w:rPr>
      <w:rFonts w:ascii="Times New Roman" w:hAnsi="Times New Roman"/>
      <w:kern w:val="0"/>
      <w:sz w:val="24"/>
      <w:szCs w:val="24"/>
    </w:rPr>
  </w:style>
  <w:style w:type="paragraph" w:customStyle="1" w:styleId="71">
    <w:name w:val="_Style 63"/>
    <w:basedOn w:val="1"/>
    <w:qFormat/>
    <w:uiPriority w:val="0"/>
    <w:pPr>
      <w:pBdr>
        <w:top w:val="single" w:color="auto" w:sz="6" w:space="1"/>
      </w:pBdr>
      <w:jc w:val="center"/>
    </w:pPr>
    <w:rPr>
      <w:rFonts w:ascii="Arial"/>
      <w:vanish/>
      <w:sz w:val="16"/>
    </w:rPr>
  </w:style>
  <w:style w:type="paragraph" w:customStyle="1" w:styleId="72">
    <w:name w:val="标题1.1"/>
    <w:basedOn w:val="59"/>
    <w:next w:val="1"/>
    <w:qFormat/>
    <w:uiPriority w:val="0"/>
    <w:pPr>
      <w:numPr>
        <w:ilvl w:val="2"/>
        <w:numId w:val="3"/>
      </w:numPr>
      <w:ind w:firstLine="0" w:firstLineChars="0"/>
      <w:outlineLvl w:val="2"/>
    </w:pPr>
    <w:rPr>
      <w:b/>
    </w:rPr>
  </w:style>
  <w:style w:type="paragraph" w:customStyle="1" w:styleId="73">
    <w:name w:val="TOC 标题1"/>
    <w:basedOn w:val="3"/>
    <w:qFormat/>
    <w:uiPriority w:val="39"/>
    <w:pPr>
      <w:widowControl/>
      <w:spacing w:before="480" w:line="276" w:lineRule="auto"/>
      <w:jc w:val="left"/>
      <w:outlineLvl w:val="9"/>
    </w:pPr>
    <w:rPr>
      <w:rFonts w:ascii="Cambria" w:hAnsi="Cambria"/>
      <w:color w:val="365F91"/>
      <w:kern w:val="0"/>
      <w:sz w:val="28"/>
      <w:szCs w:val="28"/>
    </w:rPr>
  </w:style>
  <w:style w:type="paragraph" w:customStyle="1" w:styleId="74">
    <w:name w:val="正文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5">
    <w:name w:val="p17"/>
    <w:qFormat/>
    <w:uiPriority w:val="0"/>
    <w:pPr>
      <w:spacing w:before="100" w:beforeAutospacing="1" w:after="100" w:afterAutospacing="1"/>
    </w:pPr>
    <w:rPr>
      <w:rFonts w:ascii="宋体" w:hAnsi="宋体" w:eastAsia="宋体" w:cs="宋体"/>
      <w:sz w:val="24"/>
      <w:lang w:val="en-US" w:eastAsia="zh-CN" w:bidi="ar-SA"/>
    </w:rPr>
  </w:style>
  <w:style w:type="paragraph" w:customStyle="1" w:styleId="76">
    <w:name w:val="小标题"/>
    <w:basedOn w:val="1"/>
    <w:qFormat/>
    <w:uiPriority w:val="0"/>
    <w:pPr>
      <w:autoSpaceDE w:val="0"/>
      <w:autoSpaceDN w:val="0"/>
      <w:adjustRightInd w:val="0"/>
      <w:jc w:val="center"/>
    </w:pPr>
    <w:rPr>
      <w:rFonts w:ascii="宋体" w:hAnsi="宋体" w:cs="Microsoft JhengHei"/>
      <w:b/>
      <w:kern w:val="0"/>
      <w:sz w:val="28"/>
      <w:szCs w:val="32"/>
    </w:rPr>
  </w:style>
  <w:style w:type="paragraph" w:customStyle="1" w:styleId="77">
    <w:name w:val="Char"/>
    <w:basedOn w:val="13"/>
    <w:qFormat/>
    <w:uiPriority w:val="0"/>
    <w:rPr>
      <w:rFonts w:ascii="Tahoma" w:hAnsi="Tahoma"/>
      <w:sz w:val="24"/>
    </w:rPr>
  </w:style>
  <w:style w:type="paragraph" w:customStyle="1" w:styleId="78">
    <w:name w:val="列出段落1"/>
    <w:basedOn w:val="1"/>
    <w:qFormat/>
    <w:uiPriority w:val="1"/>
    <w:pPr>
      <w:ind w:left="424" w:firstLine="480"/>
    </w:pPr>
    <w:rPr>
      <w:rFonts w:ascii="宋体" w:hAnsi="宋体" w:cs="宋体"/>
      <w:lang w:val="zh-CN" w:bidi="zh-CN"/>
    </w:rPr>
  </w:style>
  <w:style w:type="paragraph" w:customStyle="1" w:styleId="79">
    <w:name w:val="样式 标题 2 + Times New Roman 四号 非加粗 段前: 5 磅 段后: 0 磅 行距: 固定值 20..."/>
    <w:basedOn w:val="4"/>
    <w:next w:val="1"/>
    <w:link w:val="86"/>
    <w:qFormat/>
    <w:uiPriority w:val="0"/>
    <w:pPr>
      <w:spacing w:line="400" w:lineRule="exact"/>
    </w:pPr>
    <w:rPr>
      <w:rFonts w:ascii="Times New Roman" w:hAnsi="Times New Roman" w:eastAsia="宋体"/>
      <w:kern w:val="0"/>
      <w:sz w:val="28"/>
      <w:szCs w:val="20"/>
    </w:rPr>
  </w:style>
  <w:style w:type="paragraph" w:customStyle="1" w:styleId="80">
    <w:name w:val="正文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Table Paragraph"/>
    <w:basedOn w:val="1"/>
    <w:qFormat/>
    <w:uiPriority w:val="1"/>
  </w:style>
  <w:style w:type="paragraph" w:customStyle="1" w:styleId="82">
    <w:name w:val="p0"/>
    <w:basedOn w:val="1"/>
    <w:qFormat/>
    <w:uiPriority w:val="0"/>
    <w:pPr>
      <w:widowControl/>
    </w:pPr>
    <w:rPr>
      <w:rFonts w:ascii="Calibri" w:hAnsi="Calibri" w:cs="宋体"/>
      <w:kern w:val="0"/>
      <w:szCs w:val="21"/>
    </w:rPr>
  </w:style>
  <w:style w:type="paragraph" w:customStyle="1" w:styleId="8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p16"/>
    <w:basedOn w:val="1"/>
    <w:qFormat/>
    <w:uiPriority w:val="0"/>
    <w:pPr>
      <w:widowControl/>
    </w:pPr>
    <w:rPr>
      <w:kern w:val="0"/>
      <w:szCs w:val="21"/>
    </w:rPr>
  </w:style>
  <w:style w:type="paragraph" w:customStyle="1" w:styleId="85">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样式 标题 2 + Times New Roman 四号 非加粗 段前: 5 磅 段后: 0 磅 行距: 固定值 20... Char"/>
    <w:link w:val="79"/>
    <w:qFormat/>
    <w:uiPriority w:val="0"/>
    <w:rPr>
      <w:rFonts w:ascii="Times New Roman" w:hAnsi="Times New Roman" w:cs="宋体"/>
      <w:b/>
      <w:bCs/>
      <w:sz w:val="28"/>
      <w:szCs w:val="20"/>
    </w:rPr>
  </w:style>
  <w:style w:type="character" w:customStyle="1" w:styleId="87">
    <w:name w:val="标题 1 Char"/>
    <w:link w:val="3"/>
    <w:qFormat/>
    <w:uiPriority w:val="0"/>
    <w:rPr>
      <w:b/>
      <w:bCs/>
      <w:kern w:val="44"/>
      <w:sz w:val="44"/>
      <w:szCs w:val="44"/>
    </w:rPr>
  </w:style>
  <w:style w:type="character" w:customStyle="1" w:styleId="88">
    <w:name w:val="目录 5 Char"/>
    <w:link w:val="20"/>
    <w:qFormat/>
    <w:uiPriority w:val="39"/>
    <w:rPr>
      <w:rFonts w:ascii="Calibri" w:hAnsi="Calibri" w:eastAsia="宋体" w:cs="Times New Roman"/>
      <w:szCs w:val="22"/>
    </w:rPr>
  </w:style>
  <w:style w:type="character" w:customStyle="1" w:styleId="89">
    <w:name w:val="副标题 Char"/>
    <w:basedOn w:val="45"/>
    <w:link w:val="32"/>
    <w:qFormat/>
    <w:uiPriority w:val="0"/>
    <w:rPr>
      <w:rFonts w:ascii="Cambria" w:hAnsi="Cambria" w:cs="Times New Roman"/>
      <w:b/>
      <w:bCs/>
      <w:kern w:val="28"/>
      <w:sz w:val="32"/>
      <w:szCs w:val="32"/>
    </w:rPr>
  </w:style>
  <w:style w:type="character" w:customStyle="1" w:styleId="90">
    <w:name w:val="hover37"/>
    <w:basedOn w:val="45"/>
    <w:qFormat/>
    <w:uiPriority w:val="0"/>
  </w:style>
  <w:style w:type="character" w:customStyle="1" w:styleId="91">
    <w:name w:val="标题 3 Char"/>
    <w:basedOn w:val="45"/>
    <w:link w:val="5"/>
    <w:qFormat/>
    <w:uiPriority w:val="0"/>
    <w:rPr>
      <w:rFonts w:eastAsia="宋体"/>
      <w:b/>
      <w:bCs/>
      <w:kern w:val="2"/>
      <w:sz w:val="32"/>
      <w:szCs w:val="32"/>
      <w:lang w:val="en-US" w:eastAsia="zh-CN" w:bidi="ar-SA"/>
    </w:rPr>
  </w:style>
  <w:style w:type="character" w:customStyle="1" w:styleId="92">
    <w:name w:val="批注文字 Char"/>
    <w:basedOn w:val="45"/>
    <w:link w:val="14"/>
    <w:qFormat/>
    <w:uiPriority w:val="0"/>
    <w:rPr>
      <w:kern w:val="2"/>
      <w:sz w:val="21"/>
      <w:szCs w:val="24"/>
    </w:rPr>
  </w:style>
  <w:style w:type="character" w:customStyle="1" w:styleId="93">
    <w:name w:val="正文文本 3 Char"/>
    <w:basedOn w:val="45"/>
    <w:link w:val="15"/>
    <w:qFormat/>
    <w:uiPriority w:val="0"/>
    <w:rPr>
      <w:rFonts w:ascii="宋体" w:eastAsia="宋体"/>
      <w:kern w:val="2"/>
      <w:sz w:val="24"/>
      <w:lang w:val="en-US" w:eastAsia="zh-CN" w:bidi="ar-SA"/>
    </w:rPr>
  </w:style>
  <w:style w:type="character" w:customStyle="1" w:styleId="94">
    <w:name w:val="style2"/>
    <w:basedOn w:val="45"/>
    <w:qFormat/>
    <w:uiPriority w:val="0"/>
  </w:style>
  <w:style w:type="character" w:customStyle="1" w:styleId="95">
    <w:name w:val="正文文本 Char"/>
    <w:basedOn w:val="45"/>
    <w:link w:val="16"/>
    <w:qFormat/>
    <w:uiPriority w:val="0"/>
    <w:rPr>
      <w:rFonts w:eastAsia="宋体"/>
      <w:kern w:val="2"/>
      <w:sz w:val="21"/>
      <w:szCs w:val="24"/>
      <w:lang w:val="en-US" w:eastAsia="zh-CN" w:bidi="ar-SA"/>
    </w:rPr>
  </w:style>
  <w:style w:type="character" w:customStyle="1" w:styleId="96">
    <w:name w:val="Char Char17"/>
    <w:basedOn w:val="45"/>
    <w:qFormat/>
    <w:uiPriority w:val="0"/>
    <w:rPr>
      <w:rFonts w:ascii="Times New Roman" w:hAnsi="Times New Roman" w:eastAsia="宋体" w:cs="Times New Roman"/>
      <w:b/>
      <w:bCs/>
      <w:kern w:val="44"/>
      <w:sz w:val="44"/>
      <w:szCs w:val="44"/>
    </w:rPr>
  </w:style>
  <w:style w:type="character" w:customStyle="1" w:styleId="97">
    <w:name w:val="批注主题 Char"/>
    <w:basedOn w:val="92"/>
    <w:link w:val="41"/>
    <w:qFormat/>
    <w:uiPriority w:val="0"/>
    <w:rPr>
      <w:kern w:val="2"/>
      <w:sz w:val="21"/>
      <w:szCs w:val="24"/>
    </w:rPr>
  </w:style>
  <w:style w:type="character" w:customStyle="1" w:styleId="98">
    <w:name w:val="标题 4 Char"/>
    <w:basedOn w:val="45"/>
    <w:link w:val="2"/>
    <w:qFormat/>
    <w:uiPriority w:val="0"/>
    <w:rPr>
      <w:rFonts w:ascii="Arial" w:hAnsi="Arial" w:eastAsia="黑体"/>
      <w:b/>
      <w:bCs/>
      <w:kern w:val="2"/>
      <w:sz w:val="28"/>
      <w:szCs w:val="28"/>
      <w:lang w:val="en-US" w:eastAsia="zh-CN" w:bidi="ar-SA"/>
    </w:rPr>
  </w:style>
  <w:style w:type="character" w:customStyle="1" w:styleId="99">
    <w:name w:val="脚注文本 Char"/>
    <w:basedOn w:val="45"/>
    <w:link w:val="33"/>
    <w:qFormat/>
    <w:uiPriority w:val="0"/>
    <w:rPr>
      <w:kern w:val="2"/>
      <w:sz w:val="18"/>
      <w:szCs w:val="18"/>
    </w:rPr>
  </w:style>
  <w:style w:type="character" w:customStyle="1" w:styleId="100">
    <w:name w:val="页脚 Char"/>
    <w:basedOn w:val="45"/>
    <w:link w:val="28"/>
    <w:qFormat/>
    <w:uiPriority w:val="0"/>
    <w:rPr>
      <w:kern w:val="2"/>
      <w:sz w:val="18"/>
      <w:szCs w:val="18"/>
    </w:rPr>
  </w:style>
  <w:style w:type="character" w:customStyle="1" w:styleId="101">
    <w:name w:val="页码1"/>
    <w:basedOn w:val="45"/>
    <w:qFormat/>
    <w:uiPriority w:val="0"/>
  </w:style>
  <w:style w:type="character" w:customStyle="1" w:styleId="102">
    <w:name w:val="hover"/>
    <w:basedOn w:val="45"/>
    <w:qFormat/>
    <w:uiPriority w:val="0"/>
  </w:style>
  <w:style w:type="paragraph" w:customStyle="1" w:styleId="103">
    <w:name w:val="标题 1 New"/>
    <w:basedOn w:val="69"/>
    <w:link w:val="104"/>
    <w:qFormat/>
    <w:uiPriority w:val="0"/>
    <w:pPr>
      <w:keepNext/>
      <w:keepLines/>
      <w:spacing w:line="578" w:lineRule="auto"/>
      <w:outlineLvl w:val="0"/>
    </w:pPr>
    <w:rPr>
      <w:b/>
      <w:bCs/>
      <w:kern w:val="44"/>
      <w:sz w:val="44"/>
      <w:szCs w:val="44"/>
    </w:rPr>
  </w:style>
  <w:style w:type="character" w:customStyle="1" w:styleId="104">
    <w:name w:val="标题 1 Char Char New"/>
    <w:link w:val="103"/>
    <w:qFormat/>
    <w:uiPriority w:val="0"/>
    <w:rPr>
      <w:rFonts w:ascii="Times New Roman" w:hAnsi="Times New Roman"/>
      <w:b/>
      <w:bCs/>
      <w:kern w:val="44"/>
      <w:sz w:val="44"/>
      <w:szCs w:val="44"/>
    </w:rPr>
  </w:style>
  <w:style w:type="paragraph" w:customStyle="1" w:styleId="105">
    <w:name w:val="正文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6">
    <w:name w:val="正文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正文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8">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character" w:customStyle="1" w:styleId="109">
    <w:name w:val="hover38"/>
    <w:basedOn w:val="45"/>
    <w:qFormat/>
    <w:uiPriority w:val="0"/>
  </w:style>
  <w:style w:type="paragraph" w:customStyle="1" w:styleId="110">
    <w:name w:val="6'"/>
    <w:basedOn w:val="1"/>
    <w:qFormat/>
    <w:uiPriority w:val="0"/>
    <w:pPr>
      <w:autoSpaceDE w:val="0"/>
      <w:autoSpaceDN w:val="0"/>
      <w:adjustRightInd w:val="0"/>
      <w:snapToGrid w:val="0"/>
      <w:spacing w:line="320" w:lineRule="exact"/>
      <w:jc w:val="center"/>
    </w:pPr>
    <w:rPr>
      <w:spacing w:val="20"/>
      <w:kern w:val="28"/>
      <w:szCs w:val="20"/>
    </w:rPr>
  </w:style>
  <w:style w:type="paragraph" w:customStyle="1" w:styleId="111">
    <w:name w:val="样式4"/>
    <w:basedOn w:val="1"/>
    <w:qFormat/>
    <w:uiPriority w:val="0"/>
    <w:pPr>
      <w:spacing w:line="360" w:lineRule="auto"/>
      <w:jc w:val="center"/>
    </w:pPr>
    <w:rPr>
      <w:rFonts w:ascii="宋体" w:hAnsi="宋体"/>
      <w:sz w:val="24"/>
    </w:rPr>
  </w:style>
  <w:style w:type="paragraph" w:customStyle="1" w:styleId="112">
    <w:name w:val="正文文本 New"/>
    <w:basedOn w:val="85"/>
    <w:qFormat/>
    <w:uiPriority w:val="0"/>
    <w:pPr>
      <w:spacing w:after="120"/>
    </w:pPr>
  </w:style>
  <w:style w:type="paragraph" w:customStyle="1" w:styleId="113">
    <w:name w:val="列出段落2"/>
    <w:basedOn w:val="1"/>
    <w:unhideWhenUsed/>
    <w:qFormat/>
    <w:uiPriority w:val="99"/>
    <w:pPr>
      <w:ind w:firstLine="420" w:firstLineChars="200"/>
    </w:pPr>
  </w:style>
  <w:style w:type="character" w:customStyle="1" w:styleId="114">
    <w:name w:val="NormalCharacter"/>
    <w:semiHidden/>
    <w:qFormat/>
    <w:uiPriority w:val="0"/>
  </w:style>
  <w:style w:type="paragraph" w:customStyle="1" w:styleId="115">
    <w:name w:val="列出段落3"/>
    <w:basedOn w:val="1"/>
    <w:qFormat/>
    <w:uiPriority w:val="1"/>
    <w:pPr>
      <w:ind w:left="424" w:firstLine="480"/>
    </w:pPr>
    <w:rPr>
      <w:rFonts w:ascii="宋体" w:hAnsi="宋体" w:cs="宋体"/>
      <w:lang w:val="zh-CN" w:bidi="zh-CN"/>
    </w:rPr>
  </w:style>
  <w:style w:type="paragraph" w:customStyle="1" w:styleId="116">
    <w:name w:val="标题 41"/>
    <w:basedOn w:val="1"/>
    <w:qFormat/>
    <w:uiPriority w:val="0"/>
    <w:pPr>
      <w:keepNext/>
      <w:keepLines/>
      <w:spacing w:before="280" w:after="290" w:line="376" w:lineRule="auto"/>
      <w:outlineLvl w:val="3"/>
    </w:pPr>
    <w:rPr>
      <w:rFonts w:ascii="Arial" w:hAnsi="Arial" w:eastAsia="黑体"/>
      <w:b/>
      <w:bCs/>
      <w:sz w:val="28"/>
      <w:szCs w:val="28"/>
    </w:rPr>
  </w:style>
  <w:style w:type="paragraph" w:customStyle="1" w:styleId="117">
    <w:name w:val="Normal Indent1"/>
    <w:basedOn w:val="1"/>
    <w:qFormat/>
    <w:uiPriority w:val="0"/>
    <w:pPr>
      <w:widowControl/>
      <w:spacing w:line="360" w:lineRule="auto"/>
      <w:ind w:firstLine="420"/>
      <w:jc w:val="left"/>
    </w:pPr>
    <w:rPr>
      <w:rFonts w:ascii="宋体"/>
      <w:kern w:val="0"/>
      <w:sz w:val="20"/>
      <w:szCs w:val="20"/>
    </w:rPr>
  </w:style>
  <w:style w:type="table" w:customStyle="1" w:styleId="118">
    <w:name w:val="Table Normal"/>
    <w:unhideWhenUsed/>
    <w:qFormat/>
    <w:uiPriority w:val="0"/>
    <w:tblPr>
      <w:tblCellMar>
        <w:top w:w="0" w:type="dxa"/>
        <w:left w:w="0" w:type="dxa"/>
        <w:bottom w:w="0" w:type="dxa"/>
        <w:right w:w="0" w:type="dxa"/>
      </w:tblCellMar>
    </w:tblPr>
  </w:style>
  <w:style w:type="character" w:customStyle="1" w:styleId="119">
    <w:name w:val="Heading 3 Char"/>
    <w:basedOn w:val="45"/>
    <w:link w:val="5"/>
    <w:qFormat/>
    <w:locked/>
    <w:uiPriority w:val="0"/>
    <w:rPr>
      <w:rFonts w:ascii="Times New Roman" w:hAnsi="Times New Roman" w:eastAsia="宋体" w:cs="Times New Roman"/>
      <w:b/>
      <w:bCs/>
      <w:kern w:val="2"/>
      <w:sz w:val="24"/>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wmf"/><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284</Pages>
  <Words>3555</Words>
  <Characters>4872</Characters>
  <Lines>1</Lines>
  <Paragraphs>1</Paragraphs>
  <TotalTime>1</TotalTime>
  <ScaleCrop>false</ScaleCrop>
  <LinksUpToDate>false</LinksUpToDate>
  <CharactersWithSpaces>5540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2010-01-09T16:07:00Z</dcterms:created>
  <dc:creator>微软用户</dc:creator>
  <cp:lastModifiedBy>zheng</cp:lastModifiedBy>
  <cp:lastPrinted>2025-06-05T09:30:00Z</cp:lastPrinted>
  <dcterms:modified xsi:type="dcterms:W3CDTF">2025-07-16T09:31:44Z</dcterms:modified>
  <dc:title>G323线麦屋至乳源县城段路面大修工程施工招标</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9111E45B97154D3C9539BAB14564A375_13</vt:lpwstr>
  </property>
  <property fmtid="{D5CDD505-2E9C-101B-9397-08002B2CF9AE}" pid="4" name="KSOTemplateDocerSaveRecord">
    <vt:lpwstr>eyJoZGlkIjoiNWZiYzFlN2U1MWIyYWM2OTViYWNkNmZhZDU2YmFiZWMiLCJ1c2VySWQiOiI5NjU4NjQ1MDMifQ==</vt:lpwstr>
  </property>
</Properties>
</file>