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D9A23">
      <w:pPr>
        <w:pStyle w:val="3"/>
        <w:rPr>
          <w:rFonts w:hint="eastAsia" w:ascii="宋体" w:hAnsi="宋体" w:eastAsia="宋体" w:cs="宋体"/>
          <w:b/>
          <w:bCs/>
          <w:color w:val="auto"/>
          <w:kern w:val="2"/>
          <w:sz w:val="56"/>
          <w:szCs w:val="72"/>
          <w:highlight w:val="none"/>
          <w:u w:val="none"/>
          <w:lang w:val="en-US" w:eastAsia="zh-CN" w:bidi="ar-SA"/>
        </w:rPr>
      </w:pPr>
      <w:bookmarkStart w:id="276" w:name="_GoBack"/>
      <w:r>
        <w:rPr>
          <w:rFonts w:hint="eastAsia" w:ascii="宋体" w:hAnsi="宋体" w:eastAsia="宋体" w:cs="宋体"/>
          <w:b/>
          <w:bCs/>
          <w:color w:val="auto"/>
          <w:kern w:val="2"/>
          <w:sz w:val="56"/>
          <w:szCs w:val="72"/>
          <w:highlight w:val="none"/>
          <w:u w:val="none"/>
          <w:lang w:val="en-US" w:eastAsia="zh-CN" w:bidi="ar-SA"/>
        </w:rPr>
        <w:drawing>
          <wp:anchor distT="0" distB="0" distL="114300" distR="114300" simplePos="0" relativeHeight="251667456" behindDoc="1" locked="0" layoutInCell="1" allowOverlap="1">
            <wp:simplePos x="0" y="0"/>
            <wp:positionH relativeFrom="column">
              <wp:posOffset>-670560</wp:posOffset>
            </wp:positionH>
            <wp:positionV relativeFrom="paragraph">
              <wp:posOffset>-906780</wp:posOffset>
            </wp:positionV>
            <wp:extent cx="7595870" cy="10690225"/>
            <wp:effectExtent l="0" t="0" r="8890" b="8255"/>
            <wp:wrapNone/>
            <wp:docPr id="14" name="图片 14" descr="110e25371edaefc5f3454908b13d99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10e25371edaefc5f3454908b13d99c6"/>
                    <pic:cNvPicPr>
                      <a:picLocks noChangeAspect="1"/>
                    </pic:cNvPicPr>
                  </pic:nvPicPr>
                  <pic:blipFill>
                    <a:blip r:embed="rId26"/>
                    <a:stretch>
                      <a:fillRect/>
                    </a:stretch>
                  </pic:blipFill>
                  <pic:spPr>
                    <a:xfrm>
                      <a:off x="0" y="0"/>
                      <a:ext cx="7595870" cy="10690225"/>
                    </a:xfrm>
                    <a:prstGeom prst="rect">
                      <a:avLst/>
                    </a:prstGeom>
                  </pic:spPr>
                </pic:pic>
              </a:graphicData>
            </a:graphic>
          </wp:anchor>
        </w:drawing>
      </w:r>
      <w:bookmarkEnd w:id="276"/>
    </w:p>
    <w:p w14:paraId="307D2D8F">
      <w:pPr>
        <w:rPr>
          <w:rFonts w:hint="eastAsia" w:ascii="宋体" w:hAnsi="宋体" w:eastAsia="宋体" w:cs="宋体"/>
          <w:b/>
          <w:bCs/>
          <w:color w:val="auto"/>
          <w:kern w:val="2"/>
          <w:sz w:val="56"/>
          <w:szCs w:val="72"/>
          <w:highlight w:val="none"/>
          <w:u w:val="none"/>
          <w:lang w:val="en-US" w:eastAsia="zh-CN" w:bidi="ar-SA"/>
        </w:rPr>
        <w:sectPr>
          <w:headerReference r:id="rId3"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5579127C">
      <w:pPr>
        <w:rPr>
          <w:rFonts w:hint="eastAsia" w:ascii="宋体" w:hAnsi="宋体" w:eastAsia="宋体" w:cs="宋体"/>
          <w:color w:val="auto"/>
          <w:highlight w:val="none"/>
        </w:rPr>
      </w:pPr>
    </w:p>
    <w:p w14:paraId="1206AB49">
      <w:pPr>
        <w:rPr>
          <w:rFonts w:hint="eastAsia"/>
          <w:color w:val="auto"/>
          <w:highlight w:val="none"/>
        </w:rPr>
      </w:pPr>
    </w:p>
    <w:p w14:paraId="453B4E94">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1BC02F4A">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目</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录</w:t>
      </w:r>
    </w:p>
    <w:p w14:paraId="7A2E7BD7">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"1-3"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_Toc30584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第一章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投标人须知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_Toc30584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B625A30">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_Toc1079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第一节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投标人须知前附表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_Toc1079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5623B5C">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_Toc14297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第二节 重要事项时间地点一览表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_Toc14297 \h </w:instrText>
      </w:r>
      <w:r>
        <w:rPr>
          <w:color w:val="auto"/>
          <w:sz w:val="24"/>
          <w:szCs w:val="24"/>
          <w:highlight w:val="none"/>
        </w:rPr>
        <w:fldChar w:fldCharType="separate"/>
      </w:r>
      <w:r>
        <w:rPr>
          <w:color w:val="auto"/>
          <w:sz w:val="24"/>
          <w:szCs w:val="24"/>
          <w:highlight w:val="none"/>
        </w:rPr>
        <w:t>9</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96700A4">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_Toc9283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第三节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投标人须知正文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_Toc9283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F4896C8">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_Toc19017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1</w:t>
      </w:r>
      <w:r>
        <w:rPr>
          <w:rFonts w:hint="eastAsia" w:ascii="宋体" w:hAnsi="宋体" w:eastAsia="宋体" w:cs="宋体"/>
          <w:bCs/>
          <w:color w:val="auto"/>
          <w:spacing w:val="-23"/>
          <w:sz w:val="24"/>
          <w:szCs w:val="24"/>
          <w:highlight w:val="none"/>
        </w:rPr>
        <w:t xml:space="preserve"> </w:t>
      </w:r>
      <w:r>
        <w:rPr>
          <w:rFonts w:hint="eastAsia" w:ascii="宋体" w:hAnsi="宋体" w:eastAsia="宋体" w:cs="宋体"/>
          <w:bCs/>
          <w:color w:val="auto"/>
          <w:spacing w:val="-4"/>
          <w:sz w:val="24"/>
          <w:szCs w:val="24"/>
          <w:highlight w:val="none"/>
        </w:rPr>
        <w:t>．项目概况、招标范围和标段划分、投标费用等</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_Toc19017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B43566F">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_Toc21208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2．</w:t>
      </w:r>
      <w:r>
        <w:rPr>
          <w:rFonts w:hint="eastAsia" w:ascii="宋体" w:hAnsi="宋体" w:eastAsia="宋体" w:cs="宋体"/>
          <w:bCs w:val="0"/>
          <w:color w:val="auto"/>
          <w:sz w:val="24"/>
          <w:szCs w:val="24"/>
          <w:highlight w:val="none"/>
          <w:lang w:eastAsia="zh-CN"/>
        </w:rPr>
        <w:t>投标人</w:t>
      </w:r>
      <w:r>
        <w:rPr>
          <w:rFonts w:hint="eastAsia" w:ascii="宋体" w:hAnsi="宋体" w:eastAsia="宋体" w:cs="宋体"/>
          <w:bCs w:val="0"/>
          <w:color w:val="auto"/>
          <w:sz w:val="24"/>
          <w:szCs w:val="24"/>
          <w:highlight w:val="none"/>
        </w:rPr>
        <w:t>资质要求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_Toc21208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6CE970D">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_Toc21490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3．招标文件的获取</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_Toc21490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9CF301C">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_Toc8255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4</w:t>
      </w:r>
      <w:r>
        <w:rPr>
          <w:rFonts w:hint="eastAsia" w:ascii="宋体" w:hAnsi="宋体" w:eastAsia="宋体" w:cs="宋体"/>
          <w:bCs/>
          <w:color w:val="auto"/>
          <w:spacing w:val="-8"/>
          <w:sz w:val="24"/>
          <w:szCs w:val="24"/>
          <w:highlight w:val="none"/>
          <w:lang w:val="en-US" w:eastAsia="zh-CN"/>
        </w:rPr>
        <w:t xml:space="preserve"> </w:t>
      </w:r>
      <w:r>
        <w:rPr>
          <w:rFonts w:hint="eastAsia" w:ascii="宋体" w:hAnsi="宋体" w:eastAsia="宋体" w:cs="宋体"/>
          <w:bCs/>
          <w:color w:val="auto"/>
          <w:spacing w:val="-8"/>
          <w:sz w:val="24"/>
          <w:szCs w:val="24"/>
          <w:highlight w:val="none"/>
        </w:rPr>
        <w:t>．工期要求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_Toc8255 \h </w:instrText>
      </w:r>
      <w:r>
        <w:rPr>
          <w:color w:val="auto"/>
          <w:sz w:val="24"/>
          <w:szCs w:val="24"/>
          <w:highlight w:val="none"/>
        </w:rPr>
        <w:fldChar w:fldCharType="separate"/>
      </w:r>
      <w:r>
        <w:rPr>
          <w:color w:val="auto"/>
          <w:sz w:val="24"/>
          <w:szCs w:val="24"/>
          <w:highlight w:val="none"/>
        </w:rPr>
        <w:t>14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74200B7">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_Toc11449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5"/>
          <w:sz w:val="24"/>
          <w:szCs w:val="24"/>
          <w:highlight w:val="none"/>
        </w:rPr>
        <w:t>5</w:t>
      </w:r>
      <w:r>
        <w:rPr>
          <w:rFonts w:hint="eastAsia" w:ascii="宋体" w:hAnsi="宋体" w:eastAsia="宋体" w:cs="宋体"/>
          <w:bCs/>
          <w:color w:val="auto"/>
          <w:spacing w:val="-5"/>
          <w:sz w:val="24"/>
          <w:szCs w:val="24"/>
          <w:highlight w:val="none"/>
          <w:lang w:val="en-US" w:eastAsia="zh-CN"/>
        </w:rPr>
        <w:t xml:space="preserve"> </w:t>
      </w:r>
      <w:r>
        <w:rPr>
          <w:rFonts w:hint="eastAsia" w:ascii="宋体" w:hAnsi="宋体" w:eastAsia="宋体" w:cs="宋体"/>
          <w:bCs/>
          <w:color w:val="auto"/>
          <w:spacing w:val="-5"/>
          <w:sz w:val="24"/>
          <w:szCs w:val="24"/>
          <w:highlight w:val="none"/>
        </w:rPr>
        <w:t>．质量标准和材料、机械要求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_Toc11449 \h </w:instrText>
      </w:r>
      <w:r>
        <w:rPr>
          <w:color w:val="auto"/>
          <w:sz w:val="24"/>
          <w:szCs w:val="24"/>
          <w:highlight w:val="none"/>
        </w:rPr>
        <w:fldChar w:fldCharType="separate"/>
      </w:r>
      <w:r>
        <w:rPr>
          <w:color w:val="auto"/>
          <w:sz w:val="24"/>
          <w:szCs w:val="24"/>
          <w:highlight w:val="none"/>
        </w:rPr>
        <w:t>14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5CC6A25">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_Toc21146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6"/>
          <w:sz w:val="24"/>
          <w:szCs w:val="24"/>
          <w:highlight w:val="none"/>
        </w:rPr>
        <w:t>6</w:t>
      </w:r>
      <w:r>
        <w:rPr>
          <w:rFonts w:hint="eastAsia" w:ascii="宋体" w:hAnsi="宋体" w:eastAsia="宋体" w:cs="宋体"/>
          <w:bCs/>
          <w:color w:val="auto"/>
          <w:spacing w:val="-20"/>
          <w:sz w:val="24"/>
          <w:szCs w:val="24"/>
          <w:highlight w:val="none"/>
        </w:rPr>
        <w:t xml:space="preserve"> </w:t>
      </w:r>
      <w:r>
        <w:rPr>
          <w:rFonts w:hint="eastAsia" w:ascii="宋体" w:hAnsi="宋体" w:eastAsia="宋体" w:cs="宋体"/>
          <w:bCs/>
          <w:color w:val="auto"/>
          <w:spacing w:val="-6"/>
          <w:sz w:val="24"/>
          <w:szCs w:val="24"/>
          <w:highlight w:val="none"/>
        </w:rPr>
        <w:t>．施工条件及现场踏勘</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_Toc21146 \h </w:instrText>
      </w:r>
      <w:r>
        <w:rPr>
          <w:color w:val="auto"/>
          <w:sz w:val="24"/>
          <w:szCs w:val="24"/>
          <w:highlight w:val="none"/>
        </w:rPr>
        <w:fldChar w:fldCharType="separate"/>
      </w:r>
      <w:r>
        <w:rPr>
          <w:color w:val="auto"/>
          <w:sz w:val="24"/>
          <w:szCs w:val="24"/>
          <w:highlight w:val="none"/>
        </w:rPr>
        <w:t>15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E89E23A">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_Toc24768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5"/>
          <w:sz w:val="24"/>
          <w:szCs w:val="24"/>
          <w:highlight w:val="none"/>
        </w:rPr>
        <w:t>7</w:t>
      </w:r>
      <w:r>
        <w:rPr>
          <w:rFonts w:hint="eastAsia" w:ascii="宋体" w:hAnsi="宋体" w:eastAsia="宋体" w:cs="宋体"/>
          <w:bCs/>
          <w:color w:val="auto"/>
          <w:spacing w:val="-28"/>
          <w:sz w:val="24"/>
          <w:szCs w:val="24"/>
          <w:highlight w:val="none"/>
        </w:rPr>
        <w:t xml:space="preserve"> </w:t>
      </w:r>
      <w:r>
        <w:rPr>
          <w:rFonts w:hint="eastAsia" w:ascii="宋体" w:hAnsi="宋体" w:eastAsia="宋体" w:cs="宋体"/>
          <w:bCs/>
          <w:color w:val="auto"/>
          <w:spacing w:val="-5"/>
          <w:sz w:val="24"/>
          <w:szCs w:val="24"/>
          <w:highlight w:val="none"/>
        </w:rPr>
        <w:t>．招标文件的提问和答疑</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_Toc24768 \h </w:instrText>
      </w:r>
      <w:r>
        <w:rPr>
          <w:color w:val="auto"/>
          <w:sz w:val="24"/>
          <w:szCs w:val="24"/>
          <w:highlight w:val="none"/>
        </w:rPr>
        <w:fldChar w:fldCharType="separate"/>
      </w:r>
      <w:r>
        <w:rPr>
          <w:color w:val="auto"/>
          <w:sz w:val="24"/>
          <w:szCs w:val="24"/>
          <w:highlight w:val="none"/>
        </w:rPr>
        <w:t>15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75AEA93">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_Toc20958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5"/>
          <w:sz w:val="24"/>
          <w:szCs w:val="24"/>
          <w:highlight w:val="none"/>
        </w:rPr>
        <w:t>8</w:t>
      </w:r>
      <w:r>
        <w:rPr>
          <w:rFonts w:hint="eastAsia" w:ascii="宋体" w:hAnsi="宋体" w:eastAsia="宋体" w:cs="宋体"/>
          <w:bCs/>
          <w:color w:val="auto"/>
          <w:spacing w:val="-23"/>
          <w:sz w:val="24"/>
          <w:szCs w:val="24"/>
          <w:highlight w:val="none"/>
        </w:rPr>
        <w:t xml:space="preserve"> </w:t>
      </w:r>
      <w:r>
        <w:rPr>
          <w:rFonts w:hint="eastAsia" w:ascii="宋体" w:hAnsi="宋体" w:eastAsia="宋体" w:cs="宋体"/>
          <w:bCs/>
          <w:color w:val="auto"/>
          <w:spacing w:val="-5"/>
          <w:sz w:val="24"/>
          <w:szCs w:val="24"/>
          <w:highlight w:val="none"/>
        </w:rPr>
        <w:t>．</w:t>
      </w:r>
      <w:r>
        <w:rPr>
          <w:rFonts w:hint="eastAsia" w:ascii="宋体" w:hAnsi="宋体" w:eastAsia="宋体" w:cs="宋体"/>
          <w:bCs/>
          <w:color w:val="auto"/>
          <w:spacing w:val="-1"/>
          <w:sz w:val="24"/>
          <w:szCs w:val="24"/>
          <w:highlight w:val="none"/>
          <w:lang w:eastAsia="zh-CN"/>
        </w:rPr>
        <w:t>最高投标限价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_Toc20958 \h </w:instrText>
      </w:r>
      <w:r>
        <w:rPr>
          <w:color w:val="auto"/>
          <w:sz w:val="24"/>
          <w:szCs w:val="24"/>
          <w:highlight w:val="none"/>
        </w:rPr>
        <w:fldChar w:fldCharType="separate"/>
      </w:r>
      <w:r>
        <w:rPr>
          <w:color w:val="auto"/>
          <w:sz w:val="24"/>
          <w:szCs w:val="24"/>
          <w:highlight w:val="none"/>
        </w:rPr>
        <w:t>15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B9805D6">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_Toc6911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9</w:t>
      </w:r>
      <w:r>
        <w:rPr>
          <w:rFonts w:hint="eastAsia" w:ascii="宋体" w:hAnsi="宋体" w:eastAsia="宋体" w:cs="宋体"/>
          <w:bCs/>
          <w:color w:val="auto"/>
          <w:spacing w:val="-29"/>
          <w:sz w:val="24"/>
          <w:szCs w:val="24"/>
          <w:highlight w:val="none"/>
        </w:rPr>
        <w:t xml:space="preserve"> </w:t>
      </w:r>
      <w:r>
        <w:rPr>
          <w:rFonts w:hint="eastAsia" w:ascii="宋体" w:hAnsi="宋体" w:eastAsia="宋体" w:cs="宋体"/>
          <w:bCs/>
          <w:color w:val="auto"/>
          <w:spacing w:val="-8"/>
          <w:sz w:val="24"/>
          <w:szCs w:val="24"/>
          <w:highlight w:val="none"/>
        </w:rPr>
        <w:t>．投标报价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_Toc6911 \h </w:instrText>
      </w:r>
      <w:r>
        <w:rPr>
          <w:color w:val="auto"/>
          <w:sz w:val="24"/>
          <w:szCs w:val="24"/>
          <w:highlight w:val="none"/>
        </w:rPr>
        <w:fldChar w:fldCharType="separate"/>
      </w:r>
      <w:r>
        <w:rPr>
          <w:color w:val="auto"/>
          <w:sz w:val="24"/>
          <w:szCs w:val="24"/>
          <w:highlight w:val="none"/>
        </w:rPr>
        <w:t>17</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3A6E7B4">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_Toc23711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6"/>
          <w:sz w:val="24"/>
          <w:szCs w:val="24"/>
          <w:highlight w:val="none"/>
        </w:rPr>
        <w:t>10</w:t>
      </w:r>
      <w:r>
        <w:rPr>
          <w:rFonts w:hint="eastAsia" w:ascii="宋体" w:hAnsi="宋体" w:eastAsia="宋体" w:cs="宋体"/>
          <w:bCs/>
          <w:color w:val="auto"/>
          <w:spacing w:val="-21"/>
          <w:sz w:val="24"/>
          <w:szCs w:val="24"/>
          <w:highlight w:val="none"/>
        </w:rPr>
        <w:t xml:space="preserve"> </w:t>
      </w:r>
      <w:r>
        <w:rPr>
          <w:rFonts w:hint="eastAsia" w:ascii="宋体" w:hAnsi="宋体" w:eastAsia="宋体" w:cs="宋体"/>
          <w:bCs/>
          <w:color w:val="auto"/>
          <w:spacing w:val="-6"/>
          <w:sz w:val="24"/>
          <w:szCs w:val="24"/>
          <w:highlight w:val="none"/>
        </w:rPr>
        <w:t>．投标文件的编制要求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_Toc23711 \h </w:instrText>
      </w:r>
      <w:r>
        <w:rPr>
          <w:color w:val="auto"/>
          <w:sz w:val="24"/>
          <w:szCs w:val="24"/>
          <w:highlight w:val="none"/>
        </w:rPr>
        <w:fldChar w:fldCharType="separate"/>
      </w:r>
      <w:r>
        <w:rPr>
          <w:color w:val="auto"/>
          <w:sz w:val="24"/>
          <w:szCs w:val="24"/>
          <w:highlight w:val="none"/>
        </w:rPr>
        <w:t>18</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3A031EE">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_Toc10599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9"/>
          <w:sz w:val="24"/>
          <w:szCs w:val="24"/>
          <w:highlight w:val="none"/>
        </w:rPr>
        <w:t>11.</w:t>
      </w:r>
      <w:r>
        <w:rPr>
          <w:rFonts w:hint="eastAsia" w:ascii="宋体" w:hAnsi="宋体" w:eastAsia="宋体" w:cs="宋体"/>
          <w:bCs/>
          <w:color w:val="auto"/>
          <w:spacing w:val="20"/>
          <w:sz w:val="24"/>
          <w:szCs w:val="24"/>
          <w:highlight w:val="none"/>
        </w:rPr>
        <w:t xml:space="preserve"> </w:t>
      </w:r>
      <w:r>
        <w:rPr>
          <w:rFonts w:hint="eastAsia" w:ascii="宋体" w:hAnsi="宋体" w:eastAsia="宋体" w:cs="宋体"/>
          <w:color w:val="auto"/>
          <w:spacing w:val="-9"/>
          <w:sz w:val="24"/>
          <w:szCs w:val="24"/>
          <w:highlight w:val="none"/>
        </w:rPr>
        <w:t>电子投标：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_Toc10599 \h </w:instrText>
      </w:r>
      <w:r>
        <w:rPr>
          <w:color w:val="auto"/>
          <w:sz w:val="24"/>
          <w:szCs w:val="24"/>
          <w:highlight w:val="none"/>
        </w:rPr>
        <w:fldChar w:fldCharType="separate"/>
      </w:r>
      <w:r>
        <w:rPr>
          <w:color w:val="auto"/>
          <w:sz w:val="24"/>
          <w:szCs w:val="24"/>
          <w:highlight w:val="none"/>
        </w:rPr>
        <w:t>21</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2004609">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_Toc5126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9"/>
          <w:sz w:val="24"/>
          <w:szCs w:val="24"/>
          <w:highlight w:val="none"/>
          <w:lang w:val="en-US" w:eastAsia="zh-CN"/>
        </w:rPr>
        <w:t>12.</w:t>
      </w:r>
      <w:r>
        <w:rPr>
          <w:rFonts w:hint="eastAsia" w:ascii="宋体" w:hAnsi="宋体" w:eastAsia="宋体" w:cs="宋体"/>
          <w:bCs/>
          <w:color w:val="auto"/>
          <w:spacing w:val="22"/>
          <w:w w:val="101"/>
          <w:sz w:val="24"/>
          <w:szCs w:val="24"/>
          <w:highlight w:val="none"/>
        </w:rPr>
        <w:t xml:space="preserve"> </w:t>
      </w:r>
      <w:r>
        <w:rPr>
          <w:rFonts w:hint="eastAsia" w:ascii="宋体" w:hAnsi="宋体" w:eastAsia="宋体" w:cs="宋体"/>
          <w:bCs/>
          <w:color w:val="auto"/>
          <w:spacing w:val="-4"/>
          <w:sz w:val="24"/>
          <w:szCs w:val="24"/>
          <w:highlight w:val="none"/>
        </w:rPr>
        <w:t>电子投标及投标解密失败及突发情况的补救方案</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_Toc5126 \h </w:instrText>
      </w:r>
      <w:r>
        <w:rPr>
          <w:color w:val="auto"/>
          <w:sz w:val="24"/>
          <w:szCs w:val="24"/>
          <w:highlight w:val="none"/>
        </w:rPr>
        <w:fldChar w:fldCharType="separate"/>
      </w:r>
      <w:r>
        <w:rPr>
          <w:color w:val="auto"/>
          <w:sz w:val="24"/>
          <w:szCs w:val="24"/>
          <w:highlight w:val="none"/>
        </w:rPr>
        <w:t>22</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ABA84A3">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_Toc3957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7"/>
          <w:sz w:val="24"/>
          <w:szCs w:val="24"/>
          <w:highlight w:val="none"/>
        </w:rPr>
        <w:t>13</w:t>
      </w:r>
      <w:r>
        <w:rPr>
          <w:rFonts w:hint="eastAsia" w:ascii="宋体" w:hAnsi="宋体" w:eastAsia="宋体" w:cs="宋体"/>
          <w:bCs/>
          <w:color w:val="auto"/>
          <w:spacing w:val="-23"/>
          <w:sz w:val="24"/>
          <w:szCs w:val="24"/>
          <w:highlight w:val="none"/>
        </w:rPr>
        <w:t xml:space="preserve"> </w:t>
      </w:r>
      <w:r>
        <w:rPr>
          <w:rFonts w:hint="eastAsia" w:ascii="宋体" w:hAnsi="宋体" w:eastAsia="宋体" w:cs="宋体"/>
          <w:bCs/>
          <w:color w:val="auto"/>
          <w:spacing w:val="-7"/>
          <w:sz w:val="24"/>
          <w:szCs w:val="24"/>
          <w:highlight w:val="none"/>
        </w:rPr>
        <w:t>．投标文件的提交</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_Toc3957 \h </w:instrText>
      </w:r>
      <w:r>
        <w:rPr>
          <w:color w:val="auto"/>
          <w:sz w:val="24"/>
          <w:szCs w:val="24"/>
          <w:highlight w:val="none"/>
        </w:rPr>
        <w:fldChar w:fldCharType="separate"/>
      </w:r>
      <w:r>
        <w:rPr>
          <w:color w:val="auto"/>
          <w:sz w:val="24"/>
          <w:szCs w:val="24"/>
          <w:highlight w:val="none"/>
        </w:rPr>
        <w:t>22</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CEDC032">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_Toc8365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11"/>
          <w:sz w:val="24"/>
          <w:szCs w:val="24"/>
          <w:highlight w:val="none"/>
        </w:rPr>
        <w:t>14</w:t>
      </w:r>
      <w:r>
        <w:rPr>
          <w:rFonts w:hint="eastAsia" w:ascii="宋体" w:hAnsi="宋体" w:eastAsia="宋体" w:cs="宋体"/>
          <w:bCs/>
          <w:color w:val="auto"/>
          <w:spacing w:val="-28"/>
          <w:sz w:val="24"/>
          <w:szCs w:val="24"/>
          <w:highlight w:val="none"/>
        </w:rPr>
        <w:t xml:space="preserve"> </w:t>
      </w:r>
      <w:r>
        <w:rPr>
          <w:rFonts w:hint="eastAsia" w:ascii="宋体" w:hAnsi="宋体" w:eastAsia="宋体" w:cs="宋体"/>
          <w:bCs/>
          <w:color w:val="auto"/>
          <w:spacing w:val="-11"/>
          <w:sz w:val="24"/>
          <w:szCs w:val="24"/>
          <w:highlight w:val="none"/>
        </w:rPr>
        <w:t>．开标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_Toc8365 \h </w:instrText>
      </w:r>
      <w:r>
        <w:rPr>
          <w:color w:val="auto"/>
          <w:sz w:val="24"/>
          <w:szCs w:val="24"/>
          <w:highlight w:val="none"/>
        </w:rPr>
        <w:fldChar w:fldCharType="separate"/>
      </w:r>
      <w:r>
        <w:rPr>
          <w:color w:val="auto"/>
          <w:sz w:val="24"/>
          <w:szCs w:val="24"/>
          <w:highlight w:val="none"/>
        </w:rPr>
        <w:t>23</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B7D2ED3">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_Toc554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11"/>
          <w:sz w:val="24"/>
          <w:szCs w:val="24"/>
          <w:highlight w:val="none"/>
        </w:rPr>
        <w:t>15</w:t>
      </w:r>
      <w:r>
        <w:rPr>
          <w:rFonts w:hint="eastAsia" w:ascii="宋体" w:hAnsi="宋体" w:eastAsia="宋体" w:cs="宋体"/>
          <w:bCs/>
          <w:color w:val="auto"/>
          <w:spacing w:val="-28"/>
          <w:sz w:val="24"/>
          <w:szCs w:val="24"/>
          <w:highlight w:val="none"/>
        </w:rPr>
        <w:t xml:space="preserve"> </w:t>
      </w:r>
      <w:r>
        <w:rPr>
          <w:rFonts w:hint="eastAsia" w:ascii="宋体" w:hAnsi="宋体" w:eastAsia="宋体" w:cs="宋体"/>
          <w:bCs/>
          <w:color w:val="auto"/>
          <w:spacing w:val="-11"/>
          <w:sz w:val="24"/>
          <w:szCs w:val="24"/>
          <w:highlight w:val="none"/>
        </w:rPr>
        <w:t>．评标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_Toc554 \h </w:instrText>
      </w:r>
      <w:r>
        <w:rPr>
          <w:color w:val="auto"/>
          <w:sz w:val="24"/>
          <w:szCs w:val="24"/>
          <w:highlight w:val="none"/>
        </w:rPr>
        <w:fldChar w:fldCharType="separate"/>
      </w:r>
      <w:r>
        <w:rPr>
          <w:color w:val="auto"/>
          <w:sz w:val="24"/>
          <w:szCs w:val="24"/>
          <w:highlight w:val="none"/>
        </w:rPr>
        <w:t>24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F2F53B0">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ind w:firstLine="436" w:firstLineChars="200"/>
        <w:textAlignment w:val="baseline"/>
        <w:rPr>
          <w:color w:val="auto"/>
          <w:sz w:val="24"/>
          <w:szCs w:val="24"/>
          <w:highlight w:val="none"/>
        </w:rPr>
      </w:pPr>
      <w:r>
        <w:rPr>
          <w:rFonts w:hint="eastAsia" w:ascii="宋体" w:hAnsi="宋体" w:eastAsia="宋体" w:cs="宋体"/>
          <w:bCs/>
          <w:snapToGrid w:val="0"/>
          <w:color w:val="auto"/>
          <w:spacing w:val="-11"/>
          <w:sz w:val="24"/>
          <w:szCs w:val="24"/>
          <w:highlight w:val="none"/>
          <w:lang w:val="en-US" w:eastAsia="en-US" w:bidi="ar-SA"/>
        </w:rPr>
        <w:t>16</w:t>
      </w:r>
      <w:r>
        <w:rPr>
          <w:rFonts w:hint="eastAsia" w:ascii="宋体" w:hAnsi="宋体" w:eastAsia="宋体" w:cs="宋体"/>
          <w:bCs/>
          <w:snapToGrid w:val="0"/>
          <w:color w:val="auto"/>
          <w:spacing w:val="-11"/>
          <w:sz w:val="24"/>
          <w:szCs w:val="24"/>
          <w:highlight w:val="none"/>
          <w:lang w:val="en-US" w:eastAsia="zh-CN" w:bidi="ar-SA"/>
        </w:rPr>
        <w:t>.  评标结果公示</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_Toc32569 </w:instrText>
      </w:r>
      <w:r>
        <w:rPr>
          <w:rFonts w:hint="eastAsia" w:ascii="宋体" w:hAnsi="宋体" w:eastAsia="宋体" w:cs="宋体"/>
          <w:color w:val="auto"/>
          <w:sz w:val="24"/>
          <w:szCs w:val="24"/>
          <w:highlight w:val="none"/>
        </w:rPr>
        <w:fldChar w:fldCharType="separate"/>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_Toc32569 \h </w:instrText>
      </w:r>
      <w:r>
        <w:rPr>
          <w:color w:val="auto"/>
          <w:sz w:val="24"/>
          <w:szCs w:val="24"/>
          <w:highlight w:val="none"/>
        </w:rPr>
        <w:fldChar w:fldCharType="separate"/>
      </w:r>
      <w:r>
        <w:rPr>
          <w:color w:val="auto"/>
          <w:sz w:val="24"/>
          <w:szCs w:val="24"/>
          <w:highlight w:val="none"/>
        </w:rPr>
        <w:t>34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502BAEC">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_Toc16554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第四节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否决投标条件</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_Toc16554 \h </w:instrText>
      </w:r>
      <w:r>
        <w:rPr>
          <w:color w:val="auto"/>
          <w:sz w:val="24"/>
          <w:szCs w:val="24"/>
          <w:highlight w:val="none"/>
        </w:rPr>
        <w:fldChar w:fldCharType="separate"/>
      </w:r>
      <w:r>
        <w:rPr>
          <w:color w:val="auto"/>
          <w:sz w:val="24"/>
          <w:szCs w:val="24"/>
          <w:highlight w:val="none"/>
        </w:rPr>
        <w:t>36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A18F78A">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_Toc15082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1</w:t>
      </w:r>
      <w:r>
        <w:rPr>
          <w:rFonts w:hint="eastAsia" w:ascii="宋体" w:hAnsi="宋体" w:eastAsia="宋体" w:cs="宋体"/>
          <w:bCs/>
          <w:color w:val="auto"/>
          <w:spacing w:val="-26"/>
          <w:sz w:val="24"/>
          <w:szCs w:val="24"/>
          <w:highlight w:val="none"/>
        </w:rPr>
        <w:t xml:space="preserve"> </w:t>
      </w:r>
      <w:r>
        <w:rPr>
          <w:rFonts w:hint="eastAsia" w:ascii="宋体" w:hAnsi="宋体" w:eastAsia="宋体" w:cs="宋体"/>
          <w:bCs/>
          <w:color w:val="auto"/>
          <w:spacing w:val="-8"/>
          <w:sz w:val="24"/>
          <w:szCs w:val="24"/>
          <w:highlight w:val="none"/>
        </w:rPr>
        <w:t>．资格评审环节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_Toc15082 \h </w:instrText>
      </w:r>
      <w:r>
        <w:rPr>
          <w:color w:val="auto"/>
          <w:sz w:val="24"/>
          <w:szCs w:val="24"/>
          <w:highlight w:val="none"/>
        </w:rPr>
        <w:fldChar w:fldCharType="separate"/>
      </w:r>
      <w:r>
        <w:rPr>
          <w:color w:val="auto"/>
          <w:sz w:val="24"/>
          <w:szCs w:val="24"/>
          <w:highlight w:val="none"/>
        </w:rPr>
        <w:t>36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20C83AF">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_Toc5925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7"/>
          <w:sz w:val="24"/>
          <w:szCs w:val="24"/>
          <w:highlight w:val="none"/>
        </w:rPr>
        <w:t>2</w:t>
      </w:r>
      <w:r>
        <w:rPr>
          <w:rFonts w:hint="eastAsia" w:ascii="宋体" w:hAnsi="宋体" w:eastAsia="宋体" w:cs="宋体"/>
          <w:bCs/>
          <w:color w:val="auto"/>
          <w:spacing w:val="-24"/>
          <w:sz w:val="24"/>
          <w:szCs w:val="24"/>
          <w:highlight w:val="none"/>
        </w:rPr>
        <w:t xml:space="preserve"> </w:t>
      </w:r>
      <w:r>
        <w:rPr>
          <w:rFonts w:hint="eastAsia" w:ascii="宋体" w:hAnsi="宋体" w:eastAsia="宋体" w:cs="宋体"/>
          <w:bCs/>
          <w:color w:val="auto"/>
          <w:spacing w:val="-7"/>
          <w:sz w:val="24"/>
          <w:szCs w:val="24"/>
          <w:highlight w:val="none"/>
        </w:rPr>
        <w:t>．形式评审环节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_Toc5925 \h </w:instrText>
      </w:r>
      <w:r>
        <w:rPr>
          <w:color w:val="auto"/>
          <w:sz w:val="24"/>
          <w:szCs w:val="24"/>
          <w:highlight w:val="none"/>
        </w:rPr>
        <w:fldChar w:fldCharType="separate"/>
      </w:r>
      <w:r>
        <w:rPr>
          <w:color w:val="auto"/>
          <w:sz w:val="24"/>
          <w:szCs w:val="24"/>
          <w:highlight w:val="none"/>
        </w:rPr>
        <w:t>37</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BA6ED1A">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_Toc19828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6"/>
          <w:sz w:val="24"/>
          <w:szCs w:val="24"/>
          <w:highlight w:val="none"/>
        </w:rPr>
        <w:t>3</w:t>
      </w:r>
      <w:r>
        <w:rPr>
          <w:rFonts w:hint="eastAsia" w:ascii="宋体" w:hAnsi="宋体" w:eastAsia="宋体" w:cs="宋体"/>
          <w:bCs/>
          <w:color w:val="auto"/>
          <w:spacing w:val="-24"/>
          <w:sz w:val="24"/>
          <w:szCs w:val="24"/>
          <w:highlight w:val="none"/>
        </w:rPr>
        <w:t xml:space="preserve"> </w:t>
      </w:r>
      <w:r>
        <w:rPr>
          <w:rFonts w:hint="eastAsia" w:ascii="宋体" w:hAnsi="宋体" w:eastAsia="宋体" w:cs="宋体"/>
          <w:bCs/>
          <w:color w:val="auto"/>
          <w:spacing w:val="-6"/>
          <w:sz w:val="24"/>
          <w:szCs w:val="24"/>
          <w:highlight w:val="none"/>
        </w:rPr>
        <w:t>．响应性评审环节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_Toc19828 \h </w:instrText>
      </w:r>
      <w:r>
        <w:rPr>
          <w:color w:val="auto"/>
          <w:sz w:val="24"/>
          <w:szCs w:val="24"/>
          <w:highlight w:val="none"/>
        </w:rPr>
        <w:fldChar w:fldCharType="separate"/>
      </w:r>
      <w:r>
        <w:rPr>
          <w:color w:val="auto"/>
          <w:sz w:val="24"/>
          <w:szCs w:val="24"/>
          <w:highlight w:val="none"/>
        </w:rPr>
        <w:t>37</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025F893">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_Toc1458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11"/>
          <w:sz w:val="24"/>
          <w:szCs w:val="24"/>
          <w:highlight w:val="none"/>
        </w:rPr>
        <w:t>4</w:t>
      </w:r>
      <w:r>
        <w:rPr>
          <w:rFonts w:hint="eastAsia" w:ascii="宋体" w:hAnsi="宋体" w:eastAsia="宋体" w:cs="宋体"/>
          <w:bCs/>
          <w:color w:val="auto"/>
          <w:spacing w:val="-29"/>
          <w:sz w:val="24"/>
          <w:szCs w:val="24"/>
          <w:highlight w:val="none"/>
        </w:rPr>
        <w:t xml:space="preserve"> </w:t>
      </w:r>
      <w:r>
        <w:rPr>
          <w:rFonts w:hint="eastAsia" w:ascii="宋体" w:hAnsi="宋体" w:eastAsia="宋体" w:cs="宋体"/>
          <w:bCs/>
          <w:color w:val="auto"/>
          <w:spacing w:val="-11"/>
          <w:sz w:val="24"/>
          <w:szCs w:val="24"/>
          <w:highlight w:val="none"/>
        </w:rPr>
        <w:t>．其他</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_Toc1458 \h </w:instrText>
      </w:r>
      <w:r>
        <w:rPr>
          <w:color w:val="auto"/>
          <w:sz w:val="24"/>
          <w:szCs w:val="24"/>
          <w:highlight w:val="none"/>
        </w:rPr>
        <w:fldChar w:fldCharType="separate"/>
      </w:r>
      <w:r>
        <w:rPr>
          <w:color w:val="auto"/>
          <w:sz w:val="24"/>
          <w:szCs w:val="24"/>
          <w:highlight w:val="none"/>
        </w:rPr>
        <w:t>38</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7296333">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_Toc22243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w:t>
      </w:r>
      <w:r>
        <w:rPr>
          <w:rFonts w:hint="eastAsia" w:ascii="宋体" w:hAnsi="宋体" w:eastAsia="宋体" w:cs="宋体"/>
          <w:bCs/>
          <w:color w:val="auto"/>
          <w:spacing w:val="-3"/>
          <w:sz w:val="24"/>
          <w:szCs w:val="24"/>
          <w:highlight w:val="none"/>
          <w:lang w:val="en-US" w:eastAsia="zh-CN"/>
        </w:rPr>
        <w:t>五</w:t>
      </w:r>
      <w:r>
        <w:rPr>
          <w:rFonts w:hint="eastAsia" w:ascii="宋体" w:hAnsi="宋体" w:eastAsia="宋体" w:cs="宋体"/>
          <w:bCs/>
          <w:color w:val="auto"/>
          <w:spacing w:val="-3"/>
          <w:sz w:val="24"/>
          <w:szCs w:val="24"/>
          <w:highlight w:val="none"/>
        </w:rPr>
        <w:t>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定标规定及细则（本项目采用票决数量法定标）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_Toc22243 \h </w:instrText>
      </w:r>
      <w:r>
        <w:rPr>
          <w:color w:val="auto"/>
          <w:sz w:val="24"/>
          <w:szCs w:val="24"/>
          <w:highlight w:val="none"/>
        </w:rPr>
        <w:fldChar w:fldCharType="separate"/>
      </w:r>
      <w:r>
        <w:rPr>
          <w:color w:val="auto"/>
          <w:sz w:val="24"/>
          <w:szCs w:val="24"/>
          <w:highlight w:val="none"/>
        </w:rPr>
        <w:t>39</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4114F6F">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_Toc4926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w:t>
      </w:r>
      <w:r>
        <w:rPr>
          <w:rFonts w:hint="eastAsia" w:ascii="宋体" w:hAnsi="宋体" w:eastAsia="宋体" w:cs="宋体"/>
          <w:bCs/>
          <w:color w:val="auto"/>
          <w:spacing w:val="-3"/>
          <w:sz w:val="24"/>
          <w:szCs w:val="24"/>
          <w:highlight w:val="none"/>
          <w:lang w:val="en-US" w:eastAsia="zh-CN"/>
        </w:rPr>
        <w:t>六</w:t>
      </w:r>
      <w:r>
        <w:rPr>
          <w:rFonts w:hint="eastAsia" w:ascii="宋体" w:hAnsi="宋体" w:eastAsia="宋体" w:cs="宋体"/>
          <w:bCs/>
          <w:color w:val="auto"/>
          <w:spacing w:val="-3"/>
          <w:sz w:val="24"/>
          <w:szCs w:val="24"/>
          <w:highlight w:val="none"/>
        </w:rPr>
        <w:t>节 中标确认</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_Toc4926 \h </w:instrText>
      </w:r>
      <w:r>
        <w:rPr>
          <w:color w:val="auto"/>
          <w:sz w:val="24"/>
          <w:szCs w:val="24"/>
          <w:highlight w:val="none"/>
        </w:rPr>
        <w:fldChar w:fldCharType="separate"/>
      </w:r>
      <w:r>
        <w:rPr>
          <w:color w:val="auto"/>
          <w:sz w:val="24"/>
          <w:szCs w:val="24"/>
          <w:highlight w:val="none"/>
        </w:rPr>
        <w:t>42</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AA194AA">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_Toc13655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7"/>
          <w:sz w:val="24"/>
          <w:szCs w:val="24"/>
          <w:highlight w:val="none"/>
        </w:rPr>
        <w:t>第二章</w:t>
      </w:r>
      <w:r>
        <w:rPr>
          <w:rFonts w:hint="eastAsia" w:ascii="宋体" w:hAnsi="宋体" w:eastAsia="宋体" w:cs="宋体"/>
          <w:color w:val="auto"/>
          <w:spacing w:val="32"/>
          <w:sz w:val="24"/>
          <w:szCs w:val="24"/>
          <w:highlight w:val="none"/>
        </w:rPr>
        <w:t xml:space="preserve"> </w:t>
      </w:r>
      <w:r>
        <w:rPr>
          <w:rFonts w:hint="eastAsia" w:ascii="宋体" w:hAnsi="宋体" w:eastAsia="宋体" w:cs="宋体"/>
          <w:bCs/>
          <w:color w:val="auto"/>
          <w:spacing w:val="-7"/>
          <w:sz w:val="24"/>
          <w:szCs w:val="24"/>
          <w:highlight w:val="none"/>
        </w:rPr>
        <w:t>中标人须知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_Toc13655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3A9F893">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_Toc21697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9"/>
          <w:sz w:val="24"/>
          <w:szCs w:val="24"/>
          <w:highlight w:val="none"/>
        </w:rPr>
        <w:t>1</w:t>
      </w:r>
      <w:r>
        <w:rPr>
          <w:rFonts w:hint="eastAsia" w:ascii="宋体" w:hAnsi="宋体" w:eastAsia="宋体" w:cs="宋体"/>
          <w:bCs/>
          <w:color w:val="auto"/>
          <w:spacing w:val="-25"/>
          <w:sz w:val="24"/>
          <w:szCs w:val="24"/>
          <w:highlight w:val="none"/>
        </w:rPr>
        <w:t xml:space="preserve"> </w:t>
      </w:r>
      <w:r>
        <w:rPr>
          <w:rFonts w:hint="eastAsia" w:ascii="宋体" w:hAnsi="宋体" w:eastAsia="宋体" w:cs="宋体"/>
          <w:bCs/>
          <w:color w:val="auto"/>
          <w:spacing w:val="-9"/>
          <w:sz w:val="24"/>
          <w:szCs w:val="24"/>
          <w:highlight w:val="none"/>
        </w:rPr>
        <w:t>．中标通知书</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_Toc21697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33FF970">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_Toc979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7"/>
          <w:sz w:val="24"/>
          <w:szCs w:val="24"/>
          <w:highlight w:val="none"/>
        </w:rPr>
        <w:t>2</w:t>
      </w:r>
      <w:r>
        <w:rPr>
          <w:rFonts w:hint="eastAsia" w:ascii="宋体" w:hAnsi="宋体" w:eastAsia="宋体" w:cs="宋体"/>
          <w:bCs/>
          <w:color w:val="auto"/>
          <w:spacing w:val="-24"/>
          <w:sz w:val="24"/>
          <w:szCs w:val="24"/>
          <w:highlight w:val="none"/>
        </w:rPr>
        <w:t xml:space="preserve"> </w:t>
      </w:r>
      <w:r>
        <w:rPr>
          <w:rFonts w:hint="eastAsia" w:ascii="宋体" w:hAnsi="宋体" w:eastAsia="宋体" w:cs="宋体"/>
          <w:bCs/>
          <w:color w:val="auto"/>
          <w:spacing w:val="-7"/>
          <w:sz w:val="24"/>
          <w:szCs w:val="24"/>
          <w:highlight w:val="none"/>
        </w:rPr>
        <w:t>．中标结果公示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_Toc979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CC31614">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_Toc13145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3</w:t>
      </w:r>
      <w:r>
        <w:rPr>
          <w:rFonts w:hint="eastAsia" w:ascii="宋体" w:hAnsi="宋体" w:eastAsia="宋体" w:cs="宋体"/>
          <w:bCs/>
          <w:color w:val="auto"/>
          <w:spacing w:val="-25"/>
          <w:sz w:val="24"/>
          <w:szCs w:val="24"/>
          <w:highlight w:val="none"/>
        </w:rPr>
        <w:t xml:space="preserve"> </w:t>
      </w:r>
      <w:r>
        <w:rPr>
          <w:rFonts w:hint="eastAsia" w:ascii="宋体" w:hAnsi="宋体" w:eastAsia="宋体" w:cs="宋体"/>
          <w:bCs/>
          <w:color w:val="auto"/>
          <w:spacing w:val="-8"/>
          <w:sz w:val="24"/>
          <w:szCs w:val="24"/>
          <w:highlight w:val="none"/>
        </w:rPr>
        <w:t>．履约保证</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_Toc13145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A6DC0DA">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4</w:t>
      </w:r>
      <w:r>
        <w:rPr>
          <w:rFonts w:hint="eastAsia" w:ascii="宋体" w:hAnsi="宋体" w:eastAsia="宋体" w:cs="宋体"/>
          <w:bCs/>
          <w:color w:val="auto"/>
          <w:spacing w:val="-27"/>
          <w:sz w:val="24"/>
          <w:szCs w:val="24"/>
          <w:highlight w:val="none"/>
        </w:rPr>
        <w:t xml:space="preserve"> </w:t>
      </w:r>
      <w:r>
        <w:rPr>
          <w:rFonts w:hint="eastAsia" w:ascii="宋体" w:hAnsi="宋体" w:eastAsia="宋体" w:cs="宋体"/>
          <w:bCs/>
          <w:color w:val="auto"/>
          <w:spacing w:val="-8"/>
          <w:sz w:val="24"/>
          <w:szCs w:val="24"/>
          <w:highlight w:val="none"/>
        </w:rPr>
        <w:t>．合同订立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_Toc133 \h </w:instrText>
      </w:r>
      <w:r>
        <w:rPr>
          <w:color w:val="auto"/>
          <w:sz w:val="24"/>
          <w:szCs w:val="24"/>
          <w:highlight w:val="none"/>
        </w:rPr>
        <w:fldChar w:fldCharType="separate"/>
      </w:r>
      <w:r>
        <w:rPr>
          <w:color w:val="auto"/>
          <w:sz w:val="24"/>
          <w:szCs w:val="24"/>
          <w:highlight w:val="none"/>
        </w:rPr>
        <w:t>45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A55015A">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_Toc4089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6"/>
          <w:sz w:val="24"/>
          <w:szCs w:val="24"/>
          <w:highlight w:val="none"/>
        </w:rPr>
        <w:t>5</w:t>
      </w:r>
      <w:r>
        <w:rPr>
          <w:rFonts w:hint="eastAsia" w:ascii="宋体" w:hAnsi="宋体" w:eastAsia="宋体" w:cs="宋体"/>
          <w:bCs/>
          <w:color w:val="auto"/>
          <w:spacing w:val="-29"/>
          <w:sz w:val="24"/>
          <w:szCs w:val="24"/>
          <w:highlight w:val="none"/>
        </w:rPr>
        <w:t xml:space="preserve"> </w:t>
      </w:r>
      <w:r>
        <w:rPr>
          <w:rFonts w:hint="eastAsia" w:ascii="宋体" w:hAnsi="宋体" w:eastAsia="宋体" w:cs="宋体"/>
          <w:bCs/>
          <w:color w:val="auto"/>
          <w:spacing w:val="-6"/>
          <w:sz w:val="24"/>
          <w:szCs w:val="24"/>
          <w:highlight w:val="none"/>
        </w:rPr>
        <w:t>．放弃中标的处理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_Toc4089 \h </w:instrText>
      </w:r>
      <w:r>
        <w:rPr>
          <w:color w:val="auto"/>
          <w:sz w:val="24"/>
          <w:szCs w:val="24"/>
          <w:highlight w:val="none"/>
        </w:rPr>
        <w:fldChar w:fldCharType="separate"/>
      </w:r>
      <w:r>
        <w:rPr>
          <w:color w:val="auto"/>
          <w:sz w:val="24"/>
          <w:szCs w:val="24"/>
          <w:highlight w:val="none"/>
        </w:rPr>
        <w:t>46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F59F373">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_Toc7715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第三章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拟签订合同的主要条款</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_Toc7715 \h </w:instrText>
      </w:r>
      <w:r>
        <w:rPr>
          <w:color w:val="auto"/>
          <w:sz w:val="24"/>
          <w:szCs w:val="24"/>
          <w:highlight w:val="none"/>
        </w:rPr>
        <w:fldChar w:fldCharType="separate"/>
      </w:r>
      <w:r>
        <w:rPr>
          <w:color w:val="auto"/>
          <w:sz w:val="24"/>
          <w:szCs w:val="24"/>
          <w:highlight w:val="none"/>
        </w:rPr>
        <w:t>47</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326F7EF">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_Toc6603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1</w:t>
      </w:r>
      <w:r>
        <w:rPr>
          <w:rFonts w:hint="eastAsia" w:ascii="宋体" w:hAnsi="宋体" w:eastAsia="宋体" w:cs="宋体"/>
          <w:bCs/>
          <w:color w:val="auto"/>
          <w:spacing w:val="-26"/>
          <w:sz w:val="24"/>
          <w:szCs w:val="24"/>
          <w:highlight w:val="none"/>
        </w:rPr>
        <w:t xml:space="preserve"> </w:t>
      </w:r>
      <w:r>
        <w:rPr>
          <w:rFonts w:hint="eastAsia" w:ascii="宋体" w:hAnsi="宋体" w:eastAsia="宋体" w:cs="宋体"/>
          <w:bCs/>
          <w:color w:val="auto"/>
          <w:spacing w:val="-8"/>
          <w:sz w:val="24"/>
          <w:szCs w:val="24"/>
          <w:highlight w:val="none"/>
        </w:rPr>
        <w:t>．工程承包方式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_Toc6603 \h </w:instrText>
      </w:r>
      <w:r>
        <w:rPr>
          <w:color w:val="auto"/>
          <w:sz w:val="24"/>
          <w:szCs w:val="24"/>
          <w:highlight w:val="none"/>
        </w:rPr>
        <w:fldChar w:fldCharType="separate"/>
      </w:r>
      <w:r>
        <w:rPr>
          <w:color w:val="auto"/>
          <w:sz w:val="24"/>
          <w:szCs w:val="24"/>
          <w:highlight w:val="none"/>
        </w:rPr>
        <w:t>47</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834F61C">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_Toc24910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7"/>
          <w:sz w:val="24"/>
          <w:szCs w:val="24"/>
          <w:highlight w:val="none"/>
        </w:rPr>
        <w:t>2</w:t>
      </w:r>
      <w:r>
        <w:rPr>
          <w:rFonts w:hint="eastAsia" w:ascii="宋体" w:hAnsi="宋体" w:eastAsia="宋体" w:cs="宋体"/>
          <w:bCs/>
          <w:color w:val="auto"/>
          <w:spacing w:val="-24"/>
          <w:sz w:val="24"/>
          <w:szCs w:val="24"/>
          <w:highlight w:val="none"/>
        </w:rPr>
        <w:t xml:space="preserve"> </w:t>
      </w:r>
      <w:r>
        <w:rPr>
          <w:rFonts w:hint="eastAsia" w:ascii="宋体" w:hAnsi="宋体" w:eastAsia="宋体" w:cs="宋体"/>
          <w:bCs/>
          <w:color w:val="auto"/>
          <w:spacing w:val="-7"/>
          <w:sz w:val="24"/>
          <w:szCs w:val="24"/>
          <w:highlight w:val="none"/>
        </w:rPr>
        <w:t>．工程结算原则</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_Toc24910 \h </w:instrText>
      </w:r>
      <w:r>
        <w:rPr>
          <w:color w:val="auto"/>
          <w:sz w:val="24"/>
          <w:szCs w:val="24"/>
          <w:highlight w:val="none"/>
        </w:rPr>
        <w:fldChar w:fldCharType="separate"/>
      </w:r>
      <w:r>
        <w:rPr>
          <w:color w:val="auto"/>
          <w:sz w:val="24"/>
          <w:szCs w:val="24"/>
          <w:highlight w:val="none"/>
        </w:rPr>
        <w:t>47</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A7403D1">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_Toc5247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3. 工程付款办法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_Toc5247 \h </w:instrText>
      </w:r>
      <w:r>
        <w:rPr>
          <w:color w:val="auto"/>
          <w:sz w:val="24"/>
          <w:szCs w:val="24"/>
          <w:highlight w:val="none"/>
        </w:rPr>
        <w:fldChar w:fldCharType="separate"/>
      </w:r>
      <w:r>
        <w:rPr>
          <w:color w:val="auto"/>
          <w:sz w:val="24"/>
          <w:szCs w:val="24"/>
          <w:highlight w:val="none"/>
        </w:rPr>
        <w:t>53</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E82DAB4">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_Toc29229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7"/>
          <w:sz w:val="24"/>
          <w:szCs w:val="24"/>
          <w:highlight w:val="none"/>
        </w:rPr>
        <w:t>4</w:t>
      </w:r>
      <w:r>
        <w:rPr>
          <w:rFonts w:hint="eastAsia" w:ascii="宋体" w:hAnsi="宋体" w:eastAsia="宋体" w:cs="宋体"/>
          <w:bCs/>
          <w:color w:val="auto"/>
          <w:spacing w:val="-25"/>
          <w:sz w:val="24"/>
          <w:szCs w:val="24"/>
          <w:highlight w:val="none"/>
        </w:rPr>
        <w:t xml:space="preserve"> </w:t>
      </w:r>
      <w:r>
        <w:rPr>
          <w:rFonts w:hint="eastAsia" w:ascii="宋体" w:hAnsi="宋体" w:eastAsia="宋体" w:cs="宋体"/>
          <w:bCs/>
          <w:color w:val="auto"/>
          <w:spacing w:val="-7"/>
          <w:sz w:val="24"/>
          <w:szCs w:val="24"/>
          <w:highlight w:val="none"/>
        </w:rPr>
        <w:t>．其他专用合同条款</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_Toc29229 \h </w:instrText>
      </w:r>
      <w:r>
        <w:rPr>
          <w:color w:val="auto"/>
          <w:sz w:val="24"/>
          <w:szCs w:val="24"/>
          <w:highlight w:val="none"/>
        </w:rPr>
        <w:fldChar w:fldCharType="separate"/>
      </w:r>
      <w:r>
        <w:rPr>
          <w:color w:val="auto"/>
          <w:sz w:val="24"/>
          <w:szCs w:val="24"/>
          <w:highlight w:val="none"/>
        </w:rPr>
        <w:t>54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A1E13F2">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_Toc30225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第四章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技术要求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_Toc30225 \h </w:instrText>
      </w:r>
      <w:r>
        <w:rPr>
          <w:color w:val="auto"/>
          <w:sz w:val="24"/>
          <w:szCs w:val="24"/>
          <w:highlight w:val="none"/>
        </w:rPr>
        <w:fldChar w:fldCharType="separate"/>
      </w:r>
      <w:r>
        <w:rPr>
          <w:color w:val="auto"/>
          <w:sz w:val="24"/>
          <w:szCs w:val="24"/>
          <w:highlight w:val="none"/>
        </w:rPr>
        <w:t>62</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96CFC3F">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_Toc19340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6"/>
          <w:sz w:val="24"/>
          <w:szCs w:val="24"/>
          <w:highlight w:val="none"/>
        </w:rPr>
        <w:t>1</w:t>
      </w:r>
      <w:r>
        <w:rPr>
          <w:rFonts w:hint="eastAsia" w:ascii="宋体" w:hAnsi="宋体" w:eastAsia="宋体" w:cs="宋体"/>
          <w:bCs/>
          <w:color w:val="auto"/>
          <w:spacing w:val="-23"/>
          <w:sz w:val="24"/>
          <w:szCs w:val="24"/>
          <w:highlight w:val="none"/>
        </w:rPr>
        <w:t xml:space="preserve"> </w:t>
      </w:r>
      <w:r>
        <w:rPr>
          <w:rFonts w:hint="eastAsia" w:ascii="宋体" w:hAnsi="宋体" w:eastAsia="宋体" w:cs="宋体"/>
          <w:bCs/>
          <w:color w:val="auto"/>
          <w:spacing w:val="-6"/>
          <w:sz w:val="24"/>
          <w:szCs w:val="24"/>
          <w:highlight w:val="none"/>
        </w:rPr>
        <w:t>．</w:t>
      </w:r>
      <w:r>
        <w:rPr>
          <w:rFonts w:hint="eastAsia" w:ascii="宋体" w:hAnsi="宋体" w:eastAsia="宋体" w:cs="宋体"/>
          <w:bCs/>
          <w:color w:val="auto"/>
          <w:spacing w:val="-1"/>
          <w:sz w:val="24"/>
          <w:szCs w:val="24"/>
          <w:highlight w:val="none"/>
        </w:rPr>
        <w:t>房屋建筑工程建设项目</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_Toc19340 \h </w:instrText>
      </w:r>
      <w:r>
        <w:rPr>
          <w:color w:val="auto"/>
          <w:sz w:val="24"/>
          <w:szCs w:val="24"/>
          <w:highlight w:val="none"/>
        </w:rPr>
        <w:fldChar w:fldCharType="separate"/>
      </w:r>
      <w:r>
        <w:rPr>
          <w:color w:val="auto"/>
          <w:sz w:val="24"/>
          <w:szCs w:val="24"/>
          <w:highlight w:val="none"/>
        </w:rPr>
        <w:t>62</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966A3DF">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_Toc16340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5"/>
          <w:sz w:val="24"/>
          <w:szCs w:val="24"/>
          <w:highlight w:val="none"/>
        </w:rPr>
        <w:t>2</w:t>
      </w:r>
      <w:r>
        <w:rPr>
          <w:rFonts w:hint="eastAsia" w:ascii="宋体" w:hAnsi="宋体" w:eastAsia="宋体" w:cs="宋体"/>
          <w:bCs/>
          <w:color w:val="auto"/>
          <w:spacing w:val="-18"/>
          <w:sz w:val="24"/>
          <w:szCs w:val="24"/>
          <w:highlight w:val="none"/>
        </w:rPr>
        <w:t xml:space="preserve"> </w:t>
      </w:r>
      <w:r>
        <w:rPr>
          <w:rFonts w:hint="eastAsia" w:ascii="宋体" w:hAnsi="宋体" w:eastAsia="宋体" w:cs="宋体"/>
          <w:bCs/>
          <w:color w:val="auto"/>
          <w:spacing w:val="-5"/>
          <w:sz w:val="24"/>
          <w:szCs w:val="24"/>
          <w:highlight w:val="none"/>
        </w:rPr>
        <w:t>．市政基础设施工程建设项目</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_Toc16340 \h </w:instrText>
      </w:r>
      <w:r>
        <w:rPr>
          <w:color w:val="auto"/>
          <w:sz w:val="24"/>
          <w:szCs w:val="24"/>
          <w:highlight w:val="none"/>
        </w:rPr>
        <w:fldChar w:fldCharType="separate"/>
      </w:r>
      <w:r>
        <w:rPr>
          <w:color w:val="auto"/>
          <w:sz w:val="24"/>
          <w:szCs w:val="24"/>
          <w:highlight w:val="none"/>
        </w:rPr>
        <w:t>62</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10487A7">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_Toc31813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3</w:t>
      </w:r>
      <w:r>
        <w:rPr>
          <w:rFonts w:hint="eastAsia" w:ascii="宋体" w:hAnsi="宋体" w:eastAsia="宋体" w:cs="宋体"/>
          <w:bCs/>
          <w:color w:val="auto"/>
          <w:spacing w:val="-25"/>
          <w:sz w:val="24"/>
          <w:szCs w:val="24"/>
          <w:highlight w:val="none"/>
        </w:rPr>
        <w:t xml:space="preserve"> </w:t>
      </w:r>
      <w:r>
        <w:rPr>
          <w:rFonts w:hint="eastAsia" w:ascii="宋体" w:hAnsi="宋体" w:eastAsia="宋体" w:cs="宋体"/>
          <w:bCs/>
          <w:color w:val="auto"/>
          <w:spacing w:val="-8"/>
          <w:sz w:val="24"/>
          <w:szCs w:val="24"/>
          <w:highlight w:val="none"/>
        </w:rPr>
        <w:t>．备查要求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_Toc31813 \h </w:instrText>
      </w:r>
      <w:r>
        <w:rPr>
          <w:color w:val="auto"/>
          <w:sz w:val="24"/>
          <w:szCs w:val="24"/>
          <w:highlight w:val="none"/>
        </w:rPr>
        <w:fldChar w:fldCharType="separate"/>
      </w:r>
      <w:r>
        <w:rPr>
          <w:color w:val="auto"/>
          <w:sz w:val="24"/>
          <w:szCs w:val="24"/>
          <w:highlight w:val="none"/>
        </w:rPr>
        <w:t>63</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96C7A23">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_Toc21699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5"/>
          <w:sz w:val="24"/>
          <w:szCs w:val="24"/>
          <w:highlight w:val="none"/>
        </w:rPr>
        <w:t>第五章</w:t>
      </w:r>
      <w:r>
        <w:rPr>
          <w:rFonts w:hint="eastAsia" w:ascii="宋体" w:hAnsi="宋体" w:eastAsia="宋体" w:cs="宋体"/>
          <w:color w:val="auto"/>
          <w:spacing w:val="33"/>
          <w:sz w:val="24"/>
          <w:szCs w:val="24"/>
          <w:highlight w:val="none"/>
        </w:rPr>
        <w:t xml:space="preserve"> </w:t>
      </w:r>
      <w:r>
        <w:rPr>
          <w:rFonts w:hint="eastAsia" w:ascii="宋体" w:hAnsi="宋体" w:eastAsia="宋体" w:cs="宋体"/>
          <w:bCs/>
          <w:color w:val="auto"/>
          <w:spacing w:val="-5"/>
          <w:sz w:val="24"/>
          <w:szCs w:val="24"/>
          <w:highlight w:val="none"/>
        </w:rPr>
        <w:t>图纸和招标工程量清单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_Toc21699 \h </w:instrText>
      </w:r>
      <w:r>
        <w:rPr>
          <w:color w:val="auto"/>
          <w:sz w:val="24"/>
          <w:szCs w:val="24"/>
          <w:highlight w:val="none"/>
        </w:rPr>
        <w:fldChar w:fldCharType="separate"/>
      </w:r>
      <w:r>
        <w:rPr>
          <w:color w:val="auto"/>
          <w:sz w:val="24"/>
          <w:szCs w:val="24"/>
          <w:highlight w:val="none"/>
        </w:rPr>
        <w:t>64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1052FF2">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_Toc21706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14"/>
          <w:sz w:val="24"/>
          <w:szCs w:val="24"/>
          <w:highlight w:val="none"/>
        </w:rPr>
        <w:t>1</w:t>
      </w:r>
      <w:r>
        <w:rPr>
          <w:rFonts w:hint="eastAsia" w:ascii="宋体" w:hAnsi="宋体" w:eastAsia="宋体" w:cs="宋体"/>
          <w:bCs/>
          <w:color w:val="auto"/>
          <w:spacing w:val="-27"/>
          <w:sz w:val="24"/>
          <w:szCs w:val="24"/>
          <w:highlight w:val="none"/>
        </w:rPr>
        <w:t xml:space="preserve"> </w:t>
      </w:r>
      <w:r>
        <w:rPr>
          <w:rFonts w:hint="eastAsia" w:ascii="宋体" w:hAnsi="宋体" w:eastAsia="宋体" w:cs="宋体"/>
          <w:bCs/>
          <w:color w:val="auto"/>
          <w:spacing w:val="-14"/>
          <w:sz w:val="24"/>
          <w:szCs w:val="24"/>
          <w:highlight w:val="none"/>
        </w:rPr>
        <w:t>．图纸</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_Toc21706 \h </w:instrText>
      </w:r>
      <w:r>
        <w:rPr>
          <w:color w:val="auto"/>
          <w:sz w:val="24"/>
          <w:szCs w:val="24"/>
          <w:highlight w:val="none"/>
        </w:rPr>
        <w:fldChar w:fldCharType="separate"/>
      </w:r>
      <w:r>
        <w:rPr>
          <w:color w:val="auto"/>
          <w:sz w:val="24"/>
          <w:szCs w:val="24"/>
          <w:highlight w:val="none"/>
        </w:rPr>
        <w:t>64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D04E8E8">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_Toc24419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6"/>
          <w:sz w:val="24"/>
          <w:szCs w:val="24"/>
          <w:highlight w:val="none"/>
        </w:rPr>
        <w:t>2</w:t>
      </w:r>
      <w:r>
        <w:rPr>
          <w:rFonts w:hint="eastAsia" w:ascii="宋体" w:hAnsi="宋体" w:eastAsia="宋体" w:cs="宋体"/>
          <w:bCs/>
          <w:color w:val="auto"/>
          <w:spacing w:val="-26"/>
          <w:sz w:val="24"/>
          <w:szCs w:val="24"/>
          <w:highlight w:val="none"/>
        </w:rPr>
        <w:t xml:space="preserve"> </w:t>
      </w:r>
      <w:r>
        <w:rPr>
          <w:rFonts w:hint="eastAsia" w:ascii="宋体" w:hAnsi="宋体" w:eastAsia="宋体" w:cs="宋体"/>
          <w:bCs/>
          <w:color w:val="auto"/>
          <w:spacing w:val="-6"/>
          <w:sz w:val="24"/>
          <w:szCs w:val="24"/>
          <w:highlight w:val="none"/>
        </w:rPr>
        <w:t>．招标工程量清单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_Toc24419 \h </w:instrText>
      </w:r>
      <w:r>
        <w:rPr>
          <w:color w:val="auto"/>
          <w:sz w:val="24"/>
          <w:szCs w:val="24"/>
          <w:highlight w:val="none"/>
        </w:rPr>
        <w:fldChar w:fldCharType="separate"/>
      </w:r>
      <w:r>
        <w:rPr>
          <w:color w:val="auto"/>
          <w:sz w:val="24"/>
          <w:szCs w:val="24"/>
          <w:highlight w:val="none"/>
        </w:rPr>
        <w:t>64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E85AA70">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_Toc27130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第六章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投标文件格式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_Toc27130 \h </w:instrText>
      </w:r>
      <w:r>
        <w:rPr>
          <w:color w:val="auto"/>
          <w:sz w:val="24"/>
          <w:szCs w:val="24"/>
          <w:highlight w:val="none"/>
        </w:rPr>
        <w:fldChar w:fldCharType="separate"/>
      </w:r>
      <w:r>
        <w:rPr>
          <w:color w:val="auto"/>
          <w:sz w:val="24"/>
          <w:szCs w:val="24"/>
          <w:highlight w:val="none"/>
        </w:rPr>
        <w:t>65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5AF6788">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_Toc11203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格式一</w:t>
      </w:r>
      <w:r>
        <w:rPr>
          <w:rFonts w:hint="eastAsia" w:ascii="宋体" w:hAnsi="宋体" w:eastAsia="宋体" w:cs="宋体"/>
          <w:color w:val="auto"/>
          <w:spacing w:val="-4"/>
          <w:sz w:val="24"/>
          <w:szCs w:val="24"/>
          <w:highlight w:val="none"/>
        </w:rPr>
        <w:t xml:space="preserve"> </w:t>
      </w:r>
      <w:r>
        <w:rPr>
          <w:rFonts w:hint="eastAsia" w:ascii="宋体" w:hAnsi="宋体" w:eastAsia="宋体" w:cs="宋体"/>
          <w:bCs/>
          <w:color w:val="auto"/>
          <w:spacing w:val="-4"/>
          <w:sz w:val="24"/>
          <w:szCs w:val="24"/>
          <w:highlight w:val="none"/>
        </w:rPr>
        <w:t>封面</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_Toc11203 \h </w:instrText>
      </w:r>
      <w:r>
        <w:rPr>
          <w:color w:val="auto"/>
          <w:sz w:val="24"/>
          <w:szCs w:val="24"/>
          <w:highlight w:val="none"/>
        </w:rPr>
        <w:fldChar w:fldCharType="separate"/>
      </w:r>
      <w:r>
        <w:rPr>
          <w:color w:val="auto"/>
          <w:sz w:val="24"/>
          <w:szCs w:val="24"/>
          <w:highlight w:val="none"/>
        </w:rPr>
        <w:t>65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B70C01F">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_Toc24492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格式二 投标函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_Toc24492 \h </w:instrText>
      </w:r>
      <w:r>
        <w:rPr>
          <w:color w:val="auto"/>
          <w:sz w:val="24"/>
          <w:szCs w:val="24"/>
          <w:highlight w:val="none"/>
        </w:rPr>
        <w:fldChar w:fldCharType="separate"/>
      </w:r>
      <w:r>
        <w:rPr>
          <w:color w:val="auto"/>
          <w:sz w:val="24"/>
          <w:szCs w:val="24"/>
          <w:highlight w:val="none"/>
        </w:rPr>
        <w:t>66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F4F4945">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_Toc15958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格式三 各项承诺一览表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_Toc15958 \h </w:instrText>
      </w:r>
      <w:r>
        <w:rPr>
          <w:color w:val="auto"/>
          <w:sz w:val="24"/>
          <w:szCs w:val="24"/>
          <w:highlight w:val="none"/>
        </w:rPr>
        <w:fldChar w:fldCharType="separate"/>
      </w:r>
      <w:r>
        <w:rPr>
          <w:color w:val="auto"/>
          <w:sz w:val="24"/>
          <w:szCs w:val="24"/>
          <w:highlight w:val="none"/>
        </w:rPr>
        <w:t>67</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C3D0948">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_Toc16537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格式四 授权委托书</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_Toc16537 \h </w:instrText>
      </w:r>
      <w:r>
        <w:rPr>
          <w:color w:val="auto"/>
          <w:sz w:val="24"/>
          <w:szCs w:val="24"/>
          <w:highlight w:val="none"/>
        </w:rPr>
        <w:fldChar w:fldCharType="separate"/>
      </w:r>
      <w:r>
        <w:rPr>
          <w:color w:val="auto"/>
          <w:sz w:val="24"/>
          <w:szCs w:val="24"/>
          <w:highlight w:val="none"/>
        </w:rPr>
        <w:t>69</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8F8FB71">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_Toc30394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格式五 法定代表人身份证明</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_Toc30394 \h </w:instrText>
      </w:r>
      <w:r>
        <w:rPr>
          <w:color w:val="auto"/>
          <w:sz w:val="24"/>
          <w:szCs w:val="24"/>
          <w:highlight w:val="none"/>
        </w:rPr>
        <w:fldChar w:fldCharType="separate"/>
      </w:r>
      <w:r>
        <w:rPr>
          <w:color w:val="auto"/>
          <w:sz w:val="24"/>
          <w:szCs w:val="24"/>
          <w:highlight w:val="none"/>
        </w:rPr>
        <w:t>70</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1548166">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_Toc5771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格式六 联合体协议书</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_Toc5771 \h </w:instrText>
      </w:r>
      <w:r>
        <w:rPr>
          <w:color w:val="auto"/>
          <w:sz w:val="24"/>
          <w:szCs w:val="24"/>
          <w:highlight w:val="none"/>
        </w:rPr>
        <w:fldChar w:fldCharType="separate"/>
      </w:r>
      <w:r>
        <w:rPr>
          <w:color w:val="auto"/>
          <w:sz w:val="24"/>
          <w:szCs w:val="24"/>
          <w:highlight w:val="none"/>
        </w:rPr>
        <w:t>71</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679B2F6">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_Toc17838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格式七 投标人基本情况表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_Toc17838 \h </w:instrText>
      </w:r>
      <w:r>
        <w:rPr>
          <w:color w:val="auto"/>
          <w:sz w:val="24"/>
          <w:szCs w:val="24"/>
          <w:highlight w:val="none"/>
        </w:rPr>
        <w:fldChar w:fldCharType="separate"/>
      </w:r>
      <w:r>
        <w:rPr>
          <w:color w:val="auto"/>
          <w:sz w:val="24"/>
          <w:szCs w:val="24"/>
          <w:highlight w:val="none"/>
        </w:rPr>
        <w:t>72</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D4DAE61">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_Toc19699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格式八 项目经理简历表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_Toc19699 \h </w:instrText>
      </w:r>
      <w:r>
        <w:rPr>
          <w:color w:val="auto"/>
          <w:sz w:val="24"/>
          <w:szCs w:val="24"/>
          <w:highlight w:val="none"/>
        </w:rPr>
        <w:fldChar w:fldCharType="separate"/>
      </w:r>
      <w:r>
        <w:rPr>
          <w:color w:val="auto"/>
          <w:sz w:val="24"/>
          <w:szCs w:val="24"/>
          <w:highlight w:val="none"/>
        </w:rPr>
        <w:t>73</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74D2D44">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_Toc30661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格式九 项目经理任职声明</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_Toc30661 \h </w:instrText>
      </w:r>
      <w:r>
        <w:rPr>
          <w:color w:val="auto"/>
          <w:sz w:val="24"/>
          <w:szCs w:val="24"/>
          <w:highlight w:val="none"/>
        </w:rPr>
        <w:fldChar w:fldCharType="separate"/>
      </w:r>
      <w:r>
        <w:rPr>
          <w:color w:val="auto"/>
          <w:sz w:val="24"/>
          <w:szCs w:val="24"/>
          <w:highlight w:val="none"/>
        </w:rPr>
        <w:t>74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3604306">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_Toc31071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格式十 项目技术负责人简历表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_Toc31071 \h </w:instrText>
      </w:r>
      <w:r>
        <w:rPr>
          <w:color w:val="auto"/>
          <w:sz w:val="24"/>
          <w:szCs w:val="24"/>
          <w:highlight w:val="none"/>
        </w:rPr>
        <w:fldChar w:fldCharType="separate"/>
      </w:r>
      <w:r>
        <w:rPr>
          <w:color w:val="auto"/>
          <w:sz w:val="24"/>
          <w:szCs w:val="24"/>
          <w:highlight w:val="none"/>
        </w:rPr>
        <w:t>75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2EBC02E">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_Toc25235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格式十一 项目管理机构组成表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_Toc25235 \h </w:instrText>
      </w:r>
      <w:r>
        <w:rPr>
          <w:color w:val="auto"/>
          <w:sz w:val="24"/>
          <w:szCs w:val="24"/>
          <w:highlight w:val="none"/>
        </w:rPr>
        <w:fldChar w:fldCharType="separate"/>
      </w:r>
      <w:r>
        <w:rPr>
          <w:color w:val="auto"/>
          <w:sz w:val="24"/>
          <w:szCs w:val="24"/>
          <w:highlight w:val="none"/>
        </w:rPr>
        <w:t>76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F6DCB7F">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_Toc16480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格式十二 建造师查询页（有效期+建造师签字）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_Toc16480 \h </w:instrText>
      </w:r>
      <w:r>
        <w:rPr>
          <w:color w:val="auto"/>
          <w:sz w:val="24"/>
          <w:szCs w:val="24"/>
          <w:highlight w:val="none"/>
        </w:rPr>
        <w:fldChar w:fldCharType="separate"/>
      </w:r>
      <w:r>
        <w:rPr>
          <w:color w:val="auto"/>
          <w:sz w:val="24"/>
          <w:szCs w:val="24"/>
          <w:highlight w:val="none"/>
        </w:rPr>
        <w:t>77</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482603B">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_Toc28779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格式十三：</w:t>
      </w:r>
      <w:r>
        <w:rPr>
          <w:rFonts w:hint="eastAsia" w:ascii="宋体" w:hAnsi="宋体" w:eastAsia="宋体" w:cs="宋体"/>
          <w:bCs/>
          <w:color w:val="auto"/>
          <w:spacing w:val="7"/>
          <w:sz w:val="24"/>
          <w:szCs w:val="24"/>
          <w:highlight w:val="none"/>
        </w:rPr>
        <w:t>危险性较大的分部分项工程清单及超过一定规模的危险性较大的</w:t>
      </w:r>
      <w:r>
        <w:rPr>
          <w:rFonts w:hint="eastAsia" w:ascii="宋体" w:hAnsi="宋体" w:eastAsia="宋体" w:cs="宋体"/>
          <w:bCs/>
          <w:color w:val="auto"/>
          <w:spacing w:val="5"/>
          <w:sz w:val="24"/>
          <w:szCs w:val="24"/>
          <w:highlight w:val="none"/>
        </w:rPr>
        <w:t>分部分项工程清单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_Toc28779 \h </w:instrText>
      </w:r>
      <w:r>
        <w:rPr>
          <w:color w:val="auto"/>
          <w:sz w:val="24"/>
          <w:szCs w:val="24"/>
          <w:highlight w:val="none"/>
        </w:rPr>
        <w:fldChar w:fldCharType="separate"/>
      </w:r>
      <w:r>
        <w:rPr>
          <w:color w:val="auto"/>
          <w:sz w:val="24"/>
          <w:szCs w:val="24"/>
          <w:highlight w:val="none"/>
        </w:rPr>
        <w:t>79</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8FBBEB5">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_Toc9960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格式十</w:t>
      </w:r>
      <w:r>
        <w:rPr>
          <w:rFonts w:hint="eastAsia" w:ascii="宋体" w:hAnsi="宋体" w:eastAsia="宋体" w:cs="宋体"/>
          <w:bCs/>
          <w:color w:val="auto"/>
          <w:spacing w:val="-4"/>
          <w:sz w:val="24"/>
          <w:szCs w:val="24"/>
          <w:highlight w:val="none"/>
          <w:lang w:val="en-US" w:eastAsia="zh-CN"/>
        </w:rPr>
        <w:t>四</w:t>
      </w:r>
      <w:r>
        <w:rPr>
          <w:rFonts w:hint="eastAsia" w:ascii="宋体" w:hAnsi="宋体" w:eastAsia="宋体" w:cs="宋体"/>
          <w:bCs/>
          <w:color w:val="auto"/>
          <w:spacing w:val="-4"/>
          <w:sz w:val="24"/>
          <w:szCs w:val="24"/>
          <w:highlight w:val="none"/>
        </w:rPr>
        <w:t xml:space="preserve">  原件一览表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_Toc9960 \h </w:instrText>
      </w:r>
      <w:r>
        <w:rPr>
          <w:color w:val="auto"/>
          <w:sz w:val="24"/>
          <w:szCs w:val="24"/>
          <w:highlight w:val="none"/>
        </w:rPr>
        <w:fldChar w:fldCharType="separate"/>
      </w:r>
      <w:r>
        <w:rPr>
          <w:color w:val="auto"/>
          <w:sz w:val="24"/>
          <w:szCs w:val="24"/>
          <w:highlight w:val="none"/>
        </w:rPr>
        <w:t>84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EF55D0F">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bCs/>
          <w:color w:val="auto"/>
          <w:spacing w:val="-4"/>
          <w:sz w:val="24"/>
          <w:szCs w:val="24"/>
          <w:highlight w:val="none"/>
        </w:rPr>
        <w:fldChar w:fldCharType="begin"/>
      </w:r>
      <w:r>
        <w:rPr>
          <w:rFonts w:hint="eastAsia" w:ascii="宋体" w:hAnsi="宋体" w:eastAsia="宋体" w:cs="宋体"/>
          <w:bCs/>
          <w:color w:val="auto"/>
          <w:spacing w:val="-4"/>
          <w:sz w:val="24"/>
          <w:szCs w:val="24"/>
          <w:highlight w:val="none"/>
        </w:rPr>
        <w:instrText xml:space="preserve"> HYPERLINK \l _Toc26323 </w:instrText>
      </w:r>
      <w:r>
        <w:rPr>
          <w:rFonts w:hint="eastAsia" w:ascii="宋体" w:hAnsi="宋体" w:eastAsia="宋体" w:cs="宋体"/>
          <w:bCs/>
          <w:color w:val="auto"/>
          <w:spacing w:val="-4"/>
          <w:sz w:val="24"/>
          <w:szCs w:val="24"/>
          <w:highlight w:val="none"/>
        </w:rPr>
        <w:fldChar w:fldCharType="separate"/>
      </w:r>
      <w:r>
        <w:rPr>
          <w:rFonts w:hint="eastAsia" w:ascii="宋体" w:hAnsi="宋体" w:eastAsia="宋体" w:cs="宋体"/>
          <w:bCs/>
          <w:color w:val="auto"/>
          <w:spacing w:val="-4"/>
          <w:sz w:val="24"/>
          <w:szCs w:val="24"/>
          <w:highlight w:val="none"/>
          <w:lang w:eastAsia="zh-CN"/>
        </w:rPr>
        <w:t>格式十</w:t>
      </w:r>
      <w:r>
        <w:rPr>
          <w:rFonts w:hint="eastAsia" w:ascii="宋体" w:hAnsi="宋体" w:eastAsia="宋体" w:cs="宋体"/>
          <w:bCs/>
          <w:color w:val="auto"/>
          <w:spacing w:val="-4"/>
          <w:sz w:val="24"/>
          <w:szCs w:val="24"/>
          <w:highlight w:val="none"/>
          <w:lang w:val="en-US" w:eastAsia="zh-CN"/>
        </w:rPr>
        <w:t>五 定标因素评审资料</w:t>
      </w:r>
      <w:r>
        <w:rPr>
          <w:rFonts w:hint="eastAsia" w:ascii="宋体" w:hAnsi="宋体" w:eastAsia="宋体" w:cs="宋体"/>
          <w:bCs/>
          <w:color w:val="auto"/>
          <w:spacing w:val="-4"/>
          <w:sz w:val="24"/>
          <w:szCs w:val="24"/>
          <w:highlight w:val="none"/>
        </w:rPr>
        <w:tab/>
      </w:r>
      <w:r>
        <w:rPr>
          <w:rFonts w:hint="eastAsia" w:ascii="宋体" w:hAnsi="宋体" w:eastAsia="宋体" w:cs="宋体"/>
          <w:bCs/>
          <w:color w:val="auto"/>
          <w:spacing w:val="-4"/>
          <w:sz w:val="24"/>
          <w:szCs w:val="24"/>
          <w:highlight w:val="none"/>
        </w:rPr>
        <w:fldChar w:fldCharType="begin"/>
      </w:r>
      <w:r>
        <w:rPr>
          <w:rFonts w:hint="eastAsia" w:ascii="宋体" w:hAnsi="宋体" w:eastAsia="宋体" w:cs="宋体"/>
          <w:bCs/>
          <w:color w:val="auto"/>
          <w:spacing w:val="-4"/>
          <w:sz w:val="24"/>
          <w:szCs w:val="24"/>
          <w:highlight w:val="none"/>
        </w:rPr>
        <w:instrText xml:space="preserve"> PAGEREF _Toc26323 \h </w:instrText>
      </w:r>
      <w:r>
        <w:rPr>
          <w:rFonts w:hint="eastAsia" w:ascii="宋体" w:hAnsi="宋体" w:eastAsia="宋体" w:cs="宋体"/>
          <w:bCs/>
          <w:color w:val="auto"/>
          <w:spacing w:val="-4"/>
          <w:sz w:val="24"/>
          <w:szCs w:val="24"/>
          <w:highlight w:val="none"/>
        </w:rPr>
        <w:fldChar w:fldCharType="separate"/>
      </w:r>
      <w:r>
        <w:rPr>
          <w:rFonts w:hint="eastAsia" w:ascii="宋体" w:hAnsi="宋体" w:eastAsia="宋体" w:cs="宋体"/>
          <w:bCs/>
          <w:color w:val="auto"/>
          <w:spacing w:val="-4"/>
          <w:sz w:val="24"/>
          <w:szCs w:val="24"/>
          <w:highlight w:val="none"/>
        </w:rPr>
        <w:t>85</w:t>
      </w:r>
      <w:r>
        <w:rPr>
          <w:rFonts w:hint="eastAsia" w:ascii="宋体" w:hAnsi="宋体" w:eastAsia="宋体" w:cs="宋体"/>
          <w:bCs/>
          <w:color w:val="auto"/>
          <w:spacing w:val="-4"/>
          <w:sz w:val="24"/>
          <w:szCs w:val="24"/>
          <w:highlight w:val="none"/>
        </w:rPr>
        <w:fldChar w:fldCharType="end"/>
      </w:r>
      <w:r>
        <w:rPr>
          <w:rFonts w:hint="eastAsia" w:ascii="宋体" w:hAnsi="宋体" w:eastAsia="宋体" w:cs="宋体"/>
          <w:bCs/>
          <w:color w:val="auto"/>
          <w:spacing w:val="-4"/>
          <w:sz w:val="24"/>
          <w:szCs w:val="24"/>
          <w:highlight w:val="none"/>
        </w:rPr>
        <w:fldChar w:fldCharType="end"/>
      </w:r>
    </w:p>
    <w:p w14:paraId="70616533">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_Toc10482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第七章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建设工程施工合同</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_Toc10482 \h </w:instrText>
      </w:r>
      <w:r>
        <w:rPr>
          <w:color w:val="auto"/>
          <w:sz w:val="24"/>
          <w:szCs w:val="24"/>
          <w:highlight w:val="none"/>
        </w:rPr>
        <w:fldChar w:fldCharType="separate"/>
      </w:r>
      <w:r>
        <w:rPr>
          <w:color w:val="auto"/>
          <w:sz w:val="24"/>
          <w:szCs w:val="24"/>
          <w:highlight w:val="none"/>
        </w:rPr>
        <w:t>86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0F418A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sectPr>
          <w:headerReference r:id="rId4" w:type="default"/>
          <w:footerReference r:id="rId5"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r>
        <w:rPr>
          <w:rFonts w:hint="eastAsia" w:ascii="宋体" w:hAnsi="宋体" w:eastAsia="宋体" w:cs="宋体"/>
          <w:color w:val="auto"/>
          <w:sz w:val="24"/>
          <w:szCs w:val="24"/>
          <w:highlight w:val="none"/>
        </w:rPr>
        <w:fldChar w:fldCharType="end"/>
      </w:r>
    </w:p>
    <w:p w14:paraId="73C987AB">
      <w:pPr>
        <w:pStyle w:val="5"/>
        <w:spacing w:line="272" w:lineRule="auto"/>
        <w:rPr>
          <w:rFonts w:hint="eastAsia" w:ascii="宋体" w:hAnsi="宋体" w:eastAsia="宋体" w:cs="宋体"/>
          <w:color w:val="auto"/>
          <w:highlight w:val="none"/>
        </w:rPr>
      </w:pPr>
    </w:p>
    <w:p w14:paraId="62D81621">
      <w:pPr>
        <w:spacing w:before="78" w:line="219" w:lineRule="auto"/>
        <w:ind w:left="3416"/>
        <w:outlineLvl w:val="0"/>
        <w:rPr>
          <w:rFonts w:hint="eastAsia" w:ascii="宋体" w:hAnsi="宋体" w:eastAsia="宋体" w:cs="宋体"/>
          <w:color w:val="auto"/>
          <w:sz w:val="24"/>
          <w:szCs w:val="24"/>
          <w:highlight w:val="none"/>
        </w:rPr>
      </w:pPr>
      <w:bookmarkStart w:id="0" w:name="bookmark1"/>
      <w:bookmarkEnd w:id="0"/>
      <w:bookmarkStart w:id="1" w:name="_Toc30584"/>
      <w:r>
        <w:rPr>
          <w:rFonts w:hint="eastAsia" w:ascii="宋体" w:hAnsi="宋体" w:eastAsia="宋体" w:cs="宋体"/>
          <w:b/>
          <w:bCs/>
          <w:color w:val="auto"/>
          <w:spacing w:val="-3"/>
          <w:sz w:val="24"/>
          <w:szCs w:val="24"/>
          <w:highlight w:val="none"/>
        </w:rPr>
        <w:t>第一章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w:t>
      </w:r>
      <w:bookmarkEnd w:id="1"/>
    </w:p>
    <w:p w14:paraId="738E9B6F">
      <w:pPr>
        <w:spacing w:before="156" w:line="219" w:lineRule="auto"/>
        <w:ind w:left="17"/>
        <w:outlineLvl w:val="1"/>
        <w:rPr>
          <w:rFonts w:hint="eastAsia" w:ascii="宋体" w:hAnsi="宋体" w:eastAsia="宋体" w:cs="宋体"/>
          <w:color w:val="auto"/>
          <w:sz w:val="24"/>
          <w:szCs w:val="24"/>
          <w:highlight w:val="none"/>
        </w:rPr>
      </w:pPr>
      <w:bookmarkStart w:id="2" w:name="bookmark3"/>
      <w:bookmarkEnd w:id="2"/>
      <w:bookmarkStart w:id="3" w:name="_Toc1079"/>
      <w:r>
        <w:rPr>
          <w:rFonts w:hint="eastAsia" w:ascii="宋体" w:hAnsi="宋体" w:eastAsia="宋体" w:cs="宋体"/>
          <w:b/>
          <w:bCs/>
          <w:color w:val="auto"/>
          <w:spacing w:val="-3"/>
          <w:sz w:val="24"/>
          <w:szCs w:val="24"/>
          <w:highlight w:val="none"/>
        </w:rPr>
        <w:t>第一节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投标人须知前附表</w:t>
      </w:r>
      <w:bookmarkEnd w:id="3"/>
    </w:p>
    <w:p w14:paraId="4826107D">
      <w:pPr>
        <w:spacing w:before="25"/>
        <w:rPr>
          <w:rFonts w:hint="eastAsia" w:ascii="宋体" w:hAnsi="宋体" w:eastAsia="宋体" w:cs="宋体"/>
          <w:color w:val="auto"/>
          <w:highlight w:val="none"/>
        </w:rPr>
      </w:pPr>
    </w:p>
    <w:tbl>
      <w:tblPr>
        <w:tblStyle w:val="14"/>
        <w:tblW w:w="998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860"/>
        <w:gridCol w:w="7544"/>
      </w:tblGrid>
      <w:tr w14:paraId="6206F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top"/>
          </w:tcPr>
          <w:p w14:paraId="03917175">
            <w:pPr>
              <w:spacing w:before="203" w:line="209" w:lineRule="auto"/>
              <w:ind w:left="0" w:leftChars="0"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序号</w:t>
            </w:r>
          </w:p>
        </w:tc>
        <w:tc>
          <w:tcPr>
            <w:tcW w:w="1860" w:type="dxa"/>
            <w:vAlign w:val="center"/>
          </w:tcPr>
          <w:p w14:paraId="5B44789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内容</w:t>
            </w:r>
          </w:p>
        </w:tc>
        <w:tc>
          <w:tcPr>
            <w:tcW w:w="7544" w:type="dxa"/>
            <w:vAlign w:val="center"/>
          </w:tcPr>
          <w:p w14:paraId="4D659223">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说明与要求</w:t>
            </w:r>
          </w:p>
        </w:tc>
      </w:tr>
      <w:tr w14:paraId="6DEC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74B650EB">
            <w:pPr>
              <w:spacing w:before="223" w:line="195" w:lineRule="auto"/>
              <w:jc w:val="center"/>
              <w:rPr>
                <w:rFonts w:hint="eastAsia" w:asciiTheme="minorEastAsia" w:hAnsiTheme="minorEastAsia" w:eastAsiaTheme="minorEastAsia" w:cstheme="minorEastAsia"/>
                <w:color w:val="auto"/>
                <w:sz w:val="24"/>
                <w:szCs w:val="24"/>
                <w:highlight w:val="none"/>
              </w:rPr>
            </w:pPr>
            <w:bookmarkStart w:id="4" w:name="OLE_LINK2" w:colFirst="2" w:colLast="2"/>
            <w:r>
              <w:rPr>
                <w:rFonts w:hint="eastAsia" w:asciiTheme="minorEastAsia" w:hAnsiTheme="minorEastAsia" w:eastAsiaTheme="minorEastAsia" w:cstheme="minorEastAsia"/>
                <w:color w:val="auto"/>
                <w:sz w:val="24"/>
                <w:szCs w:val="24"/>
                <w:highlight w:val="none"/>
              </w:rPr>
              <w:t>1</w:t>
            </w:r>
          </w:p>
        </w:tc>
        <w:tc>
          <w:tcPr>
            <w:tcW w:w="1860" w:type="dxa"/>
            <w:vAlign w:val="center"/>
          </w:tcPr>
          <w:p w14:paraId="34825B3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项目名称</w:t>
            </w:r>
          </w:p>
        </w:tc>
        <w:tc>
          <w:tcPr>
            <w:tcW w:w="7544" w:type="dxa"/>
            <w:vAlign w:val="center"/>
          </w:tcPr>
          <w:p w14:paraId="29F68CC0">
            <w:pPr>
              <w:pageBreakBefore w:val="0"/>
              <w:widowControl w:val="0"/>
              <w:kinsoku/>
              <w:wordWrap w:val="0"/>
              <w:overflowPunct/>
              <w:topLinePunct w:val="0"/>
              <w:autoSpaceDE/>
              <w:autoSpaceDN/>
              <w:bidi w:val="0"/>
              <w:adjustRightInd w:val="0"/>
              <w:snapToGrid w:val="0"/>
              <w:spacing w:line="400" w:lineRule="exact"/>
              <w:ind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乳源瑶族自治县二次供水综合提升工程施工</w:t>
            </w:r>
          </w:p>
        </w:tc>
      </w:tr>
      <w:tr w14:paraId="2BBA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82" w:type="dxa"/>
            <w:vAlign w:val="center"/>
          </w:tcPr>
          <w:p w14:paraId="4BDF20F4">
            <w:pPr>
              <w:spacing w:before="222"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1860" w:type="dxa"/>
            <w:vAlign w:val="center"/>
          </w:tcPr>
          <w:p w14:paraId="562A3B5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项目业主</w:t>
            </w:r>
          </w:p>
        </w:tc>
        <w:tc>
          <w:tcPr>
            <w:tcW w:w="7544" w:type="dxa"/>
            <w:vAlign w:val="center"/>
          </w:tcPr>
          <w:p w14:paraId="1198EFF5">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乳源瑶族自治县银源供水有限公司</w:t>
            </w:r>
          </w:p>
        </w:tc>
      </w:tr>
      <w:tr w14:paraId="37BB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5" w:hRule="atLeast"/>
        </w:trPr>
        <w:tc>
          <w:tcPr>
            <w:tcW w:w="582" w:type="dxa"/>
            <w:vAlign w:val="center"/>
          </w:tcPr>
          <w:p w14:paraId="51CC4710">
            <w:pPr>
              <w:spacing w:before="58"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860" w:type="dxa"/>
            <w:vAlign w:val="center"/>
          </w:tcPr>
          <w:p w14:paraId="1B0E7B8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项目批准部门及项目批准文号</w:t>
            </w:r>
          </w:p>
        </w:tc>
        <w:tc>
          <w:tcPr>
            <w:tcW w:w="7544" w:type="dxa"/>
            <w:vAlign w:val="center"/>
          </w:tcPr>
          <w:p w14:paraId="3DF0318A">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乳源瑶族自治县发展和改革局</w:t>
            </w:r>
          </w:p>
          <w:p w14:paraId="33918E85">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乳发改投审〔2025〕15号</w:t>
            </w:r>
          </w:p>
        </w:tc>
      </w:tr>
      <w:tr w14:paraId="3E0E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582" w:type="dxa"/>
            <w:vAlign w:val="center"/>
          </w:tcPr>
          <w:p w14:paraId="2BA50E8C">
            <w:pPr>
              <w:spacing w:before="225"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4</w:t>
            </w:r>
          </w:p>
        </w:tc>
        <w:tc>
          <w:tcPr>
            <w:tcW w:w="1860" w:type="dxa"/>
            <w:vAlign w:val="center"/>
          </w:tcPr>
          <w:p w14:paraId="25B41383">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建设地点</w:t>
            </w:r>
          </w:p>
        </w:tc>
        <w:tc>
          <w:tcPr>
            <w:tcW w:w="7544" w:type="dxa"/>
            <w:tcMar>
              <w:top w:w="0" w:type="dxa"/>
              <w:left w:w="0" w:type="dxa"/>
              <w:bottom w:w="0" w:type="dxa"/>
              <w:right w:w="0" w:type="dxa"/>
            </w:tcMar>
            <w:vAlign w:val="center"/>
          </w:tcPr>
          <w:p w14:paraId="57881451">
            <w:pPr>
              <w:pageBreakBefore w:val="0"/>
              <w:widowControl w:val="0"/>
              <w:kinsoku/>
              <w:wordWrap w:val="0"/>
              <w:overflowPunct/>
              <w:topLinePunct w:val="0"/>
              <w:autoSpaceDE/>
              <w:autoSpaceDN/>
              <w:bidi w:val="0"/>
              <w:adjustRightInd w:val="0"/>
              <w:snapToGrid w:val="0"/>
              <w:spacing w:line="400" w:lineRule="exact"/>
              <w:ind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韶关市乳源瑶族自治县县域范围</w:t>
            </w:r>
          </w:p>
        </w:tc>
      </w:tr>
      <w:tr w14:paraId="69D0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3" w:hRule="atLeast"/>
        </w:trPr>
        <w:tc>
          <w:tcPr>
            <w:tcW w:w="582" w:type="dxa"/>
            <w:vAlign w:val="center"/>
          </w:tcPr>
          <w:p w14:paraId="11A0F74B">
            <w:pPr>
              <w:spacing w:before="226" w:line="192"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1860" w:type="dxa"/>
            <w:vAlign w:val="center"/>
          </w:tcPr>
          <w:p w14:paraId="663CCE3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项目代码</w:t>
            </w:r>
          </w:p>
        </w:tc>
        <w:tc>
          <w:tcPr>
            <w:tcW w:w="7544" w:type="dxa"/>
            <w:vAlign w:val="center"/>
          </w:tcPr>
          <w:p w14:paraId="7A2FF9B5">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eastAsia="zh-CN"/>
              </w:rPr>
              <w:t>2405-440232-04-01-434377</w:t>
            </w:r>
          </w:p>
        </w:tc>
      </w:tr>
      <w:tr w14:paraId="0F485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7ECDCF06">
            <w:pPr>
              <w:spacing w:before="58"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1860" w:type="dxa"/>
            <w:vAlign w:val="center"/>
          </w:tcPr>
          <w:p w14:paraId="2D82DE6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资金来源及落实情况</w:t>
            </w:r>
          </w:p>
        </w:tc>
        <w:tc>
          <w:tcPr>
            <w:tcW w:w="7544" w:type="dxa"/>
            <w:vAlign w:val="center"/>
          </w:tcPr>
          <w:p w14:paraId="26558A0D">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财政统筹安排解决，100%</w:t>
            </w:r>
          </w:p>
        </w:tc>
      </w:tr>
      <w:tr w14:paraId="64B7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582" w:type="dxa"/>
            <w:vAlign w:val="center"/>
          </w:tcPr>
          <w:p w14:paraId="6C57706D">
            <w:pPr>
              <w:spacing w:before="228" w:line="192"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1860" w:type="dxa"/>
            <w:vAlign w:val="center"/>
          </w:tcPr>
          <w:p w14:paraId="40F73D4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招标人</w:t>
            </w:r>
          </w:p>
        </w:tc>
        <w:tc>
          <w:tcPr>
            <w:tcW w:w="7544" w:type="dxa"/>
            <w:vAlign w:val="center"/>
          </w:tcPr>
          <w:p w14:paraId="45504B93">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乳源瑶族自治县银源供水有限公司</w:t>
            </w:r>
          </w:p>
        </w:tc>
      </w:tr>
      <w:tr w14:paraId="33A8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trPr>
        <w:tc>
          <w:tcPr>
            <w:tcW w:w="582" w:type="dxa"/>
            <w:vAlign w:val="center"/>
          </w:tcPr>
          <w:p w14:paraId="3BBC77A0">
            <w:pPr>
              <w:spacing w:before="224"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w:t>
            </w:r>
          </w:p>
        </w:tc>
        <w:tc>
          <w:tcPr>
            <w:tcW w:w="1860" w:type="dxa"/>
            <w:vAlign w:val="center"/>
          </w:tcPr>
          <w:p w14:paraId="4E6C9AC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招标代理机构</w:t>
            </w:r>
          </w:p>
        </w:tc>
        <w:tc>
          <w:tcPr>
            <w:tcW w:w="7544" w:type="dxa"/>
            <w:vAlign w:val="center"/>
          </w:tcPr>
          <w:p w14:paraId="22294DD1">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韶关市珩诚工程咨询有限公司</w:t>
            </w:r>
          </w:p>
        </w:tc>
      </w:tr>
      <w:tr w14:paraId="4885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582" w:type="dxa"/>
            <w:vAlign w:val="center"/>
          </w:tcPr>
          <w:p w14:paraId="5B854012">
            <w:pPr>
              <w:spacing w:before="225"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w:t>
            </w:r>
          </w:p>
        </w:tc>
        <w:tc>
          <w:tcPr>
            <w:tcW w:w="1860" w:type="dxa"/>
            <w:vAlign w:val="center"/>
          </w:tcPr>
          <w:p w14:paraId="5A73FCC7">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设计单位</w:t>
            </w:r>
          </w:p>
        </w:tc>
        <w:tc>
          <w:tcPr>
            <w:tcW w:w="7544" w:type="dxa"/>
            <w:vAlign w:val="center"/>
          </w:tcPr>
          <w:p w14:paraId="04F63F8F">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韶关市规划市政设计研究院有限公司</w:t>
            </w:r>
          </w:p>
        </w:tc>
      </w:tr>
      <w:bookmarkEnd w:id="4"/>
      <w:tr w14:paraId="4431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6" w:hRule="atLeast"/>
        </w:trPr>
        <w:tc>
          <w:tcPr>
            <w:tcW w:w="582" w:type="dxa"/>
            <w:vAlign w:val="center"/>
          </w:tcPr>
          <w:p w14:paraId="4B23457A">
            <w:pPr>
              <w:spacing w:before="245"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10</w:t>
            </w:r>
          </w:p>
        </w:tc>
        <w:tc>
          <w:tcPr>
            <w:tcW w:w="1860" w:type="dxa"/>
            <w:vAlign w:val="center"/>
          </w:tcPr>
          <w:p w14:paraId="5B37311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造价咨询单位</w:t>
            </w:r>
          </w:p>
        </w:tc>
        <w:tc>
          <w:tcPr>
            <w:tcW w:w="7544" w:type="dxa"/>
            <w:vAlign w:val="center"/>
          </w:tcPr>
          <w:p w14:paraId="3DF9A37B">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eastAsia="zh-CN"/>
              </w:rPr>
              <w:t>□非全过程造价咨询</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☑全过程造价咨询</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p>
        </w:tc>
      </w:tr>
      <w:tr w14:paraId="3D042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8" w:hRule="atLeast"/>
        </w:trPr>
        <w:tc>
          <w:tcPr>
            <w:tcW w:w="582" w:type="dxa"/>
            <w:vAlign w:val="center"/>
          </w:tcPr>
          <w:p w14:paraId="6D763194">
            <w:pPr>
              <w:spacing w:before="242"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11</w:t>
            </w:r>
          </w:p>
        </w:tc>
        <w:tc>
          <w:tcPr>
            <w:tcW w:w="1860" w:type="dxa"/>
            <w:vAlign w:val="center"/>
          </w:tcPr>
          <w:p w14:paraId="43E1A47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监理单位</w:t>
            </w:r>
          </w:p>
        </w:tc>
        <w:tc>
          <w:tcPr>
            <w:tcW w:w="7544" w:type="dxa"/>
            <w:vAlign w:val="center"/>
          </w:tcPr>
          <w:p w14:paraId="50C24380">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□已确定监理单位</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☑未确定监理单位</w:t>
            </w:r>
          </w:p>
        </w:tc>
      </w:tr>
      <w:tr w14:paraId="5B615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7DFE038E">
            <w:pPr>
              <w:spacing w:before="58"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lang w:eastAsia="zh-CN"/>
              </w:rPr>
              <w:t>1</w:t>
            </w:r>
            <w:r>
              <w:rPr>
                <w:rFonts w:hint="eastAsia" w:asciiTheme="minorEastAsia" w:hAnsiTheme="minorEastAsia" w:eastAsiaTheme="minorEastAsia" w:cstheme="minorEastAsia"/>
                <w:color w:val="auto"/>
                <w:spacing w:val="-8"/>
                <w:sz w:val="24"/>
                <w:szCs w:val="24"/>
                <w:highlight w:val="none"/>
              </w:rPr>
              <w:t>2</w:t>
            </w:r>
          </w:p>
        </w:tc>
        <w:tc>
          <w:tcPr>
            <w:tcW w:w="1860" w:type="dxa"/>
            <w:vAlign w:val="center"/>
          </w:tcPr>
          <w:p w14:paraId="59ACF85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建设内容和规模</w:t>
            </w:r>
          </w:p>
        </w:tc>
        <w:tc>
          <w:tcPr>
            <w:tcW w:w="7544" w:type="dxa"/>
            <w:vAlign w:val="center"/>
          </w:tcPr>
          <w:p w14:paraId="790B87D6">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eastAsia="zh-CN"/>
              </w:rPr>
              <w:t>□建设规模：</w:t>
            </w:r>
            <w:r>
              <w:rPr>
                <w:rFonts w:hint="eastAsia" w:asciiTheme="minorEastAsia" w:hAnsiTheme="minorEastAsia" w:eastAsiaTheme="minorEastAsia" w:cstheme="minorEastAsia"/>
                <w:snapToGrid w:val="0"/>
                <w:color w:val="auto"/>
                <w:kern w:val="0"/>
                <w:sz w:val="24"/>
                <w:szCs w:val="24"/>
                <w:highlight w:val="none"/>
                <w:lang w:val="en-US" w:eastAsia="zh-CN"/>
              </w:rPr>
              <w:t>/</w:t>
            </w:r>
          </w:p>
          <w:p w14:paraId="182EA6F1">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☑建设内容：对全县37个商住小区45套二次供水泵站、21个小区老旧管道、27个小区水表升级改造。小区二次供水提升改造的内容主要包括二次供水设备、门禁安防系统、泵房修缮及能耗环境监测等。</w:t>
            </w:r>
          </w:p>
        </w:tc>
      </w:tr>
      <w:tr w14:paraId="4E8D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0" w:hRule="atLeast"/>
        </w:trPr>
        <w:tc>
          <w:tcPr>
            <w:tcW w:w="582" w:type="dxa"/>
            <w:vAlign w:val="center"/>
          </w:tcPr>
          <w:p w14:paraId="07A2CF91">
            <w:pPr>
              <w:spacing w:before="57"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13</w:t>
            </w:r>
          </w:p>
        </w:tc>
        <w:tc>
          <w:tcPr>
            <w:tcW w:w="1860" w:type="dxa"/>
            <w:vAlign w:val="center"/>
          </w:tcPr>
          <w:p w14:paraId="55E14BF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项目总投资</w:t>
            </w:r>
          </w:p>
        </w:tc>
        <w:tc>
          <w:tcPr>
            <w:tcW w:w="7544" w:type="dxa"/>
            <w:vAlign w:val="center"/>
          </w:tcPr>
          <w:p w14:paraId="489C8C0B">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项目概算总投资6138.44万元，其中工程费用5138.88万元，工程建设其他费用707.25万元，预备费用292.31万元。</w:t>
            </w:r>
          </w:p>
        </w:tc>
      </w:tr>
      <w:tr w14:paraId="5DCC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582" w:type="dxa"/>
            <w:vAlign w:val="center"/>
          </w:tcPr>
          <w:p w14:paraId="7CD6182E">
            <w:pPr>
              <w:spacing w:before="58"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14</w:t>
            </w:r>
          </w:p>
        </w:tc>
        <w:tc>
          <w:tcPr>
            <w:tcW w:w="1860" w:type="dxa"/>
            <w:vAlign w:val="center"/>
          </w:tcPr>
          <w:p w14:paraId="63025BE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招标范围</w:t>
            </w:r>
          </w:p>
        </w:tc>
        <w:tc>
          <w:tcPr>
            <w:tcW w:w="7544" w:type="dxa"/>
            <w:vAlign w:val="center"/>
          </w:tcPr>
          <w:p w14:paraId="632E934E">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按审查合格的施工图纸及工程量清单内容施工</w:t>
            </w:r>
          </w:p>
        </w:tc>
      </w:tr>
      <w:tr w14:paraId="3A94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trPr>
        <w:tc>
          <w:tcPr>
            <w:tcW w:w="582" w:type="dxa"/>
            <w:vAlign w:val="center"/>
          </w:tcPr>
          <w:p w14:paraId="006748C8">
            <w:pPr>
              <w:spacing w:before="58"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15</w:t>
            </w:r>
          </w:p>
        </w:tc>
        <w:tc>
          <w:tcPr>
            <w:tcW w:w="1860" w:type="dxa"/>
            <w:vAlign w:val="center"/>
          </w:tcPr>
          <w:p w14:paraId="38A9CD5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标段划分</w:t>
            </w:r>
          </w:p>
        </w:tc>
        <w:tc>
          <w:tcPr>
            <w:tcW w:w="7544" w:type="dxa"/>
            <w:vAlign w:val="center"/>
          </w:tcPr>
          <w:p w14:paraId="47C73F88">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 xml:space="preserve">本招标项目不划分标段。 </w:t>
            </w:r>
          </w:p>
        </w:tc>
      </w:tr>
      <w:tr w14:paraId="3718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5" w:hRule="atLeast"/>
        </w:trPr>
        <w:tc>
          <w:tcPr>
            <w:tcW w:w="582" w:type="dxa"/>
            <w:vAlign w:val="center"/>
          </w:tcPr>
          <w:p w14:paraId="2988B03A">
            <w:pPr>
              <w:spacing w:before="57" w:line="195"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rPr>
              <w:t>16</w:t>
            </w:r>
          </w:p>
        </w:tc>
        <w:tc>
          <w:tcPr>
            <w:tcW w:w="1860" w:type="dxa"/>
            <w:vAlign w:val="center"/>
          </w:tcPr>
          <w:p w14:paraId="56C6BFD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工期</w:t>
            </w:r>
          </w:p>
        </w:tc>
        <w:tc>
          <w:tcPr>
            <w:tcW w:w="7544" w:type="dxa"/>
            <w:vAlign w:val="top"/>
          </w:tcPr>
          <w:p w14:paraId="2505F8DA">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本招标项目招标工期为</w:t>
            </w:r>
            <w:r>
              <w:rPr>
                <w:rFonts w:hint="eastAsia" w:asciiTheme="minorEastAsia" w:hAnsiTheme="minorEastAsia" w:eastAsiaTheme="minorEastAsia" w:cstheme="minorEastAsia"/>
                <w:snapToGrid w:val="0"/>
                <w:color w:val="auto"/>
                <w:kern w:val="0"/>
                <w:sz w:val="24"/>
                <w:szCs w:val="24"/>
                <w:highlight w:val="none"/>
                <w:lang w:val="en-US" w:eastAsia="zh-CN"/>
              </w:rPr>
              <w:t>390个日历天</w:t>
            </w:r>
            <w:r>
              <w:rPr>
                <w:rFonts w:hint="eastAsia" w:asciiTheme="minorEastAsia" w:hAnsiTheme="minorEastAsia" w:eastAsiaTheme="minorEastAsia" w:cstheme="minorEastAsia"/>
                <w:snapToGrid w:val="0"/>
                <w:color w:val="auto"/>
                <w:kern w:val="0"/>
                <w:sz w:val="24"/>
                <w:szCs w:val="24"/>
                <w:highlight w:val="none"/>
                <w:lang w:eastAsia="zh-CN"/>
              </w:rPr>
              <w:t>。具体如下：</w:t>
            </w:r>
          </w:p>
          <w:p w14:paraId="6D644369">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☑总工期：</w:t>
            </w:r>
            <w:r>
              <w:rPr>
                <w:rFonts w:hint="eastAsia" w:asciiTheme="minorEastAsia" w:hAnsiTheme="minorEastAsia" w:eastAsiaTheme="minorEastAsia" w:cstheme="minorEastAsia"/>
                <w:snapToGrid w:val="0"/>
                <w:color w:val="auto"/>
                <w:kern w:val="0"/>
                <w:sz w:val="24"/>
                <w:szCs w:val="24"/>
                <w:highlight w:val="none"/>
                <w:lang w:val="en-US" w:eastAsia="zh-CN"/>
              </w:rPr>
              <w:t>390</w:t>
            </w:r>
            <w:r>
              <w:rPr>
                <w:rFonts w:hint="eastAsia" w:asciiTheme="minorEastAsia" w:hAnsiTheme="minorEastAsia" w:eastAsiaTheme="minorEastAsia" w:cstheme="minorEastAsia"/>
                <w:snapToGrid w:val="0"/>
                <w:color w:val="auto"/>
                <w:kern w:val="0"/>
                <w:sz w:val="24"/>
                <w:szCs w:val="24"/>
                <w:highlight w:val="none"/>
                <w:lang w:eastAsia="zh-CN"/>
              </w:rPr>
              <w:t>天 （日历天）。</w:t>
            </w:r>
          </w:p>
          <w:p w14:paraId="66DDEE6E">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□计划开工日期：</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年</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月</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日（具体开工日期以合同为准）</w:t>
            </w:r>
          </w:p>
          <w:p w14:paraId="5F35B24A">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□计划竣工日期：</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年</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月</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日</w:t>
            </w:r>
          </w:p>
          <w:p w14:paraId="2832BA6C">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 xml:space="preserve">□除上述总工期外，发包人还要求以下阶段工期：        </w:t>
            </w:r>
          </w:p>
        </w:tc>
      </w:tr>
      <w:tr w14:paraId="05FC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90" w:hRule="atLeast"/>
        </w:trPr>
        <w:tc>
          <w:tcPr>
            <w:tcW w:w="582" w:type="dxa"/>
            <w:vAlign w:val="center"/>
          </w:tcPr>
          <w:p w14:paraId="4ABA0644">
            <w:pPr>
              <w:spacing w:before="57"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17</w:t>
            </w:r>
          </w:p>
        </w:tc>
        <w:tc>
          <w:tcPr>
            <w:tcW w:w="1860" w:type="dxa"/>
            <w:vAlign w:val="center"/>
          </w:tcPr>
          <w:p w14:paraId="11178663">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质量标准</w:t>
            </w:r>
          </w:p>
        </w:tc>
        <w:tc>
          <w:tcPr>
            <w:tcW w:w="7544" w:type="dxa"/>
            <w:vAlign w:val="top"/>
          </w:tcPr>
          <w:p w14:paraId="796FBBAA">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☑质量目标：</w:t>
            </w:r>
            <w:r>
              <w:rPr>
                <w:rFonts w:hint="eastAsia" w:asciiTheme="minorEastAsia" w:hAnsiTheme="minorEastAsia" w:eastAsiaTheme="minorEastAsia" w:cstheme="minorEastAsia"/>
                <w:snapToGrid w:val="0"/>
                <w:color w:val="auto"/>
                <w:kern w:val="0"/>
                <w:sz w:val="24"/>
                <w:szCs w:val="24"/>
                <w:highlight w:val="none"/>
                <w:u w:val="single"/>
                <w:lang w:eastAsia="zh-CN"/>
              </w:rPr>
              <w:t>合格</w:t>
            </w:r>
          </w:p>
          <w:p w14:paraId="5DCCF812">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☑质量标准：</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达到《建筑工程施工质量验收统一标准》(GB50300-2013)并且合格。</w:t>
            </w:r>
          </w:p>
          <w:p w14:paraId="0864E5F1">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□优质工程要求：</w:t>
            </w:r>
            <w:r>
              <w:rPr>
                <w:rFonts w:hint="eastAsia" w:asciiTheme="minorEastAsia" w:hAnsiTheme="minorEastAsia" w:eastAsiaTheme="minorEastAsia" w:cstheme="minorEastAsia"/>
                <w:snapToGrid w:val="0"/>
                <w:color w:val="auto"/>
                <w:kern w:val="0"/>
                <w:sz w:val="24"/>
                <w:szCs w:val="24"/>
                <w:highlight w:val="none"/>
                <w:u w:val="single"/>
                <w:lang w:eastAsia="zh-CN"/>
              </w:rPr>
              <w:t>无</w:t>
            </w:r>
            <w:r>
              <w:rPr>
                <w:rFonts w:hint="eastAsia" w:asciiTheme="minorEastAsia" w:hAnsiTheme="minorEastAsia" w:eastAsiaTheme="minorEastAsia" w:cstheme="minorEastAsia"/>
                <w:snapToGrid w:val="0"/>
                <w:color w:val="auto"/>
                <w:kern w:val="0"/>
                <w:sz w:val="24"/>
                <w:szCs w:val="24"/>
                <w:highlight w:val="none"/>
                <w:lang w:eastAsia="zh-CN"/>
              </w:rPr>
              <w:t>....</w:t>
            </w:r>
          </w:p>
          <w:p w14:paraId="2972F9AD">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eastAsia="zh-CN"/>
              </w:rPr>
              <w:t>工程优质费：☑无</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□有：</w:t>
            </w:r>
            <w:r>
              <w:rPr>
                <w:rFonts w:hint="eastAsia" w:asciiTheme="minorEastAsia" w:hAnsiTheme="minorEastAsia" w:eastAsiaTheme="minorEastAsia" w:cstheme="minorEastAsia"/>
                <w:snapToGrid w:val="0"/>
                <w:color w:val="auto"/>
                <w:kern w:val="0"/>
                <w:sz w:val="24"/>
                <w:szCs w:val="24"/>
                <w:highlight w:val="none"/>
                <w:lang w:val="en-US" w:eastAsia="zh-CN"/>
              </w:rPr>
              <w:t>/</w:t>
            </w:r>
          </w:p>
        </w:tc>
      </w:tr>
      <w:tr w14:paraId="0F11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26586B15">
            <w:pPr>
              <w:spacing w:before="57"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18</w:t>
            </w:r>
          </w:p>
        </w:tc>
        <w:tc>
          <w:tcPr>
            <w:tcW w:w="1860" w:type="dxa"/>
            <w:vMerge w:val="restart"/>
            <w:vAlign w:val="center"/>
          </w:tcPr>
          <w:p w14:paraId="69B85B7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合同类型</w:t>
            </w:r>
          </w:p>
        </w:tc>
        <w:tc>
          <w:tcPr>
            <w:tcW w:w="7544" w:type="dxa"/>
            <w:vAlign w:val="top"/>
          </w:tcPr>
          <w:p w14:paraId="5C68FEB2">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☑单价合同：发承包双方约定以工程量清单及其综合单价进行合同价款计算、调整和确认的建设工程施工合同。</w:t>
            </w:r>
          </w:p>
          <w:p w14:paraId="5D6633BF">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70F71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2D93F8EC">
            <w:pPr>
              <w:spacing w:before="57" w:line="195" w:lineRule="auto"/>
              <w:jc w:val="center"/>
              <w:rPr>
                <w:rFonts w:hint="eastAsia" w:asciiTheme="minorEastAsia" w:hAnsiTheme="minorEastAsia" w:eastAsiaTheme="minorEastAsia" w:cstheme="minorEastAsia"/>
                <w:color w:val="auto"/>
                <w:spacing w:val="-8"/>
                <w:sz w:val="24"/>
                <w:szCs w:val="24"/>
                <w:highlight w:val="none"/>
              </w:rPr>
            </w:pPr>
          </w:p>
        </w:tc>
        <w:tc>
          <w:tcPr>
            <w:tcW w:w="1860" w:type="dxa"/>
            <w:vMerge w:val="continue"/>
            <w:vAlign w:val="center"/>
          </w:tcPr>
          <w:p w14:paraId="10A927F6">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p>
        </w:tc>
        <w:tc>
          <w:tcPr>
            <w:tcW w:w="7544" w:type="dxa"/>
            <w:vAlign w:val="top"/>
          </w:tcPr>
          <w:p w14:paraId="31FED49E">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 xml:space="preserve">□总价合同：发承包双方约定以施工图及其预算和有关条件进行合同价款计算、调整和确认的建设工程施工合同。 </w:t>
            </w:r>
          </w:p>
          <w:p w14:paraId="7A99EC33">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注：总价合同是以施工图纸、规范为基础，在工程任务内容明确、发包人的要求条件清楚、计价依据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规范原则。</w:t>
            </w:r>
          </w:p>
        </w:tc>
      </w:tr>
      <w:tr w14:paraId="327FF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2F0BBBAC">
            <w:pPr>
              <w:spacing w:before="19"/>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19</w:t>
            </w:r>
          </w:p>
        </w:tc>
        <w:tc>
          <w:tcPr>
            <w:tcW w:w="1860" w:type="dxa"/>
            <w:vAlign w:val="center"/>
          </w:tcPr>
          <w:p w14:paraId="6FB02E3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房屋建筑工程绿色建筑标准</w:t>
            </w:r>
          </w:p>
        </w:tc>
        <w:tc>
          <w:tcPr>
            <w:tcW w:w="7544" w:type="dxa"/>
            <w:vAlign w:val="center"/>
          </w:tcPr>
          <w:p w14:paraId="2FBD23F5">
            <w:pPr>
              <w:pageBreakBefore w:val="0"/>
              <w:widowControl w:val="0"/>
              <w:kinsoku/>
              <w:wordWrap w:val="0"/>
              <w:overflowPunct/>
              <w:topLinePunct w:val="0"/>
              <w:autoSpaceDE/>
              <w:autoSpaceDN/>
              <w:bidi w:val="0"/>
              <w:adjustRightInd w:val="0"/>
              <w:snapToGrid w:val="0"/>
              <w:spacing w:line="400" w:lineRule="exact"/>
              <w:ind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本招标项目</w:t>
            </w:r>
            <w:r>
              <w:rPr>
                <w:rFonts w:hint="eastAsia" w:asciiTheme="minorEastAsia" w:hAnsiTheme="minorEastAsia" w:eastAsiaTheme="minorEastAsia" w:cstheme="minorEastAsia"/>
                <w:snapToGrid w:val="0"/>
                <w:color w:val="auto"/>
                <w:kern w:val="0"/>
                <w:sz w:val="24"/>
                <w:szCs w:val="24"/>
                <w:highlight w:val="none"/>
                <w:u w:val="single"/>
                <w:lang w:val="en-US" w:eastAsia="zh-CN"/>
              </w:rPr>
              <w:t>不</w:t>
            </w:r>
            <w:r>
              <w:rPr>
                <w:rFonts w:hint="eastAsia" w:asciiTheme="minorEastAsia" w:hAnsiTheme="minorEastAsia" w:eastAsiaTheme="minorEastAsia" w:cstheme="minorEastAsia"/>
                <w:snapToGrid w:val="0"/>
                <w:color w:val="auto"/>
                <w:kern w:val="0"/>
                <w:sz w:val="24"/>
                <w:szCs w:val="24"/>
                <w:highlight w:val="none"/>
                <w:lang w:eastAsia="zh-CN"/>
              </w:rPr>
              <w:t>纳入绿色建设实施范围。</w:t>
            </w:r>
          </w:p>
        </w:tc>
      </w:tr>
      <w:tr w14:paraId="5130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582" w:type="dxa"/>
            <w:vAlign w:val="center"/>
          </w:tcPr>
          <w:p w14:paraId="08E0FBB8">
            <w:pPr>
              <w:spacing w:before="58" w:line="195"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19.</w:t>
            </w:r>
            <w:r>
              <w:rPr>
                <w:rFonts w:hint="eastAsia" w:asciiTheme="minorEastAsia" w:hAnsiTheme="minorEastAsia" w:eastAsiaTheme="minorEastAsia" w:cstheme="minorEastAsia"/>
                <w:color w:val="auto"/>
                <w:spacing w:val="-26"/>
                <w:sz w:val="24"/>
                <w:szCs w:val="24"/>
                <w:highlight w:val="none"/>
              </w:rPr>
              <w:t xml:space="preserve"> </w:t>
            </w:r>
            <w:r>
              <w:rPr>
                <w:rFonts w:hint="eastAsia" w:asciiTheme="minorEastAsia" w:hAnsiTheme="minorEastAsia" w:eastAsiaTheme="minorEastAsia" w:cstheme="minorEastAsia"/>
                <w:color w:val="auto"/>
                <w:spacing w:val="-3"/>
                <w:sz w:val="24"/>
                <w:szCs w:val="24"/>
                <w:highlight w:val="none"/>
              </w:rPr>
              <w:t>1</w:t>
            </w:r>
          </w:p>
        </w:tc>
        <w:tc>
          <w:tcPr>
            <w:tcW w:w="1860" w:type="dxa"/>
            <w:vAlign w:val="center"/>
          </w:tcPr>
          <w:p w14:paraId="58D5DD4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装配式建筑标准</w:t>
            </w:r>
          </w:p>
        </w:tc>
        <w:tc>
          <w:tcPr>
            <w:tcW w:w="7544" w:type="dxa"/>
            <w:vAlign w:val="center"/>
          </w:tcPr>
          <w:p w14:paraId="645C0970">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本招标项目</w:t>
            </w:r>
            <w:r>
              <w:rPr>
                <w:rFonts w:hint="eastAsia" w:asciiTheme="minorEastAsia" w:hAnsiTheme="minorEastAsia" w:eastAsiaTheme="minorEastAsia" w:cstheme="minorEastAsia"/>
                <w:snapToGrid w:val="0"/>
                <w:color w:val="auto"/>
                <w:kern w:val="0"/>
                <w:sz w:val="24"/>
                <w:szCs w:val="24"/>
                <w:highlight w:val="none"/>
                <w:u w:val="single"/>
                <w:lang w:val="en-US" w:eastAsia="zh-CN"/>
              </w:rPr>
              <w:t>不</w:t>
            </w:r>
            <w:r>
              <w:rPr>
                <w:rFonts w:hint="eastAsia" w:asciiTheme="minorEastAsia" w:hAnsiTheme="minorEastAsia" w:eastAsiaTheme="minorEastAsia" w:cstheme="minorEastAsia"/>
                <w:snapToGrid w:val="0"/>
                <w:color w:val="auto"/>
                <w:kern w:val="0"/>
                <w:sz w:val="24"/>
                <w:szCs w:val="24"/>
                <w:highlight w:val="none"/>
                <w:lang w:eastAsia="zh-CN"/>
              </w:rPr>
              <w:t>纳入装配式建造建设实施范围。</w:t>
            </w:r>
          </w:p>
        </w:tc>
      </w:tr>
      <w:tr w14:paraId="19BF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34449A5D">
            <w:pPr>
              <w:spacing w:before="69" w:line="188"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20</w:t>
            </w:r>
          </w:p>
        </w:tc>
        <w:tc>
          <w:tcPr>
            <w:tcW w:w="1860" w:type="dxa"/>
            <w:vAlign w:val="center"/>
          </w:tcPr>
          <w:p w14:paraId="2502455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发包人提供材料和工程设备</w:t>
            </w:r>
          </w:p>
        </w:tc>
        <w:tc>
          <w:tcPr>
            <w:tcW w:w="7544" w:type="dxa"/>
            <w:vAlign w:val="center"/>
          </w:tcPr>
          <w:p w14:paraId="11C1C71A">
            <w:pPr>
              <w:pageBreakBefore w:val="0"/>
              <w:widowControl w:val="0"/>
              <w:kinsoku/>
              <w:wordWrap w:val="0"/>
              <w:overflowPunct/>
              <w:topLinePunct w:val="0"/>
              <w:autoSpaceDE/>
              <w:autoSpaceDN/>
              <w:bidi w:val="0"/>
              <w:adjustRightInd w:val="0"/>
              <w:snapToGrid w:val="0"/>
              <w:spacing w:line="400" w:lineRule="exact"/>
              <w:ind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发包人提供材料和工程设备： ☑无     □有：</w:t>
            </w:r>
          </w:p>
        </w:tc>
      </w:tr>
      <w:tr w14:paraId="10A7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5" w:hRule="atLeast"/>
        </w:trPr>
        <w:tc>
          <w:tcPr>
            <w:tcW w:w="582" w:type="dxa"/>
            <w:vAlign w:val="center"/>
          </w:tcPr>
          <w:p w14:paraId="3024618B">
            <w:pPr>
              <w:spacing w:before="69" w:line="188"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21</w:t>
            </w:r>
          </w:p>
        </w:tc>
        <w:tc>
          <w:tcPr>
            <w:tcW w:w="1860" w:type="dxa"/>
            <w:vAlign w:val="center"/>
          </w:tcPr>
          <w:p w14:paraId="722A7DF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承包人提供材料和工程设备</w:t>
            </w:r>
          </w:p>
        </w:tc>
        <w:tc>
          <w:tcPr>
            <w:tcW w:w="7544" w:type="dxa"/>
            <w:vAlign w:val="top"/>
          </w:tcPr>
          <w:p w14:paraId="765B08ED">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 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705D2609">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□其它说明：鼓励承包人积极采购环保产品进行施工。</w:t>
            </w:r>
          </w:p>
        </w:tc>
      </w:tr>
      <w:tr w14:paraId="36A1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0" w:hRule="atLeast"/>
        </w:trPr>
        <w:tc>
          <w:tcPr>
            <w:tcW w:w="582" w:type="dxa"/>
            <w:vAlign w:val="center"/>
          </w:tcPr>
          <w:p w14:paraId="29FC15E7">
            <w:pPr>
              <w:spacing w:before="69" w:line="188"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22</w:t>
            </w:r>
          </w:p>
        </w:tc>
        <w:tc>
          <w:tcPr>
            <w:tcW w:w="1860" w:type="dxa"/>
            <w:vAlign w:val="center"/>
          </w:tcPr>
          <w:p w14:paraId="0D01F2D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最高投标限价</w:t>
            </w:r>
          </w:p>
        </w:tc>
        <w:tc>
          <w:tcPr>
            <w:tcW w:w="7544" w:type="dxa"/>
            <w:vAlign w:val="center"/>
          </w:tcPr>
          <w:p w14:paraId="5949F129">
            <w:pPr>
              <w:pageBreakBefore w:val="0"/>
              <w:widowControl w:val="0"/>
              <w:kinsoku/>
              <w:wordWrap w:val="0"/>
              <w:overflowPunct/>
              <w:topLinePunct w:val="0"/>
              <w:autoSpaceDE/>
              <w:autoSpaceDN/>
              <w:bidi w:val="0"/>
              <w:adjustRightInd w:val="0"/>
              <w:snapToGrid w:val="0"/>
              <w:spacing w:line="400" w:lineRule="exact"/>
              <w:ind w:left="0" w:leftChars="0" w:firstLine="458" w:firstLineChars="1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本招标项目最高投标限价、施工图纸、工程量清单在开标前15天另行发布于全国公共资源交易平台（广东省·韶关市）（https://ygp.gdzwfw.gov.cn/ggzy-portal/#/440200/index）、广东省招标投标监管网（http://zbtb.gd.gov.cn）网站。</w:t>
            </w:r>
          </w:p>
        </w:tc>
      </w:tr>
      <w:tr w14:paraId="300C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82" w:hRule="atLeast"/>
        </w:trPr>
        <w:tc>
          <w:tcPr>
            <w:tcW w:w="582" w:type="dxa"/>
            <w:vAlign w:val="center"/>
          </w:tcPr>
          <w:p w14:paraId="6C7E6872">
            <w:pPr>
              <w:spacing w:before="69" w:line="188"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23</w:t>
            </w:r>
          </w:p>
        </w:tc>
        <w:tc>
          <w:tcPr>
            <w:tcW w:w="1860" w:type="dxa"/>
            <w:vAlign w:val="center"/>
          </w:tcPr>
          <w:p w14:paraId="373A2C5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投标人的投标报价</w:t>
            </w:r>
          </w:p>
        </w:tc>
        <w:tc>
          <w:tcPr>
            <w:tcW w:w="7544" w:type="dxa"/>
            <w:vAlign w:val="center"/>
          </w:tcPr>
          <w:p w14:paraId="47EBE155">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7F6DE764">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投标报价方式： ☑工程量清单报</w:t>
            </w:r>
          </w:p>
        </w:tc>
      </w:tr>
      <w:tr w14:paraId="5024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1C694B52">
            <w:pPr>
              <w:spacing w:before="69" w:line="188"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24</w:t>
            </w:r>
          </w:p>
        </w:tc>
        <w:tc>
          <w:tcPr>
            <w:tcW w:w="1860" w:type="dxa"/>
            <w:vAlign w:val="center"/>
          </w:tcPr>
          <w:p w14:paraId="24DBD49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投标报价风险</w:t>
            </w:r>
          </w:p>
        </w:tc>
        <w:tc>
          <w:tcPr>
            <w:tcW w:w="7544" w:type="dxa"/>
            <w:vAlign w:val="center"/>
          </w:tcPr>
          <w:p w14:paraId="1546B466">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☑投标人依据招标文件约定自行考虑风险因素，一旦中标，投标报价（合同价）除合同另有约定外将不因市场变化而调整。</w:t>
            </w:r>
          </w:p>
          <w:p w14:paraId="6EB761CB">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☑投标报价中应包括工程量清单项目所发生的人工费、材料费、机具费、管理费、利润、措施项目费、其它项目费、税金、暂列金额、暂估价以及所有风险、责任等各项费用。</w:t>
            </w:r>
          </w:p>
          <w:p w14:paraId="3F304E6B">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☑人工费、材料费、机具费、管理费、利润、措施项目费（不含</w:t>
            </w:r>
            <w:r>
              <w:rPr>
                <w:rFonts w:hint="eastAsia" w:asciiTheme="minorEastAsia" w:hAnsiTheme="minorEastAsia" w:eastAsiaTheme="minorEastAsia" w:cstheme="minorEastAsia"/>
                <w:snapToGrid w:val="0"/>
                <w:color w:val="auto"/>
                <w:kern w:val="0"/>
                <w:sz w:val="24"/>
                <w:szCs w:val="24"/>
                <w:highlight w:val="none"/>
                <w:lang w:val="en-US" w:eastAsia="zh-CN"/>
              </w:rPr>
              <w:t>安全生产措施费</w:t>
            </w:r>
            <w:r>
              <w:rPr>
                <w:rFonts w:hint="eastAsia" w:asciiTheme="minorEastAsia" w:hAnsiTheme="minorEastAsia" w:eastAsiaTheme="minorEastAsia" w:cstheme="minorEastAsia"/>
                <w:snapToGrid w:val="0"/>
                <w:color w:val="auto"/>
                <w:kern w:val="0"/>
                <w:sz w:val="24"/>
                <w:szCs w:val="24"/>
                <w:highlight w:val="none"/>
                <w:lang w:eastAsia="zh-CN"/>
              </w:rPr>
              <w:t>）投标人漏报或不报，招标人视为有关费用已包括在工程量清单项目的其它单价及合价中不予另外增加。</w:t>
            </w:r>
          </w:p>
          <w:p w14:paraId="1330E170">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b/>
                <w:bCs/>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w:t>
            </w:r>
            <w:r>
              <w:rPr>
                <w:rFonts w:hint="eastAsia" w:asciiTheme="minorEastAsia" w:hAnsiTheme="minorEastAsia" w:eastAsiaTheme="minorEastAsia" w:cstheme="minorEastAsia"/>
                <w:b w:val="0"/>
                <w:bCs w:val="0"/>
                <w:snapToGrid w:val="0"/>
                <w:color w:val="auto"/>
                <w:kern w:val="0"/>
                <w:sz w:val="24"/>
                <w:szCs w:val="24"/>
                <w:highlight w:val="none"/>
                <w:lang w:eastAsia="zh-CN"/>
              </w:rPr>
              <w:t>措施项目中的安全生产措施应单独列项，费用不可竞争，且应符合《企业安全生产费用提取和使用管理办法》（财资〔2022〕136号）及我省有关文件规定。</w:t>
            </w:r>
          </w:p>
          <w:p w14:paraId="3C1A13DD">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☑投标人应按照招标文件提供的工程量清单逐项填写单价和合价，投标人未填写的项目，招标人将视为此项费用已包括在工程量清单项目的其它单价及合价中不予另外增加。</w:t>
            </w:r>
          </w:p>
          <w:p w14:paraId="343B0663">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☑投标人应按《建设工程工程量清单计价标准》（GB/T 50500-2024）规定的费率对预算包干费进行报价，若招标工程量清单明确说明不计算预算包干费或另外确定预算包干费费率的，则按招标工程量清单报价，若投标人不按规定报价的，则中标后无条件接受招标人对投标报价的调整。</w:t>
            </w:r>
          </w:p>
          <w:p w14:paraId="3BC9FA2E">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☑招标人向投标人提供的有关施工现场资料及数据，是招标人现有的能使投标人利用的资料，招标人对投标人据此作出的推论及理解概不负责。</w:t>
            </w:r>
          </w:p>
          <w:p w14:paraId="52869758">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0EF85819">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☑错漏项的认定。中标人已标价工程量清单中，任一清单项目未填报价格或价格为零的，招标人将视为此项费用已包括在工程量清单项目的其它单价及合价中不予另外增加。</w:t>
            </w:r>
          </w:p>
        </w:tc>
      </w:tr>
      <w:tr w14:paraId="36207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trPr>
        <w:tc>
          <w:tcPr>
            <w:tcW w:w="582" w:type="dxa"/>
            <w:vAlign w:val="center"/>
          </w:tcPr>
          <w:p w14:paraId="682D034C">
            <w:pPr>
              <w:spacing w:before="284" w:line="188"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25</w:t>
            </w:r>
          </w:p>
        </w:tc>
        <w:tc>
          <w:tcPr>
            <w:tcW w:w="1860" w:type="dxa"/>
            <w:vAlign w:val="center"/>
          </w:tcPr>
          <w:p w14:paraId="7D77786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投标费用</w:t>
            </w:r>
          </w:p>
        </w:tc>
        <w:tc>
          <w:tcPr>
            <w:tcW w:w="7544" w:type="dxa"/>
            <w:vAlign w:val="center"/>
          </w:tcPr>
          <w:p w14:paraId="188B084D">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投标人自行承担编制与递交投标文件的一切费用。</w:t>
            </w:r>
          </w:p>
        </w:tc>
      </w:tr>
      <w:tr w14:paraId="12EA4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trPr>
        <w:tc>
          <w:tcPr>
            <w:tcW w:w="582" w:type="dxa"/>
            <w:vAlign w:val="center"/>
          </w:tcPr>
          <w:p w14:paraId="0F1ABE4B">
            <w:pPr>
              <w:spacing w:before="284" w:line="188" w:lineRule="auto"/>
              <w:jc w:val="center"/>
              <w:rPr>
                <w:rFonts w:hint="eastAsia" w:asciiTheme="minorEastAsia" w:hAnsiTheme="minorEastAsia" w:eastAsiaTheme="minorEastAsia" w:cstheme="minorEastAsia"/>
                <w:color w:val="auto"/>
                <w:spacing w:val="-3"/>
                <w:sz w:val="24"/>
                <w:szCs w:val="24"/>
                <w:highlight w:val="none"/>
                <w:lang w:val="en-US" w:eastAsia="zh-CN"/>
              </w:rPr>
            </w:pPr>
            <w:r>
              <w:rPr>
                <w:rFonts w:hint="eastAsia" w:asciiTheme="minorEastAsia" w:hAnsiTheme="minorEastAsia" w:eastAsiaTheme="minorEastAsia" w:cstheme="minorEastAsia"/>
                <w:color w:val="auto"/>
                <w:spacing w:val="-3"/>
                <w:sz w:val="24"/>
                <w:szCs w:val="24"/>
                <w:highlight w:val="none"/>
                <w:lang w:val="en-US" w:eastAsia="zh-CN"/>
              </w:rPr>
              <w:t>26</w:t>
            </w:r>
          </w:p>
        </w:tc>
        <w:tc>
          <w:tcPr>
            <w:tcW w:w="1860" w:type="dxa"/>
            <w:vAlign w:val="center"/>
          </w:tcPr>
          <w:p w14:paraId="08B8037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成本警示价</w:t>
            </w:r>
          </w:p>
        </w:tc>
        <w:tc>
          <w:tcPr>
            <w:tcW w:w="7544" w:type="dxa"/>
            <w:vAlign w:val="center"/>
          </w:tcPr>
          <w:p w14:paraId="6AC3D725">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投标报价要求：</w:t>
            </w:r>
          </w:p>
          <w:p w14:paraId="333519EA">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⑴投标人的投标报价不得高于招标人设置的最高投标限价，否则作无效投标处理；</w:t>
            </w:r>
          </w:p>
          <w:p w14:paraId="3AF95B7F">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⑵投标人的投标报价如低于招标项目的成本警示价的，需提供成本分析资料等报价依据。（成本警示价＝最高投标限价×85%）</w:t>
            </w:r>
          </w:p>
        </w:tc>
      </w:tr>
      <w:tr w14:paraId="69A9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8" w:hRule="atLeast"/>
        </w:trPr>
        <w:tc>
          <w:tcPr>
            <w:tcW w:w="582" w:type="dxa"/>
            <w:vAlign w:val="center"/>
          </w:tcPr>
          <w:p w14:paraId="04993E63">
            <w:pPr>
              <w:spacing w:before="69" w:line="188"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rPr>
              <w:t>2</w:t>
            </w:r>
            <w:r>
              <w:rPr>
                <w:rFonts w:hint="eastAsia" w:asciiTheme="minorEastAsia" w:hAnsiTheme="minorEastAsia" w:eastAsiaTheme="minorEastAsia" w:cstheme="minorEastAsia"/>
                <w:color w:val="auto"/>
                <w:spacing w:val="-3"/>
                <w:sz w:val="24"/>
                <w:szCs w:val="24"/>
                <w:highlight w:val="none"/>
                <w:lang w:val="en-US" w:eastAsia="zh-CN"/>
              </w:rPr>
              <w:t>7</w:t>
            </w:r>
          </w:p>
        </w:tc>
        <w:tc>
          <w:tcPr>
            <w:tcW w:w="1860" w:type="dxa"/>
            <w:vAlign w:val="center"/>
          </w:tcPr>
          <w:p w14:paraId="6CB62842">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投标人资格要求</w:t>
            </w:r>
          </w:p>
        </w:tc>
        <w:tc>
          <w:tcPr>
            <w:tcW w:w="7544" w:type="dxa"/>
            <w:vAlign w:val="center"/>
          </w:tcPr>
          <w:p w14:paraId="6A22D56F">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1.本次招标</w:t>
            </w:r>
            <w:r>
              <w:rPr>
                <w:rFonts w:hint="eastAsia" w:asciiTheme="minorEastAsia" w:hAnsiTheme="minorEastAsia" w:eastAsiaTheme="minorEastAsia" w:cstheme="minorEastAsia"/>
                <w:snapToGrid w:val="0"/>
                <w:color w:val="auto"/>
                <w:kern w:val="0"/>
                <w:sz w:val="24"/>
                <w:szCs w:val="24"/>
                <w:highlight w:val="none"/>
                <w:u w:val="single"/>
                <w:lang w:eastAsia="zh-CN"/>
              </w:rPr>
              <w:t>不接受</w:t>
            </w:r>
            <w:r>
              <w:rPr>
                <w:rFonts w:hint="eastAsia" w:asciiTheme="minorEastAsia" w:hAnsiTheme="minorEastAsia" w:eastAsiaTheme="minorEastAsia" w:cstheme="minorEastAsia"/>
                <w:snapToGrid w:val="0"/>
                <w:color w:val="auto"/>
                <w:kern w:val="0"/>
                <w:sz w:val="24"/>
                <w:szCs w:val="24"/>
                <w:highlight w:val="none"/>
                <w:lang w:eastAsia="zh-CN"/>
              </w:rPr>
              <w:t>联合体投标。</w:t>
            </w:r>
          </w:p>
          <w:p w14:paraId="3E566933">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2．资质要求</w:t>
            </w:r>
          </w:p>
          <w:p w14:paraId="7D7E8945">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2.1 投标人须具备独立法人资格，按国家法律经营。</w:t>
            </w:r>
          </w:p>
          <w:p w14:paraId="5B2B21F9">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2.2 投标人须持有建设行政主管部门颁发的企业资质证书及安全生产许可证。</w:t>
            </w:r>
          </w:p>
          <w:p w14:paraId="0A117310">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2.3 投标人须具备以下资质：</w:t>
            </w:r>
            <w:r>
              <w:rPr>
                <w:rFonts w:hint="eastAsia" w:asciiTheme="minorEastAsia" w:hAnsiTheme="minorEastAsia" w:eastAsiaTheme="minorEastAsia" w:cstheme="minorEastAsia"/>
                <w:snapToGrid w:val="0"/>
                <w:color w:val="auto"/>
                <w:kern w:val="0"/>
                <w:sz w:val="24"/>
                <w:szCs w:val="24"/>
                <w:highlight w:val="none"/>
                <w:u w:val="single"/>
                <w:lang w:eastAsia="zh-CN"/>
              </w:rPr>
              <w:t>具有建设行政主管部门颁发的市政公用工程施工总承包三级以上（含三级）以上资质</w:t>
            </w:r>
            <w:r>
              <w:rPr>
                <w:rFonts w:hint="eastAsia" w:asciiTheme="minorEastAsia" w:hAnsiTheme="minorEastAsia" w:eastAsiaTheme="minorEastAsia" w:cstheme="minorEastAsia"/>
                <w:snapToGrid w:val="0"/>
                <w:color w:val="auto"/>
                <w:kern w:val="0"/>
                <w:sz w:val="24"/>
                <w:szCs w:val="24"/>
                <w:highlight w:val="none"/>
                <w:lang w:eastAsia="zh-CN"/>
              </w:rPr>
              <w:t>。</w:t>
            </w:r>
          </w:p>
          <w:p w14:paraId="5EEE5B0C">
            <w:pPr>
              <w:pageBreakBefore w:val="0"/>
              <w:widowControl w:val="0"/>
              <w:kinsoku/>
              <w:wordWrap w:val="0"/>
              <w:overflowPunct/>
              <w:topLinePunct w:val="0"/>
              <w:autoSpaceDE/>
              <w:autoSpaceDN/>
              <w:bidi w:val="0"/>
              <w:adjustRightInd w:val="0"/>
              <w:snapToGrid w:val="0"/>
              <w:spacing w:line="400" w:lineRule="exact"/>
              <w:ind w:left="0" w:leftChars="0" w:right="5" w:righ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 xml:space="preserve">2.4 </w:t>
            </w:r>
            <w:r>
              <w:rPr>
                <w:rFonts w:hint="eastAsia" w:asciiTheme="minorEastAsia" w:hAnsiTheme="minorEastAsia" w:eastAsiaTheme="minorEastAsia" w:cstheme="minorEastAsia"/>
                <w:snapToGrid w:val="0"/>
                <w:color w:val="auto"/>
                <w:kern w:val="0"/>
                <w:sz w:val="24"/>
                <w:szCs w:val="24"/>
                <w:highlight w:val="none"/>
                <w:lang w:val="en-US" w:eastAsia="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49071E46">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3．相关人员要求</w:t>
            </w:r>
          </w:p>
          <w:p w14:paraId="50EC4ED2">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 xml:space="preserve">3.1  </w:t>
            </w:r>
            <w:r>
              <w:rPr>
                <w:rFonts w:hint="eastAsia" w:asciiTheme="minorEastAsia" w:hAnsiTheme="minorEastAsia" w:eastAsiaTheme="minorEastAsia" w:cstheme="minorEastAsia"/>
                <w:snapToGrid w:val="0"/>
                <w:color w:val="auto"/>
                <w:kern w:val="0"/>
                <w:sz w:val="24"/>
                <w:szCs w:val="24"/>
                <w:highlight w:val="none"/>
                <w:lang w:val="en-US" w:eastAsia="zh-CN"/>
              </w:rPr>
              <w:t>拟派项目经理为</w:t>
            </w:r>
            <w:r>
              <w:rPr>
                <w:rFonts w:hint="eastAsia" w:asciiTheme="minorEastAsia" w:hAnsiTheme="minorEastAsia" w:eastAsiaTheme="minorEastAsia" w:cstheme="minorEastAsia"/>
                <w:snapToGrid w:val="0"/>
                <w:color w:val="auto"/>
                <w:kern w:val="0"/>
                <w:sz w:val="24"/>
                <w:szCs w:val="24"/>
                <w:highlight w:val="none"/>
                <w:u w:val="singl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u w:val="single"/>
                <w:shd w:val="clear" w:fill="FFFFFF"/>
              </w:rPr>
              <w:t>市政公用工程</w:t>
            </w:r>
            <w:r>
              <w:rPr>
                <w:rFonts w:hint="eastAsia" w:asciiTheme="minorEastAsia" w:hAnsiTheme="minorEastAsia" w:eastAsiaTheme="minorEastAsia" w:cstheme="minorEastAsia"/>
                <w:snapToGrid w:val="0"/>
                <w:color w:val="auto"/>
                <w:kern w:val="0"/>
                <w:sz w:val="24"/>
                <w:szCs w:val="24"/>
                <w:highlight w:val="none"/>
                <w:u w:val="singl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val="en-US" w:eastAsia="zh-CN"/>
              </w:rPr>
              <w:t>专业一级注册建造师，应持有住建部门印发的在使用有效期内的有效电子注册证书。同时均须具备有效安全生产考核合格证明（B证），且未担任其他在施（包括已中标未开工、已开工未竣工、在项目开标时间仍在建筑市场监管平台被“锁定”无法报建的）建设工程项目的项目经理</w:t>
            </w:r>
            <w:r>
              <w:rPr>
                <w:rFonts w:hint="eastAsia" w:asciiTheme="minorEastAsia" w:hAnsiTheme="minorEastAsia" w:eastAsiaTheme="minorEastAsia" w:cstheme="minorEastAsia"/>
                <w:snapToGrid w:val="0"/>
                <w:color w:val="auto"/>
                <w:kern w:val="0"/>
                <w:sz w:val="24"/>
                <w:szCs w:val="24"/>
                <w:highlight w:val="none"/>
                <w:lang w:eastAsia="zh-CN"/>
              </w:rPr>
              <w:t>。</w:t>
            </w:r>
          </w:p>
          <w:p w14:paraId="168DC3A5">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3.2 拟派项目技术负责人须具备</w:t>
            </w:r>
            <w:r>
              <w:rPr>
                <w:rFonts w:hint="eastAsia" w:asciiTheme="minorEastAsia" w:hAnsiTheme="minorEastAsia" w:eastAsiaTheme="minorEastAsia" w:cstheme="minorEastAsia"/>
                <w:i w:val="0"/>
                <w:iCs w:val="0"/>
                <w:caps w:val="0"/>
                <w:color w:val="auto"/>
                <w:spacing w:val="0"/>
                <w:sz w:val="24"/>
                <w:szCs w:val="24"/>
                <w:highlight w:val="none"/>
                <w:u w:val="single"/>
                <w:shd w:val="clear" w:fill="FFFFFF"/>
              </w:rPr>
              <w:t>市政工程</w:t>
            </w:r>
            <w:r>
              <w:rPr>
                <w:rFonts w:hint="eastAsia" w:asciiTheme="minorEastAsia" w:hAnsiTheme="minorEastAsia" w:eastAsiaTheme="minorEastAsia" w:cstheme="minorEastAsia"/>
                <w:snapToGrid w:val="0"/>
                <w:color w:val="auto"/>
                <w:kern w:val="0"/>
                <w:sz w:val="24"/>
                <w:szCs w:val="24"/>
                <w:highlight w:val="none"/>
                <w:u w:val="none"/>
                <w:lang w:val="en-US" w:eastAsia="zh-CN"/>
              </w:rPr>
              <w:t>类</w:t>
            </w:r>
            <w:r>
              <w:rPr>
                <w:rFonts w:hint="eastAsia" w:asciiTheme="minorEastAsia" w:hAnsiTheme="minorEastAsia" w:eastAsiaTheme="minorEastAsia" w:cstheme="minorEastAsia"/>
                <w:snapToGrid w:val="0"/>
                <w:color w:val="auto"/>
                <w:kern w:val="0"/>
                <w:sz w:val="24"/>
                <w:szCs w:val="24"/>
                <w:highlight w:val="none"/>
                <w:lang w:eastAsia="zh-CN"/>
              </w:rPr>
              <w:t>相关专业</w:t>
            </w:r>
            <w:r>
              <w:rPr>
                <w:rFonts w:hint="eastAsia" w:asciiTheme="minorEastAsia" w:hAnsiTheme="minorEastAsia" w:eastAsiaTheme="minorEastAsia" w:cstheme="minorEastAsia"/>
                <w:snapToGrid w:val="0"/>
                <w:color w:val="auto"/>
                <w:kern w:val="0"/>
                <w:sz w:val="24"/>
                <w:szCs w:val="24"/>
                <w:highlight w:val="none"/>
                <w:lang w:val="en-US" w:eastAsia="zh-CN"/>
              </w:rPr>
              <w:t>中</w:t>
            </w:r>
            <w:r>
              <w:rPr>
                <w:rFonts w:hint="eastAsia" w:asciiTheme="minorEastAsia" w:hAnsiTheme="minorEastAsia" w:eastAsiaTheme="minorEastAsia" w:cstheme="minorEastAsia"/>
                <w:snapToGrid w:val="0"/>
                <w:color w:val="auto"/>
                <w:kern w:val="0"/>
                <w:sz w:val="24"/>
                <w:szCs w:val="24"/>
                <w:highlight w:val="none"/>
                <w:lang w:eastAsia="zh-CN"/>
              </w:rPr>
              <w:t>级以上（含</w:t>
            </w:r>
            <w:r>
              <w:rPr>
                <w:rFonts w:hint="eastAsia" w:asciiTheme="minorEastAsia" w:hAnsiTheme="minorEastAsia" w:eastAsiaTheme="minorEastAsia" w:cstheme="minorEastAsia"/>
                <w:snapToGrid w:val="0"/>
                <w:color w:val="auto"/>
                <w:kern w:val="0"/>
                <w:sz w:val="24"/>
                <w:szCs w:val="24"/>
                <w:highlight w:val="none"/>
                <w:lang w:val="en-US" w:eastAsia="zh-CN"/>
              </w:rPr>
              <w:t>中</w:t>
            </w:r>
            <w:r>
              <w:rPr>
                <w:rFonts w:hint="eastAsia" w:asciiTheme="minorEastAsia" w:hAnsiTheme="minorEastAsia" w:eastAsiaTheme="minorEastAsia" w:cstheme="minorEastAsia"/>
                <w:snapToGrid w:val="0"/>
                <w:color w:val="auto"/>
                <w:kern w:val="0"/>
                <w:sz w:val="24"/>
                <w:szCs w:val="24"/>
                <w:highlight w:val="none"/>
                <w:lang w:eastAsia="zh-CN"/>
              </w:rPr>
              <w:t>级）技术职称。</w:t>
            </w:r>
          </w:p>
          <w:p w14:paraId="7002B60E">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3.3 投标人拟派专职安全生产管理人员须具备有效安全生产考核合格证明（C证，安全生产考核合格证书或“广东省建筑施工企业管理人员安全生产考核系统”考核合格信息打印页），且不少于</w:t>
            </w:r>
            <w:r>
              <w:rPr>
                <w:rFonts w:hint="eastAsia" w:asciiTheme="minorEastAsia" w:hAnsiTheme="minorEastAsia" w:eastAsiaTheme="minorEastAsia" w:cstheme="minorEastAsia"/>
                <w:snapToGrid w:val="0"/>
                <w:color w:val="auto"/>
                <w:kern w:val="0"/>
                <w:sz w:val="24"/>
                <w:szCs w:val="24"/>
                <w:highlight w:val="none"/>
                <w:lang w:val="en-US" w:eastAsia="zh-CN"/>
              </w:rPr>
              <w:t>2</w:t>
            </w:r>
            <w:r>
              <w:rPr>
                <w:rFonts w:hint="eastAsia" w:asciiTheme="minorEastAsia" w:hAnsiTheme="minorEastAsia" w:eastAsiaTheme="minorEastAsia" w:cstheme="minorEastAsia"/>
                <w:snapToGrid w:val="0"/>
                <w:color w:val="auto"/>
                <w:kern w:val="0"/>
                <w:sz w:val="24"/>
                <w:szCs w:val="24"/>
                <w:highlight w:val="none"/>
                <w:lang w:eastAsia="zh-CN"/>
              </w:rPr>
              <w:t>人。</w:t>
            </w:r>
          </w:p>
          <w:p w14:paraId="1A03D768">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3.4 投标人与其拟派往本项目管理机构的所有人员之间必须具备合法、唯一的劳动聘用关系。拟派人员中具备注册执业资格的，其注册单位须与投标人保持一致（提供社保缴纳证明或劳动合同）。</w:t>
            </w:r>
          </w:p>
          <w:p w14:paraId="71599E53">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4 ．禁止投标条款：</w:t>
            </w:r>
          </w:p>
          <w:p w14:paraId="56FC7241">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4.1  投标人不得存在下列情形之一：</w:t>
            </w:r>
          </w:p>
          <w:p w14:paraId="6AC216E2">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（1）为招标人不具有独立法人资格的附属机构（单位）；</w:t>
            </w:r>
          </w:p>
          <w:p w14:paraId="02476C5D">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（2）为本招标项目前期准备提供设计或咨询服务的；</w:t>
            </w:r>
          </w:p>
          <w:p w14:paraId="46989407">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（3）与本招标项目的其他投标人为同一个单位负责人；</w:t>
            </w:r>
          </w:p>
          <w:p w14:paraId="71F7BB1C">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（4）与本招标项目的其他投标人存在控股、管理关系；</w:t>
            </w:r>
          </w:p>
          <w:p w14:paraId="1CD793BB">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（5）为本招标项目的监理人；</w:t>
            </w:r>
          </w:p>
          <w:p w14:paraId="008A1DFF">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（6）为本招标项目的代建人；</w:t>
            </w:r>
          </w:p>
          <w:p w14:paraId="2064B165">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（7）为本招标项目的招标代理机构；</w:t>
            </w:r>
          </w:p>
          <w:p w14:paraId="0278DB29">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（8）与本招标项目的监理人或代建人或招标代理机构同为一个法定代表人；</w:t>
            </w:r>
          </w:p>
          <w:p w14:paraId="29279D3A">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（9）与本招标项目的监理人或代建人或招标代理机构存在控股或参股关系；</w:t>
            </w:r>
          </w:p>
          <w:p w14:paraId="56704B2B">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（10）与本招标项目的监理人或代建人或招标代理机构存在相互任职或工作关系；</w:t>
            </w:r>
          </w:p>
          <w:p w14:paraId="52F9C887">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（11）被依法暂停或者取消投标资格；</w:t>
            </w:r>
          </w:p>
          <w:p w14:paraId="1916E91B">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（12）被责令停产停业、暂扣或者吊销许可证、暂扣或者吊销执照；</w:t>
            </w:r>
          </w:p>
          <w:p w14:paraId="4039BD05">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（13）进入清算程序，或被宣告破产，或其他丧失履约能力的情形；</w:t>
            </w:r>
          </w:p>
          <w:p w14:paraId="53EDC811">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（14）在最近三年内发生重大工程质量或安全问题（以相关行业 主管部门的行政处罚决定或司法机关出具的有关法律文书为准）；</w:t>
            </w:r>
          </w:p>
          <w:p w14:paraId="0B2A0B2E">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（15）被“信用中国 ”网站（https://www.creditchina.gov.cn）发布的《法人和非法人组织公共信用信息报告》列为严重失信主体名单的。</w:t>
            </w:r>
          </w:p>
          <w:p w14:paraId="250D598D">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4.2  招标人拒绝以下名单中的单位参加本次投标：</w:t>
            </w:r>
          </w:p>
          <w:tbl>
            <w:tblPr>
              <w:tblStyle w:val="14"/>
              <w:tblW w:w="7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3429"/>
              <w:gridCol w:w="2964"/>
            </w:tblGrid>
            <w:tr w14:paraId="03929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674" w:type="dxa"/>
                  <w:vAlign w:val="center"/>
                </w:tcPr>
                <w:p w14:paraId="1A7EC02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序号</w:t>
                  </w:r>
                </w:p>
              </w:tc>
              <w:tc>
                <w:tcPr>
                  <w:tcW w:w="3429" w:type="dxa"/>
                  <w:vAlign w:val="center"/>
                </w:tcPr>
                <w:p w14:paraId="0DE1721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单位名称</w:t>
                  </w:r>
                </w:p>
              </w:tc>
              <w:tc>
                <w:tcPr>
                  <w:tcW w:w="2964" w:type="dxa"/>
                  <w:vAlign w:val="center"/>
                </w:tcPr>
                <w:p w14:paraId="00ADB60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拒绝原因</w:t>
                  </w:r>
                </w:p>
              </w:tc>
            </w:tr>
            <w:tr w14:paraId="0C7C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74" w:type="dxa"/>
                  <w:vAlign w:val="center"/>
                </w:tcPr>
                <w:p w14:paraId="0CE76209">
                  <w:pPr>
                    <w:pStyle w:val="23"/>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1</w:t>
                  </w:r>
                </w:p>
              </w:tc>
              <w:tc>
                <w:tcPr>
                  <w:tcW w:w="3429" w:type="dxa"/>
                  <w:vAlign w:val="center"/>
                </w:tcPr>
                <w:p w14:paraId="1E4FB869">
                  <w:pPr>
                    <w:pStyle w:val="23"/>
                    <w:wordWrap w:val="0"/>
                    <w:adjustRightInd w:val="0"/>
                    <w:snapToGrid w:val="0"/>
                    <w:spacing w:line="34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eastAsia="zh-CN"/>
                    </w:rPr>
                    <w:t>乳源瑶族自治县银源供水有限公司</w:t>
                  </w:r>
                </w:p>
              </w:tc>
              <w:tc>
                <w:tcPr>
                  <w:tcW w:w="2964" w:type="dxa"/>
                  <w:vAlign w:val="center"/>
                </w:tcPr>
                <w:p w14:paraId="439940A0">
                  <w:pPr>
                    <w:pStyle w:val="23"/>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rPr>
                    <w:t>为本招标项目的招标人</w:t>
                  </w:r>
                </w:p>
              </w:tc>
            </w:tr>
            <w:tr w14:paraId="205AA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40002817">
                  <w:pPr>
                    <w:pStyle w:val="23"/>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rPr>
                    <w:t>2</w:t>
                  </w:r>
                </w:p>
              </w:tc>
              <w:tc>
                <w:tcPr>
                  <w:tcW w:w="3429" w:type="dxa"/>
                  <w:vAlign w:val="center"/>
                </w:tcPr>
                <w:p w14:paraId="2E589F9B">
                  <w:pPr>
                    <w:pStyle w:val="23"/>
                    <w:wordWrap w:val="0"/>
                    <w:adjustRightInd w:val="0"/>
                    <w:snapToGrid w:val="0"/>
                    <w:spacing w:line="34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韶关市珩诚工程咨询有限公司</w:t>
                  </w:r>
                </w:p>
              </w:tc>
              <w:tc>
                <w:tcPr>
                  <w:tcW w:w="2964" w:type="dxa"/>
                  <w:vAlign w:val="center"/>
                </w:tcPr>
                <w:p w14:paraId="71419766">
                  <w:pPr>
                    <w:pStyle w:val="23"/>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rPr>
                    <w:t>为本招标项目的招标代理机构</w:t>
                  </w:r>
                </w:p>
              </w:tc>
            </w:tr>
            <w:tr w14:paraId="5B1E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0A94CED8">
                  <w:pPr>
                    <w:pStyle w:val="23"/>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3</w:t>
                  </w:r>
                </w:p>
              </w:tc>
              <w:tc>
                <w:tcPr>
                  <w:tcW w:w="3429" w:type="dxa"/>
                  <w:vAlign w:val="center"/>
                </w:tcPr>
                <w:p w14:paraId="327E42E1">
                  <w:pPr>
                    <w:pStyle w:val="23"/>
                    <w:wordWrap w:val="0"/>
                    <w:adjustRightInd w:val="0"/>
                    <w:snapToGrid w:val="0"/>
                    <w:spacing w:line="34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韶关市规划市政设计研究院有限公司</w:t>
                  </w:r>
                </w:p>
              </w:tc>
              <w:tc>
                <w:tcPr>
                  <w:tcW w:w="2964" w:type="dxa"/>
                  <w:vAlign w:val="center"/>
                </w:tcPr>
                <w:p w14:paraId="02BB39B2">
                  <w:pPr>
                    <w:pStyle w:val="23"/>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rPr>
                    <w:t>为本招标项目的</w:t>
                  </w:r>
                  <w:r>
                    <w:rPr>
                      <w:rFonts w:hint="eastAsia" w:asciiTheme="minorEastAsia" w:hAnsiTheme="minorEastAsia" w:eastAsiaTheme="minorEastAsia" w:cstheme="minorEastAsia"/>
                      <w:snapToGrid w:val="0"/>
                      <w:color w:val="auto"/>
                      <w:kern w:val="0"/>
                      <w:sz w:val="24"/>
                      <w:szCs w:val="24"/>
                      <w:highlight w:val="none"/>
                      <w:lang w:val="en-US" w:eastAsia="zh-CN"/>
                    </w:rPr>
                    <w:t>设计单位</w:t>
                  </w:r>
                </w:p>
              </w:tc>
            </w:tr>
            <w:tr w14:paraId="00E8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2916F176">
                  <w:pPr>
                    <w:pStyle w:val="23"/>
                    <w:wordWrap w:val="0"/>
                    <w:adjustRightInd w:val="0"/>
                    <w:snapToGrid w:val="0"/>
                    <w:spacing w:line="34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3429" w:type="dxa"/>
                  <w:shd w:val="clear" w:color="auto" w:fill="auto"/>
                  <w:vAlign w:val="center"/>
                </w:tcPr>
                <w:p w14:paraId="04D7425A">
                  <w:pPr>
                    <w:pStyle w:val="23"/>
                    <w:wordWrap w:val="0"/>
                    <w:adjustRightInd w:val="0"/>
                    <w:snapToGrid w:val="0"/>
                    <w:spacing w:line="340" w:lineRule="exact"/>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新正源项目咨询有限公司</w:t>
                  </w:r>
                </w:p>
              </w:tc>
              <w:tc>
                <w:tcPr>
                  <w:tcW w:w="2964" w:type="dxa"/>
                  <w:shd w:val="clear" w:color="auto" w:fill="auto"/>
                  <w:vAlign w:val="center"/>
                </w:tcPr>
                <w:p w14:paraId="37CF2BBD">
                  <w:pPr>
                    <w:pStyle w:val="23"/>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eastAsia="zh-CN"/>
                    </w:rPr>
                    <w:t>为本招标项目的</w:t>
                  </w:r>
                  <w:r>
                    <w:rPr>
                      <w:rFonts w:hint="eastAsia" w:asciiTheme="minorEastAsia" w:hAnsiTheme="minorEastAsia" w:eastAsiaTheme="minorEastAsia" w:cstheme="minorEastAsia"/>
                      <w:snapToGrid w:val="0"/>
                      <w:color w:val="auto"/>
                      <w:kern w:val="0"/>
                      <w:sz w:val="24"/>
                      <w:szCs w:val="24"/>
                      <w:highlight w:val="none"/>
                      <w:lang w:val="en-US" w:eastAsia="zh-CN"/>
                    </w:rPr>
                    <w:t>全过程</w:t>
                  </w:r>
                  <w:r>
                    <w:rPr>
                      <w:rFonts w:hint="eastAsia" w:asciiTheme="minorEastAsia" w:hAnsiTheme="minorEastAsia" w:eastAsiaTheme="minorEastAsia" w:cstheme="minorEastAsia"/>
                      <w:snapToGrid w:val="0"/>
                      <w:color w:val="auto"/>
                      <w:kern w:val="0"/>
                      <w:sz w:val="24"/>
                      <w:szCs w:val="24"/>
                      <w:highlight w:val="none"/>
                      <w:lang w:eastAsia="zh-CN"/>
                    </w:rPr>
                    <w:t>造价咨询单位</w:t>
                  </w:r>
                </w:p>
              </w:tc>
            </w:tr>
            <w:tr w14:paraId="0ABB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7A26A0D9">
                  <w:pPr>
                    <w:pStyle w:val="23"/>
                    <w:wordWrap w:val="0"/>
                    <w:adjustRightInd w:val="0"/>
                    <w:snapToGrid w:val="0"/>
                    <w:spacing w:line="340" w:lineRule="exact"/>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3429" w:type="dxa"/>
                  <w:shd w:val="clear" w:color="auto" w:fill="auto"/>
                  <w:vAlign w:val="center"/>
                </w:tcPr>
                <w:p w14:paraId="408A0DD8">
                  <w:pPr>
                    <w:pStyle w:val="23"/>
                    <w:wordWrap w:val="0"/>
                    <w:adjustRightInd w:val="0"/>
                    <w:snapToGrid w:val="0"/>
                    <w:spacing w:line="34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广东粤湾施工图审查有限公司</w:t>
                  </w:r>
                </w:p>
              </w:tc>
              <w:tc>
                <w:tcPr>
                  <w:tcW w:w="2964" w:type="dxa"/>
                  <w:shd w:val="clear" w:color="auto" w:fill="auto"/>
                  <w:vAlign w:val="center"/>
                </w:tcPr>
                <w:p w14:paraId="660A2B61">
                  <w:pPr>
                    <w:pStyle w:val="23"/>
                    <w:wordWrap w:val="0"/>
                    <w:adjustRightInd w:val="0"/>
                    <w:snapToGrid w:val="0"/>
                    <w:spacing w:line="340" w:lineRule="exact"/>
                    <w:jc w:val="left"/>
                    <w:rPr>
                      <w:rFonts w:hint="default"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rPr>
                    <w:t>为本招标项目的施工图</w:t>
                  </w:r>
                  <w:r>
                    <w:rPr>
                      <w:rFonts w:hint="eastAsia" w:asciiTheme="minorEastAsia" w:hAnsiTheme="minorEastAsia" w:eastAsiaTheme="minorEastAsia" w:cstheme="minorEastAsia"/>
                      <w:snapToGrid w:val="0"/>
                      <w:color w:val="auto"/>
                      <w:kern w:val="0"/>
                      <w:sz w:val="24"/>
                      <w:szCs w:val="24"/>
                      <w:highlight w:val="none"/>
                      <w:lang w:val="en-US" w:eastAsia="zh-CN"/>
                    </w:rPr>
                    <w:t>审查单位</w:t>
                  </w:r>
                </w:p>
              </w:tc>
            </w:tr>
            <w:tr w14:paraId="2CE82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724FF61C">
                  <w:pPr>
                    <w:pStyle w:val="23"/>
                    <w:wordWrap w:val="0"/>
                    <w:adjustRightInd w:val="0"/>
                    <w:snapToGrid w:val="0"/>
                    <w:spacing w:line="340" w:lineRule="exact"/>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3429" w:type="dxa"/>
                  <w:shd w:val="clear" w:color="auto" w:fill="auto"/>
                  <w:vAlign w:val="center"/>
                </w:tcPr>
                <w:p w14:paraId="70E924E6">
                  <w:pPr>
                    <w:pStyle w:val="23"/>
                    <w:wordWrap w:val="0"/>
                    <w:adjustRightInd w:val="0"/>
                    <w:snapToGrid w:val="0"/>
                    <w:spacing w:line="34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中大设计集团有限公司</w:t>
                  </w:r>
                </w:p>
              </w:tc>
              <w:tc>
                <w:tcPr>
                  <w:tcW w:w="2964" w:type="dxa"/>
                  <w:shd w:val="clear" w:color="auto" w:fill="auto"/>
                  <w:vAlign w:val="center"/>
                </w:tcPr>
                <w:p w14:paraId="317AD259">
                  <w:pPr>
                    <w:pStyle w:val="23"/>
                    <w:wordWrap w:val="0"/>
                    <w:adjustRightInd w:val="0"/>
                    <w:snapToGrid w:val="0"/>
                    <w:spacing w:line="340" w:lineRule="exact"/>
                    <w:jc w:val="left"/>
                    <w:rPr>
                      <w:rFonts w:hint="default"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rPr>
                    <w:t>为本招标项目的</w:t>
                  </w:r>
                  <w:r>
                    <w:rPr>
                      <w:rFonts w:hint="eastAsia" w:asciiTheme="minorEastAsia" w:hAnsiTheme="minorEastAsia" w:eastAsiaTheme="minorEastAsia" w:cstheme="minorEastAsia"/>
                      <w:snapToGrid w:val="0"/>
                      <w:color w:val="auto"/>
                      <w:kern w:val="0"/>
                      <w:sz w:val="24"/>
                      <w:szCs w:val="24"/>
                      <w:highlight w:val="none"/>
                      <w:lang w:val="en-US" w:eastAsia="zh-CN"/>
                    </w:rPr>
                    <w:t>可研编制单位</w:t>
                  </w:r>
                </w:p>
              </w:tc>
            </w:tr>
            <w:tr w14:paraId="32A1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00882896">
                  <w:pPr>
                    <w:pStyle w:val="23"/>
                    <w:wordWrap w:val="0"/>
                    <w:adjustRightInd w:val="0"/>
                    <w:snapToGrid w:val="0"/>
                    <w:spacing w:line="340" w:lineRule="exact"/>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w:t>
                  </w:r>
                </w:p>
              </w:tc>
              <w:tc>
                <w:tcPr>
                  <w:tcW w:w="3429" w:type="dxa"/>
                  <w:shd w:val="clear" w:color="auto" w:fill="auto"/>
                  <w:vAlign w:val="center"/>
                </w:tcPr>
                <w:p w14:paraId="5FF17AB8">
                  <w:pPr>
                    <w:pStyle w:val="23"/>
                    <w:wordWrap w:val="0"/>
                    <w:adjustRightInd w:val="0"/>
                    <w:snapToGrid w:val="0"/>
                    <w:spacing w:line="34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湖南岩土工程勘测设计有限公司</w:t>
                  </w:r>
                </w:p>
              </w:tc>
              <w:tc>
                <w:tcPr>
                  <w:tcW w:w="2964" w:type="dxa"/>
                  <w:shd w:val="clear" w:color="auto" w:fill="auto"/>
                  <w:vAlign w:val="center"/>
                </w:tcPr>
                <w:p w14:paraId="0334B87E">
                  <w:pPr>
                    <w:pStyle w:val="23"/>
                    <w:wordWrap w:val="0"/>
                    <w:adjustRightInd w:val="0"/>
                    <w:snapToGrid w:val="0"/>
                    <w:spacing w:line="340" w:lineRule="exact"/>
                    <w:jc w:val="left"/>
                    <w:rPr>
                      <w:rFonts w:hint="default"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rPr>
                    <w:t>为本招标项目的</w:t>
                  </w:r>
                  <w:r>
                    <w:rPr>
                      <w:rFonts w:hint="eastAsia" w:asciiTheme="minorEastAsia" w:hAnsiTheme="minorEastAsia" w:eastAsiaTheme="minorEastAsia" w:cstheme="minorEastAsia"/>
                      <w:snapToGrid w:val="0"/>
                      <w:color w:val="auto"/>
                      <w:kern w:val="0"/>
                      <w:sz w:val="24"/>
                      <w:szCs w:val="24"/>
                      <w:highlight w:val="none"/>
                      <w:lang w:val="en-US" w:eastAsia="zh-CN"/>
                    </w:rPr>
                    <w:t>勘察单位</w:t>
                  </w:r>
                </w:p>
              </w:tc>
            </w:tr>
          </w:tbl>
          <w:p w14:paraId="35C19492">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5 ．其他要求</w:t>
            </w:r>
          </w:p>
          <w:p w14:paraId="3DDFA5F5">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省外企业及其拟派往本项目管理机构的所有人员均须按照《广东省住房和城乡建设厅关于取消省外建筑企业和人员进粤信息备案有关工作的通知》（粤建市﹝2015 ﹞52 号）规定在“进粤企业和人员诚信信息登记平台”录入相关信息并通过数据规范检查。</w:t>
            </w:r>
          </w:p>
        </w:tc>
      </w:tr>
      <w:tr w14:paraId="7012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582" w:type="dxa"/>
            <w:vAlign w:val="center"/>
          </w:tcPr>
          <w:p w14:paraId="1DC39EA7">
            <w:pPr>
              <w:spacing w:before="19"/>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rPr>
              <w:t>2</w:t>
            </w:r>
            <w:r>
              <w:rPr>
                <w:rFonts w:hint="eastAsia" w:asciiTheme="minorEastAsia" w:hAnsiTheme="minorEastAsia" w:eastAsiaTheme="minorEastAsia" w:cstheme="minorEastAsia"/>
                <w:color w:val="auto"/>
                <w:spacing w:val="-3"/>
                <w:sz w:val="24"/>
                <w:szCs w:val="24"/>
                <w:highlight w:val="none"/>
                <w:lang w:val="en-US" w:eastAsia="zh-CN"/>
              </w:rPr>
              <w:t>8</w:t>
            </w:r>
          </w:p>
        </w:tc>
        <w:tc>
          <w:tcPr>
            <w:tcW w:w="1860" w:type="dxa"/>
            <w:vAlign w:val="center"/>
          </w:tcPr>
          <w:p w14:paraId="391B3DB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投标有效期</w:t>
            </w:r>
          </w:p>
        </w:tc>
        <w:tc>
          <w:tcPr>
            <w:tcW w:w="7544" w:type="dxa"/>
            <w:vAlign w:val="center"/>
          </w:tcPr>
          <w:p w14:paraId="7A850CB2">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本次招标的投标有效期为</w:t>
            </w:r>
            <w:r>
              <w:rPr>
                <w:rFonts w:hint="eastAsia" w:asciiTheme="minorEastAsia" w:hAnsiTheme="minorEastAsia" w:eastAsiaTheme="minorEastAsia" w:cstheme="minorEastAsia"/>
                <w:snapToGrid w:val="0"/>
                <w:color w:val="auto"/>
                <w:kern w:val="0"/>
                <w:sz w:val="24"/>
                <w:szCs w:val="24"/>
                <w:highlight w:val="none"/>
                <w:u w:val="single"/>
                <w:lang w:eastAsia="zh-CN"/>
              </w:rPr>
              <w:t>90</w:t>
            </w:r>
            <w:r>
              <w:rPr>
                <w:rFonts w:hint="eastAsia" w:asciiTheme="minorEastAsia" w:hAnsiTheme="minorEastAsia" w:eastAsiaTheme="minorEastAsia" w:cstheme="minorEastAsia"/>
                <w:snapToGrid w:val="0"/>
                <w:color w:val="auto"/>
                <w:kern w:val="0"/>
                <w:sz w:val="24"/>
                <w:szCs w:val="24"/>
                <w:highlight w:val="none"/>
                <w:lang w:eastAsia="zh-CN"/>
              </w:rPr>
              <w:t xml:space="preserve"> 个日历天。</w:t>
            </w:r>
          </w:p>
        </w:tc>
      </w:tr>
      <w:tr w14:paraId="4204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trPr>
        <w:tc>
          <w:tcPr>
            <w:tcW w:w="582" w:type="dxa"/>
            <w:vAlign w:val="center"/>
          </w:tcPr>
          <w:p w14:paraId="506D2FCD">
            <w:pPr>
              <w:spacing w:before="69" w:line="188" w:lineRule="auto"/>
              <w:ind w:left="2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3"/>
                <w:sz w:val="24"/>
                <w:szCs w:val="24"/>
                <w:highlight w:val="none"/>
                <w:lang w:val="en-US" w:eastAsia="zh-CN"/>
              </w:rPr>
              <w:t>29</w:t>
            </w:r>
          </w:p>
        </w:tc>
        <w:tc>
          <w:tcPr>
            <w:tcW w:w="1860" w:type="dxa"/>
            <w:vAlign w:val="center"/>
          </w:tcPr>
          <w:p w14:paraId="234C815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投标文件组成</w:t>
            </w:r>
          </w:p>
        </w:tc>
        <w:tc>
          <w:tcPr>
            <w:tcW w:w="7544" w:type="dxa"/>
            <w:vAlign w:val="center"/>
          </w:tcPr>
          <w:p w14:paraId="2F62155D">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投标文件包括商务标书、经济标书、施工组织设计</w:t>
            </w:r>
            <w:r>
              <w:rPr>
                <w:rFonts w:hint="eastAsia" w:asciiTheme="minorEastAsia" w:hAnsiTheme="minorEastAsia" w:eastAsiaTheme="minorEastAsia" w:cstheme="minorEastAsia"/>
                <w:snapToGrid w:val="0"/>
                <w:color w:val="auto"/>
                <w:kern w:val="0"/>
                <w:sz w:val="24"/>
                <w:szCs w:val="24"/>
                <w:highlight w:val="none"/>
                <w:lang w:val="en-US" w:eastAsia="zh-CN"/>
              </w:rPr>
              <w:t>和</w:t>
            </w:r>
            <w:r>
              <w:rPr>
                <w:rFonts w:hint="eastAsia" w:asciiTheme="minorEastAsia" w:hAnsiTheme="minorEastAsia" w:eastAsiaTheme="minorEastAsia" w:cstheme="minorEastAsia"/>
                <w:snapToGrid w:val="0"/>
                <w:color w:val="auto"/>
                <w:kern w:val="0"/>
                <w:sz w:val="24"/>
                <w:szCs w:val="24"/>
                <w:highlight w:val="none"/>
                <w:lang w:eastAsia="zh-CN"/>
              </w:rPr>
              <w:t>定标文件四个分册。</w:t>
            </w:r>
          </w:p>
        </w:tc>
      </w:tr>
      <w:tr w14:paraId="3EBC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582" w:type="dxa"/>
            <w:vAlign w:val="center"/>
          </w:tcPr>
          <w:p w14:paraId="17328A80">
            <w:pPr>
              <w:spacing w:before="69" w:line="188" w:lineRule="auto"/>
              <w:ind w:left="2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3"/>
                <w:sz w:val="24"/>
                <w:szCs w:val="24"/>
                <w:highlight w:val="none"/>
                <w:lang w:val="en-US" w:eastAsia="zh-CN"/>
              </w:rPr>
              <w:t>30</w:t>
            </w:r>
          </w:p>
        </w:tc>
        <w:tc>
          <w:tcPr>
            <w:tcW w:w="1860" w:type="dxa"/>
            <w:vAlign w:val="center"/>
          </w:tcPr>
          <w:p w14:paraId="6C75DE2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施工组织设计评审方式</w:t>
            </w:r>
          </w:p>
        </w:tc>
        <w:tc>
          <w:tcPr>
            <w:tcW w:w="7544" w:type="dxa"/>
            <w:vAlign w:val="center"/>
          </w:tcPr>
          <w:p w14:paraId="1695EC42">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本次招标施工组织设计不采用“暗标 ”方式进行评审。</w:t>
            </w:r>
          </w:p>
        </w:tc>
      </w:tr>
      <w:tr w14:paraId="7E3C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trPr>
        <w:tc>
          <w:tcPr>
            <w:tcW w:w="582" w:type="dxa"/>
            <w:vAlign w:val="center"/>
          </w:tcPr>
          <w:p w14:paraId="7E530B7F">
            <w:pPr>
              <w:spacing w:before="69" w:line="188" w:lineRule="auto"/>
              <w:ind w:left="209"/>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rPr>
              <w:t>3</w:t>
            </w:r>
            <w:r>
              <w:rPr>
                <w:rFonts w:hint="eastAsia" w:asciiTheme="minorEastAsia" w:hAnsiTheme="minorEastAsia" w:eastAsiaTheme="minorEastAsia" w:cstheme="minorEastAsia"/>
                <w:color w:val="auto"/>
                <w:spacing w:val="-5"/>
                <w:sz w:val="24"/>
                <w:szCs w:val="24"/>
                <w:highlight w:val="none"/>
                <w:lang w:val="en-US" w:eastAsia="zh-CN"/>
              </w:rPr>
              <w:t>1</w:t>
            </w:r>
          </w:p>
        </w:tc>
        <w:tc>
          <w:tcPr>
            <w:tcW w:w="1860" w:type="dxa"/>
            <w:vAlign w:val="center"/>
          </w:tcPr>
          <w:p w14:paraId="1F6987B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评标委员会</w:t>
            </w:r>
          </w:p>
        </w:tc>
        <w:tc>
          <w:tcPr>
            <w:tcW w:w="7544" w:type="dxa"/>
            <w:vAlign w:val="top"/>
          </w:tcPr>
          <w:p w14:paraId="25DBB017">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评标委员会由 5 人组成，其中招标人代表 0 人，专家 5 人。专家从广东省综合评标评审专家库（韶关区域</w:t>
            </w:r>
            <w:r>
              <w:rPr>
                <w:rFonts w:hint="eastAsia" w:asciiTheme="minorEastAsia" w:hAnsiTheme="minorEastAsia" w:eastAsiaTheme="minorEastAsia" w:cstheme="minorEastAsia"/>
                <w:snapToGrid w:val="0"/>
                <w:color w:val="auto"/>
                <w:kern w:val="0"/>
                <w:sz w:val="24"/>
                <w:szCs w:val="24"/>
                <w:highlight w:val="none"/>
                <w:lang w:val="en-US" w:eastAsia="zh-CN"/>
              </w:rPr>
              <w:t>和其他区域</w:t>
            </w:r>
            <w:r>
              <w:rPr>
                <w:rFonts w:hint="eastAsia" w:asciiTheme="minorEastAsia" w:hAnsiTheme="minorEastAsia" w:eastAsiaTheme="minorEastAsia" w:cstheme="minorEastAsia"/>
                <w:snapToGrid w:val="0"/>
                <w:color w:val="auto"/>
                <w:kern w:val="0"/>
                <w:sz w:val="24"/>
                <w:szCs w:val="24"/>
                <w:highlight w:val="none"/>
                <w:lang w:eastAsia="zh-CN"/>
              </w:rPr>
              <w:t>）中随机抽取，其中技术类专家 3 人，经济类专家 2 人。</w:t>
            </w:r>
          </w:p>
        </w:tc>
      </w:tr>
      <w:tr w14:paraId="14EF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trPr>
        <w:tc>
          <w:tcPr>
            <w:tcW w:w="582" w:type="dxa"/>
            <w:vAlign w:val="center"/>
          </w:tcPr>
          <w:p w14:paraId="062DF3FE">
            <w:pPr>
              <w:spacing w:before="69" w:line="188" w:lineRule="auto"/>
              <w:ind w:left="209"/>
              <w:jc w:val="both"/>
              <w:rPr>
                <w:rFonts w:hint="eastAsia" w:asciiTheme="minorEastAsia" w:hAnsiTheme="minorEastAsia" w:eastAsiaTheme="minorEastAsia" w:cstheme="minorEastAsia"/>
                <w:color w:val="auto"/>
                <w:spacing w:val="-5"/>
                <w:sz w:val="24"/>
                <w:szCs w:val="24"/>
                <w:highlight w:val="non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32</w:t>
            </w:r>
          </w:p>
        </w:tc>
        <w:tc>
          <w:tcPr>
            <w:tcW w:w="1860" w:type="dxa"/>
            <w:vAlign w:val="center"/>
          </w:tcPr>
          <w:p w14:paraId="6BEC0BDD">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定</w:t>
            </w:r>
            <w:r>
              <w:rPr>
                <w:rFonts w:hint="eastAsia" w:asciiTheme="minorEastAsia" w:hAnsiTheme="minorEastAsia" w:eastAsiaTheme="minorEastAsia" w:cstheme="minorEastAsia"/>
                <w:color w:val="auto"/>
                <w:sz w:val="24"/>
                <w:szCs w:val="24"/>
                <w:highlight w:val="none"/>
              </w:rPr>
              <w:t>标委员会</w:t>
            </w:r>
          </w:p>
        </w:tc>
        <w:tc>
          <w:tcPr>
            <w:tcW w:w="7544" w:type="dxa"/>
            <w:vAlign w:val="center"/>
          </w:tcPr>
          <w:p w14:paraId="19677264">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color w:val="auto"/>
                <w:sz w:val="24"/>
                <w:szCs w:val="24"/>
                <w:highlight w:val="none"/>
                <w:u w:val="none"/>
                <w:lang w:val="en-US" w:eastAsia="zh-CN"/>
              </w:rPr>
              <w:t>本</w:t>
            </w:r>
            <w:r>
              <w:rPr>
                <w:rFonts w:hint="eastAsia" w:asciiTheme="minorEastAsia" w:hAnsiTheme="minorEastAsia" w:eastAsiaTheme="minorEastAsia" w:cstheme="minorEastAsia"/>
                <w:color w:val="auto"/>
                <w:sz w:val="24"/>
                <w:szCs w:val="24"/>
                <w:highlight w:val="none"/>
                <w:u w:val="none"/>
                <w:lang w:eastAsia="zh-CN"/>
              </w:rPr>
              <w:t>项目</w:t>
            </w:r>
            <w:r>
              <w:rPr>
                <w:rFonts w:hint="eastAsia" w:asciiTheme="minorEastAsia" w:hAnsiTheme="minorEastAsia" w:eastAsiaTheme="minorEastAsia" w:cstheme="minorEastAsia"/>
                <w:color w:val="auto"/>
                <w:sz w:val="24"/>
                <w:szCs w:val="24"/>
                <w:highlight w:val="none"/>
                <w:u w:val="none"/>
              </w:rPr>
              <w:t>定标委员会</w:t>
            </w:r>
            <w:r>
              <w:rPr>
                <w:rFonts w:hint="eastAsia" w:asciiTheme="minorEastAsia" w:hAnsiTheme="minorEastAsia" w:eastAsiaTheme="minorEastAsia" w:cstheme="minorEastAsia"/>
                <w:color w:val="auto"/>
                <w:sz w:val="24"/>
                <w:szCs w:val="24"/>
                <w:highlight w:val="none"/>
                <w:u w:val="none"/>
                <w:lang w:eastAsia="zh-CN"/>
              </w:rPr>
              <w:t>组成人</w:t>
            </w:r>
            <w:r>
              <w:rPr>
                <w:rFonts w:hint="eastAsia" w:asciiTheme="minorEastAsia" w:hAnsiTheme="minorEastAsia" w:eastAsiaTheme="minorEastAsia" w:cstheme="minorEastAsia"/>
                <w:color w:val="auto"/>
                <w:sz w:val="24"/>
                <w:szCs w:val="24"/>
                <w:highlight w:val="none"/>
                <w:u w:val="none"/>
              </w:rPr>
              <w:t>员为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7 </w:t>
            </w:r>
            <w:r>
              <w:rPr>
                <w:rFonts w:hint="eastAsia" w:asciiTheme="minorEastAsia" w:hAnsiTheme="minorEastAsia" w:eastAsiaTheme="minorEastAsia" w:cstheme="minorEastAsia"/>
                <w:color w:val="auto"/>
                <w:sz w:val="24"/>
                <w:szCs w:val="24"/>
                <w:highlight w:val="none"/>
              </w:rPr>
              <w:t>人</w:t>
            </w:r>
            <w:r>
              <w:rPr>
                <w:rFonts w:hint="eastAsia" w:asciiTheme="minorEastAsia" w:hAnsiTheme="minorEastAsia" w:eastAsiaTheme="minorEastAsia" w:cstheme="minorEastAsia"/>
                <w:color w:val="auto"/>
                <w:sz w:val="24"/>
                <w:szCs w:val="24"/>
                <w:highlight w:val="none"/>
                <w:u w:val="none"/>
                <w:lang w:eastAsia="zh-CN"/>
              </w:rPr>
              <w:t>。</w:t>
            </w:r>
          </w:p>
        </w:tc>
      </w:tr>
      <w:tr w14:paraId="47FF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5EEB162E">
            <w:pPr>
              <w:spacing w:before="258" w:line="188" w:lineRule="auto"/>
              <w:ind w:left="209"/>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33</w:t>
            </w:r>
          </w:p>
        </w:tc>
        <w:tc>
          <w:tcPr>
            <w:tcW w:w="1860" w:type="dxa"/>
            <w:vAlign w:val="center"/>
          </w:tcPr>
          <w:p w14:paraId="2CECA56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评标方法</w:t>
            </w:r>
          </w:p>
        </w:tc>
        <w:tc>
          <w:tcPr>
            <w:tcW w:w="7544" w:type="dxa"/>
            <w:vAlign w:val="center"/>
          </w:tcPr>
          <w:p w14:paraId="60D61782">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 xml:space="preserve">  综合评分法</w:t>
            </w:r>
          </w:p>
        </w:tc>
      </w:tr>
      <w:tr w14:paraId="5601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55735E52">
            <w:pPr>
              <w:spacing w:before="258" w:line="188" w:lineRule="auto"/>
              <w:ind w:left="209"/>
              <w:jc w:val="both"/>
              <w:rPr>
                <w:rFonts w:hint="eastAsia" w:asciiTheme="minorEastAsia" w:hAnsiTheme="minorEastAsia" w:eastAsiaTheme="minorEastAsia" w:cstheme="minorEastAsia"/>
                <w:color w:val="auto"/>
                <w:spacing w:val="-5"/>
                <w:sz w:val="24"/>
                <w:szCs w:val="24"/>
                <w:highlight w:val="non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34</w:t>
            </w:r>
          </w:p>
        </w:tc>
        <w:tc>
          <w:tcPr>
            <w:tcW w:w="1860" w:type="dxa"/>
            <w:vAlign w:val="center"/>
          </w:tcPr>
          <w:p w14:paraId="2D699E1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投标文件编制</w:t>
            </w:r>
            <w:r>
              <w:rPr>
                <w:rFonts w:hint="eastAsia" w:asciiTheme="minorEastAsia" w:hAnsiTheme="minorEastAsia" w:eastAsiaTheme="minorEastAsia" w:cstheme="minorEastAsia"/>
                <w:snapToGrid w:val="0"/>
                <w:color w:val="auto"/>
                <w:kern w:val="0"/>
                <w:sz w:val="24"/>
                <w:szCs w:val="24"/>
                <w:highlight w:val="none"/>
                <w:lang w:eastAsia="zh-CN"/>
              </w:rPr>
              <w:t>及</w:t>
            </w:r>
            <w:r>
              <w:rPr>
                <w:rFonts w:hint="eastAsia" w:asciiTheme="minorEastAsia" w:hAnsiTheme="minorEastAsia" w:eastAsiaTheme="minorEastAsia" w:cstheme="minorEastAsia"/>
                <w:snapToGrid w:val="0"/>
                <w:color w:val="auto"/>
                <w:kern w:val="0"/>
                <w:sz w:val="24"/>
                <w:szCs w:val="24"/>
                <w:highlight w:val="none"/>
              </w:rPr>
              <w:t>份数要求</w:t>
            </w:r>
          </w:p>
        </w:tc>
        <w:tc>
          <w:tcPr>
            <w:tcW w:w="7544" w:type="dxa"/>
            <w:vAlign w:val="center"/>
          </w:tcPr>
          <w:p w14:paraId="16453054">
            <w:pPr>
              <w:keepNext w:val="0"/>
              <w:keepLines w:val="0"/>
              <w:pageBreakBefore w:val="0"/>
              <w:widowControl/>
              <w:suppressLineNumbers w:val="0"/>
              <w:shd w:val="clear" w:color="auto" w:fill="auto"/>
              <w:overflowPunct/>
              <w:topLinePunct w:val="0"/>
              <w:bidi w:val="0"/>
              <w:spacing w:line="360" w:lineRule="auto"/>
              <w:ind w:firstLine="240" w:firstLineChars="100"/>
              <w:jc w:val="left"/>
              <w:textAlignment w:val="center"/>
              <w:rPr>
                <w:rFonts w:hint="eastAsia" w:asciiTheme="minorEastAsia" w:hAnsiTheme="minorEastAsia" w:eastAsiaTheme="minorEastAsia" w:cstheme="minorEastAsia"/>
                <w:bCs/>
                <w:snapToGrid w:val="0"/>
                <w:color w:val="auto"/>
                <w:kern w:val="0"/>
                <w:sz w:val="24"/>
                <w:szCs w:val="24"/>
                <w:highlight w:val="none"/>
                <w:lang w:val="en-US"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投标人须上传（递交）投标文件：</w:t>
            </w:r>
          </w:p>
          <w:p w14:paraId="1B5691B5">
            <w:pPr>
              <w:keepNext w:val="0"/>
              <w:keepLines w:val="0"/>
              <w:pageBreakBefore w:val="0"/>
              <w:widowControl/>
              <w:suppressLineNumbers w:val="0"/>
              <w:shd w:val="clear" w:color="auto" w:fill="auto"/>
              <w:overflowPunct/>
              <w:topLinePunct w:val="0"/>
              <w:bidi w:val="0"/>
              <w:spacing w:line="360" w:lineRule="auto"/>
              <w:ind w:firstLine="240" w:firstLineChars="100"/>
              <w:jc w:val="left"/>
              <w:textAlignment w:val="center"/>
              <w:rPr>
                <w:rFonts w:hint="eastAsia" w:asciiTheme="minorEastAsia" w:hAnsiTheme="minorEastAsia" w:eastAsiaTheme="minorEastAsia" w:cstheme="minorEastAsia"/>
                <w:bCs/>
                <w:snapToGrid w:val="0"/>
                <w:color w:val="auto"/>
                <w:kern w:val="0"/>
                <w:sz w:val="24"/>
                <w:szCs w:val="24"/>
                <w:highlight w:val="none"/>
                <w:lang w:val="en-US"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1、电子投标文件一套：</w:t>
            </w:r>
          </w:p>
          <w:p w14:paraId="461FD884">
            <w:pPr>
              <w:keepNext w:val="0"/>
              <w:keepLines w:val="0"/>
              <w:pageBreakBefore w:val="0"/>
              <w:widowControl/>
              <w:suppressLineNumbers w:val="0"/>
              <w:shd w:val="clear" w:color="auto" w:fill="auto"/>
              <w:overflowPunct/>
              <w:topLinePunct w:val="0"/>
              <w:bidi w:val="0"/>
              <w:spacing w:line="360" w:lineRule="auto"/>
              <w:ind w:firstLine="480" w:firstLineChars="200"/>
              <w:jc w:val="left"/>
              <w:textAlignment w:val="center"/>
              <w:rPr>
                <w:rFonts w:hint="eastAsia" w:asciiTheme="minorEastAsia" w:hAnsiTheme="minorEastAsia" w:eastAsiaTheme="minorEastAsia" w:cstheme="minorEastAsia"/>
                <w:bCs/>
                <w:snapToGrid w:val="0"/>
                <w:color w:val="auto"/>
                <w:kern w:val="0"/>
                <w:sz w:val="24"/>
                <w:szCs w:val="24"/>
                <w:highlight w:val="none"/>
                <w:lang w:val="en-US"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（1）商务标书1份；</w:t>
            </w:r>
          </w:p>
          <w:p w14:paraId="0DA38CAC">
            <w:pPr>
              <w:keepNext w:val="0"/>
              <w:keepLines w:val="0"/>
              <w:pageBreakBefore w:val="0"/>
              <w:widowControl/>
              <w:suppressLineNumbers w:val="0"/>
              <w:shd w:val="clear" w:color="auto" w:fill="auto"/>
              <w:overflowPunct/>
              <w:topLinePunct w:val="0"/>
              <w:bidi w:val="0"/>
              <w:spacing w:line="360" w:lineRule="auto"/>
              <w:ind w:firstLine="480" w:firstLineChars="200"/>
              <w:jc w:val="left"/>
              <w:textAlignment w:val="center"/>
              <w:rPr>
                <w:rFonts w:hint="eastAsia" w:asciiTheme="minorEastAsia" w:hAnsiTheme="minorEastAsia" w:eastAsiaTheme="minorEastAsia" w:cstheme="minorEastAsia"/>
                <w:bCs/>
                <w:snapToGrid w:val="0"/>
                <w:color w:val="auto"/>
                <w:kern w:val="0"/>
                <w:sz w:val="24"/>
                <w:szCs w:val="24"/>
                <w:highlight w:val="none"/>
                <w:lang w:val="en-US"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（2）经济标书1份；</w:t>
            </w:r>
          </w:p>
          <w:p w14:paraId="1D16D24B">
            <w:pPr>
              <w:keepNext w:val="0"/>
              <w:keepLines w:val="0"/>
              <w:pageBreakBefore w:val="0"/>
              <w:widowControl/>
              <w:suppressLineNumbers w:val="0"/>
              <w:shd w:val="clear" w:color="auto" w:fill="auto"/>
              <w:overflowPunct/>
              <w:topLinePunct w:val="0"/>
              <w:bidi w:val="0"/>
              <w:spacing w:line="360" w:lineRule="auto"/>
              <w:ind w:firstLine="480" w:firstLineChars="200"/>
              <w:jc w:val="left"/>
              <w:textAlignment w:val="center"/>
              <w:rPr>
                <w:rFonts w:hint="eastAsia" w:asciiTheme="minorEastAsia" w:hAnsiTheme="minorEastAsia" w:eastAsiaTheme="minorEastAsia" w:cstheme="minorEastAsia"/>
                <w:bCs/>
                <w:snapToGrid w:val="0"/>
                <w:color w:val="auto"/>
                <w:kern w:val="0"/>
                <w:sz w:val="24"/>
                <w:szCs w:val="24"/>
                <w:highlight w:val="none"/>
                <w:lang w:val="en-US"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 xml:space="preserve">（3）施工组织设计1份； </w:t>
            </w:r>
          </w:p>
          <w:p w14:paraId="327010AA">
            <w:pPr>
              <w:keepNext w:val="0"/>
              <w:keepLines w:val="0"/>
              <w:pageBreakBefore w:val="0"/>
              <w:widowControl/>
              <w:suppressLineNumbers w:val="0"/>
              <w:shd w:val="clear" w:color="auto" w:fill="auto"/>
              <w:overflowPunct/>
              <w:topLinePunct w:val="0"/>
              <w:bidi w:val="0"/>
              <w:spacing w:line="360" w:lineRule="auto"/>
              <w:ind w:firstLine="480" w:firstLineChars="200"/>
              <w:jc w:val="left"/>
              <w:textAlignment w:val="center"/>
              <w:rPr>
                <w:rFonts w:hint="eastAsia" w:asciiTheme="minorEastAsia" w:hAnsiTheme="minorEastAsia" w:eastAsiaTheme="minorEastAsia" w:cstheme="minorEastAsia"/>
                <w:bCs/>
                <w:snapToGrid w:val="0"/>
                <w:color w:val="auto"/>
                <w:kern w:val="0"/>
                <w:sz w:val="24"/>
                <w:szCs w:val="24"/>
                <w:highlight w:val="none"/>
                <w:lang w:val="en-US"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（4）定标文件1份；</w:t>
            </w:r>
          </w:p>
          <w:p w14:paraId="556185D2">
            <w:pPr>
              <w:keepNext w:val="0"/>
              <w:keepLines w:val="0"/>
              <w:pageBreakBefore w:val="0"/>
              <w:widowControl/>
              <w:suppressLineNumbers w:val="0"/>
              <w:shd w:val="clear" w:color="auto" w:fill="auto"/>
              <w:overflowPunct/>
              <w:topLinePunct w:val="0"/>
              <w:bidi w:val="0"/>
              <w:spacing w:line="360" w:lineRule="auto"/>
              <w:ind w:firstLine="240" w:firstLineChars="100"/>
              <w:jc w:val="left"/>
              <w:textAlignment w:val="center"/>
              <w:rPr>
                <w:rFonts w:hint="eastAsia" w:asciiTheme="minorEastAsia" w:hAnsiTheme="minorEastAsia" w:eastAsiaTheme="minorEastAsia" w:cstheme="minorEastAsia"/>
                <w:bCs/>
                <w:snapToGrid w:val="0"/>
                <w:color w:val="auto"/>
                <w:kern w:val="0"/>
                <w:sz w:val="24"/>
                <w:szCs w:val="24"/>
                <w:highlight w:val="none"/>
                <w:lang w:val="en-US"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2、对应评审要求的分项响应文件（如有）。</w:t>
            </w:r>
          </w:p>
          <w:p w14:paraId="0C21EC7D">
            <w:pPr>
              <w:keepNext w:val="0"/>
              <w:keepLines w:val="0"/>
              <w:pageBreakBefore w:val="0"/>
              <w:widowControl/>
              <w:suppressLineNumbers w:val="0"/>
              <w:shd w:val="clear" w:color="auto" w:fill="auto"/>
              <w:overflowPunct/>
              <w:topLinePunct w:val="0"/>
              <w:bidi w:val="0"/>
              <w:spacing w:line="360" w:lineRule="auto"/>
              <w:ind w:firstLine="480" w:firstLineChars="200"/>
              <w:jc w:val="left"/>
              <w:textAlignment w:val="center"/>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tc>
      </w:tr>
      <w:tr w14:paraId="24847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2D837264">
            <w:pPr>
              <w:spacing w:before="258" w:line="188" w:lineRule="auto"/>
              <w:ind w:left="209"/>
              <w:jc w:val="both"/>
              <w:rPr>
                <w:rFonts w:hint="eastAsia" w:asciiTheme="minorEastAsia" w:hAnsiTheme="minorEastAsia" w:eastAsiaTheme="minorEastAsia" w:cstheme="minorEastAsia"/>
                <w:color w:val="auto"/>
                <w:spacing w:val="-5"/>
                <w:sz w:val="24"/>
                <w:szCs w:val="24"/>
                <w:highlight w:val="non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35</w:t>
            </w:r>
          </w:p>
        </w:tc>
        <w:tc>
          <w:tcPr>
            <w:tcW w:w="1860" w:type="dxa"/>
            <w:vAlign w:val="center"/>
          </w:tcPr>
          <w:p w14:paraId="6507EB85">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rPr>
              <w:t>定标办法</w:t>
            </w:r>
          </w:p>
        </w:tc>
        <w:tc>
          <w:tcPr>
            <w:tcW w:w="7544" w:type="dxa"/>
            <w:vAlign w:val="center"/>
          </w:tcPr>
          <w:p w14:paraId="18441510">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Theme="minorEastAsia" w:hAnsiTheme="minorEastAsia" w:eastAsiaTheme="minorEastAsia" w:cstheme="minorEastAsia"/>
                <w:bCs/>
                <w:snapToGrid w:val="0"/>
                <w:color w:val="auto"/>
                <w:kern w:val="0"/>
                <w:sz w:val="24"/>
                <w:szCs w:val="24"/>
                <w:highlight w:val="none"/>
                <w:lang w:val="en-US"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采用</w:t>
            </w:r>
            <w:r>
              <w:rPr>
                <w:rFonts w:hint="eastAsia" w:asciiTheme="minorEastAsia" w:hAnsiTheme="minorEastAsia" w:eastAsiaTheme="minorEastAsia" w:cstheme="minorEastAsia"/>
                <w:b/>
                <w:bCs w:val="0"/>
                <w:snapToGrid w:val="0"/>
                <w:color w:val="auto"/>
                <w:kern w:val="0"/>
                <w:sz w:val="24"/>
                <w:szCs w:val="24"/>
                <w:highlight w:val="none"/>
                <w:lang w:val="en-US" w:eastAsia="zh-CN"/>
              </w:rPr>
              <w:t>评定分离</w:t>
            </w:r>
            <w:r>
              <w:rPr>
                <w:rFonts w:hint="eastAsia" w:asciiTheme="minorEastAsia" w:hAnsiTheme="minorEastAsia" w:eastAsiaTheme="minorEastAsia" w:cstheme="minorEastAsia"/>
                <w:bCs/>
                <w:snapToGrid w:val="0"/>
                <w:color w:val="auto"/>
                <w:kern w:val="0"/>
                <w:sz w:val="24"/>
                <w:szCs w:val="24"/>
                <w:highlight w:val="none"/>
                <w:lang w:val="en-US" w:eastAsia="zh-CN"/>
              </w:rPr>
              <w:t>的项目，应选定下列定标办法：</w:t>
            </w:r>
          </w:p>
          <w:p w14:paraId="413A4F84">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Theme="minorEastAsia" w:hAnsiTheme="minorEastAsia" w:eastAsiaTheme="minorEastAsia" w:cstheme="minorEastAsia"/>
                <w:bCs/>
                <w:snapToGrid w:val="0"/>
                <w:color w:val="auto"/>
                <w:kern w:val="0"/>
                <w:sz w:val="24"/>
                <w:szCs w:val="24"/>
                <w:highlight w:val="none"/>
                <w:lang w:val="en-US"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☑票决数量法</w:t>
            </w:r>
          </w:p>
          <w:p w14:paraId="3B927E0C">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Theme="minorEastAsia" w:hAnsiTheme="minorEastAsia" w:eastAsiaTheme="minorEastAsia" w:cstheme="minorEastAsia"/>
                <w:bCs/>
                <w:snapToGrid w:val="0"/>
                <w:color w:val="auto"/>
                <w:kern w:val="0"/>
                <w:sz w:val="24"/>
                <w:szCs w:val="24"/>
                <w:highlight w:val="none"/>
                <w:lang w:val="en-US"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□票决计分法</w:t>
            </w:r>
          </w:p>
          <w:p w14:paraId="630103C9">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Theme="minorEastAsia" w:hAnsiTheme="minorEastAsia" w:eastAsiaTheme="minorEastAsia" w:cstheme="minorEastAsia"/>
                <w:bCs/>
                <w:snapToGrid w:val="0"/>
                <w:color w:val="auto"/>
                <w:kern w:val="0"/>
                <w:sz w:val="24"/>
                <w:szCs w:val="24"/>
                <w:highlight w:val="none"/>
                <w:lang w:val="en-US"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□集体议事法</w:t>
            </w:r>
          </w:p>
          <w:p w14:paraId="7DB0507D">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Theme="minorEastAsia" w:hAnsiTheme="minorEastAsia" w:eastAsiaTheme="minorEastAsia" w:cstheme="minorEastAsia"/>
                <w:bCs/>
                <w:snapToGrid w:val="0"/>
                <w:color w:val="auto"/>
                <w:kern w:val="0"/>
                <w:sz w:val="24"/>
                <w:szCs w:val="24"/>
                <w:highlight w:val="none"/>
                <w:lang w:val="en-US" w:eastAsia="zh-CN"/>
              </w:rPr>
            </w:pPr>
            <w:r>
              <w:rPr>
                <w:rFonts w:hint="eastAsia" w:asciiTheme="minorEastAsia" w:hAnsiTheme="minorEastAsia" w:eastAsiaTheme="minorEastAsia" w:cstheme="minorEastAsia"/>
                <w:bCs/>
                <w:snapToGrid w:val="0"/>
                <w:color w:val="auto"/>
                <w:kern w:val="0"/>
                <w:sz w:val="24"/>
                <w:szCs w:val="24"/>
                <w:highlight w:val="none"/>
                <w:lang w:val="en-US" w:eastAsia="zh-CN"/>
              </w:rPr>
              <w:t>□其他方法：</w:t>
            </w:r>
          </w:p>
        </w:tc>
      </w:tr>
      <w:tr w14:paraId="7F14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3" w:hRule="atLeast"/>
        </w:trPr>
        <w:tc>
          <w:tcPr>
            <w:tcW w:w="582" w:type="dxa"/>
            <w:vAlign w:val="center"/>
          </w:tcPr>
          <w:p w14:paraId="1DFC8337">
            <w:pPr>
              <w:spacing w:before="57" w:line="195"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36</w:t>
            </w:r>
          </w:p>
        </w:tc>
        <w:tc>
          <w:tcPr>
            <w:tcW w:w="1860" w:type="dxa"/>
            <w:vAlign w:val="center"/>
          </w:tcPr>
          <w:p w14:paraId="2C80C8F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招标文件要求提交的用于评审的证书、证件、证明原件</w:t>
            </w:r>
          </w:p>
        </w:tc>
        <w:tc>
          <w:tcPr>
            <w:tcW w:w="7544" w:type="dxa"/>
            <w:vAlign w:val="top"/>
          </w:tcPr>
          <w:p w14:paraId="605A44B9">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投标人在提交用于评审的证书、证件、证明原件的，投标人应自行将所需原件密封于文件袋（箱）中，并自行准备两张“原件一览表 ” (详见格式十</w:t>
            </w:r>
            <w:r>
              <w:rPr>
                <w:rFonts w:hint="eastAsia" w:asciiTheme="minorEastAsia" w:hAnsiTheme="minorEastAsia" w:eastAsiaTheme="minorEastAsia" w:cstheme="minorEastAsia"/>
                <w:snapToGrid w:val="0"/>
                <w:color w:val="auto"/>
                <w:kern w:val="0"/>
                <w:sz w:val="24"/>
                <w:szCs w:val="24"/>
                <w:highlight w:val="none"/>
                <w:lang w:val="en-US" w:eastAsia="zh-CN"/>
              </w:rPr>
              <w:t>四</w:t>
            </w:r>
            <w:r>
              <w:rPr>
                <w:rFonts w:hint="eastAsia" w:asciiTheme="minorEastAsia" w:hAnsiTheme="minorEastAsia" w:eastAsiaTheme="minorEastAsia" w:cstheme="minorEastAsia"/>
                <w:snapToGrid w:val="0"/>
                <w:color w:val="auto"/>
                <w:kern w:val="0"/>
                <w:sz w:val="24"/>
                <w:szCs w:val="24"/>
                <w:highlight w:val="none"/>
                <w:lang w:eastAsia="zh-CN"/>
              </w:rPr>
              <w:t>，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6B97F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582" w:type="dxa"/>
            <w:vAlign w:val="center"/>
          </w:tcPr>
          <w:p w14:paraId="7DA3D240">
            <w:pPr>
              <w:spacing w:before="69" w:line="188" w:lineRule="auto"/>
              <w:ind w:left="209"/>
              <w:rPr>
                <w:rFonts w:hint="eastAsia" w:asciiTheme="minorEastAsia" w:hAnsiTheme="minorEastAsia" w:eastAsiaTheme="minorEastAsia" w:cstheme="minorEastAsia"/>
                <w:color w:val="auto"/>
                <w:spacing w:val="-5"/>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3</w:t>
            </w:r>
            <w:r>
              <w:rPr>
                <w:rFonts w:hint="eastAsia" w:asciiTheme="minorEastAsia" w:hAnsiTheme="minorEastAsia" w:eastAsiaTheme="minorEastAsia" w:cstheme="minorEastAsia"/>
                <w:color w:val="auto"/>
                <w:spacing w:val="-5"/>
                <w:sz w:val="24"/>
                <w:szCs w:val="24"/>
                <w:highlight w:val="none"/>
                <w:lang w:val="en-US" w:eastAsia="zh-CN"/>
              </w:rPr>
              <w:t>7</w:t>
            </w:r>
          </w:p>
        </w:tc>
        <w:tc>
          <w:tcPr>
            <w:tcW w:w="1860" w:type="dxa"/>
            <w:vAlign w:val="center"/>
          </w:tcPr>
          <w:p w14:paraId="49D8989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评标专家酬劳</w:t>
            </w:r>
          </w:p>
        </w:tc>
        <w:tc>
          <w:tcPr>
            <w:tcW w:w="7544" w:type="dxa"/>
            <w:vAlign w:val="center"/>
          </w:tcPr>
          <w:p w14:paraId="0DB74E6E">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本项目的评标专家酬劳由中标人支付，该费用不再另行报价，由投标人在投标报价时综合考虑在内。</w:t>
            </w:r>
          </w:p>
        </w:tc>
      </w:tr>
      <w:tr w14:paraId="30FB8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9" w:hRule="atLeast"/>
        </w:trPr>
        <w:tc>
          <w:tcPr>
            <w:tcW w:w="582" w:type="dxa"/>
            <w:vAlign w:val="center"/>
          </w:tcPr>
          <w:p w14:paraId="3F7DE80A">
            <w:pPr>
              <w:spacing w:before="69" w:line="188"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rPr>
              <w:t>3</w:t>
            </w:r>
            <w:r>
              <w:rPr>
                <w:rFonts w:hint="eastAsia" w:asciiTheme="minorEastAsia" w:hAnsiTheme="minorEastAsia" w:eastAsiaTheme="minorEastAsia" w:cstheme="minorEastAsia"/>
                <w:color w:val="auto"/>
                <w:spacing w:val="-5"/>
                <w:sz w:val="24"/>
                <w:szCs w:val="24"/>
                <w:highlight w:val="none"/>
                <w:lang w:val="en-US" w:eastAsia="zh-CN"/>
              </w:rPr>
              <w:t>8</w:t>
            </w:r>
          </w:p>
        </w:tc>
        <w:tc>
          <w:tcPr>
            <w:tcW w:w="1860" w:type="dxa"/>
            <w:vAlign w:val="center"/>
          </w:tcPr>
          <w:p w14:paraId="006D3C4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招标人</w:t>
            </w:r>
          </w:p>
          <w:p w14:paraId="2BFA474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联系方式</w:t>
            </w:r>
          </w:p>
        </w:tc>
        <w:tc>
          <w:tcPr>
            <w:tcW w:w="7544" w:type="dxa"/>
            <w:vAlign w:val="center"/>
          </w:tcPr>
          <w:p w14:paraId="52063F21">
            <w:pPr>
              <w:wordWrap w:val="0"/>
              <w:adjustRightInd w:val="0"/>
              <w:snapToGrid w:val="0"/>
              <w:spacing w:line="36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单位名称：</w:t>
            </w:r>
            <w:r>
              <w:rPr>
                <w:rFonts w:hint="eastAsia" w:asciiTheme="minorEastAsia" w:hAnsiTheme="minorEastAsia" w:eastAsiaTheme="minorEastAsia" w:cstheme="minorEastAsia"/>
                <w:snapToGrid w:val="0"/>
                <w:color w:val="auto"/>
                <w:kern w:val="0"/>
                <w:sz w:val="24"/>
                <w:szCs w:val="24"/>
                <w:highlight w:val="none"/>
                <w:lang w:eastAsia="zh-CN"/>
              </w:rPr>
              <w:t>乳源瑶族自治县银源供水有限公司</w:t>
            </w:r>
          </w:p>
          <w:p w14:paraId="31BD07DF">
            <w:pPr>
              <w:wordWrap w:val="0"/>
              <w:adjustRightInd w:val="0"/>
              <w:snapToGrid w:val="0"/>
              <w:spacing w:line="36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办公地址：</w:t>
            </w:r>
            <w:r>
              <w:rPr>
                <w:rFonts w:hint="eastAsia" w:asciiTheme="minorEastAsia" w:hAnsiTheme="minorEastAsia" w:eastAsiaTheme="minorEastAsia" w:cstheme="minorEastAsia"/>
                <w:snapToGrid w:val="0"/>
                <w:color w:val="auto"/>
                <w:kern w:val="0"/>
                <w:sz w:val="24"/>
                <w:szCs w:val="24"/>
                <w:highlight w:val="none"/>
                <w:lang w:eastAsia="zh-CN"/>
              </w:rPr>
              <w:t>乳源县乳城镇源泉路乳源水厂1号</w:t>
            </w:r>
          </w:p>
          <w:p w14:paraId="58CCAE7E">
            <w:pPr>
              <w:wordWrap w:val="0"/>
              <w:adjustRightInd w:val="0"/>
              <w:snapToGrid w:val="0"/>
              <w:spacing w:line="36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rPr>
              <w:t>联系人（部门）：</w:t>
            </w:r>
            <w:r>
              <w:rPr>
                <w:rFonts w:hint="eastAsia" w:asciiTheme="minorEastAsia" w:hAnsiTheme="minorEastAsia" w:eastAsiaTheme="minorEastAsia" w:cstheme="minorEastAsia"/>
                <w:snapToGrid w:val="0"/>
                <w:color w:val="auto"/>
                <w:kern w:val="0"/>
                <w:sz w:val="24"/>
                <w:szCs w:val="24"/>
                <w:highlight w:val="none"/>
                <w:lang w:val="en-US" w:eastAsia="zh-CN"/>
              </w:rPr>
              <w:t>朱工</w:t>
            </w:r>
          </w:p>
          <w:p w14:paraId="59A306E9">
            <w:pPr>
              <w:wordWrap w:val="0"/>
              <w:adjustRightInd w:val="0"/>
              <w:snapToGrid w:val="0"/>
              <w:spacing w:line="36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联系电话：</w:t>
            </w:r>
            <w:r>
              <w:rPr>
                <w:rFonts w:hint="eastAsia" w:asciiTheme="minorEastAsia" w:hAnsiTheme="minorEastAsia" w:eastAsiaTheme="minorEastAsia" w:cstheme="minorEastAsia"/>
                <w:i w:val="0"/>
                <w:iCs w:val="0"/>
                <w:caps w:val="0"/>
                <w:color w:val="auto"/>
                <w:spacing w:val="0"/>
                <w:sz w:val="24"/>
                <w:szCs w:val="24"/>
                <w:highlight w:val="none"/>
                <w:shd w:val="clear" w:fill="FFFFFF"/>
              </w:rPr>
              <w:t>0751-5374208</w:t>
            </w:r>
          </w:p>
        </w:tc>
      </w:tr>
      <w:tr w14:paraId="04A4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6" w:hRule="atLeast"/>
        </w:trPr>
        <w:tc>
          <w:tcPr>
            <w:tcW w:w="582" w:type="dxa"/>
            <w:vAlign w:val="center"/>
          </w:tcPr>
          <w:p w14:paraId="5D941247">
            <w:pPr>
              <w:spacing w:before="69" w:line="188" w:lineRule="auto"/>
              <w:jc w:val="center"/>
              <w:rPr>
                <w:rFonts w:hint="default" w:asciiTheme="minorEastAsia" w:hAnsiTheme="minorEastAsia" w:eastAsiaTheme="minorEastAsia" w:cstheme="minorEastAsia"/>
                <w:color w:val="auto"/>
                <w:spacing w:val="-5"/>
                <w:sz w:val="24"/>
                <w:szCs w:val="24"/>
                <w:highlight w:val="non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39</w:t>
            </w:r>
          </w:p>
        </w:tc>
        <w:tc>
          <w:tcPr>
            <w:tcW w:w="1860" w:type="dxa"/>
            <w:vAlign w:val="center"/>
          </w:tcPr>
          <w:p w14:paraId="07FFF9C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招标代理机构</w:t>
            </w:r>
          </w:p>
          <w:p w14:paraId="6812E9F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联系方式</w:t>
            </w:r>
          </w:p>
        </w:tc>
        <w:tc>
          <w:tcPr>
            <w:tcW w:w="7544" w:type="dxa"/>
            <w:vAlign w:val="center"/>
          </w:tcPr>
          <w:p w14:paraId="62B8676B">
            <w:pPr>
              <w:wordWrap w:val="0"/>
              <w:adjustRightInd w:val="0"/>
              <w:snapToGrid w:val="0"/>
              <w:spacing w:line="36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单位名称：</w:t>
            </w:r>
            <w:r>
              <w:rPr>
                <w:rFonts w:hint="eastAsia" w:asciiTheme="minorEastAsia" w:hAnsiTheme="minorEastAsia" w:eastAsiaTheme="minorEastAsia" w:cstheme="minorEastAsia"/>
                <w:snapToGrid w:val="0"/>
                <w:color w:val="auto"/>
                <w:kern w:val="0"/>
                <w:sz w:val="24"/>
                <w:szCs w:val="24"/>
                <w:highlight w:val="none"/>
                <w:lang w:eastAsia="zh-CN"/>
              </w:rPr>
              <w:t>韶关市珩诚工程咨询有限公司</w:t>
            </w:r>
          </w:p>
          <w:p w14:paraId="491BAC36">
            <w:pPr>
              <w:wordWrap w:val="0"/>
              <w:adjustRightInd w:val="0"/>
              <w:snapToGrid w:val="0"/>
              <w:spacing w:line="36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办公地址：</w:t>
            </w:r>
            <w:r>
              <w:rPr>
                <w:rFonts w:hint="eastAsia" w:asciiTheme="minorEastAsia" w:hAnsiTheme="minorEastAsia" w:eastAsiaTheme="minorEastAsia" w:cstheme="minorEastAsia"/>
                <w:snapToGrid w:val="0"/>
                <w:color w:val="auto"/>
                <w:kern w:val="0"/>
                <w:sz w:val="24"/>
                <w:szCs w:val="24"/>
                <w:highlight w:val="none"/>
                <w:lang w:eastAsia="zh-CN"/>
              </w:rPr>
              <w:t>广东省韶关市武江区百旺西路8号5号厂房B区F440房屋</w:t>
            </w:r>
          </w:p>
          <w:p w14:paraId="3DA882C4">
            <w:pPr>
              <w:wordWrap w:val="0"/>
              <w:adjustRightInd w:val="0"/>
              <w:snapToGrid w:val="0"/>
              <w:spacing w:line="36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shd w:val="clear" w:fill="FFFFFF"/>
              </w:rPr>
              <w:t>联系人</w:t>
            </w:r>
            <w:r>
              <w:rPr>
                <w:rFonts w:hint="eastAsia" w:asciiTheme="minorEastAsia" w:hAnsiTheme="minorEastAsia" w:eastAsiaTheme="minorEastAsia" w:cstheme="minorEastAsia"/>
                <w:color w:val="auto"/>
                <w:kern w:val="0"/>
                <w:sz w:val="24"/>
                <w:szCs w:val="24"/>
                <w:highlight w:val="none"/>
                <w:lang w:val="en-US" w:eastAsia="zh-CN"/>
              </w:rPr>
              <w:t>（部门）</w:t>
            </w:r>
            <w:r>
              <w:rPr>
                <w:rFonts w:hint="eastAsia" w:asciiTheme="minorEastAsia" w:hAnsiTheme="minorEastAsia" w:eastAsiaTheme="minorEastAsia" w:cstheme="minorEastAsia"/>
                <w:i w:val="0"/>
                <w:iCs w:val="0"/>
                <w:caps w:val="0"/>
                <w:color w:val="auto"/>
                <w:spacing w:val="0"/>
                <w:sz w:val="24"/>
                <w:szCs w:val="24"/>
                <w:highlight w:val="none"/>
                <w:shd w:val="clear" w:fill="FFFFFF"/>
              </w:rPr>
              <w:t>：</w:t>
            </w:r>
            <w:r>
              <w:rPr>
                <w:rFonts w:hint="eastAsia" w:asciiTheme="minorEastAsia" w:hAnsiTheme="minorEastAsia" w:eastAsiaTheme="minorEastAsia" w:cstheme="minorEastAsia"/>
                <w:i w:val="0"/>
                <w:iCs w:val="0"/>
                <w:caps w:val="0"/>
                <w:color w:val="auto"/>
                <w:spacing w:val="0"/>
                <w:sz w:val="24"/>
                <w:szCs w:val="24"/>
                <w:highlight w:val="none"/>
                <w:shd w:val="clear" w:fill="FFFFFF"/>
                <w:lang w:val="en-US" w:eastAsia="zh-CN"/>
              </w:rPr>
              <w:t>李</w:t>
            </w:r>
            <w:r>
              <w:rPr>
                <w:rFonts w:hint="eastAsia" w:asciiTheme="minorEastAsia" w:hAnsiTheme="minorEastAsia" w:eastAsiaTheme="minorEastAsia" w:cstheme="minorEastAsia"/>
                <w:i w:val="0"/>
                <w:iCs w:val="0"/>
                <w:caps w:val="0"/>
                <w:color w:val="auto"/>
                <w:spacing w:val="0"/>
                <w:sz w:val="24"/>
                <w:szCs w:val="24"/>
                <w:highlight w:val="none"/>
                <w:shd w:val="clear" w:fill="FFFFFF"/>
              </w:rPr>
              <w:t>工</w:t>
            </w:r>
          </w:p>
          <w:p w14:paraId="1A51B1EA">
            <w:pPr>
              <w:wordWrap w:val="0"/>
              <w:adjustRightInd w:val="0"/>
              <w:snapToGrid w:val="0"/>
              <w:spacing w:line="36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eastAsia="zh-CN"/>
              </w:rPr>
              <w:t>电    话：</w:t>
            </w:r>
            <w:r>
              <w:rPr>
                <w:rFonts w:hint="eastAsia" w:asciiTheme="minorEastAsia" w:hAnsiTheme="minorEastAsia" w:eastAsiaTheme="minorEastAsia" w:cstheme="minorEastAsia"/>
                <w:snapToGrid w:val="0"/>
                <w:color w:val="auto"/>
                <w:kern w:val="0"/>
                <w:sz w:val="24"/>
                <w:szCs w:val="24"/>
                <w:highlight w:val="none"/>
                <w:lang w:val="en-US" w:eastAsia="zh-CN"/>
              </w:rPr>
              <w:t>15089863183</w:t>
            </w:r>
          </w:p>
        </w:tc>
      </w:tr>
      <w:tr w14:paraId="459A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0BF5E90E">
            <w:pPr>
              <w:spacing w:before="69" w:line="188" w:lineRule="auto"/>
              <w:jc w:val="center"/>
              <w:rPr>
                <w:rFonts w:hint="eastAsia" w:asciiTheme="minorEastAsia" w:hAnsiTheme="minorEastAsia" w:eastAsiaTheme="minorEastAsia" w:cstheme="minorEastAsia"/>
                <w:color w:val="auto"/>
                <w:spacing w:val="-5"/>
                <w:sz w:val="24"/>
                <w:szCs w:val="24"/>
                <w:highlight w:val="non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40</w:t>
            </w:r>
          </w:p>
        </w:tc>
        <w:tc>
          <w:tcPr>
            <w:tcW w:w="1860" w:type="dxa"/>
            <w:vAlign w:val="center"/>
          </w:tcPr>
          <w:p w14:paraId="26F9E00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交易场所联系方式</w:t>
            </w:r>
          </w:p>
        </w:tc>
        <w:tc>
          <w:tcPr>
            <w:tcW w:w="7544" w:type="dxa"/>
            <w:vAlign w:val="center"/>
          </w:tcPr>
          <w:p w14:paraId="7E8D57F7">
            <w:pPr>
              <w:wordWrap w:val="0"/>
              <w:adjustRightInd w:val="0"/>
              <w:snapToGrid w:val="0"/>
              <w:spacing w:line="360" w:lineRule="exact"/>
              <w:ind w:firstLine="273" w:firstLineChars="114"/>
              <w:jc w:val="left"/>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单位名称：韶关市公共资源交易中心</w:t>
            </w:r>
          </w:p>
          <w:p w14:paraId="5DBB0DE9">
            <w:pPr>
              <w:wordWrap w:val="0"/>
              <w:adjustRightInd w:val="0"/>
              <w:snapToGrid w:val="0"/>
              <w:spacing w:line="360" w:lineRule="exact"/>
              <w:ind w:firstLine="273" w:firstLineChars="114"/>
              <w:jc w:val="left"/>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办公地址：韶关市公共资源交易中心乳源分中心(韶关市乳源瑶族自治县乳城镇北环中路乳源农旅特色小镇政务服务大厅4号楼3楼(京港澳高速乳源收费站路口旁)</w:t>
            </w:r>
          </w:p>
          <w:p w14:paraId="7F943306">
            <w:pPr>
              <w:wordWrap w:val="0"/>
              <w:adjustRightInd w:val="0"/>
              <w:snapToGrid w:val="0"/>
              <w:spacing w:line="360" w:lineRule="exact"/>
              <w:ind w:firstLine="273" w:firstLineChars="114"/>
              <w:jc w:val="left"/>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联系人（部门）：工程交易部</w:t>
            </w:r>
          </w:p>
          <w:p w14:paraId="562C2C63">
            <w:pPr>
              <w:wordWrap w:val="0"/>
              <w:adjustRightInd w:val="0"/>
              <w:snapToGrid w:val="0"/>
              <w:spacing w:line="360" w:lineRule="exact"/>
              <w:ind w:firstLine="273" w:firstLineChars="114"/>
              <w:jc w:val="lef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联系电话：0751-5378231</w:t>
            </w:r>
          </w:p>
        </w:tc>
      </w:tr>
      <w:tr w14:paraId="7733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2958FADF">
            <w:pPr>
              <w:spacing w:before="69" w:line="188" w:lineRule="auto"/>
              <w:jc w:val="center"/>
              <w:rPr>
                <w:rFonts w:hint="eastAsia" w:asciiTheme="minorEastAsia" w:hAnsiTheme="minorEastAsia" w:eastAsiaTheme="minorEastAsia" w:cstheme="minorEastAsia"/>
                <w:color w:val="auto"/>
                <w:spacing w:val="-5"/>
                <w:sz w:val="24"/>
                <w:szCs w:val="24"/>
                <w:highlight w:val="non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41</w:t>
            </w:r>
          </w:p>
        </w:tc>
        <w:tc>
          <w:tcPr>
            <w:tcW w:w="1860" w:type="dxa"/>
            <w:vAlign w:val="center"/>
          </w:tcPr>
          <w:p w14:paraId="5AA6EED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行政监督部</w:t>
            </w:r>
          </w:p>
          <w:p w14:paraId="73C46AB6">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门联系方式</w:t>
            </w:r>
          </w:p>
        </w:tc>
        <w:tc>
          <w:tcPr>
            <w:tcW w:w="7544" w:type="dxa"/>
            <w:vAlign w:val="center"/>
          </w:tcPr>
          <w:p w14:paraId="64F25D02">
            <w:pPr>
              <w:wordWrap w:val="0"/>
              <w:adjustRightInd w:val="0"/>
              <w:snapToGrid w:val="0"/>
              <w:spacing w:line="360" w:lineRule="exact"/>
              <w:ind w:firstLine="273" w:firstLineChars="114"/>
              <w:jc w:val="left"/>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单位名称：乳源瑶族自治县住房和城乡建设管理局</w:t>
            </w:r>
          </w:p>
          <w:p w14:paraId="110AB7BA">
            <w:pPr>
              <w:wordWrap w:val="0"/>
              <w:adjustRightInd w:val="0"/>
              <w:snapToGrid w:val="0"/>
              <w:spacing w:line="360" w:lineRule="exact"/>
              <w:ind w:firstLine="273" w:firstLineChars="114"/>
              <w:jc w:val="left"/>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办公地址：乳源瑶族自治县乳城镇鹰峰东路205号</w:t>
            </w:r>
          </w:p>
          <w:p w14:paraId="7CFCBC5F">
            <w:pPr>
              <w:wordWrap w:val="0"/>
              <w:adjustRightInd w:val="0"/>
              <w:snapToGrid w:val="0"/>
              <w:spacing w:line="360" w:lineRule="exact"/>
              <w:ind w:firstLine="273" w:firstLineChars="114"/>
              <w:jc w:val="left"/>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联系人（部门）：建管股</w:t>
            </w:r>
          </w:p>
          <w:p w14:paraId="2586D446">
            <w:pPr>
              <w:wordWrap w:val="0"/>
              <w:adjustRightInd w:val="0"/>
              <w:snapToGrid w:val="0"/>
              <w:spacing w:line="360" w:lineRule="exact"/>
              <w:ind w:firstLine="273" w:firstLineChars="114"/>
              <w:jc w:val="lef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联系电话：0751-5360992</w:t>
            </w:r>
          </w:p>
        </w:tc>
      </w:tr>
    </w:tbl>
    <w:p w14:paraId="09AA3434">
      <w:pPr>
        <w:rPr>
          <w:rFonts w:hint="eastAsia" w:ascii="宋体" w:hAnsi="宋体" w:eastAsia="宋体" w:cs="宋体"/>
          <w:b/>
          <w:bCs/>
          <w:color w:val="auto"/>
          <w:spacing w:val="-3"/>
          <w:sz w:val="24"/>
          <w:szCs w:val="24"/>
          <w:highlight w:val="none"/>
        </w:rPr>
      </w:pPr>
      <w:bookmarkStart w:id="5" w:name="bookmark115"/>
      <w:bookmarkEnd w:id="5"/>
      <w:r>
        <w:rPr>
          <w:rFonts w:hint="eastAsia" w:ascii="宋体" w:hAnsi="宋体" w:eastAsia="宋体" w:cs="宋体"/>
          <w:b/>
          <w:bCs/>
          <w:color w:val="auto"/>
          <w:spacing w:val="-3"/>
          <w:sz w:val="24"/>
          <w:szCs w:val="24"/>
          <w:highlight w:val="none"/>
        </w:rPr>
        <w:br w:type="page"/>
      </w:r>
    </w:p>
    <w:p w14:paraId="6C375F61">
      <w:pPr>
        <w:spacing w:before="156" w:line="219" w:lineRule="auto"/>
        <w:ind w:left="17"/>
        <w:jc w:val="left"/>
        <w:outlineLvl w:val="1"/>
        <w:rPr>
          <w:rFonts w:hint="eastAsia" w:ascii="宋体" w:hAnsi="宋体" w:eastAsia="宋体" w:cs="宋体"/>
          <w:color w:val="auto"/>
          <w:highlight w:val="none"/>
        </w:rPr>
      </w:pPr>
      <w:bookmarkStart w:id="6" w:name="_Toc14297"/>
      <w:r>
        <w:rPr>
          <w:rFonts w:hint="eastAsia" w:ascii="宋体" w:hAnsi="宋体" w:eastAsia="宋体" w:cs="宋体"/>
          <w:b/>
          <w:bCs/>
          <w:color w:val="auto"/>
          <w:spacing w:val="-3"/>
          <w:sz w:val="24"/>
          <w:szCs w:val="24"/>
          <w:highlight w:val="none"/>
        </w:rPr>
        <w:t>第二节 重要事项时间地点一览表</w:t>
      </w:r>
      <w:bookmarkEnd w:id="6"/>
    </w:p>
    <w:p w14:paraId="0F20BDCB">
      <w:pPr>
        <w:pStyle w:val="5"/>
        <w:rPr>
          <w:rFonts w:hint="eastAsia" w:ascii="宋体" w:hAnsi="宋体" w:eastAsia="宋体" w:cs="宋体"/>
          <w:color w:val="auto"/>
          <w:highlight w:val="none"/>
        </w:rPr>
      </w:pPr>
    </w:p>
    <w:tbl>
      <w:tblPr>
        <w:tblStyle w:val="14"/>
        <w:tblW w:w="5143" w:type="pct"/>
        <w:tblInd w:w="-255"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524"/>
        <w:gridCol w:w="1586"/>
        <w:gridCol w:w="7925"/>
      </w:tblGrid>
      <w:tr w14:paraId="62535D1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27" w:hRule="exact"/>
        </w:trPr>
        <w:tc>
          <w:tcPr>
            <w:tcW w:w="261" w:type="pct"/>
            <w:tcBorders>
              <w:top w:val="single" w:color="080000" w:sz="4" w:space="0"/>
              <w:left w:val="single" w:color="080000" w:sz="4" w:space="0"/>
              <w:bottom w:val="single" w:color="080000" w:sz="4" w:space="0"/>
              <w:right w:val="single" w:color="080000" w:sz="4" w:space="0"/>
            </w:tcBorders>
            <w:noWrap w:val="0"/>
            <w:vAlign w:val="center"/>
          </w:tcPr>
          <w:p w14:paraId="08D519CE">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1</w:t>
            </w:r>
          </w:p>
        </w:tc>
        <w:tc>
          <w:tcPr>
            <w:tcW w:w="789" w:type="pct"/>
            <w:tcBorders>
              <w:top w:val="single" w:color="080000" w:sz="4" w:space="0"/>
              <w:left w:val="single" w:color="080000" w:sz="4" w:space="0"/>
              <w:bottom w:val="single" w:color="080000" w:sz="4" w:space="0"/>
              <w:right w:val="single" w:color="080000" w:sz="4" w:space="0"/>
            </w:tcBorders>
            <w:noWrap w:val="0"/>
            <w:vAlign w:val="center"/>
          </w:tcPr>
          <w:p w14:paraId="259BCCFF">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招标公告</w:t>
            </w:r>
          </w:p>
          <w:p w14:paraId="0AC67E08">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发布时间 </w:t>
            </w:r>
          </w:p>
        </w:tc>
        <w:tc>
          <w:tcPr>
            <w:tcW w:w="3948" w:type="pct"/>
            <w:tcBorders>
              <w:top w:val="single" w:color="080000" w:sz="4" w:space="0"/>
              <w:left w:val="single" w:color="080000" w:sz="4" w:space="0"/>
              <w:bottom w:val="single" w:color="080000" w:sz="4" w:space="0"/>
              <w:right w:val="single" w:color="080000" w:sz="4" w:space="0"/>
            </w:tcBorders>
            <w:noWrap w:val="0"/>
            <w:vAlign w:val="center"/>
          </w:tcPr>
          <w:p w14:paraId="7402CF28">
            <w:pPr>
              <w:pStyle w:val="23"/>
              <w:widowControl/>
              <w:snapToGrid w:val="0"/>
              <w:jc w:val="lef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u w:val="single"/>
              </w:rPr>
              <w:t>202</w:t>
            </w:r>
            <w:r>
              <w:rPr>
                <w:rFonts w:hint="eastAsia" w:asciiTheme="minorEastAsia" w:hAnsiTheme="minorEastAsia" w:eastAsiaTheme="minorEastAsia" w:cstheme="minorEastAsia"/>
                <w:color w:val="auto"/>
                <w:kern w:val="0"/>
                <w:sz w:val="24"/>
                <w:szCs w:val="24"/>
                <w:highlight w:val="none"/>
                <w:u w:val="single"/>
                <w:lang w:val="en-US" w:eastAsia="zh-CN"/>
              </w:rPr>
              <w:t>6</w:t>
            </w:r>
            <w:r>
              <w:rPr>
                <w:rFonts w:hint="eastAsia" w:asciiTheme="minorEastAsia" w:hAnsiTheme="minorEastAsia" w:eastAsiaTheme="minorEastAsia" w:cstheme="minorEastAsia"/>
                <w:color w:val="auto"/>
                <w:kern w:val="0"/>
                <w:sz w:val="24"/>
                <w:szCs w:val="24"/>
                <w:highlight w:val="none"/>
              </w:rPr>
              <w:t>年</w:t>
            </w:r>
            <w:r>
              <w:rPr>
                <w:rFonts w:hint="eastAsia" w:asciiTheme="minorEastAsia" w:hAnsiTheme="minorEastAsia" w:eastAsiaTheme="minorEastAsia" w:cstheme="minorEastAsia"/>
                <w:color w:val="auto"/>
                <w:kern w:val="0"/>
                <w:sz w:val="24"/>
                <w:szCs w:val="24"/>
                <w:highlight w:val="none"/>
                <w:u w:val="single"/>
                <w:lang w:val="en-US" w:eastAsia="zh-CN"/>
              </w:rPr>
              <w:t xml:space="preserve"> 10 </w:t>
            </w:r>
            <w:r>
              <w:rPr>
                <w:rFonts w:hint="eastAsia" w:asciiTheme="minorEastAsia" w:hAnsiTheme="minorEastAsia" w:eastAsiaTheme="minorEastAsia" w:cstheme="minorEastAsia"/>
                <w:color w:val="auto"/>
                <w:kern w:val="0"/>
                <w:sz w:val="24"/>
                <w:szCs w:val="24"/>
                <w:highlight w:val="none"/>
              </w:rPr>
              <w:t>月</w:t>
            </w:r>
            <w:r>
              <w:rPr>
                <w:rFonts w:hint="eastAsia" w:asciiTheme="minorEastAsia" w:hAnsiTheme="minorEastAsia" w:eastAsiaTheme="minorEastAsia" w:cstheme="minorEastAsia"/>
                <w:color w:val="auto"/>
                <w:kern w:val="0"/>
                <w:sz w:val="24"/>
                <w:szCs w:val="24"/>
                <w:highlight w:val="none"/>
                <w:u w:val="single"/>
                <w:lang w:val="en-US" w:eastAsia="zh-CN"/>
              </w:rPr>
              <w:t xml:space="preserve"> 8 </w:t>
            </w:r>
            <w:r>
              <w:rPr>
                <w:rFonts w:hint="eastAsia" w:asciiTheme="minorEastAsia" w:hAnsiTheme="minorEastAsia" w:eastAsiaTheme="minorEastAsia" w:cstheme="minorEastAsia"/>
                <w:color w:val="auto"/>
                <w:kern w:val="0"/>
                <w:sz w:val="24"/>
                <w:szCs w:val="24"/>
                <w:highlight w:val="none"/>
              </w:rPr>
              <w:t>日</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 xml:space="preserve">20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 xml:space="preserve">00 </w:t>
            </w:r>
            <w:r>
              <w:rPr>
                <w:rFonts w:hint="eastAsia" w:asciiTheme="minorEastAsia" w:hAnsiTheme="minorEastAsia" w:eastAsiaTheme="minorEastAsia" w:cstheme="minorEastAsia"/>
                <w:color w:val="auto"/>
                <w:kern w:val="0"/>
                <w:sz w:val="24"/>
                <w:szCs w:val="24"/>
                <w:highlight w:val="none"/>
              </w:rPr>
              <w:t>分</w:t>
            </w:r>
            <w:r>
              <w:rPr>
                <w:rFonts w:hint="eastAsia" w:asciiTheme="minorEastAsia" w:hAnsiTheme="minorEastAsia" w:eastAsiaTheme="minorEastAsia" w:cstheme="minorEastAsia"/>
                <w:color w:val="auto"/>
                <w:kern w:val="0"/>
                <w:sz w:val="24"/>
                <w:szCs w:val="24"/>
                <w:highlight w:val="none"/>
                <w:lang w:val="en-US" w:eastAsia="zh-CN"/>
              </w:rPr>
              <w:t xml:space="preserve"> </w:t>
            </w:r>
          </w:p>
        </w:tc>
      </w:tr>
      <w:tr w14:paraId="595F95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42" w:hRule="exact"/>
        </w:trPr>
        <w:tc>
          <w:tcPr>
            <w:tcW w:w="261" w:type="pct"/>
            <w:tcBorders>
              <w:top w:val="single" w:color="080000" w:sz="4" w:space="0"/>
              <w:left w:val="single" w:color="080000" w:sz="4" w:space="0"/>
              <w:bottom w:val="single" w:color="080000" w:sz="4" w:space="0"/>
              <w:right w:val="single" w:color="080000" w:sz="4" w:space="0"/>
            </w:tcBorders>
            <w:noWrap w:val="0"/>
            <w:vAlign w:val="center"/>
          </w:tcPr>
          <w:p w14:paraId="1644B912">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2</w:t>
            </w:r>
          </w:p>
        </w:tc>
        <w:tc>
          <w:tcPr>
            <w:tcW w:w="789" w:type="pct"/>
            <w:tcBorders>
              <w:top w:val="single" w:color="080000" w:sz="4" w:space="0"/>
              <w:left w:val="single" w:color="080000" w:sz="4" w:space="0"/>
              <w:bottom w:val="single" w:color="080000" w:sz="4" w:space="0"/>
              <w:right w:val="single" w:color="080000" w:sz="4" w:space="0"/>
            </w:tcBorders>
            <w:noWrap w:val="0"/>
            <w:vAlign w:val="center"/>
          </w:tcPr>
          <w:p w14:paraId="763F950C">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rPr>
              <w:t>获取招标文件</w:t>
            </w:r>
            <w:r>
              <w:rPr>
                <w:rFonts w:hint="eastAsia" w:asciiTheme="minorEastAsia" w:hAnsiTheme="minorEastAsia" w:eastAsiaTheme="minorEastAsia" w:cstheme="minorEastAsia"/>
                <w:snapToGrid w:val="0"/>
                <w:color w:val="auto"/>
                <w:kern w:val="0"/>
                <w:sz w:val="24"/>
                <w:szCs w:val="24"/>
                <w:highlight w:val="none"/>
              </w:rPr>
              <w:t xml:space="preserve">截止时间 </w:t>
            </w:r>
          </w:p>
        </w:tc>
        <w:tc>
          <w:tcPr>
            <w:tcW w:w="3948" w:type="pct"/>
            <w:tcBorders>
              <w:top w:val="single" w:color="080000" w:sz="4" w:space="0"/>
              <w:left w:val="single" w:color="080000" w:sz="4" w:space="0"/>
              <w:bottom w:val="single" w:color="080000" w:sz="4" w:space="0"/>
              <w:right w:val="single" w:color="080000" w:sz="4" w:space="0"/>
            </w:tcBorders>
            <w:noWrap w:val="0"/>
            <w:vAlign w:val="center"/>
          </w:tcPr>
          <w:p w14:paraId="718C89AD">
            <w:pPr>
              <w:pStyle w:val="23"/>
              <w:widowControl/>
              <w:snapToGrid w:val="0"/>
              <w:jc w:val="lef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u w:val="single"/>
              </w:rPr>
              <w:t>202</w:t>
            </w:r>
            <w:r>
              <w:rPr>
                <w:rFonts w:hint="eastAsia" w:asciiTheme="minorEastAsia" w:hAnsiTheme="minorEastAsia" w:eastAsiaTheme="minorEastAsia" w:cstheme="minorEastAsia"/>
                <w:color w:val="auto"/>
                <w:kern w:val="0"/>
                <w:sz w:val="24"/>
                <w:szCs w:val="24"/>
                <w:highlight w:val="none"/>
                <w:u w:val="single"/>
                <w:lang w:val="en-US" w:eastAsia="zh-CN"/>
              </w:rPr>
              <w:t>6</w:t>
            </w:r>
            <w:r>
              <w:rPr>
                <w:rFonts w:hint="eastAsia" w:asciiTheme="minorEastAsia" w:hAnsiTheme="minorEastAsia" w:eastAsiaTheme="minorEastAsia" w:cstheme="minorEastAsia"/>
                <w:color w:val="auto"/>
                <w:kern w:val="0"/>
                <w:sz w:val="24"/>
                <w:szCs w:val="24"/>
                <w:highlight w:val="none"/>
              </w:rPr>
              <w:t>年</w:t>
            </w:r>
            <w:r>
              <w:rPr>
                <w:rFonts w:hint="eastAsia" w:asciiTheme="minorEastAsia" w:hAnsiTheme="minorEastAsia" w:eastAsiaTheme="minorEastAsia" w:cstheme="minorEastAsia"/>
                <w:color w:val="auto"/>
                <w:kern w:val="0"/>
                <w:sz w:val="24"/>
                <w:szCs w:val="24"/>
                <w:highlight w:val="none"/>
                <w:u w:val="single"/>
                <w:lang w:val="en-US" w:eastAsia="zh-CN"/>
              </w:rPr>
              <w:t xml:space="preserve"> 10 </w:t>
            </w:r>
            <w:r>
              <w:rPr>
                <w:rFonts w:hint="eastAsia" w:asciiTheme="minorEastAsia" w:hAnsiTheme="minorEastAsia" w:eastAsiaTheme="minorEastAsia" w:cstheme="minorEastAsia"/>
                <w:color w:val="auto"/>
                <w:kern w:val="0"/>
                <w:sz w:val="24"/>
                <w:szCs w:val="24"/>
                <w:highlight w:val="none"/>
              </w:rPr>
              <w:t>月</w:t>
            </w:r>
            <w:r>
              <w:rPr>
                <w:rFonts w:hint="eastAsia" w:asciiTheme="minorEastAsia" w:hAnsiTheme="minorEastAsia" w:eastAsiaTheme="minorEastAsia" w:cstheme="minorEastAsia"/>
                <w:color w:val="auto"/>
                <w:kern w:val="0"/>
                <w:sz w:val="24"/>
                <w:szCs w:val="24"/>
                <w:highlight w:val="none"/>
                <w:u w:val="single"/>
                <w:lang w:val="en-US" w:eastAsia="zh-CN"/>
              </w:rPr>
              <w:t xml:space="preserve"> 30 </w:t>
            </w:r>
            <w:r>
              <w:rPr>
                <w:rFonts w:hint="eastAsia" w:asciiTheme="minorEastAsia" w:hAnsiTheme="minorEastAsia" w:eastAsiaTheme="minorEastAsia" w:cstheme="minorEastAsia"/>
                <w:color w:val="auto"/>
                <w:kern w:val="0"/>
                <w:sz w:val="24"/>
                <w:szCs w:val="24"/>
                <w:highlight w:val="none"/>
              </w:rPr>
              <w:t>日</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 xml:space="preserve">9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30</w:t>
            </w:r>
            <w:r>
              <w:rPr>
                <w:rFonts w:hint="eastAsia" w:asciiTheme="minorEastAsia" w:hAnsiTheme="minorEastAsia" w:eastAsiaTheme="minorEastAsia" w:cstheme="minorEastAsia"/>
                <w:color w:val="auto"/>
                <w:kern w:val="0"/>
                <w:sz w:val="24"/>
                <w:szCs w:val="24"/>
                <w:highlight w:val="none"/>
              </w:rPr>
              <w:t>分</w:t>
            </w:r>
          </w:p>
        </w:tc>
      </w:tr>
      <w:tr w14:paraId="3E7590F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82" w:hRule="exact"/>
        </w:trPr>
        <w:tc>
          <w:tcPr>
            <w:tcW w:w="261" w:type="pct"/>
            <w:tcBorders>
              <w:top w:val="single" w:color="080000" w:sz="4" w:space="0"/>
              <w:left w:val="single" w:color="080000" w:sz="4" w:space="0"/>
              <w:bottom w:val="single" w:color="080000" w:sz="4" w:space="0"/>
              <w:right w:val="single" w:color="080000" w:sz="4" w:space="0"/>
            </w:tcBorders>
            <w:noWrap w:val="0"/>
            <w:vAlign w:val="center"/>
          </w:tcPr>
          <w:p w14:paraId="1DC476B0">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3</w:t>
            </w:r>
          </w:p>
        </w:tc>
        <w:tc>
          <w:tcPr>
            <w:tcW w:w="789" w:type="pct"/>
            <w:tcBorders>
              <w:top w:val="single" w:color="080000" w:sz="4" w:space="0"/>
              <w:left w:val="single" w:color="080000" w:sz="4" w:space="0"/>
              <w:bottom w:val="single" w:color="080000" w:sz="4" w:space="0"/>
              <w:right w:val="single" w:color="080000" w:sz="4" w:space="0"/>
            </w:tcBorders>
            <w:noWrap w:val="0"/>
            <w:vAlign w:val="center"/>
          </w:tcPr>
          <w:p w14:paraId="4784AF13">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网上提问</w:t>
            </w:r>
          </w:p>
          <w:p w14:paraId="50C426A6">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截止时间 </w:t>
            </w:r>
          </w:p>
        </w:tc>
        <w:tc>
          <w:tcPr>
            <w:tcW w:w="3948" w:type="pct"/>
            <w:tcBorders>
              <w:top w:val="single" w:color="080000" w:sz="4" w:space="0"/>
              <w:left w:val="single" w:color="080000" w:sz="4" w:space="0"/>
              <w:bottom w:val="single" w:color="080000" w:sz="4" w:space="0"/>
              <w:right w:val="single" w:color="080000" w:sz="4" w:space="0"/>
            </w:tcBorders>
            <w:noWrap w:val="0"/>
            <w:vAlign w:val="center"/>
          </w:tcPr>
          <w:p w14:paraId="72D1CEF3">
            <w:pPr>
              <w:pStyle w:val="23"/>
              <w:wordWrap w:val="0"/>
              <w:adjustRightInd w:val="0"/>
              <w:snapToGrid w:val="0"/>
              <w:spacing w:line="400" w:lineRule="exact"/>
              <w:jc w:val="lef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u w:val="single"/>
              </w:rPr>
              <w:t>202</w:t>
            </w:r>
            <w:r>
              <w:rPr>
                <w:rFonts w:hint="eastAsia" w:asciiTheme="minorEastAsia" w:hAnsiTheme="minorEastAsia" w:eastAsiaTheme="minorEastAsia" w:cstheme="minorEastAsia"/>
                <w:color w:val="auto"/>
                <w:kern w:val="0"/>
                <w:sz w:val="24"/>
                <w:szCs w:val="24"/>
                <w:highlight w:val="none"/>
                <w:u w:val="single"/>
                <w:lang w:val="en-US" w:eastAsia="zh-CN"/>
              </w:rPr>
              <w:t>6</w:t>
            </w:r>
            <w:r>
              <w:rPr>
                <w:rFonts w:hint="eastAsia" w:asciiTheme="minorEastAsia" w:hAnsiTheme="minorEastAsia" w:eastAsiaTheme="minorEastAsia" w:cstheme="minorEastAsia"/>
                <w:color w:val="auto"/>
                <w:kern w:val="0"/>
                <w:sz w:val="24"/>
                <w:szCs w:val="24"/>
                <w:highlight w:val="none"/>
              </w:rPr>
              <w:t>年</w:t>
            </w:r>
            <w:r>
              <w:rPr>
                <w:rFonts w:hint="eastAsia" w:asciiTheme="minorEastAsia" w:hAnsiTheme="minorEastAsia" w:eastAsiaTheme="minorEastAsia" w:cstheme="minorEastAsia"/>
                <w:color w:val="auto"/>
                <w:kern w:val="0"/>
                <w:sz w:val="24"/>
                <w:szCs w:val="24"/>
                <w:highlight w:val="none"/>
                <w:u w:val="single"/>
                <w:lang w:val="en-US" w:eastAsia="zh-CN"/>
              </w:rPr>
              <w:t xml:space="preserve"> 10 </w:t>
            </w:r>
            <w:r>
              <w:rPr>
                <w:rFonts w:hint="eastAsia" w:asciiTheme="minorEastAsia" w:hAnsiTheme="minorEastAsia" w:eastAsiaTheme="minorEastAsia" w:cstheme="minorEastAsia"/>
                <w:color w:val="auto"/>
                <w:kern w:val="0"/>
                <w:sz w:val="24"/>
                <w:szCs w:val="24"/>
                <w:highlight w:val="none"/>
              </w:rPr>
              <w:t>月</w:t>
            </w:r>
            <w:r>
              <w:rPr>
                <w:rFonts w:hint="eastAsia" w:asciiTheme="minorEastAsia" w:hAnsiTheme="minorEastAsia" w:eastAsiaTheme="minorEastAsia" w:cstheme="minorEastAsia"/>
                <w:color w:val="auto"/>
                <w:kern w:val="0"/>
                <w:sz w:val="24"/>
                <w:szCs w:val="24"/>
                <w:highlight w:val="none"/>
                <w:u w:val="single"/>
                <w:lang w:val="en-US" w:eastAsia="zh-CN"/>
              </w:rPr>
              <w:t xml:space="preserve"> 20 </w:t>
            </w:r>
            <w:r>
              <w:rPr>
                <w:rFonts w:hint="eastAsia" w:asciiTheme="minorEastAsia" w:hAnsiTheme="minorEastAsia" w:eastAsiaTheme="minorEastAsia" w:cstheme="minorEastAsia"/>
                <w:color w:val="auto"/>
                <w:kern w:val="0"/>
                <w:sz w:val="24"/>
                <w:szCs w:val="24"/>
                <w:highlight w:val="none"/>
              </w:rPr>
              <w:t>日</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 xml:space="preserve"> 16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 xml:space="preserve">00 </w:t>
            </w:r>
            <w:r>
              <w:rPr>
                <w:rFonts w:hint="eastAsia" w:asciiTheme="minorEastAsia" w:hAnsiTheme="minorEastAsia" w:eastAsiaTheme="minorEastAsia" w:cstheme="minorEastAsia"/>
                <w:color w:val="auto"/>
                <w:kern w:val="0"/>
                <w:sz w:val="24"/>
                <w:szCs w:val="24"/>
                <w:highlight w:val="none"/>
              </w:rPr>
              <w:t>分</w:t>
            </w:r>
          </w:p>
        </w:tc>
      </w:tr>
      <w:tr w14:paraId="3B10623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7" w:hRule="exact"/>
        </w:trPr>
        <w:tc>
          <w:tcPr>
            <w:tcW w:w="261" w:type="pct"/>
            <w:tcBorders>
              <w:top w:val="single" w:color="080000" w:sz="4" w:space="0"/>
              <w:left w:val="single" w:color="080000" w:sz="4" w:space="0"/>
              <w:bottom w:val="single" w:color="080000" w:sz="4" w:space="0"/>
              <w:right w:val="single" w:color="080000" w:sz="4" w:space="0"/>
            </w:tcBorders>
            <w:noWrap w:val="0"/>
            <w:vAlign w:val="center"/>
          </w:tcPr>
          <w:p w14:paraId="7DE0EE05">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4</w:t>
            </w:r>
          </w:p>
        </w:tc>
        <w:tc>
          <w:tcPr>
            <w:tcW w:w="789" w:type="pct"/>
            <w:tcBorders>
              <w:top w:val="single" w:color="080000" w:sz="4" w:space="0"/>
              <w:left w:val="single" w:color="080000" w:sz="4" w:space="0"/>
              <w:bottom w:val="single" w:color="080000" w:sz="4" w:space="0"/>
              <w:right w:val="single" w:color="080000" w:sz="4" w:space="0"/>
            </w:tcBorders>
            <w:noWrap w:val="0"/>
            <w:vAlign w:val="center"/>
          </w:tcPr>
          <w:p w14:paraId="749FE967">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网上答疑</w:t>
            </w:r>
          </w:p>
          <w:p w14:paraId="2EF3FAB6">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时间</w:t>
            </w:r>
          </w:p>
        </w:tc>
        <w:tc>
          <w:tcPr>
            <w:tcW w:w="3948" w:type="pct"/>
            <w:tcBorders>
              <w:top w:val="single" w:color="080000" w:sz="4" w:space="0"/>
              <w:left w:val="single" w:color="080000" w:sz="4" w:space="0"/>
              <w:bottom w:val="single" w:color="080000" w:sz="4" w:space="0"/>
              <w:right w:val="single" w:color="080000" w:sz="4" w:space="0"/>
            </w:tcBorders>
            <w:noWrap w:val="0"/>
            <w:vAlign w:val="center"/>
          </w:tcPr>
          <w:p w14:paraId="1A53BD64">
            <w:pPr>
              <w:pStyle w:val="23"/>
              <w:widowControl/>
              <w:snapToGrid w:val="0"/>
              <w:jc w:val="lef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u w:val="single"/>
              </w:rPr>
              <w:t>202</w:t>
            </w:r>
            <w:r>
              <w:rPr>
                <w:rFonts w:hint="eastAsia" w:asciiTheme="minorEastAsia" w:hAnsiTheme="minorEastAsia" w:eastAsiaTheme="minorEastAsia" w:cstheme="minorEastAsia"/>
                <w:color w:val="auto"/>
                <w:kern w:val="0"/>
                <w:sz w:val="24"/>
                <w:szCs w:val="24"/>
                <w:highlight w:val="none"/>
                <w:u w:val="single"/>
                <w:lang w:val="en-US" w:eastAsia="zh-CN"/>
              </w:rPr>
              <w:t>6</w:t>
            </w:r>
            <w:r>
              <w:rPr>
                <w:rFonts w:hint="eastAsia" w:asciiTheme="minorEastAsia" w:hAnsiTheme="minorEastAsia" w:eastAsiaTheme="minorEastAsia" w:cstheme="minorEastAsia"/>
                <w:color w:val="auto"/>
                <w:kern w:val="0"/>
                <w:sz w:val="24"/>
                <w:szCs w:val="24"/>
                <w:highlight w:val="none"/>
              </w:rPr>
              <w:t>年</w:t>
            </w:r>
            <w:r>
              <w:rPr>
                <w:rFonts w:hint="eastAsia" w:asciiTheme="minorEastAsia" w:hAnsiTheme="minorEastAsia" w:eastAsiaTheme="minorEastAsia" w:cstheme="minorEastAsia"/>
                <w:color w:val="auto"/>
                <w:kern w:val="0"/>
                <w:sz w:val="24"/>
                <w:szCs w:val="24"/>
                <w:highlight w:val="none"/>
                <w:u w:val="single"/>
                <w:lang w:val="en-US" w:eastAsia="zh-CN"/>
              </w:rPr>
              <w:t xml:space="preserve"> 10 </w:t>
            </w:r>
            <w:r>
              <w:rPr>
                <w:rFonts w:hint="eastAsia" w:asciiTheme="minorEastAsia" w:hAnsiTheme="minorEastAsia" w:eastAsiaTheme="minorEastAsia" w:cstheme="minorEastAsia"/>
                <w:color w:val="auto"/>
                <w:kern w:val="0"/>
                <w:sz w:val="24"/>
                <w:szCs w:val="24"/>
                <w:highlight w:val="none"/>
              </w:rPr>
              <w:t>月</w:t>
            </w:r>
            <w:r>
              <w:rPr>
                <w:rFonts w:hint="eastAsia" w:asciiTheme="minorEastAsia" w:hAnsiTheme="minorEastAsia" w:eastAsiaTheme="minorEastAsia" w:cstheme="minorEastAsia"/>
                <w:color w:val="auto"/>
                <w:kern w:val="0"/>
                <w:sz w:val="24"/>
                <w:szCs w:val="24"/>
                <w:highlight w:val="none"/>
                <w:u w:val="single"/>
                <w:lang w:val="en-US" w:eastAsia="zh-CN"/>
              </w:rPr>
              <w:t xml:space="preserve"> 20 </w:t>
            </w:r>
            <w:r>
              <w:rPr>
                <w:rFonts w:hint="eastAsia" w:asciiTheme="minorEastAsia" w:hAnsiTheme="minorEastAsia" w:eastAsiaTheme="minorEastAsia" w:cstheme="minorEastAsia"/>
                <w:color w:val="auto"/>
                <w:kern w:val="0"/>
                <w:sz w:val="24"/>
                <w:szCs w:val="24"/>
                <w:highlight w:val="none"/>
              </w:rPr>
              <w:t>日</w:t>
            </w:r>
            <w:r>
              <w:rPr>
                <w:rFonts w:hint="eastAsia" w:asciiTheme="minorEastAsia" w:hAnsiTheme="minorEastAsia" w:eastAsiaTheme="minorEastAsia" w:cstheme="minorEastAsia"/>
                <w:color w:val="auto"/>
                <w:kern w:val="0"/>
                <w:sz w:val="24"/>
                <w:szCs w:val="24"/>
                <w:highlight w:val="none"/>
                <w:u w:val="single"/>
              </w:rPr>
              <w:t xml:space="preserve"> 16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color w:val="auto"/>
                <w:kern w:val="0"/>
                <w:sz w:val="24"/>
                <w:szCs w:val="24"/>
                <w:highlight w:val="none"/>
                <w:u w:val="single"/>
              </w:rPr>
              <w:t xml:space="preserve"> 30 </w:t>
            </w:r>
            <w:r>
              <w:rPr>
                <w:rFonts w:hint="eastAsia" w:asciiTheme="minorEastAsia" w:hAnsiTheme="minorEastAsia" w:eastAsiaTheme="minorEastAsia" w:cstheme="minorEastAsia"/>
                <w:color w:val="auto"/>
                <w:kern w:val="0"/>
                <w:sz w:val="24"/>
                <w:szCs w:val="24"/>
                <w:highlight w:val="none"/>
              </w:rPr>
              <w:t>分至</w:t>
            </w:r>
            <w:r>
              <w:rPr>
                <w:rFonts w:hint="eastAsia" w:asciiTheme="minorEastAsia" w:hAnsiTheme="minorEastAsia" w:eastAsiaTheme="minorEastAsia" w:cstheme="minorEastAsia"/>
                <w:color w:val="auto"/>
                <w:kern w:val="0"/>
                <w:sz w:val="24"/>
                <w:szCs w:val="24"/>
                <w:highlight w:val="none"/>
                <w:u w:val="single"/>
              </w:rPr>
              <w:t>202</w:t>
            </w:r>
            <w:r>
              <w:rPr>
                <w:rFonts w:hint="eastAsia" w:asciiTheme="minorEastAsia" w:hAnsiTheme="minorEastAsia" w:eastAsiaTheme="minorEastAsia" w:cstheme="minorEastAsia"/>
                <w:color w:val="auto"/>
                <w:kern w:val="0"/>
                <w:sz w:val="24"/>
                <w:szCs w:val="24"/>
                <w:highlight w:val="none"/>
                <w:u w:val="single"/>
                <w:lang w:val="en-US" w:eastAsia="zh-CN"/>
              </w:rPr>
              <w:t>6</w:t>
            </w:r>
            <w:r>
              <w:rPr>
                <w:rFonts w:hint="eastAsia" w:asciiTheme="minorEastAsia" w:hAnsiTheme="minorEastAsia" w:eastAsiaTheme="minorEastAsia" w:cstheme="minorEastAsia"/>
                <w:color w:val="auto"/>
                <w:kern w:val="0"/>
                <w:sz w:val="24"/>
                <w:szCs w:val="24"/>
                <w:highlight w:val="none"/>
              </w:rPr>
              <w:t>年</w:t>
            </w:r>
            <w:r>
              <w:rPr>
                <w:rFonts w:hint="eastAsia" w:asciiTheme="minorEastAsia" w:hAnsiTheme="minorEastAsia" w:eastAsiaTheme="minorEastAsia" w:cstheme="minorEastAsia"/>
                <w:color w:val="auto"/>
                <w:kern w:val="0"/>
                <w:sz w:val="24"/>
                <w:szCs w:val="24"/>
                <w:highlight w:val="none"/>
                <w:u w:val="single"/>
                <w:lang w:val="en-US" w:eastAsia="zh-CN"/>
              </w:rPr>
              <w:t xml:space="preserve"> 10 </w:t>
            </w:r>
            <w:r>
              <w:rPr>
                <w:rFonts w:hint="eastAsia" w:asciiTheme="minorEastAsia" w:hAnsiTheme="minorEastAsia" w:eastAsiaTheme="minorEastAsia" w:cstheme="minorEastAsia"/>
                <w:color w:val="auto"/>
                <w:kern w:val="0"/>
                <w:sz w:val="24"/>
                <w:szCs w:val="24"/>
                <w:highlight w:val="none"/>
              </w:rPr>
              <w:t>月</w:t>
            </w:r>
            <w:r>
              <w:rPr>
                <w:rFonts w:hint="eastAsia" w:asciiTheme="minorEastAsia" w:hAnsiTheme="minorEastAsia" w:eastAsiaTheme="minorEastAsia" w:cstheme="minorEastAsia"/>
                <w:color w:val="auto"/>
                <w:kern w:val="0"/>
                <w:sz w:val="24"/>
                <w:szCs w:val="24"/>
                <w:highlight w:val="none"/>
                <w:u w:val="single"/>
                <w:lang w:val="en-US" w:eastAsia="zh-CN"/>
              </w:rPr>
              <w:t xml:space="preserve"> 23 </w:t>
            </w:r>
            <w:r>
              <w:rPr>
                <w:rFonts w:hint="eastAsia" w:asciiTheme="minorEastAsia" w:hAnsiTheme="minorEastAsia" w:eastAsiaTheme="minorEastAsia" w:cstheme="minorEastAsia"/>
                <w:color w:val="auto"/>
                <w:kern w:val="0"/>
                <w:sz w:val="24"/>
                <w:szCs w:val="24"/>
                <w:highlight w:val="none"/>
              </w:rPr>
              <w:t>日</w:t>
            </w:r>
            <w:r>
              <w:rPr>
                <w:rFonts w:hint="eastAsia" w:asciiTheme="minorEastAsia" w:hAnsiTheme="minorEastAsia" w:eastAsiaTheme="minorEastAsia" w:cstheme="minorEastAsia"/>
                <w:color w:val="auto"/>
                <w:kern w:val="0"/>
                <w:sz w:val="24"/>
                <w:szCs w:val="24"/>
                <w:highlight w:val="none"/>
                <w:u w:val="single"/>
              </w:rPr>
              <w:t xml:space="preserve"> 16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color w:val="auto"/>
                <w:kern w:val="0"/>
                <w:sz w:val="24"/>
                <w:szCs w:val="24"/>
                <w:highlight w:val="none"/>
                <w:u w:val="single"/>
              </w:rPr>
              <w:t xml:space="preserve"> 00</w:t>
            </w:r>
            <w:r>
              <w:rPr>
                <w:rFonts w:hint="eastAsia" w:asciiTheme="minorEastAsia" w:hAnsiTheme="minorEastAsia" w:eastAsiaTheme="minorEastAsia" w:cstheme="minorEastAsia"/>
                <w:color w:val="auto"/>
                <w:kern w:val="0"/>
                <w:sz w:val="24"/>
                <w:szCs w:val="24"/>
                <w:highlight w:val="none"/>
              </w:rPr>
              <w:t>分</w:t>
            </w:r>
          </w:p>
        </w:tc>
      </w:tr>
      <w:tr w14:paraId="08AB0A0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6" w:hRule="exact"/>
        </w:trPr>
        <w:tc>
          <w:tcPr>
            <w:tcW w:w="261" w:type="pct"/>
            <w:tcBorders>
              <w:top w:val="single" w:color="080000" w:sz="4" w:space="0"/>
              <w:left w:val="single" w:color="080000" w:sz="4" w:space="0"/>
              <w:bottom w:val="single" w:color="080000" w:sz="4" w:space="0"/>
              <w:right w:val="single" w:color="080000" w:sz="4" w:space="0"/>
            </w:tcBorders>
            <w:noWrap w:val="0"/>
            <w:vAlign w:val="center"/>
          </w:tcPr>
          <w:p w14:paraId="0E4D956B">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5</w:t>
            </w:r>
          </w:p>
        </w:tc>
        <w:tc>
          <w:tcPr>
            <w:tcW w:w="789" w:type="pct"/>
            <w:tcBorders>
              <w:top w:val="single" w:color="080000" w:sz="4" w:space="0"/>
              <w:left w:val="single" w:color="080000" w:sz="4" w:space="0"/>
              <w:bottom w:val="single" w:color="080000" w:sz="4" w:space="0"/>
              <w:right w:val="single" w:color="080000" w:sz="4" w:space="0"/>
            </w:tcBorders>
            <w:noWrap w:val="0"/>
            <w:vAlign w:val="center"/>
          </w:tcPr>
          <w:p w14:paraId="50F6DCF1">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投标保证缴</w:t>
            </w:r>
          </w:p>
          <w:p w14:paraId="1D64A033">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纳截止时间</w:t>
            </w:r>
          </w:p>
        </w:tc>
        <w:tc>
          <w:tcPr>
            <w:tcW w:w="3948" w:type="pct"/>
            <w:tcBorders>
              <w:top w:val="single" w:color="080000" w:sz="4" w:space="0"/>
              <w:left w:val="single" w:color="080000" w:sz="4" w:space="0"/>
              <w:bottom w:val="single" w:color="080000" w:sz="4" w:space="0"/>
              <w:right w:val="single" w:color="080000" w:sz="4" w:space="0"/>
            </w:tcBorders>
            <w:noWrap w:val="0"/>
            <w:vAlign w:val="center"/>
          </w:tcPr>
          <w:p w14:paraId="1D40B22D">
            <w:pPr>
              <w:pStyle w:val="23"/>
              <w:widowControl/>
              <w:snapToGrid w:val="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投标保证金到账截止时间：</w:t>
            </w:r>
            <w:r>
              <w:rPr>
                <w:rFonts w:hint="eastAsia" w:asciiTheme="minorEastAsia" w:hAnsiTheme="minorEastAsia" w:eastAsiaTheme="minorEastAsia" w:cstheme="minorEastAsia"/>
                <w:color w:val="auto"/>
                <w:kern w:val="0"/>
                <w:sz w:val="24"/>
                <w:szCs w:val="24"/>
                <w:highlight w:val="none"/>
                <w:u w:val="single"/>
              </w:rPr>
              <w:t>202</w:t>
            </w:r>
            <w:r>
              <w:rPr>
                <w:rFonts w:hint="eastAsia" w:asciiTheme="minorEastAsia" w:hAnsiTheme="minorEastAsia" w:eastAsiaTheme="minorEastAsia" w:cstheme="minorEastAsia"/>
                <w:color w:val="auto"/>
                <w:kern w:val="0"/>
                <w:sz w:val="24"/>
                <w:szCs w:val="24"/>
                <w:highlight w:val="none"/>
                <w:u w:val="single"/>
                <w:lang w:val="en-US" w:eastAsia="zh-CN"/>
              </w:rPr>
              <w:t>6</w:t>
            </w:r>
            <w:r>
              <w:rPr>
                <w:rFonts w:hint="eastAsia" w:asciiTheme="minorEastAsia" w:hAnsiTheme="minorEastAsia" w:eastAsiaTheme="minorEastAsia" w:cstheme="minorEastAsia"/>
                <w:color w:val="auto"/>
                <w:kern w:val="0"/>
                <w:sz w:val="24"/>
                <w:szCs w:val="24"/>
                <w:highlight w:val="none"/>
              </w:rPr>
              <w:t>年</w:t>
            </w:r>
            <w:r>
              <w:rPr>
                <w:rFonts w:hint="eastAsia" w:asciiTheme="minorEastAsia" w:hAnsiTheme="minorEastAsia" w:eastAsiaTheme="minorEastAsia" w:cstheme="minorEastAsia"/>
                <w:color w:val="auto"/>
                <w:kern w:val="0"/>
                <w:sz w:val="24"/>
                <w:szCs w:val="24"/>
                <w:highlight w:val="none"/>
                <w:u w:val="single"/>
                <w:lang w:val="en-US" w:eastAsia="zh-CN"/>
              </w:rPr>
              <w:t xml:space="preserve"> 10 </w:t>
            </w:r>
            <w:r>
              <w:rPr>
                <w:rFonts w:hint="eastAsia" w:asciiTheme="minorEastAsia" w:hAnsiTheme="minorEastAsia" w:eastAsiaTheme="minorEastAsia" w:cstheme="minorEastAsia"/>
                <w:color w:val="auto"/>
                <w:kern w:val="0"/>
                <w:sz w:val="24"/>
                <w:szCs w:val="24"/>
                <w:highlight w:val="none"/>
              </w:rPr>
              <w:t>月</w:t>
            </w:r>
            <w:r>
              <w:rPr>
                <w:rFonts w:hint="eastAsia" w:asciiTheme="minorEastAsia" w:hAnsiTheme="minorEastAsia" w:eastAsiaTheme="minorEastAsia" w:cstheme="minorEastAsia"/>
                <w:color w:val="auto"/>
                <w:kern w:val="0"/>
                <w:sz w:val="24"/>
                <w:szCs w:val="24"/>
                <w:highlight w:val="none"/>
                <w:u w:val="single"/>
                <w:lang w:val="en-US" w:eastAsia="zh-CN"/>
              </w:rPr>
              <w:t xml:space="preserve"> 29 </w:t>
            </w:r>
            <w:r>
              <w:rPr>
                <w:rFonts w:hint="eastAsia" w:asciiTheme="minorEastAsia" w:hAnsiTheme="minorEastAsia" w:eastAsiaTheme="minorEastAsia" w:cstheme="minorEastAsia"/>
                <w:color w:val="auto"/>
                <w:kern w:val="0"/>
                <w:sz w:val="24"/>
                <w:szCs w:val="24"/>
                <w:highlight w:val="none"/>
              </w:rPr>
              <w:t>日</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 xml:space="preserve">9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30</w:t>
            </w:r>
            <w:r>
              <w:rPr>
                <w:rFonts w:hint="eastAsia" w:asciiTheme="minorEastAsia" w:hAnsiTheme="minorEastAsia" w:eastAsiaTheme="minorEastAsia" w:cstheme="minorEastAsia"/>
                <w:color w:val="auto"/>
                <w:kern w:val="0"/>
                <w:sz w:val="24"/>
                <w:szCs w:val="24"/>
                <w:highlight w:val="none"/>
              </w:rPr>
              <w:t>分；</w:t>
            </w:r>
          </w:p>
          <w:p w14:paraId="432DF6A3">
            <w:pPr>
              <w:pStyle w:val="23"/>
              <w:widowControl/>
              <w:snapToGrid w:val="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投标保证担保上传截止时间：</w:t>
            </w:r>
            <w:r>
              <w:rPr>
                <w:rFonts w:hint="eastAsia" w:asciiTheme="minorEastAsia" w:hAnsiTheme="minorEastAsia" w:eastAsiaTheme="minorEastAsia" w:cstheme="minorEastAsia"/>
                <w:color w:val="auto"/>
                <w:kern w:val="0"/>
                <w:sz w:val="24"/>
                <w:szCs w:val="24"/>
                <w:highlight w:val="none"/>
                <w:u w:val="single"/>
              </w:rPr>
              <w:t>202</w:t>
            </w:r>
            <w:r>
              <w:rPr>
                <w:rFonts w:hint="eastAsia" w:asciiTheme="minorEastAsia" w:hAnsiTheme="minorEastAsia" w:eastAsiaTheme="minorEastAsia" w:cstheme="minorEastAsia"/>
                <w:color w:val="auto"/>
                <w:kern w:val="0"/>
                <w:sz w:val="24"/>
                <w:szCs w:val="24"/>
                <w:highlight w:val="none"/>
                <w:u w:val="single"/>
                <w:lang w:val="en-US" w:eastAsia="zh-CN"/>
              </w:rPr>
              <w:t>6</w:t>
            </w:r>
            <w:r>
              <w:rPr>
                <w:rFonts w:hint="eastAsia" w:asciiTheme="minorEastAsia" w:hAnsiTheme="minorEastAsia" w:eastAsiaTheme="minorEastAsia" w:cstheme="minorEastAsia"/>
                <w:color w:val="auto"/>
                <w:kern w:val="0"/>
                <w:sz w:val="24"/>
                <w:szCs w:val="24"/>
                <w:highlight w:val="none"/>
              </w:rPr>
              <w:t>年</w:t>
            </w:r>
            <w:r>
              <w:rPr>
                <w:rFonts w:hint="eastAsia" w:asciiTheme="minorEastAsia" w:hAnsiTheme="minorEastAsia" w:eastAsiaTheme="minorEastAsia" w:cstheme="minorEastAsia"/>
                <w:color w:val="auto"/>
                <w:kern w:val="0"/>
                <w:sz w:val="24"/>
                <w:szCs w:val="24"/>
                <w:highlight w:val="none"/>
                <w:u w:val="single"/>
                <w:lang w:val="en-US" w:eastAsia="zh-CN"/>
              </w:rPr>
              <w:t xml:space="preserve"> 10 </w:t>
            </w:r>
            <w:r>
              <w:rPr>
                <w:rFonts w:hint="eastAsia" w:asciiTheme="minorEastAsia" w:hAnsiTheme="minorEastAsia" w:eastAsiaTheme="minorEastAsia" w:cstheme="minorEastAsia"/>
                <w:color w:val="auto"/>
                <w:kern w:val="0"/>
                <w:sz w:val="24"/>
                <w:szCs w:val="24"/>
                <w:highlight w:val="none"/>
              </w:rPr>
              <w:t>月</w:t>
            </w:r>
            <w:r>
              <w:rPr>
                <w:rFonts w:hint="eastAsia" w:asciiTheme="minorEastAsia" w:hAnsiTheme="minorEastAsia" w:eastAsiaTheme="minorEastAsia" w:cstheme="minorEastAsia"/>
                <w:color w:val="auto"/>
                <w:kern w:val="0"/>
                <w:sz w:val="24"/>
                <w:szCs w:val="24"/>
                <w:highlight w:val="none"/>
                <w:u w:val="single"/>
                <w:lang w:val="en-US" w:eastAsia="zh-CN"/>
              </w:rPr>
              <w:t xml:space="preserve"> 29 </w:t>
            </w:r>
            <w:r>
              <w:rPr>
                <w:rFonts w:hint="eastAsia" w:asciiTheme="minorEastAsia" w:hAnsiTheme="minorEastAsia" w:eastAsiaTheme="minorEastAsia" w:cstheme="minorEastAsia"/>
                <w:color w:val="auto"/>
                <w:kern w:val="0"/>
                <w:sz w:val="24"/>
                <w:szCs w:val="24"/>
                <w:highlight w:val="none"/>
              </w:rPr>
              <w:t>日</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 xml:space="preserve">9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30</w:t>
            </w:r>
            <w:r>
              <w:rPr>
                <w:rFonts w:hint="eastAsia" w:asciiTheme="minorEastAsia" w:hAnsiTheme="minorEastAsia" w:eastAsiaTheme="minorEastAsia" w:cstheme="minorEastAsia"/>
                <w:color w:val="auto"/>
                <w:kern w:val="0"/>
                <w:sz w:val="24"/>
                <w:szCs w:val="24"/>
                <w:highlight w:val="none"/>
              </w:rPr>
              <w:t>分；</w:t>
            </w:r>
          </w:p>
          <w:p w14:paraId="05B0BDC5">
            <w:pPr>
              <w:pStyle w:val="23"/>
              <w:widowControl/>
              <w:snapToGrid w:val="0"/>
              <w:jc w:val="lef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投标保证保险投保截止时间：</w:t>
            </w:r>
            <w:r>
              <w:rPr>
                <w:rFonts w:hint="eastAsia" w:asciiTheme="minorEastAsia" w:hAnsiTheme="minorEastAsia" w:eastAsiaTheme="minorEastAsia" w:cstheme="minorEastAsia"/>
                <w:color w:val="auto"/>
                <w:kern w:val="0"/>
                <w:sz w:val="24"/>
                <w:szCs w:val="24"/>
                <w:highlight w:val="none"/>
                <w:u w:val="single"/>
              </w:rPr>
              <w:t>202</w:t>
            </w:r>
            <w:r>
              <w:rPr>
                <w:rFonts w:hint="eastAsia" w:asciiTheme="minorEastAsia" w:hAnsiTheme="minorEastAsia" w:eastAsiaTheme="minorEastAsia" w:cstheme="minorEastAsia"/>
                <w:color w:val="auto"/>
                <w:kern w:val="0"/>
                <w:sz w:val="24"/>
                <w:szCs w:val="24"/>
                <w:highlight w:val="none"/>
                <w:u w:val="single"/>
                <w:lang w:val="en-US" w:eastAsia="zh-CN"/>
              </w:rPr>
              <w:t>6</w:t>
            </w:r>
            <w:r>
              <w:rPr>
                <w:rFonts w:hint="eastAsia" w:asciiTheme="minorEastAsia" w:hAnsiTheme="minorEastAsia" w:eastAsiaTheme="minorEastAsia" w:cstheme="minorEastAsia"/>
                <w:color w:val="auto"/>
                <w:kern w:val="0"/>
                <w:sz w:val="24"/>
                <w:szCs w:val="24"/>
                <w:highlight w:val="none"/>
              </w:rPr>
              <w:t>年</w:t>
            </w:r>
            <w:r>
              <w:rPr>
                <w:rFonts w:hint="eastAsia" w:asciiTheme="minorEastAsia" w:hAnsiTheme="minorEastAsia" w:eastAsiaTheme="minorEastAsia" w:cstheme="minorEastAsia"/>
                <w:color w:val="auto"/>
                <w:kern w:val="0"/>
                <w:sz w:val="24"/>
                <w:szCs w:val="24"/>
                <w:highlight w:val="none"/>
                <w:u w:val="single"/>
                <w:lang w:val="en-US" w:eastAsia="zh-CN"/>
              </w:rPr>
              <w:t xml:space="preserve"> 10 </w:t>
            </w:r>
            <w:r>
              <w:rPr>
                <w:rFonts w:hint="eastAsia" w:asciiTheme="minorEastAsia" w:hAnsiTheme="minorEastAsia" w:eastAsiaTheme="minorEastAsia" w:cstheme="minorEastAsia"/>
                <w:color w:val="auto"/>
                <w:kern w:val="0"/>
                <w:sz w:val="24"/>
                <w:szCs w:val="24"/>
                <w:highlight w:val="none"/>
              </w:rPr>
              <w:t>月</w:t>
            </w:r>
            <w:r>
              <w:rPr>
                <w:rFonts w:hint="eastAsia" w:asciiTheme="minorEastAsia" w:hAnsiTheme="minorEastAsia" w:eastAsiaTheme="minorEastAsia" w:cstheme="minorEastAsia"/>
                <w:color w:val="auto"/>
                <w:kern w:val="0"/>
                <w:sz w:val="24"/>
                <w:szCs w:val="24"/>
                <w:highlight w:val="none"/>
                <w:u w:val="single"/>
                <w:lang w:val="en-US" w:eastAsia="zh-CN"/>
              </w:rPr>
              <w:t xml:space="preserve"> 29 </w:t>
            </w:r>
            <w:r>
              <w:rPr>
                <w:rFonts w:hint="eastAsia" w:asciiTheme="minorEastAsia" w:hAnsiTheme="minorEastAsia" w:eastAsiaTheme="minorEastAsia" w:cstheme="minorEastAsia"/>
                <w:color w:val="auto"/>
                <w:kern w:val="0"/>
                <w:sz w:val="24"/>
                <w:szCs w:val="24"/>
                <w:highlight w:val="none"/>
              </w:rPr>
              <w:t>日</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 xml:space="preserve">9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30</w:t>
            </w:r>
            <w:r>
              <w:rPr>
                <w:rFonts w:hint="eastAsia" w:asciiTheme="minorEastAsia" w:hAnsiTheme="minorEastAsia" w:eastAsiaTheme="minorEastAsia" w:cstheme="minorEastAsia"/>
                <w:color w:val="auto"/>
                <w:kern w:val="0"/>
                <w:sz w:val="24"/>
                <w:szCs w:val="24"/>
                <w:highlight w:val="none"/>
              </w:rPr>
              <w:t>分。</w:t>
            </w:r>
          </w:p>
        </w:tc>
      </w:tr>
      <w:tr w14:paraId="1F1685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12" w:hRule="exact"/>
        </w:trPr>
        <w:tc>
          <w:tcPr>
            <w:tcW w:w="261" w:type="pct"/>
            <w:tcBorders>
              <w:top w:val="single" w:color="080000" w:sz="4" w:space="0"/>
              <w:left w:val="single" w:color="080000" w:sz="4" w:space="0"/>
              <w:bottom w:val="single" w:color="080000" w:sz="4" w:space="0"/>
              <w:right w:val="single" w:color="080000" w:sz="4" w:space="0"/>
            </w:tcBorders>
            <w:noWrap w:val="0"/>
            <w:vAlign w:val="center"/>
          </w:tcPr>
          <w:p w14:paraId="59A00429">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6</w:t>
            </w:r>
          </w:p>
        </w:tc>
        <w:tc>
          <w:tcPr>
            <w:tcW w:w="789" w:type="pct"/>
            <w:tcBorders>
              <w:top w:val="single" w:color="080000" w:sz="4" w:space="0"/>
              <w:left w:val="single" w:color="080000" w:sz="4" w:space="0"/>
              <w:bottom w:val="single" w:color="080000" w:sz="4" w:space="0"/>
              <w:right w:val="single" w:color="080000" w:sz="4" w:space="0"/>
            </w:tcBorders>
            <w:noWrap w:val="0"/>
            <w:vAlign w:val="center"/>
          </w:tcPr>
          <w:p w14:paraId="4FF717AD">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电子投标</w:t>
            </w:r>
          </w:p>
          <w:p w14:paraId="5A5F2D40">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截止时间 </w:t>
            </w:r>
          </w:p>
        </w:tc>
        <w:tc>
          <w:tcPr>
            <w:tcW w:w="3948" w:type="pct"/>
            <w:tcBorders>
              <w:top w:val="single" w:color="080000" w:sz="4" w:space="0"/>
              <w:left w:val="single" w:color="080000" w:sz="4" w:space="0"/>
              <w:bottom w:val="single" w:color="080000" w:sz="4" w:space="0"/>
              <w:right w:val="single" w:color="080000" w:sz="4" w:space="0"/>
            </w:tcBorders>
            <w:noWrap w:val="0"/>
            <w:vAlign w:val="center"/>
          </w:tcPr>
          <w:p w14:paraId="6912829C">
            <w:pPr>
              <w:pStyle w:val="23"/>
              <w:widowControl/>
              <w:snapToGrid w:val="0"/>
              <w:jc w:val="lef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 </w:t>
            </w:r>
            <w:r>
              <w:rPr>
                <w:rFonts w:hint="eastAsia" w:asciiTheme="minorEastAsia" w:hAnsiTheme="minorEastAsia" w:eastAsiaTheme="minorEastAsia" w:cstheme="minorEastAsia"/>
                <w:color w:val="auto"/>
                <w:kern w:val="0"/>
                <w:sz w:val="24"/>
                <w:szCs w:val="24"/>
                <w:highlight w:val="none"/>
                <w:u w:val="single"/>
              </w:rPr>
              <w:t>202</w:t>
            </w:r>
            <w:r>
              <w:rPr>
                <w:rFonts w:hint="eastAsia" w:asciiTheme="minorEastAsia" w:hAnsiTheme="minorEastAsia" w:eastAsiaTheme="minorEastAsia" w:cstheme="minorEastAsia"/>
                <w:color w:val="auto"/>
                <w:kern w:val="0"/>
                <w:sz w:val="24"/>
                <w:szCs w:val="24"/>
                <w:highlight w:val="none"/>
                <w:u w:val="single"/>
                <w:lang w:val="en-US" w:eastAsia="zh-CN"/>
              </w:rPr>
              <w:t>6</w:t>
            </w:r>
            <w:r>
              <w:rPr>
                <w:rFonts w:hint="eastAsia" w:asciiTheme="minorEastAsia" w:hAnsiTheme="minorEastAsia" w:eastAsiaTheme="minorEastAsia" w:cstheme="minorEastAsia"/>
                <w:color w:val="auto"/>
                <w:kern w:val="0"/>
                <w:sz w:val="24"/>
                <w:szCs w:val="24"/>
                <w:highlight w:val="none"/>
              </w:rPr>
              <w:t>年</w:t>
            </w:r>
            <w:r>
              <w:rPr>
                <w:rFonts w:hint="eastAsia" w:asciiTheme="minorEastAsia" w:hAnsiTheme="minorEastAsia" w:eastAsiaTheme="minorEastAsia" w:cstheme="minorEastAsia"/>
                <w:color w:val="auto"/>
                <w:kern w:val="0"/>
                <w:sz w:val="24"/>
                <w:szCs w:val="24"/>
                <w:highlight w:val="none"/>
                <w:u w:val="single"/>
                <w:lang w:val="en-US" w:eastAsia="zh-CN"/>
              </w:rPr>
              <w:t xml:space="preserve"> 10 </w:t>
            </w:r>
            <w:r>
              <w:rPr>
                <w:rFonts w:hint="eastAsia" w:asciiTheme="minorEastAsia" w:hAnsiTheme="minorEastAsia" w:eastAsiaTheme="minorEastAsia" w:cstheme="minorEastAsia"/>
                <w:color w:val="auto"/>
                <w:kern w:val="0"/>
                <w:sz w:val="24"/>
                <w:szCs w:val="24"/>
                <w:highlight w:val="none"/>
              </w:rPr>
              <w:t>月</w:t>
            </w:r>
            <w:r>
              <w:rPr>
                <w:rFonts w:hint="eastAsia" w:asciiTheme="minorEastAsia" w:hAnsiTheme="minorEastAsia" w:eastAsiaTheme="minorEastAsia" w:cstheme="minorEastAsia"/>
                <w:color w:val="auto"/>
                <w:kern w:val="0"/>
                <w:sz w:val="24"/>
                <w:szCs w:val="24"/>
                <w:highlight w:val="none"/>
                <w:u w:val="single"/>
                <w:lang w:val="en-US" w:eastAsia="zh-CN"/>
              </w:rPr>
              <w:t xml:space="preserve"> 30 </w:t>
            </w:r>
            <w:r>
              <w:rPr>
                <w:rFonts w:hint="eastAsia" w:asciiTheme="minorEastAsia" w:hAnsiTheme="minorEastAsia" w:eastAsiaTheme="minorEastAsia" w:cstheme="minorEastAsia"/>
                <w:color w:val="auto"/>
                <w:kern w:val="0"/>
                <w:sz w:val="24"/>
                <w:szCs w:val="24"/>
                <w:highlight w:val="none"/>
              </w:rPr>
              <w:t>日</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 xml:space="preserve">9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30</w:t>
            </w:r>
            <w:r>
              <w:rPr>
                <w:rFonts w:hint="eastAsia" w:asciiTheme="minorEastAsia" w:hAnsiTheme="minorEastAsia" w:eastAsiaTheme="minorEastAsia" w:cstheme="minorEastAsia"/>
                <w:color w:val="auto"/>
                <w:kern w:val="0"/>
                <w:sz w:val="24"/>
                <w:szCs w:val="24"/>
                <w:highlight w:val="none"/>
              </w:rPr>
              <w:t>分</w:t>
            </w:r>
          </w:p>
        </w:tc>
      </w:tr>
      <w:tr w14:paraId="55B6646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trPr>
        <w:tc>
          <w:tcPr>
            <w:tcW w:w="261" w:type="pct"/>
            <w:tcBorders>
              <w:top w:val="single" w:color="080000" w:sz="4" w:space="0"/>
              <w:left w:val="single" w:color="080000" w:sz="4" w:space="0"/>
              <w:bottom w:val="single" w:color="080000" w:sz="4" w:space="0"/>
              <w:right w:val="single" w:color="080000" w:sz="4" w:space="0"/>
            </w:tcBorders>
            <w:noWrap w:val="0"/>
            <w:vAlign w:val="center"/>
          </w:tcPr>
          <w:p w14:paraId="37B43FFC">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7</w:t>
            </w:r>
          </w:p>
        </w:tc>
        <w:tc>
          <w:tcPr>
            <w:tcW w:w="789" w:type="pct"/>
            <w:tcBorders>
              <w:top w:val="single" w:color="080000" w:sz="4" w:space="0"/>
              <w:left w:val="single" w:color="080000" w:sz="4" w:space="0"/>
              <w:bottom w:val="single" w:color="080000" w:sz="4" w:space="0"/>
              <w:right w:val="single" w:color="080000" w:sz="4" w:space="0"/>
            </w:tcBorders>
            <w:noWrap w:val="0"/>
            <w:vAlign w:val="center"/>
          </w:tcPr>
          <w:p w14:paraId="311C413B">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相关评审资料原件（如有）</w:t>
            </w:r>
          </w:p>
          <w:p w14:paraId="4134FA58">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rPr>
              <w:t>递交时间</w:t>
            </w:r>
          </w:p>
        </w:tc>
        <w:tc>
          <w:tcPr>
            <w:tcW w:w="3948" w:type="pct"/>
            <w:tcBorders>
              <w:top w:val="single" w:color="080000" w:sz="4" w:space="0"/>
              <w:left w:val="single" w:color="080000" w:sz="4" w:space="0"/>
              <w:bottom w:val="single" w:color="080000" w:sz="4" w:space="0"/>
              <w:right w:val="single" w:color="080000" w:sz="4" w:space="0"/>
            </w:tcBorders>
            <w:noWrap w:val="0"/>
            <w:vAlign w:val="center"/>
          </w:tcPr>
          <w:p w14:paraId="0CB64394">
            <w:pPr>
              <w:pStyle w:val="23"/>
              <w:widowControl/>
              <w:snapToGrid w:val="0"/>
              <w:jc w:val="lef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u w:val="single"/>
              </w:rPr>
              <w:t>202</w:t>
            </w:r>
            <w:r>
              <w:rPr>
                <w:rFonts w:hint="eastAsia" w:asciiTheme="minorEastAsia" w:hAnsiTheme="minorEastAsia" w:eastAsiaTheme="minorEastAsia" w:cstheme="minorEastAsia"/>
                <w:color w:val="auto"/>
                <w:kern w:val="0"/>
                <w:sz w:val="24"/>
                <w:szCs w:val="24"/>
                <w:highlight w:val="none"/>
                <w:u w:val="single"/>
                <w:lang w:val="en-US" w:eastAsia="zh-CN"/>
              </w:rPr>
              <w:t>6</w:t>
            </w:r>
            <w:r>
              <w:rPr>
                <w:rFonts w:hint="eastAsia" w:asciiTheme="minorEastAsia" w:hAnsiTheme="minorEastAsia" w:eastAsiaTheme="minorEastAsia" w:cstheme="minorEastAsia"/>
                <w:color w:val="auto"/>
                <w:kern w:val="0"/>
                <w:sz w:val="24"/>
                <w:szCs w:val="24"/>
                <w:highlight w:val="none"/>
              </w:rPr>
              <w:t>年</w:t>
            </w:r>
            <w:r>
              <w:rPr>
                <w:rFonts w:hint="eastAsia" w:asciiTheme="minorEastAsia" w:hAnsiTheme="minorEastAsia" w:eastAsiaTheme="minorEastAsia" w:cstheme="minorEastAsia"/>
                <w:color w:val="auto"/>
                <w:kern w:val="0"/>
                <w:sz w:val="24"/>
                <w:szCs w:val="24"/>
                <w:highlight w:val="none"/>
                <w:u w:val="single"/>
                <w:lang w:val="en-US" w:eastAsia="zh-CN"/>
              </w:rPr>
              <w:t xml:space="preserve"> 10 </w:t>
            </w:r>
            <w:r>
              <w:rPr>
                <w:rFonts w:hint="eastAsia" w:asciiTheme="minorEastAsia" w:hAnsiTheme="minorEastAsia" w:eastAsiaTheme="minorEastAsia" w:cstheme="minorEastAsia"/>
                <w:color w:val="auto"/>
                <w:kern w:val="0"/>
                <w:sz w:val="24"/>
                <w:szCs w:val="24"/>
                <w:highlight w:val="none"/>
              </w:rPr>
              <w:t>月</w:t>
            </w:r>
            <w:r>
              <w:rPr>
                <w:rFonts w:hint="eastAsia" w:asciiTheme="minorEastAsia" w:hAnsiTheme="minorEastAsia" w:eastAsiaTheme="minorEastAsia" w:cstheme="minorEastAsia"/>
                <w:color w:val="auto"/>
                <w:kern w:val="0"/>
                <w:sz w:val="24"/>
                <w:szCs w:val="24"/>
                <w:highlight w:val="none"/>
                <w:u w:val="single"/>
                <w:lang w:val="en-US" w:eastAsia="zh-CN"/>
              </w:rPr>
              <w:t xml:space="preserve"> 30 </w:t>
            </w:r>
            <w:r>
              <w:rPr>
                <w:rFonts w:hint="eastAsia" w:asciiTheme="minorEastAsia" w:hAnsiTheme="minorEastAsia" w:eastAsiaTheme="minorEastAsia" w:cstheme="minorEastAsia"/>
                <w:color w:val="auto"/>
                <w:kern w:val="0"/>
                <w:sz w:val="24"/>
                <w:szCs w:val="24"/>
                <w:highlight w:val="none"/>
              </w:rPr>
              <w:t>日</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 xml:space="preserve">9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00</w:t>
            </w:r>
            <w:r>
              <w:rPr>
                <w:rFonts w:hint="eastAsia" w:asciiTheme="minorEastAsia" w:hAnsiTheme="minorEastAsia" w:eastAsiaTheme="minorEastAsia" w:cstheme="minorEastAsia"/>
                <w:color w:val="auto"/>
                <w:kern w:val="0"/>
                <w:sz w:val="24"/>
                <w:szCs w:val="24"/>
                <w:highlight w:val="none"/>
              </w:rPr>
              <w:t>分至</w:t>
            </w:r>
            <w:r>
              <w:rPr>
                <w:rFonts w:hint="eastAsia" w:asciiTheme="minorEastAsia" w:hAnsiTheme="minorEastAsia" w:eastAsiaTheme="minorEastAsia" w:cstheme="minorEastAsia"/>
                <w:color w:val="auto"/>
                <w:kern w:val="0"/>
                <w:sz w:val="24"/>
                <w:szCs w:val="24"/>
                <w:highlight w:val="none"/>
                <w:u w:val="single"/>
              </w:rPr>
              <w:t>202</w:t>
            </w:r>
            <w:r>
              <w:rPr>
                <w:rFonts w:hint="eastAsia" w:asciiTheme="minorEastAsia" w:hAnsiTheme="minorEastAsia" w:eastAsiaTheme="minorEastAsia" w:cstheme="minorEastAsia"/>
                <w:color w:val="auto"/>
                <w:kern w:val="0"/>
                <w:sz w:val="24"/>
                <w:szCs w:val="24"/>
                <w:highlight w:val="none"/>
                <w:u w:val="single"/>
                <w:lang w:val="en-US" w:eastAsia="zh-CN"/>
              </w:rPr>
              <w:t>6</w:t>
            </w:r>
            <w:r>
              <w:rPr>
                <w:rFonts w:hint="eastAsia" w:asciiTheme="minorEastAsia" w:hAnsiTheme="minorEastAsia" w:eastAsiaTheme="minorEastAsia" w:cstheme="minorEastAsia"/>
                <w:color w:val="auto"/>
                <w:kern w:val="0"/>
                <w:sz w:val="24"/>
                <w:szCs w:val="24"/>
                <w:highlight w:val="none"/>
              </w:rPr>
              <w:t>年</w:t>
            </w:r>
            <w:r>
              <w:rPr>
                <w:rFonts w:hint="eastAsia" w:asciiTheme="minorEastAsia" w:hAnsiTheme="minorEastAsia" w:eastAsiaTheme="minorEastAsia" w:cstheme="minorEastAsia"/>
                <w:color w:val="auto"/>
                <w:kern w:val="0"/>
                <w:sz w:val="24"/>
                <w:szCs w:val="24"/>
                <w:highlight w:val="none"/>
                <w:u w:val="single"/>
                <w:lang w:val="en-US" w:eastAsia="zh-CN"/>
              </w:rPr>
              <w:t xml:space="preserve"> 10 </w:t>
            </w:r>
            <w:r>
              <w:rPr>
                <w:rFonts w:hint="eastAsia" w:asciiTheme="minorEastAsia" w:hAnsiTheme="minorEastAsia" w:eastAsiaTheme="minorEastAsia" w:cstheme="minorEastAsia"/>
                <w:color w:val="auto"/>
                <w:kern w:val="0"/>
                <w:sz w:val="24"/>
                <w:szCs w:val="24"/>
                <w:highlight w:val="none"/>
              </w:rPr>
              <w:t>月</w:t>
            </w:r>
            <w:r>
              <w:rPr>
                <w:rFonts w:hint="eastAsia" w:asciiTheme="minorEastAsia" w:hAnsiTheme="minorEastAsia" w:eastAsiaTheme="minorEastAsia" w:cstheme="minorEastAsia"/>
                <w:color w:val="auto"/>
                <w:kern w:val="0"/>
                <w:sz w:val="24"/>
                <w:szCs w:val="24"/>
                <w:highlight w:val="none"/>
                <w:u w:val="single"/>
                <w:lang w:val="en-US" w:eastAsia="zh-CN"/>
              </w:rPr>
              <w:t xml:space="preserve"> 30 </w:t>
            </w:r>
            <w:r>
              <w:rPr>
                <w:rFonts w:hint="eastAsia" w:asciiTheme="minorEastAsia" w:hAnsiTheme="minorEastAsia" w:eastAsiaTheme="minorEastAsia" w:cstheme="minorEastAsia"/>
                <w:color w:val="auto"/>
                <w:kern w:val="0"/>
                <w:sz w:val="24"/>
                <w:szCs w:val="24"/>
                <w:highlight w:val="none"/>
              </w:rPr>
              <w:t>日</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 xml:space="preserve">9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30</w:t>
            </w:r>
            <w:r>
              <w:rPr>
                <w:rFonts w:hint="eastAsia" w:asciiTheme="minorEastAsia" w:hAnsiTheme="minorEastAsia" w:eastAsiaTheme="minorEastAsia" w:cstheme="minorEastAsia"/>
                <w:color w:val="auto"/>
                <w:kern w:val="0"/>
                <w:sz w:val="24"/>
                <w:szCs w:val="24"/>
                <w:highlight w:val="none"/>
              </w:rPr>
              <w:t>分</w:t>
            </w:r>
          </w:p>
        </w:tc>
      </w:tr>
      <w:tr w14:paraId="12EB082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0" w:hRule="atLeast"/>
        </w:trPr>
        <w:tc>
          <w:tcPr>
            <w:tcW w:w="261" w:type="pct"/>
            <w:tcBorders>
              <w:top w:val="single" w:color="080000" w:sz="4" w:space="0"/>
              <w:left w:val="single" w:color="080000" w:sz="4" w:space="0"/>
              <w:bottom w:val="single" w:color="080000" w:sz="4" w:space="0"/>
              <w:right w:val="single" w:color="080000" w:sz="4" w:space="0"/>
            </w:tcBorders>
            <w:noWrap w:val="0"/>
            <w:vAlign w:val="center"/>
          </w:tcPr>
          <w:p w14:paraId="18A1B742">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8</w:t>
            </w:r>
          </w:p>
        </w:tc>
        <w:tc>
          <w:tcPr>
            <w:tcW w:w="789" w:type="pct"/>
            <w:tcBorders>
              <w:top w:val="single" w:color="080000" w:sz="4" w:space="0"/>
              <w:left w:val="single" w:color="080000" w:sz="4" w:space="0"/>
              <w:bottom w:val="single" w:color="080000" w:sz="4" w:space="0"/>
              <w:right w:val="single" w:color="080000" w:sz="4" w:space="0"/>
            </w:tcBorders>
            <w:noWrap w:val="0"/>
            <w:vAlign w:val="center"/>
          </w:tcPr>
          <w:p w14:paraId="54289C8D">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相关评审资料原件（如有）</w:t>
            </w:r>
          </w:p>
          <w:p w14:paraId="2E88370A">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rPr>
              <w:t>递交地点</w:t>
            </w:r>
          </w:p>
        </w:tc>
        <w:tc>
          <w:tcPr>
            <w:tcW w:w="3948" w:type="pct"/>
            <w:tcBorders>
              <w:top w:val="single" w:color="080000" w:sz="4" w:space="0"/>
              <w:left w:val="single" w:color="080000" w:sz="4" w:space="0"/>
              <w:bottom w:val="single" w:color="080000" w:sz="4" w:space="0"/>
              <w:right w:val="single" w:color="080000" w:sz="4" w:space="0"/>
            </w:tcBorders>
            <w:noWrap w:val="0"/>
            <w:vAlign w:val="center"/>
          </w:tcPr>
          <w:p w14:paraId="04F1BB78">
            <w:pPr>
              <w:pStyle w:val="23"/>
              <w:wordWrap w:val="0"/>
              <w:adjustRightInd w:val="0"/>
              <w:snapToGrid w:val="0"/>
              <w:spacing w:line="40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递交场所：</w:t>
            </w:r>
            <w:r>
              <w:rPr>
                <w:rFonts w:hint="eastAsia" w:asciiTheme="minorEastAsia" w:hAnsiTheme="minorEastAsia" w:eastAsiaTheme="minorEastAsia" w:cstheme="minorEastAsia"/>
                <w:snapToGrid w:val="0"/>
                <w:color w:val="auto"/>
                <w:kern w:val="0"/>
                <w:sz w:val="24"/>
                <w:szCs w:val="24"/>
                <w:highlight w:val="none"/>
                <w:lang w:eastAsia="zh-CN"/>
              </w:rPr>
              <w:t>韶关市公共资源交易中心乳源分中心</w:t>
            </w:r>
          </w:p>
          <w:p w14:paraId="6A9A321B">
            <w:pPr>
              <w:pStyle w:val="23"/>
              <w:wordWrap w:val="0"/>
              <w:adjustRightInd w:val="0"/>
              <w:snapToGrid w:val="0"/>
              <w:spacing w:line="40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地址：</w:t>
            </w:r>
            <w:r>
              <w:rPr>
                <w:rFonts w:hint="eastAsia" w:asciiTheme="minorEastAsia" w:hAnsiTheme="minorEastAsia" w:eastAsiaTheme="minorEastAsia" w:cstheme="minorEastAsia"/>
                <w:snapToGrid w:val="0"/>
                <w:color w:val="auto"/>
                <w:kern w:val="0"/>
                <w:sz w:val="24"/>
                <w:szCs w:val="24"/>
                <w:highlight w:val="none"/>
                <w:lang w:eastAsia="zh-CN"/>
              </w:rPr>
              <w:t>韶关市公共资源交易中心乳源分中心(韶关市乳源瑶族自治县乳城镇北环中路乳源农旅特色小镇政务服务大厅4号楼3楼(京港澳高速乳源收费站路口旁)，具体递交场所以当日现场通知为准。</w:t>
            </w:r>
          </w:p>
        </w:tc>
      </w:tr>
      <w:tr w14:paraId="4504442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10" w:hRule="exact"/>
        </w:trPr>
        <w:tc>
          <w:tcPr>
            <w:tcW w:w="261" w:type="pct"/>
            <w:tcBorders>
              <w:top w:val="single" w:color="080000" w:sz="4" w:space="0"/>
              <w:left w:val="single" w:color="080000" w:sz="4" w:space="0"/>
              <w:bottom w:val="single" w:color="080000" w:sz="4" w:space="0"/>
              <w:right w:val="single" w:color="080000" w:sz="4" w:space="0"/>
            </w:tcBorders>
            <w:noWrap w:val="0"/>
            <w:vAlign w:val="center"/>
          </w:tcPr>
          <w:p w14:paraId="62A28B4E">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9</w:t>
            </w:r>
          </w:p>
        </w:tc>
        <w:tc>
          <w:tcPr>
            <w:tcW w:w="789" w:type="pct"/>
            <w:tcBorders>
              <w:top w:val="single" w:color="080000" w:sz="4" w:space="0"/>
              <w:left w:val="single" w:color="080000" w:sz="4" w:space="0"/>
              <w:bottom w:val="single" w:color="080000" w:sz="4" w:space="0"/>
              <w:right w:val="single" w:color="080000" w:sz="4" w:space="0"/>
            </w:tcBorders>
            <w:noWrap w:val="0"/>
            <w:vAlign w:val="center"/>
          </w:tcPr>
          <w:p w14:paraId="732D7C5B">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开标时间 </w:t>
            </w:r>
          </w:p>
        </w:tc>
        <w:tc>
          <w:tcPr>
            <w:tcW w:w="3948" w:type="pct"/>
            <w:tcBorders>
              <w:top w:val="single" w:color="080000" w:sz="4" w:space="0"/>
              <w:left w:val="single" w:color="080000" w:sz="4" w:space="0"/>
              <w:bottom w:val="single" w:color="080000" w:sz="4" w:space="0"/>
              <w:right w:val="single" w:color="080000" w:sz="4" w:space="0"/>
            </w:tcBorders>
            <w:noWrap w:val="0"/>
            <w:vAlign w:val="center"/>
          </w:tcPr>
          <w:p w14:paraId="062BD9D5">
            <w:pPr>
              <w:pStyle w:val="23"/>
              <w:wordWrap w:val="0"/>
              <w:adjustRightInd w:val="0"/>
              <w:snapToGrid w:val="0"/>
              <w:spacing w:line="400" w:lineRule="exact"/>
              <w:jc w:val="lef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 </w:t>
            </w:r>
            <w:r>
              <w:rPr>
                <w:rFonts w:hint="eastAsia" w:asciiTheme="minorEastAsia" w:hAnsiTheme="minorEastAsia" w:eastAsiaTheme="minorEastAsia" w:cstheme="minorEastAsia"/>
                <w:color w:val="auto"/>
                <w:kern w:val="0"/>
                <w:sz w:val="24"/>
                <w:szCs w:val="24"/>
                <w:highlight w:val="none"/>
                <w:u w:val="single"/>
              </w:rPr>
              <w:t>202</w:t>
            </w:r>
            <w:r>
              <w:rPr>
                <w:rFonts w:hint="eastAsia" w:asciiTheme="minorEastAsia" w:hAnsiTheme="minorEastAsia" w:eastAsiaTheme="minorEastAsia" w:cstheme="minorEastAsia"/>
                <w:color w:val="auto"/>
                <w:kern w:val="0"/>
                <w:sz w:val="24"/>
                <w:szCs w:val="24"/>
                <w:highlight w:val="none"/>
                <w:u w:val="single"/>
                <w:lang w:val="en-US" w:eastAsia="zh-CN"/>
              </w:rPr>
              <w:t>6</w:t>
            </w:r>
            <w:r>
              <w:rPr>
                <w:rFonts w:hint="eastAsia" w:asciiTheme="minorEastAsia" w:hAnsiTheme="minorEastAsia" w:eastAsiaTheme="minorEastAsia" w:cstheme="minorEastAsia"/>
                <w:color w:val="auto"/>
                <w:kern w:val="0"/>
                <w:sz w:val="24"/>
                <w:szCs w:val="24"/>
                <w:highlight w:val="none"/>
              </w:rPr>
              <w:t>年</w:t>
            </w:r>
            <w:r>
              <w:rPr>
                <w:rFonts w:hint="eastAsia" w:asciiTheme="minorEastAsia" w:hAnsiTheme="minorEastAsia" w:eastAsiaTheme="minorEastAsia" w:cstheme="minorEastAsia"/>
                <w:color w:val="auto"/>
                <w:kern w:val="0"/>
                <w:sz w:val="24"/>
                <w:szCs w:val="24"/>
                <w:highlight w:val="none"/>
                <w:u w:val="single"/>
                <w:lang w:val="en-US" w:eastAsia="zh-CN"/>
              </w:rPr>
              <w:t xml:space="preserve"> 10 </w:t>
            </w:r>
            <w:r>
              <w:rPr>
                <w:rFonts w:hint="eastAsia" w:asciiTheme="minorEastAsia" w:hAnsiTheme="minorEastAsia" w:eastAsiaTheme="minorEastAsia" w:cstheme="minorEastAsia"/>
                <w:color w:val="auto"/>
                <w:kern w:val="0"/>
                <w:sz w:val="24"/>
                <w:szCs w:val="24"/>
                <w:highlight w:val="none"/>
              </w:rPr>
              <w:t>月</w:t>
            </w:r>
            <w:r>
              <w:rPr>
                <w:rFonts w:hint="eastAsia" w:asciiTheme="minorEastAsia" w:hAnsiTheme="minorEastAsia" w:eastAsiaTheme="minorEastAsia" w:cstheme="minorEastAsia"/>
                <w:color w:val="auto"/>
                <w:kern w:val="0"/>
                <w:sz w:val="24"/>
                <w:szCs w:val="24"/>
                <w:highlight w:val="none"/>
                <w:u w:val="single"/>
                <w:lang w:val="en-US" w:eastAsia="zh-CN"/>
              </w:rPr>
              <w:t xml:space="preserve"> 30 </w:t>
            </w:r>
            <w:r>
              <w:rPr>
                <w:rFonts w:hint="eastAsia" w:asciiTheme="minorEastAsia" w:hAnsiTheme="minorEastAsia" w:eastAsiaTheme="minorEastAsia" w:cstheme="minorEastAsia"/>
                <w:color w:val="auto"/>
                <w:kern w:val="0"/>
                <w:sz w:val="24"/>
                <w:szCs w:val="24"/>
                <w:highlight w:val="none"/>
              </w:rPr>
              <w:t>日</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 xml:space="preserve">9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color w:val="auto"/>
                <w:kern w:val="0"/>
                <w:sz w:val="24"/>
                <w:szCs w:val="24"/>
                <w:highlight w:val="none"/>
                <w:u w:val="single"/>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30</w:t>
            </w:r>
            <w:r>
              <w:rPr>
                <w:rFonts w:hint="eastAsia" w:asciiTheme="minorEastAsia" w:hAnsiTheme="minorEastAsia" w:eastAsiaTheme="minorEastAsia" w:cstheme="minorEastAsia"/>
                <w:color w:val="auto"/>
                <w:kern w:val="0"/>
                <w:sz w:val="24"/>
                <w:szCs w:val="24"/>
                <w:highlight w:val="none"/>
              </w:rPr>
              <w:t>分</w:t>
            </w:r>
          </w:p>
        </w:tc>
      </w:tr>
      <w:tr w14:paraId="25874C2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0" w:hRule="atLeast"/>
        </w:trPr>
        <w:tc>
          <w:tcPr>
            <w:tcW w:w="261" w:type="pct"/>
            <w:tcBorders>
              <w:top w:val="single" w:color="080000" w:sz="4" w:space="0"/>
              <w:left w:val="single" w:color="080000" w:sz="4" w:space="0"/>
              <w:bottom w:val="single" w:color="080000" w:sz="4" w:space="0"/>
              <w:right w:val="single" w:color="080000" w:sz="4" w:space="0"/>
            </w:tcBorders>
            <w:noWrap w:val="0"/>
            <w:vAlign w:val="center"/>
          </w:tcPr>
          <w:p w14:paraId="674AD753">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10</w:t>
            </w:r>
          </w:p>
        </w:tc>
        <w:tc>
          <w:tcPr>
            <w:tcW w:w="789" w:type="pct"/>
            <w:tcBorders>
              <w:top w:val="single" w:color="080000" w:sz="4" w:space="0"/>
              <w:left w:val="single" w:color="080000" w:sz="4" w:space="0"/>
              <w:bottom w:val="single" w:color="080000" w:sz="4" w:space="0"/>
              <w:right w:val="single" w:color="080000" w:sz="4" w:space="0"/>
            </w:tcBorders>
            <w:noWrap w:val="0"/>
            <w:vAlign w:val="center"/>
          </w:tcPr>
          <w:p w14:paraId="464FC44D">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开标地点 </w:t>
            </w:r>
          </w:p>
        </w:tc>
        <w:tc>
          <w:tcPr>
            <w:tcW w:w="3948" w:type="pct"/>
            <w:tcBorders>
              <w:top w:val="single" w:color="080000" w:sz="4" w:space="0"/>
              <w:left w:val="single" w:color="080000" w:sz="4" w:space="0"/>
              <w:bottom w:val="single" w:color="080000" w:sz="4" w:space="0"/>
              <w:right w:val="single" w:color="080000" w:sz="4" w:space="0"/>
            </w:tcBorders>
            <w:noWrap w:val="0"/>
            <w:vAlign w:val="center"/>
          </w:tcPr>
          <w:p w14:paraId="2A73621B">
            <w:pPr>
              <w:pStyle w:val="23"/>
              <w:wordWrap w:val="0"/>
              <w:adjustRightInd w:val="0"/>
              <w:snapToGrid w:val="0"/>
              <w:spacing w:line="40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开标场所：</w:t>
            </w:r>
            <w:r>
              <w:rPr>
                <w:rFonts w:hint="eastAsia" w:asciiTheme="minorEastAsia" w:hAnsiTheme="minorEastAsia" w:eastAsiaTheme="minorEastAsia" w:cstheme="minorEastAsia"/>
                <w:snapToGrid w:val="0"/>
                <w:color w:val="auto"/>
                <w:kern w:val="0"/>
                <w:sz w:val="24"/>
                <w:szCs w:val="24"/>
                <w:highlight w:val="none"/>
                <w:lang w:eastAsia="zh-CN"/>
              </w:rPr>
              <w:t>韶关市公共资源交易中心乳源分中心</w:t>
            </w:r>
          </w:p>
          <w:p w14:paraId="15CA77CA">
            <w:pPr>
              <w:pStyle w:val="23"/>
              <w:wordWrap w:val="0"/>
              <w:adjustRightInd w:val="0"/>
              <w:snapToGrid w:val="0"/>
              <w:spacing w:line="40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地址：</w:t>
            </w:r>
            <w:r>
              <w:rPr>
                <w:rFonts w:hint="eastAsia" w:asciiTheme="minorEastAsia" w:hAnsiTheme="minorEastAsia" w:eastAsiaTheme="minorEastAsia" w:cstheme="minorEastAsia"/>
                <w:snapToGrid w:val="0"/>
                <w:color w:val="auto"/>
                <w:kern w:val="0"/>
                <w:sz w:val="24"/>
                <w:szCs w:val="24"/>
                <w:highlight w:val="none"/>
                <w:lang w:eastAsia="zh-CN"/>
              </w:rPr>
              <w:t>韶关市公共资源交易中心乳源分中心(韶关市乳源瑶族自治县乳城镇北环中路乳源农旅特色小镇政务服务大厅4号楼3楼(京港澳高速乳源收费站路口旁)，具体递交场所以当日现场通知为准。</w:t>
            </w:r>
          </w:p>
        </w:tc>
      </w:tr>
      <w:tr w14:paraId="16AA429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98" w:hRule="exact"/>
        </w:trPr>
        <w:tc>
          <w:tcPr>
            <w:tcW w:w="1051" w:type="pct"/>
            <w:gridSpan w:val="2"/>
            <w:tcBorders>
              <w:top w:val="single" w:color="080000" w:sz="4" w:space="0"/>
              <w:left w:val="single" w:color="080000" w:sz="4" w:space="0"/>
              <w:bottom w:val="single" w:color="080000" w:sz="4" w:space="0"/>
              <w:right w:val="single" w:color="080000" w:sz="4" w:space="0"/>
            </w:tcBorders>
            <w:noWrap w:val="0"/>
            <w:vAlign w:val="center"/>
          </w:tcPr>
          <w:p w14:paraId="6EB78038">
            <w:pPr>
              <w:pStyle w:val="23"/>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rPr>
              <w:t>备注</w:t>
            </w:r>
          </w:p>
        </w:tc>
        <w:tc>
          <w:tcPr>
            <w:tcW w:w="3948" w:type="pct"/>
            <w:tcBorders>
              <w:top w:val="single" w:color="080000" w:sz="4" w:space="0"/>
              <w:left w:val="single" w:color="080000" w:sz="4" w:space="0"/>
              <w:bottom w:val="single" w:color="080000" w:sz="4" w:space="0"/>
              <w:right w:val="single" w:color="080000" w:sz="4" w:space="0"/>
            </w:tcBorders>
            <w:noWrap w:val="0"/>
            <w:vAlign w:val="center"/>
          </w:tcPr>
          <w:p w14:paraId="1C43D576">
            <w:pPr>
              <w:pStyle w:val="23"/>
              <w:wordWrap w:val="0"/>
              <w:adjustRightInd w:val="0"/>
              <w:snapToGrid w:val="0"/>
              <w:spacing w:line="400" w:lineRule="exact"/>
              <w:ind w:firstLine="240" w:firstLineChars="100"/>
              <w:jc w:val="lef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自行下载招标文件、资料文件及招标答疑书等。若由于投标人自身原因未能及时取得上述资料的，由此发生的任何责任由投标人自负。</w:t>
            </w:r>
          </w:p>
        </w:tc>
      </w:tr>
    </w:tbl>
    <w:p w14:paraId="2DE2CD2A">
      <w:pPr>
        <w:tabs>
          <w:tab w:val="left" w:pos="8820"/>
        </w:tabs>
        <w:rPr>
          <w:rFonts w:hint="eastAsia" w:ascii="宋体" w:hAnsi="宋体" w:eastAsia="宋体" w:cs="宋体"/>
          <w:b w:val="0"/>
          <w:bCs w:val="0"/>
          <w:color w:val="auto"/>
          <w:sz w:val="24"/>
          <w:szCs w:val="24"/>
          <w:highlight w:val="none"/>
        </w:rPr>
        <w:sectPr>
          <w:headerReference r:id="rId6" w:type="default"/>
          <w:footerReference r:id="rId7" w:type="default"/>
          <w:pgSz w:w="11906" w:h="16839"/>
          <w:pgMar w:top="1440" w:right="1080" w:bottom="1440" w:left="1080" w:header="0" w:footer="1085" w:gutter="0"/>
          <w:pgBorders>
            <w:top w:val="none" w:sz="0" w:space="0"/>
            <w:left w:val="none" w:sz="0" w:space="0"/>
            <w:bottom w:val="none" w:sz="0" w:space="0"/>
            <w:right w:val="none" w:sz="0" w:space="0"/>
          </w:pgBorders>
          <w:pgNumType w:fmt="decimal" w:start="1"/>
          <w:cols w:space="720" w:num="1"/>
        </w:sectPr>
      </w:pPr>
    </w:p>
    <w:p w14:paraId="2208F640">
      <w:pPr>
        <w:jc w:val="center"/>
        <w:outlineLvl w:val="1"/>
        <w:rPr>
          <w:rFonts w:hint="eastAsia" w:ascii="宋体" w:hAnsi="宋体" w:eastAsia="宋体" w:cs="宋体"/>
          <w:color w:val="auto"/>
          <w:sz w:val="24"/>
          <w:szCs w:val="24"/>
          <w:highlight w:val="none"/>
        </w:rPr>
      </w:pPr>
      <w:bookmarkStart w:id="7" w:name="_Toc9283"/>
      <w:r>
        <w:rPr>
          <w:rFonts w:hint="eastAsia" w:ascii="宋体" w:hAnsi="宋体" w:eastAsia="宋体" w:cs="宋体"/>
          <w:b/>
          <w:bCs/>
          <w:color w:val="auto"/>
          <w:spacing w:val="-3"/>
          <w:sz w:val="24"/>
          <w:szCs w:val="24"/>
          <w:highlight w:val="none"/>
        </w:rPr>
        <w:t>第三节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投标人须知正文</w:t>
      </w:r>
      <w:bookmarkEnd w:id="7"/>
    </w:p>
    <w:p w14:paraId="1BC57139">
      <w:pPr>
        <w:pStyle w:val="5"/>
        <w:spacing w:line="256" w:lineRule="auto"/>
        <w:rPr>
          <w:rFonts w:hint="eastAsia" w:ascii="宋体" w:hAnsi="宋体" w:eastAsia="宋体" w:cs="宋体"/>
          <w:color w:val="auto"/>
          <w:highlight w:val="none"/>
        </w:rPr>
      </w:pPr>
    </w:p>
    <w:p w14:paraId="706D6EB5">
      <w:pPr>
        <w:pStyle w:val="5"/>
        <w:spacing w:line="257" w:lineRule="auto"/>
        <w:rPr>
          <w:rFonts w:hint="eastAsia" w:ascii="宋体" w:hAnsi="宋体" w:eastAsia="宋体" w:cs="宋体"/>
          <w:color w:val="auto"/>
          <w:highlight w:val="none"/>
        </w:rPr>
      </w:pPr>
    </w:p>
    <w:p w14:paraId="3AC8B865">
      <w:pPr>
        <w:keepNext w:val="0"/>
        <w:keepLines w:val="0"/>
        <w:widowControl/>
        <w:suppressLineNumbers w:val="0"/>
        <w:spacing w:line="360" w:lineRule="auto"/>
        <w:ind w:right="-258" w:rightChars="-123" w:firstLine="480" w:firstLineChars="200"/>
        <w:jc w:val="left"/>
        <w:rPr>
          <w:rFonts w:hint="eastAsia" w:ascii="宋体" w:hAnsi="宋体" w:eastAsia="宋体" w:cs="宋体"/>
          <w:color w:val="auto"/>
          <w:sz w:val="36"/>
          <w:szCs w:val="36"/>
          <w:highlight w:val="none"/>
        </w:rPr>
      </w:pPr>
      <w:r>
        <w:rPr>
          <w:rFonts w:hint="eastAsia" w:ascii="宋体" w:hAnsi="宋体" w:eastAsia="宋体" w:cs="宋体"/>
          <w:snapToGrid w:val="0"/>
          <w:color w:val="auto"/>
          <w:kern w:val="0"/>
          <w:sz w:val="24"/>
          <w:szCs w:val="32"/>
          <w:highlight w:val="none"/>
          <w:u w:val="single"/>
          <w:lang w:eastAsia="zh-CN"/>
        </w:rPr>
        <w:t>乳源瑶族自治县二次供水综合提升工程</w:t>
      </w:r>
      <w:r>
        <w:rPr>
          <w:rFonts w:hint="eastAsia" w:ascii="宋体" w:hAnsi="宋体" w:eastAsia="宋体" w:cs="宋体"/>
          <w:snapToGrid w:val="0"/>
          <w:color w:val="auto"/>
          <w:kern w:val="0"/>
          <w:sz w:val="24"/>
          <w:szCs w:val="32"/>
          <w:highlight w:val="none"/>
          <w:u w:val="none"/>
          <w:lang w:val="en-US" w:eastAsia="zh-CN"/>
        </w:rPr>
        <w:t>业</w:t>
      </w:r>
      <w:r>
        <w:rPr>
          <w:rFonts w:hint="eastAsia" w:ascii="宋体" w:hAnsi="宋体" w:eastAsia="宋体" w:cs="宋体"/>
          <w:snapToGrid w:val="0"/>
          <w:color w:val="auto"/>
          <w:kern w:val="0"/>
          <w:sz w:val="24"/>
          <w:szCs w:val="32"/>
          <w:highlight w:val="none"/>
          <w:u w:val="none"/>
          <w:lang w:eastAsia="zh-CN"/>
        </w:rPr>
        <w:t>经</w:t>
      </w:r>
      <w:r>
        <w:rPr>
          <w:rFonts w:hint="eastAsia" w:ascii="宋体" w:hAnsi="宋体" w:eastAsia="宋体" w:cs="宋体"/>
          <w:snapToGrid w:val="0"/>
          <w:color w:val="auto"/>
          <w:kern w:val="0"/>
          <w:sz w:val="24"/>
          <w:szCs w:val="32"/>
          <w:highlight w:val="none"/>
          <w:u w:val="single"/>
          <w:lang w:eastAsia="zh-CN"/>
        </w:rPr>
        <w:t>乳源瑶族自治县发展和改革局以《关于乳源瑶族自治县二次供水综合提升工程项目可行性研究报告的批复》（乳发改投审〔2025〕15号）</w:t>
      </w:r>
      <w:r>
        <w:rPr>
          <w:rFonts w:hint="eastAsia" w:ascii="宋体" w:hAnsi="宋体" w:eastAsia="宋体" w:cs="宋体"/>
          <w:snapToGrid w:val="0"/>
          <w:color w:val="auto"/>
          <w:kern w:val="0"/>
          <w:sz w:val="24"/>
          <w:szCs w:val="32"/>
          <w:highlight w:val="none"/>
        </w:rPr>
        <w:t>批准建设，项目代码为</w:t>
      </w:r>
      <w:r>
        <w:rPr>
          <w:rFonts w:hint="eastAsia" w:ascii="宋体" w:hAnsi="宋体" w:eastAsia="宋体" w:cs="宋体"/>
          <w:snapToGrid w:val="0"/>
          <w:color w:val="auto"/>
          <w:kern w:val="0"/>
          <w:sz w:val="24"/>
          <w:szCs w:val="32"/>
          <w:highlight w:val="none"/>
          <w:u w:val="single"/>
          <w:lang w:eastAsia="zh-CN"/>
        </w:rPr>
        <w:t>2405-440232-04-01-434377</w:t>
      </w:r>
      <w:r>
        <w:rPr>
          <w:rFonts w:hint="eastAsia" w:ascii="宋体" w:hAnsi="宋体" w:eastAsia="宋体" w:cs="宋体"/>
          <w:snapToGrid w:val="0"/>
          <w:color w:val="auto"/>
          <w:kern w:val="0"/>
          <w:sz w:val="24"/>
          <w:szCs w:val="32"/>
          <w:highlight w:val="none"/>
        </w:rPr>
        <w:t>。项目业主为</w:t>
      </w:r>
      <w:r>
        <w:rPr>
          <w:rFonts w:hint="eastAsia" w:ascii="宋体" w:hAnsi="宋体" w:eastAsia="宋体" w:cs="宋体"/>
          <w:snapToGrid w:val="0"/>
          <w:color w:val="auto"/>
          <w:kern w:val="0"/>
          <w:sz w:val="24"/>
          <w:szCs w:val="32"/>
          <w:highlight w:val="none"/>
          <w:u w:val="single"/>
          <w:lang w:eastAsia="zh-CN"/>
        </w:rPr>
        <w:t>乳源瑶族自治县银源供水有限公司</w:t>
      </w:r>
      <w:r>
        <w:rPr>
          <w:rFonts w:hint="eastAsia" w:ascii="宋体" w:hAnsi="宋体" w:eastAsia="宋体" w:cs="宋体"/>
          <w:snapToGrid w:val="0"/>
          <w:color w:val="auto"/>
          <w:kern w:val="0"/>
          <w:sz w:val="24"/>
          <w:szCs w:val="32"/>
          <w:highlight w:val="none"/>
        </w:rPr>
        <w:t>，建设资金来自</w:t>
      </w:r>
      <w:r>
        <w:rPr>
          <w:rFonts w:hint="eastAsia" w:ascii="宋体" w:hAnsi="宋体" w:eastAsia="宋体" w:cs="宋体"/>
          <w:snapToGrid w:val="0"/>
          <w:color w:val="auto"/>
          <w:kern w:val="0"/>
          <w:sz w:val="24"/>
          <w:szCs w:val="32"/>
          <w:highlight w:val="none"/>
          <w:u w:val="single"/>
          <w:lang w:eastAsia="zh-CN"/>
        </w:rPr>
        <w:t>财政统筹安排解决</w:t>
      </w:r>
      <w:r>
        <w:rPr>
          <w:rFonts w:hint="eastAsia" w:ascii="宋体" w:hAnsi="宋体" w:eastAsia="宋体" w:cs="宋体"/>
          <w:snapToGrid w:val="0"/>
          <w:color w:val="auto"/>
          <w:kern w:val="0"/>
          <w:sz w:val="24"/>
          <w:szCs w:val="32"/>
          <w:highlight w:val="none"/>
        </w:rPr>
        <w:t>，出资比例</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rPr>
        <w:t>100%</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，招标人为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lang w:eastAsia="zh-CN"/>
        </w:rPr>
        <w:t>乳源瑶族自治县银源供水有限公司</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，招标代理机构为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color w:val="auto"/>
          <w:kern w:val="0"/>
          <w:sz w:val="24"/>
          <w:szCs w:val="24"/>
          <w:highlight w:val="none"/>
          <w:u w:val="single"/>
          <w:lang w:eastAsia="zh-CN"/>
        </w:rPr>
        <w:t>韶关市珩诚工程咨询有限公司</w:t>
      </w:r>
      <w:r>
        <w:rPr>
          <w:rFonts w:hint="eastAsia" w:ascii="宋体" w:hAnsi="宋体" w:eastAsia="宋体" w:cs="宋体"/>
          <w:snapToGrid w:val="0"/>
          <w:color w:val="auto"/>
          <w:kern w:val="0"/>
          <w:sz w:val="24"/>
          <w:szCs w:val="32"/>
          <w:highlight w:val="none"/>
        </w:rPr>
        <w:t>。</w:t>
      </w:r>
      <w:r>
        <w:rPr>
          <w:rFonts w:hint="eastAsia" w:ascii="宋体" w:hAnsi="宋体" w:eastAsia="宋体" w:cs="宋体"/>
          <w:snapToGrid w:val="0"/>
          <w:color w:val="auto"/>
          <w:kern w:val="0"/>
          <w:sz w:val="24"/>
          <w:szCs w:val="24"/>
          <w:highlight w:val="none"/>
        </w:rPr>
        <w:t>项目已具备招标条件，现对该项目的</w:t>
      </w:r>
      <w:r>
        <w:rPr>
          <w:rFonts w:hint="eastAsia" w:ascii="宋体" w:hAnsi="宋体" w:eastAsia="宋体" w:cs="宋体"/>
          <w:snapToGrid w:val="0"/>
          <w:color w:val="auto"/>
          <w:kern w:val="0"/>
          <w:sz w:val="24"/>
          <w:szCs w:val="24"/>
          <w:highlight w:val="none"/>
          <w:u w:val="single"/>
          <w:lang w:val="en-US" w:eastAsia="zh-CN"/>
        </w:rPr>
        <w:t>施工</w:t>
      </w:r>
      <w:r>
        <w:rPr>
          <w:rFonts w:hint="eastAsia" w:ascii="宋体" w:hAnsi="宋体" w:eastAsia="宋体" w:cs="宋体"/>
          <w:snapToGrid w:val="0"/>
          <w:color w:val="auto"/>
          <w:kern w:val="0"/>
          <w:sz w:val="24"/>
          <w:szCs w:val="24"/>
          <w:highlight w:val="none"/>
        </w:rPr>
        <w:t>进行公开招标。</w:t>
      </w:r>
    </w:p>
    <w:p w14:paraId="45214F71">
      <w:pPr>
        <w:spacing w:before="78" w:line="220" w:lineRule="auto"/>
        <w:ind w:left="496"/>
        <w:outlineLvl w:val="2"/>
        <w:rPr>
          <w:rFonts w:hint="eastAsia" w:ascii="宋体" w:hAnsi="宋体" w:eastAsia="宋体" w:cs="宋体"/>
          <w:color w:val="auto"/>
          <w:sz w:val="24"/>
          <w:szCs w:val="24"/>
          <w:highlight w:val="none"/>
        </w:rPr>
      </w:pPr>
      <w:bookmarkStart w:id="8" w:name="bookmark59"/>
      <w:bookmarkEnd w:id="8"/>
      <w:bookmarkStart w:id="9" w:name="bookmark73"/>
      <w:bookmarkEnd w:id="9"/>
      <w:bookmarkStart w:id="10" w:name="bookmark52"/>
      <w:bookmarkEnd w:id="10"/>
      <w:bookmarkStart w:id="11" w:name="_Toc15993"/>
      <w:bookmarkStart w:id="12" w:name="_Toc19017"/>
      <w:r>
        <w:rPr>
          <w:rFonts w:hint="eastAsia" w:ascii="宋体" w:hAnsi="宋体" w:eastAsia="宋体" w:cs="宋体"/>
          <w:b/>
          <w:bCs/>
          <w:color w:val="auto"/>
          <w:spacing w:val="-4"/>
          <w:sz w:val="24"/>
          <w:szCs w:val="24"/>
          <w:highlight w:val="none"/>
        </w:rPr>
        <w:t>1</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4"/>
          <w:sz w:val="24"/>
          <w:szCs w:val="24"/>
          <w:highlight w:val="none"/>
        </w:rPr>
        <w:t>．项目概况、招标范围和标段划分、投标费用等</w:t>
      </w:r>
      <w:bookmarkEnd w:id="11"/>
      <w:bookmarkEnd w:id="12"/>
    </w:p>
    <w:p w14:paraId="71FE7413">
      <w:pPr>
        <w:spacing w:before="153" w:line="36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1.1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5"/>
          <w:sz w:val="24"/>
          <w:szCs w:val="24"/>
          <w:highlight w:val="none"/>
        </w:rPr>
        <w:t>项目概况</w:t>
      </w:r>
    </w:p>
    <w:p w14:paraId="6E0CEDF1">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1.1.1  </w:t>
      </w:r>
      <w:r>
        <w:rPr>
          <w:rFonts w:hint="eastAsia" w:ascii="宋体" w:hAnsi="宋体" w:eastAsia="宋体" w:cs="宋体"/>
          <w:color w:val="auto"/>
          <w:spacing w:val="-2"/>
          <w:sz w:val="24"/>
          <w:szCs w:val="24"/>
          <w:highlight w:val="none"/>
        </w:rPr>
        <w:t>建设地点：</w:t>
      </w:r>
      <w:r>
        <w:rPr>
          <w:rFonts w:hint="eastAsia" w:ascii="宋体" w:hAnsi="宋体" w:eastAsia="宋体" w:cs="宋体"/>
          <w:color w:val="auto"/>
          <w:sz w:val="24"/>
          <w:szCs w:val="24"/>
          <w:highlight w:val="none"/>
          <w:u w:val="single"/>
          <w:lang w:val="en-US" w:eastAsia="zh-CN"/>
        </w:rPr>
        <w:t>韶关市乳源瑶族自治县县域范围。</w:t>
      </w:r>
    </w:p>
    <w:p w14:paraId="12D3D032">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1.1.2  </w:t>
      </w:r>
      <w:r>
        <w:rPr>
          <w:rFonts w:hint="eastAsia" w:ascii="宋体" w:hAnsi="宋体" w:eastAsia="宋体" w:cs="宋体"/>
          <w:color w:val="auto"/>
          <w:spacing w:val="-2"/>
          <w:sz w:val="24"/>
          <w:szCs w:val="24"/>
          <w:highlight w:val="none"/>
        </w:rPr>
        <w:t>建设内容和规模：</w:t>
      </w:r>
      <w:r>
        <w:rPr>
          <w:rFonts w:hint="eastAsia" w:ascii="宋体" w:hAnsi="宋体" w:eastAsia="宋体" w:cs="宋体"/>
          <w:color w:val="auto"/>
          <w:spacing w:val="-2"/>
          <w:sz w:val="24"/>
          <w:szCs w:val="24"/>
          <w:highlight w:val="none"/>
          <w:u w:val="single"/>
          <w:lang w:eastAsia="zh-CN"/>
        </w:rPr>
        <w:t>对全县37个商住小区45套二次供水泵站、21个小区老旧管道、27个小区水表升级改造。小区二次供水提升改造的内容主要包括二次供水设备、门禁安防系统、泵房修缮及能耗环境监测等。</w:t>
      </w:r>
    </w:p>
    <w:p w14:paraId="345B6DC6">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1.1.3  </w:t>
      </w:r>
      <w:r>
        <w:rPr>
          <w:rFonts w:hint="eastAsia" w:ascii="宋体" w:hAnsi="宋体" w:eastAsia="宋体" w:cs="宋体"/>
          <w:color w:val="auto"/>
          <w:spacing w:val="-2"/>
          <w:sz w:val="24"/>
          <w:szCs w:val="24"/>
          <w:highlight w:val="none"/>
        </w:rPr>
        <w:t>项目总投资</w:t>
      </w:r>
      <w:r>
        <w:rPr>
          <w:rStyle w:val="21"/>
          <w:rFonts w:hint="eastAsia" w:ascii="宋体" w:hAnsi="宋体" w:eastAsia="宋体" w:cs="宋体"/>
          <w:color w:val="auto"/>
          <w:kern w:val="0"/>
          <w:sz w:val="24"/>
          <w:szCs w:val="24"/>
          <w:highlight w:val="none"/>
        </w:rPr>
        <w:t>：</w:t>
      </w:r>
      <w:r>
        <w:rPr>
          <w:rStyle w:val="21"/>
          <w:rFonts w:hint="eastAsia" w:ascii="宋体" w:hAnsi="宋体" w:eastAsia="宋体" w:cs="宋体"/>
          <w:color w:val="auto"/>
          <w:kern w:val="0"/>
          <w:sz w:val="24"/>
          <w:szCs w:val="24"/>
          <w:highlight w:val="none"/>
          <w:u w:val="single"/>
          <w:lang w:val="en-US" w:eastAsia="zh-CN"/>
        </w:rPr>
        <w:t>项目概算总投资6138.44万元，其中工程费用5138.88万元，工程建设其他费用707.25万元，预备费用292.31万元。</w:t>
      </w:r>
    </w:p>
    <w:p w14:paraId="7D028234">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z w:val="24"/>
          <w:szCs w:val="24"/>
          <w:highlight w:val="none"/>
          <w:u w:val="none"/>
          <w:lang w:val="en-US" w:eastAsia="zh-CN"/>
        </w:rPr>
        <w:t>1</w:t>
      </w:r>
      <w:r>
        <w:rPr>
          <w:rFonts w:hint="eastAsia" w:ascii="宋体" w:hAnsi="宋体" w:eastAsia="宋体" w:cs="宋体"/>
          <w:b/>
          <w:bCs/>
          <w:color w:val="auto"/>
          <w:spacing w:val="-2"/>
          <w:sz w:val="24"/>
          <w:szCs w:val="24"/>
          <w:highlight w:val="none"/>
          <w:u w:val="none"/>
          <w:lang w:val="en-US" w:eastAsia="zh-CN"/>
        </w:rPr>
        <w:t xml:space="preserve">.2 </w:t>
      </w:r>
      <w:r>
        <w:rPr>
          <w:rFonts w:hint="eastAsia" w:ascii="宋体" w:hAnsi="宋体" w:eastAsia="宋体" w:cs="宋体"/>
          <w:color w:val="auto"/>
          <w:sz w:val="24"/>
          <w:szCs w:val="24"/>
          <w:highlight w:val="none"/>
          <w:u w:val="none"/>
          <w:lang w:val="en-US" w:eastAsia="zh-CN"/>
        </w:rPr>
        <w:t xml:space="preserve"> 招标范围和标段划分</w:t>
      </w:r>
    </w:p>
    <w:p w14:paraId="4D10F937">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b/>
          <w:bCs/>
          <w:color w:val="auto"/>
          <w:spacing w:val="-2"/>
          <w:sz w:val="24"/>
          <w:szCs w:val="24"/>
          <w:highlight w:val="none"/>
        </w:rPr>
        <w:t xml:space="preserve">1.2.1  </w:t>
      </w:r>
      <w:r>
        <w:rPr>
          <w:rFonts w:hint="eastAsia" w:ascii="宋体" w:hAnsi="宋体" w:eastAsia="宋体" w:cs="宋体"/>
          <w:color w:val="auto"/>
          <w:spacing w:val="-2"/>
          <w:sz w:val="24"/>
          <w:szCs w:val="24"/>
          <w:highlight w:val="none"/>
        </w:rPr>
        <w:t>招标范围：</w:t>
      </w:r>
      <w:r>
        <w:rPr>
          <w:rFonts w:hint="eastAsia" w:ascii="宋体" w:hAnsi="宋体" w:eastAsia="宋体" w:cs="宋体"/>
          <w:color w:val="auto"/>
          <w:spacing w:val="-1"/>
          <w:sz w:val="24"/>
          <w:szCs w:val="24"/>
          <w:highlight w:val="none"/>
        </w:rPr>
        <w:t>按审查合格的施工图纸及工程量清单内容施工</w:t>
      </w:r>
      <w:r>
        <w:rPr>
          <w:rFonts w:hint="eastAsia" w:ascii="宋体" w:hAnsi="宋体" w:eastAsia="宋体" w:cs="宋体"/>
          <w:color w:val="auto"/>
          <w:spacing w:val="-1"/>
          <w:sz w:val="24"/>
          <w:szCs w:val="24"/>
          <w:highlight w:val="none"/>
          <w:lang w:eastAsia="zh-CN"/>
        </w:rPr>
        <w:t>。</w:t>
      </w:r>
    </w:p>
    <w:p w14:paraId="09D69926">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outlineLvl w:val="9"/>
        <w:rPr>
          <w:rFonts w:hint="eastAsia" w:ascii="宋体" w:hAnsi="宋体" w:eastAsia="宋体" w:cs="宋体"/>
          <w:color w:val="auto"/>
          <w:sz w:val="24"/>
          <w:szCs w:val="24"/>
          <w:highlight w:val="none"/>
        </w:rPr>
      </w:pPr>
      <w:bookmarkStart w:id="13" w:name="_Toc20855"/>
      <w:bookmarkStart w:id="14" w:name="_Toc24593"/>
      <w:bookmarkStart w:id="15" w:name="_Toc28202"/>
      <w:bookmarkStart w:id="16" w:name="_Toc14190"/>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标段划分：本招标项目不划分标段。</w:t>
      </w:r>
      <w:bookmarkEnd w:id="13"/>
      <w:bookmarkEnd w:id="14"/>
      <w:bookmarkEnd w:id="15"/>
      <w:bookmarkEnd w:id="16"/>
    </w:p>
    <w:p w14:paraId="37DF4A8E">
      <w:pPr>
        <w:keepNext w:val="0"/>
        <w:keepLines w:val="0"/>
        <w:pageBreakBefore w:val="0"/>
        <w:widowControl/>
        <w:kinsoku w:val="0"/>
        <w:overflowPunct/>
        <w:topLinePunct w:val="0"/>
        <w:autoSpaceDE w:val="0"/>
        <w:autoSpaceDN w:val="0"/>
        <w:bidi w:val="0"/>
        <w:adjustRightInd w:val="0"/>
        <w:snapToGrid w:val="0"/>
        <w:spacing w:line="360" w:lineRule="auto"/>
        <w:ind w:left="13" w:right="65" w:firstLine="533"/>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  </w:t>
      </w:r>
      <w:r>
        <w:rPr>
          <w:rFonts w:hint="eastAsia" w:ascii="宋体" w:hAnsi="宋体" w:eastAsia="宋体" w:cs="宋体"/>
          <w:color w:val="auto"/>
          <w:spacing w:val="-1"/>
          <w:sz w:val="24"/>
          <w:szCs w:val="24"/>
          <w:highlight w:val="none"/>
        </w:rPr>
        <w:t>投标费用：投标人应承担所有准备和参加投标的相关费用，不</w:t>
      </w:r>
      <w:r>
        <w:rPr>
          <w:rFonts w:hint="eastAsia" w:ascii="宋体" w:hAnsi="宋体" w:eastAsia="宋体" w:cs="宋体"/>
          <w:color w:val="auto"/>
          <w:spacing w:val="-2"/>
          <w:sz w:val="24"/>
          <w:szCs w:val="24"/>
          <w:highlight w:val="none"/>
        </w:rPr>
        <w:t>论投标结果如</w:t>
      </w:r>
      <w:r>
        <w:rPr>
          <w:rFonts w:hint="eastAsia" w:ascii="宋体" w:hAnsi="宋体" w:eastAsia="宋体" w:cs="宋体"/>
          <w:color w:val="auto"/>
          <w:spacing w:val="-1"/>
          <w:sz w:val="24"/>
          <w:szCs w:val="24"/>
          <w:highlight w:val="none"/>
        </w:rPr>
        <w:t>何，招标人均无义务和责任承担这些费用。</w:t>
      </w:r>
    </w:p>
    <w:p w14:paraId="6E2F4F21">
      <w:pPr>
        <w:keepNext w:val="0"/>
        <w:keepLines w:val="0"/>
        <w:pageBreakBefore w:val="0"/>
        <w:widowControl/>
        <w:kinsoku w:val="0"/>
        <w:overflowPunct/>
        <w:topLinePunct w:val="0"/>
        <w:autoSpaceDE w:val="0"/>
        <w:autoSpaceDN w:val="0"/>
        <w:bidi w:val="0"/>
        <w:adjustRightInd w:val="0"/>
        <w:snapToGrid w:val="0"/>
        <w:spacing w:line="360" w:lineRule="auto"/>
        <w:ind w:left="496"/>
        <w:textAlignment w:val="baseline"/>
        <w:rPr>
          <w:rFonts w:hint="eastAsia" w:ascii="宋体" w:hAnsi="宋体" w:eastAsia="宋体" w:cs="宋体"/>
          <w:color w:val="auto"/>
          <w:sz w:val="24"/>
          <w:szCs w:val="24"/>
          <w:highlight w:val="yellow"/>
        </w:rPr>
      </w:pPr>
      <w:r>
        <w:rPr>
          <w:rFonts w:hint="eastAsia" w:ascii="宋体" w:hAnsi="宋体" w:eastAsia="宋体" w:cs="宋体"/>
          <w:b/>
          <w:bCs/>
          <w:color w:val="auto"/>
          <w:spacing w:val="-6"/>
          <w:sz w:val="24"/>
          <w:szCs w:val="24"/>
          <w:highlight w:val="none"/>
        </w:rPr>
        <w:t xml:space="preserve">1.4  </w:t>
      </w:r>
      <w:r>
        <w:rPr>
          <w:rFonts w:hint="eastAsia" w:ascii="宋体" w:hAnsi="宋体" w:eastAsia="宋体" w:cs="宋体"/>
          <w:color w:val="auto"/>
          <w:spacing w:val="-6"/>
          <w:sz w:val="24"/>
          <w:szCs w:val="24"/>
          <w:highlight w:val="none"/>
        </w:rPr>
        <w:t>招标代理费用：</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82"/>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w:t>
      </w:r>
      <w:r>
        <w:rPr>
          <w:rFonts w:hint="eastAsia" w:ascii="宋体" w:hAnsi="宋体" w:eastAsia="宋体" w:cs="宋体"/>
          <w:color w:val="auto"/>
          <w:spacing w:val="6"/>
          <w:sz w:val="24"/>
          <w:szCs w:val="24"/>
          <w:highlight w:val="none"/>
        </w:rPr>
        <w:t>项目业主</w:t>
      </w:r>
      <w:r>
        <w:rPr>
          <w:rFonts w:hint="eastAsia" w:ascii="宋体" w:hAnsi="宋体" w:eastAsia="宋体" w:cs="宋体"/>
          <w:color w:val="auto"/>
          <w:spacing w:val="-6"/>
          <w:sz w:val="24"/>
          <w:szCs w:val="24"/>
          <w:highlight w:val="none"/>
          <w:shd w:val="clear" w:color="auto" w:fill="FFFFFF"/>
        </w:rPr>
        <w:t>支</w:t>
      </w:r>
      <w:r>
        <w:rPr>
          <w:rFonts w:hint="eastAsia" w:ascii="宋体" w:hAnsi="宋体" w:eastAsia="宋体" w:cs="宋体"/>
          <w:color w:val="auto"/>
          <w:spacing w:val="-6"/>
          <w:sz w:val="24"/>
          <w:szCs w:val="24"/>
          <w:highlight w:val="none"/>
        </w:rPr>
        <w:t>付</w:t>
      </w:r>
      <w:r>
        <w:rPr>
          <w:rFonts w:hint="eastAsia" w:ascii="宋体" w:hAnsi="宋体" w:eastAsia="宋体" w:cs="宋体"/>
          <w:color w:val="auto"/>
          <w:position w:val="-6"/>
          <w:sz w:val="24"/>
          <w:szCs w:val="24"/>
          <w:highlight w:val="none"/>
          <w:shd w:val="clear" w:color="auto" w:fill="FFFFFF"/>
          <w:lang w:eastAsia="zh-CN"/>
        </w:rPr>
        <w:t xml:space="preserve"> </w:t>
      </w:r>
      <w:r>
        <w:rPr>
          <w:rFonts w:hint="eastAsia" w:ascii="宋体" w:hAnsi="宋体" w:eastAsia="宋体" w:cs="宋体"/>
          <w:color w:val="auto"/>
          <w:spacing w:val="-6"/>
          <w:sz w:val="24"/>
          <w:szCs w:val="24"/>
          <w:highlight w:val="none"/>
          <w:shd w:val="clear" w:color="auto" w:fill="FFFFFF"/>
          <w:lang w:eastAsia="zh-CN"/>
        </w:rPr>
        <w:t>□</w:t>
      </w:r>
      <w:r>
        <w:rPr>
          <w:rFonts w:hint="eastAsia" w:ascii="宋体" w:hAnsi="宋体" w:eastAsia="宋体" w:cs="宋体"/>
          <w:color w:val="auto"/>
          <w:spacing w:val="-81"/>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由中标人支付。</w:t>
      </w:r>
    </w:p>
    <w:p w14:paraId="5F6AE691">
      <w:pPr>
        <w:keepNext w:val="0"/>
        <w:keepLines w:val="0"/>
        <w:pageBreakBefore w:val="0"/>
        <w:widowControl/>
        <w:kinsoku w:val="0"/>
        <w:wordWrap w:val="0"/>
        <w:overflowPunct/>
        <w:topLinePunct w:val="0"/>
        <w:autoSpaceDE w:val="0"/>
        <w:autoSpaceDN w:val="0"/>
        <w:bidi w:val="0"/>
        <w:adjustRightInd w:val="0"/>
        <w:snapToGrid w:val="0"/>
        <w:spacing w:line="360" w:lineRule="auto"/>
        <w:ind w:firstLine="482" w:firstLineChars="200"/>
        <w:jc w:val="left"/>
        <w:textAlignment w:val="baseline"/>
        <w:outlineLvl w:val="2"/>
        <w:rPr>
          <w:rFonts w:hint="eastAsia" w:ascii="宋体" w:hAnsi="宋体" w:eastAsia="宋体" w:cs="宋体"/>
          <w:b w:val="0"/>
          <w:bCs w:val="0"/>
          <w:color w:val="auto"/>
          <w:sz w:val="24"/>
          <w:szCs w:val="24"/>
          <w:highlight w:val="none"/>
        </w:rPr>
      </w:pPr>
      <w:bookmarkStart w:id="17" w:name="_Toc21208"/>
      <w:r>
        <w:rPr>
          <w:rFonts w:hint="eastAsia" w:ascii="宋体" w:hAnsi="宋体" w:eastAsia="宋体" w:cs="宋体"/>
          <w:b/>
          <w:bCs/>
          <w:color w:val="auto"/>
          <w:sz w:val="24"/>
          <w:szCs w:val="24"/>
          <w:highlight w:val="none"/>
        </w:rPr>
        <w:t>2．</w:t>
      </w:r>
      <w:r>
        <w:rPr>
          <w:rFonts w:hint="eastAsia" w:ascii="宋体" w:hAnsi="宋体" w:eastAsia="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资质要求</w:t>
      </w:r>
      <w:bookmarkEnd w:id="17"/>
    </w:p>
    <w:p w14:paraId="3E103420">
      <w:pPr>
        <w:wordWrap w:val="0"/>
        <w:adjustRightInd w:val="0"/>
        <w:snapToGrid w:val="0"/>
        <w:spacing w:line="360" w:lineRule="auto"/>
        <w:ind w:firstLine="482" w:firstLineChars="200"/>
        <w:rPr>
          <w:rStyle w:val="21"/>
          <w:rFonts w:hint="eastAsia" w:ascii="宋体" w:hAnsi="宋体" w:eastAsia="宋体" w:cs="宋体"/>
          <w:b/>
          <w:bCs/>
          <w:color w:val="auto"/>
          <w:kern w:val="0"/>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2.1</w:t>
      </w:r>
      <w:r>
        <w:rPr>
          <w:rStyle w:val="21"/>
          <w:rFonts w:hint="eastAsia" w:ascii="宋体" w:hAnsi="宋体" w:eastAsia="宋体" w:cs="宋体"/>
          <w:b w:val="0"/>
          <w:bCs w:val="0"/>
          <w:color w:val="auto"/>
          <w:kern w:val="0"/>
          <w:sz w:val="24"/>
          <w:szCs w:val="24"/>
          <w:highlight w:val="none"/>
          <w:lang w:val="en-US" w:eastAsia="zh-CN"/>
        </w:rPr>
        <w:t xml:space="preserve"> 本次招标不接受联合体投标。</w:t>
      </w:r>
    </w:p>
    <w:p w14:paraId="0C4B0E3D">
      <w:pPr>
        <w:wordWrap w:val="0"/>
        <w:adjustRightInd w:val="0"/>
        <w:snapToGrid w:val="0"/>
        <w:spacing w:line="360" w:lineRule="auto"/>
        <w:ind w:firstLine="482" w:firstLineChars="200"/>
        <w:rPr>
          <w:rStyle w:val="21"/>
          <w:rFonts w:hint="eastAsia" w:ascii="宋体" w:hAnsi="宋体" w:eastAsia="宋体" w:cs="宋体"/>
          <w:b w:val="0"/>
          <w:bCs w:val="0"/>
          <w:color w:val="auto"/>
          <w:kern w:val="0"/>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2.2 </w:t>
      </w:r>
      <w:r>
        <w:rPr>
          <w:rStyle w:val="21"/>
          <w:rFonts w:hint="eastAsia" w:ascii="宋体" w:hAnsi="宋体" w:eastAsia="宋体" w:cs="宋体"/>
          <w:b w:val="0"/>
          <w:bCs w:val="0"/>
          <w:color w:val="auto"/>
          <w:kern w:val="0"/>
          <w:sz w:val="24"/>
          <w:szCs w:val="24"/>
          <w:highlight w:val="none"/>
          <w:lang w:val="en-US" w:eastAsia="zh-CN"/>
        </w:rPr>
        <w:t>资格资质要求</w:t>
      </w:r>
    </w:p>
    <w:p w14:paraId="07C72A02">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2.2.1 </w:t>
      </w:r>
      <w:r>
        <w:rPr>
          <w:rFonts w:hint="eastAsia" w:ascii="宋体" w:hAnsi="宋体" w:eastAsia="宋体" w:cs="宋体"/>
          <w:b w:val="0"/>
          <w:bCs w:val="0"/>
          <w:color w:val="auto"/>
          <w:sz w:val="24"/>
          <w:szCs w:val="24"/>
          <w:highlight w:val="none"/>
          <w:lang w:val="en-US" w:eastAsia="zh-CN"/>
        </w:rPr>
        <w:t>投标人须具备独立法人资格，按国家法律经营。</w:t>
      </w:r>
    </w:p>
    <w:p w14:paraId="0EEDF45D">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2.2.2 </w:t>
      </w:r>
      <w:r>
        <w:rPr>
          <w:rFonts w:hint="eastAsia" w:ascii="宋体" w:hAnsi="宋体" w:eastAsia="宋体" w:cs="宋体"/>
          <w:b w:val="0"/>
          <w:bCs w:val="0"/>
          <w:color w:val="auto"/>
          <w:sz w:val="24"/>
          <w:szCs w:val="24"/>
          <w:highlight w:val="none"/>
          <w:lang w:val="en-US" w:eastAsia="zh-CN"/>
        </w:rPr>
        <w:t>投标人须持有建设行政主管部门颁发的企业资质证书及安全生产许可证。</w:t>
      </w:r>
    </w:p>
    <w:p w14:paraId="74C653F1">
      <w:pPr>
        <w:wordWrap w:val="0"/>
        <w:adjustRightInd w:val="0"/>
        <w:snapToGrid w:val="0"/>
        <w:spacing w:line="360" w:lineRule="auto"/>
        <w:ind w:firstLine="482" w:firstLineChars="200"/>
        <w:rPr>
          <w:rStyle w:val="21"/>
          <w:rFonts w:hint="eastAsia" w:ascii="宋体" w:hAnsi="宋体" w:eastAsia="宋体" w:cs="宋体"/>
          <w:b/>
          <w:bCs/>
          <w:color w:val="auto"/>
          <w:kern w:val="0"/>
          <w:sz w:val="32"/>
          <w:szCs w:val="32"/>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2.2.3 </w:t>
      </w:r>
      <w:r>
        <w:rPr>
          <w:rFonts w:hint="eastAsia" w:ascii="宋体" w:hAnsi="宋体" w:eastAsia="宋体" w:cs="宋体"/>
          <w:b w:val="0"/>
          <w:bCs w:val="0"/>
          <w:color w:val="auto"/>
          <w:sz w:val="24"/>
          <w:szCs w:val="24"/>
          <w:highlight w:val="none"/>
          <w:lang w:val="en-US" w:eastAsia="zh-CN"/>
        </w:rPr>
        <w:t>投标人须具备以下资质：</w:t>
      </w:r>
      <w:r>
        <w:rPr>
          <w:rFonts w:hint="eastAsia" w:asciiTheme="minorEastAsia" w:hAnsiTheme="minorEastAsia" w:eastAsiaTheme="minorEastAsia" w:cstheme="minorEastAsia"/>
          <w:snapToGrid w:val="0"/>
          <w:color w:val="auto"/>
          <w:kern w:val="0"/>
          <w:sz w:val="24"/>
          <w:szCs w:val="24"/>
          <w:highlight w:val="none"/>
          <w:u w:val="single"/>
          <w:lang w:eastAsia="zh-CN"/>
        </w:rPr>
        <w:t>具有建设行政主管部门颁发的市政公用工程施工总承包三级以上（含三级）以上资质</w:t>
      </w:r>
      <w:r>
        <w:rPr>
          <w:rFonts w:hint="eastAsia" w:ascii="宋体" w:hAnsi="宋体" w:eastAsia="宋体" w:cs="宋体"/>
          <w:b w:val="0"/>
          <w:bCs w:val="0"/>
          <w:color w:val="auto"/>
          <w:sz w:val="32"/>
          <w:szCs w:val="32"/>
          <w:highlight w:val="none"/>
          <w:u w:val="single"/>
          <w:lang w:val="en-US" w:eastAsia="zh-CN"/>
        </w:rPr>
        <w:t>。</w:t>
      </w:r>
    </w:p>
    <w:p w14:paraId="104A6CF3">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2.2.4 </w:t>
      </w:r>
      <w:r>
        <w:rPr>
          <w:rFonts w:hint="eastAsia" w:ascii="宋体" w:hAnsi="宋体" w:eastAsia="宋体" w:cs="宋体"/>
          <w:b w:val="0"/>
          <w:bCs w:val="0"/>
          <w:color w:val="auto"/>
          <w:sz w:val="24"/>
          <w:szCs w:val="24"/>
          <w:highlight w:val="none"/>
          <w:lang w:val="en-US" w:eastAsia="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673D60A7">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2.3 </w:t>
      </w:r>
      <w:r>
        <w:rPr>
          <w:rFonts w:hint="eastAsia" w:ascii="宋体" w:hAnsi="宋体" w:eastAsia="宋体" w:cs="宋体"/>
          <w:b w:val="0"/>
          <w:bCs w:val="0"/>
          <w:color w:val="auto"/>
          <w:sz w:val="24"/>
          <w:szCs w:val="24"/>
          <w:highlight w:val="none"/>
          <w:lang w:val="en-US" w:eastAsia="zh-CN"/>
        </w:rPr>
        <w:t>相关人员要求</w:t>
      </w:r>
    </w:p>
    <w:p w14:paraId="549550ED">
      <w:pPr>
        <w:wordWrap w:val="0"/>
        <w:adjustRightInd w:val="0"/>
        <w:snapToGrid w:val="0"/>
        <w:spacing w:line="360" w:lineRule="auto"/>
        <w:ind w:firstLine="482" w:firstLineChars="200"/>
        <w:rPr>
          <w:rStyle w:val="21"/>
          <w:rFonts w:hint="eastAsia" w:ascii="宋体" w:hAnsi="宋体" w:eastAsia="宋体" w:cs="宋体"/>
          <w:b/>
          <w:bCs/>
          <w:color w:val="auto"/>
          <w:kern w:val="0"/>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2.3.1 </w:t>
      </w:r>
      <w:r>
        <w:rPr>
          <w:rFonts w:hint="eastAsia" w:ascii="宋体" w:hAnsi="宋体" w:eastAsia="宋体" w:cs="宋体"/>
          <w:b w:val="0"/>
          <w:bCs w:val="0"/>
          <w:color w:val="auto"/>
          <w:sz w:val="24"/>
          <w:szCs w:val="24"/>
          <w:highlight w:val="none"/>
          <w:lang w:val="en-US" w:eastAsia="zh-CN"/>
        </w:rPr>
        <w:t>拟派项目经理为</w:t>
      </w:r>
      <w:r>
        <w:rPr>
          <w:rFonts w:hint="eastAsia" w:ascii="宋体" w:hAnsi="宋体" w:eastAsia="宋体" w:cs="宋体"/>
          <w:b w:val="0"/>
          <w:bCs w:val="0"/>
          <w:color w:val="auto"/>
          <w:sz w:val="24"/>
          <w:szCs w:val="24"/>
          <w:highlight w:val="none"/>
          <w:u w:val="single"/>
          <w:lang w:val="en-US" w:eastAsia="zh-CN"/>
        </w:rPr>
        <w:t xml:space="preserve"> 市政公用工程 </w:t>
      </w:r>
      <w:r>
        <w:rPr>
          <w:rFonts w:hint="eastAsia" w:ascii="宋体" w:hAnsi="宋体" w:eastAsia="宋体" w:cs="宋体"/>
          <w:b w:val="0"/>
          <w:bCs w:val="0"/>
          <w:color w:val="auto"/>
          <w:sz w:val="24"/>
          <w:szCs w:val="24"/>
          <w:highlight w:val="none"/>
          <w:lang w:val="en-US" w:eastAsia="zh-CN"/>
        </w:rPr>
        <w:t xml:space="preserve">专业一级注册建造师，应持有住建部门印发的在使用有效期内的有效电子注册证书。同时均须具备有效安全生产考核合格证明（B证），且未担任其他在施（包括已中标未开工、已开工未竣工、在项目开标时间仍在建筑市场监管平台被“锁定”无法报建的）建设工程项目的项目经理。  </w:t>
      </w:r>
    </w:p>
    <w:p w14:paraId="100F4676">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2.3.2 </w:t>
      </w:r>
      <w:r>
        <w:rPr>
          <w:rFonts w:hint="eastAsia" w:ascii="宋体" w:hAnsi="宋体" w:eastAsia="宋体" w:cs="宋体"/>
          <w:b w:val="0"/>
          <w:bCs w:val="0"/>
          <w:color w:val="auto"/>
          <w:sz w:val="24"/>
          <w:szCs w:val="24"/>
          <w:highlight w:val="none"/>
          <w:lang w:val="en-US" w:eastAsia="zh-CN"/>
        </w:rPr>
        <w:t>拟派项目技术负责人须具备</w:t>
      </w:r>
      <w:r>
        <w:rPr>
          <w:rFonts w:hint="eastAsia" w:ascii="宋体" w:hAnsi="宋体" w:eastAsia="宋体" w:cs="宋体"/>
          <w:b w:val="0"/>
          <w:bCs w:val="0"/>
          <w:color w:val="auto"/>
          <w:sz w:val="24"/>
          <w:szCs w:val="24"/>
          <w:highlight w:val="none"/>
          <w:u w:val="single"/>
          <w:lang w:val="en-US" w:eastAsia="zh-CN"/>
        </w:rPr>
        <w:t xml:space="preserve"> 市政工程 </w:t>
      </w:r>
      <w:r>
        <w:rPr>
          <w:rFonts w:hint="eastAsia" w:ascii="宋体" w:hAnsi="宋体" w:eastAsia="宋体" w:cs="宋体"/>
          <w:b w:val="0"/>
          <w:bCs w:val="0"/>
          <w:color w:val="auto"/>
          <w:sz w:val="24"/>
          <w:szCs w:val="24"/>
          <w:highlight w:val="none"/>
          <w:lang w:val="en-US" w:eastAsia="zh-CN"/>
        </w:rPr>
        <w:t>类相关专业中级或以上技术职称。</w:t>
      </w:r>
    </w:p>
    <w:p w14:paraId="23B214ED">
      <w:pPr>
        <w:wordWrap w:val="0"/>
        <w:adjustRightInd w:val="0"/>
        <w:snapToGrid w:val="0"/>
        <w:spacing w:line="360" w:lineRule="auto"/>
        <w:ind w:firstLine="482" w:firstLineChars="200"/>
        <w:rPr>
          <w:rStyle w:val="21"/>
          <w:rFonts w:hint="eastAsia" w:ascii="宋体" w:hAnsi="宋体" w:eastAsia="宋体" w:cs="宋体"/>
          <w:b/>
          <w:bCs/>
          <w:color w:val="auto"/>
          <w:kern w:val="0"/>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2.3.3 </w:t>
      </w:r>
      <w:r>
        <w:rPr>
          <w:rFonts w:hint="eastAsia" w:ascii="宋体" w:hAnsi="宋体" w:eastAsia="宋体" w:cs="宋体"/>
          <w:b w:val="0"/>
          <w:bCs w:val="0"/>
          <w:color w:val="auto"/>
          <w:sz w:val="24"/>
          <w:szCs w:val="24"/>
          <w:highlight w:val="none"/>
          <w:lang w:val="en-US" w:eastAsia="zh-CN"/>
        </w:rPr>
        <w:t xml:space="preserve">拟派专职安全生产管理人员须具备有效安全生产考核合格证明（C证，安全生产考核合格证书或“广东省建筑施工企业管理人员安全生产考核信息系统”考核合格信息打印页），且不少于2人。 </w:t>
      </w:r>
    </w:p>
    <w:p w14:paraId="17582ED4">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2.3.4 </w:t>
      </w:r>
      <w:r>
        <w:rPr>
          <w:rFonts w:hint="eastAsia" w:ascii="宋体" w:hAnsi="宋体" w:eastAsia="宋体" w:cs="宋体"/>
          <w:b w:val="0"/>
          <w:bCs w:val="0"/>
          <w:color w:val="auto"/>
          <w:sz w:val="24"/>
          <w:szCs w:val="24"/>
          <w:highlight w:val="none"/>
          <w:lang w:val="en-US" w:eastAsia="zh-CN"/>
        </w:rPr>
        <w:t>投标人与其拟派往本项目管理机构的所有人员之间必须具备合法、唯一的劳动聘用关系。拟派人员中具备注册执业资格的，其注册单位须与投标人保持一致（提供社保缴纳证明或劳动合同）。</w:t>
      </w:r>
    </w:p>
    <w:p w14:paraId="3D9E23BE">
      <w:pPr>
        <w:spacing w:before="78" w:line="220" w:lineRule="auto"/>
        <w:ind w:left="48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2.4  </w:t>
      </w:r>
      <w:r>
        <w:rPr>
          <w:rFonts w:hint="eastAsia" w:ascii="宋体" w:hAnsi="宋体" w:eastAsia="宋体" w:cs="宋体"/>
          <w:color w:val="auto"/>
          <w:spacing w:val="-1"/>
          <w:sz w:val="24"/>
          <w:szCs w:val="24"/>
          <w:highlight w:val="none"/>
        </w:rPr>
        <w:t>禁止投标条款</w:t>
      </w:r>
    </w:p>
    <w:p w14:paraId="07E0CA77">
      <w:pPr>
        <w:spacing w:before="153" w:line="220" w:lineRule="auto"/>
        <w:ind w:left="48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2.4.1  </w:t>
      </w:r>
      <w:r>
        <w:rPr>
          <w:rFonts w:hint="eastAsia" w:ascii="宋体" w:hAnsi="宋体" w:eastAsia="宋体" w:cs="宋体"/>
          <w:color w:val="auto"/>
          <w:spacing w:val="-1"/>
          <w:sz w:val="24"/>
          <w:szCs w:val="24"/>
          <w:highlight w:val="none"/>
        </w:rPr>
        <w:t>投标人不得存在下列情形之一：</w:t>
      </w:r>
    </w:p>
    <w:p w14:paraId="2D32395F">
      <w:pPr>
        <w:spacing w:before="153"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（1）为招标人不具有独立法人资格的附属机构（单位</w:t>
      </w:r>
      <w:r>
        <w:rPr>
          <w:rFonts w:hint="eastAsia" w:ascii="宋体" w:hAnsi="宋体" w:eastAsia="宋体" w:cs="宋体"/>
          <w:color w:val="auto"/>
          <w:spacing w:val="1"/>
          <w:sz w:val="24"/>
          <w:szCs w:val="24"/>
          <w:highlight w:val="none"/>
        </w:rPr>
        <w:t>）；</w:t>
      </w:r>
    </w:p>
    <w:p w14:paraId="7D3B6730">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（2）为本招标项目前期准备提供设计或咨询服务的；</w:t>
      </w:r>
    </w:p>
    <w:p w14:paraId="015559CA">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（3）与本招标项目的其他投标人为同一个单位负责人；</w:t>
      </w:r>
    </w:p>
    <w:p w14:paraId="6416BFA4">
      <w:pPr>
        <w:spacing w:before="155"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（4）与本招标项目的其他投标人存在控股、管理关系；</w:t>
      </w:r>
    </w:p>
    <w:p w14:paraId="2B93D69C">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（5）为本招标项目的监理人；</w:t>
      </w:r>
    </w:p>
    <w:p w14:paraId="50923E52">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（6）为本招标项目的代建人；</w:t>
      </w:r>
    </w:p>
    <w:p w14:paraId="7A26CEA7">
      <w:pPr>
        <w:spacing w:before="155"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（7）为本招标项目的招标代理机构；</w:t>
      </w:r>
    </w:p>
    <w:p w14:paraId="787307D9">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（8）与本招标项目的监理人或代建人或招标代理机构同为一个法定代表人；</w:t>
      </w:r>
    </w:p>
    <w:p w14:paraId="0088E21F">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（9）与本招标项目的监理人或代建人或招标代理机构存在控股或参股关系；</w:t>
      </w:r>
    </w:p>
    <w:p w14:paraId="389D45B2">
      <w:pPr>
        <w:spacing w:before="155" w:line="219" w:lineRule="auto"/>
        <w:ind w:firstLine="468"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（10）与本招标项目的监理人或代建人或招标代理机构存在相互</w:t>
      </w:r>
      <w:r>
        <w:rPr>
          <w:rFonts w:hint="eastAsia" w:ascii="宋体" w:hAnsi="宋体" w:eastAsia="宋体" w:cs="宋体"/>
          <w:color w:val="auto"/>
          <w:spacing w:val="-4"/>
          <w:sz w:val="24"/>
          <w:szCs w:val="24"/>
          <w:highlight w:val="none"/>
        </w:rPr>
        <w:t>任职或工作关系；</w:t>
      </w:r>
    </w:p>
    <w:p w14:paraId="79827714">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（11）被依法暂停或者取消投标资格；</w:t>
      </w:r>
    </w:p>
    <w:p w14:paraId="191CE4ED">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（12）被责令停产停业、暂扣或者吊销许可证、暂扣或者吊销执照；</w:t>
      </w:r>
    </w:p>
    <w:p w14:paraId="691EA04D">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（13）进入清算程序，或被宣告破产，或其他丧失履约能力的情形；</w:t>
      </w:r>
    </w:p>
    <w:p w14:paraId="401D692E">
      <w:pPr>
        <w:pStyle w:val="23"/>
        <w:wordWrap w:val="0"/>
        <w:adjustRightInd w:val="0"/>
        <w:snapToGrid w:val="0"/>
        <w:spacing w:line="440" w:lineRule="exact"/>
        <w:ind w:firstLine="480"/>
        <w:jc w:val="left"/>
        <w:rPr>
          <w:rFonts w:hint="eastAsia" w:ascii="宋体" w:hAnsi="宋体" w:eastAsia="宋体" w:cs="宋体"/>
          <w:color w:val="auto"/>
          <w:spacing w:val="2"/>
          <w:sz w:val="24"/>
          <w:szCs w:val="24"/>
          <w:highlight w:val="none"/>
        </w:rPr>
      </w:pPr>
      <w:bookmarkStart w:id="18" w:name="bookmark116"/>
      <w:bookmarkEnd w:id="18"/>
      <w:r>
        <w:rPr>
          <w:rFonts w:hint="eastAsia" w:ascii="宋体" w:hAnsi="宋体" w:eastAsia="宋体" w:cs="宋体"/>
          <w:color w:val="auto"/>
          <w:spacing w:val="-1"/>
          <w:sz w:val="24"/>
          <w:szCs w:val="24"/>
          <w:highlight w:val="none"/>
        </w:rPr>
        <w:t>处罚决定或司法机关出具的有关法律文书为准</w:t>
      </w:r>
      <w:r>
        <w:rPr>
          <w:rFonts w:hint="eastAsia" w:ascii="宋体" w:hAnsi="宋体" w:eastAsia="宋体" w:cs="宋体"/>
          <w:color w:val="auto"/>
          <w:spacing w:val="2"/>
          <w:sz w:val="24"/>
          <w:szCs w:val="24"/>
          <w:highlight w:val="none"/>
        </w:rPr>
        <w:t>）；</w:t>
      </w:r>
    </w:p>
    <w:p w14:paraId="2C18A37F">
      <w:pPr>
        <w:pStyle w:val="23"/>
        <w:wordWrap w:val="0"/>
        <w:adjustRightInd w:val="0"/>
        <w:snapToGrid w:val="0"/>
        <w:spacing w:line="440" w:lineRule="exact"/>
        <w:ind w:firstLine="480"/>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highlight w:val="none"/>
        </w:rPr>
        <w:t>（14）在最近三年内发生重大工程质量或安全问题（以相关行业主管部门的行政处罚决定或司法机关出具的有关法律文书为准）；</w:t>
      </w:r>
    </w:p>
    <w:p w14:paraId="77F3E036">
      <w:pPr>
        <w:spacing w:before="118" w:line="293" w:lineRule="auto"/>
        <w:ind w:left="232" w:right="99" w:firstLine="36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（15）被“信用中国</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”网站（https://www.creditchina.gov.cn）发布的《法人和</w:t>
      </w:r>
      <w:r>
        <w:rPr>
          <w:rFonts w:hint="eastAsia" w:ascii="宋体" w:hAnsi="宋体" w:eastAsia="宋体" w:cs="宋体"/>
          <w:color w:val="auto"/>
          <w:spacing w:val="-3"/>
          <w:sz w:val="24"/>
          <w:szCs w:val="24"/>
          <w:highlight w:val="none"/>
        </w:rPr>
        <w:t>非法</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人组织公共信用信息报告</w:t>
      </w:r>
      <w:r>
        <w:rPr>
          <w:rFonts w:hint="eastAsia" w:ascii="宋体" w:hAnsi="宋体" w:eastAsia="宋体" w:cs="宋体"/>
          <w:snapToGrid w:val="0"/>
          <w:color w:val="auto"/>
          <w:kern w:val="0"/>
          <w:sz w:val="24"/>
          <w:szCs w:val="24"/>
          <w:highlight w:val="none"/>
          <w:lang w:val="en-US" w:eastAsia="zh-CN" w:bidi="ar-SA"/>
        </w:rPr>
        <w:t>》列为严重失信主体名单的</w:t>
      </w:r>
      <w:r>
        <w:rPr>
          <w:rFonts w:hint="eastAsia" w:ascii="宋体" w:hAnsi="宋体" w:eastAsia="宋体" w:cs="宋体"/>
          <w:color w:val="auto"/>
          <w:spacing w:val="2"/>
          <w:sz w:val="24"/>
          <w:szCs w:val="24"/>
          <w:highlight w:val="none"/>
        </w:rPr>
        <w:t>。</w:t>
      </w:r>
    </w:p>
    <w:p w14:paraId="7A53272D">
      <w:pPr>
        <w:spacing w:before="155" w:line="219" w:lineRule="auto"/>
        <w:ind w:left="706"/>
        <w:rPr>
          <w:rFonts w:hint="eastAsia" w:ascii="宋体" w:hAnsi="宋体" w:eastAsia="宋体" w:cs="宋体"/>
          <w:color w:val="auto"/>
          <w:spacing w:val="-1"/>
          <w:sz w:val="24"/>
          <w:szCs w:val="24"/>
          <w:highlight w:val="none"/>
        </w:rPr>
      </w:pPr>
      <w:r>
        <w:rPr>
          <w:rFonts w:hint="eastAsia" w:ascii="宋体" w:hAnsi="宋体" w:eastAsia="宋体" w:cs="宋体"/>
          <w:b/>
          <w:bCs/>
          <w:color w:val="auto"/>
          <w:sz w:val="24"/>
          <w:szCs w:val="24"/>
          <w:highlight w:val="none"/>
        </w:rPr>
        <w:t xml:space="preserve">2.4.2  </w:t>
      </w:r>
      <w:r>
        <w:rPr>
          <w:rFonts w:hint="eastAsia" w:ascii="宋体" w:hAnsi="宋体" w:eastAsia="宋体" w:cs="宋体"/>
          <w:color w:val="auto"/>
          <w:sz w:val="24"/>
          <w:szCs w:val="24"/>
          <w:highlight w:val="none"/>
        </w:rPr>
        <w:t>招标人拒绝以下名单中的单位</w:t>
      </w:r>
      <w:r>
        <w:rPr>
          <w:rFonts w:hint="eastAsia" w:ascii="宋体" w:hAnsi="宋体" w:eastAsia="宋体" w:cs="宋体"/>
          <w:color w:val="auto"/>
          <w:spacing w:val="-1"/>
          <w:sz w:val="24"/>
          <w:szCs w:val="24"/>
          <w:highlight w:val="none"/>
        </w:rPr>
        <w:t>参加本次投标：</w:t>
      </w:r>
    </w:p>
    <w:tbl>
      <w:tblPr>
        <w:tblStyle w:val="14"/>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4309"/>
        <w:gridCol w:w="4063"/>
      </w:tblGrid>
      <w:tr w14:paraId="64614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06" w:type="dxa"/>
            <w:vAlign w:val="center"/>
          </w:tcPr>
          <w:p w14:paraId="38F1460C">
            <w:pPr>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ajorEastAsia" w:hAnsiTheme="majorEastAsia" w:eastAsiaTheme="majorEastAsia" w:cstheme="majorEastAsia"/>
                <w:snapToGrid w:val="0"/>
                <w:color w:val="auto"/>
                <w:kern w:val="0"/>
                <w:sz w:val="24"/>
                <w:szCs w:val="24"/>
                <w:highlight w:val="none"/>
                <w:lang w:eastAsia="zh-CN"/>
              </w:rPr>
            </w:pPr>
            <w:r>
              <w:rPr>
                <w:rFonts w:hint="eastAsia" w:asciiTheme="majorEastAsia" w:hAnsiTheme="majorEastAsia" w:eastAsiaTheme="majorEastAsia" w:cstheme="majorEastAsia"/>
                <w:snapToGrid w:val="0"/>
                <w:color w:val="auto"/>
                <w:kern w:val="0"/>
                <w:sz w:val="24"/>
                <w:szCs w:val="24"/>
                <w:highlight w:val="none"/>
                <w:lang w:eastAsia="zh-CN"/>
              </w:rPr>
              <w:t>序号</w:t>
            </w:r>
          </w:p>
        </w:tc>
        <w:tc>
          <w:tcPr>
            <w:tcW w:w="4309" w:type="dxa"/>
            <w:vAlign w:val="center"/>
          </w:tcPr>
          <w:p w14:paraId="2A908A62">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snapToGrid w:val="0"/>
                <w:color w:val="auto"/>
                <w:kern w:val="0"/>
                <w:sz w:val="24"/>
                <w:szCs w:val="24"/>
                <w:highlight w:val="none"/>
                <w:lang w:eastAsia="zh-CN"/>
              </w:rPr>
            </w:pPr>
            <w:r>
              <w:rPr>
                <w:rFonts w:hint="eastAsia" w:asciiTheme="majorEastAsia" w:hAnsiTheme="majorEastAsia" w:eastAsiaTheme="majorEastAsia" w:cstheme="majorEastAsia"/>
                <w:snapToGrid w:val="0"/>
                <w:color w:val="auto"/>
                <w:kern w:val="0"/>
                <w:sz w:val="24"/>
                <w:szCs w:val="24"/>
                <w:highlight w:val="none"/>
                <w:lang w:eastAsia="zh-CN"/>
              </w:rPr>
              <w:t>单位名称</w:t>
            </w:r>
          </w:p>
        </w:tc>
        <w:tc>
          <w:tcPr>
            <w:tcW w:w="4063" w:type="dxa"/>
            <w:vAlign w:val="center"/>
          </w:tcPr>
          <w:p w14:paraId="25189BA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snapToGrid w:val="0"/>
                <w:color w:val="auto"/>
                <w:kern w:val="0"/>
                <w:sz w:val="24"/>
                <w:szCs w:val="24"/>
                <w:highlight w:val="none"/>
                <w:lang w:eastAsia="zh-CN"/>
              </w:rPr>
            </w:pPr>
            <w:r>
              <w:rPr>
                <w:rFonts w:hint="eastAsia" w:asciiTheme="majorEastAsia" w:hAnsiTheme="majorEastAsia" w:eastAsiaTheme="majorEastAsia" w:cstheme="majorEastAsia"/>
                <w:snapToGrid w:val="0"/>
                <w:color w:val="auto"/>
                <w:kern w:val="0"/>
                <w:sz w:val="24"/>
                <w:szCs w:val="24"/>
                <w:highlight w:val="none"/>
                <w:lang w:eastAsia="zh-CN"/>
              </w:rPr>
              <w:t>拒绝原因</w:t>
            </w:r>
          </w:p>
        </w:tc>
      </w:tr>
      <w:tr w14:paraId="138D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06" w:type="dxa"/>
            <w:vAlign w:val="center"/>
          </w:tcPr>
          <w:p w14:paraId="07E7CE43">
            <w:pPr>
              <w:pStyle w:val="23"/>
              <w:wordWrap w:val="0"/>
              <w:adjustRightInd w:val="0"/>
              <w:snapToGrid w:val="0"/>
              <w:spacing w:line="340" w:lineRule="exact"/>
              <w:jc w:val="center"/>
              <w:rPr>
                <w:rFonts w:hint="eastAsia" w:asciiTheme="majorEastAsia" w:hAnsiTheme="majorEastAsia" w:eastAsiaTheme="majorEastAsia" w:cstheme="maj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1</w:t>
            </w:r>
          </w:p>
        </w:tc>
        <w:tc>
          <w:tcPr>
            <w:tcW w:w="4309" w:type="dxa"/>
            <w:vAlign w:val="center"/>
          </w:tcPr>
          <w:p w14:paraId="08A4989F">
            <w:pPr>
              <w:pStyle w:val="23"/>
              <w:wordWrap w:val="0"/>
              <w:adjustRightInd w:val="0"/>
              <w:snapToGrid w:val="0"/>
              <w:spacing w:line="340" w:lineRule="exact"/>
              <w:jc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eastAsia="zh-CN"/>
              </w:rPr>
              <w:t>乳源瑶族自治县银源供水有限公司</w:t>
            </w:r>
          </w:p>
        </w:tc>
        <w:tc>
          <w:tcPr>
            <w:tcW w:w="4063" w:type="dxa"/>
            <w:vAlign w:val="center"/>
          </w:tcPr>
          <w:p w14:paraId="566924E0">
            <w:pPr>
              <w:pStyle w:val="23"/>
              <w:wordWrap w:val="0"/>
              <w:adjustRightInd w:val="0"/>
              <w:snapToGrid w:val="0"/>
              <w:spacing w:line="340" w:lineRule="exact"/>
              <w:jc w:val="left"/>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rPr>
              <w:t>为本招标项目的招标人</w:t>
            </w:r>
          </w:p>
        </w:tc>
      </w:tr>
      <w:tr w14:paraId="196A2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06" w:type="dxa"/>
            <w:vAlign w:val="center"/>
          </w:tcPr>
          <w:p w14:paraId="6171A6C9">
            <w:pPr>
              <w:pStyle w:val="23"/>
              <w:wordWrap w:val="0"/>
              <w:adjustRightInd w:val="0"/>
              <w:snapToGrid w:val="0"/>
              <w:spacing w:line="340" w:lineRule="exact"/>
              <w:jc w:val="center"/>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rPr>
              <w:t>2</w:t>
            </w:r>
          </w:p>
        </w:tc>
        <w:tc>
          <w:tcPr>
            <w:tcW w:w="4309" w:type="dxa"/>
            <w:vAlign w:val="center"/>
          </w:tcPr>
          <w:p w14:paraId="79BD2127">
            <w:pPr>
              <w:pStyle w:val="23"/>
              <w:wordWrap w:val="0"/>
              <w:adjustRightInd w:val="0"/>
              <w:snapToGrid w:val="0"/>
              <w:spacing w:line="340" w:lineRule="exact"/>
              <w:jc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韶关市珩诚工程咨询有限公司</w:t>
            </w:r>
          </w:p>
        </w:tc>
        <w:tc>
          <w:tcPr>
            <w:tcW w:w="4063" w:type="dxa"/>
            <w:vAlign w:val="center"/>
          </w:tcPr>
          <w:p w14:paraId="3F6505A7">
            <w:pPr>
              <w:pStyle w:val="23"/>
              <w:wordWrap w:val="0"/>
              <w:adjustRightInd w:val="0"/>
              <w:snapToGrid w:val="0"/>
              <w:spacing w:line="340" w:lineRule="exact"/>
              <w:jc w:val="left"/>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rPr>
              <w:t>为本招标项目的招标代理机构</w:t>
            </w:r>
          </w:p>
        </w:tc>
      </w:tr>
      <w:tr w14:paraId="3A19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06" w:type="dxa"/>
            <w:vAlign w:val="center"/>
          </w:tcPr>
          <w:p w14:paraId="13F9BD1A">
            <w:pPr>
              <w:pStyle w:val="23"/>
              <w:wordWrap w:val="0"/>
              <w:adjustRightInd w:val="0"/>
              <w:snapToGrid w:val="0"/>
              <w:spacing w:line="340" w:lineRule="exact"/>
              <w:jc w:val="center"/>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3</w:t>
            </w:r>
          </w:p>
        </w:tc>
        <w:tc>
          <w:tcPr>
            <w:tcW w:w="4309" w:type="dxa"/>
            <w:vAlign w:val="center"/>
          </w:tcPr>
          <w:p w14:paraId="48B709C4">
            <w:pPr>
              <w:pStyle w:val="23"/>
              <w:wordWrap w:val="0"/>
              <w:adjustRightInd w:val="0"/>
              <w:snapToGrid w:val="0"/>
              <w:spacing w:line="340" w:lineRule="exact"/>
              <w:jc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韶关市规划市政设计研究院有限公司</w:t>
            </w:r>
          </w:p>
        </w:tc>
        <w:tc>
          <w:tcPr>
            <w:tcW w:w="4063" w:type="dxa"/>
            <w:vAlign w:val="center"/>
          </w:tcPr>
          <w:p w14:paraId="241463B9">
            <w:pPr>
              <w:pStyle w:val="23"/>
              <w:wordWrap w:val="0"/>
              <w:adjustRightInd w:val="0"/>
              <w:snapToGrid w:val="0"/>
              <w:spacing w:line="340" w:lineRule="exact"/>
              <w:jc w:val="left"/>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rPr>
              <w:t>为本招标项目的</w:t>
            </w:r>
            <w:r>
              <w:rPr>
                <w:rFonts w:hint="eastAsia" w:asciiTheme="minorEastAsia" w:hAnsiTheme="minorEastAsia" w:eastAsiaTheme="minorEastAsia" w:cstheme="minorEastAsia"/>
                <w:snapToGrid w:val="0"/>
                <w:color w:val="auto"/>
                <w:kern w:val="0"/>
                <w:sz w:val="24"/>
                <w:szCs w:val="24"/>
                <w:highlight w:val="none"/>
                <w:lang w:val="en-US" w:eastAsia="zh-CN"/>
              </w:rPr>
              <w:t>设计单位</w:t>
            </w:r>
          </w:p>
        </w:tc>
      </w:tr>
      <w:tr w14:paraId="12C8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06" w:type="dxa"/>
            <w:vAlign w:val="center"/>
          </w:tcPr>
          <w:p w14:paraId="09867532">
            <w:pPr>
              <w:pStyle w:val="23"/>
              <w:wordWrap w:val="0"/>
              <w:adjustRightInd w:val="0"/>
              <w:snapToGrid w:val="0"/>
              <w:spacing w:line="340" w:lineRule="exact"/>
              <w:jc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4309" w:type="dxa"/>
            <w:vAlign w:val="center"/>
          </w:tcPr>
          <w:p w14:paraId="5E9A85D1">
            <w:pPr>
              <w:pStyle w:val="23"/>
              <w:wordWrap w:val="0"/>
              <w:adjustRightInd w:val="0"/>
              <w:snapToGrid w:val="0"/>
              <w:spacing w:line="340" w:lineRule="exact"/>
              <w:jc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新正源项目咨询有限公司</w:t>
            </w:r>
          </w:p>
        </w:tc>
        <w:tc>
          <w:tcPr>
            <w:tcW w:w="4063" w:type="dxa"/>
            <w:vAlign w:val="center"/>
          </w:tcPr>
          <w:p w14:paraId="578B14C0">
            <w:pPr>
              <w:pStyle w:val="23"/>
              <w:wordWrap w:val="0"/>
              <w:adjustRightInd w:val="0"/>
              <w:snapToGrid w:val="0"/>
              <w:spacing w:line="340" w:lineRule="exact"/>
              <w:jc w:val="left"/>
              <w:rPr>
                <w:rFonts w:hint="eastAsia" w:asciiTheme="majorEastAsia" w:hAnsiTheme="majorEastAsia" w:eastAsiaTheme="majorEastAsia" w:cstheme="majorEastAsia"/>
                <w:color w:val="auto"/>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eastAsia="zh-CN"/>
              </w:rPr>
              <w:t>为本招标项目的</w:t>
            </w:r>
            <w:r>
              <w:rPr>
                <w:rFonts w:hint="eastAsia" w:asciiTheme="minorEastAsia" w:hAnsiTheme="minorEastAsia" w:eastAsiaTheme="minorEastAsia" w:cstheme="minorEastAsia"/>
                <w:snapToGrid w:val="0"/>
                <w:color w:val="auto"/>
                <w:kern w:val="0"/>
                <w:sz w:val="24"/>
                <w:szCs w:val="24"/>
                <w:highlight w:val="none"/>
                <w:lang w:val="en-US" w:eastAsia="zh-CN"/>
              </w:rPr>
              <w:t>全过程</w:t>
            </w:r>
            <w:r>
              <w:rPr>
                <w:rFonts w:hint="eastAsia" w:asciiTheme="minorEastAsia" w:hAnsiTheme="minorEastAsia" w:eastAsiaTheme="minorEastAsia" w:cstheme="minorEastAsia"/>
                <w:snapToGrid w:val="0"/>
                <w:color w:val="auto"/>
                <w:kern w:val="0"/>
                <w:sz w:val="24"/>
                <w:szCs w:val="24"/>
                <w:highlight w:val="none"/>
                <w:lang w:eastAsia="zh-CN"/>
              </w:rPr>
              <w:t>造价咨询单位</w:t>
            </w:r>
          </w:p>
        </w:tc>
      </w:tr>
      <w:tr w14:paraId="7F8D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06" w:type="dxa"/>
            <w:vAlign w:val="center"/>
          </w:tcPr>
          <w:p w14:paraId="7749C58E">
            <w:pPr>
              <w:pStyle w:val="23"/>
              <w:wordWrap w:val="0"/>
              <w:adjustRightInd w:val="0"/>
              <w:snapToGrid w:val="0"/>
              <w:spacing w:line="340" w:lineRule="exact"/>
              <w:jc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4309" w:type="dxa"/>
            <w:vAlign w:val="center"/>
          </w:tcPr>
          <w:p w14:paraId="435B4EDB">
            <w:pPr>
              <w:pStyle w:val="23"/>
              <w:wordWrap w:val="0"/>
              <w:adjustRightInd w:val="0"/>
              <w:snapToGrid w:val="0"/>
              <w:spacing w:line="340" w:lineRule="exact"/>
              <w:jc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广东粤湾施工图审查有限公司</w:t>
            </w:r>
          </w:p>
        </w:tc>
        <w:tc>
          <w:tcPr>
            <w:tcW w:w="4063" w:type="dxa"/>
            <w:vAlign w:val="center"/>
          </w:tcPr>
          <w:p w14:paraId="0A408AE8">
            <w:pPr>
              <w:pStyle w:val="23"/>
              <w:wordWrap w:val="0"/>
              <w:adjustRightInd w:val="0"/>
              <w:snapToGrid w:val="0"/>
              <w:spacing w:line="340" w:lineRule="exact"/>
              <w:jc w:val="left"/>
              <w:rPr>
                <w:rFonts w:hint="eastAsia" w:asciiTheme="majorEastAsia" w:hAnsiTheme="majorEastAsia" w:eastAsiaTheme="majorEastAsia" w:cstheme="maj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为本招标项目的施工图</w:t>
            </w:r>
            <w:r>
              <w:rPr>
                <w:rFonts w:hint="eastAsia" w:asciiTheme="minorEastAsia" w:hAnsiTheme="minorEastAsia" w:eastAsiaTheme="minorEastAsia" w:cstheme="minorEastAsia"/>
                <w:snapToGrid w:val="0"/>
                <w:color w:val="auto"/>
                <w:kern w:val="0"/>
                <w:sz w:val="24"/>
                <w:szCs w:val="24"/>
                <w:highlight w:val="none"/>
                <w:lang w:val="en-US" w:eastAsia="zh-CN"/>
              </w:rPr>
              <w:t>审查单位</w:t>
            </w:r>
          </w:p>
        </w:tc>
      </w:tr>
      <w:tr w14:paraId="0D27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06" w:type="dxa"/>
            <w:vAlign w:val="center"/>
          </w:tcPr>
          <w:p w14:paraId="4E448C79">
            <w:pPr>
              <w:pStyle w:val="23"/>
              <w:wordWrap w:val="0"/>
              <w:adjustRightInd w:val="0"/>
              <w:snapToGrid w:val="0"/>
              <w:spacing w:line="340" w:lineRule="exact"/>
              <w:jc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4309" w:type="dxa"/>
            <w:vAlign w:val="center"/>
          </w:tcPr>
          <w:p w14:paraId="5F1D04CC">
            <w:pPr>
              <w:pStyle w:val="23"/>
              <w:wordWrap w:val="0"/>
              <w:adjustRightInd w:val="0"/>
              <w:snapToGrid w:val="0"/>
              <w:spacing w:line="340" w:lineRule="exact"/>
              <w:jc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中大设计集团有限公司</w:t>
            </w:r>
          </w:p>
        </w:tc>
        <w:tc>
          <w:tcPr>
            <w:tcW w:w="4063" w:type="dxa"/>
            <w:vAlign w:val="center"/>
          </w:tcPr>
          <w:p w14:paraId="43C894B3">
            <w:pPr>
              <w:pStyle w:val="23"/>
              <w:wordWrap w:val="0"/>
              <w:adjustRightInd w:val="0"/>
              <w:snapToGrid w:val="0"/>
              <w:spacing w:line="340" w:lineRule="exact"/>
              <w:jc w:val="left"/>
              <w:rPr>
                <w:rFonts w:hint="eastAsia" w:asciiTheme="majorEastAsia" w:hAnsiTheme="majorEastAsia" w:eastAsiaTheme="majorEastAsia" w:cstheme="maj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rPr>
              <w:t>为本招标项目的</w:t>
            </w:r>
            <w:r>
              <w:rPr>
                <w:rFonts w:hint="eastAsia" w:asciiTheme="minorEastAsia" w:hAnsiTheme="minorEastAsia" w:eastAsiaTheme="minorEastAsia" w:cstheme="minorEastAsia"/>
                <w:snapToGrid w:val="0"/>
                <w:color w:val="auto"/>
                <w:kern w:val="0"/>
                <w:sz w:val="24"/>
                <w:szCs w:val="24"/>
                <w:highlight w:val="none"/>
                <w:lang w:val="en-US" w:eastAsia="zh-CN"/>
              </w:rPr>
              <w:t>可研编制单位</w:t>
            </w:r>
          </w:p>
        </w:tc>
      </w:tr>
      <w:tr w14:paraId="2D6F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06" w:type="dxa"/>
            <w:vAlign w:val="center"/>
          </w:tcPr>
          <w:p w14:paraId="649F879D">
            <w:pPr>
              <w:pStyle w:val="23"/>
              <w:wordWrap w:val="0"/>
              <w:adjustRightInd w:val="0"/>
              <w:snapToGrid w:val="0"/>
              <w:spacing w:line="34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w:t>
            </w:r>
          </w:p>
        </w:tc>
        <w:tc>
          <w:tcPr>
            <w:tcW w:w="4309" w:type="dxa"/>
            <w:vAlign w:val="center"/>
          </w:tcPr>
          <w:p w14:paraId="6ED9770B">
            <w:pPr>
              <w:pStyle w:val="23"/>
              <w:wordWrap w:val="0"/>
              <w:adjustRightInd w:val="0"/>
              <w:snapToGrid w:val="0"/>
              <w:spacing w:line="34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湖南岩土工程勘测设计有限公司</w:t>
            </w:r>
          </w:p>
        </w:tc>
        <w:tc>
          <w:tcPr>
            <w:tcW w:w="4063" w:type="dxa"/>
            <w:vAlign w:val="center"/>
          </w:tcPr>
          <w:p w14:paraId="60AF7C58">
            <w:pPr>
              <w:pStyle w:val="23"/>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为本招标项目的</w:t>
            </w:r>
            <w:r>
              <w:rPr>
                <w:rFonts w:hint="eastAsia" w:asciiTheme="minorEastAsia" w:hAnsiTheme="minorEastAsia" w:eastAsiaTheme="minorEastAsia" w:cstheme="minorEastAsia"/>
                <w:snapToGrid w:val="0"/>
                <w:color w:val="auto"/>
                <w:kern w:val="0"/>
                <w:sz w:val="24"/>
                <w:szCs w:val="24"/>
                <w:highlight w:val="none"/>
                <w:lang w:val="en-US" w:eastAsia="zh-CN"/>
              </w:rPr>
              <w:t>勘察单位</w:t>
            </w:r>
          </w:p>
        </w:tc>
      </w:tr>
    </w:tbl>
    <w:p w14:paraId="700192D7">
      <w:pPr>
        <w:spacing w:line="93" w:lineRule="auto"/>
        <w:rPr>
          <w:rFonts w:hint="eastAsia" w:ascii="宋体" w:hAnsi="宋体" w:eastAsia="宋体" w:cs="宋体"/>
          <w:color w:val="auto"/>
          <w:sz w:val="2"/>
          <w:highlight w:val="none"/>
        </w:rPr>
      </w:pPr>
    </w:p>
    <w:p w14:paraId="2E6F6FBD">
      <w:pPr>
        <w:spacing w:before="153" w:line="221" w:lineRule="auto"/>
        <w:ind w:left="70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其他要求</w:t>
      </w:r>
    </w:p>
    <w:p w14:paraId="5AB3B0AB">
      <w:pPr>
        <w:spacing w:before="150" w:line="334" w:lineRule="auto"/>
        <w:ind w:left="232" w:right="99" w:firstLine="481"/>
        <w:rPr>
          <w:rFonts w:hint="eastAsia" w:ascii="宋体" w:hAnsi="宋体" w:eastAsia="宋体" w:cs="宋体"/>
          <w:color w:val="auto"/>
          <w:highlight w:val="none"/>
        </w:rPr>
      </w:pPr>
      <w:r>
        <w:rPr>
          <w:rFonts w:hint="eastAsia" w:ascii="宋体" w:hAnsi="宋体" w:eastAsia="宋体" w:cs="宋体"/>
          <w:color w:val="auto"/>
          <w:spacing w:val="-1"/>
          <w:sz w:val="24"/>
          <w:szCs w:val="24"/>
          <w:highlight w:val="none"/>
        </w:rPr>
        <w:t>省外企业及其拟派往本项目管理机构的所有</w:t>
      </w:r>
      <w:r>
        <w:rPr>
          <w:rFonts w:hint="eastAsia" w:ascii="宋体" w:hAnsi="宋体" w:eastAsia="宋体" w:cs="宋体"/>
          <w:color w:val="auto"/>
          <w:spacing w:val="-2"/>
          <w:sz w:val="24"/>
          <w:szCs w:val="24"/>
          <w:highlight w:val="none"/>
        </w:rPr>
        <w:t>人员均须按照《广东省住房和城乡建</w:t>
      </w:r>
      <w:r>
        <w:rPr>
          <w:rFonts w:hint="eastAsia" w:ascii="宋体" w:hAnsi="宋体" w:eastAsia="宋体" w:cs="宋体"/>
          <w:color w:val="auto"/>
          <w:spacing w:val="-1"/>
          <w:sz w:val="24"/>
          <w:szCs w:val="24"/>
          <w:highlight w:val="none"/>
        </w:rPr>
        <w:t>设厅关于取消省外建筑企业和人员进粤信息备案有关工作的通知》</w:t>
      </w:r>
      <w:r>
        <w:rPr>
          <w:rFonts w:hint="eastAsia" w:ascii="宋体" w:hAnsi="宋体" w:eastAsia="宋体" w:cs="宋体"/>
          <w:color w:val="auto"/>
          <w:spacing w:val="-2"/>
          <w:sz w:val="24"/>
          <w:szCs w:val="24"/>
          <w:highlight w:val="none"/>
        </w:rPr>
        <w:t>（粤建市﹝2015﹞</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52</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4"/>
          <w:sz w:val="24"/>
          <w:szCs w:val="24"/>
          <w:highlight w:val="none"/>
        </w:rPr>
        <w:t>号）规定在“进粤企业和人员诚信信息登记平台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”录入相关信息并通过数</w:t>
      </w:r>
      <w:r>
        <w:rPr>
          <w:rFonts w:hint="eastAsia" w:ascii="宋体" w:hAnsi="宋体" w:eastAsia="宋体" w:cs="宋体"/>
          <w:color w:val="auto"/>
          <w:spacing w:val="-5"/>
          <w:sz w:val="24"/>
          <w:szCs w:val="24"/>
          <w:highlight w:val="none"/>
        </w:rPr>
        <w:t>据规范检</w:t>
      </w:r>
      <w:r>
        <w:rPr>
          <w:rFonts w:hint="eastAsia" w:ascii="宋体" w:hAnsi="宋体" w:eastAsia="宋体" w:cs="宋体"/>
          <w:color w:val="auto"/>
          <w:spacing w:val="-6"/>
          <w:sz w:val="24"/>
          <w:szCs w:val="24"/>
          <w:highlight w:val="none"/>
        </w:rPr>
        <w:t>查。</w:t>
      </w:r>
    </w:p>
    <w:p w14:paraId="6B3FBB78">
      <w:pPr>
        <w:spacing w:before="79" w:line="220" w:lineRule="auto"/>
        <w:ind w:left="715"/>
        <w:outlineLvl w:val="2"/>
        <w:rPr>
          <w:rFonts w:hint="eastAsia" w:ascii="宋体" w:hAnsi="宋体" w:eastAsia="宋体" w:cs="宋体"/>
          <w:color w:val="auto"/>
          <w:sz w:val="24"/>
          <w:szCs w:val="24"/>
          <w:highlight w:val="none"/>
        </w:rPr>
      </w:pPr>
      <w:bookmarkStart w:id="19" w:name="_Toc23243"/>
      <w:bookmarkStart w:id="20" w:name="_Toc21490"/>
      <w:r>
        <w:rPr>
          <w:rFonts w:hint="eastAsia" w:ascii="宋体" w:hAnsi="宋体" w:eastAsia="宋体" w:cs="宋体"/>
          <w:b/>
          <w:bCs/>
          <w:color w:val="auto"/>
          <w:spacing w:val="-4"/>
          <w:sz w:val="24"/>
          <w:szCs w:val="24"/>
          <w:highlight w:val="none"/>
        </w:rPr>
        <w:t>3．招标文件的获取</w:t>
      </w:r>
      <w:bookmarkEnd w:id="19"/>
      <w:bookmarkEnd w:id="20"/>
    </w:p>
    <w:p w14:paraId="64F87746">
      <w:pPr>
        <w:spacing w:before="182" w:line="219" w:lineRule="auto"/>
        <w:ind w:left="70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3.1  </w:t>
      </w:r>
      <w:r>
        <w:rPr>
          <w:rFonts w:hint="eastAsia" w:ascii="宋体" w:hAnsi="宋体" w:eastAsia="宋体" w:cs="宋体"/>
          <w:color w:val="auto"/>
          <w:spacing w:val="-1"/>
          <w:sz w:val="24"/>
          <w:szCs w:val="24"/>
          <w:highlight w:val="none"/>
        </w:rPr>
        <w:t>本次招标实行电子投标。</w:t>
      </w:r>
    </w:p>
    <w:p w14:paraId="4B51648A">
      <w:pPr>
        <w:spacing w:before="178" w:line="355" w:lineRule="auto"/>
        <w:ind w:left="229" w:firstLine="48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本次招标实行电子投标。本项目招标文件随招标公</w:t>
      </w:r>
      <w:r>
        <w:rPr>
          <w:rFonts w:hint="eastAsia" w:ascii="宋体" w:hAnsi="宋体" w:eastAsia="宋体" w:cs="宋体"/>
          <w:color w:val="auto"/>
          <w:spacing w:val="-2"/>
          <w:sz w:val="24"/>
          <w:szCs w:val="24"/>
          <w:highlight w:val="none"/>
        </w:rPr>
        <w:t>告一并在全国公共资源交易平台（广东省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56"/>
          <w:sz w:val="24"/>
          <w:szCs w:val="24"/>
          <w:highlight w:val="none"/>
        </w:rPr>
        <w:t>）（</w:t>
      </w:r>
      <w:r>
        <w:rPr>
          <w:rFonts w:hint="eastAsia" w:ascii="宋体" w:hAnsi="宋体" w:eastAsia="宋体" w:cs="宋体"/>
          <w:color w:val="auto"/>
          <w:spacing w:val="-56"/>
          <w:sz w:val="24"/>
          <w:szCs w:val="24"/>
          <w:highlight w:val="none"/>
          <w:lang w:val="en-US" w:eastAsia="zh-CN"/>
        </w:rPr>
        <w:t xml:space="preserve">              </w:t>
      </w:r>
      <w:r>
        <w:rPr>
          <w:rFonts w:hint="eastAsia" w:ascii="宋体" w:hAnsi="宋体" w:eastAsia="宋体" w:cs="宋体"/>
          <w:color w:val="auto"/>
          <w:spacing w:val="-2"/>
          <w:sz w:val="24"/>
          <w:szCs w:val="24"/>
          <w:highlight w:val="none"/>
        </w:rPr>
        <w:t>https://yg</w:t>
      </w:r>
      <w:r>
        <w:rPr>
          <w:rFonts w:hint="eastAsia" w:ascii="宋体" w:hAnsi="宋体" w:eastAsia="宋体" w:cs="宋体"/>
          <w:color w:val="auto"/>
          <w:spacing w:val="-3"/>
          <w:sz w:val="24"/>
          <w:szCs w:val="24"/>
          <w:highlight w:val="none"/>
        </w:rPr>
        <w:t>p.gdzwfw.gov.cn/ggzy-portal/#/440200/index）</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网站发布。招标文件一经发布，视为发送投标人，招标文件及相</w:t>
      </w:r>
      <w:r>
        <w:rPr>
          <w:rFonts w:hint="eastAsia" w:ascii="宋体" w:hAnsi="宋体" w:eastAsia="宋体" w:cs="宋体"/>
          <w:color w:val="auto"/>
          <w:spacing w:val="-2"/>
          <w:sz w:val="24"/>
          <w:szCs w:val="24"/>
          <w:highlight w:val="none"/>
        </w:rPr>
        <w:t>关附件由投标人自行</w:t>
      </w:r>
      <w:r>
        <w:rPr>
          <w:rFonts w:hint="eastAsia" w:ascii="宋体" w:hAnsi="宋体" w:eastAsia="宋体" w:cs="宋体"/>
          <w:color w:val="auto"/>
          <w:spacing w:val="-7"/>
          <w:sz w:val="24"/>
          <w:szCs w:val="24"/>
          <w:highlight w:val="none"/>
        </w:rPr>
        <w:t>在全国公共资源交易平台（广东省</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7"/>
          <w:sz w:val="24"/>
          <w:szCs w:val="24"/>
          <w:highlight w:val="none"/>
        </w:rPr>
        <w:t>·韶关市）网站下载。请于招标文件获取期间,（见</w:t>
      </w:r>
      <w:r>
        <w:rPr>
          <w:rFonts w:hint="eastAsia" w:ascii="宋体" w:hAnsi="宋体" w:eastAsia="宋体" w:cs="宋体"/>
          <w:color w:val="auto"/>
          <w:spacing w:val="-2"/>
          <w:sz w:val="24"/>
          <w:szCs w:val="24"/>
          <w:highlight w:val="none"/>
        </w:rPr>
        <w:t>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”）招标文件获取期间与招标公告发</w:t>
      </w:r>
      <w:r>
        <w:rPr>
          <w:rFonts w:hint="eastAsia" w:ascii="宋体" w:hAnsi="宋体" w:eastAsia="宋体" w:cs="宋体"/>
          <w:color w:val="auto"/>
          <w:spacing w:val="-3"/>
          <w:sz w:val="24"/>
          <w:szCs w:val="24"/>
          <w:highlight w:val="none"/>
        </w:rPr>
        <w:t>布时间一</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致，投标人须登录全国公共资源交易平台（广东省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·韶关市</w:t>
      </w:r>
      <w:r>
        <w:rPr>
          <w:rFonts w:hint="eastAsia" w:ascii="宋体" w:hAnsi="宋体" w:eastAsia="宋体" w:cs="宋体"/>
          <w:color w:val="auto"/>
          <w:spacing w:val="-40"/>
          <w:sz w:val="24"/>
          <w:szCs w:val="24"/>
          <w:highlight w:val="none"/>
        </w:rPr>
        <w:t>）（</w:t>
      </w:r>
      <w:r>
        <w:rPr>
          <w:rFonts w:hint="eastAsia" w:ascii="宋体" w:hAnsi="宋体" w:eastAsia="宋体" w:cs="宋体"/>
          <w:color w:val="auto"/>
          <w:spacing w:val="-40"/>
          <w:sz w:val="24"/>
          <w:szCs w:val="24"/>
          <w:highlight w:val="none"/>
          <w:lang w:val="en-US" w:eastAsia="zh-CN"/>
        </w:rPr>
        <w:t xml:space="preserve">   </w:t>
      </w:r>
      <w:r>
        <w:rPr>
          <w:rFonts w:hint="eastAsia" w:ascii="宋体" w:hAnsi="宋体" w:eastAsia="宋体" w:cs="宋体"/>
          <w:color w:val="auto"/>
          <w:spacing w:val="-4"/>
          <w:sz w:val="24"/>
          <w:szCs w:val="24"/>
          <w:highlight w:val="none"/>
        </w:rPr>
        <w:t>https://ygp.gdzwfw.</w:t>
      </w:r>
      <w:r>
        <w:rPr>
          <w:rFonts w:hint="eastAsia" w:ascii="宋体" w:hAnsi="宋体" w:eastAsia="宋体" w:cs="宋体"/>
          <w:color w:val="auto"/>
          <w:sz w:val="24"/>
          <w:szCs w:val="24"/>
          <w:highlight w:val="none"/>
        </w:rPr>
        <w:t xml:space="preserve">  gov</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cn</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ggzy</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portal</w:t>
      </w:r>
      <w:r>
        <w:rPr>
          <w:rFonts w:hint="eastAsia" w:ascii="宋体" w:hAnsi="宋体" w:eastAsia="宋体" w:cs="宋体"/>
          <w:color w:val="auto"/>
          <w:spacing w:val="2"/>
          <w:sz w:val="24"/>
          <w:szCs w:val="24"/>
          <w:highlight w:val="none"/>
        </w:rPr>
        <w:t>/#/440200/</w:t>
      </w:r>
      <w:r>
        <w:rPr>
          <w:rFonts w:hint="eastAsia" w:ascii="宋体" w:hAnsi="宋体" w:eastAsia="宋体" w:cs="宋体"/>
          <w:color w:val="auto"/>
          <w:sz w:val="24"/>
          <w:szCs w:val="24"/>
          <w:highlight w:val="none"/>
        </w:rPr>
        <w:t>index</w:t>
      </w:r>
      <w:r>
        <w:rPr>
          <w:rFonts w:hint="eastAsia" w:ascii="宋体" w:hAnsi="宋体" w:eastAsia="宋体" w:cs="宋体"/>
          <w:color w:val="auto"/>
          <w:spacing w:val="7"/>
          <w:sz w:val="24"/>
          <w:szCs w:val="24"/>
          <w:highlight w:val="none"/>
        </w:rPr>
        <w:t>），</w:t>
      </w:r>
      <w:r>
        <w:rPr>
          <w:rFonts w:hint="eastAsia" w:ascii="宋体" w:hAnsi="宋体" w:eastAsia="宋体" w:cs="宋体"/>
          <w:color w:val="auto"/>
          <w:spacing w:val="2"/>
          <w:sz w:val="24"/>
          <w:szCs w:val="24"/>
          <w:highlight w:val="none"/>
        </w:rPr>
        <w:t>使用新建设工程交易系统进行下载</w:t>
      </w:r>
      <w:r>
        <w:rPr>
          <w:rFonts w:hint="eastAsia" w:ascii="宋体" w:hAnsi="宋体" w:eastAsia="宋体" w:cs="宋体"/>
          <w:color w:val="auto"/>
          <w:spacing w:val="1"/>
          <w:sz w:val="24"/>
          <w:szCs w:val="24"/>
          <w:highlight w:val="none"/>
        </w:rPr>
        <w:t>招标文</w:t>
      </w:r>
      <w:r>
        <w:rPr>
          <w:rFonts w:hint="eastAsia" w:ascii="宋体" w:hAnsi="宋体" w:eastAsia="宋体" w:cs="宋体"/>
          <w:color w:val="auto"/>
          <w:spacing w:val="-6"/>
          <w:sz w:val="24"/>
          <w:szCs w:val="24"/>
          <w:highlight w:val="none"/>
        </w:rPr>
        <w:t>件及相关附件，并于电子投标截止时间（见本章第二节“重要事项时间地点一览表</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前完成电子投标。投标人可登录全国公共资源交易平</w:t>
      </w:r>
      <w:r>
        <w:rPr>
          <w:rFonts w:hint="eastAsia" w:ascii="宋体" w:hAnsi="宋体" w:eastAsia="宋体" w:cs="宋体"/>
          <w:color w:val="auto"/>
          <w:spacing w:val="-3"/>
          <w:sz w:val="24"/>
          <w:szCs w:val="24"/>
          <w:highlight w:val="none"/>
        </w:rPr>
        <w:t>台（广东省</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3"/>
          <w:sz w:val="24"/>
          <w:szCs w:val="24"/>
          <w:highlight w:val="none"/>
        </w:rPr>
        <w:t>·韶关市</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5"/>
          <w:sz w:val="24"/>
          <w:szCs w:val="24"/>
          <w:highlight w:val="none"/>
          <w:lang w:val="en-US" w:eastAsia="zh-CN"/>
        </w:rPr>
        <w:t xml:space="preserve">   </w:t>
      </w:r>
      <w:r>
        <w:rPr>
          <w:rFonts w:hint="eastAsia" w:ascii="宋体" w:hAnsi="宋体" w:eastAsia="宋体" w:cs="宋体"/>
          <w:color w:val="auto"/>
          <w:spacing w:val="-3"/>
          <w:sz w:val="24"/>
          <w:szCs w:val="24"/>
          <w:highlight w:val="none"/>
        </w:rPr>
        <w:t>https:</w:t>
      </w:r>
      <w:r>
        <w:rPr>
          <w:rFonts w:hint="eastAsia" w:ascii="宋体" w:hAnsi="宋体" w:eastAsia="宋体" w:cs="宋体"/>
          <w:color w:val="auto"/>
          <w:sz w:val="24"/>
          <w:szCs w:val="24"/>
          <w:highlight w:val="none"/>
        </w:rPr>
        <w:t>//ygp.gdzwfw.gov.cn/ggz</w:t>
      </w:r>
      <w:r>
        <w:rPr>
          <w:rFonts w:hint="eastAsia" w:ascii="宋体" w:hAnsi="宋体" w:eastAsia="宋体" w:cs="宋体"/>
          <w:color w:val="auto"/>
          <w:spacing w:val="-1"/>
          <w:sz w:val="24"/>
          <w:szCs w:val="24"/>
          <w:highlight w:val="none"/>
        </w:rPr>
        <w:t>y-portal/#/440200/index</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1"/>
          <w:sz w:val="24"/>
          <w:szCs w:val="24"/>
          <w:highlight w:val="none"/>
        </w:rPr>
        <w:t>在【服务指南】栏目中建设</w:t>
      </w:r>
      <w:r>
        <w:rPr>
          <w:rFonts w:hint="eastAsia" w:ascii="宋体" w:hAnsi="宋体" w:eastAsia="宋体" w:cs="宋体"/>
          <w:color w:val="auto"/>
          <w:spacing w:val="-2"/>
          <w:sz w:val="24"/>
          <w:szCs w:val="24"/>
          <w:highlight w:val="none"/>
        </w:rPr>
        <w:t>工程交易中下载《韶关市公共资源建设工程交易系统-投</w:t>
      </w:r>
      <w:r>
        <w:rPr>
          <w:rFonts w:hint="eastAsia" w:ascii="宋体" w:hAnsi="宋体" w:eastAsia="宋体" w:cs="宋体"/>
          <w:color w:val="auto"/>
          <w:spacing w:val="-1"/>
          <w:sz w:val="24"/>
          <w:szCs w:val="24"/>
          <w:highlight w:val="none"/>
        </w:rPr>
        <w:t>标人操作指南（电子评标）》 （附件 2），了解网上获取招标文件操作流程。技术咨询电话：0751-837</w:t>
      </w:r>
      <w:r>
        <w:rPr>
          <w:rFonts w:hint="eastAsia" w:ascii="宋体" w:hAnsi="宋体" w:eastAsia="宋体" w:cs="宋体"/>
          <w:color w:val="auto"/>
          <w:spacing w:val="-4"/>
          <w:sz w:val="24"/>
          <w:szCs w:val="24"/>
          <w:highlight w:val="none"/>
        </w:rPr>
        <w:t>9671 伍</w:t>
      </w:r>
      <w:r>
        <w:rPr>
          <w:rFonts w:hint="eastAsia" w:ascii="宋体" w:hAnsi="宋体" w:eastAsia="宋体" w:cs="宋体"/>
          <w:color w:val="auto"/>
          <w:spacing w:val="-5"/>
          <w:sz w:val="24"/>
          <w:szCs w:val="24"/>
          <w:highlight w:val="none"/>
        </w:rPr>
        <w:t>先生，</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业务咨询电话：0751-8633211。</w:t>
      </w:r>
    </w:p>
    <w:p w14:paraId="2DC529FD">
      <w:pPr>
        <w:spacing w:before="142" w:line="330" w:lineRule="auto"/>
        <w:ind w:left="11" w:right="105" w:firstLine="473"/>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3.2  </w:t>
      </w:r>
      <w:r>
        <w:rPr>
          <w:rFonts w:hint="eastAsia" w:ascii="宋体" w:hAnsi="宋体" w:eastAsia="宋体" w:cs="宋体"/>
          <w:color w:val="auto"/>
          <w:spacing w:val="-1"/>
          <w:sz w:val="24"/>
          <w:szCs w:val="24"/>
          <w:highlight w:val="none"/>
        </w:rPr>
        <w:t>只有申领了数字证书（CA）、“粤企签</w:t>
      </w:r>
      <w:r>
        <w:rPr>
          <w:rFonts w:hint="eastAsia" w:ascii="宋体" w:hAnsi="宋体" w:eastAsia="宋体" w:cs="宋体"/>
          <w:color w:val="auto"/>
          <w:spacing w:val="-76"/>
          <w:sz w:val="24"/>
          <w:szCs w:val="24"/>
          <w:highlight w:val="none"/>
        </w:rPr>
        <w:t xml:space="preserve"> </w:t>
      </w:r>
      <w:r>
        <w:rPr>
          <w:rFonts w:hint="eastAsia" w:ascii="宋体" w:hAnsi="宋体" w:eastAsia="宋体" w:cs="宋体"/>
          <w:color w:val="auto"/>
          <w:spacing w:val="-1"/>
          <w:sz w:val="24"/>
          <w:szCs w:val="24"/>
          <w:highlight w:val="none"/>
        </w:rPr>
        <w:t>”或</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GDCA/SZCA/NETCA</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1"/>
          <w:sz w:val="24"/>
          <w:szCs w:val="24"/>
          <w:highlight w:val="none"/>
        </w:rPr>
        <w:t>等符合法律法规规定的电子印章，并在交易系统中完成企业信息数据入库</w:t>
      </w:r>
      <w:r>
        <w:rPr>
          <w:rFonts w:hint="eastAsia" w:ascii="宋体" w:hAnsi="宋体" w:eastAsia="宋体" w:cs="宋体"/>
          <w:color w:val="auto"/>
          <w:spacing w:val="-2"/>
          <w:sz w:val="24"/>
          <w:szCs w:val="24"/>
          <w:highlight w:val="none"/>
        </w:rPr>
        <w:t>的投标人，方可使用建设</w:t>
      </w:r>
      <w:r>
        <w:rPr>
          <w:rFonts w:hint="eastAsia" w:ascii="宋体" w:hAnsi="宋体" w:eastAsia="宋体" w:cs="宋体"/>
          <w:color w:val="auto"/>
          <w:spacing w:val="-1"/>
          <w:sz w:val="24"/>
          <w:szCs w:val="24"/>
          <w:highlight w:val="none"/>
        </w:rPr>
        <w:t>工程交易系统进行招标文件及附件获取和电子投标。</w:t>
      </w:r>
    </w:p>
    <w:p w14:paraId="130B2435">
      <w:pPr>
        <w:spacing w:before="32" w:line="332" w:lineRule="auto"/>
        <w:ind w:left="10" w:right="90" w:firstLine="483"/>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首次在韶关市参与建设工程招标投标活动的</w:t>
      </w:r>
      <w:r>
        <w:rPr>
          <w:rFonts w:hint="eastAsia" w:ascii="宋体" w:hAnsi="宋体" w:eastAsia="宋体" w:cs="宋体"/>
          <w:color w:val="auto"/>
          <w:spacing w:val="-2"/>
          <w:sz w:val="24"/>
          <w:szCs w:val="24"/>
          <w:highlight w:val="none"/>
        </w:rPr>
        <w:t>投标人，必须在平台系统上传企业相</w:t>
      </w:r>
      <w:r>
        <w:rPr>
          <w:rFonts w:hint="eastAsia" w:ascii="宋体" w:hAnsi="宋体" w:eastAsia="宋体" w:cs="宋体"/>
          <w:color w:val="auto"/>
          <w:spacing w:val="-3"/>
          <w:sz w:val="24"/>
          <w:szCs w:val="24"/>
          <w:highlight w:val="none"/>
        </w:rPr>
        <w:t>关资料办理企业入库事宜。投标人可登录全国公共资源</w:t>
      </w:r>
      <w:r>
        <w:rPr>
          <w:rFonts w:hint="eastAsia" w:ascii="宋体" w:hAnsi="宋体" w:eastAsia="宋体" w:cs="宋体"/>
          <w:color w:val="auto"/>
          <w:spacing w:val="-4"/>
          <w:sz w:val="24"/>
          <w:szCs w:val="24"/>
          <w:highlight w:val="none"/>
        </w:rPr>
        <w:t>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·韶关市）</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"https://ygp.gdzwfw.gov.cn/ggzy-portal/#/440200/index" </w:instrText>
      </w:r>
      <w:r>
        <w:rPr>
          <w:rFonts w:hint="eastAsia" w:ascii="宋体" w:hAnsi="宋体" w:eastAsia="宋体" w:cs="宋体"/>
          <w:color w:val="auto"/>
          <w:highlight w:val="none"/>
        </w:rPr>
        <w:fldChar w:fldCharType="separate"/>
      </w:r>
      <w:r>
        <w:rPr>
          <w:rFonts w:hint="eastAsia" w:ascii="宋体" w:hAnsi="宋体" w:eastAsia="宋体" w:cs="宋体"/>
          <w:color w:val="auto"/>
          <w:spacing w:val="-1"/>
          <w:sz w:val="24"/>
          <w:szCs w:val="24"/>
          <w:highlight w:val="none"/>
        </w:rPr>
        <w:t>https://ygp.gdzwfw.gov.cn/ggzy-portal/#/440200/index</w:t>
      </w:r>
      <w:r>
        <w:rPr>
          <w:rFonts w:hint="eastAsia" w:ascii="宋体" w:hAnsi="宋体" w:eastAsia="宋体" w:cs="宋体"/>
          <w:color w:val="auto"/>
          <w:spacing w:val="-1"/>
          <w:sz w:val="24"/>
          <w:szCs w:val="24"/>
          <w:highlight w:val="none"/>
        </w:rPr>
        <w:fldChar w:fldCharType="end"/>
      </w:r>
      <w:r>
        <w:rPr>
          <w:rFonts w:hint="eastAsia" w:ascii="宋体" w:hAnsi="宋体" w:eastAsia="宋体" w:cs="宋体"/>
          <w:color w:val="auto"/>
          <w:spacing w:val="-1"/>
          <w:sz w:val="24"/>
          <w:szCs w:val="24"/>
          <w:highlight w:val="none"/>
        </w:rPr>
        <w:t>）办理企业入库、数字证书及电子印章事宜，具体请在平台查阅相应的交易指引。</w:t>
      </w:r>
    </w:p>
    <w:p w14:paraId="256859A8">
      <w:pPr>
        <w:spacing w:before="37" w:line="329" w:lineRule="auto"/>
        <w:ind w:left="9" w:right="105" w:firstLine="507"/>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已入库企业有关信息（如单位名称、基本账号、资质、人员等）发生变化</w:t>
      </w:r>
      <w:r>
        <w:rPr>
          <w:rFonts w:hint="eastAsia" w:ascii="宋体" w:hAnsi="宋体" w:eastAsia="宋体" w:cs="宋体"/>
          <w:color w:val="auto"/>
          <w:spacing w:val="-3"/>
          <w:sz w:val="24"/>
          <w:szCs w:val="24"/>
          <w:highlight w:val="none"/>
        </w:rPr>
        <w:t>的，须</w:t>
      </w:r>
      <w:r>
        <w:rPr>
          <w:rFonts w:hint="eastAsia" w:ascii="宋体" w:hAnsi="宋体" w:eastAsia="宋体" w:cs="宋体"/>
          <w:color w:val="auto"/>
          <w:spacing w:val="-1"/>
          <w:sz w:val="24"/>
          <w:szCs w:val="24"/>
          <w:highlight w:val="none"/>
        </w:rPr>
        <w:t>及时在交易系统进行相应变更。投标人未及时变更信息而造成的</w:t>
      </w:r>
      <w:r>
        <w:rPr>
          <w:rFonts w:hint="eastAsia" w:ascii="宋体" w:hAnsi="宋体" w:eastAsia="宋体" w:cs="宋体"/>
          <w:color w:val="auto"/>
          <w:spacing w:val="-2"/>
          <w:sz w:val="24"/>
          <w:szCs w:val="24"/>
          <w:highlight w:val="none"/>
        </w:rPr>
        <w:t>损失和后果，由投标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人自行承担。</w:t>
      </w:r>
    </w:p>
    <w:p w14:paraId="5B602324">
      <w:pPr>
        <w:spacing w:before="33" w:line="335" w:lineRule="auto"/>
        <w:ind w:left="10" w:right="105" w:firstLine="508"/>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电子印章：是指获得国家工业和信息化部颁发的《电子认证服务许可</w:t>
      </w:r>
      <w:r>
        <w:rPr>
          <w:rFonts w:hint="eastAsia" w:ascii="宋体" w:hAnsi="宋体" w:eastAsia="宋体" w:cs="宋体"/>
          <w:color w:val="auto"/>
          <w:spacing w:val="-3"/>
          <w:sz w:val="24"/>
          <w:szCs w:val="24"/>
          <w:highlight w:val="none"/>
        </w:rPr>
        <w:t>证》、国家</w:t>
      </w:r>
      <w:r>
        <w:rPr>
          <w:rFonts w:hint="eastAsia" w:ascii="宋体" w:hAnsi="宋体" w:eastAsia="宋体" w:cs="宋体"/>
          <w:color w:val="auto"/>
          <w:spacing w:val="-1"/>
          <w:sz w:val="24"/>
          <w:szCs w:val="24"/>
          <w:highlight w:val="none"/>
        </w:rPr>
        <w:t>密码管理局颁发的《电子认证服务使用密码许可证》等资质，</w:t>
      </w:r>
      <w:r>
        <w:rPr>
          <w:rFonts w:hint="eastAsia" w:ascii="宋体" w:hAnsi="宋体" w:eastAsia="宋体" w:cs="宋体"/>
          <w:color w:val="auto"/>
          <w:spacing w:val="-2"/>
          <w:sz w:val="24"/>
          <w:szCs w:val="24"/>
          <w:highlight w:val="none"/>
        </w:rPr>
        <w:t>具备承担因数字证书原</w:t>
      </w:r>
      <w:r>
        <w:rPr>
          <w:rFonts w:hint="eastAsia" w:ascii="宋体" w:hAnsi="宋体" w:eastAsia="宋体" w:cs="宋体"/>
          <w:color w:val="auto"/>
          <w:spacing w:val="-1"/>
          <w:sz w:val="24"/>
          <w:szCs w:val="24"/>
          <w:highlight w:val="none"/>
        </w:rPr>
        <w:t>因产生纠纷的相关责任的能力，且在广东省内具有数量基础和</w:t>
      </w:r>
      <w:r>
        <w:rPr>
          <w:rFonts w:hint="eastAsia" w:ascii="宋体" w:hAnsi="宋体" w:eastAsia="宋体" w:cs="宋体"/>
          <w:color w:val="auto"/>
          <w:spacing w:val="-2"/>
          <w:sz w:val="24"/>
          <w:szCs w:val="24"/>
          <w:highlight w:val="none"/>
        </w:rPr>
        <w:t>服务能力的依法设立的</w:t>
      </w:r>
      <w:r>
        <w:rPr>
          <w:rFonts w:hint="eastAsia" w:ascii="宋体" w:hAnsi="宋体" w:eastAsia="宋体" w:cs="宋体"/>
          <w:color w:val="auto"/>
          <w:spacing w:val="3"/>
          <w:sz w:val="24"/>
          <w:szCs w:val="24"/>
          <w:highlight w:val="none"/>
        </w:rPr>
        <w:t>电子认证服务机构签发的电子签章认证证书（即</w:t>
      </w:r>
      <w:r>
        <w:rPr>
          <w:rFonts w:hint="eastAsia" w:ascii="宋体" w:hAnsi="宋体" w:eastAsia="宋体" w:cs="宋体"/>
          <w:color w:val="auto"/>
          <w:sz w:val="24"/>
          <w:szCs w:val="24"/>
          <w:highlight w:val="none"/>
        </w:rPr>
        <w:t>CA</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数字证书）。投标人应当到相关</w:t>
      </w:r>
      <w:r>
        <w:rPr>
          <w:rFonts w:hint="eastAsia" w:ascii="宋体" w:hAnsi="宋体" w:eastAsia="宋体" w:cs="宋体"/>
          <w:color w:val="auto"/>
          <w:spacing w:val="-1"/>
          <w:sz w:val="24"/>
          <w:szCs w:val="24"/>
          <w:highlight w:val="none"/>
        </w:rPr>
        <w:t>服务机构办理并取得数字证书介质和应用。电子印章包括机构</w:t>
      </w:r>
      <w:r>
        <w:rPr>
          <w:rFonts w:hint="eastAsia" w:ascii="宋体" w:hAnsi="宋体" w:eastAsia="宋体" w:cs="宋体"/>
          <w:color w:val="auto"/>
          <w:spacing w:val="-2"/>
          <w:sz w:val="24"/>
          <w:szCs w:val="24"/>
          <w:highlight w:val="none"/>
        </w:rPr>
        <w:t>法人电子形式印章，单</w:t>
      </w:r>
      <w:r>
        <w:rPr>
          <w:rFonts w:hint="eastAsia" w:ascii="宋体" w:hAnsi="宋体" w:eastAsia="宋体" w:cs="宋体"/>
          <w:color w:val="auto"/>
          <w:spacing w:val="-1"/>
          <w:sz w:val="24"/>
          <w:szCs w:val="24"/>
          <w:highlight w:val="none"/>
        </w:rPr>
        <w:t>位法定代表人、被委托人及其他个人的电子形式印章。电子印</w:t>
      </w:r>
      <w:r>
        <w:rPr>
          <w:rFonts w:hint="eastAsia" w:ascii="宋体" w:hAnsi="宋体" w:eastAsia="宋体" w:cs="宋体"/>
          <w:color w:val="auto"/>
          <w:spacing w:val="-2"/>
          <w:sz w:val="24"/>
          <w:szCs w:val="24"/>
          <w:highlight w:val="none"/>
        </w:rPr>
        <w:t>章与手写签名或者盖章</w:t>
      </w:r>
      <w:r>
        <w:rPr>
          <w:rFonts w:hint="eastAsia" w:ascii="宋体" w:hAnsi="宋体" w:eastAsia="宋体" w:cs="宋体"/>
          <w:color w:val="auto"/>
          <w:spacing w:val="-1"/>
          <w:sz w:val="24"/>
          <w:szCs w:val="24"/>
          <w:highlight w:val="none"/>
        </w:rPr>
        <w:t>具有同等的法律效力。</w:t>
      </w:r>
    </w:p>
    <w:p w14:paraId="303E52BC">
      <w:pPr>
        <w:spacing w:before="33" w:line="221"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3.3</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3"/>
          <w:sz w:val="24"/>
          <w:szCs w:val="24"/>
          <w:highlight w:val="none"/>
        </w:rPr>
        <w:t>投标保证</w:t>
      </w:r>
    </w:p>
    <w:p w14:paraId="17E80571">
      <w:pPr>
        <w:spacing w:before="152" w:line="280" w:lineRule="auto"/>
        <w:ind w:left="8" w:right="105"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3.3.1  </w:t>
      </w:r>
      <w:r>
        <w:rPr>
          <w:rFonts w:hint="eastAsia" w:ascii="宋体" w:hAnsi="宋体" w:eastAsia="宋体" w:cs="宋体"/>
          <w:color w:val="auto"/>
          <w:spacing w:val="-1"/>
          <w:sz w:val="24"/>
          <w:szCs w:val="24"/>
          <w:highlight w:val="none"/>
        </w:rPr>
        <w:t>投标人须缴纳金额为</w:t>
      </w:r>
      <w:r>
        <w:rPr>
          <w:rFonts w:hint="eastAsia" w:ascii="宋体" w:hAnsi="宋体" w:eastAsia="宋体" w:cs="宋体"/>
          <w:color w:val="auto"/>
          <w:spacing w:val="-1"/>
          <w:sz w:val="24"/>
          <w:szCs w:val="24"/>
          <w:highlight w:val="none"/>
          <w:u w:val="single"/>
          <w:lang w:val="en-US" w:eastAsia="zh-CN"/>
        </w:rPr>
        <w:t>50万元</w:t>
      </w:r>
      <w:r>
        <w:rPr>
          <w:rFonts w:hint="eastAsia" w:ascii="宋体" w:hAnsi="宋体" w:eastAsia="宋体" w:cs="宋体"/>
          <w:color w:val="auto"/>
          <w:spacing w:val="-1"/>
          <w:sz w:val="24"/>
          <w:szCs w:val="24"/>
          <w:highlight w:val="none"/>
        </w:rPr>
        <w:t xml:space="preserve">人民币的投标保证。 </w:t>
      </w:r>
    </w:p>
    <w:p w14:paraId="2B741740">
      <w:pPr>
        <w:spacing w:before="35" w:line="325" w:lineRule="auto"/>
        <w:ind w:left="12" w:right="108" w:firstLine="471"/>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 xml:space="preserve">3.3.2  </w:t>
      </w:r>
      <w:r>
        <w:rPr>
          <w:rFonts w:hint="eastAsia" w:ascii="宋体" w:hAnsi="宋体" w:eastAsia="宋体" w:cs="宋体"/>
          <w:color w:val="auto"/>
          <w:spacing w:val="2"/>
          <w:sz w:val="24"/>
          <w:szCs w:val="24"/>
          <w:highlight w:val="none"/>
        </w:rPr>
        <w:t>投标保证的形式包括投标保证金、投标保证担保、投标保证保险三种</w:t>
      </w:r>
      <w:r>
        <w:rPr>
          <w:rFonts w:hint="eastAsia" w:ascii="宋体" w:hAnsi="宋体" w:eastAsia="宋体" w:cs="宋体"/>
          <w:color w:val="auto"/>
          <w:spacing w:val="1"/>
          <w:sz w:val="24"/>
          <w:szCs w:val="24"/>
          <w:highlight w:val="none"/>
        </w:rPr>
        <w:t>，由</w:t>
      </w:r>
      <w:r>
        <w:rPr>
          <w:rFonts w:hint="eastAsia" w:ascii="宋体" w:hAnsi="宋体" w:eastAsia="宋体" w:cs="宋体"/>
          <w:color w:val="auto"/>
          <w:spacing w:val="-2"/>
          <w:sz w:val="24"/>
          <w:szCs w:val="24"/>
          <w:highlight w:val="none"/>
        </w:rPr>
        <w:t>投标人自主选择。</w:t>
      </w:r>
    </w:p>
    <w:p w14:paraId="72C1A027">
      <w:pPr>
        <w:spacing w:before="78" w:line="334" w:lineRule="auto"/>
        <w:ind w:left="12" w:right="2" w:firstLine="490"/>
        <w:jc w:val="both"/>
        <w:rPr>
          <w:rFonts w:hint="eastAsia" w:ascii="宋体" w:hAnsi="宋体" w:eastAsia="宋体" w:cs="宋体"/>
          <w:color w:val="auto"/>
          <w:spacing w:val="-1"/>
          <w:sz w:val="24"/>
          <w:szCs w:val="24"/>
          <w:highlight w:val="none"/>
        </w:rPr>
      </w:pPr>
      <w:bookmarkStart w:id="21" w:name="bookmark117"/>
      <w:bookmarkEnd w:id="21"/>
      <w:r>
        <w:rPr>
          <w:rFonts w:hint="eastAsia" w:ascii="宋体" w:hAnsi="宋体" w:eastAsia="宋体" w:cs="宋体"/>
          <w:color w:val="auto"/>
          <w:spacing w:val="2"/>
          <w:sz w:val="24"/>
          <w:szCs w:val="24"/>
          <w:highlight w:val="none"/>
        </w:rPr>
        <w:t>（1）采用投标保证金的，投标人在建设工程交易系统获取招</w:t>
      </w:r>
      <w:r>
        <w:rPr>
          <w:rFonts w:hint="eastAsia" w:ascii="宋体" w:hAnsi="宋体" w:eastAsia="宋体" w:cs="宋体"/>
          <w:color w:val="auto"/>
          <w:spacing w:val="1"/>
          <w:sz w:val="24"/>
          <w:szCs w:val="24"/>
          <w:highlight w:val="none"/>
        </w:rPr>
        <w:t>标文件完毕后，即</w:t>
      </w:r>
      <w:r>
        <w:rPr>
          <w:rFonts w:hint="eastAsia" w:ascii="宋体" w:hAnsi="宋体" w:eastAsia="宋体" w:cs="宋体"/>
          <w:color w:val="auto"/>
          <w:spacing w:val="-1"/>
          <w:sz w:val="24"/>
          <w:szCs w:val="24"/>
          <w:highlight w:val="none"/>
        </w:rPr>
        <w:t>可在系统申请缴纳投标保证金，获取本次招标投标保证金缴</w:t>
      </w:r>
      <w:r>
        <w:rPr>
          <w:rFonts w:hint="eastAsia" w:ascii="宋体" w:hAnsi="宋体" w:eastAsia="宋体" w:cs="宋体"/>
          <w:color w:val="auto"/>
          <w:spacing w:val="-2"/>
          <w:sz w:val="24"/>
          <w:szCs w:val="24"/>
          <w:highlight w:val="none"/>
        </w:rPr>
        <w:t>纳账号。投标人必须于投标保证金到账截</w:t>
      </w:r>
      <w:r>
        <w:rPr>
          <w:rFonts w:hint="eastAsia" w:ascii="宋体" w:hAnsi="宋体" w:eastAsia="宋体" w:cs="宋体"/>
          <w:color w:val="auto"/>
          <w:spacing w:val="-1"/>
          <w:sz w:val="24"/>
          <w:szCs w:val="24"/>
          <w:highlight w:val="none"/>
        </w:rPr>
        <w:t>止时间（见本招标文件“重要事项时间地点一览表 ”）前，从其基本账户将投标保证金转账到指定的缴纳账号。逾期到账的、从非投标人基本账户转出的，其投标无效。</w:t>
      </w:r>
    </w:p>
    <w:p w14:paraId="4C71CDBC">
      <w:pPr>
        <w:spacing w:before="78" w:line="334" w:lineRule="auto"/>
        <w:ind w:left="12" w:right="2" w:firstLine="490"/>
        <w:jc w:val="both"/>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50427068">
      <w:pPr>
        <w:spacing w:before="78" w:line="334" w:lineRule="auto"/>
        <w:ind w:left="12" w:right="2" w:firstLine="490"/>
        <w:jc w:val="both"/>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（3）采用投标保证保险的，投标人须在投标保证保险投保截止时间（见本招标文件“重要事项时间地点一览表 ”）前，使用建设工程交易系统完成网上投保。投标人可在系统选择保险机构、录入投保信息、支付保费、打印</w:t>
      </w:r>
      <w:r>
        <w:rPr>
          <w:rFonts w:hint="eastAsia" w:ascii="宋体" w:hAnsi="宋体" w:eastAsia="宋体" w:cs="宋体"/>
          <w:color w:val="auto"/>
          <w:spacing w:val="-2"/>
          <w:sz w:val="24"/>
          <w:szCs w:val="24"/>
          <w:highlight w:val="none"/>
        </w:rPr>
        <w:t>电子保单，电子保单的有</w:t>
      </w:r>
      <w:r>
        <w:rPr>
          <w:rFonts w:hint="eastAsia" w:ascii="宋体" w:hAnsi="宋体" w:eastAsia="宋体" w:cs="宋体"/>
          <w:color w:val="auto"/>
          <w:spacing w:val="-3"/>
          <w:sz w:val="24"/>
          <w:szCs w:val="24"/>
          <w:highlight w:val="none"/>
        </w:rPr>
        <w:t>效期不得短于投标有效期。投标人可登录全国公共资源交易平台（广东省 ·韶关市） （</w:t>
      </w:r>
      <w:r>
        <w:rPr>
          <w:rFonts w:hint="eastAsia" w:ascii="宋体" w:hAnsi="宋体" w:eastAsia="宋体" w:cs="宋体"/>
          <w:color w:val="auto"/>
          <w:spacing w:val="-3"/>
          <w:sz w:val="24"/>
          <w:szCs w:val="24"/>
          <w:highlight w:val="none"/>
        </w:rPr>
        <w:fldChar w:fldCharType="begin"/>
      </w:r>
      <w:r>
        <w:rPr>
          <w:rFonts w:hint="eastAsia" w:ascii="宋体" w:hAnsi="宋体" w:eastAsia="宋体" w:cs="宋体"/>
          <w:color w:val="auto"/>
          <w:spacing w:val="-3"/>
          <w:sz w:val="24"/>
          <w:szCs w:val="24"/>
          <w:highlight w:val="none"/>
        </w:rPr>
        <w:instrText xml:space="preserve"> HYPERLINK "https://ygp.gdzwfw.gov.cn/ggzy-portal/#/440200/index" </w:instrText>
      </w:r>
      <w:r>
        <w:rPr>
          <w:rFonts w:hint="eastAsia" w:ascii="宋体" w:hAnsi="宋体" w:eastAsia="宋体" w:cs="宋体"/>
          <w:color w:val="auto"/>
          <w:spacing w:val="-3"/>
          <w:sz w:val="24"/>
          <w:szCs w:val="24"/>
          <w:highlight w:val="none"/>
        </w:rPr>
        <w:fldChar w:fldCharType="separate"/>
      </w:r>
      <w:r>
        <w:rPr>
          <w:rFonts w:hint="eastAsia" w:ascii="宋体" w:hAnsi="宋体" w:eastAsia="宋体" w:cs="宋体"/>
          <w:color w:val="auto"/>
          <w:spacing w:val="-3"/>
          <w:sz w:val="24"/>
          <w:szCs w:val="24"/>
          <w:highlight w:val="none"/>
        </w:rPr>
        <w:t>https://ygp.gdzwfw.gov.cn/ggzy-portal/#/440200/index</w:t>
      </w:r>
      <w:r>
        <w:rPr>
          <w:rFonts w:hint="eastAsia" w:ascii="宋体" w:hAnsi="宋体" w:eastAsia="宋体" w:cs="宋体"/>
          <w:color w:val="auto"/>
          <w:spacing w:val="-3"/>
          <w:sz w:val="24"/>
          <w:szCs w:val="24"/>
          <w:highlight w:val="none"/>
        </w:rPr>
        <w:fldChar w:fldCharType="end"/>
      </w:r>
      <w:r>
        <w:rPr>
          <w:rFonts w:hint="eastAsia" w:ascii="宋体" w:hAnsi="宋体" w:eastAsia="宋体" w:cs="宋体"/>
          <w:color w:val="auto"/>
          <w:spacing w:val="-3"/>
          <w:sz w:val="24"/>
          <w:szCs w:val="24"/>
          <w:highlight w:val="none"/>
        </w:rPr>
        <w:t>），在【服务指南】栏 目中下载《建设工程网上交易系统保险保证金缴纳操作指南》，了解网上投保具体操 作流程。逾期投保的，其投标无效。</w:t>
      </w:r>
    </w:p>
    <w:p w14:paraId="67E9706D">
      <w:pPr>
        <w:spacing w:before="78" w:line="334" w:lineRule="auto"/>
        <w:ind w:left="12" w:right="2" w:firstLine="490"/>
        <w:jc w:val="both"/>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308C1AD2">
      <w:pPr>
        <w:spacing w:before="78" w:line="334" w:lineRule="auto"/>
        <w:ind w:left="12" w:right="2" w:firstLine="490"/>
        <w:jc w:val="both"/>
        <w:rPr>
          <w:rFonts w:hint="eastAsia" w:ascii="宋体" w:hAnsi="宋体" w:eastAsia="宋体" w:cs="宋体"/>
          <w:color w:val="auto"/>
          <w:highlight w:val="none"/>
        </w:rPr>
      </w:pPr>
      <w:r>
        <w:rPr>
          <w:rFonts w:hint="eastAsia" w:ascii="宋体" w:hAnsi="宋体" w:eastAsia="宋体" w:cs="宋体"/>
          <w:b/>
          <w:bCs/>
          <w:color w:val="auto"/>
          <w:spacing w:val="-3"/>
          <w:sz w:val="24"/>
          <w:szCs w:val="24"/>
          <w:highlight w:val="none"/>
        </w:rPr>
        <w:t xml:space="preserve">3.4 </w:t>
      </w:r>
      <w:r>
        <w:rPr>
          <w:rFonts w:hint="eastAsia" w:ascii="宋体" w:hAnsi="宋体" w:eastAsia="宋体" w:cs="宋体"/>
          <w:color w:val="auto"/>
          <w:spacing w:val="-3"/>
          <w:sz w:val="24"/>
          <w:szCs w:val="24"/>
          <w:highlight w:val="none"/>
        </w:rPr>
        <w:t xml:space="preserve"> 若投标人因自身原因未能正确完成获取招标文件</w:t>
      </w:r>
      <w:r>
        <w:rPr>
          <w:rFonts w:hint="eastAsia" w:ascii="宋体" w:hAnsi="宋体" w:eastAsia="宋体" w:cs="宋体"/>
          <w:color w:val="auto"/>
          <w:sz w:val="24"/>
          <w:szCs w:val="24"/>
          <w:highlight w:val="none"/>
        </w:rPr>
        <w:t>、电子投标、缴纳投标保证</w:t>
      </w:r>
      <w:r>
        <w:rPr>
          <w:rFonts w:hint="eastAsia" w:ascii="宋体" w:hAnsi="宋体" w:eastAsia="宋体" w:cs="宋体"/>
          <w:color w:val="auto"/>
          <w:spacing w:val="-4"/>
          <w:sz w:val="24"/>
          <w:szCs w:val="24"/>
          <w:highlight w:val="none"/>
        </w:rPr>
        <w:t>的，其投标无效。</w:t>
      </w:r>
    </w:p>
    <w:p w14:paraId="22E7704B">
      <w:pPr>
        <w:spacing w:before="79" w:line="221" w:lineRule="auto"/>
        <w:ind w:left="487"/>
        <w:outlineLvl w:val="2"/>
        <w:rPr>
          <w:rFonts w:hint="eastAsia" w:ascii="宋体" w:hAnsi="宋体" w:eastAsia="宋体" w:cs="宋体"/>
          <w:color w:val="auto"/>
          <w:sz w:val="24"/>
          <w:szCs w:val="24"/>
          <w:highlight w:val="none"/>
        </w:rPr>
      </w:pPr>
      <w:bookmarkStart w:id="22" w:name="bookmark78"/>
      <w:bookmarkEnd w:id="22"/>
      <w:bookmarkStart w:id="23" w:name="bookmark64"/>
      <w:bookmarkEnd w:id="23"/>
      <w:bookmarkStart w:id="24" w:name="_Toc15498"/>
      <w:bookmarkStart w:id="25" w:name="_Toc8255"/>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8"/>
          <w:sz w:val="24"/>
          <w:szCs w:val="24"/>
          <w:highlight w:val="none"/>
          <w:lang w:val="en-US" w:eastAsia="zh-CN"/>
        </w:rPr>
        <w:t xml:space="preserve"> </w:t>
      </w:r>
      <w:r>
        <w:rPr>
          <w:rFonts w:hint="eastAsia" w:ascii="宋体" w:hAnsi="宋体" w:eastAsia="宋体" w:cs="宋体"/>
          <w:b/>
          <w:bCs/>
          <w:color w:val="auto"/>
          <w:spacing w:val="-8"/>
          <w:sz w:val="24"/>
          <w:szCs w:val="24"/>
          <w:highlight w:val="none"/>
        </w:rPr>
        <w:t>．工期要求</w:t>
      </w:r>
      <w:bookmarkEnd w:id="24"/>
      <w:bookmarkEnd w:id="25"/>
    </w:p>
    <w:p w14:paraId="463BBB3D">
      <w:pPr>
        <w:keepNext w:val="0"/>
        <w:keepLines w:val="0"/>
        <w:pageBreakBefore w:val="0"/>
        <w:widowControl/>
        <w:kinsoku/>
        <w:wordWrap/>
        <w:overflowPunct/>
        <w:topLinePunct w:val="0"/>
        <w:autoSpaceDE w:val="0"/>
        <w:autoSpaceDN w:val="0"/>
        <w:bidi w:val="0"/>
        <w:adjustRightInd w:val="0"/>
        <w:snapToGrid w:val="0"/>
        <w:spacing w:before="153" w:line="324" w:lineRule="auto"/>
        <w:ind w:left="28" w:right="62" w:firstLine="45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本招标项目招标工期为</w:t>
      </w:r>
      <w:r>
        <w:rPr>
          <w:rFonts w:hint="eastAsia" w:ascii="宋体" w:hAnsi="宋体" w:eastAsia="宋体" w:cs="宋体"/>
          <w:color w:val="auto"/>
          <w:spacing w:val="-2"/>
          <w:sz w:val="24"/>
          <w:szCs w:val="24"/>
          <w:highlight w:val="none"/>
          <w:u w:val="single"/>
          <w:lang w:val="en-US" w:eastAsia="zh-CN"/>
        </w:rPr>
        <w:t>390个日历天</w:t>
      </w:r>
      <w:r>
        <w:rPr>
          <w:rFonts w:hint="eastAsia" w:ascii="宋体" w:hAnsi="宋体" w:eastAsia="宋体" w:cs="宋体"/>
          <w:color w:val="auto"/>
          <w:spacing w:val="-2"/>
          <w:sz w:val="24"/>
          <w:szCs w:val="24"/>
          <w:highlight w:val="none"/>
        </w:rPr>
        <w:t>，中标人必须在招标工期内完成招标范围内</w:t>
      </w:r>
      <w:r>
        <w:rPr>
          <w:rFonts w:hint="eastAsia" w:ascii="宋体" w:hAnsi="宋体" w:eastAsia="宋体" w:cs="宋体"/>
          <w:color w:val="auto"/>
          <w:spacing w:val="-5"/>
          <w:sz w:val="24"/>
          <w:szCs w:val="24"/>
          <w:highlight w:val="none"/>
        </w:rPr>
        <w:t>的全部内容。</w:t>
      </w:r>
    </w:p>
    <w:p w14:paraId="47B985C6">
      <w:pPr>
        <w:spacing w:before="78" w:line="219" w:lineRule="auto"/>
        <w:ind w:left="488"/>
        <w:outlineLvl w:val="2"/>
        <w:rPr>
          <w:rFonts w:hint="eastAsia" w:ascii="宋体" w:hAnsi="宋体" w:eastAsia="宋体" w:cs="宋体"/>
          <w:color w:val="auto"/>
          <w:sz w:val="24"/>
          <w:szCs w:val="24"/>
          <w:highlight w:val="none"/>
        </w:rPr>
      </w:pPr>
      <w:bookmarkStart w:id="26" w:name="_Toc4154"/>
      <w:bookmarkStart w:id="27" w:name="_Toc11449"/>
      <w:r>
        <w:rPr>
          <w:rFonts w:hint="eastAsia" w:ascii="宋体" w:hAnsi="宋体" w:eastAsia="宋体" w:cs="宋体"/>
          <w:b/>
          <w:bCs/>
          <w:color w:val="auto"/>
          <w:spacing w:val="-5"/>
          <w:sz w:val="24"/>
          <w:szCs w:val="24"/>
          <w:highlight w:val="none"/>
        </w:rPr>
        <w:t>5</w:t>
      </w:r>
      <w:r>
        <w:rPr>
          <w:rFonts w:hint="eastAsia" w:ascii="宋体" w:hAnsi="宋体" w:eastAsia="宋体" w:cs="宋体"/>
          <w:b/>
          <w:bCs/>
          <w:color w:val="auto"/>
          <w:spacing w:val="-5"/>
          <w:sz w:val="24"/>
          <w:szCs w:val="24"/>
          <w:highlight w:val="none"/>
          <w:lang w:val="en-US" w:eastAsia="zh-CN"/>
        </w:rPr>
        <w:t xml:space="preserve"> </w:t>
      </w:r>
      <w:r>
        <w:rPr>
          <w:rFonts w:hint="eastAsia" w:ascii="宋体" w:hAnsi="宋体" w:eastAsia="宋体" w:cs="宋体"/>
          <w:b/>
          <w:bCs/>
          <w:color w:val="auto"/>
          <w:spacing w:val="-5"/>
          <w:sz w:val="24"/>
          <w:szCs w:val="24"/>
          <w:highlight w:val="none"/>
        </w:rPr>
        <w:t>．质量标准和材料、机械要求</w:t>
      </w:r>
      <w:bookmarkEnd w:id="26"/>
      <w:bookmarkEnd w:id="27"/>
    </w:p>
    <w:p w14:paraId="3B6233E7">
      <w:pPr>
        <w:spacing w:before="154" w:line="279" w:lineRule="auto"/>
        <w:ind w:left="11" w:right="99" w:firstLine="47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5.1  </w:t>
      </w:r>
      <w:r>
        <w:rPr>
          <w:rFonts w:hint="eastAsia" w:ascii="宋体" w:hAnsi="宋体" w:eastAsia="宋体" w:cs="宋体"/>
          <w:color w:val="auto"/>
          <w:sz w:val="24"/>
          <w:szCs w:val="24"/>
          <w:highlight w:val="none"/>
        </w:rPr>
        <w:t>施工工艺严格按照国家和广东省的有关现行施工技术规范及标准执行，工程</w:t>
      </w:r>
      <w:r>
        <w:rPr>
          <w:rFonts w:hint="eastAsia" w:ascii="宋体" w:hAnsi="宋体" w:eastAsia="宋体" w:cs="宋体"/>
          <w:color w:val="auto"/>
          <w:spacing w:val="-1"/>
          <w:sz w:val="24"/>
          <w:szCs w:val="24"/>
          <w:highlight w:val="none"/>
        </w:rPr>
        <w:t>质量标准须达到</w:t>
      </w:r>
      <w:r>
        <w:rPr>
          <w:rFonts w:hint="eastAsia" w:ascii="宋体" w:hAnsi="宋体" w:eastAsia="宋体" w:cs="宋体"/>
          <w:color w:val="auto"/>
          <w:spacing w:val="-1"/>
          <w:sz w:val="24"/>
          <w:szCs w:val="24"/>
          <w:highlight w:val="none"/>
          <w:u w:val="single"/>
          <w:lang w:val="en-US" w:eastAsia="zh-CN"/>
        </w:rPr>
        <w:t>《建筑工程施工质量验收统一标准》(GB50300-2013)并且合格</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w:t>
      </w:r>
    </w:p>
    <w:p w14:paraId="71F2BA94">
      <w:pPr>
        <w:spacing w:before="154" w:line="279" w:lineRule="auto"/>
        <w:ind w:left="10" w:right="99"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5.2</w:t>
      </w:r>
      <w:r>
        <w:rPr>
          <w:rFonts w:hint="eastAsia" w:ascii="宋体" w:hAnsi="宋体" w:eastAsia="宋体" w:cs="宋体"/>
          <w:b/>
          <w:bCs/>
          <w:color w:val="auto"/>
          <w:spacing w:val="21"/>
          <w:w w:val="101"/>
          <w:sz w:val="24"/>
          <w:szCs w:val="24"/>
          <w:highlight w:val="none"/>
        </w:rPr>
        <w:t xml:space="preserve">  </w:t>
      </w:r>
      <w:r>
        <w:rPr>
          <w:rFonts w:hint="eastAsia" w:ascii="宋体" w:hAnsi="宋体" w:eastAsia="宋体" w:cs="宋体"/>
          <w:color w:val="auto"/>
          <w:spacing w:val="-3"/>
          <w:sz w:val="24"/>
          <w:szCs w:val="24"/>
          <w:highlight w:val="none"/>
        </w:rPr>
        <w:t>中标人在施工中如果工程质量不符合设计要求和有关规定，招标人或监理单</w:t>
      </w:r>
      <w:r>
        <w:rPr>
          <w:rFonts w:hint="eastAsia" w:ascii="宋体" w:hAnsi="宋体" w:eastAsia="宋体" w:cs="宋体"/>
          <w:color w:val="auto"/>
          <w:sz w:val="24"/>
          <w:szCs w:val="24"/>
          <w:highlight w:val="none"/>
        </w:rPr>
        <w:t>位要求停工和返工的必须立即执行，并承担由此产生的各</w:t>
      </w:r>
      <w:r>
        <w:rPr>
          <w:rFonts w:hint="eastAsia" w:ascii="宋体" w:hAnsi="宋体" w:eastAsia="宋体" w:cs="宋体"/>
          <w:color w:val="auto"/>
          <w:spacing w:val="-1"/>
          <w:sz w:val="24"/>
          <w:szCs w:val="24"/>
          <w:highlight w:val="none"/>
        </w:rPr>
        <w:t>种费用，工期不予顺延。</w:t>
      </w:r>
    </w:p>
    <w:p w14:paraId="1796B8EC">
      <w:pPr>
        <w:spacing w:before="152" w:line="309"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6"/>
          <w:sz w:val="24"/>
          <w:szCs w:val="24"/>
          <w:highlight w:val="none"/>
        </w:rPr>
        <w:t xml:space="preserve">5.3  </w:t>
      </w:r>
      <w:r>
        <w:rPr>
          <w:rFonts w:hint="eastAsia" w:ascii="宋体" w:hAnsi="宋体" w:eastAsia="宋体" w:cs="宋体"/>
          <w:color w:val="auto"/>
          <w:spacing w:val="-6"/>
          <w:sz w:val="24"/>
          <w:szCs w:val="24"/>
          <w:highlight w:val="none"/>
        </w:rPr>
        <w:t>保修期限按《建设工程质量管理条例》（中华人民共和国国务院令第</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6"/>
          <w:sz w:val="24"/>
          <w:szCs w:val="24"/>
          <w:highlight w:val="none"/>
        </w:rPr>
        <w:t>279</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6"/>
          <w:sz w:val="24"/>
          <w:szCs w:val="24"/>
          <w:highlight w:val="none"/>
        </w:rPr>
        <w:t>号）</w:t>
      </w:r>
      <w:r>
        <w:rPr>
          <w:rFonts w:hint="eastAsia" w:ascii="宋体" w:hAnsi="宋体" w:eastAsia="宋体" w:cs="宋体"/>
          <w:color w:val="auto"/>
          <w:spacing w:val="-1"/>
          <w:sz w:val="24"/>
          <w:szCs w:val="24"/>
          <w:highlight w:val="none"/>
        </w:rPr>
        <w:t>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36FF0C23">
      <w:pPr>
        <w:spacing w:before="152" w:line="309" w:lineRule="auto"/>
        <w:ind w:left="9" w:firstLine="568"/>
        <w:rPr>
          <w:rFonts w:hint="eastAsia" w:ascii="宋体" w:hAnsi="宋体" w:eastAsia="宋体" w:cs="宋体"/>
          <w:color w:val="auto"/>
          <w:spacing w:val="-6"/>
          <w:sz w:val="24"/>
          <w:szCs w:val="24"/>
          <w:highlight w:val="none"/>
        </w:rPr>
      </w:pPr>
      <w:r>
        <w:rPr>
          <w:rFonts w:hint="eastAsia" w:ascii="宋体" w:hAnsi="宋体" w:eastAsia="宋体" w:cs="宋体"/>
          <w:b/>
          <w:bCs/>
          <w:color w:val="auto"/>
          <w:spacing w:val="-1"/>
          <w:sz w:val="24"/>
          <w:szCs w:val="24"/>
          <w:highlight w:val="none"/>
        </w:rPr>
        <w:t>5.4</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6"/>
          <w:sz w:val="24"/>
          <w:szCs w:val="24"/>
          <w:highlight w:val="none"/>
          <w:lang w:val="en-US" w:eastAsia="zh-CN"/>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宋体" w:hAnsi="宋体" w:eastAsia="宋体" w:cs="宋体"/>
          <w:color w:val="auto"/>
          <w:spacing w:val="-6"/>
          <w:sz w:val="24"/>
          <w:szCs w:val="24"/>
          <w:highlight w:val="none"/>
        </w:rPr>
        <w:t>本招标项目</w:t>
      </w:r>
      <w:r>
        <w:rPr>
          <w:rFonts w:hint="eastAsia" w:ascii="宋体" w:hAnsi="宋体" w:eastAsia="宋体" w:cs="宋体"/>
          <w:color w:val="auto"/>
          <w:spacing w:val="-6"/>
          <w:sz w:val="24"/>
          <w:szCs w:val="24"/>
          <w:highlight w:val="none"/>
          <w:lang w:val="en-US" w:eastAsia="zh-CN"/>
        </w:rPr>
        <w:t>不</w:t>
      </w:r>
      <w:r>
        <w:rPr>
          <w:rFonts w:hint="eastAsia" w:ascii="宋体" w:hAnsi="宋体" w:eastAsia="宋体" w:cs="宋体"/>
          <w:color w:val="auto"/>
          <w:spacing w:val="-6"/>
          <w:sz w:val="24"/>
          <w:szCs w:val="24"/>
          <w:highlight w:val="none"/>
        </w:rPr>
        <w:t>纳入绿色建设实施范围</w:t>
      </w:r>
      <w:r>
        <w:rPr>
          <w:rFonts w:hint="eastAsia" w:ascii="宋体" w:hAnsi="宋体" w:eastAsia="宋体" w:cs="宋体"/>
          <w:color w:val="auto"/>
          <w:spacing w:val="-6"/>
          <w:sz w:val="24"/>
          <w:szCs w:val="24"/>
          <w:highlight w:val="none"/>
          <w:lang w:eastAsia="zh-CN"/>
        </w:rPr>
        <w:t>。</w:t>
      </w:r>
    </w:p>
    <w:p w14:paraId="34270B50">
      <w:pPr>
        <w:spacing w:before="152" w:line="309" w:lineRule="auto"/>
        <w:ind w:left="9" w:firstLine="568"/>
        <w:rPr>
          <w:rFonts w:hint="eastAsia" w:ascii="宋体" w:hAnsi="宋体" w:eastAsia="宋体" w:cs="宋体"/>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rPr>
        <w:t>5.5</w:t>
      </w:r>
      <w:r>
        <w:rPr>
          <w:rFonts w:hint="eastAsia" w:ascii="宋体" w:hAnsi="宋体" w:eastAsia="宋体" w:cs="宋体"/>
          <w:color w:val="auto"/>
          <w:spacing w:val="-1"/>
          <w:sz w:val="24"/>
          <w:szCs w:val="24"/>
          <w:highlight w:val="none"/>
        </w:rPr>
        <w:t xml:space="preserve">  其它：</w:t>
      </w:r>
      <w:r>
        <w:rPr>
          <w:rFonts w:hint="eastAsia" w:ascii="宋体" w:hAnsi="宋体" w:eastAsia="宋体" w:cs="宋体"/>
          <w:color w:val="auto"/>
          <w:spacing w:val="-1"/>
          <w:sz w:val="24"/>
          <w:szCs w:val="24"/>
          <w:highlight w:val="none"/>
          <w:lang w:eastAsia="zh-CN"/>
        </w:rPr>
        <w:t>本招标项目</w:t>
      </w:r>
      <w:r>
        <w:rPr>
          <w:rFonts w:hint="eastAsia" w:ascii="宋体" w:hAnsi="宋体" w:eastAsia="宋体" w:cs="宋体"/>
          <w:color w:val="auto"/>
          <w:spacing w:val="-1"/>
          <w:sz w:val="24"/>
          <w:szCs w:val="24"/>
          <w:highlight w:val="none"/>
          <w:lang w:val="en-US" w:eastAsia="zh-CN"/>
        </w:rPr>
        <w:t>不</w:t>
      </w:r>
      <w:r>
        <w:rPr>
          <w:rFonts w:hint="eastAsia" w:ascii="宋体" w:hAnsi="宋体" w:eastAsia="宋体" w:cs="宋体"/>
          <w:color w:val="auto"/>
          <w:spacing w:val="-1"/>
          <w:sz w:val="24"/>
          <w:szCs w:val="24"/>
          <w:highlight w:val="none"/>
          <w:lang w:eastAsia="zh-CN"/>
        </w:rPr>
        <w:t>纳入装配式建造建设实施范围。</w:t>
      </w:r>
    </w:p>
    <w:p w14:paraId="25AAA945">
      <w:pPr>
        <w:spacing w:before="152" w:line="309"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5.6</w:t>
      </w:r>
      <w:r>
        <w:rPr>
          <w:rFonts w:hint="eastAsia" w:ascii="宋体" w:hAnsi="宋体" w:eastAsia="宋体" w:cs="宋体"/>
          <w:color w:val="auto"/>
          <w:spacing w:val="-1"/>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则中标人必须使用合格材料或设备。</w:t>
      </w:r>
    </w:p>
    <w:p w14:paraId="080B1260">
      <w:pPr>
        <w:spacing w:before="152" w:line="309" w:lineRule="auto"/>
        <w:ind w:left="9" w:firstLine="568"/>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5.</w:t>
      </w:r>
      <w:r>
        <w:rPr>
          <w:rFonts w:hint="eastAsia" w:ascii="宋体" w:hAnsi="宋体" w:eastAsia="宋体" w:cs="宋体"/>
          <w:b/>
          <w:bCs/>
          <w:color w:val="auto"/>
          <w:spacing w:val="-1"/>
          <w:sz w:val="24"/>
          <w:szCs w:val="24"/>
          <w:highlight w:val="none"/>
          <w:lang w:eastAsia="zh-CN"/>
        </w:rPr>
        <w:t>7</w:t>
      </w:r>
      <w:r>
        <w:rPr>
          <w:rFonts w:hint="eastAsia" w:ascii="宋体" w:hAnsi="宋体" w:eastAsia="宋体" w:cs="宋体"/>
          <w:color w:val="auto"/>
          <w:spacing w:val="-1"/>
          <w:sz w:val="24"/>
          <w:szCs w:val="24"/>
          <w:highlight w:val="none"/>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3CA6EA80">
      <w:pPr>
        <w:spacing w:before="78" w:line="220" w:lineRule="auto"/>
        <w:ind w:left="489"/>
        <w:outlineLvl w:val="2"/>
        <w:rPr>
          <w:rFonts w:hint="eastAsia" w:ascii="宋体" w:hAnsi="宋体" w:eastAsia="宋体" w:cs="宋体"/>
          <w:color w:val="auto"/>
          <w:sz w:val="24"/>
          <w:szCs w:val="24"/>
          <w:highlight w:val="none"/>
        </w:rPr>
      </w:pPr>
      <w:bookmarkStart w:id="28" w:name="_Toc21146"/>
      <w:bookmarkStart w:id="29" w:name="_Toc7763"/>
      <w:r>
        <w:rPr>
          <w:rFonts w:hint="eastAsia" w:ascii="宋体" w:hAnsi="宋体" w:eastAsia="宋体" w:cs="宋体"/>
          <w:b/>
          <w:bCs/>
          <w:color w:val="auto"/>
          <w:spacing w:val="-6"/>
          <w:sz w:val="24"/>
          <w:szCs w:val="24"/>
          <w:highlight w:val="none"/>
        </w:rPr>
        <w:t>6</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b/>
          <w:bCs/>
          <w:color w:val="auto"/>
          <w:spacing w:val="-6"/>
          <w:sz w:val="24"/>
          <w:szCs w:val="24"/>
          <w:highlight w:val="none"/>
        </w:rPr>
        <w:t>．施工条件及现场踏勘</w:t>
      </w:r>
      <w:bookmarkEnd w:id="28"/>
      <w:bookmarkEnd w:id="29"/>
    </w:p>
    <w:p w14:paraId="5BC8F615">
      <w:pPr>
        <w:spacing w:before="155" w:line="324" w:lineRule="auto"/>
        <w:ind w:left="12" w:right="99"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6.1  </w:t>
      </w:r>
      <w:r>
        <w:rPr>
          <w:rFonts w:hint="eastAsia" w:ascii="宋体" w:hAnsi="宋体" w:eastAsia="宋体" w:cs="宋体"/>
          <w:color w:val="auto"/>
          <w:spacing w:val="-2"/>
          <w:sz w:val="24"/>
          <w:szCs w:val="24"/>
          <w:highlight w:val="none"/>
        </w:rPr>
        <w:t>招标人仅在本招标项目征地红线范围内提供场地，其他一切场地费用由中标人自行负责（含临时道路）。</w:t>
      </w:r>
    </w:p>
    <w:p w14:paraId="0A329BE4">
      <w:pPr>
        <w:spacing w:before="155" w:line="324" w:lineRule="auto"/>
        <w:ind w:left="12" w:right="99" w:firstLine="556"/>
        <w:rPr>
          <w:rFonts w:hint="eastAsia" w:ascii="宋体" w:hAnsi="宋体" w:eastAsia="宋体" w:cs="宋体"/>
          <w:color w:val="auto"/>
          <w:spacing w:val="-2"/>
          <w:sz w:val="24"/>
          <w:szCs w:val="24"/>
          <w:highlight w:val="none"/>
        </w:rPr>
      </w:pPr>
      <w:bookmarkStart w:id="30" w:name="bookmark118"/>
      <w:bookmarkEnd w:id="30"/>
      <w:r>
        <w:rPr>
          <w:rFonts w:hint="eastAsia" w:ascii="宋体" w:hAnsi="宋体" w:eastAsia="宋体" w:cs="宋体"/>
          <w:b/>
          <w:bCs/>
          <w:color w:val="auto"/>
          <w:spacing w:val="-2"/>
          <w:sz w:val="24"/>
          <w:szCs w:val="24"/>
          <w:highlight w:val="none"/>
        </w:rPr>
        <w:t>6.2</w:t>
      </w:r>
      <w:r>
        <w:rPr>
          <w:rFonts w:hint="eastAsia" w:ascii="宋体" w:hAnsi="宋体" w:eastAsia="宋体" w:cs="宋体"/>
          <w:color w:val="auto"/>
          <w:spacing w:val="-2"/>
          <w:sz w:val="24"/>
          <w:szCs w:val="24"/>
          <w:highlight w:val="none"/>
        </w:rPr>
        <w:t xml:space="preserve">  施工用水：</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1255A7BA">
      <w:pPr>
        <w:spacing w:before="155" w:line="324" w:lineRule="auto"/>
        <w:ind w:left="12" w:right="99"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6.3</w:t>
      </w:r>
      <w:r>
        <w:rPr>
          <w:rFonts w:hint="eastAsia" w:ascii="宋体" w:hAnsi="宋体" w:eastAsia="宋体" w:cs="宋体"/>
          <w:color w:val="auto"/>
          <w:spacing w:val="-2"/>
          <w:sz w:val="24"/>
          <w:szCs w:val="24"/>
          <w:highlight w:val="none"/>
        </w:rPr>
        <w:t xml:space="preserve">  施工用电：</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3B79DC89">
      <w:pPr>
        <w:spacing w:before="154" w:line="299"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6.</w:t>
      </w:r>
      <w:r>
        <w:rPr>
          <w:rFonts w:hint="eastAsia" w:ascii="宋体" w:hAnsi="宋体" w:eastAsia="宋体" w:cs="宋体"/>
          <w:b/>
          <w:bCs/>
          <w:color w:val="auto"/>
          <w:spacing w:val="-2"/>
          <w:sz w:val="24"/>
          <w:szCs w:val="24"/>
          <w:highlight w:val="none"/>
          <w:lang w:val="en-US" w:eastAsia="zh-CN"/>
        </w:rPr>
        <w:t>4</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招标人不组织现场踏勘，</w:t>
      </w:r>
      <w:r>
        <w:rPr>
          <w:rFonts w:hint="eastAsia" w:ascii="宋体" w:hAnsi="宋体" w:eastAsia="宋体" w:cs="宋体"/>
          <w:color w:val="auto"/>
          <w:sz w:val="24"/>
          <w:szCs w:val="24"/>
          <w:highlight w:val="none"/>
        </w:rPr>
        <w:t>投标人需要了解现场情况的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1"/>
          <w:sz w:val="24"/>
          <w:szCs w:val="24"/>
          <w:highlight w:val="none"/>
        </w:rPr>
        <w:t>可自行进行现场踏勘。</w:t>
      </w:r>
    </w:p>
    <w:p w14:paraId="2FD1308D">
      <w:pPr>
        <w:spacing w:before="153" w:line="280"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6.</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在现场踏勘过程中，投标人应确保自身安全，投标人如果发生人身伤亡、财</w:t>
      </w:r>
      <w:r>
        <w:rPr>
          <w:rFonts w:hint="eastAsia" w:ascii="宋体" w:hAnsi="宋体" w:eastAsia="宋体" w:cs="宋体"/>
          <w:color w:val="auto"/>
          <w:spacing w:val="-1"/>
          <w:sz w:val="24"/>
          <w:szCs w:val="24"/>
          <w:highlight w:val="none"/>
        </w:rPr>
        <w:t>物或其他损失，法律法规有规定的按有关规定处理，没有规定</w:t>
      </w:r>
      <w:r>
        <w:rPr>
          <w:rFonts w:hint="eastAsia" w:ascii="宋体" w:hAnsi="宋体" w:eastAsia="宋体" w:cs="宋体"/>
          <w:color w:val="auto"/>
          <w:spacing w:val="-2"/>
          <w:sz w:val="24"/>
          <w:szCs w:val="24"/>
          <w:highlight w:val="none"/>
        </w:rPr>
        <w:t>的由投标人自行负责。</w:t>
      </w:r>
    </w:p>
    <w:p w14:paraId="230DFEFB">
      <w:pPr>
        <w:spacing w:before="153" w:line="220" w:lineRule="auto"/>
        <w:ind w:left="568"/>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6.</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现场踏勘期间的交通、食宿由投标人</w:t>
      </w:r>
      <w:r>
        <w:rPr>
          <w:rFonts w:hint="eastAsia" w:ascii="宋体" w:hAnsi="宋体" w:eastAsia="宋体" w:cs="宋体"/>
          <w:color w:val="auto"/>
          <w:spacing w:val="-1"/>
          <w:sz w:val="24"/>
          <w:szCs w:val="24"/>
          <w:highlight w:val="none"/>
        </w:rPr>
        <w:t>自行安排，费用自理。</w:t>
      </w:r>
    </w:p>
    <w:p w14:paraId="3A35BEB0">
      <w:pPr>
        <w:spacing w:before="78" w:line="220" w:lineRule="auto"/>
        <w:ind w:left="488"/>
        <w:outlineLvl w:val="2"/>
        <w:rPr>
          <w:rFonts w:hint="eastAsia" w:ascii="宋体" w:hAnsi="宋体" w:eastAsia="宋体" w:cs="宋体"/>
          <w:color w:val="auto"/>
          <w:sz w:val="24"/>
          <w:szCs w:val="24"/>
          <w:highlight w:val="none"/>
        </w:rPr>
      </w:pPr>
      <w:bookmarkStart w:id="31" w:name="bookmark69"/>
      <w:bookmarkEnd w:id="31"/>
      <w:bookmarkStart w:id="32" w:name="bookmark81"/>
      <w:bookmarkEnd w:id="32"/>
      <w:bookmarkStart w:id="33" w:name="bookmark67"/>
      <w:bookmarkEnd w:id="33"/>
      <w:bookmarkStart w:id="34" w:name="_Toc24768"/>
      <w:bookmarkStart w:id="35" w:name="_Toc15543"/>
      <w:r>
        <w:rPr>
          <w:rFonts w:hint="eastAsia" w:ascii="宋体" w:hAnsi="宋体" w:eastAsia="宋体" w:cs="宋体"/>
          <w:b/>
          <w:bCs/>
          <w:color w:val="auto"/>
          <w:spacing w:val="-5"/>
          <w:sz w:val="24"/>
          <w:szCs w:val="24"/>
          <w:highlight w:val="none"/>
        </w:rPr>
        <w:t>7</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5"/>
          <w:sz w:val="24"/>
          <w:szCs w:val="24"/>
          <w:highlight w:val="none"/>
        </w:rPr>
        <w:t>．招标文件的提问和答疑</w:t>
      </w:r>
      <w:bookmarkEnd w:id="34"/>
      <w:bookmarkEnd w:id="35"/>
    </w:p>
    <w:p w14:paraId="24761B54">
      <w:pPr>
        <w:spacing w:before="153" w:line="299" w:lineRule="auto"/>
        <w:ind w:left="9" w:right="16" w:firstLine="47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7.1  </w:t>
      </w:r>
      <w:r>
        <w:rPr>
          <w:rFonts w:hint="eastAsia" w:ascii="宋体" w:hAnsi="宋体" w:eastAsia="宋体" w:cs="宋体"/>
          <w:color w:val="auto"/>
          <w:sz w:val="24"/>
          <w:szCs w:val="24"/>
          <w:highlight w:val="none"/>
        </w:rPr>
        <w:t>投标人若对招标文件（含施工图、招标工程量清单）有疑问，应在提问截止</w:t>
      </w:r>
      <w:r>
        <w:rPr>
          <w:rFonts w:hint="eastAsia" w:ascii="宋体" w:hAnsi="宋体" w:eastAsia="宋体" w:cs="宋体"/>
          <w:color w:val="auto"/>
          <w:spacing w:val="-2"/>
          <w:sz w:val="24"/>
          <w:szCs w:val="24"/>
          <w:highlight w:val="none"/>
        </w:rPr>
        <w:t>时间（见本章第二节“重要事项时间地点一览表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”）前使用建设工程交易</w:t>
      </w:r>
      <w:r>
        <w:rPr>
          <w:rFonts w:hint="eastAsia" w:ascii="宋体" w:hAnsi="宋体" w:eastAsia="宋体" w:cs="宋体"/>
          <w:color w:val="auto"/>
          <w:spacing w:val="-3"/>
          <w:sz w:val="24"/>
          <w:szCs w:val="24"/>
          <w:highlight w:val="none"/>
        </w:rPr>
        <w:t>系统提出问</w:t>
      </w:r>
      <w:r>
        <w:rPr>
          <w:rFonts w:hint="eastAsia" w:ascii="宋体" w:hAnsi="宋体" w:eastAsia="宋体" w:cs="宋体"/>
          <w:color w:val="auto"/>
          <w:spacing w:val="-1"/>
          <w:sz w:val="24"/>
          <w:szCs w:val="24"/>
          <w:highlight w:val="none"/>
        </w:rPr>
        <w:t>题。未在指定时间前、未采用指定方式提出的，招标人不予受理。</w:t>
      </w:r>
    </w:p>
    <w:p w14:paraId="2D32FF9A">
      <w:pPr>
        <w:spacing w:before="154" w:line="309"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7.2  </w:t>
      </w:r>
      <w:r>
        <w:rPr>
          <w:rFonts w:hint="eastAsia" w:ascii="宋体" w:hAnsi="宋体" w:eastAsia="宋体" w:cs="宋体"/>
          <w:color w:val="auto"/>
          <w:spacing w:val="-1"/>
          <w:sz w:val="24"/>
          <w:szCs w:val="24"/>
          <w:highlight w:val="none"/>
        </w:rPr>
        <w:t>招标人在提问截止时间（见本章第二节“重要</w:t>
      </w:r>
      <w:r>
        <w:rPr>
          <w:rFonts w:hint="eastAsia" w:ascii="宋体" w:hAnsi="宋体" w:eastAsia="宋体" w:cs="宋体"/>
          <w:color w:val="auto"/>
          <w:spacing w:val="-2"/>
          <w:sz w:val="24"/>
          <w:szCs w:val="24"/>
          <w:highlight w:val="none"/>
        </w:rPr>
        <w:t>事项时间地点一览表</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2"/>
          <w:sz w:val="24"/>
          <w:szCs w:val="24"/>
          <w:highlight w:val="none"/>
        </w:rPr>
        <w:t>”）后</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eastAsia="宋体" w:cs="宋体"/>
          <w:color w:val="auto"/>
          <w:spacing w:val="-1"/>
          <w:sz w:val="24"/>
          <w:szCs w:val="24"/>
          <w:highlight w:val="none"/>
        </w:rPr>
        <w:t>日内，一次性对收到的所有问题作出答复，并形成答疑（或修</w:t>
      </w:r>
      <w:r>
        <w:rPr>
          <w:rFonts w:hint="eastAsia" w:ascii="宋体" w:hAnsi="宋体" w:eastAsia="宋体" w:cs="宋体"/>
          <w:color w:val="auto"/>
          <w:spacing w:val="-2"/>
          <w:sz w:val="24"/>
          <w:szCs w:val="24"/>
          <w:highlight w:val="none"/>
        </w:rPr>
        <w:t>改）公告在发布招标公</w:t>
      </w:r>
      <w:r>
        <w:rPr>
          <w:rFonts w:hint="eastAsia" w:ascii="宋体" w:hAnsi="宋体" w:eastAsia="宋体" w:cs="宋体"/>
          <w:color w:val="auto"/>
          <w:spacing w:val="-1"/>
          <w:sz w:val="24"/>
          <w:szCs w:val="24"/>
          <w:highlight w:val="none"/>
        </w:rPr>
        <w:t>告的媒介上公开发布。答疑（或修改）公告一旦发布，即视所</w:t>
      </w:r>
      <w:r>
        <w:rPr>
          <w:rFonts w:hint="eastAsia" w:ascii="宋体" w:hAnsi="宋体" w:eastAsia="宋体" w:cs="宋体"/>
          <w:color w:val="auto"/>
          <w:spacing w:val="-2"/>
          <w:sz w:val="24"/>
          <w:szCs w:val="24"/>
          <w:highlight w:val="none"/>
        </w:rPr>
        <w:t>有潜在投标人已经知悉</w:t>
      </w:r>
      <w:r>
        <w:rPr>
          <w:rFonts w:hint="eastAsia" w:ascii="宋体" w:hAnsi="宋体" w:eastAsia="宋体" w:cs="宋体"/>
          <w:color w:val="auto"/>
          <w:spacing w:val="-1"/>
          <w:sz w:val="24"/>
          <w:szCs w:val="24"/>
          <w:highlight w:val="none"/>
        </w:rPr>
        <w:t>答疑（或修改）内容，投标人未及时关注而造成的损失和后果</w:t>
      </w:r>
      <w:r>
        <w:rPr>
          <w:rFonts w:hint="eastAsia" w:ascii="宋体" w:hAnsi="宋体" w:eastAsia="宋体" w:cs="宋体"/>
          <w:color w:val="auto"/>
          <w:spacing w:val="-2"/>
          <w:sz w:val="24"/>
          <w:szCs w:val="24"/>
          <w:highlight w:val="none"/>
        </w:rPr>
        <w:t>，由投标人自行承担。</w:t>
      </w:r>
    </w:p>
    <w:p w14:paraId="19CAB676">
      <w:pPr>
        <w:spacing w:before="152" w:line="219" w:lineRule="auto"/>
        <w:ind w:firstLine="478" w:firstLineChars="200"/>
        <w:jc w:val="both"/>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7.3  </w:t>
      </w:r>
      <w:r>
        <w:rPr>
          <w:rFonts w:hint="eastAsia" w:ascii="宋体" w:hAnsi="宋体" w:eastAsia="宋体" w:cs="宋体"/>
          <w:color w:val="auto"/>
          <w:spacing w:val="-1"/>
          <w:sz w:val="24"/>
          <w:szCs w:val="24"/>
          <w:highlight w:val="none"/>
        </w:rPr>
        <w:t>招标人对招标文件所作的答疑（或修改）公告，构成</w:t>
      </w:r>
      <w:r>
        <w:rPr>
          <w:rFonts w:hint="eastAsia" w:ascii="宋体" w:hAnsi="宋体" w:eastAsia="宋体" w:cs="宋体"/>
          <w:color w:val="auto"/>
          <w:spacing w:val="-2"/>
          <w:sz w:val="24"/>
          <w:szCs w:val="24"/>
          <w:highlight w:val="none"/>
        </w:rPr>
        <w:t>招标文件的组成部分。</w:t>
      </w:r>
    </w:p>
    <w:p w14:paraId="09E45FB5">
      <w:pPr>
        <w:spacing w:before="79" w:line="219" w:lineRule="auto"/>
        <w:ind w:left="488"/>
        <w:outlineLvl w:val="2"/>
        <w:rPr>
          <w:rFonts w:hint="eastAsia" w:ascii="宋体" w:hAnsi="宋体" w:eastAsia="宋体" w:cs="宋体"/>
          <w:color w:val="auto"/>
          <w:sz w:val="24"/>
          <w:szCs w:val="24"/>
          <w:highlight w:val="none"/>
          <w:lang w:eastAsia="zh-CN"/>
        </w:rPr>
      </w:pPr>
      <w:bookmarkStart w:id="36" w:name="_Toc20958"/>
      <w:bookmarkStart w:id="37" w:name="_Toc6897"/>
      <w:r>
        <w:rPr>
          <w:rFonts w:hint="eastAsia" w:ascii="宋体" w:hAnsi="宋体" w:eastAsia="宋体" w:cs="宋体"/>
          <w:b/>
          <w:bCs/>
          <w:color w:val="auto"/>
          <w:spacing w:val="-5"/>
          <w:sz w:val="24"/>
          <w:szCs w:val="24"/>
          <w:highlight w:val="none"/>
        </w:rPr>
        <w:t>8</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5"/>
          <w:sz w:val="24"/>
          <w:szCs w:val="24"/>
          <w:highlight w:val="none"/>
        </w:rPr>
        <w:t>．</w:t>
      </w:r>
      <w:r>
        <w:rPr>
          <w:rFonts w:hint="eastAsia" w:ascii="宋体" w:hAnsi="宋体" w:eastAsia="宋体" w:cs="宋体"/>
          <w:b/>
          <w:bCs/>
          <w:color w:val="auto"/>
          <w:spacing w:val="-1"/>
          <w:sz w:val="24"/>
          <w:szCs w:val="24"/>
          <w:highlight w:val="none"/>
          <w:lang w:eastAsia="zh-CN"/>
        </w:rPr>
        <w:t>最高投标限价</w:t>
      </w:r>
      <w:bookmarkEnd w:id="36"/>
      <w:bookmarkEnd w:id="37"/>
    </w:p>
    <w:p w14:paraId="223798F3">
      <w:pPr>
        <w:spacing w:before="155"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8.1  </w:t>
      </w:r>
      <w:r>
        <w:rPr>
          <w:rFonts w:hint="eastAsia" w:ascii="宋体" w:hAnsi="宋体" w:eastAsia="宋体" w:cs="宋体"/>
          <w:color w:val="auto"/>
          <w:spacing w:val="-1"/>
          <w:sz w:val="24"/>
          <w:szCs w:val="24"/>
          <w:highlight w:val="none"/>
        </w:rPr>
        <w:t>本招标项目按照以下依据编制</w:t>
      </w:r>
      <w:r>
        <w:rPr>
          <w:rFonts w:hint="eastAsia" w:ascii="宋体" w:hAnsi="宋体" w:eastAsia="宋体" w:cs="宋体"/>
          <w:b/>
          <w:bCs/>
          <w:color w:val="auto"/>
          <w:spacing w:val="-1"/>
          <w:sz w:val="24"/>
          <w:szCs w:val="24"/>
          <w:highlight w:val="none"/>
          <w:lang w:eastAsia="zh-CN"/>
        </w:rPr>
        <w:t>最高投标限价</w:t>
      </w:r>
      <w:r>
        <w:rPr>
          <w:rFonts w:hint="eastAsia" w:ascii="宋体" w:hAnsi="宋体" w:eastAsia="宋体" w:cs="宋体"/>
          <w:color w:val="auto"/>
          <w:spacing w:val="-1"/>
          <w:sz w:val="24"/>
          <w:szCs w:val="24"/>
          <w:highlight w:val="none"/>
        </w:rPr>
        <w:t>：</w:t>
      </w:r>
    </w:p>
    <w:p w14:paraId="16FFF2B8">
      <w:pPr>
        <w:keepNext w:val="0"/>
        <w:keepLines w:val="0"/>
        <w:pageBreakBefore w:val="0"/>
        <w:widowControl/>
        <w:kinsoku w:val="0"/>
        <w:wordWrap/>
        <w:overflowPunct/>
        <w:topLinePunct w:val="0"/>
        <w:autoSpaceDE w:val="0"/>
        <w:autoSpaceDN w:val="0"/>
        <w:bidi w:val="0"/>
        <w:adjustRightInd w:val="0"/>
        <w:snapToGrid w:val="0"/>
        <w:spacing w:before="157" w:line="360" w:lineRule="auto"/>
        <w:ind w:left="50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》（GB/T 50500-2024）；</w:t>
      </w:r>
    </w:p>
    <w:p w14:paraId="3B0B0C27">
      <w:pPr>
        <w:keepNext w:val="0"/>
        <w:keepLines w:val="0"/>
        <w:pageBreakBefore w:val="0"/>
        <w:widowControl/>
        <w:kinsoku w:val="0"/>
        <w:wordWrap/>
        <w:overflowPunct/>
        <w:topLinePunct w:val="0"/>
        <w:autoSpaceDE w:val="0"/>
        <w:autoSpaceDN w:val="0"/>
        <w:bidi w:val="0"/>
        <w:adjustRightInd w:val="0"/>
        <w:snapToGrid w:val="0"/>
        <w:spacing w:line="360" w:lineRule="auto"/>
        <w:ind w:left="11" w:right="17" w:firstLine="493"/>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rPr>
        <w:t>（2）《广东省建设工程计价依据（2018）》和《关于调整〈广东省建设工程计价依据2018〉计价规则的通知》（粤标定函〔2025〕22号）。具体包括：《广东省房屋建筑与装饰工程综合定额（2018）》《广东省市政工程综合定额（2018）》《广东省通用安装工程综合定额（2018）》《广东省园林绿化工程综合定额（2018）》《广东省建设工程施工机具台班费用编制规则（2018）》等</w:t>
      </w:r>
      <w:r>
        <w:rPr>
          <w:rFonts w:hint="eastAsia" w:ascii="宋体" w:hAnsi="宋体" w:eastAsia="宋体" w:cs="宋体"/>
          <w:color w:val="auto"/>
          <w:spacing w:val="2"/>
          <w:sz w:val="24"/>
          <w:szCs w:val="24"/>
          <w:highlight w:val="none"/>
          <w:lang w:eastAsia="zh-CN"/>
        </w:rPr>
        <w:t>；</w:t>
      </w:r>
    </w:p>
    <w:p w14:paraId="224FF20B">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（3）施工图及相关资料；</w:t>
      </w:r>
    </w:p>
    <w:p w14:paraId="0BE1187D">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bookmarkStart w:id="38" w:name="bookmark119"/>
      <w:bookmarkEnd w:id="38"/>
      <w:r>
        <w:rPr>
          <w:rFonts w:hint="eastAsia" w:ascii="宋体" w:hAnsi="宋体" w:eastAsia="宋体" w:cs="宋体"/>
          <w:color w:val="auto"/>
          <w:spacing w:val="-2"/>
          <w:sz w:val="24"/>
          <w:szCs w:val="24"/>
          <w:highlight w:val="none"/>
        </w:rPr>
        <w:t>（4）招标文件及招标工程量清单；</w:t>
      </w:r>
    </w:p>
    <w:p w14:paraId="7306C03E">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（5）施工现场情况、工程特点及常规施工方案；</w:t>
      </w:r>
    </w:p>
    <w:p w14:paraId="0E53FD93">
      <w:pPr>
        <w:keepNext w:val="0"/>
        <w:keepLines w:val="0"/>
        <w:pageBreakBefore w:val="0"/>
        <w:widowControl/>
        <w:kinsoku w:val="0"/>
        <w:wordWrap/>
        <w:overflowPunct/>
        <w:topLinePunct w:val="0"/>
        <w:autoSpaceDE w:val="0"/>
        <w:autoSpaceDN w:val="0"/>
        <w:bidi w:val="0"/>
        <w:adjustRightInd w:val="0"/>
        <w:snapToGrid w:val="0"/>
        <w:spacing w:line="360" w:lineRule="auto"/>
        <w:ind w:left="12" w:right="136" w:firstLine="48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（6）项目所在地工程造价管理机构发布的工程造价信息，工程造</w:t>
      </w:r>
      <w:r>
        <w:rPr>
          <w:rFonts w:hint="eastAsia" w:ascii="宋体" w:hAnsi="宋体" w:eastAsia="宋体" w:cs="宋体"/>
          <w:color w:val="auto"/>
          <w:spacing w:val="-4"/>
          <w:sz w:val="24"/>
          <w:szCs w:val="24"/>
          <w:highlight w:val="none"/>
        </w:rPr>
        <w:t>价信息缺项的，</w:t>
      </w:r>
      <w:r>
        <w:rPr>
          <w:rFonts w:hint="eastAsia" w:ascii="宋体" w:hAnsi="宋体" w:eastAsia="宋体" w:cs="宋体"/>
          <w:color w:val="auto"/>
          <w:spacing w:val="-2"/>
          <w:sz w:val="24"/>
          <w:szCs w:val="24"/>
          <w:highlight w:val="none"/>
        </w:rPr>
        <w:t>参照市场价格；</w:t>
      </w:r>
    </w:p>
    <w:p w14:paraId="07A6FD74">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（7）与建设项目相关的标准、规范、技术资料。</w:t>
      </w:r>
    </w:p>
    <w:p w14:paraId="75CAE29F">
      <w:pPr>
        <w:spacing w:before="79" w:line="333" w:lineRule="auto"/>
        <w:ind w:firstLine="482" w:firstLineChars="200"/>
        <w:jc w:val="both"/>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宋体" w:hAnsi="宋体" w:eastAsia="宋体" w:cs="宋体"/>
          <w:b/>
          <w:bCs/>
          <w:color w:val="auto"/>
          <w:sz w:val="24"/>
          <w:szCs w:val="24"/>
          <w:highlight w:val="none"/>
        </w:rPr>
        <w:t>8.2</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本招标项目最高投标限价、施工图纸、工程量清单在开标前15天另行发布于全国公共资源交易平台（广东省·韶关市）（https://ygp.gdzwfw.gov.cn/ggzy-portal/#/440200/index）、广东省招标投标监管网（http://zbtb.gd.gov.cn）网站。</w:t>
      </w:r>
    </w:p>
    <w:p w14:paraId="40D5FB0C">
      <w:pPr>
        <w:spacing w:before="79" w:line="333"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3</w:t>
      </w:r>
      <w:r>
        <w:rPr>
          <w:rFonts w:hint="eastAsia" w:ascii="宋体" w:hAnsi="宋体" w:eastAsia="宋体" w:cs="宋体"/>
          <w:color w:val="auto"/>
          <w:sz w:val="24"/>
          <w:szCs w:val="24"/>
          <w:highlight w:val="none"/>
        </w:rPr>
        <w:t>暂估价指招标工程量清单中提供的用于支付必然发生但暂时不能确定价格的</w:t>
      </w:r>
      <w:r>
        <w:rPr>
          <w:rFonts w:hint="eastAsia" w:ascii="宋体" w:hAnsi="宋体" w:eastAsia="宋体" w:cs="宋体"/>
          <w:color w:val="auto"/>
          <w:spacing w:val="-1"/>
          <w:sz w:val="24"/>
          <w:szCs w:val="24"/>
          <w:highlight w:val="none"/>
        </w:rPr>
        <w:t>材料、工程设备的单价以及专业工程的金额；暂列金额指招标</w:t>
      </w:r>
      <w:r>
        <w:rPr>
          <w:rFonts w:hint="eastAsia" w:ascii="宋体" w:hAnsi="宋体" w:eastAsia="宋体" w:cs="宋体"/>
          <w:color w:val="auto"/>
          <w:spacing w:val="-2"/>
          <w:sz w:val="24"/>
          <w:szCs w:val="24"/>
          <w:highlight w:val="none"/>
        </w:rPr>
        <w:t>工程量清单中暂定并包括在合同价款中的一笔款项，用于工程合同签订时尚未确定或</w:t>
      </w:r>
      <w:r>
        <w:rPr>
          <w:rFonts w:hint="eastAsia" w:ascii="宋体" w:hAnsi="宋体" w:eastAsia="宋体" w:cs="宋体"/>
          <w:color w:val="auto"/>
          <w:spacing w:val="-3"/>
          <w:sz w:val="24"/>
          <w:szCs w:val="24"/>
          <w:highlight w:val="none"/>
        </w:rPr>
        <w:t>者不可预见的所需材料、</w:t>
      </w:r>
      <w:r>
        <w:rPr>
          <w:rFonts w:hint="eastAsia" w:ascii="宋体" w:hAnsi="宋体" w:eastAsia="宋体" w:cs="宋体"/>
          <w:color w:val="auto"/>
          <w:spacing w:val="-1"/>
          <w:sz w:val="24"/>
          <w:szCs w:val="24"/>
          <w:highlight w:val="none"/>
        </w:rPr>
        <w:t>工程设备、服务的采购，施工中可能发生的工程变更、合同约</w:t>
      </w:r>
      <w:r>
        <w:rPr>
          <w:rFonts w:hint="eastAsia" w:ascii="宋体" w:hAnsi="宋体" w:eastAsia="宋体" w:cs="宋体"/>
          <w:color w:val="auto"/>
          <w:spacing w:val="-2"/>
          <w:sz w:val="24"/>
          <w:szCs w:val="24"/>
          <w:highlight w:val="none"/>
        </w:rPr>
        <w:t>定调整因素出现时的合</w:t>
      </w:r>
      <w:r>
        <w:rPr>
          <w:rFonts w:hint="eastAsia" w:ascii="宋体" w:hAnsi="宋体" w:eastAsia="宋体" w:cs="宋体"/>
          <w:color w:val="auto"/>
          <w:spacing w:val="-1"/>
          <w:sz w:val="24"/>
          <w:szCs w:val="24"/>
          <w:highlight w:val="none"/>
        </w:rPr>
        <w:t>同价款调整以及发生的索赔、现场签证确认等的费用。</w:t>
      </w:r>
    </w:p>
    <w:p w14:paraId="5460B1B1">
      <w:pPr>
        <w:spacing w:before="36" w:line="278" w:lineRule="auto"/>
        <w:ind w:left="10" w:right="200" w:firstLine="48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4</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本招标项目以暂估价形式列入招标工程量清单中的材料、工程设备、专业工</w:t>
      </w:r>
      <w:r>
        <w:rPr>
          <w:rFonts w:hint="eastAsia" w:ascii="宋体" w:hAnsi="宋体" w:eastAsia="宋体" w:cs="宋体"/>
          <w:color w:val="auto"/>
          <w:spacing w:val="-2"/>
          <w:sz w:val="24"/>
          <w:szCs w:val="24"/>
          <w:highlight w:val="none"/>
        </w:rPr>
        <w:t>程（以下统称“暂估价项目</w:t>
      </w:r>
      <w:r>
        <w:rPr>
          <w:rFonts w:hint="eastAsia" w:ascii="宋体" w:hAnsi="宋体" w:eastAsia="宋体" w:cs="宋体"/>
          <w:color w:val="auto"/>
          <w:spacing w:val="-80"/>
          <w:sz w:val="24"/>
          <w:szCs w:val="24"/>
          <w:highlight w:val="none"/>
        </w:rPr>
        <w:t xml:space="preserve"> </w:t>
      </w:r>
      <w:r>
        <w:rPr>
          <w:rFonts w:hint="eastAsia" w:ascii="宋体" w:hAnsi="宋体" w:eastAsia="宋体" w:cs="宋体"/>
          <w:color w:val="auto"/>
          <w:spacing w:val="-2"/>
          <w:sz w:val="24"/>
          <w:szCs w:val="24"/>
          <w:highlight w:val="none"/>
        </w:rPr>
        <w:t>”）包括：</w:t>
      </w:r>
      <w:r>
        <w:rPr>
          <w:rFonts w:hint="eastAsia" w:ascii="宋体" w:hAnsi="宋体" w:eastAsia="宋体" w:cs="宋体"/>
          <w:color w:val="auto"/>
          <w:sz w:val="24"/>
          <w:szCs w:val="24"/>
          <w:highlight w:val="none"/>
          <w:u w:val="single"/>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14:paraId="532349E7">
      <w:pPr>
        <w:spacing w:before="154" w:line="280" w:lineRule="auto"/>
        <w:ind w:left="12" w:right="200" w:firstLine="47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5</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当暂估价项目的内容、标准、要求在项目实施过程中得以深化、明确、固定</w:t>
      </w:r>
      <w:r>
        <w:rPr>
          <w:rFonts w:hint="eastAsia" w:ascii="宋体" w:hAnsi="宋体" w:eastAsia="宋体" w:cs="宋体"/>
          <w:color w:val="auto"/>
          <w:spacing w:val="-2"/>
          <w:sz w:val="24"/>
          <w:szCs w:val="24"/>
          <w:highlight w:val="none"/>
        </w:rPr>
        <w:t>后，按以下原则发包：</w:t>
      </w:r>
    </w:p>
    <w:p w14:paraId="3C6D1E21">
      <w:pPr>
        <w:spacing w:before="153" w:line="219" w:lineRule="auto"/>
        <w:ind w:left="-3" w:leftChars="0"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（1）暂估价项目按工程、货物（指材料或工程设备，下同）的类别分类汇总的金额，达到必须</w:t>
      </w:r>
      <w:r>
        <w:rPr>
          <w:rFonts w:hint="eastAsia" w:ascii="宋体" w:hAnsi="宋体" w:eastAsia="宋体" w:cs="宋体"/>
          <w:color w:val="auto"/>
          <w:spacing w:val="-3"/>
          <w:sz w:val="24"/>
          <w:szCs w:val="24"/>
          <w:highlight w:val="none"/>
        </w:rPr>
        <w:t>招标规模标准的，由</w:t>
      </w:r>
      <w:r>
        <w:rPr>
          <w:rFonts w:hint="eastAsia" w:ascii="宋体" w:hAnsi="宋体" w:eastAsia="宋体" w:cs="宋体"/>
          <w:b/>
          <w:bCs/>
          <w:color w:val="auto"/>
          <w:spacing w:val="21"/>
          <w:sz w:val="24"/>
          <w:szCs w:val="24"/>
          <w:highlight w:val="none"/>
          <w:u w:val="single"/>
        </w:rPr>
        <w:t xml:space="preserve"> </w:t>
      </w:r>
      <w:r>
        <w:rPr>
          <w:rFonts w:hint="eastAsia" w:ascii="宋体" w:hAnsi="宋体" w:eastAsia="宋体" w:cs="宋体"/>
          <w:bCs/>
          <w:color w:val="auto"/>
          <w:spacing w:val="-1"/>
          <w:sz w:val="24"/>
          <w:szCs w:val="24"/>
          <w:highlight w:val="none"/>
          <w:u w:val="single"/>
        </w:rPr>
        <w:t xml:space="preserve">中标人招标，招标人参与管理 </w:t>
      </w:r>
      <w:r>
        <w:rPr>
          <w:rFonts w:hint="eastAsia" w:ascii="宋体" w:hAnsi="宋体" w:eastAsia="宋体" w:cs="宋体"/>
          <w:bCs/>
          <w:color w:val="auto"/>
          <w:spacing w:val="-1"/>
          <w:sz w:val="24"/>
          <w:szCs w:val="24"/>
          <w:highlight w:val="none"/>
        </w:rPr>
        <w:t>，</w:t>
      </w:r>
      <w:r>
        <w:rPr>
          <w:rFonts w:hint="eastAsia" w:ascii="宋体" w:hAnsi="宋体" w:eastAsia="宋体" w:cs="宋体"/>
          <w:color w:val="auto"/>
          <w:spacing w:val="-1"/>
          <w:sz w:val="24"/>
          <w:szCs w:val="24"/>
          <w:highlight w:val="none"/>
        </w:rPr>
        <w:t>确定专业工程承包人（或材料、工程</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rPr>
        <w:t>设备供应商）和合同价格。</w:t>
      </w:r>
    </w:p>
    <w:p w14:paraId="425A4FCF">
      <w:pPr>
        <w:spacing w:before="30" w:line="299"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准但适用政府采购规定的，按照政府采购规定确定专业工</w:t>
      </w:r>
      <w:r>
        <w:rPr>
          <w:rFonts w:hint="eastAsia" w:ascii="宋体" w:hAnsi="宋体" w:eastAsia="宋体" w:cs="宋体"/>
          <w:color w:val="auto"/>
          <w:spacing w:val="-2"/>
          <w:sz w:val="24"/>
          <w:szCs w:val="24"/>
          <w:highlight w:val="none"/>
        </w:rPr>
        <w:t>程承包人（或材料、工程设备供应商）和合同价格。</w:t>
      </w:r>
    </w:p>
    <w:p w14:paraId="1F83CEB3">
      <w:pPr>
        <w:spacing w:before="154" w:line="309"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准也不适用政府采购规定，中标人具备相应资格条件的，</w:t>
      </w:r>
      <w:r>
        <w:rPr>
          <w:rFonts w:hint="eastAsia" w:ascii="宋体" w:hAnsi="宋体" w:eastAsia="宋体" w:cs="宋体"/>
          <w:color w:val="auto"/>
          <w:spacing w:val="-2"/>
          <w:sz w:val="24"/>
          <w:szCs w:val="24"/>
          <w:highlight w:val="none"/>
        </w:rPr>
        <w:t>由中标人承包；中标人不具</w:t>
      </w:r>
      <w:r>
        <w:rPr>
          <w:rFonts w:hint="eastAsia" w:ascii="宋体" w:hAnsi="宋体" w:eastAsia="宋体" w:cs="宋体"/>
          <w:color w:val="auto"/>
          <w:spacing w:val="-1"/>
          <w:sz w:val="24"/>
          <w:szCs w:val="24"/>
          <w:highlight w:val="none"/>
        </w:rPr>
        <w:t>备相应资格条件但具备分包权的，由中标人分包，招标人</w:t>
      </w:r>
      <w:r>
        <w:rPr>
          <w:rFonts w:hint="eastAsia" w:ascii="宋体" w:hAnsi="宋体" w:eastAsia="宋体" w:cs="宋体"/>
          <w:color w:val="auto"/>
          <w:spacing w:val="-2"/>
          <w:sz w:val="24"/>
          <w:szCs w:val="24"/>
          <w:highlight w:val="none"/>
        </w:rPr>
        <w:t>同中标人结算原则按本招标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文件相关条款执行。</w:t>
      </w:r>
    </w:p>
    <w:p w14:paraId="134DC236">
      <w:pPr>
        <w:spacing w:before="154" w:line="299"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准也不适用政府采购规定，中标人既不具备相应资格条件</w:t>
      </w:r>
      <w:r>
        <w:rPr>
          <w:rFonts w:hint="eastAsia" w:ascii="宋体" w:hAnsi="宋体" w:eastAsia="宋体" w:cs="宋体"/>
          <w:color w:val="auto"/>
          <w:spacing w:val="-2"/>
          <w:sz w:val="24"/>
          <w:szCs w:val="24"/>
          <w:highlight w:val="none"/>
        </w:rPr>
        <w:t>又不具备分包权的，由招标人另行发包。</w:t>
      </w:r>
    </w:p>
    <w:p w14:paraId="73AFAA0E">
      <w:pPr>
        <w:spacing w:before="155" w:line="279" w:lineRule="auto"/>
        <w:ind w:left="9" w:right="66"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（5）暂估价项目由其他承包人承包的，纳入中标人的管理</w:t>
      </w:r>
      <w:r>
        <w:rPr>
          <w:rFonts w:hint="eastAsia" w:ascii="宋体" w:hAnsi="宋体" w:eastAsia="宋体" w:cs="宋体"/>
          <w:color w:val="auto"/>
          <w:spacing w:val="1"/>
          <w:sz w:val="24"/>
          <w:szCs w:val="24"/>
          <w:highlight w:val="none"/>
        </w:rPr>
        <w:t>和协调范围，由其他</w:t>
      </w:r>
      <w:r>
        <w:rPr>
          <w:rFonts w:hint="eastAsia" w:ascii="宋体" w:hAnsi="宋体" w:eastAsia="宋体" w:cs="宋体"/>
          <w:color w:val="auto"/>
          <w:spacing w:val="-1"/>
          <w:sz w:val="24"/>
          <w:szCs w:val="24"/>
          <w:highlight w:val="none"/>
        </w:rPr>
        <w:t>承包人向中标人承担质量、安全、文明施工、工期责任，中标</w:t>
      </w:r>
      <w:r>
        <w:rPr>
          <w:rFonts w:hint="eastAsia" w:ascii="宋体" w:hAnsi="宋体" w:eastAsia="宋体" w:cs="宋体"/>
          <w:color w:val="auto"/>
          <w:spacing w:val="-2"/>
          <w:sz w:val="24"/>
          <w:szCs w:val="24"/>
          <w:highlight w:val="none"/>
        </w:rPr>
        <w:t>人向招标人承担责任。</w:t>
      </w:r>
    </w:p>
    <w:p w14:paraId="558CF728">
      <w:pPr>
        <w:spacing w:before="155" w:line="333" w:lineRule="auto"/>
        <w:ind w:left="10" w:right="65" w:firstLine="478"/>
        <w:jc w:val="both"/>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本招标项目以暂列金额形式列入招标工程量清单中的所需货物和服务的采购</w:t>
      </w:r>
      <w:r>
        <w:rPr>
          <w:rFonts w:hint="eastAsia" w:ascii="宋体" w:hAnsi="宋体" w:eastAsia="宋体" w:cs="宋体"/>
          <w:color w:val="auto"/>
          <w:spacing w:val="-1"/>
          <w:sz w:val="24"/>
          <w:szCs w:val="24"/>
          <w:highlight w:val="none"/>
        </w:rPr>
        <w:t>（以下统称“暂列金额项目</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”）若有发生，按照本节第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pacing w:val="-1"/>
          <w:sz w:val="24"/>
          <w:szCs w:val="24"/>
          <w:highlight w:val="none"/>
        </w:rPr>
        <w:t xml:space="preserve">8.5 </w:t>
      </w:r>
      <w:r>
        <w:rPr>
          <w:rFonts w:hint="eastAsia" w:ascii="宋体" w:hAnsi="宋体" w:eastAsia="宋体" w:cs="宋体"/>
          <w:color w:val="auto"/>
          <w:spacing w:val="-1"/>
          <w:sz w:val="24"/>
          <w:szCs w:val="24"/>
          <w:highlight w:val="none"/>
        </w:rPr>
        <w:t>条的规定确定货物（或服务）供应商和合同价格。暂列金额项目由其他承包人承包的</w:t>
      </w:r>
      <w:r>
        <w:rPr>
          <w:rFonts w:hint="eastAsia" w:ascii="宋体" w:hAnsi="宋体" w:eastAsia="宋体" w:cs="宋体"/>
          <w:color w:val="auto"/>
          <w:spacing w:val="-2"/>
          <w:sz w:val="24"/>
          <w:szCs w:val="24"/>
          <w:highlight w:val="none"/>
        </w:rPr>
        <w:t>，纳入中标人的管理和协</w:t>
      </w:r>
      <w:r>
        <w:rPr>
          <w:rFonts w:hint="eastAsia" w:ascii="宋体" w:hAnsi="宋体" w:eastAsia="宋体" w:cs="宋体"/>
          <w:color w:val="auto"/>
          <w:spacing w:val="-1"/>
          <w:sz w:val="24"/>
          <w:szCs w:val="24"/>
          <w:highlight w:val="none"/>
        </w:rPr>
        <w:t>调范围</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由其他承包人向中标人承担质量、安全、文明</w:t>
      </w:r>
      <w:r>
        <w:rPr>
          <w:rFonts w:hint="eastAsia" w:ascii="宋体" w:hAnsi="宋体" w:eastAsia="宋体" w:cs="宋体"/>
          <w:color w:val="auto"/>
          <w:spacing w:val="-2"/>
          <w:sz w:val="24"/>
          <w:szCs w:val="24"/>
          <w:highlight w:val="none"/>
        </w:rPr>
        <w:t>施工、工期责任，中标人向招标人承担责任。</w:t>
      </w:r>
    </w:p>
    <w:p w14:paraId="48C97586">
      <w:pPr>
        <w:spacing w:before="79" w:line="219" w:lineRule="auto"/>
        <w:ind w:left="487"/>
        <w:outlineLvl w:val="2"/>
        <w:rPr>
          <w:rFonts w:hint="eastAsia" w:ascii="宋体" w:hAnsi="宋体" w:eastAsia="宋体" w:cs="宋体"/>
          <w:color w:val="auto"/>
          <w:sz w:val="24"/>
          <w:szCs w:val="24"/>
          <w:highlight w:val="none"/>
        </w:rPr>
      </w:pPr>
      <w:bookmarkStart w:id="39" w:name="_Toc22978"/>
      <w:bookmarkStart w:id="40" w:name="_Toc6911"/>
      <w:r>
        <w:rPr>
          <w:rFonts w:hint="eastAsia" w:ascii="宋体" w:hAnsi="宋体" w:eastAsia="宋体" w:cs="宋体"/>
          <w:b/>
          <w:bCs/>
          <w:color w:val="auto"/>
          <w:spacing w:val="-8"/>
          <w:sz w:val="24"/>
          <w:szCs w:val="24"/>
          <w:highlight w:val="none"/>
        </w:rPr>
        <w:t>9</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8"/>
          <w:sz w:val="24"/>
          <w:szCs w:val="24"/>
          <w:highlight w:val="none"/>
        </w:rPr>
        <w:t>．投标报价</w:t>
      </w:r>
      <w:bookmarkEnd w:id="39"/>
      <w:bookmarkEnd w:id="40"/>
    </w:p>
    <w:p w14:paraId="0BEAD8F4">
      <w:pPr>
        <w:spacing w:before="157" w:line="219"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9.1  </w:t>
      </w:r>
      <w:r>
        <w:rPr>
          <w:rFonts w:hint="eastAsia" w:ascii="宋体" w:hAnsi="宋体" w:eastAsia="宋体" w:cs="宋体"/>
          <w:color w:val="auto"/>
          <w:spacing w:val="-1"/>
          <w:sz w:val="24"/>
          <w:szCs w:val="24"/>
          <w:highlight w:val="none"/>
        </w:rPr>
        <w:t>投标人应按照以下依据编制投标报价：</w:t>
      </w:r>
    </w:p>
    <w:p w14:paraId="7C9A544A">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（1）《建设工程工程量清单计价标准》（GB/T 50500-2024）</w:t>
      </w:r>
      <w:r>
        <w:rPr>
          <w:rFonts w:hint="eastAsia" w:ascii="宋体" w:hAnsi="宋体" w:eastAsia="宋体" w:cs="宋体"/>
          <w:color w:val="auto"/>
          <w:spacing w:val="4"/>
          <w:sz w:val="24"/>
          <w:szCs w:val="24"/>
          <w:highlight w:val="none"/>
        </w:rPr>
        <w:t>；</w:t>
      </w:r>
    </w:p>
    <w:p w14:paraId="6D2F00E1">
      <w:pPr>
        <w:spacing w:before="153" w:line="309" w:lineRule="auto"/>
        <w:ind w:left="9" w:right="65"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广东省建设工程计价依据（2018）》和《关于调整〈广东省建设工程计价依据2018〉计价规则的通知》（粤标定函〔2025〕22号）。具体包括：《广东省房屋建筑与装饰工程综合定额（2018）》《广东省市政工程综合定额（2018）》《广东省通用安装工程综合定额（2018）》《广东省园林绿化工程综合定额（2018）》《广东省建设工程施工机具台班费用编制规则（2018）》等</w:t>
      </w:r>
      <w:r>
        <w:rPr>
          <w:rFonts w:hint="eastAsia" w:ascii="宋体" w:hAnsi="宋体" w:eastAsia="宋体" w:cs="宋体"/>
          <w:color w:val="auto"/>
          <w:spacing w:val="-1"/>
          <w:sz w:val="24"/>
          <w:szCs w:val="24"/>
          <w:highlight w:val="none"/>
        </w:rPr>
        <w:t>；</w:t>
      </w:r>
    </w:p>
    <w:p w14:paraId="40B9B3FA">
      <w:pPr>
        <w:spacing w:before="78" w:line="220" w:lineRule="auto"/>
        <w:ind w:left="501"/>
        <w:rPr>
          <w:rFonts w:hint="eastAsia" w:ascii="宋体" w:hAnsi="宋体" w:eastAsia="宋体" w:cs="宋体"/>
          <w:color w:val="auto"/>
          <w:sz w:val="24"/>
          <w:szCs w:val="24"/>
          <w:highlight w:val="none"/>
        </w:rPr>
      </w:pPr>
      <w:bookmarkStart w:id="41" w:name="bookmark120"/>
      <w:bookmarkEnd w:id="41"/>
      <w:r>
        <w:rPr>
          <w:rFonts w:hint="eastAsia" w:ascii="宋体" w:hAnsi="宋体" w:eastAsia="宋体" w:cs="宋体"/>
          <w:color w:val="auto"/>
          <w:spacing w:val="-3"/>
          <w:sz w:val="24"/>
          <w:szCs w:val="24"/>
          <w:highlight w:val="none"/>
        </w:rPr>
        <w:t>（3）企业定额；</w:t>
      </w:r>
    </w:p>
    <w:p w14:paraId="5C5C2125">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（4）招标文件及其答疑（或修改）公告、招标工程量清单；</w:t>
      </w:r>
    </w:p>
    <w:p w14:paraId="7C58AB7D">
      <w:pPr>
        <w:spacing w:before="154" w:line="221"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（5）施工图及相关资料；</w:t>
      </w:r>
    </w:p>
    <w:p w14:paraId="230EB630">
      <w:pPr>
        <w:spacing w:before="152"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（6）施工现场情况、工程特点及投标时拟定的施工组织设计或施工方案；</w:t>
      </w:r>
    </w:p>
    <w:p w14:paraId="0BC16559">
      <w:pPr>
        <w:spacing w:before="156"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（7）市场价格信息或项目所在地工程造价管理机构发布的工程造价信息；</w:t>
      </w:r>
    </w:p>
    <w:p w14:paraId="34B66FBB">
      <w:pPr>
        <w:spacing w:before="155"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（8）与建设项目相关的标准、规范、技术资料。</w:t>
      </w:r>
    </w:p>
    <w:p w14:paraId="2276EB1F">
      <w:pPr>
        <w:spacing w:before="153" w:line="309" w:lineRule="auto"/>
        <w:ind w:left="8" w:right="150"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9.2  </w:t>
      </w:r>
      <w:r>
        <w:rPr>
          <w:rFonts w:hint="eastAsia" w:ascii="宋体" w:hAnsi="宋体" w:eastAsia="宋体" w:cs="宋体"/>
          <w:color w:val="auto"/>
          <w:spacing w:val="-2"/>
          <w:sz w:val="24"/>
          <w:szCs w:val="24"/>
          <w:highlight w:val="none"/>
        </w:rPr>
        <w:t>投标人应根据招标工程量清单、工程量清单计价规范中的工作内容、设计文</w:t>
      </w:r>
      <w:r>
        <w:rPr>
          <w:rFonts w:hint="eastAsia" w:ascii="宋体" w:hAnsi="宋体" w:eastAsia="宋体" w:cs="宋体"/>
          <w:color w:val="auto"/>
          <w:spacing w:val="-1"/>
          <w:sz w:val="24"/>
          <w:szCs w:val="24"/>
          <w:highlight w:val="none"/>
        </w:rPr>
        <w:t>件和有关要求、施工现场实际情况、投标人拟定的施工组织设计</w:t>
      </w:r>
      <w:r>
        <w:rPr>
          <w:rFonts w:hint="eastAsia" w:ascii="宋体" w:hAnsi="宋体" w:eastAsia="宋体" w:cs="宋体"/>
          <w:color w:val="auto"/>
          <w:spacing w:val="-2"/>
          <w:sz w:val="24"/>
          <w:szCs w:val="24"/>
          <w:highlight w:val="none"/>
        </w:rPr>
        <w:t>、本单位的企业定额</w:t>
      </w:r>
      <w:r>
        <w:rPr>
          <w:rFonts w:hint="eastAsia" w:ascii="宋体" w:hAnsi="宋体" w:eastAsia="宋体" w:cs="宋体"/>
          <w:color w:val="auto"/>
          <w:spacing w:val="-1"/>
          <w:sz w:val="24"/>
          <w:szCs w:val="24"/>
          <w:highlight w:val="none"/>
        </w:rPr>
        <w:t>和市场价格进行编制，自行报价，并承担一定范围内的风险费用</w:t>
      </w:r>
      <w:r>
        <w:rPr>
          <w:rFonts w:hint="eastAsia" w:ascii="宋体" w:hAnsi="宋体" w:eastAsia="宋体" w:cs="宋体"/>
          <w:color w:val="auto"/>
          <w:spacing w:val="-2"/>
          <w:sz w:val="24"/>
          <w:szCs w:val="24"/>
          <w:highlight w:val="none"/>
        </w:rPr>
        <w:t>。所谓“一定范围内</w:t>
      </w:r>
      <w:r>
        <w:rPr>
          <w:rFonts w:hint="eastAsia" w:ascii="宋体" w:hAnsi="宋体" w:eastAsia="宋体" w:cs="宋体"/>
          <w:color w:val="auto"/>
          <w:spacing w:val="-3"/>
          <w:sz w:val="24"/>
          <w:szCs w:val="24"/>
          <w:highlight w:val="none"/>
        </w:rPr>
        <w:t>的风险</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”是指合同约定的风险。</w:t>
      </w:r>
    </w:p>
    <w:p w14:paraId="38B975E3">
      <w:pPr>
        <w:spacing w:before="152" w:line="309" w:lineRule="auto"/>
        <w:ind w:left="9" w:right="15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9.3  </w:t>
      </w:r>
      <w:r>
        <w:rPr>
          <w:rFonts w:hint="eastAsia" w:ascii="宋体" w:hAnsi="宋体" w:eastAsia="宋体" w:cs="宋体"/>
          <w:color w:val="auto"/>
          <w:spacing w:val="-2"/>
          <w:sz w:val="24"/>
          <w:szCs w:val="24"/>
          <w:highlight w:val="none"/>
        </w:rPr>
        <w:t>招标人及招标代理机构不集中组织现场踏勘，投标人需要了解现场情况的，</w:t>
      </w:r>
      <w:r>
        <w:rPr>
          <w:rFonts w:hint="eastAsia" w:ascii="宋体" w:hAnsi="宋体" w:eastAsia="宋体" w:cs="宋体"/>
          <w:color w:val="auto"/>
          <w:spacing w:val="-1"/>
          <w:sz w:val="24"/>
          <w:szCs w:val="24"/>
          <w:highlight w:val="none"/>
        </w:rPr>
        <w:t>可自行进行现场踏勘。各投标人应勘察施工现场及周围环</w:t>
      </w:r>
      <w:r>
        <w:rPr>
          <w:rFonts w:hint="eastAsia" w:ascii="宋体" w:hAnsi="宋体" w:eastAsia="宋体" w:cs="宋体"/>
          <w:color w:val="auto"/>
          <w:spacing w:val="-2"/>
          <w:sz w:val="24"/>
          <w:szCs w:val="24"/>
          <w:highlight w:val="none"/>
        </w:rPr>
        <w:t>境、地形、地貌、水文、交</w:t>
      </w:r>
      <w:r>
        <w:rPr>
          <w:rFonts w:hint="eastAsia" w:ascii="宋体" w:hAnsi="宋体" w:eastAsia="宋体" w:cs="宋体"/>
          <w:color w:val="auto"/>
          <w:spacing w:val="-1"/>
          <w:sz w:val="24"/>
          <w:szCs w:val="24"/>
          <w:highlight w:val="none"/>
        </w:rPr>
        <w:t>通等情况，以获得一切可能影响到投标的直接资料。投标人应</w:t>
      </w:r>
      <w:r>
        <w:rPr>
          <w:rFonts w:hint="eastAsia" w:ascii="宋体" w:hAnsi="宋体" w:eastAsia="宋体" w:cs="宋体"/>
          <w:color w:val="auto"/>
          <w:spacing w:val="-2"/>
          <w:sz w:val="24"/>
          <w:szCs w:val="24"/>
          <w:highlight w:val="none"/>
        </w:rPr>
        <w:t>针对现场情况编制施工</w:t>
      </w:r>
      <w:r>
        <w:rPr>
          <w:rFonts w:hint="eastAsia" w:ascii="宋体" w:hAnsi="宋体" w:eastAsia="宋体" w:cs="宋体"/>
          <w:color w:val="auto"/>
          <w:spacing w:val="-1"/>
          <w:sz w:val="24"/>
          <w:szCs w:val="24"/>
          <w:highlight w:val="none"/>
        </w:rPr>
        <w:t>组织设计，并在编制投标报价时考虑现场情况的影响。</w:t>
      </w:r>
    </w:p>
    <w:p w14:paraId="74096E4D">
      <w:pPr>
        <w:spacing w:before="155" w:line="279" w:lineRule="auto"/>
        <w:ind w:left="10" w:right="150" w:firstLine="55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9.4  </w:t>
      </w:r>
      <w:r>
        <w:rPr>
          <w:rFonts w:hint="eastAsia" w:ascii="宋体" w:hAnsi="宋体" w:eastAsia="宋体" w:cs="宋体"/>
          <w:color w:val="auto"/>
          <w:spacing w:val="-2"/>
          <w:sz w:val="24"/>
          <w:szCs w:val="24"/>
          <w:highlight w:val="none"/>
        </w:rPr>
        <w:t>招标人向投标人提供的有关现场的数据和资料，是招标人现有的能被投标人</w:t>
      </w:r>
      <w:r>
        <w:rPr>
          <w:rFonts w:hint="eastAsia" w:ascii="宋体" w:hAnsi="宋体" w:eastAsia="宋体" w:cs="宋体"/>
          <w:color w:val="auto"/>
          <w:sz w:val="24"/>
          <w:szCs w:val="24"/>
          <w:highlight w:val="none"/>
        </w:rPr>
        <w:t>利用的资料，招标人对投标人做出的任何推论</w:t>
      </w:r>
      <w:r>
        <w:rPr>
          <w:rFonts w:hint="eastAsia" w:ascii="宋体" w:hAnsi="宋体" w:eastAsia="宋体" w:cs="宋体"/>
          <w:color w:val="auto"/>
          <w:spacing w:val="-1"/>
          <w:sz w:val="24"/>
          <w:szCs w:val="24"/>
          <w:highlight w:val="none"/>
        </w:rPr>
        <w:t>、理解和结论均不负责任。</w:t>
      </w:r>
    </w:p>
    <w:p w14:paraId="52AC11F5">
      <w:pPr>
        <w:spacing w:before="154" w:line="299" w:lineRule="auto"/>
        <w:ind w:left="12" w:firstLine="554"/>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9.5  </w:t>
      </w:r>
      <w:r>
        <w:rPr>
          <w:rFonts w:hint="eastAsia" w:ascii="宋体" w:hAnsi="宋体" w:eastAsia="宋体" w:cs="宋体"/>
          <w:color w:val="auto"/>
          <w:spacing w:val="-2"/>
          <w:sz w:val="24"/>
          <w:szCs w:val="24"/>
          <w:highlight w:val="none"/>
        </w:rPr>
        <w:t>投标人必须按照招标工程量清单及表格填报价格。项目编码、项目名称、项</w:t>
      </w:r>
      <w:r>
        <w:rPr>
          <w:rFonts w:hint="eastAsia" w:ascii="宋体" w:hAnsi="宋体" w:eastAsia="宋体" w:cs="宋体"/>
          <w:color w:val="auto"/>
          <w:spacing w:val="2"/>
          <w:sz w:val="24"/>
          <w:szCs w:val="24"/>
          <w:highlight w:val="none"/>
        </w:rPr>
        <w:t>目特征、计量单位、工程量必须与招标工程量清单一致。所有报价均以人</w:t>
      </w:r>
      <w:r>
        <w:rPr>
          <w:rFonts w:hint="eastAsia" w:ascii="宋体" w:hAnsi="宋体" w:eastAsia="宋体" w:cs="宋体"/>
          <w:color w:val="auto"/>
          <w:spacing w:val="1"/>
          <w:sz w:val="24"/>
          <w:szCs w:val="24"/>
          <w:highlight w:val="none"/>
        </w:rPr>
        <w:t>民币“元</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rPr>
        <w:t>为单位，并保留小数点后两位。</w:t>
      </w:r>
    </w:p>
    <w:p w14:paraId="160D4F63">
      <w:pPr>
        <w:spacing w:before="158" w:line="314" w:lineRule="auto"/>
        <w:ind w:left="9" w:right="15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9.6  </w:t>
      </w:r>
      <w:r>
        <w:rPr>
          <w:rFonts w:hint="eastAsia" w:ascii="宋体" w:hAnsi="宋体" w:eastAsia="宋体" w:cs="宋体"/>
          <w:color w:val="auto"/>
          <w:spacing w:val="-2"/>
          <w:sz w:val="24"/>
          <w:szCs w:val="24"/>
          <w:highlight w:val="none"/>
        </w:rPr>
        <w:t>投标人只允许有一个投标总价。投标总价必须同时用大、小写表示，大、小</w:t>
      </w:r>
      <w:r>
        <w:rPr>
          <w:rFonts w:hint="eastAsia" w:ascii="宋体" w:hAnsi="宋体" w:eastAsia="宋体" w:cs="宋体"/>
          <w:color w:val="auto"/>
          <w:spacing w:val="-1"/>
          <w:sz w:val="24"/>
          <w:szCs w:val="24"/>
          <w:highlight w:val="none"/>
        </w:rPr>
        <w:t>写报价应保持一致，若不一致，以大写报价为准。招标工程量</w:t>
      </w:r>
      <w:r>
        <w:rPr>
          <w:rFonts w:hint="eastAsia" w:ascii="宋体" w:hAnsi="宋体" w:eastAsia="宋体" w:cs="宋体"/>
          <w:color w:val="auto"/>
          <w:spacing w:val="-2"/>
          <w:sz w:val="24"/>
          <w:szCs w:val="24"/>
          <w:highlight w:val="none"/>
        </w:rPr>
        <w:t>清单与计价表中列明的</w:t>
      </w:r>
      <w:r>
        <w:rPr>
          <w:rFonts w:hint="eastAsia" w:ascii="宋体" w:hAnsi="宋体" w:eastAsia="宋体" w:cs="宋体"/>
          <w:color w:val="auto"/>
          <w:spacing w:val="-1"/>
          <w:sz w:val="24"/>
          <w:szCs w:val="24"/>
          <w:highlight w:val="none"/>
        </w:rPr>
        <w:t>所有需要填写单价和合价的项目，投标人均应填写且只允许有</w:t>
      </w:r>
      <w:r>
        <w:rPr>
          <w:rFonts w:hint="eastAsia" w:ascii="宋体" w:hAnsi="宋体" w:eastAsia="宋体" w:cs="宋体"/>
          <w:color w:val="auto"/>
          <w:spacing w:val="-2"/>
          <w:sz w:val="24"/>
          <w:szCs w:val="24"/>
          <w:highlight w:val="none"/>
        </w:rPr>
        <w:t>一个报价。未填写单价</w:t>
      </w:r>
      <w:r>
        <w:rPr>
          <w:rFonts w:hint="eastAsia" w:ascii="宋体" w:hAnsi="宋体" w:eastAsia="宋体" w:cs="宋体"/>
          <w:color w:val="auto"/>
          <w:spacing w:val="-1"/>
          <w:sz w:val="24"/>
          <w:szCs w:val="24"/>
          <w:highlight w:val="none"/>
        </w:rPr>
        <w:t>和合价的项目，视为此项费用已包含在已标价工程量清单其他</w:t>
      </w:r>
      <w:r>
        <w:rPr>
          <w:rFonts w:hint="eastAsia" w:ascii="宋体" w:hAnsi="宋体" w:eastAsia="宋体" w:cs="宋体"/>
          <w:color w:val="auto"/>
          <w:spacing w:val="-2"/>
          <w:sz w:val="24"/>
          <w:szCs w:val="24"/>
          <w:highlight w:val="none"/>
        </w:rPr>
        <w:t>项目的单价和合价中，</w:t>
      </w:r>
      <w:r>
        <w:rPr>
          <w:rFonts w:hint="eastAsia" w:ascii="宋体" w:hAnsi="宋体" w:eastAsia="宋体" w:cs="宋体"/>
          <w:color w:val="auto"/>
          <w:spacing w:val="-1"/>
          <w:sz w:val="24"/>
          <w:szCs w:val="24"/>
          <w:highlight w:val="none"/>
        </w:rPr>
        <w:t>竣工结算时不得重新组价和调整。</w:t>
      </w:r>
    </w:p>
    <w:p w14:paraId="4D155A8D">
      <w:pPr>
        <w:spacing w:before="152" w:line="309" w:lineRule="auto"/>
        <w:ind w:left="7" w:right="120" w:firstLine="480"/>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z w:val="24"/>
          <w:szCs w:val="24"/>
          <w:highlight w:val="none"/>
        </w:rPr>
        <w:t xml:space="preserve">9.7  </w:t>
      </w:r>
      <w:r>
        <w:rPr>
          <w:rFonts w:hint="eastAsia" w:ascii="宋体" w:hAnsi="宋体" w:eastAsia="宋体" w:cs="宋体"/>
          <w:color w:val="auto"/>
          <w:sz w:val="24"/>
          <w:szCs w:val="24"/>
          <w:highlight w:val="none"/>
        </w:rPr>
        <w:t>投标人的投标总价不得高于</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color w:val="auto"/>
          <w:sz w:val="24"/>
          <w:szCs w:val="24"/>
          <w:highlight w:val="none"/>
        </w:rPr>
        <w:t>，也不得低于工程成本。投标人对</w:t>
      </w:r>
      <w:r>
        <w:rPr>
          <w:rFonts w:hint="eastAsia" w:ascii="宋体" w:hAnsi="宋体" w:eastAsia="宋体" w:cs="宋体"/>
          <w:color w:val="auto"/>
          <w:spacing w:val="-1"/>
          <w:sz w:val="24"/>
          <w:szCs w:val="24"/>
          <w:highlight w:val="none"/>
        </w:rPr>
        <w:t>投标总价的所有优惠（降价、让利等</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1"/>
          <w:sz w:val="24"/>
          <w:szCs w:val="24"/>
          <w:highlight w:val="none"/>
        </w:rPr>
        <w:t>均应当反映在具体清单项目或其综合</w:t>
      </w:r>
      <w:r>
        <w:rPr>
          <w:rFonts w:hint="eastAsia" w:ascii="宋体" w:hAnsi="宋体" w:eastAsia="宋体" w:cs="宋体"/>
          <w:color w:val="auto"/>
          <w:spacing w:val="-2"/>
          <w:sz w:val="24"/>
          <w:szCs w:val="24"/>
          <w:highlight w:val="none"/>
        </w:rPr>
        <w:t>单价的</w:t>
      </w:r>
      <w:r>
        <w:rPr>
          <w:rFonts w:hint="eastAsia" w:ascii="宋体" w:hAnsi="宋体" w:eastAsia="宋体" w:cs="宋体"/>
          <w:color w:val="auto"/>
          <w:spacing w:val="1"/>
          <w:sz w:val="24"/>
          <w:szCs w:val="24"/>
          <w:highlight w:val="none"/>
        </w:rPr>
        <w:t>报价上。</w:t>
      </w:r>
      <w:r>
        <w:rPr>
          <w:rFonts w:hint="eastAsia" w:ascii="宋体" w:hAnsi="宋体" w:eastAsia="宋体" w:cs="宋体"/>
          <w:b/>
          <w:bCs/>
          <w:color w:val="auto"/>
          <w:spacing w:val="1"/>
          <w:sz w:val="24"/>
          <w:szCs w:val="24"/>
          <w:highlight w:val="none"/>
        </w:rPr>
        <w:t>如果投标人的投标总价下浮率高于</w:t>
      </w:r>
      <w:r>
        <w:rPr>
          <w:rFonts w:hint="eastAsia" w:ascii="宋体" w:hAnsi="宋体" w:eastAsia="宋体" w:cs="宋体"/>
          <w:color w:val="auto"/>
          <w:spacing w:val="-40"/>
          <w:sz w:val="24"/>
          <w:szCs w:val="24"/>
          <w:highlight w:val="none"/>
        </w:rPr>
        <w:t xml:space="preserve"> </w:t>
      </w:r>
      <w:r>
        <w:rPr>
          <w:rFonts w:hint="eastAsia" w:ascii="宋体" w:hAnsi="宋体" w:eastAsia="宋体" w:cs="宋体"/>
          <w:b/>
          <w:bCs/>
          <w:color w:val="auto"/>
          <w:spacing w:val="1"/>
          <w:sz w:val="24"/>
          <w:szCs w:val="24"/>
          <w:highlight w:val="none"/>
        </w:rPr>
        <w:t>15%时，投标人必须在投标文件中专项</w:t>
      </w:r>
      <w:r>
        <w:rPr>
          <w:rFonts w:hint="eastAsia" w:ascii="宋体" w:hAnsi="宋体" w:eastAsia="宋体" w:cs="宋体"/>
          <w:b/>
          <w:bCs/>
          <w:color w:val="auto"/>
          <w:spacing w:val="-3"/>
          <w:sz w:val="24"/>
          <w:szCs w:val="24"/>
          <w:highlight w:val="none"/>
        </w:rPr>
        <w:t>作出详细合理的书面说明并提供以往类似工程详细成本分析报告供评标委员会审查。</w:t>
      </w:r>
    </w:p>
    <w:p w14:paraId="578B6979">
      <w:pPr>
        <w:outlineLvl w:val="9"/>
        <w:rPr>
          <w:rFonts w:hint="eastAsia" w:ascii="宋体" w:hAnsi="宋体" w:eastAsia="宋体" w:cs="宋体"/>
          <w:color w:val="auto"/>
          <w:highlight w:val="none"/>
          <w:lang w:eastAsia="zh-CN"/>
        </w:rPr>
      </w:pPr>
      <w:r>
        <w:rPr>
          <w:rFonts w:hint="eastAsia" w:ascii="宋体" w:hAnsi="宋体" w:eastAsia="宋体" w:cs="宋体"/>
          <w:b/>
          <w:bCs/>
          <w:color w:val="auto"/>
          <w:spacing w:val="-3"/>
          <w:sz w:val="24"/>
          <w:szCs w:val="24"/>
          <w:highlight w:val="none"/>
          <w:lang w:eastAsia="zh-CN"/>
        </w:rPr>
        <w:t>投标总价下浮率=（1-投标总价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最高投标限价）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100%</w:t>
      </w:r>
    </w:p>
    <w:p w14:paraId="25AF209D">
      <w:pPr>
        <w:spacing w:before="146" w:line="325" w:lineRule="auto"/>
        <w:ind w:left="29" w:right="153" w:firstLine="458"/>
        <w:rPr>
          <w:rFonts w:hint="eastAsia" w:ascii="宋体" w:hAnsi="宋体" w:eastAsia="宋体" w:cs="宋体"/>
          <w:b/>
          <w:bCs/>
          <w:color w:val="auto"/>
          <w:highlight w:val="none"/>
        </w:rPr>
      </w:pPr>
      <w:r>
        <w:rPr>
          <w:rFonts w:hint="eastAsia" w:ascii="宋体" w:hAnsi="宋体" w:eastAsia="宋体" w:cs="宋体"/>
          <w:b/>
          <w:bCs/>
          <w:color w:val="auto"/>
          <w:sz w:val="24"/>
          <w:szCs w:val="24"/>
          <w:highlight w:val="none"/>
        </w:rPr>
        <w:t>9.8  投标人的安全生产措施费报价必须达到或超过</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b/>
          <w:bCs/>
          <w:color w:val="auto"/>
          <w:sz w:val="24"/>
          <w:szCs w:val="24"/>
          <w:highlight w:val="none"/>
        </w:rPr>
        <w:t>中</w:t>
      </w:r>
      <w:r>
        <w:rPr>
          <w:rFonts w:hint="eastAsia" w:ascii="宋体" w:hAnsi="宋体" w:eastAsia="宋体" w:cs="宋体"/>
          <w:b/>
          <w:bCs/>
          <w:color w:val="auto"/>
          <w:spacing w:val="-1"/>
          <w:sz w:val="24"/>
          <w:szCs w:val="24"/>
          <w:highlight w:val="none"/>
        </w:rPr>
        <w:t>提供</w:t>
      </w:r>
      <w:r>
        <w:rPr>
          <w:rFonts w:hint="eastAsia" w:ascii="宋体" w:hAnsi="宋体" w:eastAsia="宋体" w:cs="宋体"/>
          <w:b/>
          <w:bCs/>
          <w:color w:val="auto"/>
          <w:spacing w:val="-3"/>
          <w:sz w:val="24"/>
          <w:szCs w:val="24"/>
          <w:highlight w:val="none"/>
        </w:rPr>
        <w:t>的安全生产措施费。</w:t>
      </w:r>
    </w:p>
    <w:p w14:paraId="4EC5F248">
      <w:pPr>
        <w:spacing w:before="78" w:line="309" w:lineRule="auto"/>
        <w:ind w:right="99"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9.9  </w:t>
      </w:r>
      <w:r>
        <w:rPr>
          <w:rFonts w:hint="eastAsia" w:ascii="宋体" w:hAnsi="宋体" w:eastAsia="宋体" w:cs="宋体"/>
          <w:color w:val="auto"/>
          <w:sz w:val="24"/>
          <w:szCs w:val="24"/>
          <w:highlight w:val="none"/>
        </w:rPr>
        <w:t>投标人必须按照招标工程量清单中提供的暂列金额和暂估价统一报价。投标</w:t>
      </w:r>
      <w:r>
        <w:rPr>
          <w:rFonts w:hint="eastAsia" w:ascii="宋体" w:hAnsi="宋体" w:eastAsia="宋体" w:cs="宋体"/>
          <w:color w:val="auto"/>
          <w:spacing w:val="-1"/>
          <w:sz w:val="24"/>
          <w:szCs w:val="24"/>
          <w:highlight w:val="none"/>
        </w:rPr>
        <w:t>人应充分考虑暂估价项目（或暂列金额项目）的管理和协调所发</w:t>
      </w:r>
      <w:r>
        <w:rPr>
          <w:rFonts w:hint="eastAsia" w:ascii="宋体" w:hAnsi="宋体" w:eastAsia="宋体" w:cs="宋体"/>
          <w:color w:val="auto"/>
          <w:spacing w:val="-2"/>
          <w:sz w:val="24"/>
          <w:szCs w:val="24"/>
          <w:highlight w:val="none"/>
        </w:rPr>
        <w:t>生的费用，并将其纳</w:t>
      </w:r>
      <w:r>
        <w:rPr>
          <w:rFonts w:hint="eastAsia" w:ascii="宋体" w:hAnsi="宋体" w:eastAsia="宋体" w:cs="宋体"/>
          <w:color w:val="auto"/>
          <w:spacing w:val="-1"/>
          <w:sz w:val="24"/>
          <w:szCs w:val="24"/>
          <w:highlight w:val="none"/>
        </w:rPr>
        <w:t>入已标价工程量清单中的适当项目。招标人视该项管理和协调所</w:t>
      </w:r>
      <w:r>
        <w:rPr>
          <w:rFonts w:hint="eastAsia" w:ascii="宋体" w:hAnsi="宋体" w:eastAsia="宋体" w:cs="宋体"/>
          <w:color w:val="auto"/>
          <w:spacing w:val="-2"/>
          <w:sz w:val="24"/>
          <w:szCs w:val="24"/>
          <w:highlight w:val="none"/>
        </w:rPr>
        <w:t>发生的费用已包含在</w:t>
      </w:r>
      <w:r>
        <w:rPr>
          <w:rFonts w:hint="eastAsia" w:ascii="宋体" w:hAnsi="宋体" w:eastAsia="宋体" w:cs="宋体"/>
          <w:color w:val="auto"/>
          <w:spacing w:val="-1"/>
          <w:sz w:val="24"/>
          <w:szCs w:val="24"/>
          <w:highlight w:val="none"/>
        </w:rPr>
        <w:t>其它有价款的竞争性报价内，不再另行支付。</w:t>
      </w:r>
    </w:p>
    <w:p w14:paraId="022ADADF">
      <w:pPr>
        <w:pStyle w:val="5"/>
        <w:keepNext w:val="0"/>
        <w:keepLines w:val="0"/>
        <w:pageBreakBefore w:val="0"/>
        <w:widowControl/>
        <w:kinsoku w:val="0"/>
        <w:wordWrap/>
        <w:overflowPunct/>
        <w:topLinePunct w:val="0"/>
        <w:autoSpaceDE w:val="0"/>
        <w:autoSpaceDN w:val="0"/>
        <w:bidi w:val="0"/>
        <w:adjustRightInd w:val="0"/>
        <w:snapToGrid w:val="0"/>
        <w:spacing w:line="310" w:lineRule="auto"/>
        <w:ind w:firstLine="482" w:firstLineChars="200"/>
        <w:textAlignment w:val="baseline"/>
        <w:rPr>
          <w:rFonts w:hint="eastAsia" w:ascii="宋体" w:hAnsi="宋体" w:eastAsia="宋体" w:cs="宋体"/>
          <w:snapToGrid w:val="0"/>
          <w:color w:val="auto"/>
          <w:sz w:val="24"/>
          <w:szCs w:val="24"/>
          <w:highlight w:val="none"/>
          <w:lang w:val="en-US" w:eastAsia="en-US" w:bidi="ar-SA"/>
        </w:rPr>
      </w:pPr>
      <w:r>
        <w:rPr>
          <w:rFonts w:hint="eastAsia" w:ascii="宋体" w:hAnsi="宋体" w:eastAsia="宋体" w:cs="宋体"/>
          <w:b/>
          <w:bCs/>
          <w:color w:val="auto"/>
          <w:sz w:val="24"/>
          <w:szCs w:val="24"/>
          <w:highlight w:val="none"/>
        </w:rPr>
        <w:t>9.10</w:t>
      </w:r>
      <w:r>
        <w:rPr>
          <w:rFonts w:hint="eastAsia" w:ascii="宋体" w:hAnsi="宋体" w:eastAsia="宋体" w:cs="宋体"/>
          <w:b/>
          <w:bCs/>
          <w:color w:val="auto"/>
          <w:highlight w:val="none"/>
        </w:rPr>
        <w:t xml:space="preserve"> </w:t>
      </w:r>
      <w:r>
        <w:rPr>
          <w:rFonts w:hint="eastAsia" w:ascii="宋体" w:hAnsi="宋体" w:eastAsia="宋体" w:cs="宋体"/>
          <w:b/>
          <w:bCs/>
          <w:color w:val="auto"/>
          <w:highlight w:val="none"/>
          <w:lang w:val="en-US" w:eastAsia="zh-CN"/>
        </w:rPr>
        <w:t xml:space="preserve"> </w:t>
      </w:r>
      <w:r>
        <w:rPr>
          <w:rFonts w:hint="eastAsia" w:ascii="宋体" w:hAnsi="宋体" w:eastAsia="宋体" w:cs="宋体"/>
          <w:snapToGrid w:val="0"/>
          <w:color w:val="auto"/>
          <w:spacing w:val="-1"/>
          <w:sz w:val="24"/>
          <w:szCs w:val="24"/>
          <w:highlight w:val="none"/>
          <w:lang w:val="en-US" w:eastAsia="en-US" w:bidi="ar-SA"/>
        </w:rPr>
        <w:t>预算包干费：</w:t>
      </w:r>
      <w:r>
        <w:rPr>
          <w:rFonts w:hint="eastAsia" w:ascii="宋体" w:hAnsi="宋体" w:eastAsia="宋体" w:cs="宋体"/>
          <w:snapToGrid w:val="0"/>
          <w:color w:val="auto"/>
          <w:spacing w:val="-1"/>
          <w:sz w:val="24"/>
          <w:szCs w:val="24"/>
          <w:highlight w:val="none"/>
          <w:lang w:val="en-US" w:eastAsia="zh-CN" w:bidi="ar-SA"/>
        </w:rPr>
        <w:t>根据</w:t>
      </w:r>
      <w:r>
        <w:rPr>
          <w:rFonts w:hint="eastAsia" w:ascii="宋体" w:hAnsi="宋体" w:eastAsia="宋体" w:cs="宋体"/>
          <w:snapToGrid w:val="0"/>
          <w:color w:val="auto"/>
          <w:spacing w:val="-1"/>
          <w:sz w:val="24"/>
          <w:szCs w:val="24"/>
          <w:highlight w:val="none"/>
          <w:lang w:val="en-US" w:eastAsia="en-US" w:bidi="ar-SA"/>
        </w:rPr>
        <w:t>《广东省建设工程计价依据（2018）》和《关于调整〈广东省建设工程计价依据2018〉计价规则的通知》（粤标定函〔2025〕22号）。具体包括：《广东省房屋建筑与装饰工程综合定额（2018）》《广东省市政工程综合定额（2018）》《广东省通用安装工程综合定额（2018）》《广东省园林绿化工程综合定额（2018）》《广东省建设工程施工机具台班费用编制规则（2018）》等，以各专业分部分项的人工费与施工机具费之和为基础计算预算包干费。本工程的预算包干内容包括：按《广东省建设工程计价依据（2018）》相关规定。若发生工程签证变更，应按合同约定计取预算包干费。</w:t>
      </w:r>
    </w:p>
    <w:p w14:paraId="48E2FDC9">
      <w:pPr>
        <w:spacing w:before="78" w:line="220" w:lineRule="auto"/>
        <w:ind w:left="496"/>
        <w:outlineLvl w:val="2"/>
        <w:rPr>
          <w:rFonts w:hint="eastAsia" w:ascii="宋体" w:hAnsi="宋体" w:eastAsia="宋体" w:cs="宋体"/>
          <w:color w:val="auto"/>
          <w:sz w:val="24"/>
          <w:szCs w:val="24"/>
          <w:highlight w:val="none"/>
        </w:rPr>
      </w:pPr>
      <w:bookmarkStart w:id="42" w:name="_Toc23711"/>
      <w:bookmarkStart w:id="43" w:name="_Toc16322"/>
      <w:r>
        <w:rPr>
          <w:rFonts w:hint="eastAsia" w:ascii="宋体" w:hAnsi="宋体" w:eastAsia="宋体" w:cs="宋体"/>
          <w:b/>
          <w:bCs/>
          <w:color w:val="auto"/>
          <w:spacing w:val="-6"/>
          <w:sz w:val="24"/>
          <w:szCs w:val="24"/>
          <w:highlight w:val="none"/>
        </w:rPr>
        <w:t>10</w:t>
      </w:r>
      <w:r>
        <w:rPr>
          <w:rFonts w:hint="eastAsia" w:ascii="宋体" w:hAnsi="宋体" w:eastAsia="宋体" w:cs="宋体"/>
          <w:b/>
          <w:bCs/>
          <w:color w:val="auto"/>
          <w:spacing w:val="-21"/>
          <w:sz w:val="24"/>
          <w:szCs w:val="24"/>
          <w:highlight w:val="none"/>
        </w:rPr>
        <w:t xml:space="preserve"> </w:t>
      </w:r>
      <w:r>
        <w:rPr>
          <w:rFonts w:hint="eastAsia" w:ascii="宋体" w:hAnsi="宋体" w:eastAsia="宋体" w:cs="宋体"/>
          <w:b/>
          <w:bCs/>
          <w:color w:val="auto"/>
          <w:spacing w:val="-6"/>
          <w:sz w:val="24"/>
          <w:szCs w:val="24"/>
          <w:highlight w:val="none"/>
        </w:rPr>
        <w:t>．投标文件的编制要求</w:t>
      </w:r>
      <w:bookmarkEnd w:id="42"/>
      <w:bookmarkEnd w:id="43"/>
    </w:p>
    <w:p w14:paraId="105992C5">
      <w:pPr>
        <w:spacing w:before="152" w:line="222" w:lineRule="auto"/>
        <w:ind w:left="496"/>
        <w:outlineLvl w:val="3"/>
        <w:rPr>
          <w:rFonts w:hint="eastAsia" w:ascii="宋体" w:hAnsi="宋体" w:eastAsia="宋体" w:cs="宋体"/>
          <w:color w:val="auto"/>
          <w:sz w:val="24"/>
          <w:szCs w:val="24"/>
          <w:highlight w:val="none"/>
        </w:rPr>
      </w:pPr>
      <w:bookmarkStart w:id="44" w:name="_Toc20590"/>
      <w:bookmarkStart w:id="45" w:name="_Toc22937"/>
      <w:r>
        <w:rPr>
          <w:rFonts w:hint="eastAsia" w:ascii="宋体" w:hAnsi="宋体" w:eastAsia="宋体" w:cs="宋体"/>
          <w:b/>
          <w:bCs/>
          <w:color w:val="auto"/>
          <w:spacing w:val="-4"/>
          <w:sz w:val="24"/>
          <w:szCs w:val="24"/>
          <w:highlight w:val="none"/>
        </w:rPr>
        <w:t>10.1</w:t>
      </w:r>
      <w:r>
        <w:rPr>
          <w:rFonts w:hint="eastAsia" w:ascii="宋体" w:hAnsi="宋体" w:eastAsia="宋体" w:cs="宋体"/>
          <w:b/>
          <w:bCs/>
          <w:color w:val="auto"/>
          <w:spacing w:val="7"/>
          <w:sz w:val="24"/>
          <w:szCs w:val="24"/>
          <w:highlight w:val="none"/>
        </w:rPr>
        <w:t xml:space="preserve">  </w:t>
      </w:r>
      <w:r>
        <w:rPr>
          <w:rFonts w:hint="eastAsia" w:ascii="宋体" w:hAnsi="宋体" w:eastAsia="宋体" w:cs="宋体"/>
          <w:color w:val="auto"/>
          <w:spacing w:val="-4"/>
          <w:sz w:val="24"/>
          <w:szCs w:val="24"/>
          <w:highlight w:val="none"/>
        </w:rPr>
        <w:t>一般要求</w:t>
      </w:r>
      <w:bookmarkEnd w:id="44"/>
      <w:bookmarkEnd w:id="45"/>
    </w:p>
    <w:p w14:paraId="348D5018">
      <w:pPr>
        <w:spacing w:before="118" w:line="295" w:lineRule="auto"/>
        <w:ind w:left="11" w:right="99"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投标文件应按第六章投标文件格式规定的内容，投标人提交的投标文件应当使</w:t>
      </w:r>
      <w:r>
        <w:rPr>
          <w:rFonts w:hint="eastAsia" w:ascii="宋体" w:hAnsi="宋体" w:eastAsia="宋体" w:cs="宋体"/>
          <w:color w:val="auto"/>
          <w:spacing w:val="-1"/>
          <w:sz w:val="24"/>
          <w:szCs w:val="24"/>
          <w:highlight w:val="none"/>
        </w:rPr>
        <w:t>用招标文件所提供的投标文件全部格式。</w:t>
      </w:r>
    </w:p>
    <w:p w14:paraId="3EF5DC96">
      <w:pPr>
        <w:spacing w:before="68" w:line="299" w:lineRule="auto"/>
        <w:ind w:left="11" w:right="99" w:firstLine="563"/>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10.1.1  </w:t>
      </w:r>
      <w:r>
        <w:rPr>
          <w:rFonts w:hint="eastAsia" w:ascii="宋体" w:hAnsi="宋体" w:eastAsia="宋体" w:cs="宋体"/>
          <w:color w:val="auto"/>
          <w:spacing w:val="-3"/>
          <w:sz w:val="24"/>
          <w:szCs w:val="24"/>
          <w:highlight w:val="none"/>
        </w:rPr>
        <w:t>投标人必须响应招标文件，并在充分理解招</w:t>
      </w:r>
      <w:r>
        <w:rPr>
          <w:rFonts w:hint="eastAsia" w:ascii="宋体" w:hAnsi="宋体" w:eastAsia="宋体" w:cs="宋体"/>
          <w:color w:val="auto"/>
          <w:spacing w:val="-4"/>
          <w:sz w:val="24"/>
          <w:szCs w:val="24"/>
          <w:highlight w:val="none"/>
        </w:rPr>
        <w:t>标人提供的全部文件、设计图</w:t>
      </w:r>
      <w:r>
        <w:rPr>
          <w:rFonts w:hint="eastAsia" w:ascii="宋体" w:hAnsi="宋体" w:eastAsia="宋体" w:cs="宋体"/>
          <w:color w:val="auto"/>
          <w:spacing w:val="-1"/>
          <w:sz w:val="24"/>
          <w:szCs w:val="24"/>
          <w:highlight w:val="none"/>
        </w:rPr>
        <w:t>纸、资料及现场条件的基础上编制投标文件。因投标文件</w:t>
      </w:r>
      <w:r>
        <w:rPr>
          <w:rFonts w:hint="eastAsia" w:ascii="宋体" w:hAnsi="宋体" w:eastAsia="宋体" w:cs="宋体"/>
          <w:color w:val="auto"/>
          <w:spacing w:val="-2"/>
          <w:sz w:val="24"/>
          <w:szCs w:val="24"/>
          <w:highlight w:val="none"/>
        </w:rPr>
        <w:t>不符合招标文件的要求而造</w:t>
      </w:r>
      <w:r>
        <w:rPr>
          <w:rFonts w:hint="eastAsia" w:ascii="宋体" w:hAnsi="宋体" w:eastAsia="宋体" w:cs="宋体"/>
          <w:color w:val="auto"/>
          <w:spacing w:val="-1"/>
          <w:sz w:val="24"/>
          <w:szCs w:val="24"/>
          <w:highlight w:val="none"/>
        </w:rPr>
        <w:t>成的损失和后果，由投标人自行承担。</w:t>
      </w:r>
    </w:p>
    <w:p w14:paraId="585F608C">
      <w:pPr>
        <w:spacing w:before="123" w:line="290" w:lineRule="auto"/>
        <w:ind w:left="8" w:firstLine="566"/>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10.1.2  投标文件包括商务标书、经济标书、施工组织设计和定标文件四个分册，</w:t>
      </w:r>
      <w:r>
        <w:rPr>
          <w:rFonts w:hint="eastAsia" w:ascii="宋体" w:hAnsi="宋体" w:eastAsia="宋体" w:cs="宋体"/>
          <w:color w:val="auto"/>
          <w:spacing w:val="-3"/>
          <w:sz w:val="24"/>
          <w:szCs w:val="24"/>
          <w:highlight w:val="none"/>
        </w:rPr>
        <w:t>投标文件全部采用电子文档，投标文件所附</w:t>
      </w:r>
      <w:r>
        <w:rPr>
          <w:rFonts w:hint="eastAsia" w:ascii="宋体" w:hAnsi="宋体" w:eastAsia="宋体" w:cs="宋体"/>
          <w:color w:val="auto"/>
          <w:spacing w:val="-4"/>
          <w:sz w:val="24"/>
          <w:szCs w:val="24"/>
          <w:highlight w:val="none"/>
        </w:rPr>
        <w:t>证书证件均为原件扫描件，并</w:t>
      </w:r>
      <w:r>
        <w:rPr>
          <w:rFonts w:hint="eastAsia" w:ascii="宋体" w:hAnsi="宋体" w:eastAsia="宋体" w:cs="宋体"/>
          <w:color w:val="auto"/>
          <w:spacing w:val="-1"/>
          <w:sz w:val="24"/>
          <w:szCs w:val="24"/>
          <w:highlight w:val="none"/>
        </w:rPr>
        <w:t>采用单位数字证书，按招标文件要求在相应位置加盖电子印章。</w:t>
      </w:r>
      <w:r>
        <w:rPr>
          <w:rFonts w:hint="eastAsia" w:ascii="宋体" w:hAnsi="宋体" w:eastAsia="宋体" w:cs="宋体"/>
          <w:color w:val="auto"/>
          <w:spacing w:val="-2"/>
          <w:sz w:val="24"/>
          <w:szCs w:val="24"/>
          <w:highlight w:val="none"/>
        </w:rPr>
        <w:t>投标文件中需个人签</w:t>
      </w:r>
      <w:r>
        <w:rPr>
          <w:rFonts w:hint="eastAsia" w:ascii="宋体" w:hAnsi="宋体" w:eastAsia="宋体" w:cs="宋体"/>
          <w:color w:val="auto"/>
          <w:spacing w:val="-1"/>
          <w:sz w:val="24"/>
          <w:szCs w:val="24"/>
          <w:highlight w:val="none"/>
        </w:rPr>
        <w:t>字或盖章的，应加盖个人电子印章或在线下完成后扫描上传。按</w:t>
      </w:r>
      <w:r>
        <w:rPr>
          <w:rFonts w:hint="eastAsia" w:ascii="宋体" w:hAnsi="宋体" w:eastAsia="宋体" w:cs="宋体"/>
          <w:color w:val="auto"/>
          <w:spacing w:val="-2"/>
          <w:sz w:val="24"/>
          <w:szCs w:val="24"/>
          <w:highlight w:val="none"/>
        </w:rPr>
        <w:t>照交易平台关于全流</w:t>
      </w:r>
      <w:r>
        <w:rPr>
          <w:rFonts w:hint="eastAsia" w:ascii="宋体" w:hAnsi="宋体" w:eastAsia="宋体" w:cs="宋体"/>
          <w:color w:val="auto"/>
          <w:spacing w:val="-7"/>
          <w:sz w:val="24"/>
          <w:szCs w:val="24"/>
          <w:highlight w:val="none"/>
        </w:rPr>
        <w:t>程电子化项目的相关指南进行操作。详见：全国公共资源</w:t>
      </w:r>
      <w:r>
        <w:rPr>
          <w:rFonts w:hint="eastAsia" w:ascii="宋体" w:hAnsi="宋体" w:eastAsia="宋体" w:cs="宋体"/>
          <w:color w:val="auto"/>
          <w:spacing w:val="-8"/>
          <w:sz w:val="24"/>
          <w:szCs w:val="24"/>
          <w:highlight w:val="none"/>
        </w:rPr>
        <w:t>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8"/>
          <w:sz w:val="24"/>
          <w:szCs w:val="24"/>
          <w:highlight w:val="none"/>
        </w:rPr>
        <w:t>·韶关市）</w:t>
      </w:r>
      <w:r>
        <w:rPr>
          <w:rFonts w:hint="eastAsia" w:ascii="宋体" w:hAnsi="宋体" w:eastAsia="宋体" w:cs="宋体"/>
          <w:color w:val="auto"/>
          <w:spacing w:val="-2"/>
          <w:sz w:val="24"/>
          <w:szCs w:val="24"/>
          <w:highlight w:val="none"/>
        </w:rPr>
        <w:t>交易指引。</w:t>
      </w:r>
    </w:p>
    <w:p w14:paraId="135989B5">
      <w:pPr>
        <w:spacing w:before="1" w:line="219" w:lineRule="auto"/>
        <w:ind w:left="57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10.1.3  </w:t>
      </w:r>
      <w:r>
        <w:rPr>
          <w:rFonts w:hint="eastAsia" w:ascii="宋体" w:hAnsi="宋体" w:eastAsia="宋体" w:cs="宋体"/>
          <w:color w:val="auto"/>
          <w:spacing w:val="-1"/>
          <w:sz w:val="24"/>
          <w:szCs w:val="24"/>
          <w:highlight w:val="none"/>
        </w:rPr>
        <w:t>投标文件需按以下要求签字、盖章：电子投标文件：</w:t>
      </w:r>
    </w:p>
    <w:p w14:paraId="6D55C98B">
      <w:pPr>
        <w:spacing w:before="111" w:line="279" w:lineRule="auto"/>
        <w:ind w:right="133" w:firstLine="579"/>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10.1.3.1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投标文件封面、组成</w:t>
      </w:r>
      <w:r>
        <w:rPr>
          <w:rFonts w:hint="eastAsia" w:ascii="宋体" w:hAnsi="宋体" w:eastAsia="宋体" w:cs="宋体"/>
          <w:color w:val="auto"/>
          <w:spacing w:val="-3"/>
          <w:sz w:val="24"/>
          <w:szCs w:val="24"/>
          <w:highlight w:val="none"/>
        </w:rPr>
        <w:t>内容中凡注明“签字</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3"/>
          <w:sz w:val="24"/>
          <w:szCs w:val="24"/>
          <w:highlight w:val="none"/>
        </w:rPr>
        <w:t>”处由要求的人员签字或电子</w:t>
      </w:r>
      <w:r>
        <w:rPr>
          <w:rFonts w:hint="eastAsia" w:ascii="宋体" w:hAnsi="宋体" w:eastAsia="宋体" w:cs="宋体"/>
          <w:color w:val="auto"/>
          <w:spacing w:val="-2"/>
          <w:sz w:val="24"/>
          <w:szCs w:val="24"/>
          <w:highlight w:val="none"/>
        </w:rPr>
        <w:t>签章；凡注明“签字或盖章</w:t>
      </w:r>
      <w:r>
        <w:rPr>
          <w:rFonts w:hint="eastAsia" w:ascii="宋体" w:hAnsi="宋体" w:eastAsia="宋体" w:cs="宋体"/>
          <w:color w:val="auto"/>
          <w:spacing w:val="-87"/>
          <w:sz w:val="24"/>
          <w:szCs w:val="24"/>
          <w:highlight w:val="none"/>
        </w:rPr>
        <w:t xml:space="preserve"> </w:t>
      </w:r>
      <w:r>
        <w:rPr>
          <w:rFonts w:hint="eastAsia" w:ascii="宋体" w:hAnsi="宋体" w:eastAsia="宋体" w:cs="宋体"/>
          <w:color w:val="auto"/>
          <w:spacing w:val="-2"/>
          <w:sz w:val="24"/>
          <w:szCs w:val="24"/>
          <w:highlight w:val="none"/>
        </w:rPr>
        <w:t>”处由要求的人员签字或盖其私章（</w:t>
      </w:r>
      <w:r>
        <w:rPr>
          <w:rFonts w:hint="eastAsia" w:ascii="宋体" w:hAnsi="宋体" w:eastAsia="宋体" w:cs="宋体"/>
          <w:color w:val="auto"/>
          <w:spacing w:val="-2"/>
          <w:sz w:val="24"/>
          <w:szCs w:val="24"/>
          <w:highlight w:val="none"/>
          <w:lang w:val="en-US" w:eastAsia="zh-CN"/>
        </w:rPr>
        <w:t>含</w:t>
      </w:r>
      <w:r>
        <w:rPr>
          <w:rFonts w:hint="eastAsia" w:ascii="宋体" w:hAnsi="宋体" w:eastAsia="宋体" w:cs="宋体"/>
          <w:color w:val="auto"/>
          <w:spacing w:val="-2"/>
          <w:sz w:val="24"/>
          <w:szCs w:val="24"/>
          <w:highlight w:val="none"/>
        </w:rPr>
        <w:t>电子印章</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rPr>
        <w:t>凡注明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“签字并盖执业印章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”处由要求的人员签字并盖其执业印</w:t>
      </w:r>
      <w:r>
        <w:rPr>
          <w:rFonts w:hint="eastAsia" w:ascii="宋体" w:hAnsi="宋体" w:eastAsia="宋体" w:cs="宋体"/>
          <w:color w:val="auto"/>
          <w:spacing w:val="-2"/>
          <w:sz w:val="24"/>
          <w:szCs w:val="24"/>
          <w:highlight w:val="none"/>
        </w:rPr>
        <w:t>章。</w:t>
      </w:r>
    </w:p>
    <w:p w14:paraId="473A472D">
      <w:pPr>
        <w:spacing w:before="112" w:line="264" w:lineRule="auto"/>
        <w:ind w:left="13" w:right="133" w:firstLine="565"/>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10.1.3.2</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投标文件封面、组成内容中凡要求录入投标人名称且注明“盖单</w:t>
      </w:r>
      <w:r>
        <w:rPr>
          <w:rFonts w:hint="eastAsia" w:ascii="宋体" w:hAnsi="宋体" w:eastAsia="宋体" w:cs="宋体"/>
          <w:color w:val="auto"/>
          <w:spacing w:val="-3"/>
          <w:sz w:val="24"/>
          <w:szCs w:val="24"/>
          <w:highlight w:val="none"/>
        </w:rPr>
        <w:t>位章</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3"/>
          <w:sz w:val="24"/>
          <w:szCs w:val="24"/>
          <w:highlight w:val="none"/>
        </w:rPr>
        <w:t>”处盖单位法人公章（</w:t>
      </w:r>
      <w:r>
        <w:rPr>
          <w:rFonts w:hint="eastAsia" w:ascii="宋体" w:hAnsi="宋体" w:eastAsia="宋体" w:cs="宋体"/>
          <w:color w:val="auto"/>
          <w:spacing w:val="-3"/>
          <w:sz w:val="24"/>
          <w:szCs w:val="24"/>
          <w:highlight w:val="none"/>
          <w:lang w:val="en-US" w:eastAsia="zh-CN"/>
        </w:rPr>
        <w:t>含</w:t>
      </w:r>
      <w:r>
        <w:rPr>
          <w:rFonts w:hint="eastAsia" w:ascii="宋体" w:hAnsi="宋体" w:eastAsia="宋体" w:cs="宋体"/>
          <w:color w:val="auto"/>
          <w:spacing w:val="-3"/>
          <w:sz w:val="24"/>
          <w:szCs w:val="24"/>
          <w:highlight w:val="none"/>
        </w:rPr>
        <w:t>电子印章）。</w:t>
      </w:r>
    </w:p>
    <w:p w14:paraId="32E73C11">
      <w:pPr>
        <w:spacing w:before="146" w:line="279" w:lineRule="auto"/>
        <w:ind w:left="16" w:right="135" w:firstLine="562"/>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10.1.3.3</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投标文件的签字均为签字人本人亲笔署名或签章</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lang w:val="en-US" w:eastAsia="zh-CN"/>
        </w:rPr>
        <w:t>含</w:t>
      </w:r>
      <w:r>
        <w:rPr>
          <w:rFonts w:hint="eastAsia" w:ascii="宋体" w:hAnsi="宋体" w:eastAsia="宋体" w:cs="宋体"/>
          <w:color w:val="auto"/>
          <w:spacing w:val="-2"/>
          <w:sz w:val="24"/>
          <w:szCs w:val="24"/>
          <w:highlight w:val="none"/>
        </w:rPr>
        <w:t>电子印章</w:t>
      </w:r>
      <w:r>
        <w:rPr>
          <w:rFonts w:hint="eastAsia" w:ascii="宋体" w:hAnsi="宋体" w:eastAsia="宋体" w:cs="宋体"/>
          <w:color w:val="auto"/>
          <w:spacing w:val="-14"/>
          <w:sz w:val="24"/>
          <w:szCs w:val="24"/>
          <w:highlight w:val="none"/>
        </w:rPr>
        <w:t>），</w:t>
      </w:r>
      <w:r>
        <w:rPr>
          <w:rFonts w:hint="eastAsia" w:ascii="宋体" w:hAnsi="宋体" w:eastAsia="宋体" w:cs="宋体"/>
          <w:color w:val="auto"/>
          <w:spacing w:val="-2"/>
          <w:sz w:val="24"/>
          <w:szCs w:val="24"/>
          <w:highlight w:val="none"/>
        </w:rPr>
        <w:t>其余部</w:t>
      </w:r>
      <w:r>
        <w:rPr>
          <w:rFonts w:hint="eastAsia" w:ascii="宋体" w:hAnsi="宋体" w:eastAsia="宋体" w:cs="宋体"/>
          <w:color w:val="auto"/>
          <w:spacing w:val="-1"/>
          <w:sz w:val="24"/>
          <w:szCs w:val="24"/>
          <w:highlight w:val="none"/>
        </w:rPr>
        <w:t>分的复印件无须另行签字、盖章。</w:t>
      </w:r>
    </w:p>
    <w:p w14:paraId="055AAC6C">
      <w:pPr>
        <w:spacing w:before="155" w:line="219" w:lineRule="auto"/>
        <w:ind w:left="0" w:leftChars="0" w:firstLine="474" w:firstLineChars="200"/>
        <w:outlineLvl w:val="3"/>
        <w:rPr>
          <w:rFonts w:hint="eastAsia" w:ascii="宋体" w:hAnsi="宋体" w:eastAsia="宋体" w:cs="宋体"/>
          <w:b w:val="0"/>
          <w:bCs w:val="0"/>
          <w:color w:val="auto"/>
          <w:spacing w:val="-2"/>
          <w:sz w:val="24"/>
          <w:szCs w:val="24"/>
          <w:highlight w:val="none"/>
        </w:rPr>
      </w:pPr>
      <w:bookmarkStart w:id="46" w:name="_Toc20223"/>
      <w:bookmarkStart w:id="47" w:name="_Toc21271"/>
      <w:r>
        <w:rPr>
          <w:rFonts w:hint="eastAsia" w:ascii="宋体" w:hAnsi="宋体" w:eastAsia="宋体" w:cs="宋体"/>
          <w:b/>
          <w:bCs/>
          <w:color w:val="auto"/>
          <w:spacing w:val="-2"/>
          <w:sz w:val="24"/>
          <w:szCs w:val="24"/>
          <w:highlight w:val="none"/>
        </w:rPr>
        <w:t xml:space="preserve">10.1.3.4 </w:t>
      </w:r>
      <w:r>
        <w:rPr>
          <w:rFonts w:hint="eastAsia" w:ascii="宋体" w:hAnsi="宋体" w:eastAsia="宋体" w:cs="宋体"/>
          <w:color w:val="auto"/>
          <w:spacing w:val="-3"/>
          <w:sz w:val="24"/>
          <w:szCs w:val="24"/>
          <w:highlight w:val="none"/>
        </w:rPr>
        <w:t>联合体投标的，除《联合体协议书》外，由联合体牵头人按以上要求签亲笔署名或签章（</w:t>
      </w:r>
      <w:r>
        <w:rPr>
          <w:rFonts w:hint="eastAsia" w:ascii="宋体" w:hAnsi="宋体" w:eastAsia="宋体" w:cs="宋体"/>
          <w:color w:val="auto"/>
          <w:spacing w:val="-3"/>
          <w:sz w:val="24"/>
          <w:szCs w:val="24"/>
          <w:highlight w:val="none"/>
          <w:lang w:val="en-US" w:eastAsia="zh-CN"/>
        </w:rPr>
        <w:t>含</w:t>
      </w:r>
      <w:r>
        <w:rPr>
          <w:rFonts w:hint="eastAsia" w:ascii="宋体" w:hAnsi="宋体" w:eastAsia="宋体" w:cs="宋体"/>
          <w:color w:val="auto"/>
          <w:spacing w:val="-3"/>
          <w:sz w:val="24"/>
          <w:szCs w:val="24"/>
          <w:highlight w:val="none"/>
        </w:rPr>
        <w:t>电子印章）即可。</w:t>
      </w:r>
    </w:p>
    <w:p w14:paraId="5706CB54">
      <w:pPr>
        <w:spacing w:before="155" w:line="219" w:lineRule="auto"/>
        <w:ind w:left="500"/>
        <w:outlineLvl w:val="3"/>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10.2  商务标书的编制要求</w:t>
      </w:r>
      <w:bookmarkEnd w:id="46"/>
      <w:bookmarkEnd w:id="47"/>
    </w:p>
    <w:p w14:paraId="0847AD50">
      <w:pPr>
        <w:spacing w:before="157" w:line="219" w:lineRule="auto"/>
        <w:ind w:left="581"/>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10.2.1 </w:t>
      </w:r>
      <w:r>
        <w:rPr>
          <w:rFonts w:hint="eastAsia" w:ascii="宋体" w:hAnsi="宋体" w:eastAsia="宋体" w:cs="宋体"/>
          <w:color w:val="auto"/>
          <w:spacing w:val="-1"/>
          <w:sz w:val="24"/>
          <w:szCs w:val="24"/>
          <w:highlight w:val="none"/>
        </w:rPr>
        <w:t>商务标书包括但不限于以下内容：</w:t>
      </w:r>
    </w:p>
    <w:p w14:paraId="2C0FF6AB">
      <w:pPr>
        <w:spacing w:before="154"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45DA7D03">
      <w:pPr>
        <w:spacing w:before="153" w:line="222"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79EAE0F6">
      <w:pPr>
        <w:spacing w:before="153"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（3）《投标函》（格式二</w:t>
      </w:r>
      <w:r>
        <w:rPr>
          <w:rFonts w:hint="eastAsia" w:ascii="宋体" w:hAnsi="宋体" w:eastAsia="宋体" w:cs="宋体"/>
          <w:color w:val="auto"/>
          <w:spacing w:val="1"/>
          <w:sz w:val="24"/>
          <w:szCs w:val="24"/>
          <w:highlight w:val="none"/>
        </w:rPr>
        <w:t>）；</w:t>
      </w:r>
    </w:p>
    <w:p w14:paraId="5E865F50">
      <w:pPr>
        <w:spacing w:before="153"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（4）《各项承诺一览表》（格式三</w:t>
      </w:r>
      <w:r>
        <w:rPr>
          <w:rFonts w:hint="eastAsia" w:ascii="宋体" w:hAnsi="宋体" w:eastAsia="宋体" w:cs="宋体"/>
          <w:color w:val="auto"/>
          <w:spacing w:val="5"/>
          <w:sz w:val="24"/>
          <w:szCs w:val="24"/>
          <w:highlight w:val="none"/>
        </w:rPr>
        <w:t>）；</w:t>
      </w:r>
    </w:p>
    <w:p w14:paraId="06B1C47A">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（5）《授权委托书》（格式四</w:t>
      </w:r>
      <w:r>
        <w:rPr>
          <w:rFonts w:hint="eastAsia" w:ascii="宋体" w:hAnsi="宋体" w:eastAsia="宋体" w:cs="宋体"/>
          <w:color w:val="auto"/>
          <w:spacing w:val="3"/>
          <w:sz w:val="24"/>
          <w:szCs w:val="24"/>
          <w:highlight w:val="none"/>
        </w:rPr>
        <w:t>）；</w:t>
      </w:r>
    </w:p>
    <w:p w14:paraId="713C057A">
      <w:pPr>
        <w:spacing w:before="156"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（6）《法定代表人身份证明》（格式五</w:t>
      </w:r>
      <w:r>
        <w:rPr>
          <w:rFonts w:hint="eastAsia" w:ascii="宋体" w:hAnsi="宋体" w:eastAsia="宋体" w:cs="宋体"/>
          <w:color w:val="auto"/>
          <w:spacing w:val="7"/>
          <w:sz w:val="24"/>
          <w:szCs w:val="24"/>
          <w:highlight w:val="none"/>
        </w:rPr>
        <w:t>）；</w:t>
      </w:r>
    </w:p>
    <w:p w14:paraId="79BC68B7">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（7）《联合体协议书》（格式六）及所附资料；</w:t>
      </w:r>
    </w:p>
    <w:p w14:paraId="245B17FD">
      <w:pPr>
        <w:spacing w:before="153" w:line="309" w:lineRule="auto"/>
        <w:ind w:left="13" w:right="133"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（8）投标保证缴纳证明（投标人采用投标保证金的，附建</w:t>
      </w:r>
      <w:r>
        <w:rPr>
          <w:rFonts w:hint="eastAsia" w:ascii="宋体" w:hAnsi="宋体" w:eastAsia="宋体" w:cs="宋体"/>
          <w:color w:val="auto"/>
          <w:spacing w:val="1"/>
          <w:sz w:val="24"/>
          <w:szCs w:val="24"/>
          <w:highlight w:val="none"/>
        </w:rPr>
        <w:t>设工程交易系统《缴</w:t>
      </w:r>
      <w:r>
        <w:rPr>
          <w:rFonts w:hint="eastAsia" w:ascii="宋体" w:hAnsi="宋体" w:eastAsia="宋体" w:cs="宋体"/>
          <w:color w:val="auto"/>
          <w:spacing w:val="-1"/>
          <w:sz w:val="24"/>
          <w:szCs w:val="24"/>
          <w:highlight w:val="none"/>
        </w:rPr>
        <w:t>纳投标保证金通知书》页面截图和银行转账单彩色扫描件；采</w:t>
      </w:r>
      <w:r>
        <w:rPr>
          <w:rFonts w:hint="eastAsia" w:ascii="宋体" w:hAnsi="宋体" w:eastAsia="宋体" w:cs="宋体"/>
          <w:color w:val="auto"/>
          <w:spacing w:val="-2"/>
          <w:sz w:val="24"/>
          <w:szCs w:val="24"/>
          <w:highlight w:val="none"/>
        </w:rPr>
        <w:t>用投标保证担保的，附银行保函彩色扫描件；采用投标保证保险的，附电子保单和</w:t>
      </w:r>
      <w:r>
        <w:rPr>
          <w:rFonts w:hint="eastAsia" w:ascii="宋体" w:hAnsi="宋体" w:eastAsia="宋体" w:cs="宋体"/>
          <w:b w:val="0"/>
          <w:bCs w:val="0"/>
          <w:color w:val="auto"/>
          <w:spacing w:val="-2"/>
          <w:sz w:val="24"/>
          <w:szCs w:val="24"/>
          <w:highlight w:val="none"/>
        </w:rPr>
        <w:t>《韶关市公共资源交易一</w:t>
      </w:r>
      <w:r>
        <w:rPr>
          <w:rFonts w:hint="eastAsia" w:ascii="宋体" w:hAnsi="宋体" w:eastAsia="宋体" w:cs="宋体"/>
          <w:b w:val="0"/>
          <w:bCs w:val="0"/>
          <w:color w:val="auto"/>
          <w:spacing w:val="-3"/>
          <w:sz w:val="24"/>
          <w:szCs w:val="24"/>
          <w:highlight w:val="none"/>
        </w:rPr>
        <w:t>体化平台保证金缴纳信息》页面截图</w:t>
      </w:r>
      <w:r>
        <w:rPr>
          <w:rFonts w:hint="eastAsia" w:ascii="宋体" w:hAnsi="宋体" w:eastAsia="宋体" w:cs="宋体"/>
          <w:color w:val="auto"/>
          <w:spacing w:val="4"/>
          <w:sz w:val="24"/>
          <w:szCs w:val="24"/>
          <w:highlight w:val="none"/>
        </w:rPr>
        <w:t>）；</w:t>
      </w:r>
    </w:p>
    <w:p w14:paraId="649A8EF7">
      <w:pPr>
        <w:spacing w:before="156"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（9）《投标人基本情况表》（格式七）及所附资料；</w:t>
      </w:r>
    </w:p>
    <w:p w14:paraId="3C8F4D73">
      <w:pPr>
        <w:spacing w:before="155"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（10）《项目经理简历表》（格式八）及所附资料；</w:t>
      </w:r>
    </w:p>
    <w:p w14:paraId="03D91F84">
      <w:pPr>
        <w:spacing w:before="154"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（11）《项目经理任职声明》（格式九</w:t>
      </w:r>
      <w:r>
        <w:rPr>
          <w:rFonts w:hint="eastAsia" w:ascii="宋体" w:hAnsi="宋体" w:eastAsia="宋体" w:cs="宋体"/>
          <w:color w:val="auto"/>
          <w:spacing w:val="7"/>
          <w:sz w:val="24"/>
          <w:szCs w:val="24"/>
          <w:highlight w:val="none"/>
        </w:rPr>
        <w:t>）；</w:t>
      </w:r>
    </w:p>
    <w:p w14:paraId="3D80F00F">
      <w:pPr>
        <w:spacing w:before="156"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（12）《项目技术负责人简历表》（格式十）及所附资料；</w:t>
      </w:r>
    </w:p>
    <w:p w14:paraId="3AA05384">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（13）《项</w:t>
      </w:r>
      <w:bookmarkStart w:id="48" w:name="OLE_LINK7"/>
      <w:r>
        <w:rPr>
          <w:rFonts w:hint="eastAsia" w:ascii="宋体" w:hAnsi="宋体" w:eastAsia="宋体" w:cs="宋体"/>
          <w:color w:val="auto"/>
          <w:spacing w:val="-1"/>
          <w:sz w:val="24"/>
          <w:szCs w:val="24"/>
          <w:highlight w:val="none"/>
        </w:rPr>
        <w:t>目管理机构组成表》（格式十一）及</w:t>
      </w:r>
      <w:bookmarkEnd w:id="48"/>
      <w:r>
        <w:rPr>
          <w:rFonts w:hint="eastAsia" w:ascii="宋体" w:hAnsi="宋体" w:eastAsia="宋体" w:cs="宋体"/>
          <w:color w:val="auto"/>
          <w:spacing w:val="-1"/>
          <w:sz w:val="24"/>
          <w:szCs w:val="24"/>
          <w:highlight w:val="none"/>
        </w:rPr>
        <w:t>所附资料；</w:t>
      </w:r>
    </w:p>
    <w:p w14:paraId="6EA23977">
      <w:pPr>
        <w:spacing w:before="155"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（14）本节第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4"/>
          <w:sz w:val="24"/>
          <w:szCs w:val="24"/>
          <w:highlight w:val="none"/>
        </w:rPr>
        <w:t>15.5.1</w:t>
      </w:r>
      <w:r>
        <w:rPr>
          <w:rFonts w:hint="eastAsia" w:ascii="宋体" w:hAnsi="宋体" w:eastAsia="宋体" w:cs="宋体"/>
          <w:color w:val="auto"/>
          <w:spacing w:val="-4"/>
          <w:sz w:val="24"/>
          <w:szCs w:val="24"/>
          <w:highlight w:val="none"/>
        </w:rPr>
        <w:t>目“评标方法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”要求提供的</w:t>
      </w:r>
      <w:r>
        <w:rPr>
          <w:rFonts w:hint="eastAsia" w:ascii="宋体" w:hAnsi="宋体" w:eastAsia="宋体" w:cs="宋体"/>
          <w:color w:val="auto"/>
          <w:spacing w:val="-5"/>
          <w:sz w:val="24"/>
          <w:szCs w:val="24"/>
          <w:highlight w:val="none"/>
        </w:rPr>
        <w:t>评审资料；</w:t>
      </w:r>
    </w:p>
    <w:p w14:paraId="32F3CFF6">
      <w:pPr>
        <w:spacing w:before="78" w:line="299" w:lineRule="auto"/>
        <w:ind w:left="8" w:right="61" w:firstLine="49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（15）投标人认为有必要补充的其他资料。（例如投标人已经工商变更，但其企</w:t>
      </w:r>
      <w:r>
        <w:rPr>
          <w:rFonts w:hint="eastAsia" w:ascii="宋体" w:hAnsi="宋体" w:eastAsia="宋体" w:cs="宋体"/>
          <w:color w:val="auto"/>
          <w:spacing w:val="-1"/>
          <w:sz w:val="24"/>
          <w:szCs w:val="24"/>
          <w:highlight w:val="none"/>
        </w:rPr>
        <w:t>业资质证书、安全生产许可证或其员工执业资格注册证书上的企</w:t>
      </w:r>
      <w:r>
        <w:rPr>
          <w:rFonts w:hint="eastAsia" w:ascii="宋体" w:hAnsi="宋体" w:eastAsia="宋体" w:cs="宋体"/>
          <w:color w:val="auto"/>
          <w:spacing w:val="-2"/>
          <w:sz w:val="24"/>
          <w:szCs w:val="24"/>
          <w:highlight w:val="none"/>
        </w:rPr>
        <w:t>业名称未能在投标期</w:t>
      </w:r>
      <w:r>
        <w:rPr>
          <w:rFonts w:hint="eastAsia" w:ascii="宋体" w:hAnsi="宋体" w:eastAsia="宋体" w:cs="宋体"/>
          <w:color w:val="auto"/>
          <w:spacing w:val="-1"/>
          <w:sz w:val="24"/>
          <w:szCs w:val="24"/>
          <w:highlight w:val="none"/>
        </w:rPr>
        <w:t>间完成变更的书面说明和佐证材料等）</w:t>
      </w:r>
    </w:p>
    <w:p w14:paraId="135CEBB7">
      <w:pPr>
        <w:spacing w:before="155" w:line="262" w:lineRule="auto"/>
        <w:ind w:left="9" w:right="61" w:firstLine="48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10.2.2  </w:t>
      </w:r>
      <w:r>
        <w:rPr>
          <w:rFonts w:hint="eastAsia" w:ascii="宋体" w:hAnsi="宋体" w:eastAsia="宋体" w:cs="宋体"/>
          <w:color w:val="auto"/>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z w:val="24"/>
          <w:szCs w:val="24"/>
          <w:highlight w:val="none"/>
        </w:rPr>
        <w:t>10.2.1</w:t>
      </w:r>
      <w:r>
        <w:rPr>
          <w:rFonts w:hint="eastAsia" w:ascii="宋体" w:hAnsi="宋体" w:eastAsia="宋体" w:cs="宋体"/>
          <w:color w:val="auto"/>
          <w:sz w:val="24"/>
          <w:szCs w:val="24"/>
          <w:highlight w:val="none"/>
        </w:rPr>
        <w:t>目中所列出的商务标书组成内容中，第（</w:t>
      </w:r>
      <w:r>
        <w:rPr>
          <w:rFonts w:hint="eastAsia" w:ascii="宋体" w:hAnsi="宋体" w:eastAsia="宋体" w:cs="宋体"/>
          <w:color w:val="auto"/>
          <w:spacing w:val="-1"/>
          <w:sz w:val="24"/>
          <w:szCs w:val="24"/>
          <w:highlight w:val="none"/>
        </w:rPr>
        <w:t>1）至第（13）项</w:t>
      </w:r>
      <w:r>
        <w:rPr>
          <w:rFonts w:hint="eastAsia" w:ascii="宋体" w:hAnsi="宋体" w:eastAsia="宋体" w:cs="宋体"/>
          <w:color w:val="auto"/>
          <w:sz w:val="24"/>
          <w:szCs w:val="24"/>
          <w:highlight w:val="none"/>
        </w:rPr>
        <w:t>所有投标人均应提供，</w:t>
      </w:r>
      <w:r>
        <w:rPr>
          <w:rFonts w:hint="eastAsia" w:ascii="宋体" w:hAnsi="宋体" w:eastAsia="宋体" w:cs="宋体"/>
          <w:b w:val="0"/>
          <w:bCs w:val="0"/>
          <w:color w:val="auto"/>
          <w:sz w:val="24"/>
          <w:szCs w:val="24"/>
          <w:highlight w:val="none"/>
        </w:rPr>
        <w:t>但非联合体投标的，</w:t>
      </w:r>
      <w:r>
        <w:rPr>
          <w:rFonts w:hint="eastAsia" w:ascii="宋体" w:hAnsi="宋体" w:eastAsia="宋体" w:cs="宋体"/>
          <w:b w:val="0"/>
          <w:bCs w:val="0"/>
          <w:color w:val="auto"/>
          <w:spacing w:val="-1"/>
          <w:sz w:val="24"/>
          <w:szCs w:val="24"/>
          <w:highlight w:val="none"/>
        </w:rPr>
        <w:t>无需提供第（7）项内容。</w:t>
      </w:r>
    </w:p>
    <w:p w14:paraId="3ED677FA">
      <w:pPr>
        <w:spacing w:before="199" w:line="279" w:lineRule="auto"/>
        <w:ind w:right="61"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10.2.3 </w:t>
      </w:r>
      <w:r>
        <w:rPr>
          <w:rFonts w:hint="eastAsia" w:ascii="宋体" w:hAnsi="宋体" w:eastAsia="宋体" w:cs="宋体"/>
          <w:color w:val="auto"/>
          <w:spacing w:val="-8"/>
          <w:sz w:val="24"/>
          <w:szCs w:val="24"/>
          <w:highlight w:val="none"/>
        </w:rPr>
        <w:t>商务标书的组成内容按本节第 10.2.1 目规定的顺序整理、编排后，逐页（页</w:t>
      </w:r>
      <w:r>
        <w:rPr>
          <w:rFonts w:hint="eastAsia" w:ascii="宋体" w:hAnsi="宋体" w:eastAsia="宋体" w:cs="宋体"/>
          <w:color w:val="auto"/>
          <w:spacing w:val="-1"/>
          <w:sz w:val="24"/>
          <w:szCs w:val="24"/>
          <w:highlight w:val="none"/>
        </w:rPr>
        <w:t>码起始从封面开始）连续标记页码。</w:t>
      </w:r>
    </w:p>
    <w:p w14:paraId="5DB0269B">
      <w:pPr>
        <w:pStyle w:val="5"/>
        <w:spacing w:line="257" w:lineRule="auto"/>
        <w:rPr>
          <w:rFonts w:hint="eastAsia" w:ascii="宋体" w:hAnsi="宋体" w:eastAsia="宋体" w:cs="宋体"/>
          <w:color w:val="auto"/>
          <w:highlight w:val="none"/>
        </w:rPr>
      </w:pPr>
    </w:p>
    <w:p w14:paraId="369E1BE6">
      <w:pPr>
        <w:spacing w:before="78" w:line="219" w:lineRule="auto"/>
        <w:ind w:left="496"/>
        <w:outlineLvl w:val="3"/>
        <w:rPr>
          <w:rFonts w:hint="eastAsia" w:ascii="宋体" w:hAnsi="宋体" w:eastAsia="宋体" w:cs="宋体"/>
          <w:b/>
          <w:bCs/>
          <w:color w:val="auto"/>
          <w:sz w:val="24"/>
          <w:szCs w:val="24"/>
          <w:highlight w:val="none"/>
        </w:rPr>
      </w:pPr>
      <w:bookmarkStart w:id="49" w:name="_Toc10602"/>
      <w:bookmarkStart w:id="50" w:name="_Toc29370"/>
      <w:r>
        <w:rPr>
          <w:rFonts w:hint="eastAsia" w:ascii="宋体" w:hAnsi="宋体" w:eastAsia="宋体" w:cs="宋体"/>
          <w:b/>
          <w:bCs/>
          <w:color w:val="auto"/>
          <w:spacing w:val="-2"/>
          <w:sz w:val="24"/>
          <w:szCs w:val="24"/>
          <w:highlight w:val="none"/>
        </w:rPr>
        <w:t>10.3  经济标书的编制要求</w:t>
      </w:r>
      <w:bookmarkEnd w:id="49"/>
      <w:bookmarkEnd w:id="50"/>
    </w:p>
    <w:p w14:paraId="01CC79CB">
      <w:pPr>
        <w:spacing w:before="154"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10.3.1  </w:t>
      </w:r>
      <w:r>
        <w:rPr>
          <w:rFonts w:hint="eastAsia" w:ascii="宋体" w:hAnsi="宋体" w:eastAsia="宋体" w:cs="宋体"/>
          <w:color w:val="auto"/>
          <w:spacing w:val="-1"/>
          <w:sz w:val="24"/>
          <w:szCs w:val="24"/>
          <w:highlight w:val="none"/>
        </w:rPr>
        <w:t>经济标书包括以下内容：</w:t>
      </w:r>
    </w:p>
    <w:p w14:paraId="7FC06F2F">
      <w:pPr>
        <w:spacing w:before="156"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55427435">
      <w:pPr>
        <w:spacing w:before="153" w:line="222"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1BCC1086">
      <w:pPr>
        <w:spacing w:before="150"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（3）《投标总价》(即表B.3.1)；</w:t>
      </w:r>
    </w:p>
    <w:p w14:paraId="7E5F304F">
      <w:pPr>
        <w:spacing w:before="157" w:line="219" w:lineRule="auto"/>
        <w:ind w:left="12"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说明：《投标总价》的格式按照《建设工程工程量</w:t>
      </w:r>
      <w:r>
        <w:rPr>
          <w:rFonts w:hint="eastAsia" w:ascii="宋体" w:hAnsi="宋体" w:eastAsia="宋体" w:cs="宋体"/>
          <w:color w:val="auto"/>
          <w:spacing w:val="-1"/>
          <w:sz w:val="24"/>
          <w:szCs w:val="24"/>
          <w:highlight w:val="none"/>
        </w:rPr>
        <w:t>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1"/>
          <w:sz w:val="24"/>
          <w:szCs w:val="24"/>
          <w:highlight w:val="none"/>
        </w:rPr>
        <w:t>）执行，并应满足以下要求：</w:t>
      </w:r>
    </w:p>
    <w:p w14:paraId="0BE538A2">
      <w:pPr>
        <w:spacing w:before="150" w:line="309" w:lineRule="auto"/>
        <w:ind w:left="8"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a</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color w:val="auto"/>
          <w:spacing w:val="-2"/>
          <w:sz w:val="24"/>
          <w:szCs w:val="24"/>
          <w:highlight w:val="none"/>
        </w:rPr>
        <w:t>．《投标总价扉页》(即表</w:t>
      </w:r>
      <w:r>
        <w:rPr>
          <w:rFonts w:hint="eastAsia" w:ascii="宋体" w:hAnsi="宋体" w:eastAsia="宋体" w:cs="宋体"/>
          <w:color w:val="auto"/>
          <w:spacing w:val="-2"/>
          <w:sz w:val="24"/>
          <w:szCs w:val="24"/>
          <w:highlight w:val="none"/>
          <w:lang w:val="en-US" w:eastAsia="zh-CN"/>
        </w:rPr>
        <w:t>C</w:t>
      </w:r>
      <w:r>
        <w:rPr>
          <w:rFonts w:hint="eastAsia" w:ascii="宋体" w:hAnsi="宋体" w:eastAsia="宋体" w:cs="宋体"/>
          <w:color w:val="auto"/>
          <w:spacing w:val="-2"/>
          <w:sz w:val="24"/>
          <w:szCs w:val="24"/>
          <w:highlight w:val="none"/>
        </w:rPr>
        <w:t>.3.1)后应附编制人的造价工程师注册证书彩色扫描件（须扫描至变更注册栏，</w:t>
      </w:r>
      <w:r>
        <w:rPr>
          <w:rFonts w:hint="eastAsia" w:ascii="宋体" w:hAnsi="宋体" w:eastAsia="宋体" w:cs="宋体"/>
          <w:b w:val="0"/>
          <w:bCs w:val="0"/>
          <w:color w:val="auto"/>
          <w:spacing w:val="-2"/>
          <w:sz w:val="24"/>
          <w:szCs w:val="24"/>
          <w:highlight w:val="none"/>
        </w:rPr>
        <w:t>一级造价师或二级造价师均可提供电子证书</w:t>
      </w:r>
      <w:r>
        <w:rPr>
          <w:rFonts w:hint="eastAsia" w:ascii="宋体" w:hAnsi="宋体" w:eastAsia="宋体" w:cs="宋体"/>
          <w:color w:val="auto"/>
          <w:spacing w:val="-2"/>
          <w:sz w:val="24"/>
          <w:szCs w:val="24"/>
          <w:highlight w:val="none"/>
        </w:rPr>
        <w:t>）；投标人委托造价咨询单位编制《投标总价》的，在该扉页“投标人 ”栏目加盖造价</w:t>
      </w:r>
      <w:r>
        <w:rPr>
          <w:rFonts w:hint="eastAsia" w:ascii="宋体" w:hAnsi="宋体" w:eastAsia="宋体" w:cs="宋体"/>
          <w:color w:val="auto"/>
          <w:spacing w:val="-7"/>
          <w:sz w:val="24"/>
          <w:szCs w:val="24"/>
          <w:highlight w:val="none"/>
        </w:rPr>
        <w:t>咨询人公章，</w:t>
      </w:r>
      <w:r>
        <w:rPr>
          <w:rFonts w:hint="eastAsia" w:ascii="宋体" w:hAnsi="宋体" w:eastAsia="宋体" w:cs="宋体"/>
          <w:color w:val="auto"/>
          <w:spacing w:val="-1"/>
          <w:sz w:val="24"/>
          <w:szCs w:val="24"/>
          <w:highlight w:val="none"/>
        </w:rPr>
        <w:t>并在该扉页后附造价咨询人的营业执照副本彩色扫描件。</w:t>
      </w:r>
    </w:p>
    <w:p w14:paraId="3AE0D661">
      <w:pPr>
        <w:spacing w:before="119" w:line="314" w:lineRule="auto"/>
        <w:ind w:left="10" w:right="61" w:firstLine="474"/>
        <w:rPr>
          <w:rFonts w:hint="eastAsia" w:ascii="宋体" w:hAnsi="宋体" w:eastAsia="宋体" w:cs="宋体"/>
          <w:b/>
          <w:bCs/>
          <w:color w:val="auto"/>
          <w:spacing w:val="2"/>
          <w:sz w:val="24"/>
          <w:szCs w:val="24"/>
          <w:highlight w:val="none"/>
          <w:lang w:val="en-US" w:eastAsia="zh-CN"/>
        </w:rPr>
      </w:pPr>
      <w:r>
        <w:rPr>
          <w:rFonts w:hint="eastAsia" w:ascii="宋体" w:hAnsi="宋体" w:eastAsia="宋体" w:cs="宋体"/>
          <w:b/>
          <w:bCs/>
          <w:color w:val="auto"/>
          <w:spacing w:val="2"/>
          <w:sz w:val="24"/>
          <w:szCs w:val="24"/>
          <w:highlight w:val="none"/>
        </w:rPr>
        <w:t xml:space="preserve">b.  </w:t>
      </w:r>
      <w:r>
        <w:rPr>
          <w:rFonts w:hint="eastAsia" w:ascii="宋体" w:hAnsi="宋体" w:eastAsia="宋体" w:cs="宋体"/>
          <w:b w:val="0"/>
          <w:bCs w:val="0"/>
          <w:color w:val="auto"/>
          <w:spacing w:val="2"/>
          <w:sz w:val="24"/>
          <w:szCs w:val="24"/>
          <w:highlight w:val="none"/>
        </w:rPr>
        <w:t>《投标报价填报说明》(即表D.2.1)中的填写内容除按照《建设工程工程量清单计价标准》(GB/T50500一2024)附录D工程计价说明D.2.1款执行外，尚应就造价软件的名称、版本、加密锁编号作出专项说明。</w:t>
      </w:r>
      <w:r>
        <w:rPr>
          <w:rFonts w:hint="eastAsia" w:ascii="宋体" w:hAnsi="宋体" w:eastAsia="宋体" w:cs="宋体"/>
          <w:b w:val="0"/>
          <w:bCs w:val="0"/>
          <w:color w:val="auto"/>
          <w:spacing w:val="2"/>
          <w:sz w:val="24"/>
          <w:szCs w:val="24"/>
          <w:highlight w:val="none"/>
          <w:lang w:val="en-US" w:eastAsia="zh-CN"/>
        </w:rPr>
        <w:tab/>
      </w:r>
    </w:p>
    <w:p w14:paraId="4D45090D">
      <w:pPr>
        <w:spacing w:before="119" w:line="314" w:lineRule="auto"/>
        <w:ind w:left="10" w:right="61" w:firstLine="474"/>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4</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color w:val="auto"/>
          <w:spacing w:val="2"/>
          <w:sz w:val="24"/>
          <w:szCs w:val="24"/>
          <w:highlight w:val="none"/>
        </w:rPr>
        <w:t>投标人认为有必要补充的其他资料(例如关于投标报价低于招标项目的成本警示价的书面说明和佐证材料)</w:t>
      </w:r>
      <w:r>
        <w:rPr>
          <w:rFonts w:hint="eastAsia" w:ascii="宋体" w:hAnsi="宋体" w:eastAsia="宋体" w:cs="宋体"/>
          <w:color w:val="auto"/>
          <w:spacing w:val="-2"/>
          <w:sz w:val="24"/>
          <w:szCs w:val="24"/>
          <w:highlight w:val="none"/>
        </w:rPr>
        <w:t>。</w:t>
      </w:r>
    </w:p>
    <w:p w14:paraId="3337F8EA">
      <w:pPr>
        <w:spacing w:before="99" w:line="280" w:lineRule="auto"/>
        <w:ind w:left="10" w:right="63"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10.3.2  </w:t>
      </w:r>
      <w:r>
        <w:rPr>
          <w:rFonts w:hint="eastAsia" w:ascii="宋体" w:hAnsi="宋体" w:eastAsia="宋体" w:cs="宋体"/>
          <w:color w:val="auto"/>
          <w:spacing w:val="-3"/>
          <w:sz w:val="24"/>
          <w:szCs w:val="24"/>
          <w:highlight w:val="none"/>
        </w:rPr>
        <w:t>本节第</w:t>
      </w:r>
      <w:r>
        <w:rPr>
          <w:rFonts w:hint="eastAsia" w:ascii="宋体" w:hAnsi="宋体" w:eastAsia="宋体" w:cs="宋体"/>
          <w:color w:val="auto"/>
          <w:spacing w:val="-38"/>
          <w:sz w:val="24"/>
          <w:szCs w:val="24"/>
          <w:highlight w:val="none"/>
        </w:rPr>
        <w:t xml:space="preserve"> </w:t>
      </w:r>
      <w:r>
        <w:rPr>
          <w:rFonts w:hint="eastAsia" w:ascii="宋体" w:hAnsi="宋体" w:eastAsia="宋体" w:cs="宋体"/>
          <w:b/>
          <w:bCs/>
          <w:color w:val="auto"/>
          <w:spacing w:val="-3"/>
          <w:sz w:val="24"/>
          <w:szCs w:val="24"/>
          <w:highlight w:val="none"/>
        </w:rPr>
        <w:t>10.3.1</w:t>
      </w:r>
      <w:r>
        <w:rPr>
          <w:rFonts w:hint="eastAsia" w:ascii="宋体" w:hAnsi="宋体" w:eastAsia="宋体" w:cs="宋体"/>
          <w:color w:val="auto"/>
          <w:spacing w:val="-3"/>
          <w:sz w:val="24"/>
          <w:szCs w:val="24"/>
          <w:highlight w:val="none"/>
        </w:rPr>
        <w:t>目中所列出的经济标书组成内容中，第（1）至第（3）项所</w:t>
      </w:r>
      <w:r>
        <w:rPr>
          <w:rFonts w:hint="eastAsia" w:ascii="宋体" w:hAnsi="宋体" w:eastAsia="宋体" w:cs="宋体"/>
          <w:color w:val="auto"/>
          <w:spacing w:val="-2"/>
          <w:sz w:val="24"/>
          <w:szCs w:val="24"/>
          <w:highlight w:val="none"/>
        </w:rPr>
        <w:t>有投标人均应提供。</w:t>
      </w:r>
    </w:p>
    <w:p w14:paraId="7DD3DA49">
      <w:pPr>
        <w:spacing w:before="155" w:line="279" w:lineRule="auto"/>
        <w:ind w:left="8" w:right="61"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0"/>
          <w:sz w:val="24"/>
          <w:szCs w:val="24"/>
          <w:highlight w:val="none"/>
        </w:rPr>
        <w:t>10.3.3</w:t>
      </w:r>
      <w:r>
        <w:rPr>
          <w:rFonts w:hint="eastAsia" w:ascii="宋体" w:hAnsi="宋体" w:eastAsia="宋体" w:cs="宋体"/>
          <w:b/>
          <w:bCs/>
          <w:color w:val="auto"/>
          <w:spacing w:val="12"/>
          <w:sz w:val="24"/>
          <w:szCs w:val="24"/>
          <w:highlight w:val="none"/>
        </w:rPr>
        <w:t xml:space="preserve"> </w:t>
      </w:r>
      <w:r>
        <w:rPr>
          <w:rFonts w:hint="eastAsia" w:ascii="宋体" w:hAnsi="宋体" w:eastAsia="宋体" w:cs="宋体"/>
          <w:color w:val="auto"/>
          <w:spacing w:val="-10"/>
          <w:sz w:val="24"/>
          <w:szCs w:val="24"/>
          <w:highlight w:val="none"/>
        </w:rPr>
        <w:t>经济标书的组成内容按本节第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w:t>
      </w:r>
      <w:r>
        <w:rPr>
          <w:rFonts w:hint="eastAsia" w:ascii="宋体" w:hAnsi="宋体" w:eastAsia="宋体" w:cs="宋体"/>
          <w:color w:val="auto"/>
          <w:spacing w:val="-11"/>
          <w:sz w:val="24"/>
          <w:szCs w:val="24"/>
          <w:highlight w:val="none"/>
        </w:rPr>
        <w:t>.3.1 目规定的顺序整理、编排后，逐页（页</w:t>
      </w:r>
      <w:r>
        <w:rPr>
          <w:rFonts w:hint="eastAsia" w:ascii="宋体" w:hAnsi="宋体" w:eastAsia="宋体" w:cs="宋体"/>
          <w:color w:val="auto"/>
          <w:spacing w:val="-1"/>
          <w:sz w:val="24"/>
          <w:szCs w:val="24"/>
          <w:highlight w:val="none"/>
        </w:rPr>
        <w:t>码起始从封面开始）连续标记页码。</w:t>
      </w:r>
    </w:p>
    <w:p w14:paraId="3AC2F962">
      <w:pPr>
        <w:spacing w:before="82" w:line="213" w:lineRule="auto"/>
        <w:ind w:left="496"/>
        <w:outlineLvl w:val="3"/>
        <w:rPr>
          <w:rFonts w:hint="eastAsia" w:ascii="宋体" w:hAnsi="宋体" w:eastAsia="宋体" w:cs="宋体"/>
          <w:b/>
          <w:bCs/>
          <w:color w:val="auto"/>
          <w:sz w:val="25"/>
          <w:szCs w:val="25"/>
          <w:highlight w:val="none"/>
        </w:rPr>
      </w:pPr>
      <w:r>
        <w:rPr>
          <w:rFonts w:hint="eastAsia" w:ascii="宋体" w:hAnsi="宋体" w:eastAsia="宋体" w:cs="宋体"/>
          <w:b/>
          <w:bCs/>
          <w:color w:val="auto"/>
          <w:spacing w:val="-3"/>
          <w:sz w:val="24"/>
          <w:szCs w:val="24"/>
          <w:highlight w:val="none"/>
        </w:rPr>
        <w:t>10.4  施工组织设计的编制要求</w:t>
      </w:r>
    </w:p>
    <w:p w14:paraId="5AC8AB10">
      <w:pPr>
        <w:spacing w:before="151"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10.4.1 </w:t>
      </w:r>
      <w:r>
        <w:rPr>
          <w:rFonts w:hint="eastAsia" w:ascii="宋体" w:hAnsi="宋体" w:eastAsia="宋体" w:cs="宋体"/>
          <w:color w:val="auto"/>
          <w:spacing w:val="-1"/>
          <w:sz w:val="24"/>
          <w:szCs w:val="24"/>
          <w:highlight w:val="none"/>
        </w:rPr>
        <w:t>施工组织设计的编制依据包括且不限于：</w:t>
      </w:r>
    </w:p>
    <w:p w14:paraId="0532E5E2">
      <w:pPr>
        <w:spacing w:before="156"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（1）招标文件及其答疑（或修改）公告；</w:t>
      </w:r>
    </w:p>
    <w:p w14:paraId="656251DD">
      <w:pPr>
        <w:spacing w:before="155" w:line="221"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（2）施工图及相关资料；</w:t>
      </w:r>
    </w:p>
    <w:p w14:paraId="02D7D561">
      <w:pPr>
        <w:spacing w:before="152"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（3）施工现场情况、工程特点；</w:t>
      </w:r>
    </w:p>
    <w:p w14:paraId="6886CDCA">
      <w:pPr>
        <w:spacing w:before="78"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（4）相关法律、法规、规定；</w:t>
      </w:r>
    </w:p>
    <w:p w14:paraId="5E01A9FD">
      <w:pPr>
        <w:spacing w:before="153" w:line="299" w:lineRule="auto"/>
        <w:ind w:left="10" w:right="211" w:firstLine="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（5）国家、广东省、韶关市关于施工现场管理、施工工艺</w:t>
      </w:r>
      <w:r>
        <w:rPr>
          <w:rFonts w:hint="eastAsia" w:ascii="宋体" w:hAnsi="宋体" w:eastAsia="宋体" w:cs="宋体"/>
          <w:color w:val="auto"/>
          <w:spacing w:val="1"/>
          <w:sz w:val="24"/>
          <w:szCs w:val="24"/>
          <w:highlight w:val="none"/>
        </w:rPr>
        <w:t>、绿色施工、安全防</w:t>
      </w:r>
      <w:r>
        <w:rPr>
          <w:rFonts w:hint="eastAsia" w:ascii="宋体" w:hAnsi="宋体" w:eastAsia="宋体" w:cs="宋体"/>
          <w:color w:val="auto"/>
          <w:spacing w:val="-1"/>
          <w:sz w:val="24"/>
          <w:szCs w:val="24"/>
          <w:highlight w:val="none"/>
        </w:rPr>
        <w:t>护、文明施工、环境保护等方面的标准、规范、技术资料。</w:t>
      </w:r>
      <w:r>
        <w:rPr>
          <w:rFonts w:hint="eastAsia" w:ascii="宋体" w:hAnsi="宋体" w:eastAsia="宋体" w:cs="宋体"/>
          <w:color w:val="auto"/>
          <w:spacing w:val="-2"/>
          <w:sz w:val="24"/>
          <w:szCs w:val="24"/>
          <w:highlight w:val="none"/>
        </w:rPr>
        <w:t>如《广东省住房和城乡建</w:t>
      </w:r>
      <w:r>
        <w:rPr>
          <w:rFonts w:hint="eastAsia" w:ascii="宋体" w:hAnsi="宋体" w:eastAsia="宋体" w:cs="宋体"/>
          <w:color w:val="auto"/>
          <w:sz w:val="24"/>
          <w:szCs w:val="24"/>
          <w:highlight w:val="none"/>
        </w:rPr>
        <w:t>设厅绿色施工导则》《广东省建设工程施工扬尘污染防</w:t>
      </w:r>
      <w:r>
        <w:rPr>
          <w:rFonts w:hint="eastAsia" w:ascii="宋体" w:hAnsi="宋体" w:eastAsia="宋体" w:cs="宋体"/>
          <w:color w:val="auto"/>
          <w:spacing w:val="-1"/>
          <w:sz w:val="24"/>
          <w:szCs w:val="24"/>
          <w:highlight w:val="none"/>
        </w:rPr>
        <w:t>治管理办法（试行）》等；</w:t>
      </w:r>
    </w:p>
    <w:p w14:paraId="7E3E1CAA">
      <w:pPr>
        <w:spacing w:before="155"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（6）企业内部标准、工法。</w:t>
      </w:r>
    </w:p>
    <w:p w14:paraId="0E018A2D">
      <w:pPr>
        <w:spacing w:before="153"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10.4.2 </w:t>
      </w:r>
      <w:r>
        <w:rPr>
          <w:rFonts w:hint="eastAsia" w:ascii="宋体" w:hAnsi="宋体" w:eastAsia="宋体" w:cs="宋体"/>
          <w:color w:val="auto"/>
          <w:spacing w:val="-1"/>
          <w:sz w:val="24"/>
          <w:szCs w:val="24"/>
          <w:highlight w:val="none"/>
        </w:rPr>
        <w:t>施工组织设计包括但不限于以下内容：</w:t>
      </w:r>
    </w:p>
    <w:p w14:paraId="74034CD2">
      <w:pPr>
        <w:spacing w:before="153"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7DAE36E1">
      <w:pPr>
        <w:spacing w:before="156" w:line="222"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448D0DA3">
      <w:pPr>
        <w:spacing w:before="150"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（3）总体概述（包括施工程序总体设想及施工段划分等内容</w:t>
      </w:r>
      <w:r>
        <w:rPr>
          <w:rFonts w:hint="eastAsia" w:ascii="宋体" w:hAnsi="宋体" w:eastAsia="宋体" w:cs="宋体"/>
          <w:color w:val="auto"/>
          <w:spacing w:val="2"/>
          <w:sz w:val="24"/>
          <w:szCs w:val="24"/>
          <w:highlight w:val="none"/>
        </w:rPr>
        <w:t>）；</w:t>
      </w:r>
    </w:p>
    <w:p w14:paraId="06F4FDAC">
      <w:pPr>
        <w:spacing w:before="154" w:line="299" w:lineRule="auto"/>
        <w:ind w:left="9" w:right="211"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（4）施工总进度计划及保证措施（包括进度管理目标；以</w:t>
      </w:r>
      <w:r>
        <w:rPr>
          <w:rFonts w:hint="eastAsia" w:ascii="宋体" w:hAnsi="宋体" w:eastAsia="宋体" w:cs="宋体"/>
          <w:color w:val="auto"/>
          <w:spacing w:val="1"/>
          <w:sz w:val="24"/>
          <w:szCs w:val="24"/>
          <w:highlight w:val="none"/>
        </w:rPr>
        <w:t>横道图或标明关键线</w:t>
      </w:r>
      <w:r>
        <w:rPr>
          <w:rFonts w:hint="eastAsia" w:ascii="宋体" w:hAnsi="宋体" w:eastAsia="宋体" w:cs="宋体"/>
          <w:color w:val="auto"/>
          <w:spacing w:val="-1"/>
          <w:sz w:val="24"/>
          <w:szCs w:val="24"/>
          <w:highlight w:val="none"/>
        </w:rPr>
        <w:t>路的网络进度计划；保障进度计划需要的人、材、机需求计划</w:t>
      </w:r>
      <w:r>
        <w:rPr>
          <w:rFonts w:hint="eastAsia" w:ascii="宋体" w:hAnsi="宋体" w:eastAsia="宋体" w:cs="宋体"/>
          <w:color w:val="auto"/>
          <w:spacing w:val="-2"/>
          <w:sz w:val="24"/>
          <w:szCs w:val="24"/>
          <w:highlight w:val="none"/>
        </w:rPr>
        <w:t>及保证措施；违约责任承诺等内容</w:t>
      </w:r>
      <w:r>
        <w:rPr>
          <w:rFonts w:hint="eastAsia" w:ascii="宋体" w:hAnsi="宋体" w:eastAsia="宋体" w:cs="宋体"/>
          <w:color w:val="auto"/>
          <w:sz w:val="24"/>
          <w:szCs w:val="24"/>
          <w:highlight w:val="none"/>
        </w:rPr>
        <w:t>）；</w:t>
      </w:r>
    </w:p>
    <w:p w14:paraId="00B5ABEC">
      <w:pPr>
        <w:spacing w:before="153"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（5）质量保证措施（包括质量管理目标；相应保证措施；违约责任承诺</w:t>
      </w:r>
      <w:r>
        <w:rPr>
          <w:rFonts w:hint="eastAsia" w:ascii="宋体" w:hAnsi="宋体" w:eastAsia="宋体" w:cs="宋体"/>
          <w:color w:val="auto"/>
          <w:spacing w:val="-6"/>
          <w:sz w:val="24"/>
          <w:szCs w:val="24"/>
          <w:highlight w:val="none"/>
        </w:rPr>
        <w:t>等内容</w:t>
      </w:r>
      <w:r>
        <w:rPr>
          <w:rFonts w:hint="eastAsia" w:ascii="宋体" w:hAnsi="宋体" w:eastAsia="宋体" w:cs="宋体"/>
          <w:color w:val="auto"/>
          <w:spacing w:val="-62"/>
          <w:w w:val="97"/>
          <w:sz w:val="24"/>
          <w:szCs w:val="24"/>
          <w:highlight w:val="none"/>
        </w:rPr>
        <w:t>）；</w:t>
      </w:r>
    </w:p>
    <w:p w14:paraId="6064C1F3">
      <w:pPr>
        <w:spacing w:before="156" w:line="279" w:lineRule="auto"/>
        <w:ind w:left="11" w:right="211"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（6）施工技术措施（包括关键施工技术、工艺及工程项目</w:t>
      </w:r>
      <w:r>
        <w:rPr>
          <w:rFonts w:hint="eastAsia" w:ascii="宋体" w:hAnsi="宋体" w:eastAsia="宋体" w:cs="宋体"/>
          <w:color w:val="auto"/>
          <w:spacing w:val="1"/>
          <w:sz w:val="24"/>
          <w:szCs w:val="24"/>
          <w:highlight w:val="none"/>
        </w:rPr>
        <w:t>实施的重点、难点分</w:t>
      </w:r>
      <w:r>
        <w:rPr>
          <w:rFonts w:hint="eastAsia" w:ascii="宋体" w:hAnsi="宋体" w:eastAsia="宋体" w:cs="宋体"/>
          <w:color w:val="auto"/>
          <w:spacing w:val="-1"/>
          <w:sz w:val="24"/>
          <w:szCs w:val="24"/>
          <w:highlight w:val="none"/>
        </w:rPr>
        <w:t>析和解决方案；新技术应用与承诺等内容</w:t>
      </w:r>
      <w:r>
        <w:rPr>
          <w:rFonts w:hint="eastAsia" w:ascii="宋体" w:hAnsi="宋体" w:eastAsia="宋体" w:cs="宋体"/>
          <w:color w:val="auto"/>
          <w:spacing w:val="2"/>
          <w:sz w:val="24"/>
          <w:szCs w:val="24"/>
          <w:highlight w:val="none"/>
        </w:rPr>
        <w:t>）；</w:t>
      </w:r>
    </w:p>
    <w:p w14:paraId="3EADC369">
      <w:pPr>
        <w:spacing w:before="118" w:line="297" w:lineRule="auto"/>
        <w:ind w:left="11" w:right="31" w:firstLine="489"/>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（7）绿色施工、安全防护、文明施工措施计划(应对建设单位组织的勘察设计等单位在施工招标文件中列出的危大工程清单(详见格式十三)进行投标文件回应，如有)</w:t>
      </w:r>
      <w:r>
        <w:rPr>
          <w:rFonts w:hint="eastAsia" w:ascii="宋体" w:hAnsi="宋体" w:eastAsia="宋体" w:cs="宋体"/>
          <w:color w:val="auto"/>
          <w:spacing w:val="-3"/>
          <w:sz w:val="24"/>
          <w:szCs w:val="24"/>
          <w:highlight w:val="none"/>
        </w:rPr>
        <w:t>；</w:t>
      </w:r>
    </w:p>
    <w:p w14:paraId="3A4B9208">
      <w:pPr>
        <w:spacing w:before="118" w:line="297" w:lineRule="auto"/>
        <w:ind w:left="11" w:right="31"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（8）施工现场总平面布置（</w:t>
      </w:r>
      <w:bookmarkStart w:id="51" w:name="OLE_LINK8"/>
      <w:r>
        <w:rPr>
          <w:rFonts w:hint="eastAsia" w:ascii="宋体" w:hAnsi="宋体" w:eastAsia="宋体" w:cs="宋体"/>
          <w:color w:val="auto"/>
          <w:spacing w:val="2"/>
          <w:sz w:val="24"/>
          <w:szCs w:val="24"/>
          <w:highlight w:val="none"/>
        </w:rPr>
        <w:t>投标人应递交一份施工现场总</w:t>
      </w:r>
      <w:r>
        <w:rPr>
          <w:rFonts w:hint="eastAsia" w:ascii="宋体" w:hAnsi="宋体" w:eastAsia="宋体" w:cs="宋体"/>
          <w:color w:val="auto"/>
          <w:spacing w:val="1"/>
          <w:sz w:val="24"/>
          <w:szCs w:val="24"/>
          <w:highlight w:val="none"/>
        </w:rPr>
        <w:t>平面布置图，绘出现</w:t>
      </w:r>
      <w:r>
        <w:rPr>
          <w:rFonts w:hint="eastAsia" w:ascii="宋体" w:hAnsi="宋体" w:eastAsia="宋体" w:cs="宋体"/>
          <w:color w:val="auto"/>
          <w:spacing w:val="-1"/>
          <w:sz w:val="24"/>
          <w:szCs w:val="24"/>
          <w:highlight w:val="none"/>
        </w:rPr>
        <w:t>场临时设施布置图表并附文字说明，说明临时设施、加工车间、</w:t>
      </w:r>
      <w:r>
        <w:rPr>
          <w:rFonts w:hint="eastAsia" w:ascii="宋体" w:hAnsi="宋体" w:eastAsia="宋体" w:cs="宋体"/>
          <w:color w:val="auto"/>
          <w:spacing w:val="-2"/>
          <w:sz w:val="24"/>
          <w:szCs w:val="24"/>
          <w:highlight w:val="none"/>
        </w:rPr>
        <w:t>现场办公、设备及仓</w:t>
      </w:r>
      <w:r>
        <w:rPr>
          <w:rFonts w:hint="eastAsia" w:ascii="宋体" w:hAnsi="宋体" w:eastAsia="宋体" w:cs="宋体"/>
          <w:color w:val="auto"/>
          <w:spacing w:val="-1"/>
          <w:sz w:val="24"/>
          <w:szCs w:val="24"/>
          <w:highlight w:val="none"/>
        </w:rPr>
        <w:t>储、供电、供水、卫生、生活、道路、消防等设施的情况和布置</w:t>
      </w:r>
      <w:bookmarkEnd w:id="51"/>
      <w:r>
        <w:rPr>
          <w:rFonts w:hint="eastAsia" w:ascii="宋体" w:hAnsi="宋体" w:eastAsia="宋体" w:cs="宋体"/>
          <w:color w:val="auto"/>
          <w:spacing w:val="9"/>
          <w:sz w:val="24"/>
          <w:szCs w:val="24"/>
          <w:highlight w:val="none"/>
        </w:rPr>
        <w:t>）；</w:t>
      </w:r>
    </w:p>
    <w:p w14:paraId="7DE8F992">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（9）项目管理机构。</w:t>
      </w:r>
    </w:p>
    <w:p w14:paraId="6D60E1F4">
      <w:pPr>
        <w:spacing w:before="154" w:line="280" w:lineRule="auto"/>
        <w:ind w:right="211" w:firstLine="47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（10）投标人认为有必要补充的其他内容（例如对总包管理的认识以及对专业分</w:t>
      </w:r>
      <w:r>
        <w:rPr>
          <w:rFonts w:hint="eastAsia" w:ascii="宋体" w:hAnsi="宋体" w:eastAsia="宋体" w:cs="宋体"/>
          <w:color w:val="auto"/>
          <w:spacing w:val="-1"/>
          <w:sz w:val="24"/>
          <w:szCs w:val="24"/>
          <w:highlight w:val="none"/>
        </w:rPr>
        <w:t>包工程的管理、协调、配合、服务方案）。</w:t>
      </w:r>
    </w:p>
    <w:p w14:paraId="68D49FA7">
      <w:pPr>
        <w:spacing w:before="152" w:line="279" w:lineRule="auto"/>
        <w:ind w:right="196" w:firstLine="474"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10.4.3  </w:t>
      </w:r>
      <w:r>
        <w:rPr>
          <w:rFonts w:hint="eastAsia" w:ascii="宋体" w:hAnsi="宋体" w:eastAsia="宋体" w:cs="宋体"/>
          <w:color w:val="auto"/>
          <w:spacing w:val="-2"/>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2"/>
          <w:sz w:val="24"/>
          <w:szCs w:val="24"/>
          <w:highlight w:val="none"/>
        </w:rPr>
        <w:t>10.4.2</w:t>
      </w:r>
      <w:r>
        <w:rPr>
          <w:rFonts w:hint="eastAsia" w:ascii="宋体" w:hAnsi="宋体" w:eastAsia="宋体" w:cs="宋体"/>
          <w:color w:val="auto"/>
          <w:spacing w:val="-2"/>
          <w:sz w:val="24"/>
          <w:szCs w:val="24"/>
          <w:highlight w:val="none"/>
        </w:rPr>
        <w:t>目中所列出</w:t>
      </w:r>
      <w:r>
        <w:rPr>
          <w:rFonts w:hint="eastAsia" w:ascii="宋体" w:hAnsi="宋体" w:eastAsia="宋体" w:cs="宋体"/>
          <w:color w:val="auto"/>
          <w:spacing w:val="-3"/>
          <w:sz w:val="24"/>
          <w:szCs w:val="24"/>
          <w:highlight w:val="none"/>
        </w:rPr>
        <w:t>的施工组织设计组成内容中，第（1）至第（9）</w:t>
      </w:r>
      <w:r>
        <w:rPr>
          <w:rFonts w:hint="eastAsia" w:ascii="宋体" w:hAnsi="宋体" w:eastAsia="宋体" w:cs="宋体"/>
          <w:color w:val="auto"/>
          <w:spacing w:val="-2"/>
          <w:sz w:val="24"/>
          <w:szCs w:val="24"/>
          <w:highlight w:val="none"/>
        </w:rPr>
        <w:t>项所有投标人均应提供。</w:t>
      </w:r>
    </w:p>
    <w:p w14:paraId="73FF01BE">
      <w:pPr>
        <w:spacing w:before="157" w:line="279" w:lineRule="auto"/>
        <w:ind w:right="211" w:firstLine="462" w:firstLineChars="200"/>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5"/>
          <w:sz w:val="24"/>
          <w:szCs w:val="24"/>
          <w:highlight w:val="none"/>
        </w:rPr>
        <w:t xml:space="preserve">10.4.4 </w:t>
      </w:r>
      <w:r>
        <w:rPr>
          <w:rFonts w:hint="eastAsia" w:ascii="宋体" w:hAnsi="宋体" w:eastAsia="宋体" w:cs="宋体"/>
          <w:color w:val="auto"/>
          <w:spacing w:val="-5"/>
          <w:sz w:val="24"/>
          <w:szCs w:val="24"/>
          <w:highlight w:val="none"/>
        </w:rPr>
        <w:t>施工组织设计的组成内容按本节第</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5"/>
          <w:sz w:val="24"/>
          <w:szCs w:val="24"/>
          <w:highlight w:val="none"/>
        </w:rPr>
        <w:t>10.4.2 目规定的顺序整理、编排后，逐</w:t>
      </w:r>
      <w:r>
        <w:rPr>
          <w:rFonts w:hint="eastAsia" w:ascii="宋体" w:hAnsi="宋体" w:eastAsia="宋体" w:cs="宋体"/>
          <w:color w:val="auto"/>
          <w:spacing w:val="-1"/>
          <w:sz w:val="24"/>
          <w:szCs w:val="24"/>
          <w:highlight w:val="none"/>
        </w:rPr>
        <w:t>页（页码起始从封面开始）连续标记页码。</w:t>
      </w:r>
    </w:p>
    <w:p w14:paraId="5974B012">
      <w:pPr>
        <w:ind w:firstLine="472"/>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b/>
          <w:bCs/>
          <w:color w:val="auto"/>
          <w:spacing w:val="-1"/>
          <w:sz w:val="24"/>
          <w:szCs w:val="24"/>
          <w:highlight w:val="none"/>
        </w:rPr>
        <w:t>10.4.5</w:t>
      </w:r>
      <w:bookmarkStart w:id="52" w:name="OLE_LINK9"/>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施工组织设计的正文不得超过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150</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页</w:t>
      </w:r>
      <w:r>
        <w:rPr>
          <w:rFonts w:hint="eastAsia" w:ascii="宋体" w:hAnsi="宋体" w:eastAsia="宋体" w:cs="宋体"/>
          <w:color w:val="auto"/>
          <w:spacing w:val="-1"/>
          <w:sz w:val="24"/>
          <w:szCs w:val="24"/>
          <w:highlight w:val="none"/>
          <w:lang w:eastAsia="zh-CN"/>
        </w:rPr>
        <w:t>。</w:t>
      </w:r>
      <w:bookmarkEnd w:id="52"/>
      <w:bookmarkStart w:id="53" w:name="bookmark121"/>
      <w:bookmarkEnd w:id="53"/>
    </w:p>
    <w:p w14:paraId="07817176">
      <w:pPr>
        <w:keepNext w:val="0"/>
        <w:keepLines w:val="0"/>
        <w:pageBreakBefore w:val="0"/>
        <w:widowControl w:val="0"/>
        <w:kinsoku/>
        <w:wordWrap w:val="0"/>
        <w:overflowPunct/>
        <w:topLinePunct w:val="0"/>
        <w:autoSpaceDE/>
        <w:autoSpaceDN/>
        <w:bidi w:val="0"/>
        <w:adjustRightInd/>
        <w:snapToGrid/>
        <w:spacing w:line="400" w:lineRule="exact"/>
        <w:ind w:firstLine="482" w:firstLineChars="200"/>
        <w:textAlignment w:val="baseline"/>
        <w:rPr>
          <w:rFonts w:hint="eastAsia" w:ascii="宋体" w:hAnsi="宋体" w:eastAsia="宋体" w:cs="宋体"/>
          <w:b/>
          <w:bCs/>
          <w:snapToGrid w:val="0"/>
          <w:color w:val="auto"/>
          <w:kern w:val="0"/>
          <w:sz w:val="24"/>
          <w:szCs w:val="24"/>
          <w:highlight w:val="none"/>
          <w:lang w:val="en-US" w:eastAsia="zh-CN"/>
        </w:rPr>
      </w:pPr>
      <w:bookmarkStart w:id="54" w:name="_Toc20579"/>
      <w:r>
        <w:rPr>
          <w:rFonts w:hint="eastAsia" w:ascii="宋体" w:hAnsi="宋体" w:eastAsia="宋体" w:cs="宋体"/>
          <w:b/>
          <w:bCs/>
          <w:snapToGrid w:val="0"/>
          <w:color w:val="auto"/>
          <w:kern w:val="0"/>
          <w:sz w:val="24"/>
          <w:szCs w:val="24"/>
          <w:highlight w:val="none"/>
          <w:lang w:val="en-US" w:eastAsia="zh-CN"/>
        </w:rPr>
        <w:t>10.5定标文件的编制要求：</w:t>
      </w:r>
    </w:p>
    <w:p w14:paraId="5C1E2185">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 xml:space="preserve">.1 </w:t>
      </w:r>
      <w:r>
        <w:rPr>
          <w:rFonts w:hint="eastAsia" w:ascii="宋体" w:hAnsi="宋体" w:eastAsia="宋体" w:cs="宋体"/>
          <w:snapToGrid w:val="0"/>
          <w:color w:val="auto"/>
          <w:kern w:val="0"/>
          <w:sz w:val="24"/>
          <w:szCs w:val="24"/>
          <w:highlight w:val="none"/>
          <w:lang w:val="en-US" w:eastAsia="zh-CN"/>
        </w:rPr>
        <w:t>定标文件</w:t>
      </w:r>
      <w:r>
        <w:rPr>
          <w:rFonts w:hint="eastAsia" w:ascii="宋体" w:hAnsi="宋体" w:eastAsia="宋体" w:cs="宋体"/>
          <w:snapToGrid w:val="0"/>
          <w:color w:val="auto"/>
          <w:kern w:val="0"/>
          <w:sz w:val="24"/>
          <w:szCs w:val="24"/>
          <w:highlight w:val="none"/>
        </w:rPr>
        <w:t>包括以下内容：</w:t>
      </w:r>
    </w:p>
    <w:bookmarkEnd w:id="54"/>
    <w:p w14:paraId="1EE72EE0">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default" w:ascii="宋体" w:hAnsi="宋体" w:eastAsia="宋体" w:cs="宋体"/>
          <w:snapToGrid w:val="0"/>
          <w:color w:val="auto"/>
          <w:kern w:val="0"/>
          <w:sz w:val="24"/>
          <w:szCs w:val="24"/>
          <w:highlight w:val="none"/>
          <w:lang w:val="en-US"/>
        </w:rPr>
      </w:pPr>
      <w:bookmarkStart w:id="55" w:name="_Toc10599"/>
      <w:bookmarkStart w:id="56" w:name="_Toc21936"/>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 封面（格式一）</w:t>
      </w:r>
    </w:p>
    <w:p w14:paraId="09EEF448">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（2）目录；</w:t>
      </w:r>
    </w:p>
    <w:p w14:paraId="571A6FCF">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（3）定标因素评审资料（格式十五）</w:t>
      </w:r>
    </w:p>
    <w:p w14:paraId="525BA2C8">
      <w:pPr>
        <w:pStyle w:val="8"/>
        <w:ind w:firstLine="482" w:firstLineChars="200"/>
        <w:rPr>
          <w:rFonts w:hint="default"/>
          <w:b/>
          <w:bCs/>
          <w:color w:val="auto"/>
          <w:highlight w:val="none"/>
          <w:lang w:val="en-US"/>
        </w:rPr>
      </w:pPr>
      <w:r>
        <w:rPr>
          <w:rFonts w:hint="eastAsia" w:hAnsi="宋体" w:eastAsia="宋体" w:cs="宋体"/>
          <w:b/>
          <w:bCs/>
          <w:snapToGrid w:val="0"/>
          <w:color w:val="auto"/>
          <w:kern w:val="0"/>
          <w:sz w:val="24"/>
          <w:szCs w:val="24"/>
          <w:highlight w:val="none"/>
          <w:lang w:val="en-US" w:eastAsia="zh-CN"/>
        </w:rPr>
        <w:t xml:space="preserve">10.5.2 </w:t>
      </w:r>
      <w:r>
        <w:rPr>
          <w:rFonts w:hint="eastAsia" w:ascii="宋体" w:hAnsi="宋体" w:eastAsia="宋体" w:cs="宋体"/>
          <w:snapToGrid w:val="0"/>
          <w:color w:val="auto"/>
          <w:kern w:val="0"/>
          <w:sz w:val="24"/>
          <w:szCs w:val="24"/>
          <w:highlight w:val="none"/>
          <w:lang w:val="en-US" w:eastAsia="zh-CN" w:bidi="ar-SA"/>
        </w:rPr>
        <w:t>本节第10.5.1目中所列出的组成内容中，第（1）项所有投标人均应提供。</w:t>
      </w:r>
    </w:p>
    <w:p w14:paraId="68DBF3BC">
      <w:pPr>
        <w:spacing w:before="78" w:line="221" w:lineRule="auto"/>
        <w:ind w:left="496"/>
        <w:outlineLvl w:val="2"/>
        <w:rPr>
          <w:rFonts w:hint="eastAsia" w:ascii="宋体" w:hAnsi="宋体" w:eastAsia="宋体" w:cs="宋体"/>
          <w:color w:val="auto"/>
          <w:sz w:val="24"/>
          <w:szCs w:val="24"/>
          <w:highlight w:val="none"/>
        </w:rPr>
      </w:pPr>
      <w:r>
        <w:rPr>
          <w:rFonts w:hint="eastAsia" w:ascii="宋体" w:hAnsi="宋体" w:eastAsia="宋体" w:cs="宋体"/>
          <w:b/>
          <w:bCs/>
          <w:color w:val="auto"/>
          <w:spacing w:val="-9"/>
          <w:sz w:val="24"/>
          <w:szCs w:val="24"/>
          <w:highlight w:val="none"/>
        </w:rPr>
        <w:t>11.</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pacing w:val="-9"/>
          <w:sz w:val="24"/>
          <w:szCs w:val="24"/>
          <w:highlight w:val="none"/>
        </w:rPr>
        <w:t>电子投标：</w:t>
      </w:r>
      <w:bookmarkEnd w:id="55"/>
      <w:bookmarkEnd w:id="56"/>
    </w:p>
    <w:p w14:paraId="2AFEDD0D">
      <w:pPr>
        <w:spacing w:before="112" w:line="295" w:lineRule="auto"/>
        <w:ind w:left="10"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11.1  </w:t>
      </w:r>
      <w:r>
        <w:rPr>
          <w:rFonts w:hint="eastAsia" w:ascii="宋体" w:hAnsi="宋体" w:eastAsia="宋体" w:cs="宋体"/>
          <w:color w:val="auto"/>
          <w:spacing w:val="-3"/>
          <w:sz w:val="24"/>
          <w:szCs w:val="24"/>
          <w:highlight w:val="none"/>
        </w:rPr>
        <w:t>在建设工程交易系统上传加盖了电子印章的投标文件、录入相关信息及标书</w:t>
      </w:r>
      <w:r>
        <w:rPr>
          <w:rFonts w:hint="eastAsia" w:ascii="宋体" w:hAnsi="宋体" w:eastAsia="宋体" w:cs="宋体"/>
          <w:color w:val="auto"/>
          <w:spacing w:val="2"/>
          <w:sz w:val="24"/>
          <w:szCs w:val="24"/>
          <w:highlight w:val="none"/>
        </w:rPr>
        <w:t>页码信息</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
          <w:sz w:val="24"/>
          <w:szCs w:val="24"/>
          <w:highlight w:val="none"/>
        </w:rPr>
        <w:t>页码起始从封面开始）并提交投标标书。提交标书为已加密投标文件。</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具体操作参照《韶关市公共资源建设工程交易系统-投标人操</w:t>
      </w:r>
      <w:r>
        <w:rPr>
          <w:rFonts w:hint="eastAsia" w:ascii="宋体" w:hAnsi="宋体" w:eastAsia="宋体" w:cs="宋体"/>
          <w:color w:val="auto"/>
          <w:spacing w:val="-3"/>
          <w:sz w:val="24"/>
          <w:szCs w:val="24"/>
          <w:highlight w:val="none"/>
        </w:rPr>
        <w:t>作指南（电子评标）》。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本项目评标采用全流程电子化进行招标投标（投标人应根据</w:t>
      </w:r>
      <w:r>
        <w:rPr>
          <w:rFonts w:hint="eastAsia" w:ascii="宋体" w:hAnsi="宋体" w:eastAsia="宋体" w:cs="宋体"/>
          <w:color w:val="auto"/>
          <w:spacing w:val="-2"/>
          <w:sz w:val="24"/>
          <w:szCs w:val="24"/>
          <w:highlight w:val="none"/>
        </w:rPr>
        <w:t>韶关市公共资源建设工程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交易系统进行编辑投标相关内容、按招标文件电子投标要求</w:t>
      </w:r>
      <w:r>
        <w:rPr>
          <w:rFonts w:hint="eastAsia" w:ascii="宋体" w:hAnsi="宋体" w:eastAsia="宋体" w:cs="宋体"/>
          <w:color w:val="auto"/>
          <w:spacing w:val="-2"/>
          <w:sz w:val="24"/>
          <w:szCs w:val="24"/>
          <w:highlight w:val="none"/>
        </w:rPr>
        <w:t>上传已加盖电子印章投标</w:t>
      </w:r>
      <w:r>
        <w:rPr>
          <w:rFonts w:hint="eastAsia" w:ascii="宋体" w:hAnsi="宋体" w:eastAsia="宋体" w:cs="宋体"/>
          <w:color w:val="auto"/>
          <w:spacing w:val="-1"/>
          <w:sz w:val="24"/>
          <w:szCs w:val="24"/>
          <w:highlight w:val="none"/>
        </w:rPr>
        <w:t>文件，否则将自行承担不利后果）。投标文件完成上传后，投标人应</w:t>
      </w:r>
      <w:r>
        <w:rPr>
          <w:rFonts w:hint="eastAsia" w:ascii="宋体" w:hAnsi="宋体" w:eastAsia="宋体" w:cs="宋体"/>
          <w:color w:val="auto"/>
          <w:spacing w:val="-2"/>
          <w:sz w:val="24"/>
          <w:szCs w:val="24"/>
          <w:highlight w:val="none"/>
        </w:rPr>
        <w:t>使用 CA 数字证</w:t>
      </w:r>
      <w:r>
        <w:rPr>
          <w:rFonts w:hint="eastAsia" w:ascii="宋体" w:hAnsi="宋体" w:eastAsia="宋体" w:cs="宋体"/>
          <w:color w:val="auto"/>
          <w:spacing w:val="-1"/>
          <w:sz w:val="24"/>
          <w:szCs w:val="24"/>
          <w:highlight w:val="none"/>
        </w:rPr>
        <w:t>书对投标文件进行文件加密，形成加密的投标文件并提交标书。</w:t>
      </w:r>
    </w:p>
    <w:p w14:paraId="658B05D8">
      <w:pPr>
        <w:spacing w:before="115" w:line="286" w:lineRule="auto"/>
        <w:ind w:left="10" w:right="81" w:firstLine="485"/>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11.2</w:t>
      </w:r>
      <w:r>
        <w:rPr>
          <w:rFonts w:hint="eastAsia" w:ascii="宋体" w:hAnsi="宋体" w:eastAsia="宋体" w:cs="宋体"/>
          <w:b/>
          <w:bCs/>
          <w:color w:val="auto"/>
          <w:spacing w:val="19"/>
          <w:sz w:val="24"/>
          <w:szCs w:val="24"/>
          <w:highlight w:val="none"/>
        </w:rPr>
        <w:t xml:space="preserve">  </w:t>
      </w:r>
      <w:r>
        <w:rPr>
          <w:rFonts w:hint="eastAsia" w:ascii="宋体" w:hAnsi="宋体" w:eastAsia="宋体" w:cs="宋体"/>
          <w:color w:val="auto"/>
          <w:spacing w:val="-4"/>
          <w:sz w:val="24"/>
          <w:szCs w:val="24"/>
          <w:highlight w:val="none"/>
        </w:rPr>
        <w:t>电子投标文件的修改、撤回：在提交投标文件截止时间前，投标人可</w:t>
      </w:r>
      <w:r>
        <w:rPr>
          <w:rFonts w:hint="eastAsia" w:ascii="宋体" w:hAnsi="宋体" w:eastAsia="宋体" w:cs="宋体"/>
          <w:color w:val="auto"/>
          <w:spacing w:val="-5"/>
          <w:sz w:val="24"/>
          <w:szCs w:val="24"/>
          <w:highlight w:val="none"/>
        </w:rPr>
        <w:t>以修改</w:t>
      </w:r>
      <w:r>
        <w:rPr>
          <w:rFonts w:hint="eastAsia" w:ascii="宋体" w:hAnsi="宋体" w:eastAsia="宋体" w:cs="宋体"/>
          <w:color w:val="auto"/>
          <w:spacing w:val="-1"/>
          <w:sz w:val="24"/>
          <w:szCs w:val="24"/>
          <w:highlight w:val="none"/>
        </w:rPr>
        <w:t>或撤回未解密的电子投标文件，并于提交投标文件截止时间</w:t>
      </w:r>
      <w:r>
        <w:rPr>
          <w:rFonts w:hint="eastAsia" w:ascii="宋体" w:hAnsi="宋体" w:eastAsia="宋体" w:cs="宋体"/>
          <w:color w:val="auto"/>
          <w:spacing w:val="-2"/>
          <w:sz w:val="24"/>
          <w:szCs w:val="24"/>
          <w:highlight w:val="none"/>
        </w:rPr>
        <w:t>前将重新上传修改后的电</w:t>
      </w:r>
      <w:r>
        <w:rPr>
          <w:rFonts w:hint="eastAsia" w:ascii="宋体" w:hAnsi="宋体" w:eastAsia="宋体" w:cs="宋体"/>
          <w:color w:val="auto"/>
          <w:spacing w:val="-1"/>
          <w:sz w:val="24"/>
          <w:szCs w:val="24"/>
          <w:highlight w:val="none"/>
        </w:rPr>
        <w:t>子投标文件至系统，到达投标文件提交截止时间后投标人不</w:t>
      </w:r>
      <w:r>
        <w:rPr>
          <w:rFonts w:hint="eastAsia" w:ascii="宋体" w:hAnsi="宋体" w:eastAsia="宋体" w:cs="宋体"/>
          <w:color w:val="auto"/>
          <w:spacing w:val="-2"/>
          <w:sz w:val="24"/>
          <w:szCs w:val="24"/>
          <w:highlight w:val="none"/>
        </w:rPr>
        <w:t>得撤回、补充、修改和更换投标文件。</w:t>
      </w:r>
    </w:p>
    <w:p w14:paraId="7F290041">
      <w:pPr>
        <w:numPr>
          <w:ilvl w:val="0"/>
          <w:numId w:val="0"/>
        </w:numPr>
        <w:spacing w:before="78" w:line="220" w:lineRule="auto"/>
        <w:ind w:firstLine="446" w:firstLineChars="200"/>
        <w:outlineLvl w:val="2"/>
        <w:rPr>
          <w:rFonts w:hint="eastAsia" w:ascii="宋体" w:hAnsi="宋体" w:eastAsia="宋体" w:cs="宋体"/>
          <w:b/>
          <w:bCs/>
          <w:color w:val="auto"/>
          <w:spacing w:val="-4"/>
          <w:sz w:val="24"/>
          <w:szCs w:val="24"/>
          <w:highlight w:val="none"/>
        </w:rPr>
      </w:pPr>
      <w:bookmarkStart w:id="57" w:name="_Toc5126"/>
      <w:r>
        <w:rPr>
          <w:rFonts w:hint="eastAsia" w:ascii="宋体" w:hAnsi="宋体" w:eastAsia="宋体" w:cs="宋体"/>
          <w:b/>
          <w:bCs/>
          <w:color w:val="auto"/>
          <w:spacing w:val="-9"/>
          <w:sz w:val="24"/>
          <w:szCs w:val="24"/>
          <w:highlight w:val="none"/>
          <w:lang w:val="en-US" w:eastAsia="zh-CN"/>
        </w:rPr>
        <w:t>12.</w:t>
      </w:r>
      <w:r>
        <w:rPr>
          <w:rFonts w:hint="eastAsia" w:ascii="宋体" w:hAnsi="宋体" w:eastAsia="宋体" w:cs="宋体"/>
          <w:b/>
          <w:bCs/>
          <w:color w:val="auto"/>
          <w:spacing w:val="22"/>
          <w:w w:val="101"/>
          <w:sz w:val="24"/>
          <w:szCs w:val="24"/>
          <w:highlight w:val="none"/>
        </w:rPr>
        <w:t xml:space="preserve"> </w:t>
      </w:r>
      <w:bookmarkStart w:id="58" w:name="_Toc29834"/>
      <w:r>
        <w:rPr>
          <w:rFonts w:hint="eastAsia" w:ascii="宋体" w:hAnsi="宋体" w:eastAsia="宋体" w:cs="宋体"/>
          <w:b/>
          <w:bCs/>
          <w:color w:val="auto"/>
          <w:spacing w:val="-4"/>
          <w:sz w:val="24"/>
          <w:szCs w:val="24"/>
          <w:highlight w:val="none"/>
        </w:rPr>
        <w:t>电子投标及投标解密失败及突发情况的补救方案</w:t>
      </w:r>
      <w:bookmarkEnd w:id="57"/>
      <w:bookmarkEnd w:id="58"/>
    </w:p>
    <w:p w14:paraId="3AE07C25">
      <w:pPr>
        <w:keepNext w:val="0"/>
        <w:keepLines w:val="0"/>
        <w:pageBreakBefore w:val="0"/>
        <w:widowControl/>
        <w:kinsoku w:val="0"/>
        <w:wordWrap/>
        <w:overflowPunct/>
        <w:topLinePunct w:val="0"/>
        <w:autoSpaceDE w:val="0"/>
        <w:autoSpaceDN w:val="0"/>
        <w:bidi w:val="0"/>
        <w:adjustRightInd w:val="0"/>
        <w:snapToGrid w:val="0"/>
        <w:spacing w:before="78" w:line="360" w:lineRule="auto"/>
        <w:ind w:firstLine="478"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12.1 </w:t>
      </w:r>
      <w:r>
        <w:rPr>
          <w:rFonts w:hint="eastAsia" w:ascii="宋体" w:hAnsi="宋体" w:eastAsia="宋体" w:cs="宋体"/>
          <w:color w:val="auto"/>
          <w:spacing w:val="-1"/>
          <w:sz w:val="24"/>
          <w:szCs w:val="24"/>
          <w:highlight w:val="none"/>
        </w:rPr>
        <w:t>按照交易平台关于全流程电子化项目的相</w:t>
      </w:r>
      <w:r>
        <w:rPr>
          <w:rFonts w:hint="eastAsia" w:ascii="宋体" w:hAnsi="宋体" w:eastAsia="宋体" w:cs="宋体"/>
          <w:color w:val="auto"/>
          <w:spacing w:val="-2"/>
          <w:sz w:val="24"/>
          <w:szCs w:val="24"/>
          <w:highlight w:val="none"/>
        </w:rPr>
        <w:t>关指南进行操作。详见：全国公共</w:t>
      </w:r>
      <w:r>
        <w:rPr>
          <w:rFonts w:hint="eastAsia" w:ascii="宋体" w:hAnsi="宋体" w:eastAsia="宋体" w:cs="宋体"/>
          <w:color w:val="auto"/>
          <w:spacing w:val="-1"/>
          <w:sz w:val="24"/>
          <w:szCs w:val="24"/>
          <w:highlight w:val="none"/>
        </w:rPr>
        <w:t>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·韶关市</w:t>
      </w:r>
      <w:r>
        <w:rPr>
          <w:rFonts w:hint="eastAsia" w:ascii="宋体" w:hAnsi="宋体" w:eastAsia="宋体" w:cs="宋体"/>
          <w:color w:val="auto"/>
          <w:spacing w:val="-26"/>
          <w:sz w:val="24"/>
          <w:szCs w:val="24"/>
          <w:highlight w:val="none"/>
        </w:rPr>
        <w:t>）（</w:t>
      </w:r>
      <w:r>
        <w:rPr>
          <w:rFonts w:hint="eastAsia" w:ascii="宋体" w:hAnsi="宋体" w:eastAsia="宋体" w:cs="宋体"/>
          <w:color w:val="auto"/>
          <w:spacing w:val="-1"/>
          <w:sz w:val="24"/>
          <w:szCs w:val="24"/>
          <w:highlight w:val="none"/>
        </w:rPr>
        <w:t>https://y</w:t>
      </w:r>
      <w:r>
        <w:rPr>
          <w:rFonts w:hint="eastAsia" w:ascii="宋体" w:hAnsi="宋体" w:eastAsia="宋体" w:cs="宋体"/>
          <w:color w:val="auto"/>
          <w:spacing w:val="-2"/>
          <w:sz w:val="24"/>
          <w:szCs w:val="24"/>
          <w:highlight w:val="none"/>
        </w:rPr>
        <w:t>gp.gdzwfw.gov.cn/ggzy-portal/#/44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0200/index）服务指南栏目发布的最新版操作指引。</w:t>
      </w:r>
    </w:p>
    <w:p w14:paraId="4A971265">
      <w:pPr>
        <w:spacing w:before="113"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补救方案：</w:t>
      </w:r>
    </w:p>
    <w:p w14:paraId="7A8EA2AD">
      <w:pPr>
        <w:spacing w:before="115"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12.2.1  </w:t>
      </w:r>
      <w:r>
        <w:rPr>
          <w:rFonts w:hint="eastAsia" w:ascii="宋体" w:hAnsi="宋体" w:eastAsia="宋体" w:cs="宋体"/>
          <w:color w:val="auto"/>
          <w:spacing w:val="-1"/>
          <w:sz w:val="24"/>
          <w:szCs w:val="24"/>
          <w:highlight w:val="none"/>
        </w:rPr>
        <w:t>投标文件解密失败的补救方案：</w:t>
      </w:r>
    </w:p>
    <w:p w14:paraId="1A442433">
      <w:pPr>
        <w:spacing w:before="115" w:line="298" w:lineRule="auto"/>
        <w:ind w:right="81"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在规定时间内，因投标人之外原因(指网络瘫痪、服务器损坏、交易系统故障短期无法恢复)等导致的电子投标文件解密失败，在开标现场解密环节由代理授权后，</w:t>
      </w:r>
      <w:r>
        <w:rPr>
          <w:rFonts w:hint="eastAsia" w:ascii="宋体" w:hAnsi="宋体" w:eastAsia="宋体" w:cs="宋体"/>
          <w:color w:val="auto"/>
          <w:spacing w:val="1"/>
          <w:sz w:val="24"/>
          <w:szCs w:val="24"/>
          <w:highlight w:val="none"/>
        </w:rPr>
        <w:t>解密失败投标人可在建设工程交易系统在规定时间（代理机构授权后</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1"/>
          <w:sz w:val="24"/>
          <w:szCs w:val="24"/>
          <w:highlight w:val="none"/>
        </w:rPr>
        <w:t>30</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1"/>
          <w:sz w:val="24"/>
          <w:szCs w:val="24"/>
          <w:highlight w:val="none"/>
        </w:rPr>
        <w:t>分钟内）内</w:t>
      </w:r>
      <w:bookmarkStart w:id="59" w:name="bookmark122"/>
      <w:bookmarkEnd w:id="59"/>
      <w:r>
        <w:rPr>
          <w:rFonts w:hint="eastAsia" w:ascii="宋体" w:hAnsi="宋体" w:eastAsia="宋体" w:cs="宋体"/>
          <w:color w:val="auto"/>
          <w:spacing w:val="-1"/>
          <w:sz w:val="24"/>
          <w:szCs w:val="24"/>
          <w:highlight w:val="none"/>
        </w:rPr>
        <w:t>重新提交投标文件继续开标程序。</w:t>
      </w:r>
    </w:p>
    <w:p w14:paraId="5817A97D">
      <w:pPr>
        <w:spacing w:before="114"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12.2.2  </w:t>
      </w:r>
      <w:r>
        <w:rPr>
          <w:rFonts w:hint="eastAsia" w:ascii="宋体" w:hAnsi="宋体" w:eastAsia="宋体" w:cs="宋体"/>
          <w:color w:val="auto"/>
          <w:spacing w:val="-1"/>
          <w:sz w:val="24"/>
          <w:szCs w:val="24"/>
          <w:highlight w:val="none"/>
        </w:rPr>
        <w:t>评标时突发情况的补救方案</w:t>
      </w:r>
    </w:p>
    <w:p w14:paraId="6CD392CD">
      <w:pPr>
        <w:spacing w:before="114" w:line="303" w:lineRule="auto"/>
        <w:ind w:right="81" w:firstLine="47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在评标过程中，因主场或副场网络故障、电子设备或者</w:t>
      </w:r>
      <w:r>
        <w:rPr>
          <w:rFonts w:hint="eastAsia" w:ascii="宋体" w:hAnsi="宋体" w:eastAsia="宋体" w:cs="宋体"/>
          <w:color w:val="auto"/>
          <w:spacing w:val="-2"/>
          <w:sz w:val="24"/>
          <w:szCs w:val="24"/>
          <w:highlight w:val="none"/>
        </w:rPr>
        <w:t>评标系统故障，以及其他</w:t>
      </w:r>
      <w:r>
        <w:rPr>
          <w:rFonts w:hint="eastAsia" w:ascii="宋体" w:hAnsi="宋体" w:eastAsia="宋体" w:cs="宋体"/>
          <w:color w:val="auto"/>
          <w:spacing w:val="-3"/>
          <w:sz w:val="24"/>
          <w:szCs w:val="24"/>
          <w:highlight w:val="none"/>
        </w:rPr>
        <w:t>原因导致无法继续进行评标时，在</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小时以内解除故障的可继续评标，超过</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小时无</w:t>
      </w:r>
      <w:r>
        <w:rPr>
          <w:rFonts w:hint="eastAsia" w:ascii="宋体" w:hAnsi="宋体" w:eastAsia="宋体" w:cs="宋体"/>
          <w:color w:val="auto"/>
          <w:spacing w:val="-1"/>
          <w:sz w:val="24"/>
          <w:szCs w:val="24"/>
          <w:highlight w:val="none"/>
        </w:rPr>
        <w:t>法解除故障的，由招标人确定是否进行评标。如延期评标，</w:t>
      </w:r>
      <w:r>
        <w:rPr>
          <w:rFonts w:hint="eastAsia" w:ascii="宋体" w:hAnsi="宋体" w:eastAsia="宋体" w:cs="宋体"/>
          <w:color w:val="auto"/>
          <w:spacing w:val="-2"/>
          <w:sz w:val="24"/>
          <w:szCs w:val="24"/>
          <w:highlight w:val="none"/>
        </w:rPr>
        <w:t>招标人及参与评标活动的</w:t>
      </w:r>
      <w:r>
        <w:rPr>
          <w:rFonts w:hint="eastAsia" w:ascii="宋体" w:hAnsi="宋体" w:eastAsia="宋体" w:cs="宋体"/>
          <w:color w:val="auto"/>
          <w:spacing w:val="-1"/>
          <w:sz w:val="24"/>
          <w:szCs w:val="24"/>
          <w:highlight w:val="none"/>
        </w:rPr>
        <w:t>各方主体及其有关工作人员应当配合主场、副场做好招投标</w:t>
      </w:r>
      <w:r>
        <w:rPr>
          <w:rFonts w:hint="eastAsia" w:ascii="宋体" w:hAnsi="宋体" w:eastAsia="宋体" w:cs="宋体"/>
          <w:color w:val="auto"/>
          <w:spacing w:val="-2"/>
          <w:sz w:val="24"/>
          <w:szCs w:val="24"/>
          <w:highlight w:val="none"/>
        </w:rPr>
        <w:t>资料的封存和保密工作，</w:t>
      </w:r>
      <w:r>
        <w:rPr>
          <w:rFonts w:hint="eastAsia" w:ascii="宋体" w:hAnsi="宋体" w:eastAsia="宋体" w:cs="宋体"/>
          <w:color w:val="auto"/>
          <w:spacing w:val="-1"/>
          <w:sz w:val="24"/>
          <w:szCs w:val="24"/>
          <w:highlight w:val="none"/>
        </w:rPr>
        <w:t>另行组建评标委员会重新评标。原评标委员会成员应当对评</w:t>
      </w:r>
      <w:r>
        <w:rPr>
          <w:rFonts w:hint="eastAsia" w:ascii="宋体" w:hAnsi="宋体" w:eastAsia="宋体" w:cs="宋体"/>
          <w:color w:val="auto"/>
          <w:spacing w:val="-2"/>
          <w:sz w:val="24"/>
          <w:szCs w:val="24"/>
          <w:highlight w:val="none"/>
        </w:rPr>
        <w:t>标情况保密，不得对外透</w:t>
      </w:r>
      <w:r>
        <w:rPr>
          <w:rFonts w:hint="eastAsia" w:ascii="宋体" w:hAnsi="宋体" w:eastAsia="宋体" w:cs="宋体"/>
          <w:color w:val="auto"/>
          <w:spacing w:val="-1"/>
          <w:sz w:val="24"/>
          <w:szCs w:val="24"/>
          <w:highlight w:val="none"/>
        </w:rPr>
        <w:t>露与评标有关的任何信息与情况。</w:t>
      </w:r>
    </w:p>
    <w:p w14:paraId="01ADAA6A">
      <w:pPr>
        <w:spacing w:before="69" w:line="324" w:lineRule="auto"/>
        <w:ind w:left="11" w:right="81" w:firstLine="484"/>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12.2.3  </w:t>
      </w:r>
      <w:r>
        <w:rPr>
          <w:rFonts w:hint="eastAsia" w:ascii="宋体" w:hAnsi="宋体" w:eastAsia="宋体" w:cs="宋体"/>
          <w:color w:val="auto"/>
          <w:spacing w:val="-1"/>
          <w:sz w:val="24"/>
          <w:szCs w:val="24"/>
          <w:highlight w:val="none"/>
        </w:rPr>
        <w:t>除发生上述情况外，开标评标均以投标人（联合体投标的，由联合体牵头人）通过交易平台网上递交的电子投标文件为准。</w:t>
      </w:r>
    </w:p>
    <w:p w14:paraId="333EEC31">
      <w:pPr>
        <w:spacing w:before="78" w:line="220" w:lineRule="auto"/>
        <w:ind w:left="496"/>
        <w:outlineLvl w:val="2"/>
        <w:rPr>
          <w:rFonts w:hint="eastAsia" w:ascii="宋体" w:hAnsi="宋体" w:eastAsia="宋体" w:cs="宋体"/>
          <w:color w:val="auto"/>
          <w:sz w:val="24"/>
          <w:szCs w:val="24"/>
          <w:highlight w:val="none"/>
        </w:rPr>
      </w:pPr>
      <w:bookmarkStart w:id="60" w:name="_Toc27195"/>
      <w:bookmarkStart w:id="61" w:name="_Toc3957"/>
      <w:r>
        <w:rPr>
          <w:rFonts w:hint="eastAsia" w:ascii="宋体" w:hAnsi="宋体" w:eastAsia="宋体" w:cs="宋体"/>
          <w:b/>
          <w:bCs/>
          <w:color w:val="auto"/>
          <w:spacing w:val="-7"/>
          <w:sz w:val="24"/>
          <w:szCs w:val="24"/>
          <w:highlight w:val="none"/>
        </w:rPr>
        <w:t>13</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7"/>
          <w:sz w:val="24"/>
          <w:szCs w:val="24"/>
          <w:highlight w:val="none"/>
        </w:rPr>
        <w:t>．投标文件的提交</w:t>
      </w:r>
      <w:bookmarkEnd w:id="60"/>
      <w:bookmarkEnd w:id="61"/>
    </w:p>
    <w:p w14:paraId="7B956263">
      <w:pPr>
        <w:spacing w:before="123" w:line="278" w:lineRule="auto"/>
        <w:ind w:left="13" w:right="81"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 xml:space="preserve">13.1  </w:t>
      </w:r>
      <w:r>
        <w:rPr>
          <w:rFonts w:hint="eastAsia" w:ascii="宋体" w:hAnsi="宋体" w:eastAsia="宋体" w:cs="宋体"/>
          <w:color w:val="auto"/>
          <w:spacing w:val="-11"/>
          <w:sz w:val="24"/>
          <w:szCs w:val="24"/>
          <w:highlight w:val="none"/>
        </w:rPr>
        <w:t>在投标文件提交截止时间前，投标人通过全国公共资源交易平台（</w:t>
      </w:r>
      <w:r>
        <w:rPr>
          <w:rFonts w:hint="eastAsia" w:ascii="宋体" w:hAnsi="宋体" w:eastAsia="宋体" w:cs="宋体"/>
          <w:color w:val="auto"/>
          <w:spacing w:val="-12"/>
          <w:sz w:val="24"/>
          <w:szCs w:val="24"/>
          <w:highlight w:val="none"/>
        </w:rPr>
        <w:t>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2"/>
          <w:sz w:val="24"/>
          <w:szCs w:val="24"/>
          <w:highlight w:val="none"/>
        </w:rPr>
        <w:t>·韶</w:t>
      </w:r>
      <w:r>
        <w:rPr>
          <w:rFonts w:hint="eastAsia" w:ascii="宋体" w:hAnsi="宋体" w:eastAsia="宋体" w:cs="宋体"/>
          <w:color w:val="auto"/>
          <w:spacing w:val="-1"/>
          <w:sz w:val="24"/>
          <w:szCs w:val="24"/>
          <w:highlight w:val="none"/>
        </w:rPr>
        <w:t>关市）提交已加密投标文件。逾期提交的电子投标文</w:t>
      </w:r>
      <w:r>
        <w:rPr>
          <w:rFonts w:hint="eastAsia" w:ascii="宋体" w:hAnsi="宋体" w:eastAsia="宋体" w:cs="宋体"/>
          <w:color w:val="auto"/>
          <w:spacing w:val="-2"/>
          <w:sz w:val="24"/>
          <w:szCs w:val="24"/>
          <w:highlight w:val="none"/>
        </w:rPr>
        <w:t>件，全国公共资源交易平台（广</w:t>
      </w:r>
      <w:r>
        <w:rPr>
          <w:rFonts w:hint="eastAsia" w:ascii="宋体" w:hAnsi="宋体" w:eastAsia="宋体" w:cs="宋体"/>
          <w:color w:val="auto"/>
          <w:spacing w:val="-9"/>
          <w:sz w:val="24"/>
          <w:szCs w:val="24"/>
          <w:highlight w:val="none"/>
        </w:rPr>
        <w:t>东省</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9"/>
          <w:sz w:val="24"/>
          <w:szCs w:val="24"/>
          <w:highlight w:val="none"/>
        </w:rPr>
        <w:t>·韶关市）将予以拒收。</w:t>
      </w:r>
    </w:p>
    <w:p w14:paraId="53ED2F1C">
      <w:pPr>
        <w:spacing w:before="115"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13.2  </w:t>
      </w:r>
      <w:r>
        <w:rPr>
          <w:rFonts w:hint="eastAsia" w:ascii="宋体" w:hAnsi="宋体" w:eastAsia="宋体" w:cs="宋体"/>
          <w:color w:val="auto"/>
          <w:spacing w:val="2"/>
          <w:sz w:val="24"/>
          <w:szCs w:val="24"/>
          <w:highlight w:val="none"/>
        </w:rPr>
        <w:t>提交时间和地点：见本章第二节“重要事项时间地点一览表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p>
    <w:p w14:paraId="62E9F120">
      <w:pPr>
        <w:spacing w:before="113" w:line="279" w:lineRule="auto"/>
        <w:ind w:left="9" w:right="24"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13.3  </w:t>
      </w:r>
      <w:r>
        <w:rPr>
          <w:rFonts w:hint="eastAsia" w:ascii="宋体" w:hAnsi="宋体" w:eastAsia="宋体" w:cs="宋体"/>
          <w:color w:val="auto"/>
          <w:spacing w:val="-1"/>
          <w:sz w:val="24"/>
          <w:szCs w:val="24"/>
          <w:highlight w:val="none"/>
        </w:rPr>
        <w:t>递交时间和地点：投标人如有招标</w:t>
      </w:r>
      <w:r>
        <w:rPr>
          <w:rFonts w:hint="eastAsia" w:ascii="宋体" w:hAnsi="宋体" w:eastAsia="宋体" w:cs="宋体"/>
          <w:color w:val="auto"/>
          <w:spacing w:val="-2"/>
          <w:sz w:val="24"/>
          <w:szCs w:val="24"/>
          <w:highlight w:val="none"/>
        </w:rPr>
        <w:t>文件要求提交的用于评审的证书、证件、证明原件（附一式两份清单</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由投标人法定代表人或其委托代理人在指定的时间和</w:t>
      </w:r>
      <w:r>
        <w:rPr>
          <w:rFonts w:hint="eastAsia" w:ascii="宋体" w:hAnsi="宋体" w:eastAsia="宋体" w:cs="宋体"/>
          <w:color w:val="auto"/>
          <w:spacing w:val="-1"/>
          <w:sz w:val="24"/>
          <w:szCs w:val="24"/>
          <w:highlight w:val="none"/>
        </w:rPr>
        <w:t>地点递交（见“重要事项时间地点一览表</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w:t>
      </w:r>
    </w:p>
    <w:p w14:paraId="5E715E12">
      <w:pPr>
        <w:spacing w:before="112" w:line="219" w:lineRule="auto"/>
        <w:ind w:firstLine="478"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13.4  </w:t>
      </w:r>
      <w:r>
        <w:rPr>
          <w:rFonts w:hint="eastAsia" w:ascii="宋体" w:hAnsi="宋体" w:eastAsia="宋体" w:cs="宋体"/>
          <w:color w:val="auto"/>
          <w:spacing w:val="-1"/>
          <w:sz w:val="24"/>
          <w:szCs w:val="24"/>
          <w:highlight w:val="none"/>
        </w:rPr>
        <w:t>代理机构对因不可抗力事件造成的投</w:t>
      </w:r>
      <w:r>
        <w:rPr>
          <w:rFonts w:hint="eastAsia" w:ascii="宋体" w:hAnsi="宋体" w:eastAsia="宋体" w:cs="宋体"/>
          <w:color w:val="auto"/>
          <w:spacing w:val="-2"/>
          <w:sz w:val="24"/>
          <w:szCs w:val="24"/>
          <w:highlight w:val="none"/>
        </w:rPr>
        <w:t>标文件的损坏、丢失的，不承担责任。</w:t>
      </w:r>
    </w:p>
    <w:p w14:paraId="25A0FB95">
      <w:pPr>
        <w:spacing w:before="116"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13.5</w:t>
      </w:r>
      <w:r>
        <w:rPr>
          <w:rFonts w:hint="eastAsia" w:ascii="宋体" w:hAnsi="宋体" w:eastAsia="宋体" w:cs="宋体"/>
          <w:b/>
          <w:bCs/>
          <w:color w:val="auto"/>
          <w:spacing w:val="15"/>
          <w:sz w:val="24"/>
          <w:szCs w:val="24"/>
          <w:highlight w:val="none"/>
        </w:rPr>
        <w:t xml:space="preserve">  </w:t>
      </w:r>
      <w:r>
        <w:rPr>
          <w:rFonts w:hint="eastAsia" w:ascii="宋体" w:hAnsi="宋体" w:eastAsia="宋体" w:cs="宋体"/>
          <w:color w:val="auto"/>
          <w:spacing w:val="-1"/>
          <w:sz w:val="24"/>
          <w:szCs w:val="24"/>
          <w:highlight w:val="none"/>
        </w:rPr>
        <w:t>出现下述情形之一，属于未成功提</w:t>
      </w:r>
      <w:r>
        <w:rPr>
          <w:rFonts w:hint="eastAsia" w:ascii="宋体" w:hAnsi="宋体" w:eastAsia="宋体" w:cs="宋体"/>
          <w:color w:val="auto"/>
          <w:spacing w:val="-2"/>
          <w:sz w:val="24"/>
          <w:szCs w:val="24"/>
          <w:highlight w:val="none"/>
        </w:rPr>
        <w:t>交投标文件，按无效投标处理：</w:t>
      </w:r>
    </w:p>
    <w:p w14:paraId="3D4C9CF9">
      <w:pPr>
        <w:spacing w:before="115" w:line="219"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（1）至提交投标文件截止时，投标文件未完整上传及提交标书；</w:t>
      </w:r>
    </w:p>
    <w:p w14:paraId="353C3646">
      <w:pPr>
        <w:spacing w:before="114" w:line="220"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（2）解密失败且在规定时间内未重新提交投标文件的；</w:t>
      </w:r>
    </w:p>
    <w:p w14:paraId="7B619256">
      <w:pPr>
        <w:spacing w:before="115" w:line="220"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（3）投标文件损坏或格式不正确的；</w:t>
      </w:r>
    </w:p>
    <w:p w14:paraId="11C2E9ED">
      <w:pPr>
        <w:spacing w:before="115"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13.6  </w:t>
      </w:r>
      <w:r>
        <w:rPr>
          <w:rFonts w:hint="eastAsia" w:ascii="宋体" w:hAnsi="宋体" w:eastAsia="宋体" w:cs="宋体"/>
          <w:color w:val="auto"/>
          <w:spacing w:val="-1"/>
          <w:sz w:val="24"/>
          <w:szCs w:val="24"/>
          <w:highlight w:val="none"/>
        </w:rPr>
        <w:t>联合体投标的，由联合体牵头人按以上要求递交相关资料。</w:t>
      </w:r>
    </w:p>
    <w:p w14:paraId="7D85F89B">
      <w:pPr>
        <w:spacing w:before="113" w:line="279" w:lineRule="auto"/>
        <w:ind w:left="9" w:right="24" w:firstLine="48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13.7  </w:t>
      </w:r>
      <w:r>
        <w:rPr>
          <w:rFonts w:hint="eastAsia" w:ascii="宋体" w:hAnsi="宋体" w:eastAsia="宋体" w:cs="宋体"/>
          <w:color w:val="auto"/>
          <w:spacing w:val="-2"/>
          <w:sz w:val="24"/>
          <w:szCs w:val="24"/>
          <w:highlight w:val="none"/>
        </w:rPr>
        <w:t>招标人或其授权的招标代理机构核对、接收投标人递交的投标相关资料后，</w:t>
      </w:r>
      <w:r>
        <w:rPr>
          <w:rFonts w:hint="eastAsia" w:ascii="宋体" w:hAnsi="宋体" w:eastAsia="宋体" w:cs="宋体"/>
          <w:color w:val="auto"/>
          <w:spacing w:val="-1"/>
          <w:sz w:val="24"/>
          <w:szCs w:val="24"/>
          <w:highlight w:val="none"/>
        </w:rPr>
        <w:t>应向投标人出具标明签收</w:t>
      </w:r>
      <w:r>
        <w:rPr>
          <w:rFonts w:hint="eastAsia" w:ascii="宋体" w:hAnsi="宋体" w:eastAsia="宋体" w:cs="宋体"/>
          <w:color w:val="auto"/>
          <w:spacing w:val="-2"/>
          <w:sz w:val="24"/>
          <w:szCs w:val="24"/>
          <w:highlight w:val="none"/>
        </w:rPr>
        <w:t>人和签收时间的凭证，并妥善保管。</w:t>
      </w:r>
    </w:p>
    <w:p w14:paraId="460799C8">
      <w:pPr>
        <w:spacing w:before="113" w:line="279" w:lineRule="auto"/>
        <w:ind w:left="9" w:right="24"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13.8 </w:t>
      </w:r>
      <w:r>
        <w:rPr>
          <w:rFonts w:hint="eastAsia" w:ascii="宋体" w:hAnsi="宋体" w:eastAsia="宋体" w:cs="宋体"/>
          <w:color w:val="auto"/>
          <w:spacing w:val="-2"/>
          <w:sz w:val="24"/>
          <w:szCs w:val="24"/>
          <w:highlight w:val="none"/>
        </w:rPr>
        <w:t xml:space="preserve"> 本次招标投标有效期为</w:t>
      </w:r>
      <w:r>
        <w:rPr>
          <w:rFonts w:hint="eastAsia" w:ascii="宋体" w:hAnsi="宋体" w:eastAsia="宋体" w:cs="宋体"/>
          <w:color w:val="auto"/>
          <w:spacing w:val="-2"/>
          <w:sz w:val="24"/>
          <w:szCs w:val="24"/>
          <w:highlight w:val="none"/>
          <w:u w:val="single"/>
          <w:lang w:eastAsia="zh-CN"/>
        </w:rPr>
        <w:t>90</w:t>
      </w:r>
      <w:r>
        <w:rPr>
          <w:rFonts w:hint="eastAsia" w:ascii="宋体" w:hAnsi="宋体" w:eastAsia="宋体" w:cs="宋体"/>
          <w:color w:val="auto"/>
          <w:spacing w:val="-2"/>
          <w:sz w:val="24"/>
          <w:szCs w:val="24"/>
          <w:highlight w:val="none"/>
        </w:rPr>
        <w:t>个日历天，投标有效期从提交投标文件的截止之日起计算。在此期间，投标人不得撤销或修改其</w:t>
      </w:r>
      <w:r>
        <w:rPr>
          <w:rFonts w:hint="eastAsia" w:ascii="宋体" w:hAnsi="宋体" w:eastAsia="宋体" w:cs="宋体"/>
          <w:color w:val="auto"/>
          <w:spacing w:val="-7"/>
          <w:sz w:val="24"/>
          <w:szCs w:val="24"/>
          <w:highlight w:val="none"/>
        </w:rPr>
        <w:t>投标文件，否则其投标保证不予退还。</w:t>
      </w:r>
    </w:p>
    <w:p w14:paraId="107E543C">
      <w:pPr>
        <w:spacing w:before="145" w:line="221" w:lineRule="auto"/>
        <w:ind w:left="496"/>
        <w:outlineLvl w:val="2"/>
        <w:rPr>
          <w:rFonts w:hint="eastAsia" w:ascii="宋体" w:hAnsi="宋体" w:eastAsia="宋体" w:cs="宋体"/>
          <w:color w:val="auto"/>
          <w:sz w:val="24"/>
          <w:szCs w:val="24"/>
          <w:highlight w:val="none"/>
        </w:rPr>
      </w:pPr>
      <w:bookmarkStart w:id="62" w:name="_Toc22047"/>
      <w:bookmarkStart w:id="63" w:name="_Toc8365"/>
      <w:r>
        <w:rPr>
          <w:rFonts w:hint="eastAsia" w:ascii="宋体" w:hAnsi="宋体" w:eastAsia="宋体" w:cs="宋体"/>
          <w:b/>
          <w:bCs/>
          <w:color w:val="auto"/>
          <w:spacing w:val="-11"/>
          <w:sz w:val="24"/>
          <w:szCs w:val="24"/>
          <w:highlight w:val="none"/>
        </w:rPr>
        <w:t>14</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11"/>
          <w:sz w:val="24"/>
          <w:szCs w:val="24"/>
          <w:highlight w:val="none"/>
        </w:rPr>
        <w:t>．开标</w:t>
      </w:r>
      <w:bookmarkEnd w:id="62"/>
      <w:bookmarkEnd w:id="63"/>
    </w:p>
    <w:p w14:paraId="75F00E97">
      <w:pPr>
        <w:spacing w:before="155" w:line="329" w:lineRule="auto"/>
        <w:ind w:left="10" w:right="81" w:firstLine="485"/>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14.1  </w:t>
      </w:r>
      <w:r>
        <w:rPr>
          <w:rFonts w:hint="eastAsia" w:ascii="宋体" w:hAnsi="宋体" w:eastAsia="宋体" w:cs="宋体"/>
          <w:color w:val="auto"/>
          <w:spacing w:val="-3"/>
          <w:sz w:val="24"/>
          <w:szCs w:val="24"/>
          <w:highlight w:val="none"/>
        </w:rPr>
        <w:t>招标人邀请所有正确获取招标文件、电子投标、缴纳投标保证的投标人参加</w:t>
      </w:r>
      <w:r>
        <w:rPr>
          <w:rFonts w:hint="eastAsia" w:ascii="宋体" w:hAnsi="宋体" w:eastAsia="宋体" w:cs="宋体"/>
          <w:color w:val="auto"/>
          <w:spacing w:val="-1"/>
          <w:sz w:val="24"/>
          <w:szCs w:val="24"/>
          <w:highlight w:val="none"/>
        </w:rPr>
        <w:t>开标，投标人可自主决定是否参加。投标人可登陆交易平台</w:t>
      </w:r>
      <w:r>
        <w:rPr>
          <w:rFonts w:hint="eastAsia" w:ascii="宋体" w:hAnsi="宋体" w:eastAsia="宋体" w:cs="宋体"/>
          <w:color w:val="auto"/>
          <w:spacing w:val="-2"/>
          <w:sz w:val="24"/>
          <w:szCs w:val="24"/>
          <w:highlight w:val="none"/>
        </w:rPr>
        <w:t>观看开标实况、提出异议</w:t>
      </w:r>
      <w:r>
        <w:rPr>
          <w:rFonts w:hint="eastAsia" w:ascii="宋体" w:hAnsi="宋体" w:eastAsia="宋体" w:cs="宋体"/>
          <w:color w:val="auto"/>
          <w:spacing w:val="-1"/>
          <w:sz w:val="24"/>
          <w:szCs w:val="24"/>
          <w:highlight w:val="none"/>
        </w:rPr>
        <w:t>或进行澄清、确认等操作（具体按招标文件和系统操作手册</w:t>
      </w:r>
      <w:r>
        <w:rPr>
          <w:rFonts w:hint="eastAsia" w:ascii="宋体" w:hAnsi="宋体" w:eastAsia="宋体" w:cs="宋体"/>
          <w:color w:val="auto"/>
          <w:spacing w:val="-2"/>
          <w:sz w:val="24"/>
          <w:szCs w:val="24"/>
          <w:highlight w:val="none"/>
        </w:rPr>
        <w:t>为准）。投标人不参加开</w:t>
      </w:r>
      <w:bookmarkStart w:id="64" w:name="bookmark123"/>
      <w:bookmarkEnd w:id="64"/>
      <w:r>
        <w:rPr>
          <w:rFonts w:hint="eastAsia" w:ascii="宋体" w:hAnsi="宋体" w:eastAsia="宋体" w:cs="宋体"/>
          <w:color w:val="auto"/>
          <w:sz w:val="24"/>
          <w:szCs w:val="24"/>
          <w:highlight w:val="none"/>
        </w:rPr>
        <w:t>标的，视其默认开标结果，以及放弃在开标期间见证、</w:t>
      </w:r>
      <w:r>
        <w:rPr>
          <w:rFonts w:hint="eastAsia" w:ascii="宋体" w:hAnsi="宋体" w:eastAsia="宋体" w:cs="宋体"/>
          <w:color w:val="auto"/>
          <w:spacing w:val="-1"/>
          <w:sz w:val="24"/>
          <w:szCs w:val="24"/>
          <w:highlight w:val="none"/>
        </w:rPr>
        <w:t>监督、投诉、申辩的权利。</w:t>
      </w:r>
    </w:p>
    <w:p w14:paraId="00A653CA">
      <w:pPr>
        <w:spacing w:before="156"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14.1.1  </w:t>
      </w:r>
      <w:r>
        <w:rPr>
          <w:rFonts w:hint="eastAsia" w:ascii="宋体" w:hAnsi="宋体" w:eastAsia="宋体" w:cs="宋体"/>
          <w:color w:val="auto"/>
          <w:sz w:val="24"/>
          <w:szCs w:val="24"/>
          <w:highlight w:val="none"/>
        </w:rPr>
        <w:t>开标时间和地点：见本章第</w:t>
      </w:r>
      <w:r>
        <w:rPr>
          <w:rFonts w:hint="eastAsia" w:ascii="宋体" w:hAnsi="宋体" w:eastAsia="宋体" w:cs="宋体"/>
          <w:color w:val="auto"/>
          <w:spacing w:val="-1"/>
          <w:sz w:val="24"/>
          <w:szCs w:val="24"/>
          <w:highlight w:val="none"/>
        </w:rPr>
        <w:t>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w:t>
      </w:r>
    </w:p>
    <w:p w14:paraId="71327C70">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 xml:space="preserve">14.1.2 </w:t>
      </w:r>
      <w:r>
        <w:rPr>
          <w:rFonts w:hint="eastAsia" w:ascii="宋体" w:hAnsi="宋体" w:eastAsia="宋体" w:cs="宋体"/>
          <w:color w:val="auto"/>
          <w:spacing w:val="-7"/>
          <w:sz w:val="24"/>
          <w:szCs w:val="24"/>
          <w:highlight w:val="none"/>
        </w:rPr>
        <w:t>开标前</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7"/>
          <w:sz w:val="24"/>
          <w:szCs w:val="24"/>
          <w:highlight w:val="none"/>
        </w:rPr>
        <w:t>24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7"/>
          <w:sz w:val="24"/>
          <w:szCs w:val="24"/>
          <w:highlight w:val="none"/>
        </w:rPr>
        <w:t>小时，若建设工程交易系统显示缴</w:t>
      </w:r>
      <w:r>
        <w:rPr>
          <w:rFonts w:hint="eastAsia" w:ascii="宋体" w:hAnsi="宋体" w:eastAsia="宋体" w:cs="宋体"/>
          <w:color w:val="auto"/>
          <w:spacing w:val="-8"/>
          <w:sz w:val="24"/>
          <w:szCs w:val="24"/>
          <w:highlight w:val="none"/>
        </w:rPr>
        <w:t>纳投标保证（包括投标保证金、</w:t>
      </w:r>
      <w:r>
        <w:rPr>
          <w:rFonts w:hint="eastAsia" w:ascii="宋体" w:hAnsi="宋体" w:eastAsia="宋体" w:cs="宋体"/>
          <w:color w:val="auto"/>
          <w:spacing w:val="-2"/>
          <w:sz w:val="24"/>
          <w:szCs w:val="24"/>
          <w:highlight w:val="none"/>
        </w:rPr>
        <w:t>投标保证担保、投标保证保险）的投标人数量不足</w:t>
      </w:r>
      <w:r>
        <w:rPr>
          <w:rFonts w:hint="eastAsia" w:ascii="宋体" w:hAnsi="宋体" w:eastAsia="宋体" w:cs="宋体"/>
          <w:color w:val="auto"/>
          <w:spacing w:val="-42"/>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个时，招标人将取消原定于次日</w:t>
      </w:r>
      <w:r>
        <w:rPr>
          <w:rFonts w:hint="eastAsia" w:ascii="宋体" w:hAnsi="宋体" w:eastAsia="宋体" w:cs="宋体"/>
          <w:color w:val="auto"/>
          <w:spacing w:val="-1"/>
          <w:sz w:val="24"/>
          <w:szCs w:val="24"/>
          <w:highlight w:val="none"/>
        </w:rPr>
        <w:t>召开的开标活动。投标人可在投标保证缴纳截止时间（见本章</w:t>
      </w:r>
      <w:r>
        <w:rPr>
          <w:rFonts w:hint="eastAsia" w:ascii="宋体" w:hAnsi="宋体" w:eastAsia="宋体" w:cs="宋体"/>
          <w:color w:val="auto"/>
          <w:spacing w:val="-2"/>
          <w:sz w:val="24"/>
          <w:szCs w:val="24"/>
          <w:highlight w:val="none"/>
        </w:rPr>
        <w:t>第二节“重要事项时间</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”）至电子投标截止时间（见本章第二节“重要事项时间地点一览</w:t>
      </w:r>
      <w:r>
        <w:rPr>
          <w:rFonts w:hint="eastAsia" w:ascii="宋体" w:hAnsi="宋体" w:eastAsia="宋体" w:cs="宋体"/>
          <w:color w:val="auto"/>
          <w:spacing w:val="-2"/>
          <w:sz w:val="24"/>
          <w:szCs w:val="24"/>
          <w:highlight w:val="none"/>
        </w:rPr>
        <w:t>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期间登录全国公共资源交易平台（广东省</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22"/>
          <w:sz w:val="24"/>
          <w:szCs w:val="24"/>
          <w:highlight w:val="none"/>
        </w:rPr>
        <w:t>）（</w:t>
      </w:r>
      <w:r>
        <w:rPr>
          <w:rFonts w:hint="eastAsia" w:ascii="宋体" w:hAnsi="宋体" w:eastAsia="宋体" w:cs="宋体"/>
          <w:color w:val="auto"/>
          <w:spacing w:val="-2"/>
          <w:sz w:val="24"/>
          <w:szCs w:val="24"/>
          <w:highlight w:val="none"/>
        </w:rPr>
        <w:t>https://ygp.gdzwfw.gov.cn/</w:t>
      </w:r>
      <w:r>
        <w:rPr>
          <w:rFonts w:hint="eastAsia" w:ascii="宋体" w:hAnsi="宋体" w:eastAsia="宋体" w:cs="宋体"/>
          <w:color w:val="auto"/>
          <w:sz w:val="24"/>
          <w:szCs w:val="24"/>
          <w:highlight w:val="none"/>
        </w:rPr>
        <w:t xml:space="preserve"> ggzy-portal/#/440200/index）查询是否发布了取</w:t>
      </w:r>
      <w:r>
        <w:rPr>
          <w:rFonts w:hint="eastAsia" w:ascii="宋体" w:hAnsi="宋体" w:eastAsia="宋体" w:cs="宋体"/>
          <w:color w:val="auto"/>
          <w:spacing w:val="-1"/>
          <w:sz w:val="24"/>
          <w:szCs w:val="24"/>
          <w:highlight w:val="none"/>
        </w:rPr>
        <w:t>消开标活动的相关信息。</w:t>
      </w:r>
    </w:p>
    <w:p w14:paraId="0CFC9414">
      <w:pPr>
        <w:spacing w:before="159" w:line="319" w:lineRule="auto"/>
        <w:ind w:left="10" w:right="80" w:firstLine="49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14.1.3</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本项目实行全流程电子化招标投标，投标人在交易平台按要求上传加盖电</w:t>
      </w:r>
      <w:r>
        <w:rPr>
          <w:rFonts w:hint="eastAsia" w:ascii="宋体" w:hAnsi="宋体" w:eastAsia="宋体" w:cs="宋体"/>
          <w:color w:val="auto"/>
          <w:spacing w:val="-1"/>
          <w:sz w:val="24"/>
          <w:szCs w:val="24"/>
          <w:highlight w:val="none"/>
        </w:rPr>
        <w:t>子印章并经加密的电子投标文件，并在交易平台录入准确的</w:t>
      </w:r>
      <w:r>
        <w:rPr>
          <w:rFonts w:hint="eastAsia" w:ascii="宋体" w:hAnsi="宋体" w:eastAsia="宋体" w:cs="宋体"/>
          <w:color w:val="auto"/>
          <w:spacing w:val="-2"/>
          <w:sz w:val="24"/>
          <w:szCs w:val="24"/>
          <w:highlight w:val="none"/>
        </w:rPr>
        <w:t>页码信息即可完成在线投</w:t>
      </w:r>
      <w:r>
        <w:rPr>
          <w:rFonts w:hint="eastAsia" w:ascii="宋体" w:hAnsi="宋体" w:eastAsia="宋体" w:cs="宋体"/>
          <w:color w:val="auto"/>
          <w:spacing w:val="-1"/>
          <w:sz w:val="24"/>
          <w:szCs w:val="24"/>
          <w:highlight w:val="none"/>
        </w:rPr>
        <w:t>标</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由于投标人原因导致未按投标截至时限上传完整投标文</w:t>
      </w:r>
      <w:r>
        <w:rPr>
          <w:rFonts w:hint="eastAsia" w:ascii="宋体" w:hAnsi="宋体" w:eastAsia="宋体" w:cs="宋体"/>
          <w:color w:val="auto"/>
          <w:spacing w:val="-2"/>
          <w:sz w:val="24"/>
          <w:szCs w:val="24"/>
          <w:highlight w:val="none"/>
        </w:rPr>
        <w:t>件、在交易平台中上传的</w:t>
      </w:r>
      <w:r>
        <w:rPr>
          <w:rFonts w:hint="eastAsia" w:ascii="宋体" w:hAnsi="宋体" w:eastAsia="宋体" w:cs="宋体"/>
          <w:color w:val="auto"/>
          <w:spacing w:val="-1"/>
          <w:sz w:val="24"/>
          <w:szCs w:val="24"/>
          <w:highlight w:val="none"/>
        </w:rPr>
        <w:t>投标文件无法解密、投标文件损坏或格式不正确、投标文件</w:t>
      </w:r>
      <w:r>
        <w:rPr>
          <w:rFonts w:hint="eastAsia" w:ascii="宋体" w:hAnsi="宋体" w:eastAsia="宋体" w:cs="宋体"/>
          <w:color w:val="auto"/>
          <w:spacing w:val="-2"/>
          <w:sz w:val="24"/>
          <w:szCs w:val="24"/>
          <w:highlight w:val="none"/>
        </w:rPr>
        <w:t>未按招标文件要求加盖电</w:t>
      </w:r>
      <w:r>
        <w:rPr>
          <w:rFonts w:hint="eastAsia" w:ascii="宋体" w:hAnsi="宋体" w:eastAsia="宋体" w:cs="宋体"/>
          <w:color w:val="auto"/>
          <w:spacing w:val="-1"/>
          <w:sz w:val="24"/>
          <w:szCs w:val="24"/>
          <w:highlight w:val="none"/>
        </w:rPr>
        <w:t>子印章或电子印章不完整、电子投标文件解密失败且未按要</w:t>
      </w:r>
      <w:r>
        <w:rPr>
          <w:rFonts w:hint="eastAsia" w:ascii="宋体" w:hAnsi="宋体" w:eastAsia="宋体" w:cs="宋体"/>
          <w:color w:val="auto"/>
          <w:spacing w:val="-2"/>
          <w:sz w:val="24"/>
          <w:szCs w:val="24"/>
          <w:highlight w:val="none"/>
        </w:rPr>
        <w:t>求上传备用投标文件等情</w:t>
      </w:r>
      <w:r>
        <w:rPr>
          <w:rFonts w:hint="eastAsia" w:ascii="宋体" w:hAnsi="宋体" w:eastAsia="宋体" w:cs="宋体"/>
          <w:color w:val="auto"/>
          <w:spacing w:val="-1"/>
          <w:sz w:val="24"/>
          <w:szCs w:val="24"/>
          <w:highlight w:val="none"/>
        </w:rPr>
        <w:t>形导致投标无效的，由投标人自行负责。</w:t>
      </w:r>
    </w:p>
    <w:p w14:paraId="164584AB">
      <w:pPr>
        <w:spacing w:before="152" w:line="221"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14.2  </w:t>
      </w:r>
      <w:r>
        <w:rPr>
          <w:rFonts w:hint="eastAsia" w:ascii="宋体" w:hAnsi="宋体" w:eastAsia="宋体" w:cs="宋体"/>
          <w:color w:val="auto"/>
          <w:spacing w:val="-2"/>
          <w:sz w:val="24"/>
          <w:szCs w:val="24"/>
          <w:highlight w:val="none"/>
        </w:rPr>
        <w:t>开标程序</w:t>
      </w:r>
    </w:p>
    <w:p w14:paraId="7F976536">
      <w:pPr>
        <w:spacing w:before="42" w:line="219" w:lineRule="auto"/>
        <w:ind w:left="501"/>
        <w:outlineLvl w:val="9"/>
        <w:rPr>
          <w:rFonts w:hint="eastAsia" w:ascii="宋体" w:hAnsi="宋体" w:eastAsia="宋体" w:cs="宋体"/>
          <w:color w:val="auto"/>
          <w:sz w:val="24"/>
          <w:szCs w:val="24"/>
          <w:highlight w:val="none"/>
        </w:rPr>
      </w:pPr>
      <w:bookmarkStart w:id="65" w:name="_Toc15587"/>
      <w:bookmarkStart w:id="66" w:name="_Toc8314"/>
      <w:bookmarkStart w:id="67" w:name="_Toc10685"/>
      <w:bookmarkStart w:id="68" w:name="_Toc10291"/>
      <w:r>
        <w:rPr>
          <w:rFonts w:hint="eastAsia" w:ascii="宋体" w:hAnsi="宋体" w:eastAsia="宋体" w:cs="宋体"/>
          <w:color w:val="auto"/>
          <w:spacing w:val="-1"/>
          <w:sz w:val="24"/>
          <w:szCs w:val="24"/>
          <w:highlight w:val="none"/>
        </w:rPr>
        <w:t>（1）主持人（招标人代表或招标人授权的招标代理机构人员）宣读开标纪律。</w:t>
      </w:r>
      <w:bookmarkEnd w:id="65"/>
      <w:bookmarkEnd w:id="66"/>
      <w:bookmarkEnd w:id="67"/>
      <w:bookmarkEnd w:id="68"/>
    </w:p>
    <w:p w14:paraId="76A1067F">
      <w:pPr>
        <w:spacing w:before="181" w:line="219" w:lineRule="auto"/>
        <w:ind w:left="501"/>
        <w:outlineLvl w:val="9"/>
        <w:rPr>
          <w:rFonts w:hint="eastAsia" w:ascii="宋体" w:hAnsi="宋体" w:eastAsia="宋体" w:cs="宋体"/>
          <w:color w:val="auto"/>
          <w:sz w:val="24"/>
          <w:szCs w:val="24"/>
          <w:highlight w:val="none"/>
        </w:rPr>
      </w:pPr>
      <w:bookmarkStart w:id="69" w:name="_Toc16292"/>
      <w:bookmarkStart w:id="70" w:name="_Toc20238"/>
      <w:bookmarkStart w:id="71" w:name="_Toc30853"/>
      <w:bookmarkStart w:id="72" w:name="_Toc2011"/>
      <w:r>
        <w:rPr>
          <w:rFonts w:hint="eastAsia" w:ascii="宋体" w:hAnsi="宋体" w:eastAsia="宋体" w:cs="宋体"/>
          <w:color w:val="auto"/>
          <w:spacing w:val="-1"/>
          <w:sz w:val="24"/>
          <w:szCs w:val="24"/>
          <w:highlight w:val="none"/>
        </w:rPr>
        <w:t>（2）主持人宣布唱标人、记录人、见证人、监督人等有关人员姓名。</w:t>
      </w:r>
      <w:bookmarkEnd w:id="69"/>
      <w:bookmarkEnd w:id="70"/>
      <w:bookmarkEnd w:id="71"/>
      <w:bookmarkEnd w:id="72"/>
    </w:p>
    <w:p w14:paraId="1D7F7354">
      <w:pPr>
        <w:spacing w:before="183" w:line="219" w:lineRule="auto"/>
        <w:ind w:left="501"/>
        <w:outlineLvl w:val="9"/>
        <w:rPr>
          <w:rFonts w:hint="eastAsia" w:ascii="宋体" w:hAnsi="宋体" w:eastAsia="宋体" w:cs="宋体"/>
          <w:color w:val="auto"/>
          <w:sz w:val="24"/>
          <w:szCs w:val="24"/>
          <w:highlight w:val="none"/>
        </w:rPr>
      </w:pPr>
      <w:bookmarkStart w:id="73" w:name="_Toc17462"/>
      <w:bookmarkStart w:id="74" w:name="_Toc26494"/>
      <w:bookmarkStart w:id="75" w:name="_Toc1974"/>
      <w:bookmarkStart w:id="76" w:name="_Toc31716"/>
      <w:r>
        <w:rPr>
          <w:rFonts w:hint="eastAsia" w:ascii="宋体" w:hAnsi="宋体" w:eastAsia="宋体" w:cs="宋体"/>
          <w:color w:val="auto"/>
          <w:spacing w:val="-1"/>
          <w:sz w:val="24"/>
          <w:szCs w:val="24"/>
          <w:highlight w:val="none"/>
        </w:rPr>
        <w:t>（3）唱标人公布在投标截止时间前进行投标文件的投标人数量和名称</w:t>
      </w:r>
      <w:bookmarkEnd w:id="73"/>
      <w:bookmarkEnd w:id="74"/>
      <w:bookmarkEnd w:id="75"/>
      <w:bookmarkEnd w:id="76"/>
    </w:p>
    <w:p w14:paraId="00438751">
      <w:pPr>
        <w:spacing w:before="181" w:line="219" w:lineRule="auto"/>
        <w:ind w:left="501"/>
        <w:outlineLvl w:val="9"/>
        <w:rPr>
          <w:rFonts w:hint="eastAsia" w:ascii="宋体" w:hAnsi="宋体" w:eastAsia="宋体" w:cs="宋体"/>
          <w:color w:val="auto"/>
          <w:sz w:val="24"/>
          <w:szCs w:val="24"/>
          <w:highlight w:val="none"/>
        </w:rPr>
      </w:pPr>
      <w:bookmarkStart w:id="77" w:name="_Toc20559"/>
      <w:bookmarkStart w:id="78" w:name="_Toc8179"/>
      <w:bookmarkStart w:id="79" w:name="_Toc27967"/>
      <w:bookmarkStart w:id="80" w:name="_Toc15860"/>
      <w:r>
        <w:rPr>
          <w:rFonts w:hint="eastAsia" w:ascii="宋体" w:hAnsi="宋体" w:eastAsia="宋体" w:cs="宋体"/>
          <w:color w:val="auto"/>
          <w:spacing w:val="2"/>
          <w:sz w:val="24"/>
          <w:szCs w:val="24"/>
          <w:highlight w:val="none"/>
        </w:rPr>
        <w:t>（4）招标代理机构会同交易场所工作人员对投标人的</w:t>
      </w:r>
      <w:r>
        <w:rPr>
          <w:rFonts w:hint="eastAsia" w:ascii="宋体" w:hAnsi="宋体" w:eastAsia="宋体" w:cs="宋体"/>
          <w:color w:val="auto"/>
          <w:spacing w:val="1"/>
          <w:sz w:val="24"/>
          <w:szCs w:val="24"/>
          <w:highlight w:val="none"/>
        </w:rPr>
        <w:t>电子投标信息进行解密，</w:t>
      </w:r>
      <w:bookmarkEnd w:id="77"/>
      <w:bookmarkEnd w:id="78"/>
      <w:bookmarkEnd w:id="79"/>
      <w:bookmarkEnd w:id="80"/>
    </w:p>
    <w:p w14:paraId="65793FAB">
      <w:pPr>
        <w:spacing w:before="183" w:line="220" w:lineRule="auto"/>
        <w:ind w:left="1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建设工程交易系统自动生成《投标保证缴纳情况表》和《开标一览表》。</w:t>
      </w:r>
    </w:p>
    <w:p w14:paraId="6923AE4B">
      <w:pPr>
        <w:spacing w:before="182" w:line="360" w:lineRule="auto"/>
        <w:ind w:firstLine="466" w:firstLineChars="200"/>
        <w:outlineLvl w:val="9"/>
        <w:rPr>
          <w:rFonts w:hint="eastAsia" w:ascii="宋体" w:hAnsi="宋体" w:eastAsia="宋体" w:cs="宋体"/>
          <w:color w:val="auto"/>
          <w:sz w:val="24"/>
          <w:szCs w:val="24"/>
          <w:highlight w:val="none"/>
        </w:rPr>
      </w:pPr>
      <w:bookmarkStart w:id="81" w:name="_Toc28266"/>
      <w:bookmarkStart w:id="82" w:name="_Toc2199"/>
      <w:bookmarkStart w:id="83" w:name="_Toc28812"/>
      <w:bookmarkStart w:id="84" w:name="_Toc26216"/>
      <w:r>
        <w:rPr>
          <w:rFonts w:hint="eastAsia" w:ascii="宋体" w:hAnsi="宋体" w:eastAsia="宋体" w:cs="宋体"/>
          <w:b/>
          <w:bCs/>
          <w:color w:val="auto"/>
          <w:spacing w:val="-4"/>
          <w:sz w:val="24"/>
          <w:szCs w:val="24"/>
          <w:highlight w:val="none"/>
        </w:rPr>
        <w:t>温馨提示：因本项目实行全流程电子化招标投标，投标人无须进行现场签到，可</w:t>
      </w:r>
      <w:bookmarkEnd w:id="81"/>
      <w:bookmarkEnd w:id="82"/>
      <w:bookmarkEnd w:id="83"/>
      <w:r>
        <w:rPr>
          <w:rFonts w:hint="eastAsia" w:ascii="宋体" w:hAnsi="宋体" w:eastAsia="宋体" w:cs="宋体"/>
          <w:b/>
          <w:bCs/>
          <w:color w:val="auto"/>
          <w:spacing w:val="-4"/>
          <w:sz w:val="24"/>
          <w:szCs w:val="24"/>
          <w:highlight w:val="none"/>
        </w:rPr>
        <w:t>登录交易平台观看开标实况、提出异议或进行澄清、确认等操作，对开标事项的异议</w:t>
      </w:r>
      <w:r>
        <w:rPr>
          <w:rFonts w:hint="eastAsia" w:ascii="宋体" w:hAnsi="宋体" w:eastAsia="宋体" w:cs="宋体"/>
          <w:b/>
          <w:bCs/>
          <w:color w:val="auto"/>
          <w:spacing w:val="-2"/>
          <w:sz w:val="24"/>
          <w:szCs w:val="24"/>
          <w:highlight w:val="none"/>
        </w:rPr>
        <w:t>未在开标期间提出的，招标</w:t>
      </w:r>
      <w:r>
        <w:rPr>
          <w:rFonts w:hint="eastAsia" w:ascii="宋体" w:hAnsi="宋体" w:eastAsia="宋体" w:cs="宋体"/>
          <w:b/>
          <w:bCs/>
          <w:color w:val="auto"/>
          <w:spacing w:val="-2"/>
          <w:sz w:val="24"/>
          <w:szCs w:val="24"/>
          <w:highlight w:val="none"/>
          <w:lang w:eastAsia="zh-CN"/>
        </w:rPr>
        <w:t>人不</w:t>
      </w:r>
      <w:r>
        <w:rPr>
          <w:rFonts w:hint="eastAsia" w:ascii="宋体" w:hAnsi="宋体" w:eastAsia="宋体" w:cs="宋体"/>
          <w:b/>
          <w:bCs/>
          <w:color w:val="auto"/>
          <w:spacing w:val="-2"/>
          <w:sz w:val="24"/>
          <w:szCs w:val="24"/>
          <w:highlight w:val="none"/>
        </w:rPr>
        <w:t>予受理。具体按招标文件和系统操作手册为</w:t>
      </w:r>
      <w:r>
        <w:rPr>
          <w:rFonts w:hint="eastAsia" w:ascii="宋体" w:hAnsi="宋体" w:eastAsia="宋体" w:cs="宋体"/>
          <w:b/>
          <w:bCs/>
          <w:color w:val="auto"/>
          <w:spacing w:val="-3"/>
          <w:sz w:val="24"/>
          <w:szCs w:val="24"/>
          <w:highlight w:val="none"/>
        </w:rPr>
        <w:t>准。</w:t>
      </w:r>
      <w:bookmarkEnd w:id="84"/>
    </w:p>
    <w:p w14:paraId="4191005C">
      <w:pPr>
        <w:spacing w:before="143" w:line="299" w:lineRule="auto"/>
        <w:ind w:left="11" w:right="80"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14.3  </w:t>
      </w:r>
      <w:r>
        <w:rPr>
          <w:rFonts w:hint="eastAsia" w:ascii="宋体" w:hAnsi="宋体" w:eastAsia="宋体" w:cs="宋体"/>
          <w:color w:val="auto"/>
          <w:spacing w:val="-3"/>
          <w:sz w:val="24"/>
          <w:szCs w:val="24"/>
          <w:highlight w:val="none"/>
        </w:rPr>
        <w:t>投标人对开标相关事项（如开标程序等）有异议的，必须在开标期间和开标</w:t>
      </w:r>
      <w:r>
        <w:rPr>
          <w:rFonts w:hint="eastAsia" w:ascii="宋体" w:hAnsi="宋体" w:eastAsia="宋体" w:cs="宋体"/>
          <w:color w:val="auto"/>
          <w:spacing w:val="-1"/>
          <w:sz w:val="24"/>
          <w:szCs w:val="24"/>
          <w:highlight w:val="none"/>
        </w:rPr>
        <w:t>现场提出，招标人或其授权的招标代理机构应当场作出答</w:t>
      </w:r>
      <w:r>
        <w:rPr>
          <w:rFonts w:hint="eastAsia" w:ascii="宋体" w:hAnsi="宋体" w:eastAsia="宋体" w:cs="宋体"/>
          <w:color w:val="auto"/>
          <w:spacing w:val="-2"/>
          <w:sz w:val="24"/>
          <w:szCs w:val="24"/>
          <w:highlight w:val="none"/>
        </w:rPr>
        <w:t>复，并记录在案。对开标事</w:t>
      </w:r>
      <w:r>
        <w:rPr>
          <w:rFonts w:hint="eastAsia" w:ascii="宋体" w:hAnsi="宋体" w:eastAsia="宋体" w:cs="宋体"/>
          <w:color w:val="auto"/>
          <w:spacing w:val="-1"/>
          <w:sz w:val="24"/>
          <w:szCs w:val="24"/>
          <w:highlight w:val="none"/>
        </w:rPr>
        <w:t>项的异议未在开标期间和开标现场提出的，招标人不予受理。</w:t>
      </w:r>
    </w:p>
    <w:p w14:paraId="0A0A76A7">
      <w:pPr>
        <w:spacing w:before="155" w:line="279" w:lineRule="auto"/>
        <w:ind w:left="8" w:right="82" w:firstLine="487"/>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14.4 </w:t>
      </w:r>
      <w:r>
        <w:rPr>
          <w:rFonts w:hint="eastAsia" w:ascii="宋体" w:hAnsi="宋体" w:eastAsia="宋体" w:cs="宋体"/>
          <w:color w:val="auto"/>
          <w:spacing w:val="-1"/>
          <w:sz w:val="24"/>
          <w:szCs w:val="24"/>
          <w:highlight w:val="none"/>
        </w:rPr>
        <w:t>招标代理机构将资料原件（如有）</w:t>
      </w:r>
      <w:r>
        <w:rPr>
          <w:rFonts w:hint="eastAsia" w:ascii="宋体" w:hAnsi="宋体" w:eastAsia="宋体" w:cs="宋体"/>
          <w:color w:val="auto"/>
          <w:spacing w:val="-2"/>
          <w:sz w:val="24"/>
          <w:szCs w:val="24"/>
          <w:highlight w:val="none"/>
        </w:rPr>
        <w:t>、《开标一览表》以及其他有关资料移交评标委员会。</w:t>
      </w:r>
    </w:p>
    <w:p w14:paraId="28569AD7">
      <w:pPr>
        <w:spacing w:before="78" w:line="221" w:lineRule="auto"/>
        <w:ind w:left="496"/>
        <w:outlineLvl w:val="2"/>
        <w:rPr>
          <w:rFonts w:hint="eastAsia" w:ascii="宋体" w:hAnsi="宋体" w:eastAsia="宋体" w:cs="宋体"/>
          <w:color w:val="auto"/>
          <w:highlight w:val="none"/>
        </w:rPr>
      </w:pPr>
      <w:bookmarkStart w:id="85" w:name="_Toc554"/>
      <w:bookmarkStart w:id="86" w:name="_Toc961"/>
      <w:r>
        <w:rPr>
          <w:rFonts w:hint="eastAsia" w:ascii="宋体" w:hAnsi="宋体" w:eastAsia="宋体" w:cs="宋体"/>
          <w:b/>
          <w:bCs/>
          <w:color w:val="auto"/>
          <w:spacing w:val="-11"/>
          <w:sz w:val="24"/>
          <w:szCs w:val="24"/>
          <w:highlight w:val="none"/>
        </w:rPr>
        <w:t>15</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11"/>
          <w:sz w:val="24"/>
          <w:szCs w:val="24"/>
          <w:highlight w:val="none"/>
        </w:rPr>
        <w:t>．评标</w:t>
      </w:r>
      <w:bookmarkEnd w:id="85"/>
      <w:bookmarkEnd w:id="86"/>
    </w:p>
    <w:p w14:paraId="22486D62">
      <w:pPr>
        <w:keepNext w:val="0"/>
        <w:keepLines w:val="0"/>
        <w:pageBreakBefore w:val="0"/>
        <w:widowControl w:val="0"/>
        <w:kinsoku/>
        <w:wordWrap w:val="0"/>
        <w:overflowPunct/>
        <w:topLinePunct w:val="0"/>
        <w:autoSpaceDE w:val="0"/>
        <w:autoSpaceDN w:val="0"/>
        <w:bidi w:val="0"/>
        <w:adjustRightInd/>
        <w:snapToGrid/>
        <w:spacing w:before="0" w:beforeLines="50" w:line="360" w:lineRule="auto"/>
        <w:ind w:firstLine="480" w:firstLineChars="200"/>
        <w:textAlignment w:val="baseline"/>
        <w:rPr>
          <w:rFonts w:hint="eastAsia" w:ascii="宋体" w:hAnsi="宋体" w:eastAsia="宋体" w:cs="宋体"/>
          <w:snapToGrid w:val="0"/>
          <w:color w:val="auto"/>
          <w:kern w:val="0"/>
          <w:sz w:val="24"/>
          <w:szCs w:val="24"/>
          <w:highlight w:val="none"/>
        </w:rPr>
      </w:pPr>
      <w:bookmarkStart w:id="87" w:name="bookmark124"/>
      <w:bookmarkEnd w:id="87"/>
      <w:r>
        <w:rPr>
          <w:rFonts w:hint="eastAsia" w:ascii="宋体" w:hAnsi="宋体" w:eastAsia="宋体" w:cs="宋体"/>
          <w:snapToGrid w:val="0"/>
          <w:color w:val="auto"/>
          <w:kern w:val="0"/>
          <w:sz w:val="24"/>
          <w:szCs w:val="24"/>
          <w:highlight w:val="none"/>
        </w:rPr>
        <w:t>评标分为初步评审和详细评审两个阶段，由评标委员会在有关部门的监督下，严格按照本招标文件指定的评标方法，对投标人的投标文件进行审查、评审。评标委员会完成评标后，评标委员会按照</w:t>
      </w:r>
      <w:r>
        <w:rPr>
          <w:rFonts w:hint="eastAsia" w:ascii="宋体" w:hAnsi="宋体" w:eastAsia="宋体" w:cs="宋体"/>
          <w:snapToGrid w:val="0"/>
          <w:color w:val="auto"/>
          <w:kern w:val="0"/>
          <w:sz w:val="24"/>
          <w:szCs w:val="24"/>
          <w:highlight w:val="none"/>
          <w:lang w:eastAsia="zh-CN"/>
        </w:rPr>
        <w:t>投标人</w:t>
      </w:r>
      <w:r>
        <w:rPr>
          <w:rFonts w:hint="eastAsia" w:ascii="宋体" w:hAnsi="宋体" w:eastAsia="宋体" w:cs="宋体"/>
          <w:snapToGrid w:val="0"/>
          <w:color w:val="auto"/>
          <w:kern w:val="0"/>
          <w:sz w:val="24"/>
          <w:szCs w:val="24"/>
          <w:highlight w:val="none"/>
        </w:rPr>
        <w:t>评审综合总得分</w:t>
      </w:r>
      <w:r>
        <w:rPr>
          <w:rFonts w:hint="eastAsia" w:ascii="宋体" w:hAnsi="宋体" w:eastAsia="宋体" w:cs="宋体"/>
          <w:snapToGrid w:val="0"/>
          <w:color w:val="auto"/>
          <w:kern w:val="0"/>
          <w:sz w:val="24"/>
          <w:szCs w:val="24"/>
          <w:highlight w:val="none"/>
          <w:lang w:eastAsia="zh-CN"/>
        </w:rPr>
        <w:t>由</w:t>
      </w:r>
      <w:r>
        <w:rPr>
          <w:rFonts w:hint="eastAsia" w:ascii="宋体" w:hAnsi="宋体" w:eastAsia="宋体" w:cs="宋体"/>
          <w:snapToGrid w:val="0"/>
          <w:color w:val="auto"/>
          <w:kern w:val="0"/>
          <w:sz w:val="24"/>
          <w:szCs w:val="24"/>
          <w:highlight w:val="none"/>
        </w:rPr>
        <w:t>高</w:t>
      </w:r>
      <w:r>
        <w:rPr>
          <w:rFonts w:hint="eastAsia" w:ascii="宋体" w:hAnsi="宋体" w:eastAsia="宋体" w:cs="宋体"/>
          <w:snapToGrid w:val="0"/>
          <w:color w:val="auto"/>
          <w:kern w:val="0"/>
          <w:sz w:val="24"/>
          <w:szCs w:val="24"/>
          <w:highlight w:val="none"/>
          <w:lang w:eastAsia="zh-CN"/>
        </w:rPr>
        <w:t>到</w:t>
      </w:r>
      <w:r>
        <w:rPr>
          <w:rFonts w:hint="eastAsia" w:ascii="宋体" w:hAnsi="宋体" w:eastAsia="宋体" w:cs="宋体"/>
          <w:snapToGrid w:val="0"/>
          <w:color w:val="auto"/>
          <w:kern w:val="0"/>
          <w:sz w:val="24"/>
          <w:szCs w:val="24"/>
          <w:highlight w:val="none"/>
        </w:rPr>
        <w:t>低的</w:t>
      </w:r>
      <w:r>
        <w:rPr>
          <w:rFonts w:hint="eastAsia" w:ascii="宋体" w:hAnsi="宋体" w:eastAsia="宋体" w:cs="宋体"/>
          <w:snapToGrid w:val="0"/>
          <w:color w:val="auto"/>
          <w:kern w:val="0"/>
          <w:sz w:val="24"/>
          <w:szCs w:val="24"/>
          <w:highlight w:val="none"/>
          <w:lang w:eastAsia="zh-CN"/>
        </w:rPr>
        <w:t>原则</w:t>
      </w:r>
      <w:r>
        <w:rPr>
          <w:rFonts w:hint="eastAsia" w:ascii="宋体" w:hAnsi="宋体" w:eastAsia="宋体" w:cs="宋体"/>
          <w:snapToGrid w:val="0"/>
          <w:color w:val="auto"/>
          <w:kern w:val="0"/>
          <w:sz w:val="24"/>
          <w:szCs w:val="24"/>
          <w:highlight w:val="none"/>
        </w:rPr>
        <w:t>,向招标人推荐</w:t>
      </w:r>
      <w:r>
        <w:rPr>
          <w:rFonts w:hint="eastAsia" w:ascii="宋体" w:hAnsi="宋体" w:eastAsia="宋体" w:cs="宋体"/>
          <w:snapToGrid w:val="0"/>
          <w:color w:val="auto"/>
          <w:kern w:val="0"/>
          <w:sz w:val="24"/>
          <w:szCs w:val="24"/>
          <w:highlight w:val="none"/>
          <w:lang w:val="en-US" w:eastAsia="zh-CN"/>
        </w:rPr>
        <w:t>已明确的</w:t>
      </w:r>
      <w:r>
        <w:rPr>
          <w:rFonts w:hint="eastAsia" w:ascii="宋体" w:hAnsi="宋体" w:eastAsia="宋体" w:cs="宋体"/>
          <w:snapToGrid w:val="0"/>
          <w:color w:val="auto"/>
          <w:kern w:val="0"/>
          <w:sz w:val="24"/>
          <w:szCs w:val="24"/>
          <w:highlight w:val="none"/>
        </w:rPr>
        <w:t>定标候选人</w:t>
      </w:r>
      <w:r>
        <w:rPr>
          <w:rFonts w:hint="eastAsia" w:ascii="宋体" w:hAnsi="宋体" w:eastAsia="宋体" w:cs="宋体"/>
          <w:snapToGrid w:val="0"/>
          <w:color w:val="auto"/>
          <w:kern w:val="0"/>
          <w:sz w:val="24"/>
          <w:szCs w:val="24"/>
          <w:highlight w:val="none"/>
          <w:lang w:eastAsia="zh-CN"/>
        </w:rPr>
        <w:t>数量</w:t>
      </w:r>
      <w:r>
        <w:rPr>
          <w:rFonts w:hint="eastAsia" w:ascii="宋体" w:hAnsi="宋体" w:eastAsia="宋体" w:cs="宋体"/>
          <w:snapToGrid w:val="0"/>
          <w:color w:val="auto"/>
          <w:kern w:val="0"/>
          <w:sz w:val="24"/>
          <w:szCs w:val="24"/>
          <w:highlight w:val="none"/>
        </w:rPr>
        <w:t>（不</w:t>
      </w:r>
      <w:r>
        <w:rPr>
          <w:rFonts w:hint="eastAsia" w:ascii="宋体" w:hAnsi="宋体" w:eastAsia="宋体" w:cs="宋体"/>
          <w:snapToGrid w:val="0"/>
          <w:color w:val="auto"/>
          <w:kern w:val="0"/>
          <w:sz w:val="24"/>
          <w:szCs w:val="24"/>
          <w:highlight w:val="none"/>
          <w:lang w:val="en-US" w:eastAsia="zh-CN"/>
        </w:rPr>
        <w:t>标明</w:t>
      </w:r>
      <w:r>
        <w:rPr>
          <w:rFonts w:hint="eastAsia" w:ascii="宋体" w:hAnsi="宋体" w:eastAsia="宋体" w:cs="宋体"/>
          <w:snapToGrid w:val="0"/>
          <w:color w:val="auto"/>
          <w:kern w:val="0"/>
          <w:sz w:val="24"/>
          <w:szCs w:val="24"/>
          <w:highlight w:val="none"/>
        </w:rPr>
        <w:t>排序），并向招标人提交由全体评标委员会成员签字的评标报告。</w:t>
      </w:r>
    </w:p>
    <w:p w14:paraId="3EC4E1AC">
      <w:pPr>
        <w:spacing w:before="38"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15.1  </w:t>
      </w:r>
      <w:r>
        <w:rPr>
          <w:rFonts w:hint="eastAsia" w:ascii="宋体" w:hAnsi="宋体" w:eastAsia="宋体" w:cs="宋体"/>
          <w:color w:val="auto"/>
          <w:spacing w:val="-2"/>
          <w:sz w:val="24"/>
          <w:szCs w:val="24"/>
          <w:highlight w:val="none"/>
        </w:rPr>
        <w:t>评标委员会</w:t>
      </w:r>
    </w:p>
    <w:p w14:paraId="09EB4182">
      <w:pPr>
        <w:wordWrap w:val="0"/>
        <w:adjustRightInd w:val="0"/>
        <w:snapToGrid w:val="0"/>
        <w:spacing w:line="360" w:lineRule="auto"/>
        <w:ind w:firstLine="478" w:firstLineChars="200"/>
        <w:rPr>
          <w:rFonts w:hint="eastAsia" w:ascii="宋体" w:hAnsi="宋体" w:eastAsia="宋体" w:cs="宋体"/>
          <w:snapToGrid w:val="0"/>
          <w:color w:val="auto"/>
          <w:kern w:val="0"/>
          <w:sz w:val="24"/>
          <w:highlight w:val="none"/>
        </w:rPr>
      </w:pPr>
      <w:r>
        <w:rPr>
          <w:rFonts w:hint="eastAsia" w:ascii="宋体" w:hAnsi="宋体" w:eastAsia="宋体" w:cs="宋体"/>
          <w:b/>
          <w:bCs/>
          <w:color w:val="auto"/>
          <w:spacing w:val="-1"/>
          <w:sz w:val="24"/>
          <w:szCs w:val="24"/>
          <w:highlight w:val="none"/>
        </w:rPr>
        <w:t xml:space="preserve">15.1.1 </w:t>
      </w:r>
      <w:r>
        <w:rPr>
          <w:rFonts w:hint="eastAsia" w:ascii="宋体" w:hAnsi="宋体" w:eastAsia="宋体" w:cs="宋体"/>
          <w:color w:val="auto"/>
          <w:sz w:val="24"/>
          <w:szCs w:val="24"/>
          <w:highlight w:val="none"/>
        </w:rPr>
        <w:t>评标委员会由</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人组成，其中招标人代表</w:t>
      </w:r>
      <w:r>
        <w:rPr>
          <w:rFonts w:hint="eastAsia" w:ascii="宋体" w:hAnsi="宋体" w:eastAsia="宋体" w:cs="宋体"/>
          <w:color w:val="auto"/>
          <w:sz w:val="24"/>
          <w:szCs w:val="24"/>
          <w:highlight w:val="none"/>
          <w:u w:val="single"/>
        </w:rPr>
        <w:t xml:space="preserve"> 0 </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人。专家从</w:t>
      </w:r>
      <w:r>
        <w:rPr>
          <w:rFonts w:hint="eastAsia" w:ascii="宋体" w:hAnsi="宋体" w:eastAsia="宋体" w:cs="宋体"/>
          <w:color w:val="auto"/>
          <w:sz w:val="24"/>
          <w:szCs w:val="24"/>
          <w:highlight w:val="none"/>
          <w:u w:val="single"/>
        </w:rPr>
        <w:t>广东省综合评标评审专家库</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韶关区域</w:t>
      </w:r>
      <w:r>
        <w:rPr>
          <w:rFonts w:hint="eastAsia" w:ascii="宋体" w:hAnsi="宋体" w:eastAsia="宋体" w:cs="宋体"/>
          <w:color w:val="auto"/>
          <w:sz w:val="24"/>
          <w:szCs w:val="24"/>
          <w:highlight w:val="none"/>
          <w:u w:val="single"/>
          <w:lang w:val="en-US" w:eastAsia="zh-CN"/>
        </w:rPr>
        <w:t>和其他区域）</w:t>
      </w:r>
      <w:r>
        <w:rPr>
          <w:rFonts w:hint="eastAsia" w:ascii="宋体" w:hAnsi="宋体" w:eastAsia="宋体" w:cs="宋体"/>
          <w:color w:val="auto"/>
          <w:sz w:val="24"/>
          <w:szCs w:val="24"/>
          <w:highlight w:val="none"/>
        </w:rPr>
        <w:t>中随机抽取，其中技术类专家</w:t>
      </w:r>
      <w:r>
        <w:rPr>
          <w:rFonts w:hint="eastAsia" w:ascii="宋体" w:hAnsi="宋体" w:eastAsia="宋体" w:cs="宋体"/>
          <w:color w:val="auto"/>
          <w:sz w:val="24"/>
          <w:szCs w:val="24"/>
          <w:highlight w:val="none"/>
          <w:u w:val="single"/>
        </w:rPr>
        <w:t xml:space="preserve"> 3 </w:t>
      </w:r>
      <w:r>
        <w:rPr>
          <w:rFonts w:hint="eastAsia" w:ascii="宋体" w:hAnsi="宋体" w:eastAsia="宋体" w:cs="宋体"/>
          <w:color w:val="auto"/>
          <w:sz w:val="24"/>
          <w:szCs w:val="24"/>
          <w:highlight w:val="none"/>
        </w:rPr>
        <w:t>人，经济类专家</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人。</w:t>
      </w:r>
      <w:r>
        <w:rPr>
          <w:rFonts w:hint="eastAsia" w:ascii="宋体" w:hAnsi="宋体" w:eastAsia="宋体" w:cs="宋体"/>
          <w:color w:val="auto"/>
          <w:spacing w:val="-1"/>
          <w:sz w:val="24"/>
          <w:szCs w:val="24"/>
          <w:highlight w:val="none"/>
        </w:rPr>
        <w:t>评标委员会设负责人，由评标委员会成员推举产生</w:t>
      </w:r>
      <w:r>
        <w:rPr>
          <w:rFonts w:hint="eastAsia" w:ascii="宋体" w:hAnsi="宋体" w:eastAsia="宋体" w:cs="宋体"/>
          <w:color w:val="auto"/>
          <w:spacing w:val="-2"/>
          <w:sz w:val="24"/>
          <w:szCs w:val="24"/>
          <w:highlight w:val="none"/>
        </w:rPr>
        <w:t>。评标委员会负责人与评</w:t>
      </w:r>
      <w:r>
        <w:rPr>
          <w:rFonts w:hint="eastAsia" w:ascii="宋体" w:hAnsi="宋体" w:eastAsia="宋体" w:cs="宋体"/>
          <w:color w:val="auto"/>
          <w:spacing w:val="-1"/>
          <w:sz w:val="24"/>
          <w:szCs w:val="24"/>
          <w:highlight w:val="none"/>
        </w:rPr>
        <w:t>标委员会的其他成员有同等的表决权。</w:t>
      </w:r>
    </w:p>
    <w:p w14:paraId="7BDFE0E6">
      <w:pPr>
        <w:wordWrap w:val="0"/>
        <w:adjustRightInd w:val="0"/>
        <w:snapToGrid w:val="0"/>
        <w:spacing w:line="360" w:lineRule="auto"/>
        <w:ind w:firstLine="474" w:firstLineChars="200"/>
        <w:rPr>
          <w:rFonts w:hint="eastAsia" w:ascii="宋体" w:hAnsi="宋体" w:eastAsia="宋体" w:cs="宋体"/>
          <w:snapToGrid w:val="0"/>
          <w:color w:val="auto"/>
          <w:kern w:val="0"/>
          <w:sz w:val="24"/>
          <w:highlight w:val="none"/>
        </w:rPr>
      </w:pPr>
      <w:r>
        <w:rPr>
          <w:rFonts w:hint="eastAsia" w:ascii="宋体" w:hAnsi="宋体" w:eastAsia="宋体" w:cs="宋体"/>
          <w:b/>
          <w:bCs/>
          <w:color w:val="auto"/>
          <w:spacing w:val="-2"/>
          <w:sz w:val="24"/>
          <w:szCs w:val="24"/>
          <w:highlight w:val="none"/>
        </w:rPr>
        <w:t>15.1.2</w:t>
      </w:r>
      <w:r>
        <w:rPr>
          <w:rFonts w:hint="eastAsia" w:ascii="宋体" w:hAnsi="宋体" w:eastAsia="宋体" w:cs="宋体"/>
          <w:snapToGrid w:val="0"/>
          <w:color w:val="auto"/>
          <w:kern w:val="0"/>
          <w:sz w:val="24"/>
          <w:highlight w:val="none"/>
        </w:rPr>
        <w:t xml:space="preserve"> </w:t>
      </w:r>
      <w:r>
        <w:rPr>
          <w:rFonts w:hint="eastAsia" w:ascii="宋体" w:hAnsi="宋体" w:eastAsia="宋体" w:cs="宋体"/>
          <w:snapToGrid w:val="0"/>
          <w:color w:val="auto"/>
          <w:kern w:val="0"/>
          <w:sz w:val="24"/>
          <w:highlight w:val="none"/>
          <w:lang w:eastAsia="zh-CN"/>
        </w:rPr>
        <w:t>评标专家</w:t>
      </w:r>
      <w:r>
        <w:rPr>
          <w:rFonts w:hint="eastAsia" w:ascii="宋体" w:hAnsi="宋体" w:eastAsia="宋体" w:cs="宋体"/>
          <w:snapToGrid w:val="0"/>
          <w:color w:val="auto"/>
          <w:kern w:val="0"/>
          <w:sz w:val="24"/>
          <w:highlight w:val="none"/>
        </w:rPr>
        <w:t>应按时参加评标活动，自觉遵守工作纪律和服从现场管理</w:t>
      </w:r>
      <w:r>
        <w:rPr>
          <w:rFonts w:hint="eastAsia" w:ascii="宋体" w:hAnsi="宋体" w:eastAsia="宋体" w:cs="宋体"/>
          <w:snapToGrid w:val="0"/>
          <w:color w:val="auto"/>
          <w:kern w:val="0"/>
          <w:sz w:val="24"/>
          <w:highlight w:val="none"/>
          <w:lang w:eastAsia="zh-CN"/>
        </w:rPr>
        <w:t>。</w:t>
      </w:r>
      <w:r>
        <w:rPr>
          <w:rFonts w:hint="eastAsia" w:ascii="宋体" w:hAnsi="宋体" w:eastAsia="宋体" w:cs="宋体"/>
          <w:snapToGrid w:val="0"/>
          <w:color w:val="auto"/>
          <w:kern w:val="0"/>
          <w:sz w:val="24"/>
          <w:highlight w:val="none"/>
        </w:rPr>
        <w:t>采用远程异地评标方式评标的</w:t>
      </w:r>
      <w:r>
        <w:rPr>
          <w:rFonts w:hint="eastAsia" w:ascii="宋体" w:hAnsi="宋体" w:eastAsia="宋体" w:cs="宋体"/>
          <w:snapToGrid w:val="0"/>
          <w:color w:val="auto"/>
          <w:kern w:val="0"/>
          <w:sz w:val="24"/>
          <w:highlight w:val="none"/>
          <w:lang w:eastAsia="zh-CN"/>
        </w:rPr>
        <w:t>，</w:t>
      </w:r>
      <w:r>
        <w:rPr>
          <w:rFonts w:hint="eastAsia" w:ascii="宋体" w:hAnsi="宋体" w:eastAsia="宋体" w:cs="宋体"/>
          <w:snapToGrid w:val="0"/>
          <w:color w:val="auto"/>
          <w:kern w:val="0"/>
          <w:sz w:val="24"/>
          <w:highlight w:val="none"/>
        </w:rPr>
        <w:t>主场、副场各自负责本场所</w:t>
      </w:r>
      <w:r>
        <w:rPr>
          <w:rFonts w:hint="eastAsia" w:ascii="宋体" w:hAnsi="宋体" w:eastAsia="宋体" w:cs="宋体"/>
          <w:snapToGrid w:val="0"/>
          <w:color w:val="auto"/>
          <w:kern w:val="0"/>
          <w:sz w:val="24"/>
          <w:highlight w:val="none"/>
          <w:lang w:eastAsia="zh-CN"/>
        </w:rPr>
        <w:t>评标委员会</w:t>
      </w:r>
      <w:r>
        <w:rPr>
          <w:rFonts w:hint="eastAsia" w:ascii="宋体" w:hAnsi="宋体" w:eastAsia="宋体" w:cs="宋体"/>
          <w:snapToGrid w:val="0"/>
          <w:color w:val="auto"/>
          <w:kern w:val="0"/>
          <w:sz w:val="24"/>
          <w:highlight w:val="none"/>
        </w:rPr>
        <w:t>成员身份核验和签到工作，统一保管其通讯工具，指引评标专家至远程异地评标室，并为其提供技术协助和服务。在评标过程中如遇评标专家对投标文件存在疑问或意见分歧的，应由</w:t>
      </w:r>
      <w:r>
        <w:rPr>
          <w:rFonts w:hint="eastAsia" w:ascii="宋体" w:hAnsi="宋体" w:eastAsia="宋体" w:cs="宋体"/>
          <w:snapToGrid w:val="0"/>
          <w:color w:val="auto"/>
          <w:kern w:val="0"/>
          <w:sz w:val="24"/>
          <w:highlight w:val="none"/>
          <w:lang w:eastAsia="zh-CN"/>
        </w:rPr>
        <w:t>评标委员会</w:t>
      </w:r>
      <w:r>
        <w:rPr>
          <w:rFonts w:hint="eastAsia" w:ascii="宋体" w:hAnsi="宋体" w:eastAsia="宋体" w:cs="宋体"/>
          <w:snapToGrid w:val="0"/>
          <w:color w:val="auto"/>
          <w:kern w:val="0"/>
          <w:sz w:val="24"/>
          <w:highlight w:val="none"/>
        </w:rPr>
        <w:t>成员推举产生</w:t>
      </w:r>
      <w:r>
        <w:rPr>
          <w:rFonts w:hint="eastAsia" w:ascii="宋体" w:hAnsi="宋体" w:eastAsia="宋体" w:cs="宋体"/>
          <w:snapToGrid w:val="0"/>
          <w:color w:val="auto"/>
          <w:kern w:val="0"/>
          <w:sz w:val="24"/>
          <w:highlight w:val="none"/>
          <w:lang w:eastAsia="zh-CN"/>
        </w:rPr>
        <w:t>的评标委员会组长</w:t>
      </w:r>
      <w:r>
        <w:rPr>
          <w:rFonts w:hint="eastAsia" w:ascii="宋体" w:hAnsi="宋体" w:eastAsia="宋体" w:cs="宋体"/>
          <w:snapToGrid w:val="0"/>
          <w:color w:val="auto"/>
          <w:kern w:val="0"/>
          <w:sz w:val="24"/>
          <w:highlight w:val="none"/>
        </w:rPr>
        <w:t>组织</w:t>
      </w:r>
      <w:r>
        <w:rPr>
          <w:rFonts w:hint="eastAsia" w:ascii="宋体" w:hAnsi="宋体" w:eastAsia="宋体" w:cs="宋体"/>
          <w:snapToGrid w:val="0"/>
          <w:color w:val="auto"/>
          <w:kern w:val="0"/>
          <w:sz w:val="24"/>
          <w:highlight w:val="none"/>
          <w:lang w:eastAsia="zh-CN"/>
        </w:rPr>
        <w:t>各</w:t>
      </w:r>
      <w:r>
        <w:rPr>
          <w:rFonts w:hint="eastAsia" w:ascii="宋体" w:hAnsi="宋体" w:eastAsia="宋体" w:cs="宋体"/>
          <w:snapToGrid w:val="0"/>
          <w:color w:val="auto"/>
          <w:kern w:val="0"/>
          <w:sz w:val="24"/>
          <w:highlight w:val="none"/>
        </w:rPr>
        <w:t>成员协商讨论。在评标过程中需要进行讨论或者通过实名投票方式表决意见的，应当通过视频会议系统进行，并做好相关记录。</w:t>
      </w:r>
    </w:p>
    <w:p w14:paraId="06660103">
      <w:pPr>
        <w:wordWrap w:val="0"/>
        <w:adjustRightInd w:val="0"/>
        <w:snapToGrid w:val="0"/>
        <w:spacing w:line="360" w:lineRule="auto"/>
        <w:ind w:firstLine="482" w:firstLineChars="200"/>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lang w:val="en-US" w:eastAsia="zh-CN"/>
        </w:rPr>
        <w:t xml:space="preserve">15.1.3 </w:t>
      </w:r>
      <w:r>
        <w:rPr>
          <w:rFonts w:hint="eastAsia" w:ascii="宋体" w:hAnsi="宋体" w:eastAsia="宋体" w:cs="宋体"/>
          <w:snapToGrid w:val="0"/>
          <w:color w:val="auto"/>
          <w:kern w:val="0"/>
          <w:sz w:val="24"/>
          <w:highlight w:val="none"/>
          <w:lang w:eastAsia="zh-CN"/>
        </w:rPr>
        <w:t>评标委员会应</w:t>
      </w:r>
      <w:r>
        <w:rPr>
          <w:rFonts w:hint="eastAsia" w:ascii="宋体" w:hAnsi="宋体" w:eastAsia="宋体" w:cs="宋体"/>
          <w:snapToGrid w:val="0"/>
          <w:color w:val="auto"/>
          <w:kern w:val="0"/>
          <w:sz w:val="24"/>
          <w:highlight w:val="none"/>
        </w:rPr>
        <w:t>严格按照招标文件的评标办法规定的评标程序、评标标准和方法进行评标，招标文件没有规定的评标标准和方法不得作为评标的依据。</w:t>
      </w:r>
      <w:r>
        <w:rPr>
          <w:rFonts w:hint="eastAsia" w:ascii="宋体" w:hAnsi="宋体" w:eastAsia="宋体" w:cs="宋体"/>
          <w:snapToGrid w:val="0"/>
          <w:color w:val="auto"/>
          <w:kern w:val="0"/>
          <w:sz w:val="24"/>
          <w:highlight w:val="none"/>
          <w:lang w:eastAsia="zh-CN"/>
        </w:rPr>
        <w:t>并且</w:t>
      </w:r>
      <w:r>
        <w:rPr>
          <w:rFonts w:hint="eastAsia" w:ascii="宋体" w:hAnsi="宋体" w:eastAsia="宋体" w:cs="宋体"/>
          <w:snapToGrid w:val="0"/>
          <w:color w:val="auto"/>
          <w:kern w:val="0"/>
          <w:sz w:val="24"/>
          <w:highlight w:val="none"/>
        </w:rPr>
        <w:t>自觉接受有关行政部门监督，协助配合有关异议和投诉处理。采用远程异地评标方式评标的</w:t>
      </w:r>
      <w:r>
        <w:rPr>
          <w:rFonts w:hint="eastAsia" w:ascii="宋体" w:hAnsi="宋体" w:eastAsia="宋体" w:cs="宋体"/>
          <w:snapToGrid w:val="0"/>
          <w:color w:val="auto"/>
          <w:kern w:val="0"/>
          <w:sz w:val="24"/>
          <w:highlight w:val="none"/>
          <w:lang w:eastAsia="zh-CN"/>
        </w:rPr>
        <w:t>，</w:t>
      </w:r>
      <w:r>
        <w:rPr>
          <w:rFonts w:hint="eastAsia" w:ascii="宋体" w:hAnsi="宋体" w:eastAsia="宋体" w:cs="宋体"/>
          <w:snapToGrid w:val="0"/>
          <w:color w:val="auto"/>
          <w:kern w:val="0"/>
          <w:sz w:val="24"/>
          <w:highlight w:val="none"/>
        </w:rPr>
        <w:t>主场、副场评标专家在评标过程中具有同等权利和义务</w:t>
      </w:r>
    </w:p>
    <w:p w14:paraId="54214DEF">
      <w:pPr>
        <w:wordWrap w:val="0"/>
        <w:adjustRightInd w:val="0"/>
        <w:snapToGrid w:val="0"/>
        <w:spacing w:line="360" w:lineRule="auto"/>
        <w:ind w:firstLine="482" w:firstLineChars="200"/>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lang w:val="en-US" w:eastAsia="zh-CN"/>
        </w:rPr>
        <w:t>15.1.4</w:t>
      </w:r>
      <w:r>
        <w:rPr>
          <w:rFonts w:hint="eastAsia" w:ascii="宋体" w:hAnsi="宋体" w:eastAsia="宋体" w:cs="宋体"/>
          <w:b/>
          <w:bCs/>
          <w:snapToGrid w:val="0"/>
          <w:color w:val="auto"/>
          <w:kern w:val="0"/>
          <w:sz w:val="24"/>
          <w:highlight w:val="none"/>
        </w:rPr>
        <w:t xml:space="preserve"> </w:t>
      </w:r>
      <w:r>
        <w:rPr>
          <w:rFonts w:hint="eastAsia" w:ascii="宋体" w:hAnsi="宋体" w:eastAsia="宋体" w:cs="宋体"/>
          <w:snapToGrid w:val="0"/>
          <w:color w:val="auto"/>
          <w:kern w:val="0"/>
          <w:sz w:val="24"/>
          <w:highlight w:val="none"/>
          <w:lang w:eastAsia="zh-CN"/>
        </w:rPr>
        <w:t>评标委员会</w:t>
      </w:r>
      <w:r>
        <w:rPr>
          <w:rFonts w:hint="eastAsia" w:ascii="宋体" w:hAnsi="宋体" w:eastAsia="宋体" w:cs="宋体"/>
          <w:snapToGrid w:val="0"/>
          <w:color w:val="auto"/>
          <w:kern w:val="0"/>
          <w:sz w:val="24"/>
          <w:highlight w:val="none"/>
        </w:rPr>
        <w:t>应切实履行评标职责，对同一个问题不一致的，按程序要求记录。</w:t>
      </w:r>
      <w:r>
        <w:rPr>
          <w:rFonts w:hint="eastAsia" w:ascii="宋体" w:hAnsi="宋体" w:eastAsia="宋体" w:cs="宋体"/>
          <w:snapToGrid w:val="0"/>
          <w:color w:val="auto"/>
          <w:kern w:val="0"/>
          <w:sz w:val="24"/>
          <w:highlight w:val="none"/>
          <w:lang w:eastAsia="zh-CN"/>
        </w:rPr>
        <w:t>评标委员会</w:t>
      </w:r>
      <w:r>
        <w:rPr>
          <w:rFonts w:hint="eastAsia" w:ascii="宋体" w:hAnsi="宋体" w:eastAsia="宋体" w:cs="宋体"/>
          <w:snapToGrid w:val="0"/>
          <w:color w:val="auto"/>
          <w:kern w:val="0"/>
          <w:sz w:val="24"/>
          <w:highlight w:val="none"/>
        </w:rPr>
        <w:t>实行少数服从多数的原则，以记名投票方式表决，评</w:t>
      </w:r>
      <w:r>
        <w:rPr>
          <w:rFonts w:hint="eastAsia" w:ascii="宋体" w:hAnsi="宋体" w:eastAsia="宋体" w:cs="宋体"/>
          <w:snapToGrid w:val="0"/>
          <w:color w:val="auto"/>
          <w:kern w:val="0"/>
          <w:sz w:val="24"/>
          <w:highlight w:val="none"/>
          <w:lang w:eastAsia="zh-CN"/>
        </w:rPr>
        <w:t>审</w:t>
      </w:r>
      <w:r>
        <w:rPr>
          <w:rFonts w:hint="eastAsia" w:ascii="宋体" w:hAnsi="宋体" w:eastAsia="宋体" w:cs="宋体"/>
          <w:snapToGrid w:val="0"/>
          <w:color w:val="auto"/>
          <w:kern w:val="0"/>
          <w:sz w:val="24"/>
          <w:highlight w:val="none"/>
        </w:rPr>
        <w:t>结果经</w:t>
      </w:r>
      <w:r>
        <w:rPr>
          <w:rFonts w:hint="eastAsia" w:ascii="宋体" w:hAnsi="宋体" w:eastAsia="宋体" w:cs="宋体"/>
          <w:snapToGrid w:val="0"/>
          <w:color w:val="auto"/>
          <w:kern w:val="0"/>
          <w:sz w:val="24"/>
          <w:highlight w:val="none"/>
          <w:lang w:eastAsia="zh-CN"/>
        </w:rPr>
        <w:t>评标委员会</w:t>
      </w:r>
      <w:r>
        <w:rPr>
          <w:rFonts w:hint="eastAsia" w:ascii="宋体" w:hAnsi="宋体" w:eastAsia="宋体" w:cs="宋体"/>
          <w:snapToGrid w:val="0"/>
          <w:color w:val="auto"/>
          <w:kern w:val="0"/>
          <w:sz w:val="24"/>
          <w:highlight w:val="none"/>
        </w:rPr>
        <w:t>全体成员过半数通过有效。</w:t>
      </w:r>
    </w:p>
    <w:p w14:paraId="46FD2263">
      <w:pPr>
        <w:wordWrap w:val="0"/>
        <w:adjustRightInd w:val="0"/>
        <w:snapToGrid w:val="0"/>
        <w:spacing w:line="360" w:lineRule="auto"/>
        <w:ind w:firstLine="560"/>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val="en-US" w:eastAsia="zh-CN"/>
        </w:rPr>
        <w:t xml:space="preserve">15.1.5 </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成员应当独立、客观、公正地对投标文件提出评审意见，对评审结果签字确认，并对所提出的评审意见承担个人责任。禁止</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成员将个人意见强加给他人，影响正常评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秩序和妨碍评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结论的公正性。对评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结果有不同意见的</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成员应当以书面形式说明其不同意见和理由，</w:t>
      </w:r>
      <w:r>
        <w:rPr>
          <w:rFonts w:hint="eastAsia" w:ascii="宋体" w:hAnsi="宋体" w:eastAsia="宋体" w:cs="宋体"/>
          <w:color w:val="auto"/>
          <w:sz w:val="24"/>
          <w:highlight w:val="none"/>
          <w:lang w:eastAsia="zh-CN"/>
        </w:rPr>
        <w:t>资格后审报告（</w:t>
      </w:r>
      <w:r>
        <w:rPr>
          <w:rFonts w:hint="eastAsia" w:ascii="宋体" w:hAnsi="宋体" w:eastAsia="宋体" w:cs="宋体"/>
          <w:color w:val="auto"/>
          <w:sz w:val="24"/>
          <w:highlight w:val="none"/>
        </w:rPr>
        <w:t>评标报告</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应当注明该不同意见。</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成员拒绝在</w:t>
      </w:r>
      <w:r>
        <w:rPr>
          <w:rFonts w:hint="eastAsia" w:ascii="宋体" w:hAnsi="宋体" w:eastAsia="宋体" w:cs="宋体"/>
          <w:color w:val="auto"/>
          <w:sz w:val="24"/>
          <w:highlight w:val="none"/>
          <w:lang w:eastAsia="zh-CN"/>
        </w:rPr>
        <w:t>资格后审报告（</w:t>
      </w:r>
      <w:r>
        <w:rPr>
          <w:rFonts w:hint="eastAsia" w:ascii="宋体" w:hAnsi="宋体" w:eastAsia="宋体" w:cs="宋体"/>
          <w:color w:val="auto"/>
          <w:sz w:val="24"/>
          <w:highlight w:val="none"/>
        </w:rPr>
        <w:t>评标报告</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上签字又不书面说明其不同意见和理由的，视为同意评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结果。</w:t>
      </w:r>
    </w:p>
    <w:p w14:paraId="295C6081">
      <w:pPr>
        <w:wordWrap w:val="0"/>
        <w:adjustRightInd w:val="0"/>
        <w:snapToGrid w:val="0"/>
        <w:spacing w:line="360" w:lineRule="auto"/>
        <w:ind w:firstLine="560"/>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15.2</w:t>
      </w:r>
      <w:r>
        <w:rPr>
          <w:rFonts w:hint="eastAsia" w:ascii="宋体" w:hAnsi="宋体" w:eastAsia="宋体" w:cs="宋体"/>
          <w:b/>
          <w:color w:val="auto"/>
          <w:sz w:val="24"/>
          <w:highlight w:val="none"/>
        </w:rPr>
        <w:t>评标过程的回避</w:t>
      </w:r>
    </w:p>
    <w:p w14:paraId="177DC023">
      <w:pPr>
        <w:wordWrap w:val="0"/>
        <w:adjustRightInd w:val="0"/>
        <w:snapToGrid w:val="0"/>
        <w:spacing w:line="360" w:lineRule="auto"/>
        <w:ind w:firstLine="560"/>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val="en-US" w:eastAsia="zh-CN"/>
        </w:rPr>
        <w:t>15.2.1</w:t>
      </w:r>
      <w:r>
        <w:rPr>
          <w:rFonts w:hint="eastAsia" w:ascii="宋体" w:hAnsi="宋体" w:eastAsia="宋体" w:cs="宋体"/>
          <w:color w:val="auto"/>
          <w:sz w:val="24"/>
          <w:highlight w:val="none"/>
        </w:rPr>
        <w:t>评标委员会应认真、公正、诚实、廉洁地履行职责。有下列情形之一的，不得担任评标委员会成员：</w:t>
      </w:r>
    </w:p>
    <w:p w14:paraId="1C385061">
      <w:pPr>
        <w:wordWrap w:val="0"/>
        <w:adjustRightInd w:val="0"/>
        <w:snapToGrid w:val="0"/>
        <w:spacing w:line="360" w:lineRule="auto"/>
        <w:ind w:firstLine="560"/>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（1）投标人或投标人主要负责人的近亲属；</w:t>
      </w:r>
    </w:p>
    <w:p w14:paraId="788D7F27">
      <w:pPr>
        <w:wordWrap w:val="0"/>
        <w:adjustRightInd w:val="0"/>
        <w:snapToGrid w:val="0"/>
        <w:spacing w:line="360" w:lineRule="auto"/>
        <w:ind w:firstLine="560"/>
        <w:rPr>
          <w:rFonts w:hint="eastAsia" w:ascii="宋体" w:hAnsi="宋体" w:eastAsia="宋体" w:cs="宋体"/>
          <w:color w:val="auto"/>
          <w:sz w:val="24"/>
          <w:highlight w:val="none"/>
        </w:rPr>
      </w:pPr>
      <w:r>
        <w:rPr>
          <w:rFonts w:hint="eastAsia" w:ascii="宋体" w:hAnsi="宋体" w:eastAsia="宋体" w:cs="宋体"/>
          <w:color w:val="auto"/>
          <w:sz w:val="24"/>
          <w:highlight w:val="none"/>
        </w:rPr>
        <w:t>（2）项目主管部门或者行政监督部门的人员；</w:t>
      </w:r>
    </w:p>
    <w:p w14:paraId="2F026696">
      <w:pPr>
        <w:wordWrap w:val="0"/>
        <w:adjustRightInd w:val="0"/>
        <w:snapToGrid w:val="0"/>
        <w:spacing w:line="360" w:lineRule="auto"/>
        <w:ind w:firstLine="560"/>
        <w:rPr>
          <w:rFonts w:hint="eastAsia" w:ascii="宋体" w:hAnsi="宋体" w:eastAsia="宋体" w:cs="宋体"/>
          <w:color w:val="auto"/>
          <w:sz w:val="24"/>
          <w:highlight w:val="none"/>
        </w:rPr>
      </w:pPr>
      <w:r>
        <w:rPr>
          <w:rFonts w:hint="eastAsia" w:ascii="宋体" w:hAnsi="宋体" w:eastAsia="宋体" w:cs="宋体"/>
          <w:color w:val="auto"/>
          <w:sz w:val="24"/>
          <w:highlight w:val="none"/>
        </w:rPr>
        <w:t>（3）与投标人有经济利益关系，可能影响对投标公正评审的；</w:t>
      </w:r>
    </w:p>
    <w:p w14:paraId="1C6CAE91">
      <w:pPr>
        <w:wordWrap w:val="0"/>
        <w:adjustRightInd w:val="0"/>
        <w:snapToGrid w:val="0"/>
        <w:spacing w:line="360" w:lineRule="auto"/>
        <w:ind w:firstLine="560"/>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（4）曾因在招标、评标以及其他与招标投标有关活动中从事违法行为而受过行政处罚或刑事处罚的。</w:t>
      </w:r>
    </w:p>
    <w:p w14:paraId="5D395022">
      <w:pPr>
        <w:wordWrap w:val="0"/>
        <w:adjustRightInd w:val="0"/>
        <w:snapToGrid w:val="0"/>
        <w:spacing w:line="360" w:lineRule="auto"/>
        <w:ind w:firstLine="560"/>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15.2.2</w:t>
      </w:r>
      <w:r>
        <w:rPr>
          <w:rFonts w:hint="eastAsia" w:ascii="宋体" w:hAnsi="宋体" w:eastAsia="宋体" w:cs="宋体"/>
          <w:color w:val="auto"/>
          <w:sz w:val="24"/>
          <w:highlight w:val="none"/>
          <w:lang w:val="en-US" w:eastAsia="zh-CN"/>
        </w:rPr>
        <w:t xml:space="preserve"> 评标委员会专家不主动提出回避的，一经发现，应立即终止其评标活动，已完成评标活动的，其评标结果无效。</w:t>
      </w:r>
    </w:p>
    <w:p w14:paraId="4AF0F66D">
      <w:pPr>
        <w:wordWrap w:val="0"/>
        <w:adjustRightInd w:val="0"/>
        <w:snapToGrid w:val="0"/>
        <w:spacing w:line="360" w:lineRule="auto"/>
        <w:ind w:firstLine="560"/>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15.3</w:t>
      </w:r>
      <w:r>
        <w:rPr>
          <w:rFonts w:hint="eastAsia" w:ascii="宋体" w:hAnsi="宋体" w:eastAsia="宋体" w:cs="宋体"/>
          <w:color w:val="auto"/>
          <w:sz w:val="24"/>
          <w:highlight w:val="none"/>
          <w:lang w:val="en-US" w:eastAsia="zh-CN"/>
        </w:rPr>
        <w:t xml:space="preserve"> 评标过程的保密</w:t>
      </w:r>
    </w:p>
    <w:p w14:paraId="62C06D24">
      <w:pPr>
        <w:wordWrap w:val="0"/>
        <w:adjustRightInd w:val="0"/>
        <w:snapToGrid w:val="0"/>
        <w:spacing w:line="360" w:lineRule="auto"/>
        <w:ind w:firstLine="560"/>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15.3.1</w:t>
      </w:r>
      <w:r>
        <w:rPr>
          <w:rFonts w:hint="eastAsia" w:ascii="宋体" w:hAnsi="宋体" w:eastAsia="宋体" w:cs="宋体"/>
          <w:color w:val="auto"/>
          <w:sz w:val="24"/>
          <w:highlight w:val="none"/>
          <w:lang w:val="en-US" w:eastAsia="zh-CN"/>
        </w:rPr>
        <w:t xml:space="preserve"> 开标后，直至授予中标人合同为止，凡属于对投标人文件的审查、澄清、评价和比较有关的资料及与中标候选人的推荐情况，与评标有关的其他任何情况均应严格保密。</w:t>
      </w:r>
    </w:p>
    <w:p w14:paraId="451167DD">
      <w:pPr>
        <w:wordWrap w:val="0"/>
        <w:adjustRightInd w:val="0"/>
        <w:snapToGrid w:val="0"/>
        <w:spacing w:line="360" w:lineRule="auto"/>
        <w:ind w:firstLine="560"/>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15.3.2</w:t>
      </w:r>
      <w:r>
        <w:rPr>
          <w:rFonts w:hint="eastAsia" w:ascii="宋体" w:hAnsi="宋体" w:eastAsia="宋体" w:cs="宋体"/>
          <w:color w:val="auto"/>
          <w:sz w:val="24"/>
          <w:highlight w:val="none"/>
          <w:lang w:val="en-US" w:eastAsia="zh-CN"/>
        </w:rPr>
        <w:t xml:space="preserve"> 在投标文件的评审和比较、中标候选人推荐以及授予合同的过程中，投标人向招标人和评标委员会施加影响的任何行为，都将会导致其投标被拒绝。</w:t>
      </w:r>
    </w:p>
    <w:p w14:paraId="4DABD68C">
      <w:pPr>
        <w:wordWrap w:val="0"/>
        <w:adjustRightInd w:val="0"/>
        <w:snapToGrid w:val="0"/>
        <w:spacing w:line="360" w:lineRule="auto"/>
        <w:ind w:firstLine="560"/>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15.3.3</w:t>
      </w:r>
      <w:r>
        <w:rPr>
          <w:rFonts w:hint="eastAsia" w:ascii="宋体" w:hAnsi="宋体" w:eastAsia="宋体" w:cs="宋体"/>
          <w:color w:val="auto"/>
          <w:sz w:val="24"/>
          <w:highlight w:val="none"/>
          <w:lang w:val="en-US" w:eastAsia="zh-CN"/>
        </w:rPr>
        <w:t xml:space="preserve"> 中标人确定后，招标人不对未中标人就评标过程以及未能中标原因作出任何解释。未中标人不得向评标委员会组成人员或其他有关人员索问评标过程的情况和材料。</w:t>
      </w:r>
    </w:p>
    <w:p w14:paraId="6B6D10DA">
      <w:pPr>
        <w:wordWrap w:val="0"/>
        <w:adjustRightInd w:val="0"/>
        <w:snapToGrid w:val="0"/>
        <w:spacing w:line="360" w:lineRule="auto"/>
        <w:ind w:firstLine="560"/>
        <w:rPr>
          <w:rFonts w:hint="eastAsia" w:ascii="宋体" w:hAnsi="宋体" w:eastAsia="宋体" w:cs="宋体"/>
          <w:color w:val="auto"/>
          <w:sz w:val="24"/>
          <w:szCs w:val="24"/>
          <w:highlight w:val="none"/>
        </w:rPr>
      </w:pPr>
      <w:r>
        <w:rPr>
          <w:rFonts w:hint="eastAsia" w:ascii="宋体" w:hAnsi="宋体" w:eastAsia="宋体" w:cs="宋体"/>
          <w:b/>
          <w:bCs/>
          <w:color w:val="auto"/>
          <w:sz w:val="24"/>
          <w:highlight w:val="none"/>
          <w:lang w:val="en-US" w:eastAsia="zh-CN"/>
        </w:rPr>
        <w:t>15.3.4</w:t>
      </w:r>
      <w:r>
        <w:rPr>
          <w:rFonts w:hint="eastAsia" w:ascii="宋体" w:hAnsi="宋体" w:eastAsia="宋体" w:cs="宋体"/>
          <w:color w:val="auto"/>
          <w:sz w:val="24"/>
          <w:highlight w:val="none"/>
          <w:lang w:val="en-US" w:eastAsia="zh-CN"/>
        </w:rPr>
        <w:t xml:space="preserve">  评标全过程实行封闭式管理，在中标结果公布前，禁止评标委员会成员以任何方式私下接触投标人。</w:t>
      </w:r>
    </w:p>
    <w:p w14:paraId="117703D0">
      <w:pPr>
        <w:keepNext w:val="0"/>
        <w:keepLines w:val="0"/>
        <w:pageBreakBefore w:val="0"/>
        <w:widowControl/>
        <w:kinsoku w:val="0"/>
        <w:wordWrap/>
        <w:overflowPunct/>
        <w:topLinePunct w:val="0"/>
        <w:autoSpaceDE w:val="0"/>
        <w:autoSpaceDN w:val="0"/>
        <w:bidi w:val="0"/>
        <w:adjustRightInd w:val="0"/>
        <w:snapToGrid w:val="0"/>
        <w:spacing w:before="157" w:line="360" w:lineRule="auto"/>
        <w:ind w:left="11" w:right="62" w:firstLine="482"/>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15.</w:t>
      </w:r>
      <w:r>
        <w:rPr>
          <w:rFonts w:hint="eastAsia" w:ascii="宋体" w:hAnsi="宋体" w:eastAsia="宋体" w:cs="宋体"/>
          <w:b/>
          <w:bCs/>
          <w:color w:val="auto"/>
          <w:spacing w:val="-1"/>
          <w:sz w:val="24"/>
          <w:szCs w:val="24"/>
          <w:highlight w:val="none"/>
          <w:lang w:val="en-US" w:eastAsia="zh-CN"/>
        </w:rPr>
        <w:t xml:space="preserve">3.5 </w:t>
      </w:r>
      <w:r>
        <w:rPr>
          <w:rFonts w:hint="eastAsia" w:ascii="宋体" w:hAnsi="宋体" w:eastAsia="宋体" w:cs="宋体"/>
          <w:color w:val="auto"/>
          <w:sz w:val="24"/>
          <w:highlight w:val="none"/>
        </w:rPr>
        <w:t>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6F257085">
      <w:pPr>
        <w:keepNext w:val="0"/>
        <w:keepLines w:val="0"/>
        <w:pageBreakBefore w:val="0"/>
        <w:widowControl/>
        <w:kinsoku w:val="0"/>
        <w:wordWrap/>
        <w:overflowPunct/>
        <w:topLinePunct w:val="0"/>
        <w:autoSpaceDE w:val="0"/>
        <w:autoSpaceDN w:val="0"/>
        <w:bidi w:val="0"/>
        <w:adjustRightInd w:val="0"/>
        <w:snapToGrid w:val="0"/>
        <w:spacing w:before="156" w:line="360" w:lineRule="auto"/>
        <w:ind w:left="6" w:right="62" w:firstLine="567"/>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3.6</w:t>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在任何评标环节中，当评标委员会就某</w:t>
      </w:r>
      <w:r>
        <w:rPr>
          <w:rFonts w:hint="eastAsia" w:ascii="宋体" w:hAnsi="宋体" w:eastAsia="宋体" w:cs="宋体"/>
          <w:color w:val="auto"/>
          <w:spacing w:val="-4"/>
          <w:sz w:val="24"/>
          <w:szCs w:val="24"/>
          <w:highlight w:val="none"/>
        </w:rPr>
        <w:t>项定性的评审结论不统一、需要做</w:t>
      </w:r>
      <w:r>
        <w:rPr>
          <w:rFonts w:hint="eastAsia" w:ascii="宋体" w:hAnsi="宋体" w:eastAsia="宋体" w:cs="宋体"/>
          <w:color w:val="auto"/>
          <w:spacing w:val="-1"/>
          <w:sz w:val="24"/>
          <w:szCs w:val="24"/>
          <w:highlight w:val="none"/>
        </w:rPr>
        <w:t>出表决时，由评标委员会全体成员按照少数服从多数的原则，以</w:t>
      </w:r>
      <w:r>
        <w:rPr>
          <w:rFonts w:hint="eastAsia" w:ascii="宋体" w:hAnsi="宋体" w:eastAsia="宋体" w:cs="宋体"/>
          <w:color w:val="auto"/>
          <w:spacing w:val="-2"/>
          <w:sz w:val="24"/>
          <w:szCs w:val="24"/>
          <w:highlight w:val="none"/>
        </w:rPr>
        <w:t>记名投票方式表决。</w:t>
      </w:r>
      <w:r>
        <w:rPr>
          <w:rFonts w:hint="eastAsia" w:ascii="宋体" w:hAnsi="宋体" w:eastAsia="宋体" w:cs="宋体"/>
          <w:color w:val="auto"/>
          <w:spacing w:val="-1"/>
          <w:sz w:val="24"/>
          <w:szCs w:val="24"/>
          <w:highlight w:val="none"/>
        </w:rPr>
        <w:t>评标委员会全体成员应共同遵守和执行表决结果，严禁评标委员</w:t>
      </w:r>
      <w:r>
        <w:rPr>
          <w:rFonts w:hint="eastAsia" w:ascii="宋体" w:hAnsi="宋体" w:eastAsia="宋体" w:cs="宋体"/>
          <w:color w:val="auto"/>
          <w:spacing w:val="-2"/>
          <w:sz w:val="24"/>
          <w:szCs w:val="24"/>
          <w:highlight w:val="none"/>
        </w:rPr>
        <w:t>会任何成员将个人意</w:t>
      </w:r>
      <w:r>
        <w:rPr>
          <w:rFonts w:hint="eastAsia" w:ascii="宋体" w:hAnsi="宋体" w:eastAsia="宋体" w:cs="宋体"/>
          <w:color w:val="auto"/>
          <w:spacing w:val="-1"/>
          <w:sz w:val="24"/>
          <w:szCs w:val="24"/>
          <w:highlight w:val="none"/>
        </w:rPr>
        <w:t>见强加给他人、影响评标正常秩序和妨碍评审结论的公正性。</w:t>
      </w:r>
    </w:p>
    <w:p w14:paraId="4D925E91">
      <w:pPr>
        <w:spacing w:before="79" w:line="221" w:lineRule="auto"/>
        <w:ind w:left="577"/>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2"/>
          <w:sz w:val="24"/>
          <w:szCs w:val="24"/>
          <w:highlight w:val="none"/>
          <w:lang w:val="en-US" w:eastAsia="zh-CN"/>
        </w:rPr>
        <w:t>3</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评标方法</w:t>
      </w:r>
    </w:p>
    <w:p w14:paraId="12373095">
      <w:pPr>
        <w:keepNext w:val="0"/>
        <w:keepLines w:val="0"/>
        <w:pageBreakBefore w:val="0"/>
        <w:widowControl/>
        <w:kinsoku w:val="0"/>
        <w:wordWrap/>
        <w:overflowPunct/>
        <w:topLinePunct w:val="0"/>
        <w:autoSpaceDE w:val="0"/>
        <w:autoSpaceDN w:val="0"/>
        <w:bidi w:val="0"/>
        <w:adjustRightInd w:val="0"/>
        <w:snapToGrid w:val="0"/>
        <w:spacing w:before="78" w:line="360" w:lineRule="auto"/>
        <w:ind w:left="232" w:right="181" w:firstLine="561"/>
        <w:textAlignment w:val="baseline"/>
        <w:rPr>
          <w:rFonts w:hint="eastAsia" w:ascii="宋体" w:hAnsi="宋体" w:eastAsia="宋体" w:cs="宋体"/>
          <w:color w:val="auto"/>
          <w:highlight w:val="none"/>
        </w:rPr>
      </w:pPr>
      <w:bookmarkStart w:id="88" w:name="bookmark125"/>
      <w:bookmarkEnd w:id="88"/>
      <w:r>
        <w:rPr>
          <w:rFonts w:hint="eastAsia" w:ascii="宋体" w:hAnsi="宋体" w:eastAsia="宋体" w:cs="宋体"/>
          <w:color w:val="auto"/>
          <w:spacing w:val="-4"/>
          <w:sz w:val="24"/>
          <w:szCs w:val="24"/>
          <w:highlight w:val="none"/>
        </w:rPr>
        <w:t>根据有关法律、法规的相关规定，结合本招标项目资金来源和规模特点，本次招</w:t>
      </w:r>
      <w:r>
        <w:rPr>
          <w:rFonts w:hint="eastAsia" w:ascii="宋体" w:hAnsi="宋体" w:eastAsia="宋体" w:cs="宋体"/>
          <w:color w:val="auto"/>
          <w:spacing w:val="-1"/>
          <w:sz w:val="24"/>
          <w:szCs w:val="24"/>
          <w:highlight w:val="none"/>
        </w:rPr>
        <w:t>标采用</w:t>
      </w:r>
      <w:r>
        <w:rPr>
          <w:rFonts w:hint="eastAsia" w:ascii="宋体" w:hAnsi="宋体" w:eastAsia="宋体" w:cs="宋体"/>
          <w:b/>
          <w:bCs/>
          <w:color w:val="auto"/>
          <w:spacing w:val="-4"/>
          <w:sz w:val="24"/>
          <w:szCs w:val="24"/>
          <w:highlight w:val="none"/>
          <w:u w:val="single"/>
          <w:lang w:eastAsia="zh-CN"/>
        </w:rPr>
        <w:t xml:space="preserve"> 综合评分法</w:t>
      </w:r>
      <w:r>
        <w:rPr>
          <w:rFonts w:hint="eastAsia" w:ascii="宋体" w:hAnsi="宋体" w:eastAsia="宋体" w:cs="宋体"/>
          <w:b/>
          <w:bCs/>
          <w:color w:val="auto"/>
          <w:spacing w:val="-4"/>
          <w:sz w:val="24"/>
          <w:szCs w:val="24"/>
          <w:highlight w:val="none"/>
          <w:u w:val="single"/>
        </w:rPr>
        <w:t xml:space="preserve"> </w:t>
      </w:r>
      <w:r>
        <w:rPr>
          <w:rFonts w:hint="eastAsia" w:ascii="宋体" w:hAnsi="宋体" w:eastAsia="宋体" w:cs="宋体"/>
          <w:color w:val="auto"/>
          <w:spacing w:val="-1"/>
          <w:sz w:val="24"/>
          <w:szCs w:val="24"/>
          <w:highlight w:val="none"/>
        </w:rPr>
        <w:t>进行评标。</w:t>
      </w:r>
    </w:p>
    <w:p w14:paraId="7AEFD71E">
      <w:pPr>
        <w:spacing w:before="154" w:line="269" w:lineRule="auto"/>
        <w:ind w:left="220" w:right="33" w:firstLine="496"/>
        <w:rPr>
          <w:rFonts w:hint="eastAsia" w:ascii="宋体" w:hAnsi="宋体" w:eastAsia="宋体" w:cs="宋体"/>
          <w:color w:val="auto"/>
          <w:sz w:val="25"/>
          <w:szCs w:val="25"/>
          <w:highlight w:val="none"/>
        </w:rPr>
      </w:pPr>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4</w:t>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评审范围：评标委员会应对所有投标人的投标文件进行评审。</w:t>
      </w:r>
    </w:p>
    <w:p w14:paraId="6A96BB88">
      <w:pPr>
        <w:spacing w:before="153" w:line="220" w:lineRule="auto"/>
        <w:ind w:left="71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初步评审阶段</w:t>
      </w:r>
    </w:p>
    <w:p w14:paraId="174022F5">
      <w:pPr>
        <w:spacing w:before="153" w:line="220" w:lineRule="auto"/>
        <w:ind w:left="70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初步评审阶段分为资格评审、形式评审和响应性评审三个环节。</w:t>
      </w:r>
    </w:p>
    <w:p w14:paraId="367B8BB6">
      <w:pPr>
        <w:spacing w:before="155" w:line="279" w:lineRule="auto"/>
        <w:ind w:left="719" w:right="6303" w:hanging="3"/>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5</w:t>
      </w:r>
      <w:r>
        <w:rPr>
          <w:rFonts w:hint="eastAsia" w:ascii="宋体" w:hAnsi="宋体" w:eastAsia="宋体" w:cs="宋体"/>
          <w:b/>
          <w:bCs/>
          <w:color w:val="auto"/>
          <w:spacing w:val="-3"/>
          <w:sz w:val="24"/>
          <w:szCs w:val="24"/>
          <w:highlight w:val="none"/>
        </w:rPr>
        <w:t>.1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2"/>
          <w:sz w:val="24"/>
          <w:szCs w:val="24"/>
          <w:highlight w:val="none"/>
        </w:rPr>
        <w:t xml:space="preserve"> 资格评审环</w:t>
      </w:r>
      <w:r>
        <w:rPr>
          <w:rFonts w:hint="eastAsia" w:ascii="宋体" w:hAnsi="宋体" w:eastAsia="宋体" w:cs="宋体"/>
          <w:color w:val="auto"/>
          <w:spacing w:val="-3"/>
          <w:sz w:val="24"/>
          <w:szCs w:val="24"/>
          <w:highlight w:val="none"/>
        </w:rPr>
        <w:t>节</w:t>
      </w:r>
      <w:r>
        <w:rPr>
          <w:rFonts w:hint="eastAsia" w:ascii="宋体" w:hAnsi="宋体" w:eastAsia="宋体" w:cs="宋体"/>
          <w:color w:val="auto"/>
          <w:spacing w:val="1"/>
          <w:sz w:val="24"/>
          <w:szCs w:val="24"/>
          <w:highlight w:val="none"/>
        </w:rPr>
        <w:t xml:space="preserve"> </w:t>
      </w:r>
    </w:p>
    <w:p w14:paraId="1E4B78A4">
      <w:pPr>
        <w:spacing w:before="155" w:line="279" w:lineRule="auto"/>
        <w:ind w:left="719" w:right="6303" w:hanging="3"/>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资格评审事项包括：</w:t>
      </w:r>
    </w:p>
    <w:p w14:paraId="7D79923A">
      <w:pPr>
        <w:keepNext w:val="0"/>
        <w:keepLines w:val="0"/>
        <w:pageBreakBefore w:val="0"/>
        <w:widowControl/>
        <w:kinsoku w:val="0"/>
        <w:wordWrap/>
        <w:overflowPunct/>
        <w:topLinePunct w:val="0"/>
        <w:autoSpaceDE w:val="0"/>
        <w:autoSpaceDN w:val="0"/>
        <w:bidi w:val="0"/>
        <w:adjustRightInd w:val="0"/>
        <w:snapToGrid w:val="0"/>
        <w:spacing w:line="360" w:lineRule="auto"/>
        <w:ind w:left="232" w:firstLine="488"/>
        <w:textAlignment w:val="baseline"/>
        <w:rPr>
          <w:rFonts w:hint="eastAsia" w:asciiTheme="minorEastAsia" w:hAnsiTheme="minorEastAsia" w:eastAsiaTheme="minorEastAsia" w:cstheme="minorEastAsia"/>
          <w:color w:val="auto"/>
          <w:spacing w:val="-4"/>
          <w:sz w:val="24"/>
          <w:szCs w:val="24"/>
          <w:highlight w:val="none"/>
        </w:rPr>
      </w:pPr>
      <w:bookmarkStart w:id="89" w:name="_Toc22778"/>
      <w:r>
        <w:rPr>
          <w:rFonts w:hint="eastAsia" w:asciiTheme="minorEastAsia" w:hAnsiTheme="minorEastAsia" w:eastAsiaTheme="minorEastAsia" w:cstheme="minorEastAsia"/>
          <w:color w:val="auto"/>
          <w:spacing w:val="-4"/>
          <w:sz w:val="24"/>
          <w:szCs w:val="24"/>
          <w:highlight w:val="none"/>
        </w:rPr>
        <w:t>（1）投标人是否符合本章第三节第2.4条“禁止投标条款”规定。</w:t>
      </w:r>
    </w:p>
    <w:p w14:paraId="189BF98A">
      <w:pPr>
        <w:keepNext w:val="0"/>
        <w:keepLines w:val="0"/>
        <w:pageBreakBefore w:val="0"/>
        <w:widowControl/>
        <w:kinsoku w:val="0"/>
        <w:overflowPunct/>
        <w:topLinePunct w:val="0"/>
        <w:autoSpaceDE w:val="0"/>
        <w:autoSpaceDN w:val="0"/>
        <w:bidi w:val="0"/>
        <w:adjustRightInd w:val="0"/>
        <w:snapToGrid w:val="0"/>
        <w:spacing w:line="360" w:lineRule="auto"/>
        <w:ind w:left="721"/>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（2）投标人名称是否与营业执照、资质证书、安全生产许可证一致。</w:t>
      </w:r>
    </w:p>
    <w:p w14:paraId="38E8717B">
      <w:pPr>
        <w:keepNext w:val="0"/>
        <w:keepLines w:val="0"/>
        <w:pageBreakBefore w:val="0"/>
        <w:widowControl/>
        <w:kinsoku w:val="0"/>
        <w:wordWrap w:val="0"/>
        <w:overflowPunct/>
        <w:topLinePunct w:val="0"/>
        <w:autoSpaceDE w:val="0"/>
        <w:autoSpaceDN w:val="0"/>
        <w:bidi w:val="0"/>
        <w:adjustRightInd w:val="0"/>
        <w:snapToGrid w:val="0"/>
        <w:spacing w:line="360" w:lineRule="auto"/>
        <w:ind w:left="232" w:right="96" w:firstLine="488"/>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（3）投标人的资质是否符合招标文件规定；其营业执照、资质证书、安全生产许可证（含实时网页查询页，可参考网址 https://zlaq.mohurd.gov.cn/fwmh/bjxcjgl/fwm</w:t>
      </w:r>
      <w:bookmarkStart w:id="90" w:name="bookmark126"/>
      <w:bookmarkEnd w:id="90"/>
      <w:r>
        <w:rPr>
          <w:rFonts w:hint="eastAsia" w:asciiTheme="minorEastAsia" w:hAnsiTheme="minorEastAsia" w:eastAsiaTheme="minorEastAsia" w:cstheme="minorEastAsia"/>
          <w:color w:val="auto"/>
          <w:spacing w:val="2"/>
          <w:sz w:val="24"/>
          <w:szCs w:val="24"/>
          <w:highlight w:val="none"/>
        </w:rPr>
        <w:t>h/pages/construction_safety/qyaqscxkz/qyaqscxkz）是否合法、有效、准确</w:t>
      </w:r>
      <w:r>
        <w:rPr>
          <w:rFonts w:hint="eastAsia" w:asciiTheme="minorEastAsia" w:hAnsiTheme="minorEastAsia" w:eastAsiaTheme="minorEastAsia" w:cstheme="minorEastAsia"/>
          <w:color w:val="auto"/>
          <w:spacing w:val="-1"/>
          <w:position w:val="3"/>
          <w:sz w:val="24"/>
          <w:szCs w:val="24"/>
          <w:highlight w:val="none"/>
        </w:rPr>
        <w:t>。</w:t>
      </w:r>
    </w:p>
    <w:p w14:paraId="513DBAE6">
      <w:pPr>
        <w:keepNext w:val="0"/>
        <w:keepLines w:val="0"/>
        <w:pageBreakBefore w:val="0"/>
        <w:widowControl/>
        <w:kinsoku w:val="0"/>
        <w:overflowPunct/>
        <w:topLinePunct w:val="0"/>
        <w:autoSpaceDE w:val="0"/>
        <w:autoSpaceDN w:val="0"/>
        <w:bidi w:val="0"/>
        <w:adjustRightInd w:val="0"/>
        <w:snapToGrid w:val="0"/>
        <w:spacing w:line="360" w:lineRule="auto"/>
        <w:ind w:left="501"/>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（4）《项目经理简历表》中拟派项目经理是否与《开标一览表》一致。</w:t>
      </w:r>
    </w:p>
    <w:p w14:paraId="494B3367">
      <w:pPr>
        <w:keepNext w:val="0"/>
        <w:keepLines w:val="0"/>
        <w:pageBreakBefore w:val="0"/>
        <w:widowControl/>
        <w:kinsoku w:val="0"/>
        <w:overflowPunct/>
        <w:topLinePunct w:val="0"/>
        <w:autoSpaceDE w:val="0"/>
        <w:autoSpaceDN w:val="0"/>
        <w:bidi w:val="0"/>
        <w:adjustRightInd w:val="0"/>
        <w:snapToGrid w:val="0"/>
        <w:spacing w:line="360" w:lineRule="auto"/>
        <w:ind w:left="11" w:firstLine="489"/>
        <w:textAlignment w:val="baseline"/>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2"/>
          <w:sz w:val="24"/>
          <w:szCs w:val="24"/>
          <w:highlight w:val="none"/>
        </w:rPr>
        <w:t>（5）拟派项目经理、项目技术负责人、专职安全员的条件</w:t>
      </w:r>
      <w:r>
        <w:rPr>
          <w:rFonts w:hint="eastAsia" w:asciiTheme="minorEastAsia" w:hAnsiTheme="minorEastAsia" w:eastAsiaTheme="minorEastAsia" w:cstheme="minorEastAsia"/>
          <w:color w:val="auto"/>
          <w:spacing w:val="1"/>
          <w:sz w:val="24"/>
          <w:szCs w:val="24"/>
          <w:highlight w:val="none"/>
        </w:rPr>
        <w:t>是否符合招标文件规</w:t>
      </w:r>
      <w:r>
        <w:rPr>
          <w:rFonts w:hint="eastAsia" w:asciiTheme="minorEastAsia" w:hAnsiTheme="minorEastAsia" w:eastAsiaTheme="minorEastAsia" w:cstheme="minorEastAsia"/>
          <w:color w:val="auto"/>
          <w:spacing w:val="-1"/>
          <w:sz w:val="24"/>
          <w:szCs w:val="24"/>
          <w:highlight w:val="none"/>
        </w:rPr>
        <w:t>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0E0D6F95">
      <w:pPr>
        <w:keepNext w:val="0"/>
        <w:keepLines w:val="0"/>
        <w:pageBreakBefore w:val="0"/>
        <w:widowControl/>
        <w:kinsoku w:val="0"/>
        <w:overflowPunct/>
        <w:topLinePunct w:val="0"/>
        <w:autoSpaceDE w:val="0"/>
        <w:autoSpaceDN w:val="0"/>
        <w:bidi w:val="0"/>
        <w:adjustRightInd w:val="0"/>
        <w:snapToGrid w:val="0"/>
        <w:spacing w:line="360" w:lineRule="auto"/>
        <w:ind w:left="8" w:right="2" w:firstLine="492"/>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pacing w:val="2"/>
          <w:sz w:val="24"/>
          <w:szCs w:val="24"/>
          <w:highlight w:val="none"/>
          <w:lang w:val="en-US" w:eastAsia="zh-CN"/>
        </w:rPr>
        <w:t>6</w:t>
      </w:r>
      <w:r>
        <w:rPr>
          <w:rFonts w:hint="eastAsia" w:asciiTheme="minorEastAsia" w:hAnsiTheme="minorEastAsia" w:eastAsiaTheme="minorEastAsia" w:cstheme="minorEastAsia"/>
          <w:color w:val="auto"/>
          <w:spacing w:val="2"/>
          <w:sz w:val="24"/>
          <w:szCs w:val="24"/>
          <w:highlight w:val="none"/>
        </w:rPr>
        <w:t>）投标人为外省建筑企业的，是否按规定在“进粤</w:t>
      </w:r>
      <w:r>
        <w:rPr>
          <w:rFonts w:hint="eastAsia" w:asciiTheme="minorEastAsia" w:hAnsiTheme="minorEastAsia" w:eastAsiaTheme="minorEastAsia" w:cstheme="minorEastAsia"/>
          <w:color w:val="auto"/>
          <w:spacing w:val="1"/>
          <w:sz w:val="24"/>
          <w:szCs w:val="24"/>
          <w:highlight w:val="none"/>
        </w:rPr>
        <w:t>企业和人员诚信信息登记</w:t>
      </w:r>
      <w:r>
        <w:rPr>
          <w:rFonts w:hint="eastAsia" w:asciiTheme="minorEastAsia" w:hAnsiTheme="minorEastAsia" w:eastAsiaTheme="minorEastAsia" w:cstheme="minorEastAsia"/>
          <w:color w:val="auto"/>
          <w:spacing w:val="-2"/>
          <w:sz w:val="24"/>
          <w:szCs w:val="24"/>
          <w:highlight w:val="none"/>
        </w:rPr>
        <w:t>平台</w:t>
      </w:r>
      <w:r>
        <w:rPr>
          <w:rFonts w:hint="eastAsia" w:asciiTheme="minorEastAsia" w:hAnsiTheme="minorEastAsia" w:eastAsiaTheme="minorEastAsia" w:cstheme="minorEastAsia"/>
          <w:color w:val="auto"/>
          <w:spacing w:val="-76"/>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rPr>
        <w:t>”录入企业及其拟派人员有关信息并通过数据规范检查。</w:t>
      </w:r>
    </w:p>
    <w:p w14:paraId="7D2C5F70">
      <w:pPr>
        <w:spacing w:before="15" w:line="360" w:lineRule="auto"/>
        <w:ind w:right="2" w:firstLine="474"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 xml:space="preserve">.2 </w:t>
      </w:r>
      <w:r>
        <w:rPr>
          <w:rFonts w:hint="eastAsia" w:ascii="宋体" w:hAnsi="宋体" w:eastAsia="宋体" w:cs="宋体"/>
          <w:color w:val="auto"/>
          <w:spacing w:val="1"/>
          <w:sz w:val="24"/>
          <w:szCs w:val="24"/>
          <w:highlight w:val="none"/>
        </w:rPr>
        <w:t xml:space="preserve"> 形式评审环节</w:t>
      </w:r>
    </w:p>
    <w:p w14:paraId="48E0164A">
      <w:pPr>
        <w:spacing w:before="15" w:line="360" w:lineRule="auto"/>
        <w:ind w:right="2" w:firstLine="484" w:firstLineChars="200"/>
        <w:jc w:val="both"/>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形式评审事</w:t>
      </w:r>
      <w:r>
        <w:rPr>
          <w:rFonts w:hint="eastAsia" w:ascii="宋体" w:hAnsi="宋体" w:eastAsia="宋体" w:cs="宋体"/>
          <w:color w:val="auto"/>
          <w:spacing w:val="1"/>
          <w:sz w:val="24"/>
          <w:szCs w:val="24"/>
          <w:highlight w:val="none"/>
          <w:lang w:eastAsia="zh-CN"/>
        </w:rPr>
        <w:t>项包括</w:t>
      </w:r>
      <w:bookmarkEnd w:id="89"/>
    </w:p>
    <w:p w14:paraId="6F5E12D9">
      <w:pPr>
        <w:spacing w:before="40" w:line="360" w:lineRule="auto"/>
        <w:ind w:left="501"/>
        <w:outlineLvl w:val="9"/>
        <w:rPr>
          <w:rFonts w:hint="eastAsia" w:ascii="宋体" w:hAnsi="宋体" w:eastAsia="宋体" w:cs="宋体"/>
          <w:color w:val="auto"/>
          <w:sz w:val="24"/>
          <w:szCs w:val="24"/>
          <w:highlight w:val="none"/>
        </w:rPr>
      </w:pPr>
      <w:bookmarkStart w:id="91" w:name="_Toc13304"/>
      <w:bookmarkStart w:id="92" w:name="_Toc20481"/>
      <w:bookmarkStart w:id="93" w:name="_Toc4914"/>
      <w:bookmarkStart w:id="94" w:name="_Toc23632"/>
      <w:r>
        <w:rPr>
          <w:rFonts w:hint="eastAsia" w:ascii="宋体" w:hAnsi="宋体" w:eastAsia="宋体" w:cs="宋体"/>
          <w:color w:val="auto"/>
          <w:spacing w:val="-1"/>
          <w:sz w:val="24"/>
          <w:szCs w:val="24"/>
          <w:highlight w:val="none"/>
        </w:rPr>
        <w:t>（1）各分册是否按招标文件规定加盖电子印章。</w:t>
      </w:r>
      <w:bookmarkEnd w:id="91"/>
      <w:bookmarkEnd w:id="92"/>
      <w:bookmarkEnd w:id="93"/>
      <w:bookmarkEnd w:id="94"/>
    </w:p>
    <w:p w14:paraId="06C876D4">
      <w:pPr>
        <w:spacing w:before="15" w:line="360" w:lineRule="auto"/>
        <w:ind w:firstLine="464" w:firstLineChars="200"/>
        <w:outlineLvl w:val="9"/>
        <w:rPr>
          <w:rFonts w:hint="eastAsia" w:ascii="宋体" w:hAnsi="宋体" w:eastAsia="宋体" w:cs="宋体"/>
          <w:color w:val="auto"/>
          <w:spacing w:val="-1"/>
          <w:sz w:val="24"/>
          <w:szCs w:val="24"/>
          <w:highlight w:val="none"/>
        </w:rPr>
      </w:pPr>
      <w:bookmarkStart w:id="95" w:name="_Toc27432"/>
      <w:bookmarkStart w:id="96" w:name="_Toc10806"/>
      <w:bookmarkStart w:id="97" w:name="_Toc28409"/>
      <w:bookmarkStart w:id="98" w:name="_Toc12756"/>
      <w:r>
        <w:rPr>
          <w:rFonts w:hint="eastAsia" w:ascii="宋体" w:hAnsi="宋体" w:eastAsia="宋体" w:cs="宋体"/>
          <w:color w:val="auto"/>
          <w:spacing w:val="-4"/>
          <w:sz w:val="24"/>
          <w:szCs w:val="24"/>
          <w:highlight w:val="none"/>
        </w:rPr>
        <w:t>（2）本节第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10.2.2 目、第</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4"/>
          <w:sz w:val="24"/>
          <w:szCs w:val="24"/>
          <w:highlight w:val="none"/>
        </w:rPr>
        <w:t>10.3.2 目、第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10.4.</w:t>
      </w:r>
      <w:r>
        <w:rPr>
          <w:rFonts w:hint="eastAsia" w:ascii="宋体" w:hAnsi="宋体" w:eastAsia="宋体" w:cs="宋体"/>
          <w:color w:val="auto"/>
          <w:spacing w:val="-4"/>
          <w:sz w:val="24"/>
          <w:szCs w:val="24"/>
          <w:highlight w:val="none"/>
          <w:lang w:val="en-US" w:eastAsia="zh-CN"/>
        </w:rPr>
        <w:t>3</w:t>
      </w:r>
      <w:r>
        <w:rPr>
          <w:rFonts w:hint="eastAsia" w:ascii="宋体" w:hAnsi="宋体" w:eastAsia="宋体" w:cs="宋体"/>
          <w:color w:val="auto"/>
          <w:spacing w:val="-4"/>
          <w:sz w:val="24"/>
          <w:szCs w:val="24"/>
          <w:highlight w:val="none"/>
        </w:rPr>
        <w:t>目中规定</w:t>
      </w:r>
      <w:r>
        <w:rPr>
          <w:rFonts w:hint="eastAsia" w:ascii="宋体" w:hAnsi="宋体" w:eastAsia="宋体" w:cs="宋体"/>
          <w:color w:val="auto"/>
          <w:spacing w:val="-5"/>
          <w:sz w:val="24"/>
          <w:szCs w:val="24"/>
          <w:highlight w:val="none"/>
        </w:rPr>
        <w:t>的“所有投标人均应提</w:t>
      </w:r>
      <w:bookmarkEnd w:id="95"/>
      <w:bookmarkEnd w:id="96"/>
      <w:bookmarkEnd w:id="97"/>
      <w:r>
        <w:rPr>
          <w:rFonts w:hint="eastAsia" w:ascii="宋体" w:hAnsi="宋体" w:eastAsia="宋体" w:cs="宋体"/>
          <w:color w:val="auto"/>
          <w:spacing w:val="-1"/>
          <w:sz w:val="24"/>
          <w:szCs w:val="24"/>
          <w:highlight w:val="none"/>
        </w:rPr>
        <w:t>供</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”的组成内容（包括该组成内容的所附资料）是否完整、齐全.</w:t>
      </w:r>
      <w:bookmarkEnd w:id="98"/>
    </w:p>
    <w:p w14:paraId="262265DB">
      <w:pPr>
        <w:spacing w:before="15" w:line="360" w:lineRule="auto"/>
        <w:ind w:right="2" w:firstLine="474" w:firstLineChars="200"/>
        <w:jc w:val="both"/>
        <w:outlineLvl w:val="9"/>
        <w:rPr>
          <w:rFonts w:hint="eastAsia" w:ascii="宋体" w:hAnsi="宋体" w:eastAsia="宋体" w:cs="宋体"/>
          <w:color w:val="auto"/>
          <w:spacing w:val="2"/>
          <w:sz w:val="24"/>
          <w:szCs w:val="24"/>
          <w:highlight w:val="none"/>
        </w:rPr>
      </w:pPr>
      <w:bookmarkStart w:id="99" w:name="_Toc22562"/>
      <w:bookmarkStart w:id="100" w:name="_Toc16645"/>
      <w:bookmarkStart w:id="101" w:name="_Toc22642"/>
      <w:bookmarkStart w:id="102" w:name="_Toc14202"/>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 xml:space="preserve">.3  </w:t>
      </w:r>
      <w:r>
        <w:rPr>
          <w:rFonts w:hint="eastAsia" w:ascii="宋体" w:hAnsi="宋体" w:eastAsia="宋体" w:cs="宋体"/>
          <w:color w:val="auto"/>
          <w:spacing w:val="2"/>
          <w:sz w:val="24"/>
          <w:szCs w:val="24"/>
          <w:highlight w:val="none"/>
        </w:rPr>
        <w:t xml:space="preserve">响应性评审环节 </w:t>
      </w:r>
    </w:p>
    <w:p w14:paraId="06D94CF3">
      <w:pPr>
        <w:spacing w:before="15" w:line="360" w:lineRule="auto"/>
        <w:ind w:right="2" w:firstLine="488"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响应性评项包括：</w:t>
      </w:r>
      <w:bookmarkEnd w:id="99"/>
      <w:bookmarkEnd w:id="100"/>
      <w:bookmarkEnd w:id="101"/>
      <w:bookmarkEnd w:id="102"/>
    </w:p>
    <w:p w14:paraId="5F66F9DD">
      <w:pPr>
        <w:keepNext w:val="0"/>
        <w:keepLines w:val="0"/>
        <w:pageBreakBefore w:val="0"/>
        <w:widowControl/>
        <w:kinsoku w:val="0"/>
        <w:wordWrap/>
        <w:overflowPunct/>
        <w:topLinePunct w:val="0"/>
        <w:autoSpaceDE w:val="0"/>
        <w:autoSpaceDN w:val="0"/>
        <w:bidi w:val="0"/>
        <w:adjustRightInd w:val="0"/>
        <w:snapToGrid w:val="0"/>
        <w:spacing w:line="360" w:lineRule="auto"/>
        <w:ind w:left="11"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（1）投标有效期、质量标准、工期等是否响应招标文件实</w:t>
      </w:r>
      <w:r>
        <w:rPr>
          <w:rFonts w:hint="eastAsia" w:ascii="宋体" w:hAnsi="宋体" w:eastAsia="宋体" w:cs="宋体"/>
          <w:color w:val="auto"/>
          <w:spacing w:val="1"/>
          <w:sz w:val="24"/>
          <w:szCs w:val="24"/>
          <w:highlight w:val="none"/>
        </w:rPr>
        <w:t>质性要求；是否擅自</w:t>
      </w:r>
      <w:r>
        <w:rPr>
          <w:rFonts w:hint="eastAsia" w:ascii="宋体" w:hAnsi="宋体" w:eastAsia="宋体" w:cs="宋体"/>
          <w:color w:val="auto"/>
          <w:spacing w:val="-1"/>
          <w:sz w:val="24"/>
          <w:szCs w:val="24"/>
          <w:highlight w:val="none"/>
        </w:rPr>
        <w:t>修改、遗漏《投标函》《各项承诺一览表》的实质性内容。</w:t>
      </w:r>
    </w:p>
    <w:p w14:paraId="1062C775">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（2）编制《投标总价》的造价工程师，其注册证书是否合法、有效。</w:t>
      </w:r>
    </w:p>
    <w:p w14:paraId="3AEB6D8F">
      <w:pPr>
        <w:keepNext w:val="0"/>
        <w:keepLines w:val="0"/>
        <w:pageBreakBefore w:val="0"/>
        <w:widowControl/>
        <w:kinsoku w:val="0"/>
        <w:wordWrap/>
        <w:overflowPunct/>
        <w:topLinePunct w:val="0"/>
        <w:autoSpaceDE w:val="0"/>
        <w:autoSpaceDN w:val="0"/>
        <w:bidi w:val="0"/>
        <w:adjustRightInd w:val="0"/>
        <w:snapToGrid w:val="0"/>
        <w:spacing w:line="360" w:lineRule="auto"/>
        <w:ind w:left="23" w:right="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（3）投标人委托造价咨询单位编制《投标总价》的，是否在《投标总价扉页》“投标人</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”栏目加盖造价咨询人公章；是否提供</w:t>
      </w:r>
      <w:r>
        <w:rPr>
          <w:rFonts w:hint="eastAsia" w:ascii="宋体" w:hAnsi="宋体" w:eastAsia="宋体" w:cs="宋体"/>
          <w:color w:val="auto"/>
          <w:sz w:val="24"/>
          <w:szCs w:val="24"/>
          <w:highlight w:val="none"/>
        </w:rPr>
        <w:t>造价咨询人的营业执照</w:t>
      </w:r>
      <w:r>
        <w:rPr>
          <w:rFonts w:hint="eastAsia" w:ascii="宋体" w:hAnsi="宋体" w:eastAsia="宋体" w:cs="宋体"/>
          <w:color w:val="auto"/>
          <w:spacing w:val="-2"/>
          <w:sz w:val="24"/>
          <w:szCs w:val="24"/>
          <w:highlight w:val="none"/>
        </w:rPr>
        <w:t>副本彩色扫描件；</w:t>
      </w:r>
    </w:p>
    <w:p w14:paraId="5AE193A6">
      <w:pPr>
        <w:keepNext w:val="0"/>
        <w:keepLines w:val="0"/>
        <w:pageBreakBefore w:val="0"/>
        <w:widowControl/>
        <w:kinsoku w:val="0"/>
        <w:wordWrap/>
        <w:overflowPunct/>
        <w:topLinePunct w:val="0"/>
        <w:autoSpaceDE w:val="0"/>
        <w:autoSpaceDN w:val="0"/>
        <w:bidi w:val="0"/>
        <w:adjustRightInd w:val="0"/>
        <w:snapToGrid w:val="0"/>
        <w:spacing w:line="360" w:lineRule="auto"/>
        <w:ind w:left="11"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（4）投标总价是否唯一；投标总价是否超出</w:t>
      </w:r>
      <w:r>
        <w:rPr>
          <w:rFonts w:hint="eastAsia" w:ascii="宋体" w:hAnsi="宋体" w:eastAsia="宋体" w:cs="宋体"/>
          <w:b/>
          <w:bCs/>
          <w:color w:val="auto"/>
          <w:spacing w:val="1"/>
          <w:sz w:val="24"/>
          <w:szCs w:val="24"/>
          <w:highlight w:val="none"/>
          <w:lang w:val="en-US" w:eastAsia="zh-CN"/>
        </w:rPr>
        <w:t>最高投标限价</w:t>
      </w:r>
      <w:r>
        <w:rPr>
          <w:rFonts w:hint="eastAsia" w:ascii="宋体" w:hAnsi="宋体" w:eastAsia="宋体" w:cs="宋体"/>
          <w:color w:val="auto"/>
          <w:spacing w:val="1"/>
          <w:sz w:val="24"/>
          <w:szCs w:val="24"/>
          <w:highlight w:val="none"/>
        </w:rPr>
        <w:t>；</w:t>
      </w:r>
      <w:r>
        <w:rPr>
          <w:rFonts w:hint="eastAsia" w:ascii="宋体" w:hAnsi="宋体" w:eastAsia="宋体" w:cs="宋体"/>
          <w:b/>
          <w:bCs/>
          <w:color w:val="auto"/>
          <w:spacing w:val="1"/>
          <w:sz w:val="24"/>
          <w:szCs w:val="24"/>
          <w:highlight w:val="none"/>
        </w:rPr>
        <w:t>安全生产措施费</w:t>
      </w:r>
      <w:r>
        <w:rPr>
          <w:rFonts w:hint="eastAsia" w:ascii="宋体" w:hAnsi="宋体" w:eastAsia="宋体" w:cs="宋体"/>
          <w:color w:val="auto"/>
          <w:spacing w:val="-1"/>
          <w:sz w:val="24"/>
          <w:szCs w:val="24"/>
          <w:highlight w:val="none"/>
        </w:rPr>
        <w:t>是否达到最低要求；暂列金额、暂估价是否按照招标工</w:t>
      </w:r>
      <w:r>
        <w:rPr>
          <w:rFonts w:hint="eastAsia" w:ascii="宋体" w:hAnsi="宋体" w:eastAsia="宋体" w:cs="宋体"/>
          <w:color w:val="auto"/>
          <w:spacing w:val="-2"/>
          <w:sz w:val="24"/>
          <w:szCs w:val="24"/>
          <w:highlight w:val="none"/>
        </w:rPr>
        <w:t>程量清单统一报价；投</w:t>
      </w:r>
      <w:r>
        <w:rPr>
          <w:rFonts w:hint="eastAsia" w:ascii="宋体" w:hAnsi="宋体" w:eastAsia="宋体" w:cs="宋体"/>
          <w:color w:val="auto"/>
          <w:spacing w:val="-1"/>
          <w:sz w:val="24"/>
          <w:szCs w:val="24"/>
          <w:highlight w:val="none"/>
        </w:rPr>
        <w:t>标人是否以低于成本的价格竞标。</w:t>
      </w:r>
    </w:p>
    <w:p w14:paraId="6D02F1ED">
      <w:pPr>
        <w:spacing w:before="38" w:line="360" w:lineRule="auto"/>
        <w:ind w:right="2" w:firstLine="474" w:firstLineChars="200"/>
        <w:jc w:val="both"/>
        <w:rPr>
          <w:rFonts w:hint="eastAsia" w:ascii="宋体" w:hAnsi="宋体" w:eastAsia="宋体" w:cs="宋体"/>
          <w:color w:val="auto"/>
          <w:position w:val="-8"/>
          <w:sz w:val="24"/>
          <w:szCs w:val="24"/>
          <w:highlight w:val="none"/>
        </w:rPr>
      </w:pPr>
      <w:r>
        <w:rPr>
          <w:rFonts w:hint="eastAsia" w:ascii="宋体" w:hAnsi="宋体" w:eastAsia="宋体" w:cs="宋体"/>
          <w:b/>
          <w:bCs/>
          <w:color w:val="auto"/>
          <w:spacing w:val="-2"/>
          <w:sz w:val="24"/>
          <w:szCs w:val="24"/>
          <w:highlight w:val="none"/>
        </w:rPr>
        <w:t>注：如果某投标人的投标总价下浮率超过</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32"/>
          <w:sz w:val="24"/>
          <w:szCs w:val="24"/>
          <w:highlight w:val="none"/>
        </w:rPr>
        <w:t xml:space="preserve"> </w:t>
      </w:r>
      <w:r>
        <w:rPr>
          <w:rFonts w:hint="eastAsia" w:ascii="宋体" w:hAnsi="宋体" w:eastAsia="宋体" w:cs="宋体"/>
          <w:b/>
          <w:bCs/>
          <w:color w:val="auto"/>
          <w:spacing w:val="-2"/>
          <w:sz w:val="24"/>
          <w:szCs w:val="24"/>
          <w:highlight w:val="none"/>
        </w:rPr>
        <w:t>，又未提供</w:t>
      </w:r>
      <w:r>
        <w:rPr>
          <w:rFonts w:hint="eastAsia" w:ascii="宋体" w:hAnsi="宋体" w:eastAsia="宋体" w:cs="宋体"/>
          <w:b/>
          <w:bCs/>
          <w:color w:val="auto"/>
          <w:spacing w:val="-3"/>
          <w:sz w:val="24"/>
          <w:szCs w:val="24"/>
          <w:highlight w:val="none"/>
        </w:rPr>
        <w:t>相应书面说明和佐证</w:t>
      </w:r>
      <w:bookmarkStart w:id="103" w:name="bookmark127"/>
      <w:bookmarkEnd w:id="103"/>
      <w:r>
        <w:rPr>
          <w:rFonts w:hint="eastAsia" w:ascii="宋体" w:hAnsi="宋体" w:eastAsia="宋体" w:cs="宋体"/>
          <w:b/>
          <w:bCs/>
          <w:color w:val="auto"/>
          <w:spacing w:val="-4"/>
          <w:sz w:val="24"/>
          <w:szCs w:val="24"/>
          <w:highlight w:val="none"/>
        </w:rPr>
        <w:t>材料或提供的书面说明和佐证材料不能令人信服的，评标委员会应认定其以低于成本</w:t>
      </w:r>
      <w:r>
        <w:rPr>
          <w:rFonts w:hint="eastAsia" w:ascii="宋体" w:hAnsi="宋体" w:eastAsia="宋体" w:cs="宋体"/>
          <w:b/>
          <w:bCs/>
          <w:color w:val="auto"/>
          <w:spacing w:val="-9"/>
          <w:sz w:val="24"/>
          <w:szCs w:val="24"/>
          <w:highlight w:val="none"/>
        </w:rPr>
        <w:t>的价格竞标，并否决其投标。评</w:t>
      </w:r>
      <w:r>
        <w:rPr>
          <w:rFonts w:hint="eastAsia" w:ascii="宋体" w:hAnsi="宋体" w:eastAsia="宋体" w:cs="宋体"/>
          <w:b/>
          <w:bCs/>
          <w:color w:val="auto"/>
          <w:spacing w:val="-4"/>
          <w:sz w:val="24"/>
          <w:szCs w:val="24"/>
          <w:highlight w:val="none"/>
        </w:rPr>
        <w:t>标委员会接受该投标人的投标总价而未否决其投标的， 应在评标报告中说明判断理由。投标总价下浮率＝（1－投标总价÷</w:t>
      </w:r>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）×100% 。</w:t>
      </w:r>
    </w:p>
    <w:p w14:paraId="44DB85F7">
      <w:pPr>
        <w:spacing w:before="157" w:line="360" w:lineRule="auto"/>
        <w:ind w:left="11" w:right="114" w:firstLine="505" w:firstLineChars="20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（5）施工组织设计的质量、进度保障措施是否符合国</w:t>
      </w:r>
      <w:r>
        <w:rPr>
          <w:rFonts w:hint="eastAsia" w:ascii="宋体" w:hAnsi="宋体" w:eastAsia="宋体" w:cs="宋体"/>
          <w:color w:val="auto"/>
          <w:sz w:val="24"/>
          <w:szCs w:val="24"/>
          <w:highlight w:val="none"/>
        </w:rPr>
        <w:t>家和省市现行有关规</w:t>
      </w:r>
      <w:r>
        <w:rPr>
          <w:rFonts w:hint="eastAsia" w:ascii="宋体" w:hAnsi="宋体" w:eastAsia="宋体" w:cs="宋体"/>
          <w:color w:val="auto"/>
          <w:spacing w:val="-1"/>
          <w:sz w:val="24"/>
          <w:szCs w:val="24"/>
          <w:highlight w:val="none"/>
        </w:rPr>
        <w:t>范、规定、标准，是否能实现工程质量、进度管理目标。</w:t>
      </w:r>
    </w:p>
    <w:p w14:paraId="5C4DE440">
      <w:pPr>
        <w:spacing w:before="82" w:line="211" w:lineRule="auto"/>
        <w:ind w:left="580"/>
        <w:outlineLvl w:val="9"/>
        <w:rPr>
          <w:rFonts w:hint="eastAsia" w:ascii="宋体" w:hAnsi="宋体" w:eastAsia="宋体" w:cs="宋体"/>
          <w:color w:val="auto"/>
          <w:sz w:val="25"/>
          <w:szCs w:val="25"/>
          <w:highlight w:val="none"/>
        </w:rPr>
      </w:pPr>
      <w:bookmarkStart w:id="104" w:name="_Toc19814"/>
      <w:bookmarkStart w:id="105" w:name="_Toc32114"/>
      <w:bookmarkStart w:id="106" w:name="_Toc18204"/>
      <w:bookmarkStart w:id="107" w:name="_Toc15367"/>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5</w:t>
      </w:r>
      <w:r>
        <w:rPr>
          <w:rFonts w:hint="eastAsia" w:ascii="宋体" w:hAnsi="宋体" w:eastAsia="宋体" w:cs="宋体"/>
          <w:b/>
          <w:bCs/>
          <w:color w:val="auto"/>
          <w:spacing w:val="-3"/>
          <w:sz w:val="24"/>
          <w:szCs w:val="24"/>
          <w:highlight w:val="none"/>
        </w:rPr>
        <w:t xml:space="preserve">.4  </w:t>
      </w:r>
      <w:r>
        <w:rPr>
          <w:rFonts w:hint="eastAsia" w:ascii="宋体" w:hAnsi="宋体" w:eastAsia="宋体" w:cs="宋体"/>
          <w:color w:val="auto"/>
          <w:spacing w:val="-3"/>
          <w:sz w:val="24"/>
          <w:szCs w:val="24"/>
          <w:highlight w:val="none"/>
        </w:rPr>
        <w:t>否决投标说明</w:t>
      </w:r>
      <w:bookmarkEnd w:id="104"/>
      <w:bookmarkEnd w:id="105"/>
      <w:bookmarkEnd w:id="106"/>
      <w:bookmarkEnd w:id="107"/>
    </w:p>
    <w:p w14:paraId="231793FD">
      <w:pPr>
        <w:spacing w:before="152" w:line="333" w:lineRule="auto"/>
        <w:ind w:left="11" w:right="175" w:firstLine="561"/>
        <w:rPr>
          <w:rFonts w:hint="eastAsia" w:ascii="宋体" w:hAnsi="宋体" w:eastAsia="宋体" w:cs="宋体"/>
          <w:color w:val="auto"/>
          <w:highlight w:val="none"/>
        </w:rPr>
      </w:pPr>
      <w:r>
        <w:rPr>
          <w:rFonts w:hint="eastAsia" w:ascii="宋体" w:hAnsi="宋体" w:eastAsia="宋体" w:cs="宋体"/>
          <w:color w:val="auto"/>
          <w:spacing w:val="-5"/>
          <w:sz w:val="24"/>
          <w:szCs w:val="24"/>
          <w:highlight w:val="none"/>
        </w:rPr>
        <w:t>初步评审阶段各个环节否决投标的全部条件，在本章第四节“否决投标条件</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5"/>
          <w:sz w:val="24"/>
          <w:szCs w:val="24"/>
          <w:highlight w:val="none"/>
        </w:rPr>
        <w:t>”第</w:t>
      </w:r>
      <w:r>
        <w:rPr>
          <w:rFonts w:hint="eastAsia" w:ascii="宋体" w:hAnsi="宋体" w:eastAsia="宋体" w:cs="宋体"/>
          <w:b/>
          <w:bCs/>
          <w:color w:val="auto"/>
          <w:sz w:val="24"/>
          <w:szCs w:val="24"/>
          <w:highlight w:val="none"/>
        </w:rPr>
        <w:t>1</w:t>
      </w:r>
      <w:r>
        <w:rPr>
          <w:rFonts w:hint="eastAsia" w:ascii="宋体" w:hAnsi="宋体" w:eastAsia="宋体" w:cs="宋体"/>
          <w:color w:val="auto"/>
          <w:sz w:val="24"/>
          <w:szCs w:val="24"/>
          <w:highlight w:val="none"/>
        </w:rPr>
        <w:t>条至第</w:t>
      </w:r>
      <w:r>
        <w:rPr>
          <w:rFonts w:hint="eastAsia" w:ascii="宋体" w:hAnsi="宋体" w:eastAsia="宋体" w:cs="宋体"/>
          <w:color w:val="auto"/>
          <w:spacing w:val="-46"/>
          <w:sz w:val="24"/>
          <w:szCs w:val="24"/>
          <w:highlight w:val="none"/>
        </w:rPr>
        <w:t xml:space="preserve"> </w:t>
      </w:r>
      <w:r>
        <w:rPr>
          <w:rFonts w:hint="eastAsia" w:ascii="宋体" w:hAnsi="宋体" w:eastAsia="宋体" w:cs="宋体"/>
          <w:b/>
          <w:bCs/>
          <w:color w:val="auto"/>
          <w:sz w:val="24"/>
          <w:szCs w:val="24"/>
          <w:highlight w:val="none"/>
        </w:rPr>
        <w:t>4</w:t>
      </w:r>
      <w:r>
        <w:rPr>
          <w:rFonts w:hint="eastAsia" w:ascii="宋体" w:hAnsi="宋体" w:eastAsia="宋体" w:cs="宋体"/>
          <w:color w:val="auto"/>
          <w:sz w:val="24"/>
          <w:szCs w:val="24"/>
          <w:highlight w:val="none"/>
        </w:rPr>
        <w:t>条中集中列示。投标人有其中所列任何一种情形的，由评标委员会否决其</w:t>
      </w:r>
      <w:r>
        <w:rPr>
          <w:rFonts w:hint="eastAsia" w:ascii="宋体" w:hAnsi="宋体" w:eastAsia="宋体" w:cs="宋体"/>
          <w:color w:val="auto"/>
          <w:spacing w:val="-1"/>
          <w:sz w:val="24"/>
          <w:szCs w:val="24"/>
          <w:highlight w:val="none"/>
        </w:rPr>
        <w:t>投标。在初步评审阶段任何环节被否决的投标人，不进入下一环</w:t>
      </w:r>
      <w:r>
        <w:rPr>
          <w:rFonts w:hint="eastAsia" w:ascii="宋体" w:hAnsi="宋体" w:eastAsia="宋体" w:cs="宋体"/>
          <w:color w:val="auto"/>
          <w:spacing w:val="-2"/>
          <w:sz w:val="24"/>
          <w:szCs w:val="24"/>
          <w:highlight w:val="none"/>
        </w:rPr>
        <w:t>节（或阶段）评审。</w:t>
      </w:r>
      <w:r>
        <w:rPr>
          <w:rFonts w:hint="eastAsia" w:ascii="宋体" w:hAnsi="宋体" w:eastAsia="宋体" w:cs="宋体"/>
          <w:color w:val="auto"/>
          <w:spacing w:val="-1"/>
          <w:sz w:val="24"/>
          <w:szCs w:val="24"/>
          <w:highlight w:val="none"/>
        </w:rPr>
        <w:t>在初步评审阶段任何环节。</w:t>
      </w:r>
      <w:r>
        <w:rPr>
          <w:rFonts w:hint="eastAsia" w:ascii="宋体" w:hAnsi="宋体" w:eastAsia="宋体" w:cs="宋体"/>
          <w:color w:val="auto"/>
          <w:sz w:val="24"/>
          <w:szCs w:val="24"/>
          <w:highlight w:val="none"/>
        </w:rPr>
        <w:t>评标委员会经评审，认为所有投标都不符合招标文件要求的，可否决所有投标，项目的所有投标被否决的，招标人应依法重新组织招标。</w:t>
      </w:r>
    </w:p>
    <w:p w14:paraId="1D145AD8">
      <w:pPr>
        <w:spacing w:before="78" w:line="221" w:lineRule="auto"/>
        <w:ind w:left="577"/>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61312"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27"/>
                    <a:stretch>
                      <a:fillRect/>
                    </a:stretch>
                  </pic:blipFill>
                  <pic:spPr>
                    <a:xfrm>
                      <a:off x="0" y="0"/>
                      <a:ext cx="6350" cy="279400"/>
                    </a:xfrm>
                    <a:prstGeom prst="rect">
                      <a:avLst/>
                    </a:prstGeom>
                    <a:noFill/>
                    <a:ln>
                      <a:noFill/>
                    </a:ln>
                  </pic:spPr>
                </pic:pic>
              </a:graphicData>
            </a:graphic>
          </wp:anchor>
        </w:drawing>
      </w:r>
      <w:bookmarkStart w:id="108" w:name="bookmark128"/>
      <w:bookmarkEnd w:id="108"/>
      <w:r>
        <w:rPr>
          <w:rFonts w:hint="eastAsia" w:ascii="宋体" w:hAnsi="宋体" w:eastAsia="宋体" w:cs="宋体"/>
          <w:b/>
          <w:bCs/>
          <w:color w:val="auto"/>
          <w:spacing w:val="-2"/>
          <w:sz w:val="24"/>
          <w:szCs w:val="24"/>
          <w:highlight w:val="none"/>
        </w:rPr>
        <w:t>1</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w:t>
      </w:r>
      <w:r>
        <w:rPr>
          <w:rFonts w:hint="eastAsia" w:ascii="宋体" w:hAnsi="宋体" w:eastAsia="宋体" w:cs="宋体"/>
          <w:b/>
          <w:bCs/>
          <w:color w:val="auto"/>
          <w:spacing w:val="-2"/>
          <w:sz w:val="24"/>
          <w:szCs w:val="24"/>
          <w:highlight w:val="none"/>
          <w:lang w:val="en-US" w:eastAsia="zh-CN"/>
        </w:rPr>
        <w:t>6</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详细评审阶段</w:t>
      </w:r>
    </w:p>
    <w:p w14:paraId="3169A098">
      <w:pPr>
        <w:spacing w:before="81" w:line="211" w:lineRule="auto"/>
        <w:ind w:left="498"/>
        <w:outlineLvl w:val="9"/>
        <w:rPr>
          <w:rFonts w:hint="eastAsia" w:ascii="宋体" w:hAnsi="宋体" w:eastAsia="宋体" w:cs="宋体"/>
          <w:color w:val="auto"/>
          <w:sz w:val="25"/>
          <w:szCs w:val="25"/>
          <w:highlight w:val="none"/>
        </w:rPr>
      </w:pPr>
      <w:bookmarkStart w:id="109" w:name="_Toc4119"/>
      <w:bookmarkStart w:id="110" w:name="_Toc28572"/>
      <w:bookmarkStart w:id="111" w:name="_Toc10503"/>
      <w:bookmarkStart w:id="112" w:name="_Toc14991"/>
      <w:r>
        <w:rPr>
          <w:rFonts w:hint="eastAsia" w:ascii="宋体" w:hAnsi="宋体" w:eastAsia="宋体" w:cs="宋体"/>
          <w:b/>
          <w:bCs/>
          <w:color w:val="auto"/>
          <w:spacing w:val="-3"/>
          <w:sz w:val="24"/>
          <w:szCs w:val="24"/>
          <w:highlight w:val="none"/>
          <w:lang w:val="en-US" w:eastAsia="zh-CN"/>
        </w:rPr>
        <w:t>15</w:t>
      </w:r>
      <w:r>
        <w:rPr>
          <w:rFonts w:hint="eastAsia" w:ascii="宋体" w:hAnsi="宋体" w:eastAsia="宋体" w:cs="宋体"/>
          <w:b/>
          <w:bCs/>
          <w:color w:val="auto"/>
          <w:spacing w:val="-3"/>
          <w:sz w:val="24"/>
          <w:szCs w:val="24"/>
          <w:highlight w:val="none"/>
        </w:rPr>
        <w:t>.</w:t>
      </w:r>
      <w:r>
        <w:rPr>
          <w:rFonts w:hint="eastAsia" w:ascii="宋体" w:hAnsi="宋体" w:eastAsia="宋体" w:cs="宋体"/>
          <w:b/>
          <w:bCs/>
          <w:color w:val="auto"/>
          <w:spacing w:val="-3"/>
          <w:sz w:val="24"/>
          <w:szCs w:val="24"/>
          <w:highlight w:val="none"/>
          <w:lang w:val="en-US" w:eastAsia="zh-CN"/>
        </w:rPr>
        <w:t>6</w:t>
      </w:r>
      <w:r>
        <w:rPr>
          <w:rFonts w:hint="eastAsia" w:ascii="宋体" w:hAnsi="宋体" w:eastAsia="宋体" w:cs="宋体"/>
          <w:b/>
          <w:bCs/>
          <w:color w:val="auto"/>
          <w:spacing w:val="-3"/>
          <w:sz w:val="24"/>
          <w:szCs w:val="24"/>
          <w:highlight w:val="none"/>
        </w:rPr>
        <w:t xml:space="preserve">.1  </w:t>
      </w:r>
      <w:r>
        <w:rPr>
          <w:rFonts w:hint="eastAsia" w:ascii="宋体" w:hAnsi="宋体" w:eastAsia="宋体" w:cs="宋体"/>
          <w:color w:val="auto"/>
          <w:spacing w:val="-3"/>
          <w:sz w:val="24"/>
          <w:szCs w:val="24"/>
          <w:highlight w:val="none"/>
        </w:rPr>
        <w:t>“综合评</w:t>
      </w:r>
      <w:r>
        <w:rPr>
          <w:rFonts w:hint="eastAsia" w:ascii="宋体" w:hAnsi="宋体" w:eastAsia="宋体" w:cs="宋体"/>
          <w:color w:val="auto"/>
          <w:spacing w:val="-3"/>
          <w:sz w:val="24"/>
          <w:szCs w:val="24"/>
          <w:highlight w:val="none"/>
          <w:lang w:val="en-US" w:eastAsia="zh-CN"/>
        </w:rPr>
        <w:t>分</w:t>
      </w:r>
      <w:r>
        <w:rPr>
          <w:rFonts w:hint="eastAsia" w:ascii="宋体" w:hAnsi="宋体" w:eastAsia="宋体" w:cs="宋体"/>
          <w:color w:val="auto"/>
          <w:spacing w:val="-3"/>
          <w:sz w:val="24"/>
          <w:szCs w:val="24"/>
          <w:highlight w:val="none"/>
        </w:rPr>
        <w:t>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”评审程序</w:t>
      </w:r>
      <w:bookmarkEnd w:id="109"/>
      <w:bookmarkEnd w:id="110"/>
      <w:bookmarkEnd w:id="111"/>
      <w:bookmarkEnd w:id="112"/>
    </w:p>
    <w:p w14:paraId="37CFB67E">
      <w:pPr>
        <w:spacing w:before="152" w:line="329" w:lineRule="auto"/>
        <w:ind w:left="14" w:right="81" w:firstLine="47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评审内容分为商务技术和投标报价两大部分。其中，商</w:t>
      </w:r>
      <w:r>
        <w:rPr>
          <w:rFonts w:hint="eastAsia" w:ascii="宋体" w:hAnsi="宋体" w:eastAsia="宋体" w:cs="宋体"/>
          <w:color w:val="auto"/>
          <w:spacing w:val="-2"/>
          <w:sz w:val="24"/>
          <w:szCs w:val="24"/>
          <w:highlight w:val="none"/>
        </w:rPr>
        <w:t>务技术合计满分</w:t>
      </w:r>
      <w:r>
        <w:rPr>
          <w:rFonts w:hint="eastAsia" w:ascii="宋体" w:hAnsi="宋体" w:eastAsia="宋体" w:cs="宋体"/>
          <w:color w:val="auto"/>
          <w:spacing w:val="-2"/>
          <w:sz w:val="24"/>
          <w:szCs w:val="24"/>
          <w:highlight w:val="none"/>
          <w:lang w:eastAsia="zh-CN"/>
        </w:rPr>
        <w:t>100</w:t>
      </w:r>
      <w:r>
        <w:rPr>
          <w:rFonts w:hint="eastAsia" w:ascii="宋体" w:hAnsi="宋体" w:eastAsia="宋体" w:cs="宋体"/>
          <w:color w:val="auto"/>
          <w:spacing w:val="-2"/>
          <w:sz w:val="24"/>
          <w:szCs w:val="24"/>
          <w:highlight w:val="none"/>
        </w:rPr>
        <w:t>分，权重</w:t>
      </w:r>
      <w:r>
        <w:rPr>
          <w:rFonts w:hint="eastAsia" w:ascii="宋体" w:hAnsi="宋体" w:eastAsia="宋体" w:cs="宋体"/>
          <w:color w:val="auto"/>
          <w:spacing w:val="-3"/>
          <w:sz w:val="24"/>
          <w:szCs w:val="24"/>
          <w:highlight w:val="none"/>
        </w:rPr>
        <w:t>为</w:t>
      </w:r>
      <w:r>
        <w:rPr>
          <w:rFonts w:hint="eastAsia" w:ascii="宋体" w:hAnsi="宋体" w:eastAsia="宋体" w:cs="宋体"/>
          <w:color w:val="auto"/>
          <w:spacing w:val="-3"/>
          <w:sz w:val="24"/>
          <w:szCs w:val="24"/>
          <w:highlight w:val="none"/>
          <w:lang w:eastAsia="zh-CN"/>
        </w:rPr>
        <w:t>40</w:t>
      </w:r>
      <w:r>
        <w:rPr>
          <w:rFonts w:hint="eastAsia" w:ascii="宋体" w:hAnsi="宋体" w:eastAsia="宋体" w:cs="宋体"/>
          <w:color w:val="auto"/>
          <w:spacing w:val="-3"/>
          <w:sz w:val="24"/>
          <w:szCs w:val="24"/>
          <w:highlight w:val="none"/>
        </w:rPr>
        <w:t>%；投标报价满分</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3"/>
          <w:sz w:val="24"/>
          <w:szCs w:val="24"/>
          <w:highlight w:val="none"/>
        </w:rPr>
        <w:t>100 分，权重为</w:t>
      </w:r>
      <w:r>
        <w:rPr>
          <w:rFonts w:hint="eastAsia" w:ascii="宋体" w:hAnsi="宋体" w:eastAsia="宋体" w:cs="宋体"/>
          <w:color w:val="auto"/>
          <w:spacing w:val="-3"/>
          <w:sz w:val="24"/>
          <w:szCs w:val="24"/>
          <w:highlight w:val="none"/>
          <w:lang w:eastAsia="zh-CN"/>
        </w:rPr>
        <w:t>60</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。两大部分权重之和应为</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100%。</w:t>
      </w:r>
    </w:p>
    <w:p w14:paraId="593B6BBC">
      <w:pPr>
        <w:spacing w:before="153" w:line="324" w:lineRule="auto"/>
        <w:ind w:left="14" w:right="81"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除特别注明外，综合得分以及商务技术得分、投标报价得分的中间过程计算值和</w:t>
      </w:r>
      <w:r>
        <w:rPr>
          <w:rFonts w:hint="eastAsia" w:ascii="宋体" w:hAnsi="宋体" w:eastAsia="宋体" w:cs="宋体"/>
          <w:color w:val="auto"/>
          <w:spacing w:val="-4"/>
          <w:sz w:val="24"/>
          <w:szCs w:val="24"/>
          <w:highlight w:val="none"/>
        </w:rPr>
        <w:t>最终值，均按“</w:t>
      </w:r>
      <w:r>
        <w:rPr>
          <w:rFonts w:hint="eastAsia" w:ascii="宋体" w:hAnsi="宋体" w:eastAsia="宋体" w:cs="宋体"/>
          <w:color w:val="auto"/>
          <w:spacing w:val="-78"/>
          <w:sz w:val="24"/>
          <w:szCs w:val="24"/>
          <w:highlight w:val="none"/>
        </w:rPr>
        <w:t xml:space="preserve"> </w:t>
      </w:r>
      <w:r>
        <w:rPr>
          <w:rFonts w:hint="eastAsia" w:ascii="宋体" w:hAnsi="宋体" w:eastAsia="宋体" w:cs="宋体"/>
          <w:color w:val="auto"/>
          <w:spacing w:val="-4"/>
          <w:sz w:val="24"/>
          <w:szCs w:val="24"/>
          <w:highlight w:val="none"/>
        </w:rPr>
        <w:t>四舍五入</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”原则精确到两位小数。</w:t>
      </w:r>
    </w:p>
    <w:p w14:paraId="306FA8ED">
      <w:pPr>
        <w:spacing w:before="38" w:line="220" w:lineRule="auto"/>
        <w:ind w:left="503"/>
        <w:outlineLvl w:val="9"/>
        <w:rPr>
          <w:rFonts w:hint="eastAsia" w:ascii="宋体" w:hAnsi="宋体" w:eastAsia="宋体" w:cs="宋体"/>
          <w:color w:val="auto"/>
          <w:sz w:val="24"/>
          <w:szCs w:val="24"/>
          <w:highlight w:val="none"/>
        </w:rPr>
      </w:pPr>
      <w:bookmarkStart w:id="113" w:name="_Toc17510"/>
      <w:bookmarkStart w:id="114" w:name="_Toc22949"/>
      <w:bookmarkStart w:id="115" w:name="_Toc10398"/>
      <w:bookmarkStart w:id="116" w:name="_Toc18029"/>
      <w:r>
        <w:rPr>
          <w:rFonts w:hint="eastAsia" w:ascii="宋体" w:hAnsi="宋体" w:eastAsia="宋体" w:cs="宋体"/>
          <w:color w:val="auto"/>
          <w:spacing w:val="-3"/>
          <w:sz w:val="24"/>
          <w:szCs w:val="24"/>
          <w:highlight w:val="none"/>
        </w:rPr>
        <w:t>（1）商务技术得分</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M</w:t>
      </w:r>
      <w:bookmarkEnd w:id="113"/>
      <w:bookmarkEnd w:id="114"/>
      <w:bookmarkEnd w:id="115"/>
      <w:bookmarkEnd w:id="116"/>
    </w:p>
    <w:p w14:paraId="76A22538">
      <w:pPr>
        <w:spacing w:before="153" w:line="279" w:lineRule="auto"/>
        <w:ind w:left="15" w:right="81"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color w:val="auto"/>
          <w:spacing w:val="1"/>
          <w:sz w:val="24"/>
          <w:szCs w:val="24"/>
          <w:highlight w:val="none"/>
        </w:rPr>
        <w:t>．评标委员会按照《综合评分表》商务部分指定的评分标准对各评分因素进行</w:t>
      </w:r>
      <w:r>
        <w:rPr>
          <w:rFonts w:hint="eastAsia" w:ascii="宋体" w:hAnsi="宋体" w:eastAsia="宋体" w:cs="宋体"/>
          <w:color w:val="auto"/>
          <w:spacing w:val="-1"/>
          <w:sz w:val="24"/>
          <w:szCs w:val="24"/>
          <w:highlight w:val="none"/>
        </w:rPr>
        <w:t>打分。各评分因素得分之和即为某投标人的商务得分</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1"/>
          <w:sz w:val="24"/>
          <w:szCs w:val="24"/>
          <w:highlight w:val="none"/>
        </w:rPr>
        <w:t>。</w:t>
      </w:r>
    </w:p>
    <w:p w14:paraId="2FC04340">
      <w:pPr>
        <w:spacing w:before="154" w:line="299" w:lineRule="auto"/>
        <w:ind w:left="12" w:right="8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b</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color w:val="auto"/>
          <w:spacing w:val="1"/>
          <w:sz w:val="24"/>
          <w:szCs w:val="24"/>
          <w:highlight w:val="none"/>
        </w:rPr>
        <w:t>．评标委员会各成员独立按照《综合评分表》技术部分（施工组织设</w:t>
      </w:r>
      <w:r>
        <w:rPr>
          <w:rFonts w:hint="eastAsia" w:ascii="宋体" w:hAnsi="宋体" w:eastAsia="宋体" w:cs="宋体"/>
          <w:color w:val="auto"/>
          <w:sz w:val="24"/>
          <w:szCs w:val="24"/>
          <w:highlight w:val="none"/>
        </w:rPr>
        <w:t>计）指定</w:t>
      </w:r>
      <w:r>
        <w:rPr>
          <w:rFonts w:hint="eastAsia" w:ascii="宋体" w:hAnsi="宋体" w:eastAsia="宋体" w:cs="宋体"/>
          <w:color w:val="auto"/>
          <w:spacing w:val="-1"/>
          <w:sz w:val="24"/>
          <w:szCs w:val="24"/>
          <w:highlight w:val="none"/>
        </w:rPr>
        <w:t>的评分标准对各评分因素进行打分，累加后得出技术评分。</w:t>
      </w:r>
      <w:r>
        <w:rPr>
          <w:rFonts w:hint="eastAsia" w:ascii="宋体" w:hAnsi="宋体" w:eastAsia="宋体" w:cs="宋体"/>
          <w:color w:val="auto"/>
          <w:spacing w:val="-2"/>
          <w:sz w:val="24"/>
          <w:szCs w:val="24"/>
          <w:highlight w:val="none"/>
        </w:rPr>
        <w:t>将评标委员会所有成员的</w:t>
      </w:r>
      <w:r>
        <w:rPr>
          <w:rFonts w:hint="eastAsia" w:ascii="宋体" w:hAnsi="宋体" w:eastAsia="宋体" w:cs="宋体"/>
          <w:color w:val="auto"/>
          <w:sz w:val="24"/>
          <w:szCs w:val="24"/>
          <w:highlight w:val="none"/>
        </w:rPr>
        <w:t>技术评分去掉最高分和最低分后，取算术平均值，即</w:t>
      </w:r>
      <w:r>
        <w:rPr>
          <w:rFonts w:hint="eastAsia" w:ascii="宋体" w:hAnsi="宋体" w:eastAsia="宋体" w:cs="宋体"/>
          <w:color w:val="auto"/>
          <w:spacing w:val="-1"/>
          <w:sz w:val="24"/>
          <w:szCs w:val="24"/>
          <w:highlight w:val="none"/>
        </w:rPr>
        <w:t>为某投标人的技术得分</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15"/>
          <w:szCs w:val="15"/>
          <w:highlight w:val="none"/>
        </w:rPr>
        <w:t>2</w:t>
      </w:r>
      <w:r>
        <w:rPr>
          <w:rFonts w:hint="eastAsia" w:ascii="宋体" w:hAnsi="宋体" w:eastAsia="宋体" w:cs="宋体"/>
          <w:color w:val="auto"/>
          <w:spacing w:val="-1"/>
          <w:sz w:val="24"/>
          <w:szCs w:val="24"/>
          <w:highlight w:val="none"/>
        </w:rPr>
        <w:t>。</w:t>
      </w:r>
    </w:p>
    <w:p w14:paraId="5C4F567C">
      <w:pPr>
        <w:spacing w:before="155" w:line="231" w:lineRule="auto"/>
        <w:ind w:left="491"/>
        <w:rPr>
          <w:rFonts w:hint="eastAsia" w:ascii="宋体" w:hAnsi="宋体" w:eastAsia="宋体" w:cs="宋体"/>
          <w:color w:val="auto"/>
          <w:sz w:val="15"/>
          <w:szCs w:val="15"/>
          <w:highlight w:val="none"/>
        </w:rPr>
      </w:pPr>
      <w:r>
        <w:rPr>
          <w:rFonts w:hint="eastAsia" w:ascii="宋体" w:hAnsi="宋体" w:eastAsia="宋体" w:cs="宋体"/>
          <w:b/>
          <w:bCs/>
          <w:color w:val="auto"/>
          <w:spacing w:val="-12"/>
          <w:sz w:val="24"/>
          <w:szCs w:val="24"/>
          <w:highlight w:val="none"/>
        </w:rPr>
        <w:t>c</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12"/>
          <w:position w:val="-1"/>
          <w:sz w:val="15"/>
          <w:szCs w:val="15"/>
          <w:highlight w:val="none"/>
        </w:rPr>
        <w:t>1</w:t>
      </w:r>
      <w:r>
        <w:rPr>
          <w:rFonts w:hint="eastAsia" w:ascii="宋体" w:hAnsi="宋体" w:eastAsia="宋体" w:cs="宋体"/>
          <w:color w:val="auto"/>
          <w:sz w:val="24"/>
          <w:szCs w:val="24"/>
          <w:highlight w:val="none"/>
        </w:rPr>
        <w:t>＋M</w:t>
      </w:r>
      <w:r>
        <w:rPr>
          <w:rFonts w:hint="eastAsia" w:ascii="宋体" w:hAnsi="宋体" w:eastAsia="宋体" w:cs="宋体"/>
          <w:color w:val="auto"/>
          <w:position w:val="-1"/>
          <w:sz w:val="15"/>
          <w:szCs w:val="15"/>
          <w:highlight w:val="none"/>
        </w:rPr>
        <w:t>2</w:t>
      </w:r>
    </w:p>
    <w:p w14:paraId="5BB7F3F1">
      <w:pPr>
        <w:spacing w:before="139" w:line="220" w:lineRule="auto"/>
        <w:ind w:left="49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12"/>
          <w:w w:val="101"/>
          <w:position w:val="-1"/>
          <w:sz w:val="15"/>
          <w:szCs w:val="15"/>
          <w:highlight w:val="none"/>
        </w:rPr>
        <w:t xml:space="preserve"> </w:t>
      </w:r>
      <w:r>
        <w:rPr>
          <w:rFonts w:hint="eastAsia" w:ascii="宋体" w:hAnsi="宋体" w:eastAsia="宋体" w:cs="宋体"/>
          <w:color w:val="auto"/>
          <w:spacing w:val="-1"/>
          <w:sz w:val="24"/>
          <w:szCs w:val="24"/>
          <w:highlight w:val="none"/>
        </w:rPr>
        <w:t>为某投标人的商务得分，M</w:t>
      </w:r>
      <w:r>
        <w:rPr>
          <w:rFonts w:hint="eastAsia" w:ascii="宋体" w:hAnsi="宋体" w:eastAsia="宋体" w:cs="宋体"/>
          <w:color w:val="auto"/>
          <w:spacing w:val="-1"/>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1"/>
          <w:sz w:val="24"/>
          <w:szCs w:val="24"/>
          <w:highlight w:val="none"/>
        </w:rPr>
        <w:t>为某投标人的</w:t>
      </w:r>
      <w:r>
        <w:rPr>
          <w:rFonts w:hint="eastAsia" w:ascii="宋体" w:hAnsi="宋体" w:eastAsia="宋体" w:cs="宋体"/>
          <w:color w:val="auto"/>
          <w:spacing w:val="-2"/>
          <w:sz w:val="24"/>
          <w:szCs w:val="24"/>
          <w:highlight w:val="none"/>
        </w:rPr>
        <w:t>技术得分。</w:t>
      </w:r>
    </w:p>
    <w:p w14:paraId="65E0516A">
      <w:pPr>
        <w:spacing w:before="153" w:line="219" w:lineRule="auto"/>
        <w:ind w:left="503"/>
        <w:outlineLvl w:val="9"/>
        <w:rPr>
          <w:rFonts w:hint="eastAsia" w:ascii="宋体" w:hAnsi="宋体" w:eastAsia="宋体" w:cs="宋体"/>
          <w:color w:val="auto"/>
          <w:sz w:val="24"/>
          <w:szCs w:val="24"/>
          <w:highlight w:val="none"/>
        </w:rPr>
      </w:pPr>
      <w:bookmarkStart w:id="117" w:name="_Toc27609"/>
      <w:bookmarkStart w:id="118" w:name="_Toc3958"/>
      <w:bookmarkStart w:id="119" w:name="_Toc14059"/>
      <w:bookmarkStart w:id="120" w:name="_Toc16136"/>
      <w:r>
        <w:rPr>
          <w:rFonts w:hint="eastAsia" w:ascii="宋体" w:hAnsi="宋体" w:eastAsia="宋体" w:cs="宋体"/>
          <w:color w:val="auto"/>
          <w:spacing w:val="-2"/>
          <w:sz w:val="24"/>
          <w:szCs w:val="24"/>
          <w:highlight w:val="none"/>
        </w:rPr>
        <w:t>（2）投标报价得分</w:t>
      </w:r>
      <w:r>
        <w:rPr>
          <w:rFonts w:hint="eastAsia" w:ascii="宋体" w:hAnsi="宋体" w:eastAsia="宋体" w:cs="宋体"/>
          <w:color w:val="auto"/>
          <w:spacing w:val="-62"/>
          <w:sz w:val="24"/>
          <w:szCs w:val="24"/>
          <w:highlight w:val="none"/>
        </w:rPr>
        <w:t xml:space="preserve"> </w:t>
      </w:r>
      <w:r>
        <w:rPr>
          <w:rFonts w:hint="eastAsia" w:ascii="宋体" w:hAnsi="宋体" w:eastAsia="宋体" w:cs="宋体"/>
          <w:color w:val="auto"/>
          <w:spacing w:val="-2"/>
          <w:sz w:val="24"/>
          <w:szCs w:val="24"/>
          <w:highlight w:val="none"/>
        </w:rPr>
        <w:t>N</w:t>
      </w:r>
      <w:bookmarkEnd w:id="117"/>
      <w:bookmarkEnd w:id="118"/>
      <w:bookmarkEnd w:id="119"/>
      <w:bookmarkEnd w:id="120"/>
    </w:p>
    <w:p w14:paraId="5D9B6AC7">
      <w:pPr>
        <w:spacing w:before="157" w:line="219" w:lineRule="auto"/>
        <w:ind w:firstLine="470"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a</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color w:val="auto"/>
          <w:spacing w:val="-3"/>
          <w:sz w:val="24"/>
          <w:szCs w:val="24"/>
          <w:highlight w:val="none"/>
        </w:rPr>
        <w:t>．评标委员会按照《综合评分表》投标报价部分指定的方法计</w:t>
      </w:r>
      <w:r>
        <w:rPr>
          <w:rFonts w:hint="eastAsia" w:ascii="宋体" w:hAnsi="宋体" w:eastAsia="宋体" w:cs="宋体"/>
          <w:color w:val="auto"/>
          <w:spacing w:val="-4"/>
          <w:sz w:val="24"/>
          <w:szCs w:val="24"/>
          <w:highlight w:val="none"/>
        </w:rPr>
        <w:t>算评标基准价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pacing w:val="-4"/>
          <w:sz w:val="24"/>
          <w:szCs w:val="24"/>
          <w:highlight w:val="none"/>
        </w:rPr>
        <w:t>D。</w:t>
      </w:r>
    </w:p>
    <w:p w14:paraId="6C6BD795">
      <w:pPr>
        <w:spacing w:before="155" w:line="299" w:lineRule="auto"/>
        <w:ind w:left="12" w:right="83"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b</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z w:val="24"/>
          <w:szCs w:val="24"/>
          <w:highlight w:val="none"/>
        </w:rPr>
        <w:t>．采用内插法计算某投标人的投标报价得分</w:t>
      </w:r>
      <w:r>
        <w:rPr>
          <w:rFonts w:hint="eastAsia" w:ascii="宋体" w:hAnsi="宋体" w:eastAsia="宋体" w:cs="宋体"/>
          <w:color w:val="auto"/>
          <w:spacing w:val="-60"/>
          <w:sz w:val="24"/>
          <w:szCs w:val="24"/>
          <w:highlight w:val="none"/>
        </w:rPr>
        <w:t xml:space="preserve"> </w:t>
      </w:r>
      <w:r>
        <w:rPr>
          <w:rFonts w:hint="eastAsia" w:ascii="宋体" w:hAnsi="宋体" w:eastAsia="宋体" w:cs="宋体"/>
          <w:color w:val="auto"/>
          <w:sz w:val="24"/>
          <w:szCs w:val="24"/>
          <w:highlight w:val="none"/>
        </w:rPr>
        <w:t>N</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z w:val="24"/>
          <w:szCs w:val="24"/>
          <w:highlight w:val="none"/>
        </w:rPr>
        <w:t>，即当投标人的投标总价等于评</w:t>
      </w:r>
      <w:r>
        <w:rPr>
          <w:rFonts w:hint="eastAsia" w:ascii="宋体" w:hAnsi="宋体" w:eastAsia="宋体" w:cs="宋体"/>
          <w:color w:val="auto"/>
          <w:spacing w:val="-1"/>
          <w:sz w:val="24"/>
          <w:szCs w:val="24"/>
          <w:highlight w:val="none"/>
        </w:rPr>
        <w:t>标基准价时得</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1"/>
          <w:sz w:val="24"/>
          <w:szCs w:val="24"/>
          <w:highlight w:val="none"/>
        </w:rPr>
        <w:t>100分，每高于评标基准价一个百分点扣</w:t>
      </w:r>
      <w:r>
        <w:rPr>
          <w:rFonts w:hint="eastAsia" w:ascii="宋体" w:hAnsi="宋体" w:eastAsia="宋体" w:cs="宋体"/>
          <w:b w:val="0"/>
          <w:bCs w:val="0"/>
          <w:color w:val="auto"/>
          <w:spacing w:val="-44"/>
          <w:sz w:val="24"/>
          <w:szCs w:val="24"/>
          <w:highlight w:val="none"/>
        </w:rPr>
        <w:t xml:space="preserve"> </w:t>
      </w:r>
      <w:r>
        <w:rPr>
          <w:rFonts w:hint="eastAsia" w:ascii="宋体" w:hAnsi="宋体" w:eastAsia="宋体" w:cs="宋体"/>
          <w:b w:val="0"/>
          <w:bCs w:val="0"/>
          <w:color w:val="auto"/>
          <w:spacing w:val="-1"/>
          <w:sz w:val="24"/>
          <w:szCs w:val="24"/>
          <w:highlight w:val="none"/>
        </w:rPr>
        <w:t xml:space="preserve">1分,  </w:t>
      </w:r>
      <w:r>
        <w:rPr>
          <w:rFonts w:hint="eastAsia" w:ascii="宋体" w:hAnsi="宋体" w:eastAsia="宋体" w:cs="宋体"/>
          <w:b w:val="0"/>
          <w:bCs w:val="0"/>
          <w:color w:val="auto"/>
          <w:spacing w:val="-2"/>
          <w:sz w:val="24"/>
          <w:szCs w:val="24"/>
          <w:highlight w:val="none"/>
        </w:rPr>
        <w:t>每低于评标基准价一个百分点扣</w:t>
      </w:r>
      <w:r>
        <w:rPr>
          <w:rFonts w:hint="eastAsia" w:ascii="宋体" w:hAnsi="宋体" w:eastAsia="宋体" w:cs="宋体"/>
          <w:b w:val="0"/>
          <w:bCs w:val="0"/>
          <w:color w:val="auto"/>
          <w:spacing w:val="-34"/>
          <w:sz w:val="24"/>
          <w:szCs w:val="24"/>
          <w:highlight w:val="none"/>
        </w:rPr>
        <w:t xml:space="preserve"> </w:t>
      </w:r>
      <w:r>
        <w:rPr>
          <w:rFonts w:hint="eastAsia" w:ascii="宋体" w:hAnsi="宋体" w:eastAsia="宋体" w:cs="宋体"/>
          <w:b w:val="0"/>
          <w:bCs w:val="0"/>
          <w:color w:val="auto"/>
          <w:spacing w:val="-2"/>
          <w:sz w:val="24"/>
          <w:szCs w:val="24"/>
          <w:highlight w:val="none"/>
        </w:rPr>
        <w:t>0.5 分</w:t>
      </w:r>
      <w:r>
        <w:rPr>
          <w:rFonts w:hint="eastAsia" w:ascii="宋体" w:hAnsi="宋体" w:eastAsia="宋体" w:cs="宋体"/>
          <w:color w:val="auto"/>
          <w:spacing w:val="-2"/>
          <w:sz w:val="24"/>
          <w:szCs w:val="24"/>
          <w:highlight w:val="none"/>
        </w:rPr>
        <w:t>，扣完为止。公式如下：</w:t>
      </w:r>
    </w:p>
    <w:p w14:paraId="79CB2F24">
      <w:pPr>
        <w:spacing w:before="118" w:line="333" w:lineRule="exact"/>
        <w:ind w:left="2418"/>
        <w:rPr>
          <w:rFonts w:hint="eastAsia" w:ascii="宋体" w:hAnsi="宋体" w:eastAsia="宋体" w:cs="宋体"/>
          <w:color w:val="auto"/>
          <w:sz w:val="24"/>
          <w:szCs w:val="24"/>
          <w:highlight w:val="none"/>
        </w:rPr>
      </w:pPr>
      <w:r>
        <w:rPr>
          <w:rFonts w:hint="eastAsia" w:ascii="宋体" w:hAnsi="宋体" w:eastAsia="宋体" w:cs="宋体"/>
          <w:color w:val="auto"/>
          <w:spacing w:val="-6"/>
          <w:position w:val="3"/>
          <w:sz w:val="24"/>
          <w:szCs w:val="24"/>
          <w:highlight w:val="none"/>
        </w:rPr>
        <w:t>N</w:t>
      </w:r>
      <w:r>
        <w:rPr>
          <w:rFonts w:hint="eastAsia" w:ascii="宋体" w:hAnsi="宋体" w:eastAsia="宋体" w:cs="宋体"/>
          <w:color w:val="auto"/>
          <w:spacing w:val="-27"/>
          <w:position w:val="3"/>
          <w:sz w:val="24"/>
          <w:szCs w:val="24"/>
          <w:highlight w:val="none"/>
        </w:rPr>
        <w:t xml:space="preserve"> </w:t>
      </w:r>
      <w:r>
        <w:rPr>
          <w:rFonts w:hint="eastAsia" w:ascii="宋体" w:hAnsi="宋体" w:eastAsia="宋体" w:cs="宋体"/>
          <w:color w:val="auto"/>
          <w:spacing w:val="-6"/>
          <w:position w:val="3"/>
          <w:sz w:val="24"/>
          <w:szCs w:val="24"/>
          <w:highlight w:val="none"/>
        </w:rPr>
        <w:t>＝100</w:t>
      </w:r>
      <w:r>
        <w:rPr>
          <w:rFonts w:hint="eastAsia" w:ascii="宋体" w:hAnsi="宋体" w:eastAsia="宋体" w:cs="宋体"/>
          <w:color w:val="auto"/>
          <w:spacing w:val="-12"/>
          <w:position w:val="3"/>
          <w:sz w:val="24"/>
          <w:szCs w:val="24"/>
          <w:highlight w:val="none"/>
        </w:rPr>
        <w:t>－（</w:t>
      </w:r>
      <w:r>
        <w:rPr>
          <w:rFonts w:hint="eastAsia" w:ascii="宋体" w:hAnsi="宋体" w:eastAsia="宋体" w:cs="宋体"/>
          <w:color w:val="auto"/>
          <w:spacing w:val="-6"/>
          <w:position w:val="3"/>
          <w:sz w:val="24"/>
          <w:szCs w:val="24"/>
          <w:highlight w:val="none"/>
        </w:rPr>
        <w:t>|  Di－D</w:t>
      </w:r>
      <w:r>
        <w:rPr>
          <w:rFonts w:hint="eastAsia" w:ascii="宋体" w:hAnsi="宋体" w:eastAsia="宋体" w:cs="宋体"/>
          <w:color w:val="auto"/>
          <w:spacing w:val="9"/>
          <w:position w:val="3"/>
          <w:sz w:val="24"/>
          <w:szCs w:val="24"/>
          <w:highlight w:val="none"/>
        </w:rPr>
        <w:t xml:space="preserve">  </w:t>
      </w:r>
      <w:r>
        <w:rPr>
          <w:rFonts w:hint="eastAsia" w:ascii="宋体" w:hAnsi="宋体" w:eastAsia="宋体" w:cs="宋体"/>
          <w:color w:val="auto"/>
          <w:spacing w:val="-6"/>
          <w:position w:val="3"/>
          <w:sz w:val="24"/>
          <w:szCs w:val="24"/>
          <w:highlight w:val="none"/>
        </w:rPr>
        <w:t>|</w:t>
      </w:r>
      <w:r>
        <w:rPr>
          <w:rFonts w:hint="eastAsia" w:ascii="宋体" w:hAnsi="宋体" w:eastAsia="宋体" w:cs="宋体"/>
          <w:color w:val="auto"/>
          <w:spacing w:val="17"/>
          <w:position w:val="3"/>
          <w:sz w:val="24"/>
          <w:szCs w:val="24"/>
          <w:highlight w:val="none"/>
        </w:rPr>
        <w:t xml:space="preserve">  </w:t>
      </w:r>
      <w:r>
        <w:rPr>
          <w:rFonts w:hint="eastAsia" w:ascii="宋体" w:hAnsi="宋体" w:eastAsia="宋体" w:cs="宋体"/>
          <w:color w:val="auto"/>
          <w:spacing w:val="-6"/>
          <w:position w:val="3"/>
          <w:sz w:val="24"/>
          <w:szCs w:val="24"/>
          <w:highlight w:val="none"/>
        </w:rPr>
        <w:t>÷D）</w:t>
      </w:r>
      <w:r>
        <w:rPr>
          <w:rFonts w:hint="eastAsia" w:ascii="宋体" w:hAnsi="宋体" w:eastAsia="宋体" w:cs="宋体"/>
          <w:color w:val="auto"/>
          <w:spacing w:val="-75"/>
          <w:position w:val="3"/>
          <w:sz w:val="24"/>
          <w:szCs w:val="24"/>
          <w:highlight w:val="none"/>
        </w:rPr>
        <w:t xml:space="preserve"> </w:t>
      </w:r>
      <w:r>
        <w:rPr>
          <w:rFonts w:hint="eastAsia" w:ascii="宋体" w:hAnsi="宋体" w:eastAsia="宋体" w:cs="宋体"/>
          <w:color w:val="auto"/>
          <w:spacing w:val="-6"/>
          <w:position w:val="3"/>
          <w:sz w:val="24"/>
          <w:szCs w:val="24"/>
          <w:highlight w:val="none"/>
        </w:rPr>
        <w:t>×</w:t>
      </w:r>
      <w:r>
        <w:rPr>
          <w:rFonts w:hint="eastAsia" w:ascii="宋体" w:hAnsi="宋体" w:eastAsia="宋体" w:cs="宋体"/>
          <w:color w:val="auto"/>
          <w:spacing w:val="-92"/>
          <w:position w:val="3"/>
          <w:sz w:val="24"/>
          <w:szCs w:val="24"/>
          <w:highlight w:val="none"/>
        </w:rPr>
        <w:t xml:space="preserve"> </w:t>
      </w:r>
      <w:r>
        <w:rPr>
          <w:rFonts w:hint="eastAsia" w:ascii="宋体" w:hAnsi="宋体" w:eastAsia="宋体" w:cs="宋体"/>
          <w:color w:val="auto"/>
          <w:spacing w:val="-6"/>
          <w:position w:val="3"/>
          <w:sz w:val="24"/>
          <w:szCs w:val="24"/>
          <w:highlight w:val="none"/>
        </w:rPr>
        <w:t>100×E</w:t>
      </w:r>
    </w:p>
    <w:p w14:paraId="1E422E6F">
      <w:pPr>
        <w:spacing w:before="106" w:line="316" w:lineRule="auto"/>
        <w:ind w:left="7" w:right="17" w:firstLine="489"/>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式中：D 为评标基准价；Di</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为某投标人的投标总价；E</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9"/>
          <w:sz w:val="24"/>
          <w:szCs w:val="24"/>
          <w:highlight w:val="none"/>
        </w:rPr>
        <w:t>为扣分因子，当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9"/>
          <w:sz w:val="24"/>
          <w:szCs w:val="24"/>
          <w:highlight w:val="none"/>
        </w:rPr>
        <w:t>Di＞D</w:t>
      </w:r>
      <w:r>
        <w:rPr>
          <w:rFonts w:hint="eastAsia" w:ascii="宋体" w:hAnsi="宋体" w:eastAsia="宋体" w:cs="宋体"/>
          <w:color w:val="auto"/>
          <w:spacing w:val="22"/>
          <w:w w:val="101"/>
          <w:sz w:val="24"/>
          <w:szCs w:val="24"/>
          <w:highlight w:val="none"/>
        </w:rPr>
        <w:t xml:space="preserve"> </w:t>
      </w:r>
      <w:r>
        <w:rPr>
          <w:rFonts w:hint="eastAsia" w:ascii="宋体" w:hAnsi="宋体" w:eastAsia="宋体" w:cs="宋体"/>
          <w:color w:val="auto"/>
          <w:spacing w:val="-10"/>
          <w:sz w:val="24"/>
          <w:szCs w:val="24"/>
          <w:highlight w:val="none"/>
        </w:rPr>
        <w:t>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E</w:t>
      </w:r>
      <w:r>
        <w:rPr>
          <w:rFonts w:hint="eastAsia" w:ascii="宋体" w:hAnsi="宋体" w:eastAsia="宋体" w:cs="宋体"/>
          <w:color w:val="auto"/>
          <w:spacing w:val="-24"/>
          <w:sz w:val="24"/>
          <w:szCs w:val="24"/>
          <w:highlight w:val="none"/>
        </w:rPr>
        <w:t xml:space="preserve"> </w:t>
      </w:r>
      <w:r>
        <w:rPr>
          <w:rFonts w:hint="eastAsia" w:ascii="宋体" w:hAnsi="宋体" w:eastAsia="宋体" w:cs="宋体"/>
          <w:color w:val="auto"/>
          <w:spacing w:val="-8"/>
          <w:sz w:val="24"/>
          <w:szCs w:val="24"/>
          <w:highlight w:val="none"/>
        </w:rPr>
        <w:t>＝</w:t>
      </w:r>
      <w:r>
        <w:rPr>
          <w:rFonts w:hint="eastAsia" w:ascii="宋体" w:hAnsi="宋体" w:eastAsia="宋体" w:cs="宋体"/>
          <w:b w:val="0"/>
          <w:bCs w:val="0"/>
          <w:color w:val="auto"/>
          <w:spacing w:val="-8"/>
          <w:sz w:val="24"/>
          <w:szCs w:val="24"/>
          <w:highlight w:val="none"/>
        </w:rPr>
        <w:t>1</w:t>
      </w:r>
      <w:r>
        <w:rPr>
          <w:rFonts w:hint="eastAsia" w:ascii="宋体" w:hAnsi="宋体" w:eastAsia="宋体" w:cs="宋体"/>
          <w:b w:val="0"/>
          <w:bCs w:val="0"/>
          <w:color w:val="auto"/>
          <w:spacing w:val="-30"/>
          <w:sz w:val="24"/>
          <w:szCs w:val="24"/>
          <w:highlight w:val="none"/>
        </w:rPr>
        <w:t xml:space="preserve"> </w:t>
      </w:r>
      <w:r>
        <w:rPr>
          <w:rFonts w:hint="eastAsia" w:ascii="宋体" w:hAnsi="宋体" w:eastAsia="宋体" w:cs="宋体"/>
          <w:b w:val="0"/>
          <w:bCs w:val="0"/>
          <w:color w:val="auto"/>
          <w:spacing w:val="-8"/>
          <w:sz w:val="24"/>
          <w:szCs w:val="24"/>
          <w:highlight w:val="none"/>
        </w:rPr>
        <w:t>；</w:t>
      </w:r>
      <w:r>
        <w:rPr>
          <w:rFonts w:hint="eastAsia" w:ascii="宋体" w:hAnsi="宋体" w:eastAsia="宋体" w:cs="宋体"/>
          <w:color w:val="auto"/>
          <w:spacing w:val="-8"/>
          <w:sz w:val="24"/>
          <w:szCs w:val="24"/>
          <w:highlight w:val="none"/>
        </w:rPr>
        <w:t>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8"/>
          <w:sz w:val="24"/>
          <w:szCs w:val="24"/>
          <w:highlight w:val="none"/>
        </w:rPr>
        <w:t>Di＜D</w:t>
      </w:r>
      <w:r>
        <w:rPr>
          <w:rFonts w:hint="eastAsia" w:ascii="宋体" w:hAnsi="宋体" w:eastAsia="宋体" w:cs="宋体"/>
          <w:color w:val="auto"/>
          <w:spacing w:val="20"/>
          <w:w w:val="101"/>
          <w:sz w:val="24"/>
          <w:szCs w:val="24"/>
          <w:highlight w:val="none"/>
        </w:rPr>
        <w:t xml:space="preserve"> </w:t>
      </w:r>
      <w:r>
        <w:rPr>
          <w:rFonts w:hint="eastAsia" w:ascii="宋体" w:hAnsi="宋体" w:eastAsia="宋体" w:cs="宋体"/>
          <w:color w:val="auto"/>
          <w:spacing w:val="-8"/>
          <w:sz w:val="24"/>
          <w:szCs w:val="24"/>
          <w:highlight w:val="none"/>
        </w:rPr>
        <w:t>时，E</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8"/>
          <w:sz w:val="24"/>
          <w:szCs w:val="24"/>
          <w:highlight w:val="none"/>
        </w:rPr>
        <w:t>＝</w:t>
      </w:r>
      <w:r>
        <w:rPr>
          <w:rFonts w:hint="eastAsia" w:ascii="宋体" w:hAnsi="宋体" w:eastAsia="宋体" w:cs="宋体"/>
          <w:b w:val="0"/>
          <w:bCs w:val="0"/>
          <w:color w:val="auto"/>
          <w:spacing w:val="-8"/>
          <w:sz w:val="24"/>
          <w:szCs w:val="24"/>
          <w:highlight w:val="none"/>
        </w:rPr>
        <w:t>0.5。</w:t>
      </w:r>
    </w:p>
    <w:p w14:paraId="14DE345E">
      <w:pPr>
        <w:spacing w:before="95" w:line="220" w:lineRule="auto"/>
        <w:ind w:left="503"/>
        <w:outlineLvl w:val="9"/>
        <w:rPr>
          <w:rFonts w:hint="eastAsia" w:ascii="宋体" w:hAnsi="宋体" w:eastAsia="宋体" w:cs="宋体"/>
          <w:color w:val="auto"/>
          <w:sz w:val="24"/>
          <w:szCs w:val="24"/>
          <w:highlight w:val="none"/>
        </w:rPr>
      </w:pPr>
      <w:bookmarkStart w:id="121" w:name="_Toc7915"/>
      <w:bookmarkStart w:id="122" w:name="_Toc4990"/>
      <w:bookmarkStart w:id="123" w:name="_Toc3861"/>
      <w:bookmarkStart w:id="124" w:name="_Toc576"/>
      <w:r>
        <w:rPr>
          <w:rFonts w:hint="eastAsia" w:ascii="宋体" w:hAnsi="宋体" w:eastAsia="宋体" w:cs="宋体"/>
          <w:color w:val="auto"/>
          <w:spacing w:val="-3"/>
          <w:sz w:val="24"/>
          <w:szCs w:val="24"/>
          <w:highlight w:val="none"/>
        </w:rPr>
        <w:t>（3）综合得分</w:t>
      </w:r>
      <w:bookmarkEnd w:id="121"/>
      <w:bookmarkEnd w:id="122"/>
      <w:bookmarkEnd w:id="123"/>
      <w:bookmarkEnd w:id="124"/>
    </w:p>
    <w:p w14:paraId="6BF65EA9">
      <w:pPr>
        <w:spacing w:before="153" w:line="220" w:lineRule="auto"/>
        <w:ind w:left="49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综合得分换算为百分制，满分</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2"/>
          <w:sz w:val="24"/>
          <w:szCs w:val="24"/>
          <w:highlight w:val="none"/>
        </w:rPr>
        <w:t>100 分，公式如下：</w:t>
      </w:r>
    </w:p>
    <w:p w14:paraId="595D9056">
      <w:pPr>
        <w:spacing w:before="155" w:line="324" w:lineRule="auto"/>
        <w:ind w:left="496" w:right="532" w:hanging="33"/>
        <w:rPr>
          <w:rFonts w:hint="eastAsia" w:ascii="宋体" w:hAnsi="宋体" w:eastAsia="宋体" w:cs="宋体"/>
          <w:color w:val="auto"/>
          <w:spacing w:val="-1"/>
          <w:sz w:val="24"/>
          <w:szCs w:val="24"/>
          <w:highlight w:val="none"/>
        </w:rPr>
      </w:pPr>
      <w:r>
        <w:rPr>
          <w:rFonts w:hint="eastAsia" w:ascii="宋体" w:hAnsi="宋体" w:eastAsia="宋体" w:cs="宋体"/>
          <w:color w:val="auto"/>
          <w:sz w:val="24"/>
          <w:szCs w:val="24"/>
          <w:highlight w:val="none"/>
        </w:rPr>
        <w:t>综合得分＝M÷商务技术合计满分×100</w:t>
      </w:r>
      <w:r>
        <w:rPr>
          <w:rFonts w:hint="eastAsia" w:ascii="宋体" w:hAnsi="宋体" w:eastAsia="宋体" w:cs="宋体"/>
          <w:color w:val="auto"/>
          <w:spacing w:val="-1"/>
          <w:sz w:val="24"/>
          <w:szCs w:val="24"/>
          <w:highlight w:val="none"/>
        </w:rPr>
        <w:t>×商务技术权重＋N×投标报价权重</w:t>
      </w:r>
    </w:p>
    <w:p w14:paraId="4CF45BBA">
      <w:pPr>
        <w:spacing w:before="155" w:line="324" w:lineRule="auto"/>
        <w:ind w:left="496" w:right="532" w:hanging="3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 为商务技术得分，N 为投标报价得分。</w:t>
      </w:r>
    </w:p>
    <w:p w14:paraId="5742438E">
      <w:pPr>
        <w:spacing w:before="154" w:line="299" w:lineRule="auto"/>
        <w:ind w:left="12" w:right="81" w:firstLine="474"/>
        <w:rPr>
          <w:rFonts w:hint="eastAsia" w:ascii="宋体" w:hAnsi="宋体" w:eastAsia="宋体" w:cs="宋体"/>
          <w:b/>
          <w:bCs/>
          <w:color w:val="auto"/>
          <w:spacing w:val="-1"/>
          <w:sz w:val="24"/>
          <w:szCs w:val="24"/>
          <w:highlight w:val="none"/>
        </w:rPr>
      </w:pPr>
      <w:bookmarkStart w:id="125" w:name="_Toc30671"/>
      <w:bookmarkStart w:id="126" w:name="_Toc25214"/>
      <w:bookmarkStart w:id="127" w:name="_Toc32384"/>
      <w:bookmarkStart w:id="128" w:name="_Toc2885"/>
      <w:r>
        <w:rPr>
          <w:rFonts w:hint="eastAsia" w:ascii="宋体" w:hAnsi="宋体" w:eastAsia="宋体" w:cs="宋体"/>
          <w:b/>
          <w:bCs/>
          <w:color w:val="auto"/>
          <w:spacing w:val="-1"/>
          <w:sz w:val="24"/>
          <w:szCs w:val="24"/>
          <w:highlight w:val="none"/>
        </w:rPr>
        <w:t>（4）</w:t>
      </w:r>
      <w:bookmarkEnd w:id="125"/>
      <w:bookmarkEnd w:id="126"/>
      <w:bookmarkEnd w:id="127"/>
      <w:bookmarkEnd w:id="128"/>
      <w:r>
        <w:rPr>
          <w:rFonts w:hint="eastAsia" w:ascii="宋体" w:hAnsi="宋体" w:eastAsia="宋体" w:cs="宋体"/>
          <w:b/>
          <w:bCs/>
          <w:color w:val="auto"/>
          <w:spacing w:val="-1"/>
          <w:sz w:val="24"/>
          <w:szCs w:val="24"/>
          <w:highlight w:val="none"/>
        </w:rPr>
        <w:t>评标委员会根据招标文件规定的评分细则，对招标文件中的各评审因素进行评审、比较、打分，将得分前5名不排序（按企业统一社会信用代码后4位由小到大排位，出现字母的以数字0代替，相等的由评标委员会主任确定其先后顺序）的投标人作为定标候选人推荐给招标人，并对每个定标候选人的优势、风险等评审情况进行说明。当投标人综合总得分相同时，以报价低为前；当投标人综合总得分相同且报价相同时，由评标委员会投票确定排前。</w:t>
      </w:r>
    </w:p>
    <w:p w14:paraId="63177C63">
      <w:pPr>
        <w:spacing w:before="78" w:line="329" w:lineRule="auto"/>
        <w:ind w:right="263" w:firstLine="490" w:firstLineChars="20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41FF9EC5">
      <w:pPr>
        <w:pStyle w:val="5"/>
        <w:spacing w:line="304" w:lineRule="auto"/>
        <w:rPr>
          <w:rFonts w:hint="eastAsia" w:ascii="宋体" w:hAnsi="宋体" w:eastAsia="宋体" w:cs="宋体"/>
          <w:color w:val="auto"/>
          <w:highlight w:val="none"/>
        </w:rPr>
      </w:pPr>
    </w:p>
    <w:p w14:paraId="5D20BB1A">
      <w:pPr>
        <w:rPr>
          <w:rFonts w:hint="eastAsia"/>
          <w:color w:val="auto"/>
          <w:highlight w:val="none"/>
        </w:rPr>
      </w:pPr>
    </w:p>
    <w:p w14:paraId="19851C7B">
      <w:pPr>
        <w:spacing w:before="98" w:line="221" w:lineRule="auto"/>
        <w:ind w:left="4248"/>
        <w:outlineLvl w:val="9"/>
        <w:rPr>
          <w:rFonts w:hint="eastAsia" w:ascii="宋体" w:hAnsi="宋体" w:eastAsia="宋体" w:cs="宋体"/>
          <w:b/>
          <w:bCs/>
          <w:color w:val="auto"/>
          <w:spacing w:val="-6"/>
          <w:sz w:val="30"/>
          <w:szCs w:val="30"/>
          <w:highlight w:val="none"/>
        </w:rPr>
      </w:pPr>
      <w:bookmarkStart w:id="129" w:name="_Toc17375"/>
      <w:bookmarkStart w:id="130" w:name="_Toc3020"/>
      <w:bookmarkStart w:id="131" w:name="_Toc16801"/>
      <w:r>
        <w:rPr>
          <w:rFonts w:hint="eastAsia" w:ascii="宋体" w:hAnsi="宋体" w:eastAsia="宋体" w:cs="宋体"/>
          <w:b/>
          <w:bCs/>
          <w:color w:val="auto"/>
          <w:spacing w:val="-6"/>
          <w:sz w:val="30"/>
          <w:szCs w:val="30"/>
          <w:highlight w:val="none"/>
        </w:rPr>
        <w:t>综合评分表</w:t>
      </w:r>
      <w:bookmarkEnd w:id="129"/>
      <w:bookmarkEnd w:id="130"/>
      <w:bookmarkEnd w:id="131"/>
    </w:p>
    <w:tbl>
      <w:tblPr>
        <w:tblStyle w:val="14"/>
        <w:tblW w:w="10191" w:type="dxa"/>
        <w:jc w:val="center"/>
        <w:tblLayout w:type="fixed"/>
        <w:tblCellMar>
          <w:top w:w="0" w:type="dxa"/>
          <w:left w:w="108" w:type="dxa"/>
          <w:bottom w:w="0" w:type="dxa"/>
          <w:right w:w="108" w:type="dxa"/>
        </w:tblCellMar>
      </w:tblPr>
      <w:tblGrid>
        <w:gridCol w:w="1536"/>
        <w:gridCol w:w="3551"/>
        <w:gridCol w:w="509"/>
        <w:gridCol w:w="4595"/>
      </w:tblGrid>
      <w:tr w14:paraId="057FC7E2">
        <w:tblPrEx>
          <w:tblCellMar>
            <w:top w:w="0" w:type="dxa"/>
            <w:left w:w="108" w:type="dxa"/>
            <w:bottom w:w="0" w:type="dxa"/>
            <w:right w:w="108" w:type="dxa"/>
          </w:tblCellMar>
        </w:tblPrEx>
        <w:trPr>
          <w:trHeight w:val="624" w:hRule="exact"/>
          <w:jc w:val="center"/>
        </w:trPr>
        <w:tc>
          <w:tcPr>
            <w:tcW w:w="10191" w:type="dxa"/>
            <w:gridSpan w:val="4"/>
            <w:tcBorders>
              <w:top w:val="single" w:color="auto" w:sz="4" w:space="0"/>
              <w:left w:val="single" w:color="auto" w:sz="4" w:space="0"/>
              <w:bottom w:val="single" w:color="auto" w:sz="4" w:space="0"/>
              <w:right w:val="single" w:color="auto" w:sz="4" w:space="0"/>
            </w:tcBorders>
            <w:shd w:val="clear" w:color="auto" w:fill="D7D7D7"/>
            <w:noWrap w:val="0"/>
            <w:vAlign w:val="center"/>
          </w:tcPr>
          <w:p w14:paraId="4E028075">
            <w:pPr>
              <w:widowControl/>
              <w:tabs>
                <w:tab w:val="left" w:pos="1354"/>
                <w:tab w:val="left" w:pos="1459"/>
                <w:tab w:val="center" w:pos="3902"/>
                <w:tab w:val="right" w:pos="7805"/>
              </w:tabs>
              <w:wordWrap w:val="0"/>
              <w:adjustRightInd w:val="0"/>
              <w:snapToGrid w:val="0"/>
              <w:spacing w:line="440" w:lineRule="exact"/>
              <w:rPr>
                <w:rFonts w:hint="eastAsia" w:ascii="宋体" w:hAnsi="宋体" w:eastAsia="宋体" w:cs="宋体"/>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商务部分，满分：</w:t>
            </w:r>
            <w:r>
              <w:rPr>
                <w:rFonts w:hint="eastAsia" w:ascii="宋体" w:hAnsi="宋体" w:eastAsia="宋体" w:cs="宋体"/>
                <w:color w:val="auto"/>
                <w:kern w:val="0"/>
                <w:sz w:val="24"/>
                <w:szCs w:val="24"/>
                <w:highlight w:val="none"/>
                <w:u w:val="single"/>
                <w:lang w:bidi="ar"/>
              </w:rPr>
              <w:t>80</w:t>
            </w:r>
            <w:r>
              <w:rPr>
                <w:rFonts w:hint="eastAsia" w:ascii="宋体" w:hAnsi="宋体" w:eastAsia="宋体" w:cs="宋体"/>
                <w:snapToGrid w:val="0"/>
                <w:color w:val="auto"/>
                <w:kern w:val="0"/>
                <w:sz w:val="24"/>
                <w:szCs w:val="24"/>
                <w:highlight w:val="none"/>
                <w:lang w:bidi="ar"/>
              </w:rPr>
              <w:t>分。</w:t>
            </w:r>
          </w:p>
        </w:tc>
      </w:tr>
      <w:tr w14:paraId="6898149F">
        <w:tblPrEx>
          <w:tblCellMar>
            <w:top w:w="0" w:type="dxa"/>
            <w:left w:w="108" w:type="dxa"/>
            <w:bottom w:w="0" w:type="dxa"/>
            <w:right w:w="108" w:type="dxa"/>
          </w:tblCellMar>
        </w:tblPrEx>
        <w:trPr>
          <w:trHeight w:val="624" w:hRule="exac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5BD145A2">
            <w:pPr>
              <w:widowControl/>
              <w:tabs>
                <w:tab w:val="left" w:pos="1354"/>
                <w:tab w:val="left" w:pos="1459"/>
                <w:tab w:val="center" w:pos="3902"/>
                <w:tab w:val="right" w:pos="7805"/>
              </w:tabs>
              <w:wordWrap w:val="0"/>
              <w:adjustRightInd w:val="0"/>
              <w:snapToGrid w:val="0"/>
              <w:spacing w:line="440" w:lineRule="exact"/>
              <w:jc w:val="center"/>
              <w:rPr>
                <w:rFonts w:hint="eastAsia" w:ascii="宋体" w:hAnsi="宋体" w:eastAsia="宋体" w:cs="宋体"/>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评分因素</w:t>
            </w:r>
          </w:p>
        </w:tc>
        <w:tc>
          <w:tcPr>
            <w:tcW w:w="4060" w:type="dxa"/>
            <w:gridSpan w:val="2"/>
            <w:tcBorders>
              <w:top w:val="single" w:color="auto" w:sz="4" w:space="0"/>
              <w:left w:val="single" w:color="auto" w:sz="4" w:space="0"/>
              <w:bottom w:val="single" w:color="auto" w:sz="4" w:space="0"/>
              <w:right w:val="single" w:color="auto" w:sz="4" w:space="0"/>
            </w:tcBorders>
            <w:noWrap w:val="0"/>
            <w:vAlign w:val="center"/>
          </w:tcPr>
          <w:p w14:paraId="58507C43">
            <w:pPr>
              <w:widowControl/>
              <w:tabs>
                <w:tab w:val="left" w:pos="1354"/>
                <w:tab w:val="left" w:pos="1459"/>
                <w:tab w:val="center" w:pos="3902"/>
                <w:tab w:val="right" w:pos="7805"/>
              </w:tabs>
              <w:wordWrap w:val="0"/>
              <w:adjustRightInd w:val="0"/>
              <w:snapToGrid w:val="0"/>
              <w:spacing w:line="440" w:lineRule="exact"/>
              <w:jc w:val="center"/>
              <w:rPr>
                <w:rFonts w:hint="eastAsia" w:ascii="宋体" w:hAnsi="宋体" w:eastAsia="宋体" w:cs="宋体"/>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评分标准</w:t>
            </w:r>
          </w:p>
        </w:tc>
        <w:tc>
          <w:tcPr>
            <w:tcW w:w="4595" w:type="dxa"/>
            <w:tcBorders>
              <w:top w:val="single" w:color="auto" w:sz="4" w:space="0"/>
              <w:left w:val="single" w:color="auto" w:sz="4" w:space="0"/>
              <w:bottom w:val="single" w:color="auto" w:sz="4" w:space="0"/>
              <w:right w:val="single" w:color="auto" w:sz="4" w:space="0"/>
            </w:tcBorders>
            <w:noWrap w:val="0"/>
            <w:vAlign w:val="center"/>
          </w:tcPr>
          <w:p w14:paraId="0E98BA84">
            <w:pPr>
              <w:widowControl/>
              <w:tabs>
                <w:tab w:val="left" w:pos="1354"/>
                <w:tab w:val="left" w:pos="1459"/>
                <w:tab w:val="center" w:pos="3902"/>
                <w:tab w:val="right" w:pos="7805"/>
              </w:tabs>
              <w:wordWrap w:val="0"/>
              <w:adjustRightInd w:val="0"/>
              <w:snapToGrid w:val="0"/>
              <w:spacing w:line="440" w:lineRule="exact"/>
              <w:jc w:val="center"/>
              <w:rPr>
                <w:rFonts w:hint="eastAsia" w:ascii="宋体" w:hAnsi="宋体" w:eastAsia="宋体" w:cs="宋体"/>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备注</w:t>
            </w:r>
          </w:p>
        </w:tc>
      </w:tr>
      <w:tr w14:paraId="337FB285">
        <w:tblPrEx>
          <w:tblCellMar>
            <w:top w:w="0" w:type="dxa"/>
            <w:left w:w="108" w:type="dxa"/>
            <w:bottom w:w="0" w:type="dxa"/>
            <w:right w:w="108" w:type="dxa"/>
          </w:tblCellMar>
        </w:tblPrEx>
        <w:trPr>
          <w:trHeight w:val="415"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274DF17A">
            <w:pPr>
              <w:keepNext w:val="0"/>
              <w:keepLines w:val="0"/>
              <w:pageBreakBefore w:val="0"/>
              <w:widowControl w:val="0"/>
              <w:shd w:val="clear" w:color="auto" w:fill="auto"/>
              <w:kinsoku/>
              <w:wordWrap w:val="0"/>
              <w:overflowPunct/>
              <w:topLinePunct w:val="0"/>
              <w:autoSpaceDE/>
              <w:autoSpaceDN/>
              <w:bidi w:val="0"/>
              <w:adjustRightInd/>
              <w:snapToGrid w:val="0"/>
              <w:spacing w:line="360" w:lineRule="exact"/>
              <w:jc w:val="center"/>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企业业绩</w:t>
            </w:r>
          </w:p>
          <w:p w14:paraId="12FFA37F">
            <w:pPr>
              <w:keepNext w:val="0"/>
              <w:keepLines w:val="0"/>
              <w:pageBreakBefore w:val="0"/>
              <w:widowControl w:val="0"/>
              <w:shd w:val="clear" w:color="auto" w:fill="auto"/>
              <w:kinsoku/>
              <w:wordWrap w:val="0"/>
              <w:overflowPunct/>
              <w:topLinePunct w:val="0"/>
              <w:autoSpaceDE/>
              <w:autoSpaceDN/>
              <w:bidi w:val="0"/>
              <w:adjustRightInd/>
              <w:snapToGrid w:val="0"/>
              <w:spacing w:line="360" w:lineRule="exact"/>
              <w:jc w:val="center"/>
              <w:textAlignment w:val="baseline"/>
              <w:rPr>
                <w:rFonts w:hint="eastAsia" w:ascii="宋体" w:hAnsi="宋体" w:eastAsia="宋体" w:cs="宋体"/>
                <w:snapToGrid w:val="0"/>
                <w:color w:val="auto"/>
                <w:kern w:val="0"/>
                <w:sz w:val="24"/>
                <w:szCs w:val="24"/>
                <w:highlight w:val="none"/>
                <w:u w:val="none"/>
                <w:lang w:bidi="ar"/>
              </w:rPr>
            </w:pPr>
            <w:r>
              <w:rPr>
                <w:rFonts w:hint="eastAsia" w:ascii="宋体" w:hAnsi="宋体" w:eastAsia="宋体" w:cs="宋体"/>
                <w:color w:val="auto"/>
                <w:kern w:val="0"/>
                <w:sz w:val="24"/>
                <w:szCs w:val="24"/>
                <w:highlight w:val="none"/>
                <w:lang w:val="en-US" w:eastAsia="zh-CN" w:bidi="ar-SA"/>
              </w:rPr>
              <w:t>（15分）</w:t>
            </w:r>
          </w:p>
        </w:tc>
        <w:tc>
          <w:tcPr>
            <w:tcW w:w="4060" w:type="dxa"/>
            <w:gridSpan w:val="2"/>
            <w:tcBorders>
              <w:top w:val="single" w:color="auto" w:sz="4" w:space="0"/>
              <w:left w:val="single" w:color="auto" w:sz="4" w:space="0"/>
              <w:bottom w:val="single" w:color="auto" w:sz="4" w:space="0"/>
              <w:right w:val="single" w:color="auto" w:sz="4" w:space="0"/>
            </w:tcBorders>
            <w:noWrap w:val="0"/>
            <w:vAlign w:val="center"/>
          </w:tcPr>
          <w:p w14:paraId="0D3D4FF9">
            <w:pPr>
              <w:keepNext w:val="0"/>
              <w:keepLines w:val="0"/>
              <w:pageBreakBefore w:val="0"/>
              <w:widowControl w:val="0"/>
              <w:shd w:val="clear" w:color="auto" w:fill="auto"/>
              <w:kinsoku/>
              <w:overflowPunct/>
              <w:topLinePunct w:val="0"/>
              <w:autoSpaceDE/>
              <w:autoSpaceDN/>
              <w:bidi w:val="0"/>
              <w:adjustRightInd/>
              <w:snapToGrid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企业</w:t>
            </w:r>
            <w:r>
              <w:rPr>
                <w:rFonts w:hint="eastAsia" w:ascii="宋体" w:hAnsi="宋体" w:eastAsia="宋体" w:cs="宋体"/>
                <w:color w:val="auto"/>
                <w:sz w:val="24"/>
                <w:szCs w:val="24"/>
                <w:highlight w:val="none"/>
                <w:lang w:eastAsia="zh-CN"/>
              </w:rPr>
              <w:t>202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年1月</w:t>
            </w:r>
            <w:r>
              <w:rPr>
                <w:rFonts w:hint="eastAsia" w:ascii="宋体" w:hAnsi="宋体" w:eastAsia="宋体" w:cs="宋体"/>
                <w:color w:val="auto"/>
                <w:sz w:val="24"/>
                <w:szCs w:val="24"/>
                <w:highlight w:val="none"/>
              </w:rPr>
              <w:t>1日至今获得</w:t>
            </w:r>
            <w:r>
              <w:rPr>
                <w:rFonts w:hint="eastAsia" w:ascii="宋体" w:hAnsi="宋体" w:eastAsia="宋体" w:cs="宋体"/>
                <w:color w:val="auto"/>
                <w:kern w:val="0"/>
                <w:sz w:val="24"/>
                <w:szCs w:val="24"/>
                <w:highlight w:val="none"/>
              </w:rPr>
              <w:t>业绩情况：</w:t>
            </w:r>
          </w:p>
          <w:p w14:paraId="6C900D52">
            <w:pPr>
              <w:keepNext w:val="0"/>
              <w:keepLines w:val="0"/>
              <w:pageBreakBefore w:val="0"/>
              <w:widowControl w:val="0"/>
              <w:shd w:val="clear" w:color="auto" w:fill="auto"/>
              <w:kinsoku/>
              <w:overflowPunct/>
              <w:topLinePunct w:val="0"/>
              <w:autoSpaceDE/>
              <w:autoSpaceDN/>
              <w:bidi w:val="0"/>
              <w:adjustRightInd/>
              <w:snapToGrid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u w:val="single"/>
                <w:lang w:val="en-US" w:eastAsia="zh-CN"/>
              </w:rPr>
              <w:t>承接</w:t>
            </w:r>
            <w:r>
              <w:rPr>
                <w:rFonts w:hint="eastAsia" w:ascii="宋体" w:hAnsi="宋体" w:eastAsia="宋体" w:cs="宋体"/>
                <w:color w:val="auto"/>
                <w:kern w:val="0"/>
                <w:sz w:val="24"/>
                <w:szCs w:val="24"/>
                <w:highlight w:val="none"/>
              </w:rPr>
              <w:t>过类似工程业绩的，每项得</w:t>
            </w:r>
            <w:r>
              <w:rPr>
                <w:rFonts w:hint="eastAsia" w:ascii="宋体" w:hAnsi="宋体" w:eastAsia="宋体" w:cs="宋体"/>
                <w:color w:val="auto"/>
                <w:kern w:val="0"/>
                <w:sz w:val="24"/>
                <w:szCs w:val="24"/>
                <w:highlight w:val="none"/>
                <w:u w:val="single"/>
                <w:lang w:val="en-US" w:eastAsia="zh-CN"/>
              </w:rPr>
              <w:t>5</w:t>
            </w:r>
            <w:r>
              <w:rPr>
                <w:rFonts w:hint="eastAsia" w:ascii="宋体" w:hAnsi="宋体" w:eastAsia="宋体" w:cs="宋体"/>
                <w:color w:val="auto"/>
                <w:kern w:val="0"/>
                <w:sz w:val="24"/>
                <w:szCs w:val="24"/>
                <w:highlight w:val="none"/>
              </w:rPr>
              <w:t>分。</w:t>
            </w:r>
          </w:p>
          <w:p w14:paraId="1BEEA1DA">
            <w:pPr>
              <w:keepNext w:val="0"/>
              <w:keepLines w:val="0"/>
              <w:pageBreakBefore w:val="0"/>
              <w:widowControl w:val="0"/>
              <w:shd w:val="clear" w:color="auto" w:fill="auto"/>
              <w:kinsoku/>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未</w:t>
            </w:r>
            <w:r>
              <w:rPr>
                <w:rFonts w:hint="eastAsia" w:ascii="宋体" w:hAnsi="宋体" w:eastAsia="宋体" w:cs="宋体"/>
                <w:color w:val="auto"/>
                <w:kern w:val="0"/>
                <w:sz w:val="24"/>
                <w:szCs w:val="24"/>
                <w:highlight w:val="none"/>
                <w:u w:val="single"/>
                <w:lang w:val="en-US" w:eastAsia="zh-CN"/>
              </w:rPr>
              <w:t>承接</w:t>
            </w:r>
            <w:r>
              <w:rPr>
                <w:rFonts w:hint="eastAsia" w:ascii="宋体" w:hAnsi="宋体" w:eastAsia="宋体" w:cs="宋体"/>
                <w:color w:val="auto"/>
                <w:kern w:val="0"/>
                <w:sz w:val="24"/>
                <w:szCs w:val="24"/>
                <w:highlight w:val="none"/>
              </w:rPr>
              <w:t>过</w:t>
            </w:r>
            <w:r>
              <w:rPr>
                <w:rFonts w:hint="eastAsia" w:ascii="宋体" w:hAnsi="宋体" w:eastAsia="宋体" w:cs="宋体"/>
                <w:color w:val="auto"/>
                <w:sz w:val="24"/>
                <w:szCs w:val="24"/>
                <w:highlight w:val="none"/>
              </w:rPr>
              <w:t>类似的工程业绩的，不予计分。</w:t>
            </w:r>
          </w:p>
          <w:p w14:paraId="197D0D02">
            <w:pPr>
              <w:keepNext w:val="0"/>
              <w:keepLines w:val="0"/>
              <w:pageBreakBefore w:val="0"/>
              <w:widowControl w:val="0"/>
              <w:shd w:val="clear" w:color="auto" w:fill="auto"/>
              <w:kinsoku/>
              <w:overflowPunct/>
              <w:topLinePunct w:val="0"/>
              <w:autoSpaceDE/>
              <w:autoSpaceDN/>
              <w:bidi w:val="0"/>
              <w:adjustRightInd/>
              <w:snapToGrid w:val="0"/>
              <w:spacing w:line="360" w:lineRule="auto"/>
              <w:jc w:val="left"/>
              <w:textAlignment w:val="auto"/>
              <w:rPr>
                <w:rFonts w:hint="eastAsia" w:ascii="宋体" w:hAnsi="宋体" w:eastAsia="宋体" w:cs="宋体"/>
                <w:snapToGrid w:val="0"/>
                <w:color w:val="auto"/>
                <w:kern w:val="0"/>
                <w:sz w:val="24"/>
                <w:szCs w:val="24"/>
                <w:highlight w:val="none"/>
                <w:u w:val="none"/>
                <w:lang w:bidi="ar"/>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本项最高得</w:t>
            </w:r>
            <w:r>
              <w:rPr>
                <w:rFonts w:hint="eastAsia" w:ascii="宋体" w:hAnsi="宋体" w:eastAsia="宋体" w:cs="宋体"/>
                <w:b w:val="0"/>
                <w:bCs w:val="0"/>
                <w:color w:val="auto"/>
                <w:sz w:val="24"/>
                <w:szCs w:val="24"/>
                <w:highlight w:val="none"/>
                <w:lang w:val="en-US" w:eastAsia="zh-CN"/>
              </w:rPr>
              <w:t>15</w:t>
            </w:r>
            <w:r>
              <w:rPr>
                <w:rFonts w:hint="eastAsia" w:ascii="宋体" w:hAnsi="宋体" w:eastAsia="宋体" w:cs="宋体"/>
                <w:b w:val="0"/>
                <w:bCs w:val="0"/>
                <w:color w:val="auto"/>
                <w:sz w:val="24"/>
                <w:szCs w:val="24"/>
                <w:highlight w:val="none"/>
              </w:rPr>
              <w:t>分。</w:t>
            </w:r>
          </w:p>
        </w:tc>
        <w:tc>
          <w:tcPr>
            <w:tcW w:w="4595" w:type="dxa"/>
            <w:tcBorders>
              <w:top w:val="single" w:color="auto" w:sz="4" w:space="0"/>
              <w:left w:val="single" w:color="auto" w:sz="4" w:space="0"/>
              <w:bottom w:val="single" w:color="auto" w:sz="4" w:space="0"/>
              <w:right w:val="single" w:color="auto" w:sz="4" w:space="0"/>
            </w:tcBorders>
            <w:noWrap w:val="0"/>
            <w:vAlign w:val="center"/>
          </w:tcPr>
          <w:p w14:paraId="134B0589">
            <w:pPr>
              <w:keepNext w:val="0"/>
              <w:keepLines w:val="0"/>
              <w:pageBreakBefore w:val="0"/>
              <w:widowControl w:val="0"/>
              <w:numPr>
                <w:ilvl w:val="0"/>
                <w:numId w:val="0"/>
              </w:numPr>
              <w:shd w:val="clear" w:color="auto" w:fill="auto"/>
              <w:kinsoku/>
              <w:overflowPunct/>
              <w:topLinePunct w:val="0"/>
              <w:autoSpaceDE/>
              <w:autoSpaceDN/>
              <w:bidi w:val="0"/>
              <w:adjustRightInd/>
              <w:snapToGrid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类似工程指：</w:t>
            </w:r>
            <w:r>
              <w:rPr>
                <w:rFonts w:hint="eastAsia" w:ascii="宋体" w:hAnsi="宋体" w:eastAsia="宋体" w:cs="宋体"/>
                <w:snapToGrid w:val="0"/>
                <w:color w:val="auto"/>
                <w:kern w:val="0"/>
                <w:sz w:val="24"/>
                <w:szCs w:val="24"/>
                <w:highlight w:val="none"/>
                <w:u w:val="single"/>
                <w:lang w:val="en-US" w:eastAsia="zh-CN"/>
              </w:rPr>
              <w:t>市政类工程</w:t>
            </w:r>
            <w:r>
              <w:rPr>
                <w:rFonts w:hint="eastAsia" w:ascii="宋体" w:hAnsi="宋体" w:eastAsia="宋体" w:cs="宋体"/>
                <w:snapToGrid w:val="0"/>
                <w:color w:val="auto"/>
                <w:kern w:val="0"/>
                <w:sz w:val="24"/>
                <w:szCs w:val="24"/>
                <w:highlight w:val="none"/>
                <w:u w:val="single"/>
              </w:rPr>
              <w:t>施工项目</w:t>
            </w:r>
            <w:r>
              <w:rPr>
                <w:rFonts w:hint="eastAsia" w:ascii="宋体" w:hAnsi="宋体" w:eastAsia="宋体" w:cs="宋体"/>
                <w:color w:val="auto"/>
                <w:kern w:val="0"/>
                <w:sz w:val="24"/>
                <w:szCs w:val="24"/>
                <w:highlight w:val="none"/>
              </w:rPr>
              <w:t>。</w:t>
            </w:r>
          </w:p>
          <w:p w14:paraId="25CC3DFE">
            <w:pPr>
              <w:keepNext w:val="0"/>
              <w:keepLines w:val="0"/>
              <w:pageBreakBefore w:val="0"/>
              <w:widowControl w:val="0"/>
              <w:numPr>
                <w:ilvl w:val="0"/>
                <w:numId w:val="0"/>
              </w:numPr>
              <w:shd w:val="clear" w:color="auto" w:fill="auto"/>
              <w:kinsoku/>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需附有关业绩</w:t>
            </w:r>
            <w:r>
              <w:rPr>
                <w:rFonts w:hint="eastAsia" w:ascii="宋体" w:hAnsi="宋体" w:eastAsia="宋体" w:cs="宋体"/>
                <w:color w:val="auto"/>
                <w:kern w:val="0"/>
                <w:sz w:val="24"/>
                <w:szCs w:val="24"/>
                <w:highlight w:val="none"/>
              </w:rPr>
              <w:t>（仅限于以施工</w:t>
            </w:r>
            <w:r>
              <w:rPr>
                <w:rFonts w:hint="eastAsia" w:ascii="宋体" w:hAnsi="宋体" w:eastAsia="宋体" w:cs="宋体"/>
                <w:color w:val="auto"/>
                <w:kern w:val="0"/>
                <w:sz w:val="24"/>
                <w:szCs w:val="24"/>
                <w:highlight w:val="none"/>
                <w:u w:val="single"/>
              </w:rPr>
              <w:t>总承包单位</w:t>
            </w:r>
            <w:r>
              <w:rPr>
                <w:rFonts w:hint="eastAsia" w:ascii="宋体" w:hAnsi="宋体" w:eastAsia="宋体" w:cs="宋体"/>
                <w:color w:val="auto"/>
                <w:kern w:val="0"/>
                <w:sz w:val="24"/>
                <w:szCs w:val="24"/>
                <w:highlight w:val="none"/>
              </w:rPr>
              <w:t>身份承建的项目）</w:t>
            </w:r>
            <w:r>
              <w:rPr>
                <w:rFonts w:hint="eastAsia" w:ascii="宋体" w:hAnsi="宋体" w:eastAsia="宋体" w:cs="宋体"/>
                <w:color w:val="auto"/>
                <w:kern w:val="0"/>
                <w:sz w:val="24"/>
                <w:szCs w:val="24"/>
                <w:highlight w:val="none"/>
                <w:lang w:val="en-US" w:eastAsia="zh-CN"/>
              </w:rPr>
              <w:t>中标通知书和</w:t>
            </w:r>
            <w:r>
              <w:rPr>
                <w:rFonts w:hint="eastAsia" w:ascii="宋体" w:hAnsi="宋体" w:eastAsia="宋体" w:cs="宋体"/>
                <w:snapToGrid w:val="0"/>
                <w:color w:val="auto"/>
                <w:kern w:val="0"/>
                <w:sz w:val="24"/>
                <w:szCs w:val="24"/>
                <w:highlight w:val="none"/>
              </w:rPr>
              <w:t>合同协议书</w:t>
            </w:r>
            <w:r>
              <w:rPr>
                <w:rFonts w:hint="eastAsia" w:ascii="宋体" w:hAnsi="宋体" w:eastAsia="宋体" w:cs="宋体"/>
                <w:snapToGrid w:val="0"/>
                <w:color w:val="auto"/>
                <w:kern w:val="0"/>
                <w:sz w:val="24"/>
                <w:szCs w:val="24"/>
                <w:highlight w:val="none"/>
                <w:lang w:val="en-US" w:eastAsia="zh-CN"/>
              </w:rPr>
              <w:t>彩色扫描件</w:t>
            </w:r>
            <w:r>
              <w:rPr>
                <w:rFonts w:hint="eastAsia" w:ascii="宋体" w:hAnsi="宋体" w:eastAsia="宋体" w:cs="宋体"/>
                <w:b w:val="0"/>
                <w:bCs w:val="0"/>
                <w:snapToGrid w:val="0"/>
                <w:color w:val="auto"/>
                <w:kern w:val="0"/>
                <w:sz w:val="24"/>
                <w:szCs w:val="24"/>
                <w:highlight w:val="none"/>
                <w:lang w:val="en-US" w:eastAsia="zh-CN"/>
              </w:rPr>
              <w:t>。</w:t>
            </w:r>
          </w:p>
          <w:p w14:paraId="6E4673AC">
            <w:pPr>
              <w:keepNext w:val="0"/>
              <w:keepLines w:val="0"/>
              <w:pageBreakBefore w:val="0"/>
              <w:widowControl w:val="0"/>
              <w:shd w:val="clear" w:color="auto" w:fill="auto"/>
              <w:kinsoku/>
              <w:wordWrap w:val="0"/>
              <w:overflowPunct/>
              <w:topLinePunct w:val="0"/>
              <w:autoSpaceDE/>
              <w:autoSpaceDN/>
              <w:bidi w:val="0"/>
              <w:adjustRightInd/>
              <w:snapToGrid w:val="0"/>
              <w:spacing w:line="360" w:lineRule="auto"/>
              <w:jc w:val="both"/>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3.业绩时间以合同协议书日期为准。</w:t>
            </w:r>
          </w:p>
          <w:p w14:paraId="5A085C1F">
            <w:pPr>
              <w:keepNext w:val="0"/>
              <w:keepLines w:val="0"/>
              <w:pageBreakBefore w:val="0"/>
              <w:widowControl w:val="0"/>
              <w:shd w:val="clear" w:color="auto" w:fill="auto"/>
              <w:kinsoku/>
              <w:wordWrap w:val="0"/>
              <w:overflowPunct/>
              <w:topLinePunct w:val="0"/>
              <w:autoSpaceDE/>
              <w:autoSpaceDN/>
              <w:bidi w:val="0"/>
              <w:adjustRightInd/>
              <w:snapToGrid w:val="0"/>
              <w:spacing w:line="360" w:lineRule="auto"/>
              <w:jc w:val="both"/>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4.任一业绩有以下情形之一的，该业绩视为无效，不予计分：</w:t>
            </w:r>
          </w:p>
          <w:p w14:paraId="3DD95F4A">
            <w:pPr>
              <w:keepNext w:val="0"/>
              <w:keepLines w:val="0"/>
              <w:pageBreakBefore w:val="0"/>
              <w:widowControl w:val="0"/>
              <w:shd w:val="clear" w:color="auto" w:fill="auto"/>
              <w:kinsoku/>
              <w:wordWrap w:val="0"/>
              <w:overflowPunct/>
              <w:topLinePunct w:val="0"/>
              <w:autoSpaceDE/>
              <w:autoSpaceDN/>
              <w:bidi w:val="0"/>
              <w:adjustRightInd/>
              <w:snapToGrid w:val="0"/>
              <w:spacing w:line="360" w:lineRule="auto"/>
              <w:jc w:val="both"/>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①业绩不属于类似工程的；</w:t>
            </w:r>
          </w:p>
          <w:p w14:paraId="4EAF27B9">
            <w:pPr>
              <w:keepNext w:val="0"/>
              <w:keepLines w:val="0"/>
              <w:pageBreakBefore w:val="0"/>
              <w:widowControl w:val="0"/>
              <w:shd w:val="clear" w:color="auto" w:fill="auto"/>
              <w:kinsoku/>
              <w:wordWrap w:val="0"/>
              <w:overflowPunct/>
              <w:topLinePunct w:val="0"/>
              <w:autoSpaceDE/>
              <w:autoSpaceDN/>
              <w:bidi w:val="0"/>
              <w:adjustRightInd/>
              <w:snapToGrid w:val="0"/>
              <w:spacing w:line="360" w:lineRule="auto"/>
              <w:jc w:val="both"/>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②不是以指定身份参建的；</w:t>
            </w:r>
          </w:p>
          <w:p w14:paraId="2A317BD8">
            <w:pPr>
              <w:keepNext w:val="0"/>
              <w:keepLines w:val="0"/>
              <w:pageBreakBefore w:val="0"/>
              <w:widowControl w:val="0"/>
              <w:shd w:val="clear" w:color="auto" w:fill="auto"/>
              <w:kinsoku/>
              <w:wordWrap w:val="0"/>
              <w:overflowPunct/>
              <w:topLinePunct w:val="0"/>
              <w:autoSpaceDE/>
              <w:autoSpaceDN/>
              <w:bidi w:val="0"/>
              <w:adjustRightInd/>
              <w:snapToGrid w:val="0"/>
              <w:spacing w:line="360" w:lineRule="auto"/>
              <w:jc w:val="both"/>
              <w:textAlignment w:val="baseline"/>
              <w:rPr>
                <w:rFonts w:hint="eastAsia" w:ascii="宋体" w:hAnsi="宋体" w:eastAsia="宋体" w:cs="宋体"/>
                <w:snapToGrid w:val="0"/>
                <w:color w:val="auto"/>
                <w:kern w:val="0"/>
                <w:sz w:val="24"/>
                <w:szCs w:val="24"/>
                <w:highlight w:val="none"/>
                <w:u w:val="none"/>
                <w:lang w:bidi="ar"/>
              </w:rPr>
            </w:pPr>
            <w:r>
              <w:rPr>
                <w:rFonts w:hint="eastAsia" w:ascii="宋体" w:hAnsi="宋体" w:eastAsia="宋体" w:cs="宋体"/>
                <w:color w:val="auto"/>
                <w:kern w:val="0"/>
                <w:sz w:val="24"/>
                <w:szCs w:val="24"/>
                <w:highlight w:val="none"/>
                <w:lang w:val="en-US" w:eastAsia="zh-CN" w:bidi="ar-SA"/>
              </w:rPr>
              <w:t>③业绩时间不符合要求的。</w:t>
            </w:r>
          </w:p>
        </w:tc>
      </w:tr>
      <w:tr w14:paraId="2F32C082">
        <w:tblPrEx>
          <w:tblCellMar>
            <w:top w:w="0" w:type="dxa"/>
            <w:left w:w="108" w:type="dxa"/>
            <w:bottom w:w="0" w:type="dxa"/>
            <w:right w:w="108" w:type="dxa"/>
          </w:tblCellMar>
        </w:tblPrEx>
        <w:trPr>
          <w:trHeight w:val="2244"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498408C1">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项目经理</w:t>
            </w:r>
          </w:p>
          <w:p w14:paraId="46FB64DC">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综合素质</w:t>
            </w:r>
          </w:p>
          <w:p w14:paraId="1407386C">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center"/>
              <w:rPr>
                <w:rFonts w:hint="eastAsia" w:ascii="宋体" w:hAnsi="宋体" w:eastAsia="宋体" w:cs="宋体"/>
                <w:snapToGrid w:val="0"/>
                <w:color w:val="auto"/>
                <w:kern w:val="0"/>
                <w:sz w:val="24"/>
                <w:szCs w:val="24"/>
                <w:highlight w:val="none"/>
                <w:u w:val="none"/>
                <w:lang w:bidi="ar"/>
              </w:rPr>
            </w:pPr>
            <w:r>
              <w:rPr>
                <w:rFonts w:hint="eastAsia" w:ascii="宋体" w:hAnsi="宋体" w:eastAsia="宋体" w:cs="宋体"/>
                <w:color w:val="auto"/>
                <w:sz w:val="24"/>
                <w:szCs w:val="24"/>
                <w:highlight w:val="none"/>
                <w:u w:val="none"/>
              </w:rPr>
              <w:t>（10分）</w:t>
            </w:r>
          </w:p>
        </w:tc>
        <w:tc>
          <w:tcPr>
            <w:tcW w:w="4060" w:type="dxa"/>
            <w:gridSpan w:val="2"/>
            <w:tcBorders>
              <w:top w:val="single" w:color="auto" w:sz="4" w:space="0"/>
              <w:left w:val="single" w:color="auto" w:sz="4" w:space="0"/>
              <w:bottom w:val="single" w:color="auto" w:sz="4" w:space="0"/>
              <w:right w:val="single" w:color="auto" w:sz="4" w:space="0"/>
            </w:tcBorders>
            <w:noWrap w:val="0"/>
            <w:vAlign w:val="center"/>
          </w:tcPr>
          <w:p w14:paraId="10885458">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项目经理工程类技术职称情况：</w:t>
            </w:r>
          </w:p>
          <w:p w14:paraId="2675A74F">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1.</w:t>
            </w:r>
            <w:r>
              <w:rPr>
                <w:rFonts w:hint="eastAsia" w:ascii="宋体" w:hAnsi="宋体" w:eastAsia="宋体" w:cs="宋体"/>
                <w:color w:val="auto"/>
                <w:sz w:val="24"/>
                <w:szCs w:val="24"/>
                <w:highlight w:val="none"/>
                <w:u w:val="none"/>
              </w:rPr>
              <w:t>具备工程师或以上职称的，得10分。</w:t>
            </w:r>
          </w:p>
          <w:p w14:paraId="37CD9C07">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rPr>
              <w:t>具备</w:t>
            </w:r>
            <w:r>
              <w:rPr>
                <w:rFonts w:hint="eastAsia" w:ascii="宋体" w:hAnsi="宋体" w:eastAsia="宋体" w:cs="宋体"/>
                <w:color w:val="auto"/>
                <w:sz w:val="24"/>
                <w:szCs w:val="24"/>
                <w:highlight w:val="none"/>
                <w:u w:val="none"/>
                <w:lang w:val="en-US" w:eastAsia="zh-CN"/>
              </w:rPr>
              <w:t>助理工程师</w:t>
            </w:r>
            <w:r>
              <w:rPr>
                <w:rFonts w:hint="eastAsia" w:ascii="宋体" w:hAnsi="宋体" w:eastAsia="宋体" w:cs="宋体"/>
                <w:color w:val="auto"/>
                <w:sz w:val="24"/>
                <w:szCs w:val="24"/>
                <w:highlight w:val="none"/>
                <w:u w:val="none"/>
              </w:rPr>
              <w:t>职称的，得5分。</w:t>
            </w:r>
          </w:p>
          <w:p w14:paraId="03FCB053">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snapToGrid w:val="0"/>
                <w:color w:val="auto"/>
                <w:kern w:val="0"/>
                <w:sz w:val="24"/>
                <w:szCs w:val="24"/>
                <w:highlight w:val="none"/>
                <w:u w:val="none"/>
                <w:lang w:bidi="ar"/>
              </w:rPr>
            </w:pPr>
            <w:r>
              <w:rPr>
                <w:rFonts w:hint="eastAsia" w:ascii="宋体" w:hAnsi="宋体" w:eastAsia="宋体" w:cs="宋体"/>
                <w:color w:val="auto"/>
                <w:sz w:val="24"/>
                <w:szCs w:val="24"/>
                <w:highlight w:val="none"/>
                <w:u w:val="none"/>
                <w:lang w:val="en-US" w:eastAsia="zh-CN"/>
              </w:rPr>
              <w:t>3.</w:t>
            </w:r>
            <w:r>
              <w:rPr>
                <w:rFonts w:hint="eastAsia" w:ascii="宋体" w:hAnsi="宋体" w:eastAsia="宋体" w:cs="宋体"/>
                <w:color w:val="auto"/>
                <w:sz w:val="24"/>
                <w:szCs w:val="24"/>
                <w:highlight w:val="none"/>
                <w:u w:val="none"/>
              </w:rPr>
              <w:t>不具备以上职称的，或未提供职称证原件的，不予计分。</w:t>
            </w:r>
          </w:p>
        </w:tc>
        <w:tc>
          <w:tcPr>
            <w:tcW w:w="4595" w:type="dxa"/>
            <w:tcBorders>
              <w:top w:val="single" w:color="auto" w:sz="4" w:space="0"/>
              <w:left w:val="single" w:color="auto" w:sz="4" w:space="0"/>
              <w:bottom w:val="single" w:color="auto" w:sz="4" w:space="0"/>
              <w:right w:val="single" w:color="auto" w:sz="4" w:space="0"/>
            </w:tcBorders>
            <w:noWrap w:val="0"/>
            <w:vAlign w:val="center"/>
          </w:tcPr>
          <w:p w14:paraId="1323DFA3">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snapToGrid w:val="0"/>
                <w:color w:val="auto"/>
                <w:kern w:val="0"/>
                <w:sz w:val="24"/>
                <w:szCs w:val="24"/>
                <w:highlight w:val="none"/>
                <w:u w:val="none"/>
                <w:lang w:bidi="ar"/>
              </w:rPr>
            </w:pPr>
            <w:r>
              <w:rPr>
                <w:rFonts w:hint="eastAsia" w:ascii="宋体" w:hAnsi="宋体" w:eastAsia="宋体" w:cs="宋体"/>
                <w:color w:val="auto"/>
                <w:sz w:val="24"/>
                <w:szCs w:val="24"/>
                <w:highlight w:val="none"/>
                <w:u w:val="none"/>
              </w:rPr>
              <w:t>需附职称证彩色扫描件</w:t>
            </w:r>
            <w:r>
              <w:rPr>
                <w:rFonts w:hint="eastAsia" w:ascii="宋体" w:hAnsi="宋体" w:eastAsia="宋体" w:cs="宋体"/>
                <w:b/>
                <w:bCs/>
                <w:color w:val="auto"/>
                <w:sz w:val="24"/>
                <w:szCs w:val="24"/>
                <w:highlight w:val="none"/>
                <w:u w:val="none"/>
              </w:rPr>
              <w:t>（职称证为电子证书打印件的除外）。</w:t>
            </w:r>
          </w:p>
        </w:tc>
      </w:tr>
      <w:tr w14:paraId="6F7BBD01">
        <w:tblPrEx>
          <w:tblCellMar>
            <w:top w:w="0" w:type="dxa"/>
            <w:left w:w="108" w:type="dxa"/>
            <w:bottom w:w="0" w:type="dxa"/>
            <w:right w:w="108" w:type="dxa"/>
          </w:tblCellMar>
        </w:tblPrEx>
        <w:trPr>
          <w:trHeight w:val="0"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6E49D693">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企业管理</w:t>
            </w:r>
          </w:p>
          <w:p w14:paraId="59A4BEDE">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体系认证</w:t>
            </w:r>
          </w:p>
          <w:p w14:paraId="14F229F9">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宋体" w:hAnsi="宋体" w:eastAsia="宋体" w:cs="宋体"/>
                <w:snapToGrid w:val="0"/>
                <w:color w:val="auto"/>
                <w:kern w:val="0"/>
                <w:sz w:val="24"/>
                <w:szCs w:val="24"/>
                <w:highlight w:val="none"/>
                <w:u w:val="none"/>
                <w:lang w:bidi="ar"/>
              </w:rPr>
            </w:pP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15</w:t>
            </w:r>
            <w:r>
              <w:rPr>
                <w:rFonts w:hint="eastAsia" w:ascii="宋体" w:hAnsi="宋体" w:eastAsia="宋体" w:cs="宋体"/>
                <w:color w:val="auto"/>
                <w:sz w:val="24"/>
                <w:szCs w:val="24"/>
                <w:highlight w:val="none"/>
                <w:u w:val="none"/>
              </w:rPr>
              <w:t>分）</w:t>
            </w:r>
          </w:p>
        </w:tc>
        <w:tc>
          <w:tcPr>
            <w:tcW w:w="4060" w:type="dxa"/>
            <w:gridSpan w:val="2"/>
            <w:tcBorders>
              <w:top w:val="single" w:color="auto" w:sz="4" w:space="0"/>
              <w:left w:val="single" w:color="auto" w:sz="4" w:space="0"/>
              <w:bottom w:val="single" w:color="auto" w:sz="4" w:space="0"/>
              <w:right w:val="single" w:color="auto" w:sz="4" w:space="0"/>
            </w:tcBorders>
            <w:noWrap w:val="0"/>
            <w:vAlign w:val="center"/>
          </w:tcPr>
          <w:p w14:paraId="13A611BB">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1．质量管理体系认证、职业健康安全管理体系认证、环境管理体系认证中，每获得1项得5分，满分15分。</w:t>
            </w:r>
          </w:p>
          <w:p w14:paraId="1193BA91">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2．未获得以上认证的，不予计分。</w:t>
            </w:r>
          </w:p>
        </w:tc>
        <w:tc>
          <w:tcPr>
            <w:tcW w:w="4595" w:type="dxa"/>
            <w:tcBorders>
              <w:top w:val="single" w:color="auto" w:sz="4" w:space="0"/>
              <w:left w:val="single" w:color="auto" w:sz="4" w:space="0"/>
              <w:bottom w:val="single" w:color="auto" w:sz="4" w:space="0"/>
              <w:right w:val="single" w:color="auto" w:sz="4" w:space="0"/>
            </w:tcBorders>
            <w:noWrap w:val="0"/>
            <w:vAlign w:val="center"/>
          </w:tcPr>
          <w:p w14:paraId="16C3BA70">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1．需附在有效期内的认证证书彩色扫描件。（证书为电子证书的除外）</w:t>
            </w:r>
          </w:p>
          <w:p w14:paraId="12A8A89C">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2．任一认证证书有以下情形之一的，该认证证书视为无效，不予计分：</w:t>
            </w:r>
          </w:p>
          <w:p w14:paraId="76128E78">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lang w:val="en-US" w:eastAsia="zh-CN"/>
              </w:rPr>
              <w:t>①认证证书不在有效期内的。</w:t>
            </w:r>
          </w:p>
        </w:tc>
      </w:tr>
      <w:tr w14:paraId="0A67F6E7">
        <w:tblPrEx>
          <w:tblCellMar>
            <w:top w:w="0" w:type="dxa"/>
            <w:left w:w="108" w:type="dxa"/>
            <w:bottom w:w="0" w:type="dxa"/>
            <w:right w:w="108" w:type="dxa"/>
          </w:tblCellMar>
        </w:tblPrEx>
        <w:trPr>
          <w:trHeight w:val="0"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2CF2B45A">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企业财务状况</w:t>
            </w:r>
          </w:p>
          <w:p w14:paraId="445B756F">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宋体" w:hAnsi="宋体" w:eastAsia="宋体" w:cs="宋体"/>
                <w:snapToGrid w:val="0"/>
                <w:color w:val="auto"/>
                <w:kern w:val="0"/>
                <w:sz w:val="24"/>
                <w:szCs w:val="24"/>
                <w:highlight w:val="none"/>
                <w:u w:val="none"/>
                <w:lang w:bidi="ar"/>
              </w:rPr>
            </w:pP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20</w:t>
            </w:r>
            <w:r>
              <w:rPr>
                <w:rFonts w:hint="eastAsia" w:ascii="宋体" w:hAnsi="宋体" w:eastAsia="宋体" w:cs="宋体"/>
                <w:color w:val="auto"/>
                <w:sz w:val="24"/>
                <w:szCs w:val="24"/>
                <w:highlight w:val="none"/>
                <w:u w:val="none"/>
              </w:rPr>
              <w:t>分）</w:t>
            </w:r>
          </w:p>
        </w:tc>
        <w:tc>
          <w:tcPr>
            <w:tcW w:w="4060" w:type="dxa"/>
            <w:gridSpan w:val="2"/>
            <w:tcBorders>
              <w:top w:val="single" w:color="auto" w:sz="4" w:space="0"/>
              <w:left w:val="single" w:color="auto" w:sz="4" w:space="0"/>
              <w:bottom w:val="single" w:color="auto" w:sz="4" w:space="0"/>
              <w:right w:val="single" w:color="auto" w:sz="4" w:space="0"/>
            </w:tcBorders>
            <w:noWrap w:val="0"/>
            <w:vAlign w:val="center"/>
          </w:tcPr>
          <w:p w14:paraId="1D79D380">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1．提供不少于300万元银行授信证明的，得10分。</w:t>
            </w:r>
          </w:p>
          <w:p w14:paraId="2072D39D">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2.提供投标人基本账户在本项目招标公告发布之日起至投标截止时间期间出现过至少连续3日不少于300万元存款余额资金流水证明的，得10分。</w:t>
            </w:r>
          </w:p>
        </w:tc>
        <w:tc>
          <w:tcPr>
            <w:tcW w:w="4595" w:type="dxa"/>
            <w:tcBorders>
              <w:top w:val="single" w:color="auto" w:sz="4" w:space="0"/>
              <w:left w:val="single" w:color="auto" w:sz="4" w:space="0"/>
              <w:bottom w:val="single" w:color="auto" w:sz="4" w:space="0"/>
              <w:right w:val="single" w:color="auto" w:sz="4" w:space="0"/>
            </w:tcBorders>
            <w:noWrap w:val="0"/>
            <w:vAlign w:val="center"/>
          </w:tcPr>
          <w:p w14:paraId="69140105">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1．需附在有效期内的有关证明扫描件。</w:t>
            </w:r>
          </w:p>
          <w:p w14:paraId="450DD45F">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2．银行授信证明有以下情形之一的，视为无效，不予计分：</w:t>
            </w:r>
          </w:p>
          <w:p w14:paraId="76461B7A">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①授信证明不在有效期内的；</w:t>
            </w:r>
          </w:p>
          <w:p w14:paraId="6F995E6D">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②授信额度不符合要求的；</w:t>
            </w:r>
          </w:p>
          <w:p w14:paraId="31B688C9">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3．存款余额资金流水证明有以下情形之一的，视为无效，不予计分：</w:t>
            </w:r>
          </w:p>
          <w:p w14:paraId="54BF016C">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①存款账户不是基本账户的；</w:t>
            </w:r>
          </w:p>
          <w:p w14:paraId="4BB7F756">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②存款时间不符合要求的；</w:t>
            </w:r>
          </w:p>
          <w:p w14:paraId="2F48C8BB">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③存款额度不符合要求的。</w:t>
            </w:r>
          </w:p>
        </w:tc>
      </w:tr>
      <w:tr w14:paraId="329376EC">
        <w:tblPrEx>
          <w:tblCellMar>
            <w:top w:w="0" w:type="dxa"/>
            <w:left w:w="108" w:type="dxa"/>
            <w:bottom w:w="0" w:type="dxa"/>
            <w:right w:w="108" w:type="dxa"/>
          </w:tblCellMar>
        </w:tblPrEx>
        <w:trPr>
          <w:trHeight w:val="1913" w:hRule="atLeast"/>
          <w:jc w:val="center"/>
        </w:trPr>
        <w:tc>
          <w:tcPr>
            <w:tcW w:w="1536" w:type="dxa"/>
            <w:vMerge w:val="restart"/>
            <w:tcBorders>
              <w:top w:val="single" w:color="auto" w:sz="4" w:space="0"/>
              <w:left w:val="single" w:color="auto" w:sz="4" w:space="0"/>
              <w:right w:val="single" w:color="auto" w:sz="4" w:space="0"/>
            </w:tcBorders>
            <w:noWrap w:val="0"/>
            <w:vAlign w:val="center"/>
          </w:tcPr>
          <w:p w14:paraId="2D57F5AC">
            <w:pPr>
              <w:widowControl/>
              <w:wordWrap w:val="0"/>
              <w:adjustRightInd w:val="0"/>
              <w:snapToGrid w:val="0"/>
              <w:spacing w:after="120" w:line="400" w:lineRule="exact"/>
              <w:jc w:val="center"/>
              <w:rPr>
                <w:rFonts w:hint="eastAsia" w:ascii="宋体" w:hAnsi="宋体" w:eastAsia="宋体" w:cs="宋体"/>
                <w:snapToGrid w:val="0"/>
                <w:color w:val="auto"/>
                <w:kern w:val="0"/>
                <w:sz w:val="24"/>
                <w:szCs w:val="24"/>
                <w:highlight w:val="none"/>
                <w:u w:val="none"/>
                <w:lang w:bidi="ar"/>
              </w:rPr>
            </w:pPr>
            <w:r>
              <w:rPr>
                <w:rFonts w:hint="eastAsia" w:ascii="宋体" w:hAnsi="宋体" w:eastAsia="宋体" w:cs="宋体"/>
                <w:snapToGrid w:val="0"/>
                <w:color w:val="auto"/>
                <w:kern w:val="0"/>
                <w:sz w:val="24"/>
                <w:szCs w:val="24"/>
                <w:highlight w:val="none"/>
                <w:u w:val="none"/>
                <w:lang w:bidi="ar"/>
              </w:rPr>
              <w:t>招标人</w:t>
            </w:r>
          </w:p>
          <w:p w14:paraId="41D5154E">
            <w:pPr>
              <w:widowControl/>
              <w:wordWrap w:val="0"/>
              <w:adjustRightInd w:val="0"/>
              <w:snapToGrid w:val="0"/>
              <w:spacing w:after="120" w:line="400" w:lineRule="exact"/>
              <w:jc w:val="center"/>
              <w:rPr>
                <w:rFonts w:hint="eastAsia" w:ascii="宋体" w:hAnsi="宋体" w:eastAsia="宋体" w:cs="宋体"/>
                <w:snapToGrid w:val="0"/>
                <w:color w:val="auto"/>
                <w:kern w:val="0"/>
                <w:sz w:val="24"/>
                <w:szCs w:val="24"/>
                <w:highlight w:val="none"/>
                <w:u w:val="none"/>
                <w:lang w:bidi="ar"/>
              </w:rPr>
            </w:pPr>
            <w:r>
              <w:rPr>
                <w:rFonts w:hint="eastAsia" w:ascii="宋体" w:hAnsi="宋体" w:eastAsia="宋体" w:cs="宋体"/>
                <w:snapToGrid w:val="0"/>
                <w:color w:val="auto"/>
                <w:kern w:val="0"/>
                <w:sz w:val="24"/>
                <w:szCs w:val="24"/>
                <w:highlight w:val="none"/>
                <w:u w:val="none"/>
                <w:lang w:bidi="ar"/>
              </w:rPr>
              <w:t>自选项</w:t>
            </w:r>
          </w:p>
          <w:p w14:paraId="3E0654D2">
            <w:pPr>
              <w:pStyle w:val="22"/>
              <w:spacing w:before="160" w:line="228" w:lineRule="auto"/>
              <w:ind w:left="181" w:leftChars="0"/>
              <w:rPr>
                <w:rFonts w:hint="eastAsia" w:ascii="宋体" w:hAnsi="宋体" w:eastAsia="宋体" w:cs="宋体"/>
                <w:color w:val="auto"/>
                <w:sz w:val="24"/>
                <w:szCs w:val="24"/>
                <w:highlight w:val="none"/>
                <w:u w:val="none"/>
                <w:lang w:eastAsia="zh-CN"/>
              </w:rPr>
            </w:pPr>
            <w:r>
              <w:rPr>
                <w:rFonts w:hint="eastAsia" w:ascii="宋体" w:hAnsi="宋体" w:eastAsia="宋体" w:cs="宋体"/>
                <w:b w:val="0"/>
                <w:bCs w:val="0"/>
                <w:snapToGrid w:val="0"/>
                <w:color w:val="auto"/>
                <w:kern w:val="0"/>
                <w:sz w:val="24"/>
                <w:szCs w:val="24"/>
                <w:highlight w:val="none"/>
                <w:u w:val="none"/>
                <w:lang w:bidi="ar"/>
              </w:rPr>
              <w:t>（</w:t>
            </w:r>
            <w:r>
              <w:rPr>
                <w:rFonts w:hint="eastAsia" w:ascii="宋体" w:hAnsi="宋体" w:eastAsia="宋体" w:cs="宋体"/>
                <w:b w:val="0"/>
                <w:bCs w:val="0"/>
                <w:snapToGrid w:val="0"/>
                <w:color w:val="auto"/>
                <w:kern w:val="0"/>
                <w:sz w:val="24"/>
                <w:szCs w:val="24"/>
                <w:highlight w:val="none"/>
                <w:u w:val="none"/>
                <w:lang w:val="en-US" w:eastAsia="zh-CN" w:bidi="ar"/>
              </w:rPr>
              <w:t>20</w:t>
            </w:r>
            <w:r>
              <w:rPr>
                <w:rFonts w:hint="eastAsia" w:ascii="宋体" w:hAnsi="宋体" w:eastAsia="宋体" w:cs="宋体"/>
                <w:b w:val="0"/>
                <w:bCs w:val="0"/>
                <w:snapToGrid w:val="0"/>
                <w:color w:val="auto"/>
                <w:kern w:val="0"/>
                <w:sz w:val="24"/>
                <w:szCs w:val="24"/>
                <w:highlight w:val="none"/>
                <w:u w:val="none"/>
                <w:lang w:bidi="ar"/>
              </w:rPr>
              <w:t>分</w:t>
            </w:r>
            <w:r>
              <w:rPr>
                <w:rFonts w:hint="eastAsia" w:ascii="宋体" w:hAnsi="宋体" w:eastAsia="宋体" w:cs="宋体"/>
                <w:b w:val="0"/>
                <w:bCs w:val="0"/>
                <w:snapToGrid w:val="0"/>
                <w:color w:val="auto"/>
                <w:kern w:val="0"/>
                <w:sz w:val="24"/>
                <w:szCs w:val="24"/>
                <w:highlight w:val="none"/>
                <w:u w:val="none"/>
                <w:lang w:eastAsia="zh-CN" w:bidi="ar"/>
              </w:rPr>
              <w:t>）</w:t>
            </w:r>
          </w:p>
          <w:p w14:paraId="0C25FD9F">
            <w:pPr>
              <w:widowControl/>
              <w:wordWrap w:val="0"/>
              <w:adjustRightInd w:val="0"/>
              <w:snapToGrid w:val="0"/>
              <w:spacing w:after="120" w:line="400" w:lineRule="exact"/>
              <w:jc w:val="center"/>
              <w:rPr>
                <w:rFonts w:hint="eastAsia" w:ascii="宋体" w:hAnsi="宋体" w:eastAsia="宋体" w:cs="宋体"/>
                <w:snapToGrid w:val="0"/>
                <w:color w:val="auto"/>
                <w:kern w:val="0"/>
                <w:sz w:val="24"/>
                <w:szCs w:val="24"/>
                <w:highlight w:val="none"/>
                <w:u w:val="none"/>
                <w:lang w:bidi="ar"/>
              </w:rPr>
            </w:pPr>
          </w:p>
        </w:tc>
        <w:tc>
          <w:tcPr>
            <w:tcW w:w="4060" w:type="dxa"/>
            <w:gridSpan w:val="2"/>
            <w:tcBorders>
              <w:top w:val="single" w:color="auto" w:sz="4" w:space="0"/>
              <w:left w:val="single" w:color="auto" w:sz="4" w:space="0"/>
              <w:bottom w:val="single" w:color="auto" w:sz="4" w:space="0"/>
              <w:right w:val="single" w:color="auto" w:sz="4" w:space="0"/>
            </w:tcBorders>
            <w:noWrap w:val="0"/>
            <w:vAlign w:val="center"/>
          </w:tcPr>
          <w:p w14:paraId="0E60BB42">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1.企业2022年度以来获得过县（市、区）级以上人民武装部颁发的“民兵建设先进企业（单位）”证书的得10分；</w:t>
            </w:r>
          </w:p>
          <w:p w14:paraId="4FF62326">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2．其他情形的，不予计分。</w:t>
            </w:r>
          </w:p>
        </w:tc>
        <w:tc>
          <w:tcPr>
            <w:tcW w:w="4595" w:type="dxa"/>
            <w:tcBorders>
              <w:top w:val="single" w:color="auto" w:sz="4" w:space="0"/>
              <w:left w:val="single" w:color="auto" w:sz="4" w:space="0"/>
              <w:bottom w:val="single" w:color="auto" w:sz="4" w:space="0"/>
              <w:right w:val="single" w:color="auto" w:sz="4" w:space="0"/>
            </w:tcBorders>
            <w:noWrap w:val="0"/>
            <w:vAlign w:val="center"/>
          </w:tcPr>
          <w:p w14:paraId="7F4F2101">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1.须提供有关证书彩色扫描件。</w:t>
            </w:r>
          </w:p>
          <w:p w14:paraId="3069D2F0">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2．颁发机构、时间不符合要求的，按第 2 项标准处理。</w:t>
            </w:r>
          </w:p>
        </w:tc>
      </w:tr>
      <w:tr w14:paraId="39E35F29">
        <w:tblPrEx>
          <w:tblCellMar>
            <w:top w:w="0" w:type="dxa"/>
            <w:left w:w="108" w:type="dxa"/>
            <w:bottom w:w="0" w:type="dxa"/>
            <w:right w:w="108" w:type="dxa"/>
          </w:tblCellMar>
        </w:tblPrEx>
        <w:trPr>
          <w:trHeight w:val="1977" w:hRule="atLeast"/>
          <w:jc w:val="center"/>
        </w:trPr>
        <w:tc>
          <w:tcPr>
            <w:tcW w:w="1536" w:type="dxa"/>
            <w:vMerge w:val="continue"/>
            <w:tcBorders>
              <w:left w:val="single" w:color="auto" w:sz="4" w:space="0"/>
              <w:right w:val="single" w:color="auto" w:sz="4" w:space="0"/>
            </w:tcBorders>
            <w:noWrap w:val="0"/>
            <w:vAlign w:val="center"/>
          </w:tcPr>
          <w:p w14:paraId="23956D89">
            <w:pPr>
              <w:widowControl/>
              <w:wordWrap w:val="0"/>
              <w:adjustRightInd w:val="0"/>
              <w:snapToGrid w:val="0"/>
              <w:spacing w:after="120" w:line="400" w:lineRule="exact"/>
              <w:jc w:val="center"/>
              <w:rPr>
                <w:rFonts w:hint="eastAsia" w:ascii="宋体" w:hAnsi="宋体" w:eastAsia="宋体" w:cs="宋体"/>
                <w:snapToGrid w:val="0"/>
                <w:color w:val="auto"/>
                <w:kern w:val="0"/>
                <w:sz w:val="24"/>
                <w:szCs w:val="24"/>
                <w:highlight w:val="none"/>
                <w:u w:val="none"/>
                <w:lang w:bidi="ar"/>
              </w:rPr>
            </w:pPr>
          </w:p>
        </w:tc>
        <w:tc>
          <w:tcPr>
            <w:tcW w:w="4060" w:type="dxa"/>
            <w:gridSpan w:val="2"/>
            <w:tcBorders>
              <w:top w:val="single" w:color="auto" w:sz="4" w:space="0"/>
              <w:left w:val="single" w:color="auto" w:sz="4" w:space="0"/>
              <w:bottom w:val="single" w:color="auto" w:sz="4" w:space="0"/>
              <w:right w:val="single" w:color="auto" w:sz="4" w:space="0"/>
            </w:tcBorders>
            <w:noWrap w:val="0"/>
            <w:vAlign w:val="center"/>
          </w:tcPr>
          <w:p w14:paraId="3F478417">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1.2022年1月1日至今投标人未发生事故等级为一般事故及以上的生产安全事故、一般质量事故及以上的工程质量事故的，或未被市级及以上住房和城乡建设部门发文通报批评的，得10分；其他情形的，不予计分。</w:t>
            </w:r>
          </w:p>
        </w:tc>
        <w:tc>
          <w:tcPr>
            <w:tcW w:w="4595" w:type="dxa"/>
            <w:tcBorders>
              <w:top w:val="single" w:color="auto" w:sz="4" w:space="0"/>
              <w:left w:val="single" w:color="auto" w:sz="4" w:space="0"/>
              <w:bottom w:val="single" w:color="auto" w:sz="4" w:space="0"/>
              <w:right w:val="single" w:color="auto" w:sz="4" w:space="0"/>
            </w:tcBorders>
            <w:noWrap w:val="0"/>
            <w:vAlign w:val="center"/>
          </w:tcPr>
          <w:p w14:paraId="71BB6965">
            <w:pPr>
              <w:pStyle w:val="12"/>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需提供本单位承诺书（格式自定）并加盖本单位公章。未提供本单位承诺书并加盖本单位公章的，不予计分。</w:t>
            </w:r>
          </w:p>
        </w:tc>
      </w:tr>
      <w:tr w14:paraId="3F38F634">
        <w:tblPrEx>
          <w:tblCellMar>
            <w:top w:w="0" w:type="dxa"/>
            <w:left w:w="108" w:type="dxa"/>
            <w:bottom w:w="0" w:type="dxa"/>
            <w:right w:w="108" w:type="dxa"/>
          </w:tblCellMar>
        </w:tblPrEx>
        <w:trPr>
          <w:trHeight w:val="574" w:hRule="exact"/>
          <w:jc w:val="center"/>
        </w:trPr>
        <w:tc>
          <w:tcPr>
            <w:tcW w:w="10191"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5C2E00EB">
            <w:pPr>
              <w:wordWrap w:val="0"/>
              <w:adjustRightInd w:val="0"/>
              <w:snapToGrid w:val="0"/>
              <w:spacing w:line="440" w:lineRule="exact"/>
              <w:jc w:val="lef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技术部分（施工组织设计），满分：</w:t>
            </w:r>
            <w:r>
              <w:rPr>
                <w:rFonts w:hint="eastAsia" w:ascii="宋体" w:hAnsi="宋体" w:eastAsia="宋体" w:cs="宋体"/>
                <w:snapToGrid w:val="0"/>
                <w:color w:val="auto"/>
                <w:kern w:val="0"/>
                <w:sz w:val="24"/>
                <w:szCs w:val="24"/>
                <w:highlight w:val="none"/>
                <w:u w:val="single"/>
                <w:lang w:bidi="ar"/>
              </w:rPr>
              <w:t xml:space="preserve">  20  </w:t>
            </w:r>
            <w:r>
              <w:rPr>
                <w:rFonts w:hint="eastAsia" w:ascii="宋体" w:hAnsi="宋体" w:eastAsia="宋体" w:cs="宋体"/>
                <w:snapToGrid w:val="0"/>
                <w:color w:val="auto"/>
                <w:kern w:val="0"/>
                <w:sz w:val="24"/>
                <w:szCs w:val="24"/>
                <w:highlight w:val="none"/>
                <w:lang w:bidi="ar"/>
              </w:rPr>
              <w:t>分。</w:t>
            </w:r>
          </w:p>
        </w:tc>
      </w:tr>
      <w:tr w14:paraId="4B7096EB">
        <w:tblPrEx>
          <w:tblCellMar>
            <w:top w:w="0" w:type="dxa"/>
            <w:left w:w="108" w:type="dxa"/>
            <w:bottom w:w="0" w:type="dxa"/>
            <w:right w:w="108" w:type="dxa"/>
          </w:tblCellMar>
        </w:tblPrEx>
        <w:trPr>
          <w:trHeight w:val="514" w:hRule="exac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6CF28176">
            <w:pPr>
              <w:wordWrap w:val="0"/>
              <w:adjustRightInd w:val="0"/>
              <w:snapToGrid w:val="0"/>
              <w:spacing w:line="44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评分因素</w:t>
            </w:r>
          </w:p>
        </w:tc>
        <w:tc>
          <w:tcPr>
            <w:tcW w:w="3551" w:type="dxa"/>
            <w:tcBorders>
              <w:top w:val="single" w:color="auto" w:sz="4" w:space="0"/>
              <w:left w:val="single" w:color="auto" w:sz="4" w:space="0"/>
              <w:bottom w:val="single" w:color="auto" w:sz="4" w:space="0"/>
              <w:right w:val="single" w:color="auto" w:sz="4" w:space="0"/>
            </w:tcBorders>
            <w:noWrap w:val="0"/>
            <w:vAlign w:val="center"/>
          </w:tcPr>
          <w:p w14:paraId="1032E129">
            <w:pPr>
              <w:wordWrap w:val="0"/>
              <w:adjustRightInd w:val="0"/>
              <w:snapToGrid w:val="0"/>
              <w:spacing w:line="44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评分标准</w:t>
            </w:r>
          </w:p>
        </w:tc>
        <w:tc>
          <w:tcPr>
            <w:tcW w:w="5104" w:type="dxa"/>
            <w:gridSpan w:val="2"/>
            <w:tcBorders>
              <w:top w:val="single" w:color="auto" w:sz="4" w:space="0"/>
              <w:left w:val="single" w:color="auto" w:sz="4" w:space="0"/>
              <w:bottom w:val="single" w:color="auto" w:sz="4" w:space="0"/>
              <w:right w:val="single" w:color="auto" w:sz="4" w:space="0"/>
            </w:tcBorders>
            <w:noWrap w:val="0"/>
            <w:vAlign w:val="center"/>
          </w:tcPr>
          <w:p w14:paraId="0C8B9261">
            <w:pPr>
              <w:wordWrap w:val="0"/>
              <w:adjustRightInd w:val="0"/>
              <w:snapToGrid w:val="0"/>
              <w:spacing w:line="44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备注</w:t>
            </w:r>
          </w:p>
        </w:tc>
      </w:tr>
      <w:tr w14:paraId="292BD885">
        <w:tblPrEx>
          <w:tblCellMar>
            <w:top w:w="0" w:type="dxa"/>
            <w:left w:w="108" w:type="dxa"/>
            <w:bottom w:w="0" w:type="dxa"/>
            <w:right w:w="108" w:type="dxa"/>
          </w:tblCellMar>
        </w:tblPrEx>
        <w:trPr>
          <w:trHeight w:val="457"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582190C9">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 xml:space="preserve"> 总体概述</w:t>
            </w:r>
          </w:p>
          <w:p w14:paraId="1F1126A8">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b w:val="0"/>
                <w:bCs w:val="0"/>
                <w:snapToGrid w:val="0"/>
                <w:color w:val="auto"/>
                <w:kern w:val="0"/>
                <w:sz w:val="24"/>
                <w:szCs w:val="24"/>
                <w:highlight w:val="none"/>
                <w:lang w:bidi="ar"/>
              </w:rPr>
              <w:t>（</w:t>
            </w:r>
            <w:r>
              <w:rPr>
                <w:rFonts w:hint="eastAsia" w:ascii="宋体" w:hAnsi="宋体" w:eastAsia="宋体" w:cs="宋体"/>
                <w:b w:val="0"/>
                <w:bCs w:val="0"/>
                <w:snapToGrid w:val="0"/>
                <w:color w:val="auto"/>
                <w:kern w:val="0"/>
                <w:sz w:val="24"/>
                <w:szCs w:val="24"/>
                <w:highlight w:val="none"/>
                <w:u w:val="single"/>
                <w:lang w:bidi="ar"/>
              </w:rPr>
              <w:t xml:space="preserve"> 3 </w:t>
            </w:r>
            <w:r>
              <w:rPr>
                <w:rFonts w:hint="eastAsia" w:ascii="宋体" w:hAnsi="宋体" w:eastAsia="宋体" w:cs="宋体"/>
                <w:b w:val="0"/>
                <w:bCs w:val="0"/>
                <w:snapToGrid w:val="0"/>
                <w:color w:val="auto"/>
                <w:kern w:val="0"/>
                <w:sz w:val="24"/>
                <w:szCs w:val="24"/>
                <w:highlight w:val="none"/>
                <w:lang w:bidi="ar"/>
              </w:rPr>
              <w:t>分）</w:t>
            </w:r>
          </w:p>
        </w:tc>
        <w:tc>
          <w:tcPr>
            <w:tcW w:w="3551" w:type="dxa"/>
            <w:tcBorders>
              <w:top w:val="single" w:color="auto" w:sz="4" w:space="0"/>
              <w:left w:val="single" w:color="auto" w:sz="4" w:space="0"/>
              <w:bottom w:val="single" w:color="auto" w:sz="4" w:space="0"/>
              <w:right w:val="single" w:color="auto" w:sz="4" w:space="0"/>
            </w:tcBorders>
            <w:noWrap w:val="0"/>
            <w:vAlign w:val="center"/>
          </w:tcPr>
          <w:p w14:paraId="71CF61C0">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【优】得该项评分因素分值的90%～100%（含90%）。</w:t>
            </w:r>
          </w:p>
          <w:p w14:paraId="1125DFFB">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【良】得该项评分因素分值的80%～90%（含80%）。</w:t>
            </w:r>
          </w:p>
          <w:p w14:paraId="6D5272EA">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【中】得该项评分因素分值的70%～80%（含70%）。</w:t>
            </w:r>
          </w:p>
          <w:p w14:paraId="41B93295">
            <w:pPr>
              <w:wordWrap w:val="0"/>
              <w:adjustRightInd w:val="0"/>
              <w:snapToGrid w:val="0"/>
              <w:spacing w:line="400" w:lineRule="exact"/>
              <w:jc w:val="lef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【差】得该项评分因素分值的60%～70%（含60%）。</w:t>
            </w:r>
          </w:p>
        </w:tc>
        <w:tc>
          <w:tcPr>
            <w:tcW w:w="5104" w:type="dxa"/>
            <w:gridSpan w:val="2"/>
            <w:tcBorders>
              <w:top w:val="single" w:color="auto" w:sz="4" w:space="0"/>
              <w:left w:val="single" w:color="auto" w:sz="4" w:space="0"/>
              <w:bottom w:val="single" w:color="auto" w:sz="4" w:space="0"/>
              <w:right w:val="single" w:color="auto" w:sz="4" w:space="0"/>
            </w:tcBorders>
            <w:noWrap w:val="0"/>
            <w:vAlign w:val="center"/>
          </w:tcPr>
          <w:p w14:paraId="0653A517">
            <w:pPr>
              <w:wordWrap w:val="0"/>
              <w:adjustRightInd w:val="0"/>
              <w:snapToGrid w:val="0"/>
              <w:spacing w:line="400" w:lineRule="exact"/>
              <w:jc w:val="lef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【优】对项目总体有深刻认识，表述清晰、完整、严谨、合理，措施先进、具体、有效、成熟，采用了新技术、新工艺、新材料、新设备；施工段划分呼应总体表述，划分清晰、合理，符合规范要求。</w:t>
            </w:r>
          </w:p>
          <w:p w14:paraId="2F403BCD">
            <w:pPr>
              <w:wordWrap w:val="0"/>
              <w:adjustRightInd w:val="0"/>
              <w:snapToGrid w:val="0"/>
              <w:spacing w:line="400" w:lineRule="exact"/>
              <w:jc w:val="lef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【良】对项目总体有一定认识，表述清晰、完整，措施具体有效；施工段划分呼应总体表述，划分清晰，符合规范要求。</w:t>
            </w:r>
          </w:p>
          <w:p w14:paraId="2B7E06DC">
            <w:pPr>
              <w:wordWrap w:val="0"/>
              <w:adjustRightInd w:val="0"/>
              <w:snapToGrid w:val="0"/>
              <w:spacing w:line="400" w:lineRule="exact"/>
              <w:jc w:val="lef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【中】对项目总体有认识，有一定的措施但部分不具体；施工段划分较合理，符合规范要求。</w:t>
            </w:r>
          </w:p>
          <w:p w14:paraId="4FA6E51E">
            <w:pPr>
              <w:wordWrap w:val="0"/>
              <w:adjustRightInd w:val="0"/>
              <w:snapToGrid w:val="0"/>
              <w:spacing w:line="400" w:lineRule="exact"/>
              <w:jc w:val="lef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【差】对项目认识不足，表述不清晰，措施不具体；施工段划分不合理。</w:t>
            </w:r>
          </w:p>
        </w:tc>
      </w:tr>
      <w:tr w14:paraId="312D676C">
        <w:tblPrEx>
          <w:tblCellMar>
            <w:top w:w="0" w:type="dxa"/>
            <w:left w:w="108" w:type="dxa"/>
            <w:bottom w:w="0" w:type="dxa"/>
            <w:right w:w="108" w:type="dxa"/>
          </w:tblCellMar>
        </w:tblPrEx>
        <w:trPr>
          <w:trHeight w:val="457"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3BED2C3A">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施工总进</w:t>
            </w:r>
          </w:p>
          <w:p w14:paraId="4A6CBA2C">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度计划及</w:t>
            </w:r>
          </w:p>
          <w:p w14:paraId="3AF635F6">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保证措施</w:t>
            </w:r>
          </w:p>
          <w:p w14:paraId="28794D27">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b w:val="0"/>
                <w:bCs w:val="0"/>
                <w:snapToGrid w:val="0"/>
                <w:color w:val="auto"/>
                <w:kern w:val="0"/>
                <w:sz w:val="24"/>
                <w:szCs w:val="24"/>
                <w:highlight w:val="none"/>
                <w:lang w:bidi="ar"/>
              </w:rPr>
              <w:t>（</w:t>
            </w:r>
            <w:r>
              <w:rPr>
                <w:rFonts w:hint="eastAsia" w:ascii="宋体" w:hAnsi="宋体" w:eastAsia="宋体" w:cs="宋体"/>
                <w:b w:val="0"/>
                <w:bCs w:val="0"/>
                <w:snapToGrid w:val="0"/>
                <w:color w:val="auto"/>
                <w:kern w:val="0"/>
                <w:sz w:val="24"/>
                <w:szCs w:val="24"/>
                <w:highlight w:val="none"/>
                <w:u w:val="single"/>
                <w:lang w:bidi="ar"/>
              </w:rPr>
              <w:t xml:space="preserve">3 </w:t>
            </w:r>
            <w:r>
              <w:rPr>
                <w:rFonts w:hint="eastAsia" w:ascii="宋体" w:hAnsi="宋体" w:eastAsia="宋体" w:cs="宋体"/>
                <w:b w:val="0"/>
                <w:bCs w:val="0"/>
                <w:snapToGrid w:val="0"/>
                <w:color w:val="auto"/>
                <w:kern w:val="0"/>
                <w:sz w:val="24"/>
                <w:szCs w:val="24"/>
                <w:highlight w:val="none"/>
                <w:lang w:bidi="ar"/>
              </w:rPr>
              <w:t>分）</w:t>
            </w:r>
          </w:p>
        </w:tc>
        <w:tc>
          <w:tcPr>
            <w:tcW w:w="3551" w:type="dxa"/>
            <w:tcBorders>
              <w:top w:val="single" w:color="auto" w:sz="4" w:space="0"/>
              <w:left w:val="single" w:color="auto" w:sz="4" w:space="0"/>
              <w:bottom w:val="single" w:color="auto" w:sz="4" w:space="0"/>
              <w:right w:val="single" w:color="auto" w:sz="4" w:space="0"/>
            </w:tcBorders>
            <w:noWrap w:val="0"/>
            <w:vAlign w:val="center"/>
          </w:tcPr>
          <w:p w14:paraId="4919B8A4">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【优】得该项评分因素分值的90%～100%（含90%）。</w:t>
            </w:r>
          </w:p>
          <w:p w14:paraId="650E30A8">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【良】得该项评分因素分值的80%～90%（含80%）。</w:t>
            </w:r>
          </w:p>
          <w:p w14:paraId="5B5CE882">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【中】得该项评分因素分值的70%～80%（含70%）。</w:t>
            </w:r>
          </w:p>
          <w:p w14:paraId="7B9AC7FA">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【差】得该项评分因素分值的60%～70%（含60%）。</w:t>
            </w:r>
          </w:p>
        </w:tc>
        <w:tc>
          <w:tcPr>
            <w:tcW w:w="5104" w:type="dxa"/>
            <w:gridSpan w:val="2"/>
            <w:tcBorders>
              <w:top w:val="single" w:color="auto" w:sz="4" w:space="0"/>
              <w:left w:val="single" w:color="auto" w:sz="4" w:space="0"/>
              <w:bottom w:val="single" w:color="auto" w:sz="4" w:space="0"/>
              <w:right w:val="single" w:color="auto" w:sz="4" w:space="0"/>
            </w:tcBorders>
            <w:noWrap w:val="0"/>
            <w:vAlign w:val="center"/>
          </w:tcPr>
          <w:p w14:paraId="025D0561">
            <w:pPr>
              <w:wordWrap w:val="0"/>
              <w:adjustRightInd w:val="0"/>
              <w:snapToGrid w:val="0"/>
              <w:spacing w:line="400" w:lineRule="exact"/>
              <w:rPr>
                <w:rFonts w:hint="eastAsia" w:ascii="宋体" w:hAnsi="宋体" w:eastAsia="宋体" w:cs="宋体"/>
                <w:b/>
                <w:bCs/>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关键线路清晰、准确、完整，计划编制合理、可行。关键节点的控制措施有力、合理、可行。人、材、机需求和进场计划与进度计划相呼应，较好满足施工需要，调配投入计划合理、准确。进度违约责任承诺具体，</w:t>
            </w:r>
            <w:r>
              <w:rPr>
                <w:rFonts w:hint="eastAsia" w:ascii="宋体" w:hAnsi="宋体" w:eastAsia="宋体" w:cs="宋体"/>
                <w:b/>
                <w:bCs/>
                <w:snapToGrid w:val="0"/>
                <w:color w:val="auto"/>
                <w:kern w:val="0"/>
                <w:sz w:val="24"/>
                <w:szCs w:val="24"/>
                <w:highlight w:val="none"/>
                <w:lang w:bidi="ar"/>
              </w:rPr>
              <w:t>经济赔偿合理。</w:t>
            </w:r>
          </w:p>
          <w:p w14:paraId="043A716C">
            <w:pPr>
              <w:wordWrap w:val="0"/>
              <w:adjustRightInd w:val="0"/>
              <w:snapToGrid w:val="0"/>
              <w:spacing w:line="400" w:lineRule="exact"/>
              <w:rPr>
                <w:rFonts w:hint="eastAsia" w:ascii="宋体" w:hAnsi="宋体" w:eastAsia="宋体" w:cs="宋体"/>
                <w:b/>
                <w:bCs/>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宋体" w:hAnsi="宋体" w:eastAsia="宋体" w:cs="宋体"/>
                <w:b/>
                <w:bCs/>
                <w:snapToGrid w:val="0"/>
                <w:color w:val="auto"/>
                <w:kern w:val="0"/>
                <w:sz w:val="24"/>
                <w:szCs w:val="24"/>
                <w:highlight w:val="none"/>
                <w:lang w:bidi="ar"/>
              </w:rPr>
              <w:t>经济赔偿较合理。</w:t>
            </w:r>
          </w:p>
          <w:p w14:paraId="6872D9FE">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【中】关键线路基本准确，计划编制基本合理。关键节点的控制措施基本可行。人、材、机需求和进场计划与进度计划相呼应，基本满足施工需要，调配投入计划基本合理。进度违约责任承诺具体。</w:t>
            </w:r>
          </w:p>
          <w:p w14:paraId="0CC458CB">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【差】关键线路不准确，计划编制不合理。关键节点的控制不可行。人、材、机需求和进场计划与进度计划不相呼应，不能满足施工需要。没有违约责任承诺。</w:t>
            </w:r>
          </w:p>
        </w:tc>
      </w:tr>
      <w:tr w14:paraId="2DA0332D">
        <w:tblPrEx>
          <w:tblCellMar>
            <w:top w:w="0" w:type="dxa"/>
            <w:left w:w="108" w:type="dxa"/>
            <w:bottom w:w="0" w:type="dxa"/>
            <w:right w:w="108" w:type="dxa"/>
          </w:tblCellMar>
        </w:tblPrEx>
        <w:trPr>
          <w:trHeight w:val="457"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31FCE4C7">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质量</w:t>
            </w:r>
          </w:p>
          <w:p w14:paraId="4A71FDAB">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保证措施</w:t>
            </w:r>
          </w:p>
          <w:p w14:paraId="4F9C2092">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b w:val="0"/>
                <w:bCs w:val="0"/>
                <w:snapToGrid w:val="0"/>
                <w:color w:val="auto"/>
                <w:kern w:val="0"/>
                <w:sz w:val="24"/>
                <w:szCs w:val="24"/>
                <w:highlight w:val="none"/>
                <w:lang w:bidi="ar"/>
              </w:rPr>
              <w:t>（</w:t>
            </w:r>
            <w:r>
              <w:rPr>
                <w:rFonts w:hint="eastAsia" w:ascii="宋体" w:hAnsi="宋体" w:eastAsia="宋体" w:cs="宋体"/>
                <w:b w:val="0"/>
                <w:bCs w:val="0"/>
                <w:snapToGrid w:val="0"/>
                <w:color w:val="auto"/>
                <w:kern w:val="0"/>
                <w:sz w:val="24"/>
                <w:szCs w:val="24"/>
                <w:highlight w:val="none"/>
                <w:u w:val="single"/>
                <w:lang w:bidi="ar"/>
              </w:rPr>
              <w:t xml:space="preserve">4 </w:t>
            </w:r>
            <w:r>
              <w:rPr>
                <w:rFonts w:hint="eastAsia" w:ascii="宋体" w:hAnsi="宋体" w:eastAsia="宋体" w:cs="宋体"/>
                <w:b w:val="0"/>
                <w:bCs w:val="0"/>
                <w:snapToGrid w:val="0"/>
                <w:color w:val="auto"/>
                <w:kern w:val="0"/>
                <w:sz w:val="24"/>
                <w:szCs w:val="24"/>
                <w:highlight w:val="none"/>
                <w:lang w:bidi="ar"/>
              </w:rPr>
              <w:t>分）</w:t>
            </w:r>
          </w:p>
        </w:tc>
        <w:tc>
          <w:tcPr>
            <w:tcW w:w="3551" w:type="dxa"/>
            <w:tcBorders>
              <w:top w:val="single" w:color="auto" w:sz="4" w:space="0"/>
              <w:left w:val="single" w:color="auto" w:sz="4" w:space="0"/>
              <w:bottom w:val="single" w:color="auto" w:sz="4" w:space="0"/>
              <w:right w:val="single" w:color="auto" w:sz="4" w:space="0"/>
            </w:tcBorders>
            <w:noWrap w:val="0"/>
            <w:vAlign w:val="center"/>
          </w:tcPr>
          <w:p w14:paraId="7DA78D91">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【优】得该项评分因素分值的90%～100%（含90%）。</w:t>
            </w:r>
          </w:p>
          <w:p w14:paraId="668BA656">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【良】得该项评分因素分值的80%～90%（含80%）。</w:t>
            </w:r>
          </w:p>
          <w:p w14:paraId="5D7FB715">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【中】得该项评分因素分值的70%～80%（含70%）。</w:t>
            </w:r>
          </w:p>
          <w:p w14:paraId="65A050C0">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【差】得该项评分因素分值的60%～70%（含60%）。</w:t>
            </w:r>
          </w:p>
        </w:tc>
        <w:tc>
          <w:tcPr>
            <w:tcW w:w="5104" w:type="dxa"/>
            <w:gridSpan w:val="2"/>
            <w:tcBorders>
              <w:top w:val="single" w:color="auto" w:sz="4" w:space="0"/>
              <w:left w:val="single" w:color="auto" w:sz="4" w:space="0"/>
              <w:bottom w:val="single" w:color="auto" w:sz="4" w:space="0"/>
              <w:right w:val="single" w:color="auto" w:sz="4" w:space="0"/>
            </w:tcBorders>
            <w:noWrap w:val="0"/>
            <w:vAlign w:val="center"/>
          </w:tcPr>
          <w:p w14:paraId="6E724212">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【优】应用新技术、新工艺、新材料、新设备，针对项目实际提出先进、可行、具体的保证措施。超过招标文件的质量要求。</w:t>
            </w:r>
          </w:p>
          <w:p w14:paraId="6B328537">
            <w:pPr>
              <w:wordWrap w:val="0"/>
              <w:adjustRightInd w:val="0"/>
              <w:snapToGrid w:val="0"/>
              <w:spacing w:line="400" w:lineRule="exact"/>
              <w:rPr>
                <w:rFonts w:hint="eastAsia" w:ascii="宋体" w:hAnsi="宋体" w:eastAsia="宋体" w:cs="宋体"/>
                <w:b/>
                <w:bCs/>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【良】针对项目实际提出先进、可行、具体的保证措施。满足招标文件的质量要求。</w:t>
            </w:r>
          </w:p>
          <w:p w14:paraId="08819C90">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【中】具体措施可行。满足招标文件的质量要求。</w:t>
            </w:r>
          </w:p>
          <w:p w14:paraId="65A36042">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【差】措施不可行，没有质量违约责任承诺。</w:t>
            </w:r>
          </w:p>
        </w:tc>
      </w:tr>
      <w:tr w14:paraId="01336A82">
        <w:tblPrEx>
          <w:tblCellMar>
            <w:top w:w="0" w:type="dxa"/>
            <w:left w:w="108" w:type="dxa"/>
            <w:bottom w:w="0" w:type="dxa"/>
            <w:right w:w="108" w:type="dxa"/>
          </w:tblCellMar>
        </w:tblPrEx>
        <w:trPr>
          <w:trHeight w:val="546"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4FB86CA6">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施工</w:t>
            </w:r>
          </w:p>
          <w:p w14:paraId="178126E9">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技术措施</w:t>
            </w:r>
          </w:p>
          <w:p w14:paraId="23CA9E1E">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b w:val="0"/>
                <w:bCs w:val="0"/>
                <w:snapToGrid w:val="0"/>
                <w:color w:val="auto"/>
                <w:kern w:val="0"/>
                <w:sz w:val="24"/>
                <w:szCs w:val="24"/>
                <w:highlight w:val="none"/>
                <w:lang w:bidi="ar"/>
              </w:rPr>
              <w:t>（</w:t>
            </w:r>
            <w:r>
              <w:rPr>
                <w:rFonts w:hint="eastAsia" w:ascii="宋体" w:hAnsi="宋体" w:eastAsia="宋体" w:cs="宋体"/>
                <w:b w:val="0"/>
                <w:bCs w:val="0"/>
                <w:snapToGrid w:val="0"/>
                <w:color w:val="auto"/>
                <w:kern w:val="0"/>
                <w:sz w:val="24"/>
                <w:szCs w:val="24"/>
                <w:highlight w:val="none"/>
                <w:u w:val="single"/>
                <w:lang w:bidi="ar"/>
              </w:rPr>
              <w:t xml:space="preserve"> 2 </w:t>
            </w:r>
            <w:r>
              <w:rPr>
                <w:rFonts w:hint="eastAsia" w:ascii="宋体" w:hAnsi="宋体" w:eastAsia="宋体" w:cs="宋体"/>
                <w:b w:val="0"/>
                <w:bCs w:val="0"/>
                <w:snapToGrid w:val="0"/>
                <w:color w:val="auto"/>
                <w:kern w:val="0"/>
                <w:sz w:val="24"/>
                <w:szCs w:val="24"/>
                <w:highlight w:val="none"/>
                <w:lang w:bidi="ar"/>
              </w:rPr>
              <w:t>分）</w:t>
            </w:r>
          </w:p>
        </w:tc>
        <w:tc>
          <w:tcPr>
            <w:tcW w:w="3551" w:type="dxa"/>
            <w:tcBorders>
              <w:top w:val="single" w:color="auto" w:sz="4" w:space="0"/>
              <w:left w:val="single" w:color="auto" w:sz="4" w:space="0"/>
              <w:bottom w:val="single" w:color="auto" w:sz="4" w:space="0"/>
              <w:right w:val="single" w:color="auto" w:sz="4" w:space="0"/>
            </w:tcBorders>
            <w:noWrap w:val="0"/>
            <w:vAlign w:val="center"/>
          </w:tcPr>
          <w:p w14:paraId="454B220D">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【优】得该项评分因素分值的90%～100%（含90%）。</w:t>
            </w:r>
          </w:p>
          <w:p w14:paraId="429262BA">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【良】得该项评分因素分值的80%～90%（含80%）。</w:t>
            </w:r>
          </w:p>
          <w:p w14:paraId="1E42DBA8">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【中】得该项评分因素分值的70%～80%（含70%）。</w:t>
            </w:r>
          </w:p>
          <w:p w14:paraId="23CB6EC3">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【差】得该项评分因素分值的60%～70%（含60%）。</w:t>
            </w:r>
          </w:p>
        </w:tc>
        <w:tc>
          <w:tcPr>
            <w:tcW w:w="5104" w:type="dxa"/>
            <w:gridSpan w:val="2"/>
            <w:tcBorders>
              <w:top w:val="single" w:color="auto" w:sz="4" w:space="0"/>
              <w:left w:val="single" w:color="auto" w:sz="4" w:space="0"/>
              <w:bottom w:val="single" w:color="auto" w:sz="4" w:space="0"/>
              <w:right w:val="single" w:color="auto" w:sz="4" w:space="0"/>
            </w:tcBorders>
            <w:noWrap w:val="0"/>
            <w:vAlign w:val="center"/>
          </w:tcPr>
          <w:p w14:paraId="6DE4F994">
            <w:pPr>
              <w:wordWrap w:val="0"/>
              <w:adjustRightInd w:val="0"/>
              <w:snapToGrid w:val="0"/>
              <w:spacing w:line="332" w:lineRule="auto"/>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宋体" w:hAnsi="宋体" w:eastAsia="宋体" w:cs="宋体"/>
                <w:b/>
                <w:bCs/>
                <w:snapToGrid w:val="0"/>
                <w:color w:val="auto"/>
                <w:kern w:val="0"/>
                <w:sz w:val="24"/>
                <w:szCs w:val="24"/>
                <w:highlight w:val="none"/>
                <w:lang w:bidi="ar"/>
              </w:rPr>
              <w:t>经济赔偿合理。</w:t>
            </w:r>
          </w:p>
          <w:p w14:paraId="07375C4A">
            <w:pPr>
              <w:wordWrap w:val="0"/>
              <w:adjustRightInd w:val="0"/>
              <w:snapToGrid w:val="0"/>
              <w:spacing w:line="332" w:lineRule="auto"/>
              <w:rPr>
                <w:rFonts w:hint="eastAsia" w:ascii="宋体" w:hAnsi="宋体" w:eastAsia="宋体" w:cs="宋体"/>
                <w:b/>
                <w:bCs/>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宋体" w:hAnsi="宋体" w:eastAsia="宋体" w:cs="宋体"/>
                <w:b/>
                <w:bCs/>
                <w:snapToGrid w:val="0"/>
                <w:color w:val="auto"/>
                <w:kern w:val="0"/>
                <w:sz w:val="24"/>
                <w:szCs w:val="24"/>
                <w:highlight w:val="none"/>
                <w:lang w:bidi="ar"/>
              </w:rPr>
              <w:t>经济赔偿较合理。</w:t>
            </w:r>
          </w:p>
          <w:p w14:paraId="0FB3BB6E">
            <w:pPr>
              <w:wordWrap w:val="0"/>
              <w:adjustRightInd w:val="0"/>
              <w:snapToGrid w:val="0"/>
              <w:spacing w:line="332" w:lineRule="auto"/>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770F3BFF">
            <w:pPr>
              <w:wordWrap w:val="0"/>
              <w:adjustRightInd w:val="0"/>
              <w:snapToGrid w:val="0"/>
              <w:spacing w:line="332" w:lineRule="auto"/>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【差】对项目关键技术有表述，对重点、难点有建议，解决方案不可行。采用的新技术针对性不强或验证材料不可靠，对节约投资、工期没有具体收益。无违约责任承诺。</w:t>
            </w:r>
          </w:p>
        </w:tc>
      </w:tr>
      <w:tr w14:paraId="3F3A339C">
        <w:tblPrEx>
          <w:tblCellMar>
            <w:top w:w="0" w:type="dxa"/>
            <w:left w:w="108" w:type="dxa"/>
            <w:bottom w:w="0" w:type="dxa"/>
            <w:right w:w="108" w:type="dxa"/>
          </w:tblCellMar>
        </w:tblPrEx>
        <w:trPr>
          <w:trHeight w:val="457"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0F5420F1">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绿色施工、</w:t>
            </w:r>
          </w:p>
          <w:p w14:paraId="6ACDCEC9">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安全防护、</w:t>
            </w:r>
          </w:p>
          <w:p w14:paraId="54155A87">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文明施工</w:t>
            </w:r>
          </w:p>
          <w:p w14:paraId="4723A971">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措施计划</w:t>
            </w:r>
          </w:p>
          <w:p w14:paraId="02784507">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b w:val="0"/>
                <w:bCs w:val="0"/>
                <w:snapToGrid w:val="0"/>
                <w:color w:val="auto"/>
                <w:kern w:val="0"/>
                <w:sz w:val="24"/>
                <w:szCs w:val="24"/>
                <w:highlight w:val="none"/>
                <w:lang w:bidi="ar"/>
              </w:rPr>
              <w:t>（</w:t>
            </w:r>
            <w:r>
              <w:rPr>
                <w:rFonts w:hint="eastAsia" w:ascii="宋体" w:hAnsi="宋体" w:eastAsia="宋体" w:cs="宋体"/>
                <w:b w:val="0"/>
                <w:bCs w:val="0"/>
                <w:snapToGrid w:val="0"/>
                <w:color w:val="auto"/>
                <w:kern w:val="0"/>
                <w:sz w:val="24"/>
                <w:szCs w:val="24"/>
                <w:highlight w:val="none"/>
                <w:u w:val="single"/>
                <w:lang w:bidi="ar"/>
              </w:rPr>
              <w:t xml:space="preserve"> 3 </w:t>
            </w:r>
            <w:r>
              <w:rPr>
                <w:rFonts w:hint="eastAsia" w:ascii="宋体" w:hAnsi="宋体" w:eastAsia="宋体" w:cs="宋体"/>
                <w:b w:val="0"/>
                <w:bCs w:val="0"/>
                <w:snapToGrid w:val="0"/>
                <w:color w:val="auto"/>
                <w:kern w:val="0"/>
                <w:sz w:val="24"/>
                <w:szCs w:val="24"/>
                <w:highlight w:val="none"/>
                <w:lang w:bidi="ar"/>
              </w:rPr>
              <w:t>分）</w:t>
            </w:r>
          </w:p>
        </w:tc>
        <w:tc>
          <w:tcPr>
            <w:tcW w:w="3551" w:type="dxa"/>
            <w:tcBorders>
              <w:top w:val="single" w:color="auto" w:sz="4" w:space="0"/>
              <w:left w:val="single" w:color="auto" w:sz="4" w:space="0"/>
              <w:bottom w:val="single" w:color="auto" w:sz="4" w:space="0"/>
              <w:right w:val="single" w:color="auto" w:sz="4" w:space="0"/>
            </w:tcBorders>
            <w:noWrap w:val="0"/>
            <w:vAlign w:val="center"/>
          </w:tcPr>
          <w:p w14:paraId="5184570C">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【优】得该项评分因素分值的90%～100%（含90%）。</w:t>
            </w:r>
          </w:p>
          <w:p w14:paraId="3D90E617">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【良】得该项评分因素分值的80%～90%（含80%）。</w:t>
            </w:r>
          </w:p>
          <w:p w14:paraId="2C557A8F">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【中】得该项评分因素分值的70%～80%（含70%）。</w:t>
            </w:r>
          </w:p>
          <w:p w14:paraId="0DE8E33C">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【差】得该项评分因素分值的60%～70%（含60%）。</w:t>
            </w:r>
          </w:p>
        </w:tc>
        <w:tc>
          <w:tcPr>
            <w:tcW w:w="5104" w:type="dxa"/>
            <w:gridSpan w:val="2"/>
            <w:tcBorders>
              <w:top w:val="single" w:color="auto" w:sz="4" w:space="0"/>
              <w:left w:val="single" w:color="auto" w:sz="4" w:space="0"/>
              <w:bottom w:val="single" w:color="auto" w:sz="4" w:space="0"/>
              <w:right w:val="single" w:color="auto" w:sz="4" w:space="0"/>
            </w:tcBorders>
            <w:noWrap w:val="0"/>
            <w:vAlign w:val="center"/>
          </w:tcPr>
          <w:p w14:paraId="3EE3A49C">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【优】针对项目实际情况，有先进、具体、完整、可行的措施，采用规范准确、清晰。</w:t>
            </w:r>
          </w:p>
          <w:p w14:paraId="7CB0A056">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【良】针对项目实际情况，有合理的措施且具体、完整，采用规范准确。</w:t>
            </w:r>
          </w:p>
          <w:p w14:paraId="5C82CD7E">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【中】有基本合理的措施，采用规范准确。</w:t>
            </w:r>
          </w:p>
          <w:p w14:paraId="2956DDB0">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【差】措施不力，采用规范不正确。</w:t>
            </w:r>
          </w:p>
        </w:tc>
      </w:tr>
      <w:tr w14:paraId="7AB48601">
        <w:tblPrEx>
          <w:tblCellMar>
            <w:top w:w="0" w:type="dxa"/>
            <w:left w:w="108" w:type="dxa"/>
            <w:bottom w:w="0" w:type="dxa"/>
            <w:right w:w="108" w:type="dxa"/>
          </w:tblCellMar>
        </w:tblPrEx>
        <w:trPr>
          <w:trHeight w:val="457"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72A46FB4">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施工平面</w:t>
            </w:r>
          </w:p>
          <w:p w14:paraId="1B296A3C">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布置和临时设施布置</w:t>
            </w:r>
          </w:p>
          <w:p w14:paraId="26DDBB7E">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b w:val="0"/>
                <w:bCs w:val="0"/>
                <w:snapToGrid w:val="0"/>
                <w:color w:val="auto"/>
                <w:kern w:val="0"/>
                <w:sz w:val="24"/>
                <w:szCs w:val="24"/>
                <w:highlight w:val="none"/>
                <w:lang w:bidi="ar"/>
              </w:rPr>
              <w:t>（</w:t>
            </w:r>
            <w:r>
              <w:rPr>
                <w:rFonts w:hint="eastAsia" w:ascii="宋体" w:hAnsi="宋体" w:eastAsia="宋体" w:cs="宋体"/>
                <w:b w:val="0"/>
                <w:bCs w:val="0"/>
                <w:snapToGrid w:val="0"/>
                <w:color w:val="auto"/>
                <w:kern w:val="0"/>
                <w:sz w:val="24"/>
                <w:szCs w:val="24"/>
                <w:highlight w:val="none"/>
                <w:u w:val="single"/>
                <w:lang w:bidi="ar"/>
              </w:rPr>
              <w:t xml:space="preserve"> 2 </w:t>
            </w:r>
            <w:r>
              <w:rPr>
                <w:rFonts w:hint="eastAsia" w:ascii="宋体" w:hAnsi="宋体" w:eastAsia="宋体" w:cs="宋体"/>
                <w:b w:val="0"/>
                <w:bCs w:val="0"/>
                <w:snapToGrid w:val="0"/>
                <w:color w:val="auto"/>
                <w:kern w:val="0"/>
                <w:sz w:val="24"/>
                <w:szCs w:val="24"/>
                <w:highlight w:val="none"/>
                <w:lang w:bidi="ar"/>
              </w:rPr>
              <w:t>分）</w:t>
            </w:r>
          </w:p>
        </w:tc>
        <w:tc>
          <w:tcPr>
            <w:tcW w:w="3551" w:type="dxa"/>
            <w:tcBorders>
              <w:top w:val="single" w:color="auto" w:sz="4" w:space="0"/>
              <w:left w:val="single" w:color="auto" w:sz="4" w:space="0"/>
              <w:bottom w:val="single" w:color="auto" w:sz="4" w:space="0"/>
              <w:right w:val="single" w:color="auto" w:sz="4" w:space="0"/>
            </w:tcBorders>
            <w:noWrap w:val="0"/>
            <w:vAlign w:val="center"/>
          </w:tcPr>
          <w:p w14:paraId="79B43BE1">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【优】得该项评分因素分值的90%～100%（含90%）。</w:t>
            </w:r>
          </w:p>
          <w:p w14:paraId="6FE9C416">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【良】得该项评分因素分值的80%～90%（含80%）。</w:t>
            </w:r>
          </w:p>
          <w:p w14:paraId="2A4CDF50">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【中】得该项评分因素分值的70%～80%（含70%）。</w:t>
            </w:r>
          </w:p>
          <w:p w14:paraId="263598B3">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【差】得该项评分因素分值的60%～70%（含60%）。</w:t>
            </w:r>
          </w:p>
        </w:tc>
        <w:tc>
          <w:tcPr>
            <w:tcW w:w="5104" w:type="dxa"/>
            <w:gridSpan w:val="2"/>
            <w:tcBorders>
              <w:top w:val="single" w:color="auto" w:sz="4" w:space="0"/>
              <w:left w:val="single" w:color="auto" w:sz="4" w:space="0"/>
              <w:bottom w:val="single" w:color="auto" w:sz="4" w:space="0"/>
              <w:right w:val="single" w:color="auto" w:sz="4" w:space="0"/>
            </w:tcBorders>
            <w:noWrap w:val="0"/>
            <w:vAlign w:val="center"/>
          </w:tcPr>
          <w:p w14:paraId="627D4F73">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【优】总体布置有针对性、合理，较好满足施工需要，符合绿色施工、安全防护、文明施工要求。</w:t>
            </w:r>
          </w:p>
          <w:p w14:paraId="14701B8C">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【良】总体布置合理，能满足施工需要，基本符合绿色施工、安全防护、文明施工要求。</w:t>
            </w:r>
          </w:p>
          <w:p w14:paraId="6FFAD7FC">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【中】总体布置基本合理，基本满足施工需要。</w:t>
            </w:r>
          </w:p>
          <w:p w14:paraId="7BF9662D">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【差】总体布置不合理，不符合绿色施工、安全防护、文明施工要求。</w:t>
            </w:r>
          </w:p>
        </w:tc>
      </w:tr>
      <w:tr w14:paraId="407CF2CF">
        <w:tblPrEx>
          <w:tblCellMar>
            <w:top w:w="0" w:type="dxa"/>
            <w:left w:w="108" w:type="dxa"/>
            <w:bottom w:w="0" w:type="dxa"/>
            <w:right w:w="108" w:type="dxa"/>
          </w:tblCellMar>
        </w:tblPrEx>
        <w:trPr>
          <w:trHeight w:val="7875"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387B10DB">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项目</w:t>
            </w:r>
          </w:p>
          <w:p w14:paraId="2788CABB">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管理机构</w:t>
            </w:r>
          </w:p>
          <w:p w14:paraId="399FC0F9">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b w:val="0"/>
                <w:bCs w:val="0"/>
                <w:snapToGrid w:val="0"/>
                <w:color w:val="auto"/>
                <w:kern w:val="0"/>
                <w:sz w:val="24"/>
                <w:szCs w:val="24"/>
                <w:highlight w:val="none"/>
                <w:lang w:bidi="ar"/>
              </w:rPr>
              <w:t>（</w:t>
            </w:r>
            <w:r>
              <w:rPr>
                <w:rFonts w:hint="eastAsia" w:ascii="宋体" w:hAnsi="宋体" w:eastAsia="宋体" w:cs="宋体"/>
                <w:b w:val="0"/>
                <w:bCs w:val="0"/>
                <w:snapToGrid w:val="0"/>
                <w:color w:val="auto"/>
                <w:kern w:val="0"/>
                <w:sz w:val="24"/>
                <w:szCs w:val="24"/>
                <w:highlight w:val="none"/>
                <w:u w:val="single"/>
                <w:lang w:bidi="ar"/>
              </w:rPr>
              <w:t xml:space="preserve"> 3 </w:t>
            </w:r>
            <w:r>
              <w:rPr>
                <w:rFonts w:hint="eastAsia" w:ascii="宋体" w:hAnsi="宋体" w:eastAsia="宋体" w:cs="宋体"/>
                <w:b w:val="0"/>
                <w:bCs w:val="0"/>
                <w:snapToGrid w:val="0"/>
                <w:color w:val="auto"/>
                <w:kern w:val="0"/>
                <w:sz w:val="24"/>
                <w:szCs w:val="24"/>
                <w:highlight w:val="none"/>
                <w:lang w:bidi="ar"/>
              </w:rPr>
              <w:t>分）</w:t>
            </w:r>
          </w:p>
        </w:tc>
        <w:tc>
          <w:tcPr>
            <w:tcW w:w="3551" w:type="dxa"/>
            <w:tcBorders>
              <w:top w:val="single" w:color="auto" w:sz="4" w:space="0"/>
              <w:left w:val="single" w:color="auto" w:sz="4" w:space="0"/>
              <w:bottom w:val="single" w:color="auto" w:sz="4" w:space="0"/>
              <w:right w:val="single" w:color="auto" w:sz="4" w:space="0"/>
            </w:tcBorders>
            <w:noWrap w:val="0"/>
            <w:vAlign w:val="center"/>
          </w:tcPr>
          <w:p w14:paraId="21089BA6">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【优】得该项评分因素分值的90%～100%（含90%）。</w:t>
            </w:r>
          </w:p>
          <w:p w14:paraId="113BE705">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【良】得该项评分因素分值的80%～90%（含80%）。</w:t>
            </w:r>
          </w:p>
          <w:p w14:paraId="7055062C">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【中】得该项评分因素分值的70%～80%（含70%）。</w:t>
            </w:r>
          </w:p>
          <w:p w14:paraId="7629F977">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【差】得该项评分因素分值的60%～70%（含60%）。</w:t>
            </w:r>
          </w:p>
        </w:tc>
        <w:tc>
          <w:tcPr>
            <w:tcW w:w="5104" w:type="dxa"/>
            <w:gridSpan w:val="2"/>
            <w:tcBorders>
              <w:top w:val="single" w:color="auto" w:sz="4" w:space="0"/>
              <w:left w:val="single" w:color="auto" w:sz="4" w:space="0"/>
              <w:bottom w:val="single" w:color="auto" w:sz="4" w:space="0"/>
              <w:right w:val="single" w:color="auto" w:sz="4" w:space="0"/>
            </w:tcBorders>
            <w:noWrap w:val="0"/>
            <w:vAlign w:val="center"/>
          </w:tcPr>
          <w:p w14:paraId="2679910C">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【优】组织机构形式合理，有完善的指挥系统，生产及质量、绿色施工、安全、文明施工、创优达标监控系统、联络协调系统，项目管理人员内高级职称人员20%（含20%）以上、中级职称人员</w:t>
            </w:r>
            <w:r>
              <w:rPr>
                <w:rFonts w:hint="eastAsia" w:ascii="宋体" w:hAnsi="宋体" w:eastAsia="宋体" w:cs="宋体"/>
                <w:b/>
                <w:bCs/>
                <w:snapToGrid w:val="0"/>
                <w:color w:val="auto"/>
                <w:kern w:val="0"/>
                <w:sz w:val="24"/>
                <w:szCs w:val="24"/>
                <w:highlight w:val="none"/>
                <w:lang w:bidi="ar"/>
              </w:rPr>
              <w:t>及以上职称</w:t>
            </w:r>
            <w:r>
              <w:rPr>
                <w:rFonts w:hint="eastAsia" w:ascii="宋体" w:hAnsi="宋体" w:eastAsia="宋体" w:cs="宋体"/>
                <w:snapToGrid w:val="0"/>
                <w:color w:val="auto"/>
                <w:kern w:val="0"/>
                <w:sz w:val="24"/>
                <w:szCs w:val="24"/>
                <w:highlight w:val="none"/>
                <w:lang w:bidi="ar"/>
              </w:rPr>
              <w:t>60%（含60%）以上。</w:t>
            </w:r>
          </w:p>
          <w:p w14:paraId="18E8F29E">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【良】组织机构形式合理，指挥系统，生产及质量、绿色施工、安全、文明施工、创优达标监控系统、联络协调系统齐全，项目管理人员内高级职称人员15%～20%（含15%）、中级职称</w:t>
            </w:r>
            <w:r>
              <w:rPr>
                <w:rFonts w:hint="eastAsia" w:ascii="宋体" w:hAnsi="宋体" w:eastAsia="宋体" w:cs="宋体"/>
                <w:b/>
                <w:bCs/>
                <w:snapToGrid w:val="0"/>
                <w:color w:val="auto"/>
                <w:kern w:val="0"/>
                <w:sz w:val="24"/>
                <w:szCs w:val="24"/>
                <w:highlight w:val="none"/>
                <w:lang w:bidi="ar"/>
              </w:rPr>
              <w:t>及以上职称</w:t>
            </w:r>
            <w:r>
              <w:rPr>
                <w:rFonts w:hint="eastAsia" w:ascii="宋体" w:hAnsi="宋体" w:eastAsia="宋体" w:cs="宋体"/>
                <w:snapToGrid w:val="0"/>
                <w:color w:val="auto"/>
                <w:kern w:val="0"/>
                <w:sz w:val="24"/>
                <w:szCs w:val="24"/>
                <w:highlight w:val="none"/>
                <w:lang w:bidi="ar"/>
              </w:rPr>
              <w:t>人员50%～60%（含50%）。</w:t>
            </w:r>
          </w:p>
          <w:p w14:paraId="4D062CC2">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【中】组织机构形式基本合理，有指挥系统，生产及质量、绿色施工、安全、文明施工、创优达标监控系统、联络协调系统，项目管理人员内高级职称人员10%～15%（含10%）、中级职称人员</w:t>
            </w:r>
            <w:r>
              <w:rPr>
                <w:rFonts w:hint="eastAsia" w:ascii="宋体" w:hAnsi="宋体" w:eastAsia="宋体" w:cs="宋体"/>
                <w:b/>
                <w:bCs/>
                <w:snapToGrid w:val="0"/>
                <w:color w:val="auto"/>
                <w:kern w:val="0"/>
                <w:sz w:val="24"/>
                <w:szCs w:val="24"/>
                <w:highlight w:val="none"/>
                <w:lang w:bidi="ar"/>
              </w:rPr>
              <w:t>及以上职称</w:t>
            </w:r>
            <w:r>
              <w:rPr>
                <w:rFonts w:hint="eastAsia" w:ascii="宋体" w:hAnsi="宋体" w:eastAsia="宋体" w:cs="宋体"/>
                <w:snapToGrid w:val="0"/>
                <w:color w:val="auto"/>
                <w:kern w:val="0"/>
                <w:sz w:val="24"/>
                <w:szCs w:val="24"/>
                <w:highlight w:val="none"/>
                <w:lang w:bidi="ar"/>
              </w:rPr>
              <w:t>40%～50%（含40%）。</w:t>
            </w:r>
          </w:p>
          <w:p w14:paraId="0B97680B">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【差】组织机构形式合理，指挥系统，生产及质量、绿色施工、安全、文明施工、创优达标监控系统、联络协调系统不齐全，项目管理人员内高级职称人员10%以下、中级职称人员</w:t>
            </w:r>
            <w:r>
              <w:rPr>
                <w:rFonts w:hint="eastAsia" w:ascii="宋体" w:hAnsi="宋体" w:eastAsia="宋体" w:cs="宋体"/>
                <w:b/>
                <w:bCs/>
                <w:snapToGrid w:val="0"/>
                <w:color w:val="auto"/>
                <w:kern w:val="0"/>
                <w:sz w:val="24"/>
                <w:szCs w:val="24"/>
                <w:highlight w:val="none"/>
                <w:lang w:bidi="ar"/>
              </w:rPr>
              <w:t>及以上职称</w:t>
            </w:r>
            <w:r>
              <w:rPr>
                <w:rFonts w:hint="eastAsia" w:ascii="宋体" w:hAnsi="宋体" w:eastAsia="宋体" w:cs="宋体"/>
                <w:snapToGrid w:val="0"/>
                <w:color w:val="auto"/>
                <w:kern w:val="0"/>
                <w:sz w:val="24"/>
                <w:szCs w:val="24"/>
                <w:highlight w:val="none"/>
                <w:lang w:bidi="ar"/>
              </w:rPr>
              <w:t>40%以下。</w:t>
            </w:r>
          </w:p>
        </w:tc>
      </w:tr>
      <w:tr w14:paraId="16E4BC7B">
        <w:tblPrEx>
          <w:tblCellMar>
            <w:top w:w="0" w:type="dxa"/>
            <w:left w:w="108" w:type="dxa"/>
            <w:bottom w:w="0" w:type="dxa"/>
            <w:right w:w="108" w:type="dxa"/>
          </w:tblCellMar>
        </w:tblPrEx>
        <w:trPr>
          <w:trHeight w:val="624" w:hRule="exact"/>
          <w:jc w:val="center"/>
        </w:trPr>
        <w:tc>
          <w:tcPr>
            <w:tcW w:w="10191"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3C936535">
            <w:pPr>
              <w:wordWrap w:val="0"/>
              <w:adjustRightInd w:val="0"/>
              <w:snapToGrid w:val="0"/>
              <w:spacing w:line="400" w:lineRule="exact"/>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投标报价部分，满分：100分。</w:t>
            </w:r>
          </w:p>
        </w:tc>
      </w:tr>
      <w:tr w14:paraId="59A6E4D2">
        <w:tblPrEx>
          <w:tblCellMar>
            <w:top w:w="0" w:type="dxa"/>
            <w:left w:w="108" w:type="dxa"/>
            <w:bottom w:w="0" w:type="dxa"/>
            <w:right w:w="108" w:type="dxa"/>
          </w:tblCellMar>
        </w:tblPrEx>
        <w:trPr>
          <w:trHeight w:val="632"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3C9E69CB">
            <w:pPr>
              <w:wordWrap w:val="0"/>
              <w:adjustRightInd w:val="0"/>
              <w:snapToGrid w:val="0"/>
              <w:spacing w:line="44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评分事项</w:t>
            </w:r>
          </w:p>
        </w:tc>
        <w:tc>
          <w:tcPr>
            <w:tcW w:w="8655" w:type="dxa"/>
            <w:gridSpan w:val="3"/>
            <w:tcBorders>
              <w:top w:val="single" w:color="auto" w:sz="4" w:space="0"/>
              <w:left w:val="single" w:color="auto" w:sz="4" w:space="0"/>
              <w:bottom w:val="single" w:color="auto" w:sz="4" w:space="0"/>
              <w:right w:val="single" w:color="auto" w:sz="4" w:space="0"/>
            </w:tcBorders>
            <w:noWrap w:val="0"/>
            <w:vAlign w:val="center"/>
          </w:tcPr>
          <w:p w14:paraId="4E3F478B">
            <w:pPr>
              <w:wordWrap w:val="0"/>
              <w:adjustRightInd w:val="0"/>
              <w:snapToGrid w:val="0"/>
              <w:spacing w:line="440" w:lineRule="exact"/>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评分方法</w:t>
            </w:r>
          </w:p>
        </w:tc>
      </w:tr>
      <w:tr w14:paraId="0E7C16DB">
        <w:tblPrEx>
          <w:tblCellMar>
            <w:top w:w="0" w:type="dxa"/>
            <w:left w:w="108" w:type="dxa"/>
            <w:bottom w:w="0" w:type="dxa"/>
            <w:right w:w="108" w:type="dxa"/>
          </w:tblCellMar>
        </w:tblPrEx>
        <w:trPr>
          <w:trHeight w:val="1103"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254E0AC5">
            <w:pPr>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评标基准价D</w:t>
            </w:r>
          </w:p>
        </w:tc>
        <w:tc>
          <w:tcPr>
            <w:tcW w:w="8655" w:type="dxa"/>
            <w:gridSpan w:val="3"/>
            <w:tcBorders>
              <w:top w:val="single" w:color="auto" w:sz="4" w:space="0"/>
              <w:left w:val="single" w:color="auto" w:sz="4" w:space="0"/>
              <w:bottom w:val="single" w:color="auto" w:sz="4" w:space="0"/>
              <w:right w:val="single" w:color="auto" w:sz="4" w:space="0"/>
            </w:tcBorders>
            <w:noWrap w:val="0"/>
            <w:vAlign w:val="center"/>
          </w:tcPr>
          <w:p w14:paraId="2A560709">
            <w:pPr>
              <w:numPr>
                <w:ilvl w:val="0"/>
                <w:numId w:val="1"/>
              </w:numPr>
              <w:wordWrap w:val="0"/>
              <w:adjustRightInd w:val="0"/>
              <w:snapToGrid w:val="0"/>
              <w:spacing w:line="400" w:lineRule="exact"/>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确定</w:t>
            </w:r>
            <w:r>
              <w:rPr>
                <w:rFonts w:hint="eastAsia" w:ascii="宋体" w:hAnsi="宋体" w:eastAsia="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下浮系数n：用1～21号球分别代表一个下浮系数，由评委代表从这21个号码中随机抽取</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次，每次抽取1个号码，抽出的号球不参与下次抽取。所抽取的3个号码对应下浮系数的算术平均值作为</w:t>
            </w:r>
            <w:r>
              <w:rPr>
                <w:rFonts w:hint="eastAsia" w:ascii="宋体" w:hAnsi="宋体" w:eastAsia="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下浮系数n。具体号码对应的下浮系数详见下表：</w:t>
            </w:r>
          </w:p>
          <w:p w14:paraId="66954565">
            <w:pPr>
              <w:rPr>
                <w:rFonts w:hint="eastAsia" w:ascii="宋体" w:hAnsi="宋体" w:eastAsia="宋体" w:cs="宋体"/>
                <w:b/>
                <w:color w:val="auto"/>
                <w:sz w:val="24"/>
                <w:szCs w:val="24"/>
                <w:highlight w:val="none"/>
              </w:rPr>
            </w:pPr>
          </w:p>
          <w:tbl>
            <w:tblPr>
              <w:tblStyle w:val="14"/>
              <w:tblW w:w="0" w:type="auto"/>
              <w:tblInd w:w="113" w:type="dxa"/>
              <w:tblLayout w:type="fixed"/>
              <w:tblCellMar>
                <w:top w:w="0" w:type="dxa"/>
                <w:left w:w="108" w:type="dxa"/>
                <w:bottom w:w="0" w:type="dxa"/>
                <w:right w:w="108" w:type="dxa"/>
              </w:tblCellMar>
            </w:tblPr>
            <w:tblGrid>
              <w:gridCol w:w="1602"/>
              <w:gridCol w:w="868"/>
              <w:gridCol w:w="908"/>
              <w:gridCol w:w="945"/>
              <w:gridCol w:w="927"/>
              <w:gridCol w:w="964"/>
              <w:gridCol w:w="906"/>
              <w:gridCol w:w="895"/>
            </w:tblGrid>
            <w:tr w14:paraId="63C4E1A7">
              <w:tblPrEx>
                <w:tblCellMar>
                  <w:top w:w="0" w:type="dxa"/>
                  <w:left w:w="108" w:type="dxa"/>
                  <w:bottom w:w="0" w:type="dxa"/>
                  <w:right w:w="108" w:type="dxa"/>
                </w:tblCellMar>
              </w:tblPrEx>
              <w:trPr>
                <w:trHeight w:val="399" w:hRule="atLeast"/>
              </w:trPr>
              <w:tc>
                <w:tcPr>
                  <w:tcW w:w="1602" w:type="dxa"/>
                  <w:tcBorders>
                    <w:top w:val="single" w:color="000000" w:sz="4" w:space="0"/>
                    <w:left w:val="single" w:color="000000" w:sz="4" w:space="0"/>
                    <w:bottom w:val="single" w:color="000000" w:sz="4" w:space="0"/>
                    <w:right w:val="single" w:color="000000" w:sz="4" w:space="0"/>
                  </w:tcBorders>
                  <w:noWrap w:val="0"/>
                  <w:vAlign w:val="center"/>
                </w:tcPr>
                <w:p w14:paraId="179346CF">
                  <w:pPr>
                    <w:wordWrap w:val="0"/>
                    <w:adjustRightInd w:val="0"/>
                    <w:snapToGrid w:val="0"/>
                    <w:spacing w:line="400" w:lineRule="exact"/>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号球</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14:paraId="0FF5635D">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908" w:type="dxa"/>
                  <w:tcBorders>
                    <w:top w:val="single" w:color="000000" w:sz="4" w:space="0"/>
                    <w:left w:val="single" w:color="000000" w:sz="4" w:space="0"/>
                    <w:bottom w:val="single" w:color="000000" w:sz="4" w:space="0"/>
                    <w:right w:val="single" w:color="000000" w:sz="4" w:space="0"/>
                  </w:tcBorders>
                  <w:noWrap w:val="0"/>
                  <w:vAlign w:val="center"/>
                </w:tcPr>
                <w:p w14:paraId="661B6FAC">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5DB9C7C">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63058D48">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1B410EA8">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F93D136">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7BB8037D">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r>
            <w:tr w14:paraId="6224CFD5">
              <w:tblPrEx>
                <w:tblCellMar>
                  <w:top w:w="0" w:type="dxa"/>
                  <w:left w:w="108" w:type="dxa"/>
                  <w:bottom w:w="0" w:type="dxa"/>
                  <w:right w:w="108" w:type="dxa"/>
                </w:tblCellMar>
              </w:tblPrEx>
              <w:trPr>
                <w:trHeight w:val="569" w:hRule="atLeast"/>
              </w:trPr>
              <w:tc>
                <w:tcPr>
                  <w:tcW w:w="1602" w:type="dxa"/>
                  <w:tcBorders>
                    <w:top w:val="single" w:color="000000" w:sz="4" w:space="0"/>
                    <w:left w:val="single" w:color="000000" w:sz="4" w:space="0"/>
                    <w:bottom w:val="single" w:color="000000" w:sz="4" w:space="0"/>
                    <w:right w:val="single" w:color="000000" w:sz="4" w:space="0"/>
                  </w:tcBorders>
                  <w:noWrap w:val="0"/>
                  <w:vAlign w:val="center"/>
                </w:tcPr>
                <w:p w14:paraId="650EB1E9">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14:paraId="04E0876D">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908" w:type="dxa"/>
                  <w:tcBorders>
                    <w:top w:val="single" w:color="000000" w:sz="4" w:space="0"/>
                    <w:left w:val="single" w:color="000000" w:sz="4" w:space="0"/>
                    <w:bottom w:val="single" w:color="000000" w:sz="4" w:space="0"/>
                    <w:right w:val="single" w:color="000000" w:sz="4" w:space="0"/>
                  </w:tcBorders>
                  <w:noWrap w:val="0"/>
                  <w:vAlign w:val="center"/>
                </w:tcPr>
                <w:p w14:paraId="3A3A3293">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E986906">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DDA1494">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481635FD">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C70D13C">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6920D8B0">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w:t>
                  </w:r>
                </w:p>
              </w:tc>
            </w:tr>
            <w:tr w14:paraId="42CCA071">
              <w:tblPrEx>
                <w:tblCellMar>
                  <w:top w:w="0" w:type="dxa"/>
                  <w:left w:w="108" w:type="dxa"/>
                  <w:bottom w:w="0" w:type="dxa"/>
                  <w:right w:w="108" w:type="dxa"/>
                </w:tblCellMar>
              </w:tblPrEx>
              <w:trPr>
                <w:trHeight w:val="510" w:hRule="atLeast"/>
              </w:trPr>
              <w:tc>
                <w:tcPr>
                  <w:tcW w:w="1602" w:type="dxa"/>
                  <w:tcBorders>
                    <w:top w:val="single" w:color="000000" w:sz="4" w:space="0"/>
                    <w:left w:val="single" w:color="000000" w:sz="4" w:space="0"/>
                    <w:bottom w:val="single" w:color="000000" w:sz="4" w:space="0"/>
                    <w:right w:val="single" w:color="000000" w:sz="4" w:space="0"/>
                  </w:tcBorders>
                  <w:noWrap w:val="0"/>
                  <w:vAlign w:val="center"/>
                </w:tcPr>
                <w:p w14:paraId="2AEABC3B">
                  <w:pPr>
                    <w:wordWrap w:val="0"/>
                    <w:adjustRightInd w:val="0"/>
                    <w:snapToGrid w:val="0"/>
                    <w:spacing w:line="400" w:lineRule="exact"/>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号球</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14:paraId="34C00EE7">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908" w:type="dxa"/>
                  <w:tcBorders>
                    <w:top w:val="single" w:color="000000" w:sz="4" w:space="0"/>
                    <w:left w:val="single" w:color="000000" w:sz="4" w:space="0"/>
                    <w:bottom w:val="single" w:color="000000" w:sz="4" w:space="0"/>
                    <w:right w:val="single" w:color="000000" w:sz="4" w:space="0"/>
                  </w:tcBorders>
                  <w:noWrap w:val="0"/>
                  <w:vAlign w:val="center"/>
                </w:tcPr>
                <w:p w14:paraId="18CE1609">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206B1097">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DA5C71E">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14592503">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1566BF03">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122AE8D1">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r>
            <w:tr w14:paraId="7A1E1FEF">
              <w:tblPrEx>
                <w:tblCellMar>
                  <w:top w:w="0" w:type="dxa"/>
                  <w:left w:w="108" w:type="dxa"/>
                  <w:bottom w:w="0" w:type="dxa"/>
                  <w:right w:w="108" w:type="dxa"/>
                </w:tblCellMar>
              </w:tblPrEx>
              <w:trPr>
                <w:trHeight w:val="510" w:hRule="atLeast"/>
              </w:trPr>
              <w:tc>
                <w:tcPr>
                  <w:tcW w:w="1602" w:type="dxa"/>
                  <w:tcBorders>
                    <w:top w:val="single" w:color="000000" w:sz="4" w:space="0"/>
                    <w:left w:val="single" w:color="000000" w:sz="4" w:space="0"/>
                    <w:bottom w:val="single" w:color="000000" w:sz="4" w:space="0"/>
                    <w:right w:val="single" w:color="000000" w:sz="4" w:space="0"/>
                  </w:tcBorders>
                  <w:noWrap w:val="0"/>
                  <w:vAlign w:val="center"/>
                </w:tcPr>
                <w:p w14:paraId="7ECE1042">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14:paraId="6EA5D324">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w:t>
                  </w:r>
                </w:p>
              </w:tc>
              <w:tc>
                <w:tcPr>
                  <w:tcW w:w="908" w:type="dxa"/>
                  <w:tcBorders>
                    <w:top w:val="single" w:color="000000" w:sz="4" w:space="0"/>
                    <w:left w:val="single" w:color="000000" w:sz="4" w:space="0"/>
                    <w:bottom w:val="single" w:color="000000" w:sz="4" w:space="0"/>
                    <w:right w:val="single" w:color="000000" w:sz="4" w:space="0"/>
                  </w:tcBorders>
                  <w:noWrap w:val="0"/>
                  <w:vAlign w:val="center"/>
                </w:tcPr>
                <w:p w14:paraId="23F2F885">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4348F4CD">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2B432C22">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4F4E15B0">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4500812">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3C833590">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2.3</w:t>
                  </w:r>
                </w:p>
              </w:tc>
            </w:tr>
            <w:tr w14:paraId="6B8DCD74">
              <w:tblPrEx>
                <w:tblCellMar>
                  <w:top w:w="0" w:type="dxa"/>
                  <w:left w:w="108" w:type="dxa"/>
                  <w:bottom w:w="0" w:type="dxa"/>
                  <w:right w:w="108" w:type="dxa"/>
                </w:tblCellMar>
              </w:tblPrEx>
              <w:trPr>
                <w:trHeight w:val="467" w:hRule="atLeast"/>
              </w:trPr>
              <w:tc>
                <w:tcPr>
                  <w:tcW w:w="1602" w:type="dxa"/>
                  <w:tcBorders>
                    <w:top w:val="single" w:color="000000" w:sz="4" w:space="0"/>
                    <w:left w:val="single" w:color="000000" w:sz="4" w:space="0"/>
                    <w:bottom w:val="single" w:color="000000" w:sz="4" w:space="0"/>
                    <w:right w:val="single" w:color="000000" w:sz="4" w:space="0"/>
                  </w:tcBorders>
                  <w:noWrap w:val="0"/>
                  <w:vAlign w:val="center"/>
                </w:tcPr>
                <w:p w14:paraId="0881B7AC">
                  <w:pPr>
                    <w:wordWrap w:val="0"/>
                    <w:adjustRightInd w:val="0"/>
                    <w:snapToGrid w:val="0"/>
                    <w:spacing w:line="400" w:lineRule="exact"/>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号球</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14:paraId="44178E37">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w:t>
                  </w:r>
                </w:p>
              </w:tc>
              <w:tc>
                <w:tcPr>
                  <w:tcW w:w="908" w:type="dxa"/>
                  <w:tcBorders>
                    <w:top w:val="single" w:color="000000" w:sz="4" w:space="0"/>
                    <w:left w:val="single" w:color="000000" w:sz="4" w:space="0"/>
                    <w:bottom w:val="single" w:color="000000" w:sz="4" w:space="0"/>
                    <w:right w:val="single" w:color="000000" w:sz="4" w:space="0"/>
                  </w:tcBorders>
                  <w:noWrap w:val="0"/>
                  <w:vAlign w:val="center"/>
                </w:tcPr>
                <w:p w14:paraId="62EBF0B5">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45F885AA">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C203572">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272B2972">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39D33D4A">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30FBB383">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r>
            <w:tr w14:paraId="349382AB">
              <w:tblPrEx>
                <w:tblCellMar>
                  <w:top w:w="0" w:type="dxa"/>
                  <w:left w:w="108" w:type="dxa"/>
                  <w:bottom w:w="0" w:type="dxa"/>
                  <w:right w:w="108" w:type="dxa"/>
                </w:tblCellMar>
              </w:tblPrEx>
              <w:trPr>
                <w:trHeight w:val="603" w:hRule="atLeast"/>
              </w:trPr>
              <w:tc>
                <w:tcPr>
                  <w:tcW w:w="1602" w:type="dxa"/>
                  <w:tcBorders>
                    <w:top w:val="single" w:color="000000" w:sz="4" w:space="0"/>
                    <w:left w:val="single" w:color="000000" w:sz="4" w:space="0"/>
                    <w:bottom w:val="single" w:color="000000" w:sz="4" w:space="0"/>
                    <w:right w:val="single" w:color="000000" w:sz="4" w:space="0"/>
                  </w:tcBorders>
                  <w:noWrap w:val="0"/>
                  <w:vAlign w:val="center"/>
                </w:tcPr>
                <w:p w14:paraId="7FB68BC2">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14:paraId="7BEE8DFC">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2.4</w:t>
                  </w:r>
                </w:p>
              </w:tc>
              <w:tc>
                <w:tcPr>
                  <w:tcW w:w="908" w:type="dxa"/>
                  <w:tcBorders>
                    <w:top w:val="single" w:color="000000" w:sz="4" w:space="0"/>
                    <w:left w:val="single" w:color="000000" w:sz="4" w:space="0"/>
                    <w:bottom w:val="single" w:color="000000" w:sz="4" w:space="0"/>
                    <w:right w:val="single" w:color="000000" w:sz="4" w:space="0"/>
                  </w:tcBorders>
                  <w:noWrap w:val="0"/>
                  <w:vAlign w:val="center"/>
                </w:tcPr>
                <w:p w14:paraId="6CDABEE7">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2.5</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61FA841">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2.6</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7BD622A">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2.7</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597CC0FC">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2.8</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4DBA4F65">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2.9</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321B8F89">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3.0</w:t>
                  </w:r>
                </w:p>
              </w:tc>
            </w:tr>
          </w:tbl>
          <w:p w14:paraId="429F8F3A">
            <w:pPr>
              <w:wordWrap w:val="0"/>
              <w:adjustRightInd w:val="0"/>
              <w:snapToGrid w:val="0"/>
              <w:spacing w:line="400" w:lineRule="exact"/>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（2）评标基准价D＝</w:t>
            </w:r>
            <w:r>
              <w:rPr>
                <w:rFonts w:hint="eastAsia" w:ascii="宋体" w:hAnsi="宋体" w:eastAsia="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×（1－n）</w:t>
            </w:r>
          </w:p>
        </w:tc>
      </w:tr>
      <w:tr w14:paraId="36EF3239">
        <w:tblPrEx>
          <w:tblCellMar>
            <w:top w:w="0" w:type="dxa"/>
            <w:left w:w="108" w:type="dxa"/>
            <w:bottom w:w="0" w:type="dxa"/>
            <w:right w:w="108" w:type="dxa"/>
          </w:tblCellMar>
        </w:tblPrEx>
        <w:trPr>
          <w:trHeight w:val="2419" w:hRule="atLeast"/>
          <w:jc w:val="center"/>
        </w:trPr>
        <w:tc>
          <w:tcPr>
            <w:tcW w:w="1536" w:type="dxa"/>
            <w:tcBorders>
              <w:top w:val="single" w:color="auto" w:sz="4" w:space="0"/>
              <w:left w:val="single" w:color="auto" w:sz="4" w:space="0"/>
              <w:bottom w:val="single" w:color="auto" w:sz="4" w:space="0"/>
              <w:right w:val="single" w:color="auto" w:sz="4" w:space="0"/>
            </w:tcBorders>
            <w:noWrap w:val="0"/>
            <w:vAlign w:val="center"/>
          </w:tcPr>
          <w:p w14:paraId="42973285">
            <w:pPr>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p>
          <w:p w14:paraId="28F51CBB">
            <w:pPr>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得分N</w:t>
            </w:r>
          </w:p>
        </w:tc>
        <w:tc>
          <w:tcPr>
            <w:tcW w:w="8655" w:type="dxa"/>
            <w:gridSpan w:val="3"/>
            <w:tcBorders>
              <w:top w:val="single" w:color="auto" w:sz="4" w:space="0"/>
              <w:left w:val="single" w:color="auto" w:sz="4" w:space="0"/>
              <w:bottom w:val="single" w:color="auto" w:sz="4" w:space="0"/>
              <w:right w:val="single" w:color="auto" w:sz="4" w:space="0"/>
            </w:tcBorders>
            <w:noWrap w:val="0"/>
            <w:vAlign w:val="center"/>
          </w:tcPr>
          <w:p w14:paraId="7A9B5AE2">
            <w:pPr>
              <w:wordWrap w:val="0"/>
              <w:adjustRightInd w:val="0"/>
              <w:snapToGrid w:val="0"/>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采用内插法计算某投标人的投标报价得分N，即当投标人的投标总价等于评标基准价时得100分，每高于评标基准价一个百分点扣1分，每低于评标基准价一个百分点扣0.5分，扣完为止。公式如下：</w:t>
            </w:r>
          </w:p>
          <w:p w14:paraId="343CD885">
            <w:pPr>
              <w:wordWrap w:val="0"/>
              <w:adjustRightInd w:val="0"/>
              <w:snapToGrid w:val="0"/>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N＝100－（| Di－D | ÷D）×100×E</w:t>
            </w:r>
          </w:p>
          <w:p w14:paraId="4609D54E">
            <w:pP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式中：D为评标基准价；Di为某投标人的投标总价；E为扣分因子，当Di＞D时，E＝1 ；当Di＜D时，E＝0.5。</w:t>
            </w:r>
          </w:p>
        </w:tc>
      </w:tr>
    </w:tbl>
    <w:p w14:paraId="4AE0AD9E">
      <w:pPr>
        <w:spacing w:before="155" w:line="211" w:lineRule="auto"/>
        <w:ind w:firstLine="470" w:firstLineChars="200"/>
        <w:outlineLvl w:val="9"/>
        <w:rPr>
          <w:rFonts w:hint="eastAsia" w:ascii="宋体" w:hAnsi="宋体" w:eastAsia="宋体" w:cs="宋体"/>
          <w:color w:val="auto"/>
          <w:sz w:val="25"/>
          <w:szCs w:val="25"/>
          <w:highlight w:val="none"/>
        </w:rPr>
      </w:pPr>
      <w:bookmarkStart w:id="132" w:name="_Toc17436"/>
      <w:bookmarkStart w:id="133" w:name="_Toc5769"/>
      <w:bookmarkStart w:id="134" w:name="_Toc31744"/>
      <w:bookmarkStart w:id="135" w:name="_Toc9725"/>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6</w:t>
      </w:r>
      <w:r>
        <w:rPr>
          <w:rFonts w:hint="eastAsia" w:ascii="宋体" w:hAnsi="宋体" w:eastAsia="宋体" w:cs="宋体"/>
          <w:b/>
          <w:bCs/>
          <w:color w:val="auto"/>
          <w:spacing w:val="-3"/>
          <w:sz w:val="24"/>
          <w:szCs w:val="24"/>
          <w:highlight w:val="none"/>
        </w:rPr>
        <w:t xml:space="preserve">.2  </w:t>
      </w:r>
      <w:r>
        <w:rPr>
          <w:rFonts w:hint="eastAsia" w:ascii="宋体" w:hAnsi="宋体" w:eastAsia="宋体" w:cs="宋体"/>
          <w:color w:val="auto"/>
          <w:spacing w:val="-3"/>
          <w:sz w:val="24"/>
          <w:szCs w:val="24"/>
          <w:highlight w:val="none"/>
        </w:rPr>
        <w:t>否决投标说明</w:t>
      </w:r>
      <w:bookmarkEnd w:id="132"/>
      <w:bookmarkEnd w:id="133"/>
      <w:bookmarkEnd w:id="134"/>
      <w:bookmarkEnd w:id="135"/>
    </w:p>
    <w:p w14:paraId="2CABFAC0">
      <w:pPr>
        <w:spacing w:before="150" w:line="332" w:lineRule="auto"/>
        <w:ind w:left="10" w:right="195" w:firstLine="564"/>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详细评审阶段否决投标的全部条件，在本章第四节“否决投标条件 ”第1条至第4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6E6F1943">
      <w:pPr>
        <w:spacing w:before="59" w:line="330" w:lineRule="auto"/>
        <w:ind w:left="10" w:right="195" w:firstLine="48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注：投标人在详细评审阶段根据评分方法提供的佐证材料，其合法性、有效性和准确性不符合要求的，有关量化因素（或评分因素）的折算、调整（或评分）按相应</w:t>
      </w:r>
      <w:r>
        <w:rPr>
          <w:rFonts w:hint="eastAsia" w:ascii="宋体" w:hAnsi="宋体" w:eastAsia="宋体" w:cs="宋体"/>
          <w:b/>
          <w:bCs/>
          <w:color w:val="auto"/>
          <w:spacing w:val="-3"/>
          <w:sz w:val="24"/>
          <w:szCs w:val="24"/>
          <w:highlight w:val="none"/>
        </w:rPr>
        <w:t>量化标准（或评分标准）处理，但不否决投标。</w:t>
      </w:r>
    </w:p>
    <w:p w14:paraId="1BA93DB8">
      <w:pPr>
        <w:pStyle w:val="2"/>
        <w:keepNext w:val="0"/>
        <w:keepLines w:val="0"/>
        <w:pageBreakBefore w:val="0"/>
        <w:widowControl w:val="0"/>
        <w:kinsoku/>
        <w:wordWrap w:val="0"/>
        <w:overflowPunct/>
        <w:topLinePunct w:val="0"/>
        <w:autoSpaceDE/>
        <w:autoSpaceDN/>
        <w:bidi w:val="0"/>
        <w:adjustRightInd/>
        <w:snapToGrid/>
        <w:spacing w:before="0" w:beforeLines="0" w:after="0" w:afterLines="0" w:line="440" w:lineRule="exact"/>
        <w:ind w:firstLine="480"/>
        <w:jc w:val="both"/>
        <w:textAlignment w:val="auto"/>
        <w:rPr>
          <w:rFonts w:hint="eastAsia" w:ascii="宋体" w:hAnsi="宋体" w:eastAsia="宋体" w:cs="宋体"/>
          <w:b/>
          <w:snapToGrid w:val="0"/>
          <w:color w:val="auto"/>
          <w:sz w:val="24"/>
          <w:szCs w:val="24"/>
          <w:highlight w:val="none"/>
        </w:rPr>
      </w:pPr>
      <w:bookmarkStart w:id="136" w:name="bookmark137"/>
      <w:bookmarkEnd w:id="136"/>
      <w:bookmarkStart w:id="137" w:name="bookmark138"/>
      <w:bookmarkEnd w:id="137"/>
      <w:bookmarkStart w:id="138" w:name="_Toc13897"/>
      <w:bookmarkStart w:id="139" w:name="_Toc18711"/>
      <w:bookmarkStart w:id="140" w:name="_Toc19232"/>
      <w:bookmarkStart w:id="141" w:name="_Toc2769"/>
      <w:bookmarkStart w:id="142" w:name="_Toc7762"/>
      <w:bookmarkStart w:id="143" w:name="_Toc10900"/>
      <w:bookmarkStart w:id="144" w:name="_Toc32569"/>
      <w:r>
        <w:rPr>
          <w:rFonts w:hint="eastAsia" w:ascii="宋体" w:hAnsi="宋体" w:eastAsia="宋体" w:cs="宋体"/>
          <w:b/>
          <w:snapToGrid w:val="0"/>
          <w:color w:val="auto"/>
          <w:sz w:val="24"/>
          <w:szCs w:val="24"/>
          <w:highlight w:val="none"/>
        </w:rPr>
        <w:t>16．</w:t>
      </w:r>
      <w:bookmarkEnd w:id="138"/>
      <w:bookmarkEnd w:id="139"/>
      <w:bookmarkEnd w:id="140"/>
      <w:bookmarkEnd w:id="141"/>
      <w:bookmarkEnd w:id="142"/>
      <w:r>
        <w:rPr>
          <w:rFonts w:hint="eastAsia" w:ascii="宋体" w:hAnsi="宋体" w:eastAsia="宋体" w:cs="宋体"/>
          <w:b/>
          <w:snapToGrid w:val="0"/>
          <w:color w:val="auto"/>
          <w:sz w:val="24"/>
          <w:szCs w:val="24"/>
          <w:highlight w:val="none"/>
          <w:lang w:eastAsia="zh-CN"/>
        </w:rPr>
        <w:t>评标结果公示</w:t>
      </w:r>
      <w:bookmarkEnd w:id="143"/>
      <w:bookmarkEnd w:id="144"/>
    </w:p>
    <w:p w14:paraId="366E76DB">
      <w:pPr>
        <w:keepNext w:val="0"/>
        <w:keepLines w:val="0"/>
        <w:pageBreakBefore w:val="0"/>
        <w:widowControl w:val="0"/>
        <w:kinsoku/>
        <w:wordWrap w:val="0"/>
        <w:overflowPunct/>
        <w:topLinePunct w:val="0"/>
        <w:autoSpaceDE/>
        <w:autoSpaceDN/>
        <w:bidi w:val="0"/>
        <w:adjustRightInd/>
        <w:snapToGrid/>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16.1</w:t>
      </w:r>
      <w:r>
        <w:rPr>
          <w:rFonts w:hint="eastAsia" w:ascii="宋体" w:hAnsi="宋体" w:eastAsia="宋体" w:cs="宋体"/>
          <w:snapToGrid w:val="0"/>
          <w:color w:val="auto"/>
          <w:kern w:val="0"/>
          <w:sz w:val="24"/>
          <w:szCs w:val="24"/>
          <w:highlight w:val="none"/>
        </w:rPr>
        <w:t xml:space="preserve"> 评标委员会按照</w:t>
      </w:r>
      <w:r>
        <w:rPr>
          <w:rFonts w:hint="eastAsia" w:ascii="宋体" w:hAnsi="宋体" w:eastAsia="宋体" w:cs="宋体"/>
          <w:snapToGrid w:val="0"/>
          <w:color w:val="auto"/>
          <w:kern w:val="0"/>
          <w:sz w:val="24"/>
          <w:szCs w:val="24"/>
          <w:highlight w:val="none"/>
          <w:lang w:eastAsia="zh-CN"/>
        </w:rPr>
        <w:t>投标人</w:t>
      </w:r>
      <w:r>
        <w:rPr>
          <w:rFonts w:hint="eastAsia" w:ascii="宋体" w:hAnsi="宋体" w:eastAsia="宋体" w:cs="宋体"/>
          <w:snapToGrid w:val="0"/>
          <w:color w:val="auto"/>
          <w:kern w:val="0"/>
          <w:sz w:val="24"/>
          <w:szCs w:val="24"/>
          <w:highlight w:val="none"/>
        </w:rPr>
        <w:t>评审综合总得分</w:t>
      </w:r>
      <w:r>
        <w:rPr>
          <w:rFonts w:hint="eastAsia" w:ascii="宋体" w:hAnsi="宋体" w:eastAsia="宋体" w:cs="宋体"/>
          <w:snapToGrid w:val="0"/>
          <w:color w:val="auto"/>
          <w:kern w:val="0"/>
          <w:sz w:val="24"/>
          <w:szCs w:val="24"/>
          <w:highlight w:val="none"/>
          <w:lang w:eastAsia="zh-CN"/>
        </w:rPr>
        <w:t>由</w:t>
      </w:r>
      <w:r>
        <w:rPr>
          <w:rFonts w:hint="eastAsia" w:ascii="宋体" w:hAnsi="宋体" w:eastAsia="宋体" w:cs="宋体"/>
          <w:snapToGrid w:val="0"/>
          <w:color w:val="auto"/>
          <w:kern w:val="0"/>
          <w:sz w:val="24"/>
          <w:szCs w:val="24"/>
          <w:highlight w:val="none"/>
        </w:rPr>
        <w:t>高</w:t>
      </w:r>
      <w:r>
        <w:rPr>
          <w:rFonts w:hint="eastAsia" w:ascii="宋体" w:hAnsi="宋体" w:eastAsia="宋体" w:cs="宋体"/>
          <w:snapToGrid w:val="0"/>
          <w:color w:val="auto"/>
          <w:kern w:val="0"/>
          <w:sz w:val="24"/>
          <w:szCs w:val="24"/>
          <w:highlight w:val="none"/>
          <w:lang w:eastAsia="zh-CN"/>
        </w:rPr>
        <w:t>到</w:t>
      </w:r>
      <w:r>
        <w:rPr>
          <w:rFonts w:hint="eastAsia" w:ascii="宋体" w:hAnsi="宋体" w:eastAsia="宋体" w:cs="宋体"/>
          <w:snapToGrid w:val="0"/>
          <w:color w:val="auto"/>
          <w:kern w:val="0"/>
          <w:sz w:val="24"/>
          <w:szCs w:val="24"/>
          <w:highlight w:val="none"/>
        </w:rPr>
        <w:t>低的</w:t>
      </w:r>
      <w:r>
        <w:rPr>
          <w:rFonts w:hint="eastAsia" w:ascii="宋体" w:hAnsi="宋体" w:eastAsia="宋体" w:cs="宋体"/>
          <w:snapToGrid w:val="0"/>
          <w:color w:val="auto"/>
          <w:kern w:val="0"/>
          <w:sz w:val="24"/>
          <w:szCs w:val="24"/>
          <w:highlight w:val="none"/>
          <w:lang w:eastAsia="zh-CN"/>
        </w:rPr>
        <w:t>原则</w:t>
      </w:r>
      <w:r>
        <w:rPr>
          <w:rFonts w:hint="eastAsia" w:ascii="宋体" w:hAnsi="宋体" w:eastAsia="宋体" w:cs="宋体"/>
          <w:snapToGrid w:val="0"/>
          <w:color w:val="auto"/>
          <w:kern w:val="0"/>
          <w:sz w:val="24"/>
          <w:szCs w:val="24"/>
          <w:highlight w:val="none"/>
        </w:rPr>
        <w:t>,向招标人推荐</w:t>
      </w:r>
      <w:r>
        <w:rPr>
          <w:rFonts w:hint="eastAsia" w:ascii="宋体" w:hAnsi="宋体" w:eastAsia="宋体" w:cs="宋体"/>
          <w:snapToGrid w:val="0"/>
          <w:color w:val="auto"/>
          <w:kern w:val="0"/>
          <w:sz w:val="24"/>
          <w:szCs w:val="24"/>
          <w:highlight w:val="none"/>
          <w:lang w:val="en-US" w:eastAsia="zh-CN"/>
        </w:rPr>
        <w:t>已明确的</w:t>
      </w:r>
      <w:r>
        <w:rPr>
          <w:rFonts w:hint="eastAsia" w:ascii="宋体" w:hAnsi="宋体" w:eastAsia="宋体" w:cs="宋体"/>
          <w:snapToGrid w:val="0"/>
          <w:color w:val="auto"/>
          <w:kern w:val="0"/>
          <w:sz w:val="24"/>
          <w:szCs w:val="24"/>
          <w:highlight w:val="none"/>
        </w:rPr>
        <w:t>定标候选人</w:t>
      </w:r>
      <w:r>
        <w:rPr>
          <w:rFonts w:hint="eastAsia" w:ascii="宋体" w:hAnsi="宋体" w:eastAsia="宋体" w:cs="宋体"/>
          <w:snapToGrid w:val="0"/>
          <w:color w:val="auto"/>
          <w:kern w:val="0"/>
          <w:sz w:val="24"/>
          <w:szCs w:val="24"/>
          <w:highlight w:val="none"/>
          <w:lang w:eastAsia="zh-CN"/>
        </w:rPr>
        <w:t>数量</w:t>
      </w:r>
      <w:r>
        <w:rPr>
          <w:rFonts w:hint="eastAsia" w:ascii="宋体" w:hAnsi="宋体" w:eastAsia="宋体" w:cs="宋体"/>
          <w:snapToGrid w:val="0"/>
          <w:color w:val="auto"/>
          <w:kern w:val="0"/>
          <w:sz w:val="24"/>
          <w:szCs w:val="24"/>
          <w:highlight w:val="none"/>
        </w:rPr>
        <w:t>（不</w:t>
      </w:r>
      <w:r>
        <w:rPr>
          <w:rFonts w:hint="eastAsia" w:ascii="宋体" w:hAnsi="宋体" w:eastAsia="宋体" w:cs="宋体"/>
          <w:snapToGrid w:val="0"/>
          <w:color w:val="auto"/>
          <w:kern w:val="0"/>
          <w:sz w:val="24"/>
          <w:szCs w:val="24"/>
          <w:highlight w:val="none"/>
          <w:lang w:val="en-US" w:eastAsia="zh-CN"/>
        </w:rPr>
        <w:t>标明</w:t>
      </w:r>
      <w:r>
        <w:rPr>
          <w:rFonts w:hint="eastAsia" w:ascii="宋体" w:hAnsi="宋体" w:eastAsia="宋体" w:cs="宋体"/>
          <w:snapToGrid w:val="0"/>
          <w:color w:val="auto"/>
          <w:kern w:val="0"/>
          <w:sz w:val="24"/>
          <w:szCs w:val="24"/>
          <w:highlight w:val="none"/>
        </w:rPr>
        <w:t>排序）</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评标委员会推荐定标候选人后，</w:t>
      </w:r>
      <w:r>
        <w:rPr>
          <w:rFonts w:hint="eastAsia" w:ascii="宋体" w:hAnsi="宋体" w:eastAsia="宋体" w:cs="宋体"/>
          <w:snapToGrid w:val="0"/>
          <w:color w:val="auto"/>
          <w:kern w:val="0"/>
          <w:sz w:val="24"/>
          <w:szCs w:val="24"/>
          <w:highlight w:val="none"/>
        </w:rPr>
        <w:t>招标人应</w:t>
      </w:r>
      <w:r>
        <w:rPr>
          <w:rFonts w:hint="eastAsia" w:ascii="宋体" w:hAnsi="宋体" w:eastAsia="宋体" w:cs="宋体"/>
          <w:snapToGrid w:val="0"/>
          <w:color w:val="auto"/>
          <w:kern w:val="0"/>
          <w:sz w:val="24"/>
          <w:szCs w:val="24"/>
          <w:highlight w:val="none"/>
          <w:lang w:eastAsia="zh-CN"/>
        </w:rPr>
        <w:t>于评标会结束后</w:t>
      </w:r>
      <w:r>
        <w:rPr>
          <w:rFonts w:hint="eastAsia" w:ascii="宋体" w:hAnsi="宋体" w:eastAsia="宋体" w:cs="宋体"/>
          <w:snapToGrid w:val="0"/>
          <w:color w:val="auto"/>
          <w:kern w:val="0"/>
          <w:sz w:val="24"/>
          <w:szCs w:val="24"/>
          <w:highlight w:val="none"/>
          <w:lang w:val="en-US" w:eastAsia="zh-CN"/>
        </w:rPr>
        <w:t>3个工作日内将</w:t>
      </w:r>
      <w:r>
        <w:rPr>
          <w:rFonts w:hint="eastAsia" w:ascii="宋体" w:hAnsi="宋体" w:eastAsia="宋体" w:cs="宋体"/>
          <w:snapToGrid w:val="0"/>
          <w:color w:val="auto"/>
          <w:kern w:val="0"/>
          <w:sz w:val="24"/>
          <w:szCs w:val="24"/>
          <w:highlight w:val="none"/>
          <w:lang w:eastAsia="zh-CN"/>
        </w:rPr>
        <w:t>定</w:t>
      </w:r>
      <w:r>
        <w:rPr>
          <w:rFonts w:hint="eastAsia" w:ascii="宋体" w:hAnsi="宋体" w:eastAsia="宋体" w:cs="宋体"/>
          <w:snapToGrid w:val="0"/>
          <w:color w:val="auto"/>
          <w:kern w:val="0"/>
          <w:sz w:val="24"/>
          <w:szCs w:val="24"/>
          <w:highlight w:val="none"/>
        </w:rPr>
        <w:t>标候选</w:t>
      </w:r>
      <w:r>
        <w:rPr>
          <w:rFonts w:hint="eastAsia" w:ascii="宋体" w:hAnsi="宋体" w:eastAsia="宋体" w:cs="宋体"/>
          <w:snapToGrid w:val="0"/>
          <w:color w:val="auto"/>
          <w:kern w:val="0"/>
          <w:sz w:val="24"/>
          <w:szCs w:val="24"/>
          <w:highlight w:val="none"/>
          <w:lang w:eastAsia="zh-CN"/>
        </w:rPr>
        <w:t>人和评标情况</w:t>
      </w:r>
      <w:r>
        <w:rPr>
          <w:rFonts w:hint="eastAsia" w:ascii="宋体" w:hAnsi="宋体" w:eastAsia="宋体" w:cs="宋体"/>
          <w:snapToGrid w:val="0"/>
          <w:color w:val="auto"/>
          <w:kern w:val="0"/>
          <w:sz w:val="24"/>
          <w:szCs w:val="24"/>
          <w:highlight w:val="none"/>
          <w:lang w:val="en-US" w:eastAsia="zh-CN"/>
        </w:rPr>
        <w:t>在广东省招标投标监管网和</w:t>
      </w:r>
      <w:r>
        <w:rPr>
          <w:rFonts w:hint="eastAsia" w:ascii="宋体" w:hAnsi="宋体" w:eastAsia="宋体" w:cs="宋体"/>
          <w:snapToGrid w:val="0"/>
          <w:color w:val="auto"/>
          <w:kern w:val="0"/>
          <w:sz w:val="24"/>
          <w:szCs w:val="24"/>
          <w:highlight w:val="none"/>
        </w:rPr>
        <w:t>全国公共资源交易平台（广东省·韶关市）</w:t>
      </w:r>
      <w:r>
        <w:rPr>
          <w:rFonts w:hint="eastAsia" w:ascii="宋体" w:hAnsi="宋体" w:eastAsia="宋体" w:cs="宋体"/>
          <w:snapToGrid w:val="0"/>
          <w:color w:val="auto"/>
          <w:kern w:val="0"/>
          <w:sz w:val="24"/>
          <w:szCs w:val="24"/>
          <w:highlight w:val="none"/>
          <w:lang w:eastAsia="zh-CN"/>
        </w:rPr>
        <w:t>系统</w:t>
      </w:r>
      <w:r>
        <w:rPr>
          <w:rFonts w:hint="eastAsia" w:ascii="宋体" w:hAnsi="宋体" w:eastAsia="宋体" w:cs="宋体"/>
          <w:snapToGrid w:val="0"/>
          <w:color w:val="auto"/>
          <w:kern w:val="0"/>
          <w:sz w:val="24"/>
          <w:szCs w:val="24"/>
          <w:highlight w:val="none"/>
          <w:lang w:val="en-US" w:eastAsia="zh-CN"/>
        </w:rPr>
        <w:t>上</w:t>
      </w:r>
      <w:r>
        <w:rPr>
          <w:rFonts w:hint="eastAsia" w:ascii="宋体" w:hAnsi="宋体" w:eastAsia="宋体" w:cs="宋体"/>
          <w:snapToGrid w:val="0"/>
          <w:color w:val="auto"/>
          <w:kern w:val="0"/>
          <w:sz w:val="24"/>
          <w:szCs w:val="24"/>
          <w:highlight w:val="none"/>
        </w:rPr>
        <w:t>公示</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公示时间不少于3日。</w:t>
      </w:r>
      <w:r>
        <w:rPr>
          <w:rFonts w:hint="eastAsia" w:ascii="宋体" w:hAnsi="宋体" w:eastAsia="宋体" w:cs="宋体"/>
          <w:snapToGrid w:val="0"/>
          <w:color w:val="auto"/>
          <w:kern w:val="0"/>
          <w:sz w:val="24"/>
          <w:szCs w:val="24"/>
          <w:highlight w:val="none"/>
          <w:lang w:eastAsia="zh-CN"/>
        </w:rPr>
        <w:t>公示主要内容包括：（</w:t>
      </w:r>
      <w:r>
        <w:rPr>
          <w:rFonts w:hint="eastAsia" w:ascii="宋体" w:hAnsi="宋体" w:eastAsia="宋体" w:cs="宋体"/>
          <w:snapToGrid w:val="0"/>
          <w:color w:val="auto"/>
          <w:kern w:val="0"/>
          <w:sz w:val="24"/>
          <w:szCs w:val="24"/>
          <w:highlight w:val="none"/>
          <w:lang w:val="en-US" w:eastAsia="zh-CN"/>
        </w:rPr>
        <w:t>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27532291">
      <w:pPr>
        <w:spacing w:before="78" w:line="220" w:lineRule="auto"/>
        <w:jc w:val="both"/>
        <w:outlineLvl w:val="1"/>
        <w:rPr>
          <w:rFonts w:hint="eastAsia" w:ascii="宋体" w:hAnsi="宋体" w:eastAsia="宋体" w:cs="宋体"/>
          <w:b/>
          <w:bCs/>
          <w:color w:val="auto"/>
          <w:spacing w:val="-3"/>
          <w:sz w:val="24"/>
          <w:szCs w:val="24"/>
          <w:highlight w:val="none"/>
        </w:rPr>
      </w:pPr>
    </w:p>
    <w:p w14:paraId="08B7BA68">
      <w:pPr>
        <w:spacing w:before="78" w:line="220" w:lineRule="auto"/>
        <w:jc w:val="both"/>
        <w:outlineLvl w:val="1"/>
        <w:rPr>
          <w:rFonts w:hint="eastAsia" w:ascii="宋体" w:hAnsi="宋体" w:eastAsia="宋体" w:cs="宋体"/>
          <w:b/>
          <w:bCs/>
          <w:color w:val="auto"/>
          <w:spacing w:val="-3"/>
          <w:sz w:val="24"/>
          <w:szCs w:val="24"/>
          <w:highlight w:val="none"/>
        </w:rPr>
      </w:pPr>
    </w:p>
    <w:p w14:paraId="56018D44">
      <w:pPr>
        <w:rPr>
          <w:rFonts w:hint="eastAsia" w:ascii="宋体" w:hAnsi="宋体" w:eastAsia="宋体" w:cs="宋体"/>
          <w:b/>
          <w:bCs/>
          <w:color w:val="auto"/>
          <w:spacing w:val="-3"/>
          <w:sz w:val="24"/>
          <w:szCs w:val="24"/>
          <w:highlight w:val="none"/>
        </w:rPr>
      </w:pPr>
      <w:bookmarkStart w:id="145" w:name="_Toc16554"/>
      <w:r>
        <w:rPr>
          <w:rFonts w:hint="eastAsia" w:ascii="宋体" w:hAnsi="宋体" w:eastAsia="宋体" w:cs="宋体"/>
          <w:b/>
          <w:bCs/>
          <w:color w:val="auto"/>
          <w:spacing w:val="-3"/>
          <w:sz w:val="24"/>
          <w:szCs w:val="24"/>
          <w:highlight w:val="none"/>
        </w:rPr>
        <w:br w:type="page"/>
      </w:r>
    </w:p>
    <w:p w14:paraId="160BDA6A">
      <w:pPr>
        <w:spacing w:before="78" w:line="220" w:lineRule="auto"/>
        <w:ind w:left="9"/>
        <w:jc w:val="center"/>
        <w:outlineLvl w:val="1"/>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第四节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否决投标条件</w:t>
      </w:r>
      <w:bookmarkEnd w:id="145"/>
    </w:p>
    <w:p w14:paraId="650254CF">
      <w:pPr>
        <w:pStyle w:val="5"/>
        <w:spacing w:line="256" w:lineRule="auto"/>
        <w:rPr>
          <w:rFonts w:hint="eastAsia" w:ascii="宋体" w:hAnsi="宋体" w:eastAsia="宋体" w:cs="宋体"/>
          <w:color w:val="auto"/>
          <w:highlight w:val="none"/>
        </w:rPr>
      </w:pPr>
    </w:p>
    <w:p w14:paraId="44970DDD">
      <w:pPr>
        <w:spacing w:before="78" w:line="330" w:lineRule="auto"/>
        <w:ind w:left="10" w:right="65" w:firstLine="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本节所集中列示的否决投标条件，是本章第三节“投标人须知正文</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3"/>
          <w:sz w:val="24"/>
          <w:szCs w:val="24"/>
          <w:highlight w:val="none"/>
        </w:rPr>
        <w:t>”的组成部分，</w:t>
      </w:r>
      <w:r>
        <w:rPr>
          <w:rFonts w:hint="eastAsia" w:ascii="宋体" w:hAnsi="宋体" w:eastAsia="宋体" w:cs="宋体"/>
          <w:color w:val="auto"/>
          <w:spacing w:val="-2"/>
          <w:sz w:val="24"/>
          <w:szCs w:val="24"/>
          <w:highlight w:val="none"/>
        </w:rPr>
        <w:t>是对本章第三节所规定的否决投标条件的总</w:t>
      </w:r>
      <w:r>
        <w:rPr>
          <w:rFonts w:hint="eastAsia" w:ascii="宋体" w:hAnsi="宋体" w:eastAsia="宋体" w:cs="宋体"/>
          <w:color w:val="auto"/>
          <w:spacing w:val="-3"/>
          <w:sz w:val="24"/>
          <w:szCs w:val="24"/>
          <w:highlight w:val="none"/>
        </w:rPr>
        <w:t>结和补充。</w:t>
      </w:r>
      <w:r>
        <w:rPr>
          <w:rFonts w:hint="eastAsia" w:ascii="宋体" w:hAnsi="宋体" w:eastAsia="宋体" w:cs="宋体"/>
          <w:b/>
          <w:bCs/>
          <w:color w:val="auto"/>
          <w:spacing w:val="-3"/>
          <w:sz w:val="24"/>
          <w:szCs w:val="24"/>
          <w:highlight w:val="none"/>
        </w:rPr>
        <w:t>投标人未有列入本节情形的，评</w:t>
      </w:r>
      <w:r>
        <w:rPr>
          <w:rFonts w:hint="eastAsia" w:ascii="宋体" w:hAnsi="宋体" w:eastAsia="宋体" w:cs="宋体"/>
          <w:b/>
          <w:bCs/>
          <w:color w:val="auto"/>
          <w:spacing w:val="-2"/>
          <w:sz w:val="24"/>
          <w:szCs w:val="24"/>
          <w:highlight w:val="none"/>
        </w:rPr>
        <w:t>标时一律不得否决其投标。</w:t>
      </w:r>
      <w:r>
        <w:rPr>
          <w:rFonts w:hint="eastAsia" w:ascii="宋体" w:hAnsi="宋体" w:eastAsia="宋体" w:cs="宋体"/>
          <w:color w:val="auto"/>
          <w:spacing w:val="-2"/>
          <w:sz w:val="24"/>
          <w:szCs w:val="24"/>
          <w:highlight w:val="none"/>
        </w:rPr>
        <w:t>本节所称“规定</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”均指招标文件的规</w:t>
      </w:r>
      <w:r>
        <w:rPr>
          <w:rFonts w:hint="eastAsia" w:ascii="宋体" w:hAnsi="宋体" w:eastAsia="宋体" w:cs="宋体"/>
          <w:color w:val="auto"/>
          <w:spacing w:val="-3"/>
          <w:sz w:val="24"/>
          <w:szCs w:val="24"/>
          <w:highlight w:val="none"/>
        </w:rPr>
        <w:t>定。</w:t>
      </w:r>
    </w:p>
    <w:p w14:paraId="2D360D7E">
      <w:pPr>
        <w:spacing w:before="34" w:line="220" w:lineRule="auto"/>
        <w:ind w:left="495"/>
        <w:outlineLvl w:val="2"/>
        <w:rPr>
          <w:rFonts w:hint="eastAsia" w:ascii="宋体" w:hAnsi="宋体" w:eastAsia="宋体" w:cs="宋体"/>
          <w:color w:val="auto"/>
          <w:sz w:val="24"/>
          <w:szCs w:val="24"/>
          <w:highlight w:val="none"/>
        </w:rPr>
      </w:pPr>
      <w:bookmarkStart w:id="146" w:name="_Toc15082"/>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．资格评审环节</w:t>
      </w:r>
      <w:bookmarkEnd w:id="146"/>
    </w:p>
    <w:p w14:paraId="7887F646">
      <w:pPr>
        <w:spacing w:before="150" w:line="280" w:lineRule="auto"/>
        <w:ind w:right="200" w:firstLine="492"/>
        <w:rPr>
          <w:rFonts w:hint="eastAsia" w:ascii="宋体" w:hAnsi="宋体" w:eastAsia="宋体" w:cs="宋体"/>
          <w:color w:val="auto"/>
          <w:spacing w:val="-3"/>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投标人有下列情形之一的，评标委员会应否决其投标。被否决的投标人，不进入形</w:t>
      </w:r>
      <w:r>
        <w:rPr>
          <w:rFonts w:hint="eastAsia" w:ascii="宋体" w:hAnsi="宋体" w:eastAsia="宋体" w:cs="宋体"/>
          <w:color w:val="auto"/>
          <w:spacing w:val="-3"/>
          <w:sz w:val="24"/>
          <w:szCs w:val="24"/>
          <w:highlight w:val="none"/>
        </w:rPr>
        <w:t>式评审环节。</w:t>
      </w:r>
    </w:p>
    <w:p w14:paraId="4B1CDF54">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（1）有本章第三节第 2.4 条“禁止投标条款 ”规定的任何一种情形；</w:t>
      </w:r>
    </w:p>
    <w:p w14:paraId="38FC01A0">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（2）投标人资质不符合规定的；</w:t>
      </w:r>
    </w:p>
    <w:p w14:paraId="3BCBABAC">
      <w:pPr>
        <w:keepNext w:val="0"/>
        <w:keepLines w:val="0"/>
        <w:pageBreakBefore w:val="0"/>
        <w:widowControl/>
        <w:kinsoku w:val="0"/>
        <w:wordWrap w:val="0"/>
        <w:overflowPunct/>
        <w:topLinePunct w:val="0"/>
        <w:autoSpaceDE w:val="0"/>
        <w:autoSpaceDN w:val="0"/>
        <w:bidi w:val="0"/>
        <w:adjustRightInd w:val="0"/>
        <w:snapToGrid w:val="0"/>
        <w:spacing w:line="360" w:lineRule="auto"/>
        <w:ind w:right="198"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1C2F5DFA">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02616320">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240" w:firstLineChars="1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（4）拟派项目经理、项目技术负责人、专职安全员的条件不符合规定的；拟派专职安全员数量不符合规定的；项目技术负责人未在投标文件《项目技术负责人简历表》中签字确认。</w:t>
      </w:r>
    </w:p>
    <w:p w14:paraId="7F4F6EF6">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温馨提示：建造师打印电子证书后，应在个人签名处手写本人签名，未手写签名或与签名图像笔迹不一致的，该电子证书无效。</w:t>
      </w:r>
    </w:p>
    <w:p w14:paraId="3E9BD975">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项目经理简历表》中拟派项目经理与《开标一览表》不一致的；拟派的项目经理未在投标文件《项目经理简历表》中签字确认；一级建造师的注册证书不是国家住建部颁发的；建造师的注册单位与投标人不一致的；项目管理班子组成人员的各类证书、证件、证明不在有效期内的（建造师注册证书不在使用有效期内的）；擅自修改、遗漏《项目经理任职声明》实质性内容的；</w:t>
      </w:r>
    </w:p>
    <w:p w14:paraId="7CBAF8AB">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注：投标人已经工商变更，但其员工执业资格注册证书的注册单位名称未完成变更的，不得否决其投标。</w:t>
      </w:r>
    </w:p>
    <w:p w14:paraId="0D9FC747">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鉴于目前继续教育开展的实际情况，建筑和市政工程施工现场专业人员（例如：施工员、质量员、材料员、资料员）的岗位证书或培训证书不审查其证书的有效期。</w:t>
      </w:r>
    </w:p>
    <w:p w14:paraId="1B41C297">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（6）招标文件规定不接受联合体投标，但以联合体投标的；</w:t>
      </w:r>
    </w:p>
    <w:p w14:paraId="26587B28">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）投标人为外省建筑企业，但未提供“进粤企业和人员诚信信息登记平台 ”企业和拟派人员信息情况打印页或网页截图的。</w:t>
      </w:r>
    </w:p>
    <w:p w14:paraId="728AD188">
      <w:pPr>
        <w:spacing w:before="154" w:line="221" w:lineRule="auto"/>
        <w:ind w:left="477"/>
        <w:outlineLvl w:val="2"/>
        <w:rPr>
          <w:rFonts w:hint="eastAsia" w:ascii="宋体" w:hAnsi="宋体" w:eastAsia="宋体" w:cs="宋体"/>
          <w:color w:val="auto"/>
          <w:sz w:val="24"/>
          <w:szCs w:val="24"/>
          <w:highlight w:val="none"/>
        </w:rPr>
      </w:pPr>
      <w:bookmarkStart w:id="147" w:name="_Toc5925"/>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．形式评审环节</w:t>
      </w:r>
      <w:bookmarkEnd w:id="147"/>
    </w:p>
    <w:p w14:paraId="073F3509">
      <w:pPr>
        <w:keepNext w:val="0"/>
        <w:keepLines w:val="0"/>
        <w:pageBreakBefore w:val="0"/>
        <w:widowControl/>
        <w:kinsoku w:val="0"/>
        <w:wordWrap/>
        <w:overflowPunct/>
        <w:topLinePunct w:val="0"/>
        <w:autoSpaceDE w:val="0"/>
        <w:autoSpaceDN w:val="0"/>
        <w:bidi w:val="0"/>
        <w:adjustRightInd w:val="0"/>
        <w:snapToGrid w:val="0"/>
        <w:spacing w:line="360" w:lineRule="auto"/>
        <w:ind w:right="20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投标人有下列情形之一的，评标委员会应否决其投标。被否决的投标人，不进入响应性评审环节。</w:t>
      </w:r>
    </w:p>
    <w:p w14:paraId="7C92FA90">
      <w:pPr>
        <w:keepNext w:val="0"/>
        <w:keepLines w:val="0"/>
        <w:pageBreakBefore w:val="0"/>
        <w:widowControl/>
        <w:kinsoku w:val="0"/>
        <w:wordWrap/>
        <w:overflowPunct/>
        <w:topLinePunct w:val="0"/>
        <w:autoSpaceDE w:val="0"/>
        <w:autoSpaceDN w:val="0"/>
        <w:bidi w:val="0"/>
        <w:adjustRightInd w:val="0"/>
        <w:snapToGrid w:val="0"/>
        <w:spacing w:line="360" w:lineRule="auto"/>
        <w:ind w:left="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（1）各分册没按招标文件规定加盖电子印章；</w:t>
      </w:r>
    </w:p>
    <w:p w14:paraId="3CB824AD">
      <w:pPr>
        <w:keepNext w:val="0"/>
        <w:keepLines w:val="0"/>
        <w:pageBreakBefore w:val="0"/>
        <w:widowControl/>
        <w:kinsoku w:val="0"/>
        <w:wordWrap/>
        <w:overflowPunct/>
        <w:topLinePunct w:val="0"/>
        <w:autoSpaceDE w:val="0"/>
        <w:autoSpaceDN w:val="0"/>
        <w:bidi w:val="0"/>
        <w:adjustRightInd w:val="0"/>
        <w:snapToGrid w:val="0"/>
        <w:spacing w:line="360" w:lineRule="auto"/>
        <w:ind w:left="1" w:right="200" w:firstLine="49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（2）本章第三节第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10.2.2</w:t>
      </w:r>
      <w:r>
        <w:rPr>
          <w:rFonts w:hint="eastAsia" w:ascii="宋体" w:hAnsi="宋体" w:eastAsia="宋体" w:cs="宋体"/>
          <w:color w:val="auto"/>
          <w:spacing w:val="-8"/>
          <w:sz w:val="24"/>
          <w:szCs w:val="24"/>
          <w:highlight w:val="none"/>
        </w:rPr>
        <w:t xml:space="preserve"> 目、第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10.3.2</w:t>
      </w:r>
      <w:r>
        <w:rPr>
          <w:rFonts w:hint="eastAsia" w:ascii="宋体" w:hAnsi="宋体" w:eastAsia="宋体" w:cs="宋体"/>
          <w:color w:val="auto"/>
          <w:spacing w:val="-8"/>
          <w:sz w:val="24"/>
          <w:szCs w:val="24"/>
          <w:highlight w:val="none"/>
        </w:rPr>
        <w:t xml:space="preserve"> 目、第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10.4.3</w:t>
      </w:r>
      <w:r>
        <w:rPr>
          <w:rFonts w:hint="eastAsia" w:ascii="宋体" w:hAnsi="宋体" w:eastAsia="宋体" w:cs="宋体"/>
          <w:color w:val="auto"/>
          <w:spacing w:val="-8"/>
          <w:sz w:val="24"/>
          <w:szCs w:val="24"/>
          <w:highlight w:val="none"/>
        </w:rPr>
        <w:t xml:space="preserve"> 目中规定的“所有投标人</w:t>
      </w:r>
      <w:r>
        <w:rPr>
          <w:rFonts w:hint="eastAsia" w:ascii="宋体" w:hAnsi="宋体" w:eastAsia="宋体" w:cs="宋体"/>
          <w:color w:val="auto"/>
          <w:spacing w:val="-1"/>
          <w:sz w:val="24"/>
          <w:szCs w:val="24"/>
          <w:highlight w:val="none"/>
        </w:rPr>
        <w:t>均应提供</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”的组成内容（包括该组成内容的所附资料）中，</w:t>
      </w:r>
      <w:r>
        <w:rPr>
          <w:rFonts w:hint="eastAsia" w:ascii="宋体" w:hAnsi="宋体" w:eastAsia="宋体" w:cs="宋体"/>
          <w:color w:val="auto"/>
          <w:spacing w:val="-2"/>
          <w:sz w:val="24"/>
          <w:szCs w:val="24"/>
          <w:highlight w:val="none"/>
        </w:rPr>
        <w:t>任何一项有缺漏的；</w:t>
      </w:r>
    </w:p>
    <w:p w14:paraId="756929A5">
      <w:pPr>
        <w:keepNext w:val="0"/>
        <w:keepLines w:val="0"/>
        <w:pageBreakBefore w:val="0"/>
        <w:widowControl/>
        <w:kinsoku w:val="0"/>
        <w:wordWrap/>
        <w:overflowPunct/>
        <w:topLinePunct w:val="0"/>
        <w:autoSpaceDE w:val="0"/>
        <w:autoSpaceDN w:val="0"/>
        <w:bidi w:val="0"/>
        <w:adjustRightInd w:val="0"/>
        <w:snapToGrid w:val="0"/>
        <w:spacing w:line="360" w:lineRule="auto"/>
        <w:ind w:left="8" w:right="200" w:firstLine="4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（3）关键字迹模糊、无法辨认，且该种过错将导致评标委员会无法判断投标文件是</w:t>
      </w:r>
      <w:r>
        <w:rPr>
          <w:rFonts w:hint="eastAsia" w:ascii="宋体" w:hAnsi="宋体" w:eastAsia="宋体" w:cs="宋体"/>
          <w:color w:val="auto"/>
          <w:spacing w:val="-2"/>
          <w:sz w:val="24"/>
          <w:szCs w:val="24"/>
          <w:highlight w:val="none"/>
        </w:rPr>
        <w:t>否响应招标文件实质性要求的；有涂改、行间插字或删除，但未加盖单位章或由投标人</w:t>
      </w:r>
      <w:r>
        <w:rPr>
          <w:rFonts w:hint="eastAsia" w:ascii="宋体" w:hAnsi="宋体" w:eastAsia="宋体" w:cs="宋体"/>
          <w:color w:val="auto"/>
          <w:spacing w:val="-1"/>
          <w:sz w:val="24"/>
          <w:szCs w:val="24"/>
          <w:highlight w:val="none"/>
        </w:rPr>
        <w:t>的法定代表人或其委托代理人签字确认的；</w:t>
      </w:r>
    </w:p>
    <w:p w14:paraId="0C62FE27">
      <w:pPr>
        <w:keepNext w:val="0"/>
        <w:keepLines w:val="0"/>
        <w:pageBreakBefore w:val="0"/>
        <w:widowControl/>
        <w:kinsoku w:val="0"/>
        <w:wordWrap/>
        <w:overflowPunct/>
        <w:topLinePunct w:val="0"/>
        <w:autoSpaceDE w:val="0"/>
        <w:autoSpaceDN w:val="0"/>
        <w:bidi w:val="0"/>
        <w:adjustRightInd w:val="0"/>
        <w:snapToGrid w:val="0"/>
        <w:spacing w:line="360" w:lineRule="auto"/>
        <w:ind w:left="43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（4）投标文件未按规定签字、盖章的。</w:t>
      </w:r>
    </w:p>
    <w:p w14:paraId="71476C23">
      <w:pPr>
        <w:spacing w:before="227" w:line="221" w:lineRule="auto"/>
        <w:ind w:left="475"/>
        <w:outlineLvl w:val="2"/>
        <w:rPr>
          <w:rFonts w:hint="eastAsia" w:ascii="宋体" w:hAnsi="宋体" w:eastAsia="宋体" w:cs="宋体"/>
          <w:color w:val="auto"/>
          <w:sz w:val="24"/>
          <w:szCs w:val="24"/>
          <w:highlight w:val="none"/>
        </w:rPr>
      </w:pPr>
      <w:bookmarkStart w:id="148" w:name="_Toc19828"/>
      <w:r>
        <w:rPr>
          <w:rFonts w:hint="eastAsia" w:ascii="宋体" w:hAnsi="宋体" w:eastAsia="宋体" w:cs="宋体"/>
          <w:b/>
          <w:bCs/>
          <w:color w:val="auto"/>
          <w:spacing w:val="-6"/>
          <w:sz w:val="24"/>
          <w:szCs w:val="24"/>
          <w:highlight w:val="none"/>
        </w:rPr>
        <w:t>3</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6"/>
          <w:sz w:val="24"/>
          <w:szCs w:val="24"/>
          <w:highlight w:val="none"/>
        </w:rPr>
        <w:t>．响应性评审环节</w:t>
      </w:r>
      <w:bookmarkEnd w:id="148"/>
    </w:p>
    <w:p w14:paraId="5AD38312">
      <w:pPr>
        <w:spacing w:before="151" w:line="327" w:lineRule="auto"/>
        <w:ind w:left="1" w:right="200"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投标人有下列情形之一的，评标委员会应否决其投标。被否决的投标人，不进入详细评审阶段。</w:t>
      </w:r>
    </w:p>
    <w:p w14:paraId="57886EB4">
      <w:pPr>
        <w:spacing w:before="31" w:line="279" w:lineRule="auto"/>
        <w:ind w:left="40" w:right="200" w:firstLine="45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（1）承诺的投标有效期短于规定的；质量标准低于规定的；工期超出规定的；擅</w:t>
      </w:r>
      <w:r>
        <w:rPr>
          <w:rFonts w:hint="eastAsia" w:ascii="宋体" w:hAnsi="宋体" w:eastAsia="宋体" w:cs="宋体"/>
          <w:color w:val="auto"/>
          <w:spacing w:val="-2"/>
          <w:sz w:val="24"/>
          <w:szCs w:val="24"/>
          <w:highlight w:val="none"/>
        </w:rPr>
        <w:t>自修改、遗漏《投标函》《各项承诺一览表》实质性内容的；</w:t>
      </w:r>
    </w:p>
    <w:p w14:paraId="782DA7B3">
      <w:pPr>
        <w:spacing w:before="157" w:line="278" w:lineRule="auto"/>
        <w:ind w:left="2" w:right="200" w:firstLine="48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（2）编制《投标总价》的造价工程师，其注册证书不是</w:t>
      </w:r>
      <w:r>
        <w:rPr>
          <w:rFonts w:hint="eastAsia" w:ascii="宋体" w:hAnsi="宋体" w:eastAsia="宋体" w:cs="宋体"/>
          <w:b w:val="0"/>
          <w:bCs w:val="0"/>
          <w:color w:val="auto"/>
          <w:spacing w:val="1"/>
          <w:sz w:val="24"/>
          <w:szCs w:val="24"/>
          <w:highlight w:val="none"/>
        </w:rPr>
        <w:t>住建部门</w:t>
      </w:r>
      <w:r>
        <w:rPr>
          <w:rFonts w:hint="eastAsia" w:ascii="宋体" w:hAnsi="宋体" w:eastAsia="宋体" w:cs="宋体"/>
          <w:color w:val="auto"/>
          <w:spacing w:val="1"/>
          <w:sz w:val="24"/>
          <w:szCs w:val="24"/>
          <w:highlight w:val="none"/>
        </w:rPr>
        <w:t>颁发的；其注册</w:t>
      </w:r>
      <w:r>
        <w:rPr>
          <w:rFonts w:hint="eastAsia" w:ascii="宋体" w:hAnsi="宋体" w:eastAsia="宋体" w:cs="宋体"/>
          <w:color w:val="auto"/>
          <w:sz w:val="24"/>
          <w:szCs w:val="24"/>
          <w:highlight w:val="none"/>
        </w:rPr>
        <w:t>单位与投标人（或造价咨询人）不一致的；</w:t>
      </w:r>
      <w:r>
        <w:rPr>
          <w:rFonts w:hint="eastAsia" w:ascii="宋体" w:hAnsi="宋体" w:eastAsia="宋体" w:cs="宋体"/>
          <w:color w:val="auto"/>
          <w:spacing w:val="-1"/>
          <w:sz w:val="24"/>
          <w:szCs w:val="24"/>
          <w:highlight w:val="none"/>
        </w:rPr>
        <w:t>其注册证书不在有效期内的。</w:t>
      </w:r>
    </w:p>
    <w:p w14:paraId="68C0D5D8">
      <w:pPr>
        <w:spacing w:before="156" w:line="329" w:lineRule="auto"/>
        <w:ind w:right="200" w:firstLine="480"/>
        <w:jc w:val="both"/>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注：投标人（或造价咨询人）已经工商变更，但其员工的执业资格注</w:t>
      </w:r>
      <w:r>
        <w:rPr>
          <w:rFonts w:hint="eastAsia" w:ascii="宋体" w:hAnsi="宋体" w:eastAsia="宋体" w:cs="宋体"/>
          <w:b/>
          <w:bCs/>
          <w:color w:val="auto"/>
          <w:spacing w:val="-5"/>
          <w:sz w:val="24"/>
          <w:szCs w:val="24"/>
          <w:highlight w:val="none"/>
        </w:rPr>
        <w:t>册证书的注册单位名称未完成变更的，不得否决其投标。此条与 10.3.1 中的造价工程师执业（含二级造价工程师）指引相一致。</w:t>
      </w:r>
    </w:p>
    <w:p w14:paraId="04153339">
      <w:pPr>
        <w:spacing w:before="78" w:line="299" w:lineRule="auto"/>
        <w:ind w:left="2" w:right="81" w:firstLine="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（3）投标人委托造价咨询单位编制《投标总价》，但未在《投标总价扉页》“投标人</w:t>
      </w:r>
      <w:r>
        <w:rPr>
          <w:rFonts w:hint="eastAsia" w:ascii="宋体" w:hAnsi="宋体" w:eastAsia="宋体" w:cs="宋体"/>
          <w:color w:val="auto"/>
          <w:spacing w:val="-86"/>
          <w:sz w:val="24"/>
          <w:szCs w:val="24"/>
          <w:highlight w:val="none"/>
        </w:rPr>
        <w:t xml:space="preserve"> </w:t>
      </w:r>
      <w:r>
        <w:rPr>
          <w:rFonts w:hint="eastAsia" w:ascii="宋体" w:hAnsi="宋体" w:eastAsia="宋体" w:cs="宋体"/>
          <w:color w:val="auto"/>
          <w:spacing w:val="1"/>
          <w:sz w:val="24"/>
          <w:szCs w:val="24"/>
          <w:highlight w:val="none"/>
        </w:rPr>
        <w:t>”栏目加盖造价咨询人公章的；未提</w:t>
      </w:r>
      <w:r>
        <w:rPr>
          <w:rFonts w:hint="eastAsia" w:ascii="宋体" w:hAnsi="宋体" w:eastAsia="宋体" w:cs="宋体"/>
          <w:color w:val="auto"/>
          <w:sz w:val="24"/>
          <w:szCs w:val="24"/>
          <w:highlight w:val="none"/>
        </w:rPr>
        <w:t>供造价咨询人的营业执照副本彩</w:t>
      </w:r>
      <w:r>
        <w:rPr>
          <w:rFonts w:hint="eastAsia" w:ascii="宋体" w:hAnsi="宋体" w:eastAsia="宋体" w:cs="宋体"/>
          <w:color w:val="auto"/>
          <w:spacing w:val="-3"/>
          <w:sz w:val="24"/>
          <w:szCs w:val="24"/>
          <w:highlight w:val="none"/>
        </w:rPr>
        <w:t>色扫描件；</w:t>
      </w:r>
    </w:p>
    <w:p w14:paraId="27AD3E68">
      <w:pPr>
        <w:spacing w:before="151" w:line="360" w:lineRule="auto"/>
        <w:ind w:right="21" w:firstLine="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（4）出现两个或两个以上投标总价的（同一个投标总价大、小写不一致的除外</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投标总价超出</w:t>
      </w:r>
      <w:r>
        <w:rPr>
          <w:rFonts w:hint="eastAsia" w:ascii="宋体" w:hAnsi="宋体" w:eastAsia="宋体" w:cs="宋体"/>
          <w:b/>
          <w:bCs/>
          <w:color w:val="auto"/>
          <w:spacing w:val="-2"/>
          <w:sz w:val="24"/>
          <w:szCs w:val="24"/>
          <w:highlight w:val="none"/>
          <w:lang w:eastAsia="zh-CN"/>
        </w:rPr>
        <w:t>最高投标限价</w:t>
      </w:r>
      <w:r>
        <w:rPr>
          <w:rFonts w:hint="eastAsia" w:ascii="宋体" w:hAnsi="宋体" w:eastAsia="宋体" w:cs="宋体"/>
          <w:color w:val="auto"/>
          <w:spacing w:val="-2"/>
          <w:sz w:val="24"/>
          <w:szCs w:val="24"/>
          <w:highlight w:val="none"/>
        </w:rPr>
        <w:t>的；</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color w:val="auto"/>
          <w:spacing w:val="-2"/>
          <w:sz w:val="24"/>
          <w:szCs w:val="24"/>
          <w:highlight w:val="none"/>
        </w:rPr>
        <w:t>少于规定的；暂列金额、暂估</w:t>
      </w:r>
      <w:r>
        <w:rPr>
          <w:rFonts w:hint="eastAsia" w:ascii="宋体" w:hAnsi="宋体" w:eastAsia="宋体" w:cs="宋体"/>
          <w:color w:val="auto"/>
          <w:spacing w:val="-3"/>
          <w:sz w:val="24"/>
          <w:szCs w:val="24"/>
          <w:highlight w:val="none"/>
        </w:rPr>
        <w:t>价未按照招标工程量清单统一报价的；投标总价下浮率超过</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3"/>
          <w:sz w:val="24"/>
          <w:szCs w:val="24"/>
          <w:highlight w:val="none"/>
        </w:rPr>
        <w:t>15%，又未提供相应书面说</w:t>
      </w:r>
      <w:r>
        <w:rPr>
          <w:rFonts w:hint="eastAsia" w:ascii="宋体" w:hAnsi="宋体" w:eastAsia="宋体" w:cs="宋体"/>
          <w:color w:val="auto"/>
          <w:spacing w:val="-2"/>
          <w:sz w:val="24"/>
          <w:szCs w:val="24"/>
          <w:highlight w:val="none"/>
        </w:rPr>
        <w:t>明和佐证材料或提供的书面说明和佐证材料不能令人信服，被评标委员会认定以低于成</w:t>
      </w:r>
      <w:r>
        <w:rPr>
          <w:rFonts w:hint="eastAsia" w:ascii="宋体" w:hAnsi="宋体" w:eastAsia="宋体" w:cs="宋体"/>
          <w:color w:val="auto"/>
          <w:sz w:val="24"/>
          <w:szCs w:val="24"/>
          <w:highlight w:val="none"/>
        </w:rPr>
        <w:t>本报价竞标的；擅自修改、增减招标工程量清单</w:t>
      </w:r>
      <w:r>
        <w:rPr>
          <w:rFonts w:hint="eastAsia" w:ascii="宋体" w:hAnsi="宋体" w:eastAsia="宋体" w:cs="宋体"/>
          <w:color w:val="auto"/>
          <w:spacing w:val="-1"/>
          <w:sz w:val="24"/>
          <w:szCs w:val="24"/>
          <w:highlight w:val="none"/>
        </w:rPr>
        <w:t>项目（包括措施项目）的；</w:t>
      </w:r>
    </w:p>
    <w:p w14:paraId="63633022">
      <w:pPr>
        <w:spacing w:before="156" w:line="299" w:lineRule="auto"/>
        <w:ind w:right="81" w:firstLine="49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（5）在施工组织设计评审中，评标委员会认定质量、进度保障措施与国家和省市</w:t>
      </w:r>
      <w:r>
        <w:rPr>
          <w:rFonts w:hint="eastAsia" w:ascii="宋体" w:hAnsi="宋体" w:eastAsia="宋体" w:cs="宋体"/>
          <w:color w:val="auto"/>
          <w:spacing w:val="-3"/>
          <w:sz w:val="24"/>
          <w:szCs w:val="24"/>
          <w:highlight w:val="none"/>
        </w:rPr>
        <w:t>现行有关规范、规定、标准有重大偏差，</w:t>
      </w:r>
      <w:r>
        <w:rPr>
          <w:rFonts w:hint="eastAsia" w:ascii="宋体" w:hAnsi="宋体" w:eastAsia="宋体" w:cs="宋体"/>
          <w:b/>
          <w:bCs/>
          <w:color w:val="auto"/>
          <w:spacing w:val="-3"/>
          <w:sz w:val="24"/>
          <w:szCs w:val="24"/>
          <w:highlight w:val="none"/>
        </w:rPr>
        <w:t>且该种过错将导致工程质量、进度管理目标无</w:t>
      </w:r>
      <w:r>
        <w:rPr>
          <w:rFonts w:hint="eastAsia" w:ascii="宋体" w:hAnsi="宋体" w:eastAsia="宋体" w:cs="宋体"/>
          <w:b/>
          <w:bCs/>
          <w:color w:val="auto"/>
          <w:spacing w:val="-4"/>
          <w:sz w:val="24"/>
          <w:szCs w:val="24"/>
          <w:highlight w:val="none"/>
        </w:rPr>
        <w:t>法实现的</w:t>
      </w:r>
      <w:r>
        <w:rPr>
          <w:rFonts w:hint="eastAsia" w:ascii="宋体" w:hAnsi="宋体" w:eastAsia="宋体" w:cs="宋体"/>
          <w:color w:val="auto"/>
          <w:spacing w:val="-4"/>
          <w:sz w:val="24"/>
          <w:szCs w:val="24"/>
          <w:highlight w:val="none"/>
        </w:rPr>
        <w:t>。</w:t>
      </w:r>
    </w:p>
    <w:p w14:paraId="6CB7A23D">
      <w:pPr>
        <w:spacing w:before="151" w:line="221" w:lineRule="auto"/>
        <w:ind w:left="476"/>
        <w:outlineLvl w:val="2"/>
        <w:rPr>
          <w:rFonts w:hint="eastAsia" w:ascii="宋体" w:hAnsi="宋体" w:eastAsia="宋体" w:cs="宋体"/>
          <w:color w:val="auto"/>
          <w:sz w:val="24"/>
          <w:szCs w:val="24"/>
          <w:highlight w:val="none"/>
        </w:rPr>
      </w:pPr>
      <w:bookmarkStart w:id="149" w:name="_Toc1458"/>
      <w:r>
        <w:rPr>
          <w:rFonts w:hint="eastAsia" w:ascii="宋体" w:hAnsi="宋体" w:eastAsia="宋体" w:cs="宋体"/>
          <w:b/>
          <w:bCs/>
          <w:color w:val="auto"/>
          <w:spacing w:val="-11"/>
          <w:sz w:val="24"/>
          <w:szCs w:val="24"/>
          <w:highlight w:val="none"/>
        </w:rPr>
        <w:t>4</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11"/>
          <w:sz w:val="24"/>
          <w:szCs w:val="24"/>
          <w:highlight w:val="none"/>
        </w:rPr>
        <w:t>．其他</w:t>
      </w:r>
      <w:bookmarkEnd w:id="149"/>
    </w:p>
    <w:p w14:paraId="573783C3">
      <w:pPr>
        <w:spacing w:before="153" w:line="326" w:lineRule="auto"/>
        <w:ind w:firstLine="47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在任何评标环节（或阶段</w:t>
      </w:r>
      <w:r>
        <w:rPr>
          <w:rFonts w:hint="eastAsia" w:ascii="宋体" w:hAnsi="宋体" w:eastAsia="宋体" w:cs="宋体"/>
          <w:color w:val="auto"/>
          <w:spacing w:val="-36"/>
          <w:sz w:val="24"/>
          <w:szCs w:val="24"/>
          <w:highlight w:val="none"/>
        </w:rPr>
        <w:t>），</w:t>
      </w:r>
      <w:r>
        <w:rPr>
          <w:rFonts w:hint="eastAsia" w:ascii="宋体" w:hAnsi="宋体" w:eastAsia="宋体" w:cs="宋体"/>
          <w:color w:val="auto"/>
          <w:spacing w:val="-4"/>
          <w:sz w:val="24"/>
          <w:szCs w:val="24"/>
          <w:highlight w:val="none"/>
        </w:rPr>
        <w:t>投标人有下列情形之一的，评标委员会应否</w:t>
      </w:r>
      <w:r>
        <w:rPr>
          <w:rFonts w:hint="eastAsia" w:ascii="宋体" w:hAnsi="宋体" w:eastAsia="宋体" w:cs="宋体"/>
          <w:color w:val="auto"/>
          <w:spacing w:val="-5"/>
          <w:sz w:val="24"/>
          <w:szCs w:val="24"/>
          <w:highlight w:val="none"/>
        </w:rPr>
        <w:t>决其投标。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被否决的投标人，不进入下一环节（或阶段）。</w:t>
      </w:r>
    </w:p>
    <w:p w14:paraId="24BFC6AD">
      <w:pPr>
        <w:spacing w:before="33"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（1）不按评标委员会要求澄清、说明或补正的；</w:t>
      </w:r>
    </w:p>
    <w:p w14:paraId="7F79B17D">
      <w:pPr>
        <w:spacing w:before="154"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（2）有下列情形之一，被评标委员会认定属于串通投标的：</w:t>
      </w:r>
    </w:p>
    <w:p w14:paraId="4EB277C2">
      <w:pPr>
        <w:keepNext w:val="0"/>
        <w:keepLines w:val="0"/>
        <w:pageBreakBefore w:val="0"/>
        <w:widowControl/>
        <w:kinsoku w:val="0"/>
        <w:wordWrap/>
        <w:overflowPunct/>
        <w:topLinePunct w:val="0"/>
        <w:autoSpaceDE w:val="0"/>
        <w:autoSpaceDN w:val="0"/>
        <w:bidi w:val="0"/>
        <w:adjustRightInd w:val="0"/>
        <w:snapToGrid w:val="0"/>
        <w:spacing w:before="157" w:line="218" w:lineRule="auto"/>
        <w:ind w:left="47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①不同投标人的投标文件两处以上（含两处）错、漏一致；</w:t>
      </w:r>
    </w:p>
    <w:p w14:paraId="1D4A7AA5">
      <w:pPr>
        <w:keepNext w:val="0"/>
        <w:keepLines w:val="0"/>
        <w:pageBreakBefore w:val="0"/>
        <w:widowControl/>
        <w:kinsoku w:val="0"/>
        <w:wordWrap/>
        <w:overflowPunct/>
        <w:topLinePunct w:val="0"/>
        <w:autoSpaceDE w:val="0"/>
        <w:autoSpaceDN w:val="0"/>
        <w:bidi w:val="0"/>
        <w:adjustRightInd w:val="0"/>
        <w:snapToGrid w:val="0"/>
        <w:spacing w:before="156" w:line="278" w:lineRule="auto"/>
        <w:ind w:right="21"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②不同投标人的投标总价相近且各分项报价、综合单价分析表内容混乱不能相互对</w:t>
      </w:r>
      <w:r>
        <w:rPr>
          <w:rFonts w:hint="eastAsia" w:ascii="宋体" w:hAnsi="宋体" w:eastAsia="宋体" w:cs="宋体"/>
          <w:color w:val="auto"/>
          <w:spacing w:val="-6"/>
          <w:sz w:val="24"/>
          <w:szCs w:val="24"/>
          <w:highlight w:val="none"/>
        </w:rPr>
        <w:t>应、乱调乱压或乱抬的，而在询标时没有合理的解释或者不能提供计算依据和</w:t>
      </w:r>
      <w:r>
        <w:rPr>
          <w:rFonts w:hint="eastAsia" w:ascii="宋体" w:hAnsi="宋体" w:eastAsia="宋体" w:cs="宋体"/>
          <w:color w:val="auto"/>
          <w:spacing w:val="-7"/>
          <w:sz w:val="24"/>
          <w:szCs w:val="24"/>
          <w:highlight w:val="none"/>
        </w:rPr>
        <w:t>报价依据；</w:t>
      </w:r>
    </w:p>
    <w:p w14:paraId="2EA97EF6">
      <w:pPr>
        <w:keepNext w:val="0"/>
        <w:keepLines w:val="0"/>
        <w:pageBreakBefore w:val="0"/>
        <w:widowControl/>
        <w:kinsoku w:val="0"/>
        <w:wordWrap/>
        <w:overflowPunct/>
        <w:topLinePunct w:val="0"/>
        <w:autoSpaceDE w:val="0"/>
        <w:autoSpaceDN w:val="0"/>
        <w:bidi w:val="0"/>
        <w:adjustRightInd w:val="0"/>
        <w:snapToGrid w:val="0"/>
        <w:spacing w:before="157"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③不同投标人的投标各项报价存在异常一致</w:t>
      </w:r>
      <w:r>
        <w:rPr>
          <w:rFonts w:hint="eastAsia" w:ascii="宋体" w:hAnsi="宋体" w:eastAsia="宋体" w:cs="宋体"/>
          <w:color w:val="auto"/>
          <w:spacing w:val="-1"/>
          <w:sz w:val="24"/>
          <w:szCs w:val="24"/>
          <w:highlight w:val="none"/>
        </w:rPr>
        <w:t>或者呈规律性变化；</w:t>
      </w:r>
    </w:p>
    <w:p w14:paraId="44C38C18">
      <w:pPr>
        <w:keepNext w:val="0"/>
        <w:keepLines w:val="0"/>
        <w:pageBreakBefore w:val="0"/>
        <w:widowControl/>
        <w:kinsoku w:val="0"/>
        <w:wordWrap/>
        <w:overflowPunct/>
        <w:topLinePunct w:val="0"/>
        <w:autoSpaceDE w:val="0"/>
        <w:autoSpaceDN w:val="0"/>
        <w:bidi w:val="0"/>
        <w:adjustRightInd w:val="0"/>
        <w:snapToGrid w:val="0"/>
        <w:spacing w:before="156"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④不同投标人的投标文件由同一单位或者同一个人编制；</w:t>
      </w:r>
    </w:p>
    <w:p w14:paraId="27132DE6">
      <w:pPr>
        <w:keepNext w:val="0"/>
        <w:keepLines w:val="0"/>
        <w:pageBreakBefore w:val="0"/>
        <w:widowControl/>
        <w:kinsoku w:val="0"/>
        <w:wordWrap/>
        <w:overflowPunct/>
        <w:topLinePunct w:val="0"/>
        <w:autoSpaceDE w:val="0"/>
        <w:autoSpaceDN w:val="0"/>
        <w:bidi w:val="0"/>
        <w:adjustRightInd w:val="0"/>
        <w:snapToGrid w:val="0"/>
        <w:spacing w:before="157" w:line="280" w:lineRule="auto"/>
        <w:ind w:left="1" w:right="81"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⑤不同投标人的投标文件中投标资料（包括电子资料）相互混装或项目班子成员出</w:t>
      </w:r>
      <w:r>
        <w:rPr>
          <w:rFonts w:hint="eastAsia" w:ascii="宋体" w:hAnsi="宋体" w:eastAsia="宋体" w:cs="宋体"/>
          <w:color w:val="auto"/>
          <w:spacing w:val="-3"/>
          <w:sz w:val="24"/>
          <w:szCs w:val="24"/>
          <w:highlight w:val="none"/>
        </w:rPr>
        <w:t>现同一人；</w:t>
      </w:r>
    </w:p>
    <w:p w14:paraId="5F6D2CA7">
      <w:pPr>
        <w:keepNext w:val="0"/>
        <w:keepLines w:val="0"/>
        <w:pageBreakBefore w:val="0"/>
        <w:widowControl/>
        <w:kinsoku w:val="0"/>
        <w:wordWrap/>
        <w:overflowPunct/>
        <w:topLinePunct w:val="0"/>
        <w:autoSpaceDE w:val="0"/>
        <w:autoSpaceDN w:val="0"/>
        <w:bidi w:val="0"/>
        <w:adjustRightInd w:val="0"/>
        <w:snapToGrid w:val="0"/>
        <w:spacing w:before="152" w:line="279" w:lineRule="auto"/>
        <w:ind w:left="3" w:right="81"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⑥不同投标人的投标文件由同一电脑编制或同一台附属设备打印，或投标报价用同</w:t>
      </w:r>
      <w:r>
        <w:rPr>
          <w:rFonts w:hint="eastAsia" w:ascii="宋体" w:hAnsi="宋体" w:eastAsia="宋体" w:cs="宋体"/>
          <w:color w:val="auto"/>
          <w:spacing w:val="-1"/>
          <w:sz w:val="24"/>
          <w:szCs w:val="24"/>
          <w:highlight w:val="none"/>
        </w:rPr>
        <w:t>一个预算编制软件密码锁制作或出自同一电子文档；</w:t>
      </w:r>
    </w:p>
    <w:p w14:paraId="29F1379F">
      <w:pPr>
        <w:keepNext w:val="0"/>
        <w:keepLines w:val="0"/>
        <w:pageBreakBefore w:val="0"/>
        <w:widowControl/>
        <w:kinsoku w:val="0"/>
        <w:wordWrap/>
        <w:overflowPunct/>
        <w:topLinePunct w:val="0"/>
        <w:autoSpaceDE w:val="0"/>
        <w:autoSpaceDN w:val="0"/>
        <w:bidi w:val="0"/>
        <w:adjustRightInd w:val="0"/>
        <w:snapToGrid w:val="0"/>
        <w:spacing w:before="155"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⑦不同投标人的投标保证由同一企业或同一账户资金缴纳；</w:t>
      </w:r>
    </w:p>
    <w:p w14:paraId="469F6ECB">
      <w:pPr>
        <w:keepNext w:val="0"/>
        <w:keepLines w:val="0"/>
        <w:pageBreakBefore w:val="0"/>
        <w:widowControl/>
        <w:kinsoku w:val="0"/>
        <w:wordWrap/>
        <w:overflowPunct/>
        <w:topLinePunct w:val="0"/>
        <w:autoSpaceDE w:val="0"/>
        <w:autoSpaceDN w:val="0"/>
        <w:bidi w:val="0"/>
        <w:adjustRightInd w:val="0"/>
        <w:snapToGrid w:val="0"/>
        <w:spacing w:before="157" w:line="299" w:lineRule="auto"/>
        <w:ind w:right="81" w:firstLine="477"/>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5"/>
          <w:sz w:val="24"/>
          <w:szCs w:val="24"/>
          <w:highlight w:val="none"/>
        </w:rPr>
        <w:t>⑧不同投标人委托同一个人或注册在同一家企业的注册人员或同一家企业为其投</w:t>
      </w:r>
      <w:r>
        <w:rPr>
          <w:rFonts w:hint="eastAsia" w:ascii="宋体" w:hAnsi="宋体" w:eastAsia="宋体" w:cs="宋体"/>
          <w:color w:val="auto"/>
          <w:spacing w:val="-2"/>
          <w:sz w:val="24"/>
          <w:szCs w:val="24"/>
          <w:highlight w:val="none"/>
        </w:rPr>
        <w:t>标提供投标咨询、商务报价、技术咨询（招标项目本身要求采用专有技术的除外）等服</w:t>
      </w:r>
      <w:r>
        <w:rPr>
          <w:rFonts w:hint="eastAsia" w:ascii="宋体" w:hAnsi="宋体" w:eastAsia="宋体" w:cs="宋体"/>
          <w:color w:val="auto"/>
          <w:spacing w:val="-6"/>
          <w:sz w:val="24"/>
          <w:szCs w:val="24"/>
          <w:highlight w:val="none"/>
        </w:rPr>
        <w:t>务</w:t>
      </w:r>
      <w:r>
        <w:rPr>
          <w:rFonts w:hint="eastAsia" w:ascii="宋体" w:hAnsi="宋体" w:eastAsia="宋体" w:cs="宋体"/>
          <w:color w:val="auto"/>
          <w:spacing w:val="-6"/>
          <w:sz w:val="24"/>
          <w:szCs w:val="24"/>
          <w:highlight w:val="none"/>
          <w:lang w:eastAsia="zh-CN"/>
        </w:rPr>
        <w:t>；</w:t>
      </w:r>
    </w:p>
    <w:p w14:paraId="41A32D7F">
      <w:pPr>
        <w:keepNext w:val="0"/>
        <w:keepLines w:val="0"/>
        <w:pageBreakBefore w:val="0"/>
        <w:widowControl/>
        <w:kinsoku w:val="0"/>
        <w:wordWrap/>
        <w:overflowPunct/>
        <w:topLinePunct w:val="0"/>
        <w:autoSpaceDE w:val="0"/>
        <w:autoSpaceDN w:val="0"/>
        <w:bidi w:val="0"/>
        <w:adjustRightInd w:val="0"/>
        <w:snapToGrid w:val="0"/>
        <w:spacing w:before="157" w:line="299" w:lineRule="auto"/>
        <w:ind w:right="81" w:firstLine="477"/>
        <w:textAlignment w:val="baseline"/>
        <w:rPr>
          <w:rFonts w:hint="eastAsia" w:ascii="宋体" w:hAnsi="宋体" w:eastAsia="宋体" w:cs="宋体"/>
          <w:color w:val="auto"/>
          <w:spacing w:val="-2"/>
          <w:sz w:val="24"/>
          <w:szCs w:val="24"/>
          <w:highlight w:val="none"/>
          <w:lang w:eastAsia="zh-CN"/>
        </w:rPr>
        <w:sectPr>
          <w:headerReference r:id="rId8" w:type="default"/>
          <w:footerReference r:id="rId9" w:type="default"/>
          <w:pgSz w:w="11906" w:h="16839"/>
          <w:pgMar w:top="1440" w:right="946" w:bottom="1440" w:left="1080" w:header="0" w:footer="1023"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spacing w:val="-2"/>
          <w:sz w:val="24"/>
          <w:szCs w:val="24"/>
          <w:highlight w:val="none"/>
        </w:rPr>
        <w:t>⑨监督部门于韶关市公共交易一体化平台发现系统提示风险预警，如提示投标单位上传投标文件使用的电脑IP地址一致等</w:t>
      </w:r>
      <w:r>
        <w:rPr>
          <w:rFonts w:hint="eastAsia" w:ascii="宋体" w:hAnsi="宋体" w:eastAsia="宋体" w:cs="宋体"/>
          <w:color w:val="auto"/>
          <w:spacing w:val="-2"/>
          <w:sz w:val="24"/>
          <w:szCs w:val="24"/>
          <w:highlight w:val="none"/>
          <w:lang w:eastAsia="zh-CN"/>
        </w:rPr>
        <w:t>。</w:t>
      </w:r>
    </w:p>
    <w:p w14:paraId="27B2CEA9">
      <w:pPr>
        <w:spacing w:before="78" w:line="220" w:lineRule="auto"/>
        <w:ind w:left="9"/>
        <w:jc w:val="center"/>
        <w:outlineLvl w:val="1"/>
        <w:rPr>
          <w:rFonts w:hint="eastAsia" w:ascii="宋体" w:hAnsi="宋体" w:eastAsia="宋体" w:cs="宋体"/>
          <w:color w:val="auto"/>
          <w:sz w:val="24"/>
          <w:szCs w:val="24"/>
          <w:highlight w:val="none"/>
        </w:rPr>
      </w:pPr>
      <w:bookmarkStart w:id="150" w:name="bookmark57"/>
      <w:bookmarkEnd w:id="150"/>
      <w:bookmarkStart w:id="151" w:name="_Toc22243"/>
      <w:r>
        <w:rPr>
          <w:rFonts w:hint="eastAsia" w:ascii="宋体" w:hAnsi="宋体" w:eastAsia="宋体" w:cs="宋体"/>
          <w:b/>
          <w:bCs/>
          <w:color w:val="auto"/>
          <w:spacing w:val="-3"/>
          <w:sz w:val="24"/>
          <w:szCs w:val="24"/>
          <w:highlight w:val="none"/>
        </w:rPr>
        <w:t>第</w:t>
      </w:r>
      <w:r>
        <w:rPr>
          <w:rFonts w:hint="eastAsia" w:ascii="宋体" w:hAnsi="宋体" w:eastAsia="宋体" w:cs="宋体"/>
          <w:b/>
          <w:bCs/>
          <w:color w:val="auto"/>
          <w:spacing w:val="-3"/>
          <w:sz w:val="24"/>
          <w:szCs w:val="24"/>
          <w:highlight w:val="none"/>
          <w:lang w:val="en-US" w:eastAsia="zh-CN"/>
        </w:rPr>
        <w:t>五</w:t>
      </w:r>
      <w:r>
        <w:rPr>
          <w:rFonts w:hint="eastAsia" w:ascii="宋体" w:hAnsi="宋体" w:eastAsia="宋体" w:cs="宋体"/>
          <w:b/>
          <w:bCs/>
          <w:color w:val="auto"/>
          <w:spacing w:val="-3"/>
          <w:sz w:val="24"/>
          <w:szCs w:val="24"/>
          <w:highlight w:val="none"/>
        </w:rPr>
        <w:t>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定标规定及细则（本项目采用票决数量法定标）</w:t>
      </w:r>
      <w:bookmarkEnd w:id="151"/>
    </w:p>
    <w:p w14:paraId="3E0F24A1">
      <w:pPr>
        <w:pStyle w:val="5"/>
        <w:spacing w:line="256" w:lineRule="auto"/>
        <w:rPr>
          <w:rFonts w:hint="eastAsia" w:ascii="宋体" w:hAnsi="宋体" w:eastAsia="宋体" w:cs="宋体"/>
          <w:color w:val="auto"/>
          <w:highlight w:val="none"/>
        </w:rPr>
      </w:pPr>
    </w:p>
    <w:p w14:paraId="5AD442C8">
      <w:pPr>
        <w:keepNext w:val="0"/>
        <w:keepLines w:val="0"/>
        <w:pageBreakBefore w:val="0"/>
        <w:wordWrap/>
        <w:overflowPunct/>
        <w:topLinePunct w:val="0"/>
        <w:bidi w:val="0"/>
        <w:spacing w:line="360" w:lineRule="auto"/>
        <w:ind w:firstLine="482" w:firstLineChars="200"/>
        <w:rPr>
          <w:rStyle w:val="21"/>
          <w:rFonts w:hint="eastAsia" w:ascii="宋体" w:hAnsi="宋体" w:eastAsia="宋体" w:cs="宋体"/>
          <w:b/>
          <w:bCs/>
          <w:color w:val="auto"/>
          <w:kern w:val="0"/>
          <w:sz w:val="24"/>
          <w:szCs w:val="24"/>
          <w:highlight w:val="none"/>
        </w:rPr>
      </w:pPr>
      <w:r>
        <w:rPr>
          <w:rStyle w:val="21"/>
          <w:rFonts w:hint="eastAsia" w:hAnsi="宋体" w:eastAsia="宋体" w:cs="宋体"/>
          <w:b/>
          <w:bCs/>
          <w:color w:val="auto"/>
          <w:kern w:val="0"/>
          <w:sz w:val="24"/>
          <w:szCs w:val="24"/>
          <w:highlight w:val="none"/>
          <w:lang w:val="en-US" w:eastAsia="zh-CN"/>
        </w:rPr>
        <w:t>1.</w:t>
      </w:r>
      <w:r>
        <w:rPr>
          <w:rStyle w:val="21"/>
          <w:rFonts w:hint="eastAsia" w:ascii="宋体" w:hAnsi="宋体" w:eastAsia="宋体" w:cs="宋体"/>
          <w:b/>
          <w:bCs/>
          <w:color w:val="auto"/>
          <w:kern w:val="0"/>
          <w:sz w:val="24"/>
          <w:szCs w:val="24"/>
          <w:highlight w:val="none"/>
          <w:lang w:eastAsia="zh-CN"/>
        </w:rPr>
        <w:t>确定</w:t>
      </w:r>
      <w:r>
        <w:rPr>
          <w:rStyle w:val="21"/>
          <w:rFonts w:hint="eastAsia" w:ascii="宋体" w:hAnsi="宋体" w:eastAsia="宋体" w:cs="宋体"/>
          <w:b/>
          <w:bCs/>
          <w:color w:val="auto"/>
          <w:kern w:val="0"/>
          <w:sz w:val="24"/>
          <w:szCs w:val="24"/>
          <w:highlight w:val="none"/>
        </w:rPr>
        <w:t>定标时间</w:t>
      </w:r>
    </w:p>
    <w:p w14:paraId="287A2EC9">
      <w:pPr>
        <w:keepNext w:val="0"/>
        <w:keepLines w:val="0"/>
        <w:pageBreakBefore w:val="0"/>
        <w:wordWrap/>
        <w:overflowPunct/>
        <w:topLinePunct w:val="0"/>
        <w:bidi w:val="0"/>
        <w:spacing w:line="360" w:lineRule="auto"/>
        <w:ind w:firstLine="480" w:firstLineChars="200"/>
        <w:rPr>
          <w:rStyle w:val="21"/>
          <w:rFonts w:hint="eastAsia" w:ascii="宋体" w:hAnsi="宋体" w:eastAsia="宋体" w:cs="宋体"/>
          <w:color w:val="auto"/>
          <w:kern w:val="0"/>
          <w:sz w:val="24"/>
          <w:szCs w:val="24"/>
          <w:highlight w:val="none"/>
        </w:rPr>
      </w:pPr>
      <w:r>
        <w:rPr>
          <w:rStyle w:val="21"/>
          <w:rFonts w:hint="eastAsia" w:ascii="宋体" w:hAnsi="宋体" w:eastAsia="宋体" w:cs="宋体"/>
          <w:color w:val="auto"/>
          <w:kern w:val="0"/>
          <w:sz w:val="24"/>
          <w:szCs w:val="24"/>
          <w:highlight w:val="none"/>
        </w:rPr>
        <w:t>招标人</w:t>
      </w:r>
      <w:r>
        <w:rPr>
          <w:rStyle w:val="21"/>
          <w:rFonts w:hint="eastAsia" w:ascii="宋体" w:hAnsi="宋体" w:eastAsia="宋体" w:cs="宋体"/>
          <w:color w:val="auto"/>
          <w:kern w:val="0"/>
          <w:sz w:val="24"/>
          <w:szCs w:val="24"/>
          <w:highlight w:val="none"/>
          <w:lang w:eastAsia="zh-CN"/>
        </w:rPr>
        <w:t>应</w:t>
      </w:r>
      <w:r>
        <w:rPr>
          <w:rStyle w:val="21"/>
          <w:rFonts w:hint="eastAsia" w:ascii="宋体" w:hAnsi="宋体" w:eastAsia="宋体" w:cs="宋体"/>
          <w:color w:val="auto"/>
          <w:kern w:val="0"/>
          <w:sz w:val="24"/>
          <w:szCs w:val="24"/>
          <w:highlight w:val="none"/>
        </w:rPr>
        <w:t>自</w:t>
      </w:r>
      <w:r>
        <w:rPr>
          <w:rStyle w:val="21"/>
          <w:rFonts w:hint="eastAsia" w:ascii="宋体" w:hAnsi="宋体" w:eastAsia="宋体" w:cs="宋体"/>
          <w:color w:val="auto"/>
          <w:kern w:val="0"/>
          <w:sz w:val="24"/>
          <w:szCs w:val="24"/>
          <w:highlight w:val="none"/>
          <w:lang w:val="en-US" w:eastAsia="zh-CN"/>
        </w:rPr>
        <w:t>定标候选人</w:t>
      </w:r>
      <w:r>
        <w:rPr>
          <w:rStyle w:val="21"/>
          <w:rFonts w:hint="eastAsia" w:ascii="宋体" w:hAnsi="宋体" w:eastAsia="宋体" w:cs="宋体"/>
          <w:color w:val="auto"/>
          <w:kern w:val="0"/>
          <w:sz w:val="24"/>
          <w:szCs w:val="24"/>
          <w:highlight w:val="none"/>
        </w:rPr>
        <w:t>公示期满后</w:t>
      </w:r>
      <w:r>
        <w:rPr>
          <w:rStyle w:val="21"/>
          <w:rFonts w:hint="eastAsia" w:ascii="宋体" w:hAnsi="宋体" w:eastAsia="宋体" w:cs="宋体"/>
          <w:color w:val="auto"/>
          <w:kern w:val="0"/>
          <w:sz w:val="24"/>
          <w:szCs w:val="24"/>
          <w:highlight w:val="none"/>
          <w:lang w:val="en-US" w:eastAsia="zh-CN"/>
        </w:rPr>
        <w:t>5</w:t>
      </w:r>
      <w:r>
        <w:rPr>
          <w:rStyle w:val="21"/>
          <w:rFonts w:hint="eastAsia" w:ascii="宋体" w:hAnsi="宋体" w:eastAsia="宋体" w:cs="宋体"/>
          <w:color w:val="auto"/>
          <w:kern w:val="0"/>
          <w:sz w:val="24"/>
          <w:szCs w:val="24"/>
          <w:highlight w:val="none"/>
        </w:rPr>
        <w:t>个工作日内进入公共资源交易平台（与评标阶段公共资源交易平台相同）进行定标。定标会议全过程录音录像。招标人需要延期定标的，</w:t>
      </w:r>
      <w:r>
        <w:rPr>
          <w:rStyle w:val="21"/>
          <w:rFonts w:hint="eastAsia" w:ascii="宋体" w:hAnsi="宋体" w:eastAsia="宋体" w:cs="宋体"/>
          <w:color w:val="auto"/>
          <w:kern w:val="0"/>
          <w:sz w:val="24"/>
          <w:szCs w:val="24"/>
          <w:highlight w:val="none"/>
          <w:lang w:eastAsia="zh-CN"/>
        </w:rPr>
        <w:t>应</w:t>
      </w:r>
      <w:r>
        <w:rPr>
          <w:rStyle w:val="21"/>
          <w:rFonts w:hint="eastAsia" w:ascii="宋体" w:hAnsi="宋体" w:eastAsia="宋体" w:cs="宋体"/>
          <w:color w:val="auto"/>
          <w:kern w:val="0"/>
          <w:sz w:val="24"/>
          <w:szCs w:val="24"/>
          <w:highlight w:val="none"/>
        </w:rPr>
        <w:t>通过公共资源交易平台公布延期原因和定标时间。</w:t>
      </w:r>
    </w:p>
    <w:p w14:paraId="000CC388">
      <w:pPr>
        <w:keepNext w:val="0"/>
        <w:keepLines w:val="0"/>
        <w:pageBreakBefore w:val="0"/>
        <w:wordWrap/>
        <w:overflowPunct/>
        <w:topLinePunct w:val="0"/>
        <w:bidi w:val="0"/>
        <w:spacing w:line="360" w:lineRule="auto"/>
        <w:ind w:firstLine="482" w:firstLineChars="200"/>
        <w:rPr>
          <w:rStyle w:val="21"/>
          <w:rFonts w:hint="eastAsia" w:ascii="宋体" w:hAnsi="宋体" w:eastAsia="宋体" w:cs="宋体"/>
          <w:b/>
          <w:bCs/>
          <w:color w:val="auto"/>
          <w:kern w:val="0"/>
          <w:sz w:val="24"/>
          <w:szCs w:val="24"/>
          <w:highlight w:val="none"/>
          <w:lang w:eastAsia="zh-CN"/>
        </w:rPr>
      </w:pPr>
      <w:r>
        <w:rPr>
          <w:rStyle w:val="21"/>
          <w:rFonts w:hint="eastAsia" w:hAnsi="宋体" w:eastAsia="宋体" w:cs="宋体"/>
          <w:b/>
          <w:bCs/>
          <w:color w:val="auto"/>
          <w:kern w:val="0"/>
          <w:sz w:val="24"/>
          <w:szCs w:val="24"/>
          <w:highlight w:val="none"/>
          <w:lang w:val="en-US" w:eastAsia="zh-CN"/>
        </w:rPr>
        <w:t>2</w:t>
      </w:r>
      <w:r>
        <w:rPr>
          <w:rStyle w:val="21"/>
          <w:rFonts w:hint="eastAsia" w:ascii="宋体" w:hAnsi="宋体" w:eastAsia="宋体" w:cs="宋体"/>
          <w:b/>
          <w:bCs/>
          <w:color w:val="auto"/>
          <w:kern w:val="0"/>
          <w:sz w:val="24"/>
          <w:szCs w:val="24"/>
          <w:highlight w:val="none"/>
        </w:rPr>
        <w:t>.</w:t>
      </w:r>
      <w:r>
        <w:rPr>
          <w:rStyle w:val="21"/>
          <w:rFonts w:hint="eastAsia" w:ascii="宋体" w:hAnsi="宋体" w:eastAsia="宋体" w:cs="宋体"/>
          <w:b/>
          <w:bCs/>
          <w:color w:val="auto"/>
          <w:kern w:val="0"/>
          <w:sz w:val="24"/>
          <w:szCs w:val="24"/>
          <w:highlight w:val="none"/>
          <w:lang w:eastAsia="zh-CN"/>
        </w:rPr>
        <w:t>定标委员会</w:t>
      </w:r>
    </w:p>
    <w:p w14:paraId="1BE2AF6A">
      <w:pPr>
        <w:keepNext w:val="0"/>
        <w:keepLines w:val="0"/>
        <w:pageBreakBefore w:val="0"/>
        <w:wordWrap/>
        <w:overflowPunct/>
        <w:topLinePunct w:val="0"/>
        <w:bidi w:val="0"/>
        <w:spacing w:line="360" w:lineRule="auto"/>
        <w:ind w:firstLine="480" w:firstLineChars="200"/>
        <w:rPr>
          <w:rStyle w:val="21"/>
          <w:rFonts w:hint="eastAsia" w:ascii="宋体" w:hAnsi="宋体" w:eastAsia="宋体" w:cs="宋体"/>
          <w:color w:val="auto"/>
          <w:kern w:val="0"/>
          <w:sz w:val="24"/>
          <w:szCs w:val="24"/>
          <w:highlight w:val="none"/>
          <w:lang w:val="en-US" w:eastAsia="zh-CN"/>
        </w:rPr>
      </w:pPr>
      <w:r>
        <w:rPr>
          <w:rStyle w:val="21"/>
          <w:rFonts w:hint="eastAsia" w:hAnsi="宋体" w:eastAsia="宋体" w:cs="宋体"/>
          <w:color w:val="auto"/>
          <w:kern w:val="0"/>
          <w:sz w:val="24"/>
          <w:szCs w:val="24"/>
          <w:highlight w:val="none"/>
          <w:lang w:val="en-US" w:eastAsia="zh-CN"/>
        </w:rPr>
        <w:t>2.1</w:t>
      </w:r>
      <w:r>
        <w:rPr>
          <w:rStyle w:val="21"/>
          <w:rFonts w:hint="eastAsia" w:ascii="宋体" w:hAnsi="宋体" w:eastAsia="宋体" w:cs="宋体"/>
          <w:color w:val="auto"/>
          <w:kern w:val="0"/>
          <w:sz w:val="24"/>
          <w:szCs w:val="24"/>
          <w:highlight w:val="none"/>
          <w:lang w:val="en-US" w:eastAsia="zh-CN"/>
        </w:rPr>
        <w:t>定标委员会由项目业主单位负责组建和管理。定标委员会的组成方式、组长和成员由项目业主单位按相关规定自行确定。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39A54710">
      <w:pPr>
        <w:keepNext w:val="0"/>
        <w:keepLines w:val="0"/>
        <w:pageBreakBefore w:val="0"/>
        <w:wordWrap/>
        <w:overflowPunct/>
        <w:topLinePunct w:val="0"/>
        <w:bidi w:val="0"/>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735205E4">
      <w:pPr>
        <w:keepNext w:val="0"/>
        <w:keepLines w:val="0"/>
        <w:pageBreakBefore w:val="0"/>
        <w:wordWrap/>
        <w:overflowPunct/>
        <w:topLinePunct w:val="0"/>
        <w:bidi w:val="0"/>
        <w:spacing w:line="360" w:lineRule="auto"/>
        <w:ind w:firstLine="480" w:firstLineChars="200"/>
        <w:rPr>
          <w:rFonts w:hint="eastAsia"/>
          <w:color w:val="auto"/>
          <w:sz w:val="24"/>
          <w:szCs w:val="24"/>
          <w:highlight w:val="none"/>
          <w:lang w:val="en-US" w:eastAsia="zh-CN"/>
        </w:rPr>
      </w:pPr>
      <w:r>
        <w:rPr>
          <w:rStyle w:val="21"/>
          <w:rFonts w:hint="eastAsia" w:hAnsi="宋体" w:eastAsia="宋体" w:cs="宋体"/>
          <w:color w:val="auto"/>
          <w:kern w:val="0"/>
          <w:sz w:val="24"/>
          <w:szCs w:val="24"/>
          <w:highlight w:val="none"/>
          <w:lang w:val="en-US" w:eastAsia="zh-CN"/>
        </w:rPr>
        <w:t>2</w:t>
      </w:r>
      <w:r>
        <w:rPr>
          <w:rStyle w:val="21"/>
          <w:rFonts w:hint="eastAsia" w:ascii="宋体" w:hAnsi="宋体" w:eastAsia="宋体" w:cs="宋体"/>
          <w:color w:val="auto"/>
          <w:kern w:val="0"/>
          <w:sz w:val="24"/>
          <w:szCs w:val="24"/>
          <w:highlight w:val="none"/>
        </w:rPr>
        <w:t>.</w:t>
      </w:r>
      <w:r>
        <w:rPr>
          <w:rStyle w:val="21"/>
          <w:rFonts w:hint="eastAsia" w:hAnsi="宋体" w:eastAsia="宋体" w:cs="宋体"/>
          <w:color w:val="auto"/>
          <w:kern w:val="0"/>
          <w:sz w:val="24"/>
          <w:szCs w:val="24"/>
          <w:highlight w:val="none"/>
          <w:lang w:val="en-US" w:eastAsia="zh-CN"/>
        </w:rPr>
        <w:t>3</w:t>
      </w:r>
      <w:r>
        <w:rPr>
          <w:rStyle w:val="21"/>
          <w:rFonts w:hint="eastAsia" w:ascii="宋体" w:hAnsi="宋体" w:eastAsia="宋体" w:cs="宋体"/>
          <w:color w:val="auto"/>
          <w:kern w:val="0"/>
          <w:sz w:val="24"/>
          <w:szCs w:val="24"/>
          <w:highlight w:val="none"/>
          <w:lang w:val="en-US" w:eastAsia="zh-CN"/>
        </w:rPr>
        <w:t>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4E804521">
      <w:pPr>
        <w:keepNext w:val="0"/>
        <w:keepLines w:val="0"/>
        <w:pageBreakBefore w:val="0"/>
        <w:wordWrap/>
        <w:overflowPunct/>
        <w:topLinePunct w:val="0"/>
        <w:bidi w:val="0"/>
        <w:spacing w:line="360" w:lineRule="auto"/>
        <w:ind w:firstLine="482" w:firstLineChars="200"/>
        <w:rPr>
          <w:rStyle w:val="21"/>
          <w:rFonts w:hint="eastAsia" w:ascii="宋体" w:hAnsi="宋体" w:eastAsia="宋体" w:cs="宋体"/>
          <w:b/>
          <w:bCs/>
          <w:color w:val="auto"/>
          <w:kern w:val="0"/>
          <w:sz w:val="24"/>
          <w:szCs w:val="24"/>
          <w:highlight w:val="none"/>
          <w:lang w:val="en-US" w:eastAsia="zh-CN"/>
        </w:rPr>
      </w:pPr>
      <w:r>
        <w:rPr>
          <w:rStyle w:val="21"/>
          <w:rFonts w:hint="eastAsia" w:hAnsi="宋体" w:eastAsia="宋体" w:cs="宋体"/>
          <w:b/>
          <w:bCs/>
          <w:color w:val="auto"/>
          <w:kern w:val="0"/>
          <w:sz w:val="24"/>
          <w:szCs w:val="24"/>
          <w:highlight w:val="none"/>
          <w:lang w:val="en-US" w:eastAsia="zh-CN"/>
        </w:rPr>
        <w:t>3</w:t>
      </w:r>
      <w:r>
        <w:rPr>
          <w:rStyle w:val="21"/>
          <w:rFonts w:hint="eastAsia" w:ascii="宋体" w:hAnsi="宋体" w:eastAsia="宋体" w:cs="宋体"/>
          <w:b/>
          <w:bCs/>
          <w:color w:val="auto"/>
          <w:kern w:val="0"/>
          <w:sz w:val="24"/>
          <w:szCs w:val="24"/>
          <w:highlight w:val="none"/>
        </w:rPr>
        <w:t>.</w:t>
      </w:r>
      <w:r>
        <w:rPr>
          <w:rStyle w:val="21"/>
          <w:rFonts w:hint="eastAsia" w:ascii="宋体" w:hAnsi="宋体" w:eastAsia="宋体" w:cs="宋体"/>
          <w:b/>
          <w:bCs/>
          <w:color w:val="auto"/>
          <w:kern w:val="0"/>
          <w:sz w:val="24"/>
          <w:szCs w:val="24"/>
          <w:highlight w:val="none"/>
          <w:lang w:val="en-US" w:eastAsia="zh-CN"/>
        </w:rPr>
        <w:t>组建招标监督小组</w:t>
      </w:r>
    </w:p>
    <w:p w14:paraId="5F86D9D5">
      <w:pPr>
        <w:keepNext w:val="0"/>
        <w:keepLines w:val="0"/>
        <w:pageBreakBefore w:val="0"/>
        <w:wordWrap/>
        <w:overflowPunct/>
        <w:topLinePunct w:val="0"/>
        <w:bidi w:val="0"/>
        <w:spacing w:line="360" w:lineRule="auto"/>
        <w:ind w:firstLine="480" w:firstLineChars="200"/>
        <w:rPr>
          <w:rStyle w:val="21"/>
          <w:rFonts w:hint="eastAsia" w:ascii="宋体" w:hAnsi="宋体" w:eastAsia="宋体" w:cs="宋体"/>
          <w:color w:val="auto"/>
          <w:kern w:val="0"/>
          <w:sz w:val="24"/>
          <w:szCs w:val="24"/>
          <w:highlight w:val="none"/>
          <w:lang w:val="en-US" w:eastAsia="zh-CN"/>
        </w:rPr>
      </w:pPr>
      <w:r>
        <w:rPr>
          <w:rStyle w:val="21"/>
          <w:rFonts w:hint="eastAsia" w:ascii="宋体" w:hAnsi="宋体" w:eastAsia="宋体" w:cs="宋体"/>
          <w:color w:val="auto"/>
          <w:kern w:val="0"/>
          <w:sz w:val="24"/>
          <w:szCs w:val="24"/>
          <w:highlight w:val="none"/>
          <w:lang w:val="en-US" w:eastAsia="zh-CN"/>
        </w:rPr>
        <w:t>项目业主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7134BD0E">
      <w:pPr>
        <w:keepNext w:val="0"/>
        <w:keepLines w:val="0"/>
        <w:pageBreakBefore w:val="0"/>
        <w:wordWrap/>
        <w:overflowPunct/>
        <w:topLinePunct w:val="0"/>
        <w:bidi w:val="0"/>
        <w:spacing w:line="360" w:lineRule="auto"/>
        <w:ind w:firstLine="482" w:firstLineChars="200"/>
        <w:jc w:val="left"/>
        <w:rPr>
          <w:rStyle w:val="21"/>
          <w:rFonts w:hint="eastAsia" w:ascii="宋体" w:hAnsi="宋体" w:eastAsia="宋体" w:cs="宋体"/>
          <w:b/>
          <w:bCs/>
          <w:color w:val="auto"/>
          <w:kern w:val="0"/>
          <w:sz w:val="24"/>
          <w:szCs w:val="24"/>
          <w:highlight w:val="none"/>
          <w:lang w:eastAsia="zh-CN"/>
        </w:rPr>
      </w:pPr>
      <w:r>
        <w:rPr>
          <w:rStyle w:val="21"/>
          <w:rFonts w:hint="eastAsia" w:hAnsi="宋体" w:eastAsia="宋体" w:cs="宋体"/>
          <w:b/>
          <w:bCs/>
          <w:color w:val="auto"/>
          <w:kern w:val="0"/>
          <w:sz w:val="24"/>
          <w:szCs w:val="24"/>
          <w:highlight w:val="none"/>
          <w:lang w:val="en-US" w:eastAsia="zh-CN"/>
        </w:rPr>
        <w:t>4</w:t>
      </w:r>
      <w:r>
        <w:rPr>
          <w:rStyle w:val="21"/>
          <w:rFonts w:hint="eastAsia" w:ascii="宋体" w:hAnsi="宋体" w:eastAsia="宋体" w:cs="宋体"/>
          <w:b/>
          <w:bCs/>
          <w:color w:val="auto"/>
          <w:kern w:val="0"/>
          <w:sz w:val="24"/>
          <w:szCs w:val="24"/>
          <w:highlight w:val="none"/>
        </w:rPr>
        <w:t>.</w:t>
      </w:r>
      <w:r>
        <w:rPr>
          <w:rStyle w:val="21"/>
          <w:rFonts w:hint="eastAsia" w:ascii="宋体" w:hAnsi="宋体" w:eastAsia="宋体" w:cs="宋体"/>
          <w:b/>
          <w:bCs/>
          <w:color w:val="auto"/>
          <w:kern w:val="0"/>
          <w:sz w:val="24"/>
          <w:szCs w:val="24"/>
          <w:highlight w:val="none"/>
          <w:lang w:eastAsia="zh-CN"/>
        </w:rPr>
        <w:t>定标办法</w:t>
      </w:r>
    </w:p>
    <w:p w14:paraId="17444727">
      <w:pPr>
        <w:keepNext w:val="0"/>
        <w:keepLines w:val="0"/>
        <w:pageBreakBefore w:val="0"/>
        <w:wordWrap/>
        <w:overflowPunct/>
        <w:topLinePunct w:val="0"/>
        <w:bidi w:val="0"/>
        <w:spacing w:line="360" w:lineRule="auto"/>
        <w:ind w:firstLine="240" w:firstLineChars="100"/>
        <w:rPr>
          <w:rStyle w:val="21"/>
          <w:rFonts w:hint="eastAsia" w:ascii="宋体" w:hAnsi="宋体" w:eastAsia="宋体" w:cs="宋体"/>
          <w:color w:val="auto"/>
          <w:kern w:val="0"/>
          <w:sz w:val="24"/>
          <w:szCs w:val="24"/>
          <w:highlight w:val="none"/>
          <w:lang w:val="en-US" w:eastAsia="zh-CN"/>
        </w:rPr>
      </w:pPr>
      <w:r>
        <w:rPr>
          <w:rStyle w:val="21"/>
          <w:rFonts w:hint="eastAsia" w:ascii="宋体" w:hAnsi="宋体" w:eastAsia="宋体" w:cs="宋体"/>
          <w:color w:val="auto"/>
          <w:kern w:val="0"/>
          <w:sz w:val="24"/>
          <w:szCs w:val="24"/>
          <w:highlight w:val="none"/>
          <w:lang w:val="en-US" w:eastAsia="zh-CN"/>
        </w:rPr>
        <w:t>定标办法由招标人按本投标人须知前附表的规定确定（只能选定其中一种定标办法）。</w:t>
      </w:r>
    </w:p>
    <w:p w14:paraId="5034F9A7">
      <w:pPr>
        <w:keepNext w:val="0"/>
        <w:keepLines w:val="0"/>
        <w:pageBreakBefore w:val="0"/>
        <w:wordWrap/>
        <w:overflowPunct/>
        <w:topLinePunct w:val="0"/>
        <w:bidi w:val="0"/>
        <w:spacing w:line="360" w:lineRule="auto"/>
        <w:ind w:firstLine="480" w:firstLineChars="200"/>
        <w:rPr>
          <w:rFonts w:hint="eastAsia"/>
          <w:color w:val="auto"/>
          <w:sz w:val="24"/>
          <w:szCs w:val="24"/>
          <w:highlight w:val="none"/>
        </w:rPr>
      </w:pPr>
      <w:bookmarkStart w:id="152" w:name="OLE_LINK3"/>
      <w:r>
        <w:rPr>
          <w:rFonts w:hint="eastAsia"/>
          <w:b/>
          <w:bCs/>
          <w:color w:val="auto"/>
          <w:sz w:val="24"/>
          <w:szCs w:val="24"/>
          <w:highlight w:val="none"/>
          <w:lang w:val="en-US" w:eastAsia="zh-CN"/>
        </w:rPr>
        <w:t>本项目</w:t>
      </w:r>
      <w:bookmarkEnd w:id="152"/>
      <w:r>
        <w:rPr>
          <w:rFonts w:hint="eastAsia"/>
          <w:b/>
          <w:bCs/>
          <w:color w:val="auto"/>
          <w:sz w:val="24"/>
          <w:szCs w:val="24"/>
          <w:highlight w:val="none"/>
          <w:lang w:val="en-US" w:eastAsia="zh-CN"/>
        </w:rPr>
        <w:t>采用票决数量法定标。</w:t>
      </w:r>
    </w:p>
    <w:p w14:paraId="15F527A8">
      <w:pPr>
        <w:keepNext w:val="0"/>
        <w:keepLines w:val="0"/>
        <w:pageBreakBefore w:val="0"/>
        <w:wordWrap/>
        <w:overflowPunct/>
        <w:topLinePunct w:val="0"/>
        <w:bidi w:val="0"/>
        <w:spacing w:line="360" w:lineRule="auto"/>
        <w:ind w:firstLine="482" w:firstLineChars="200"/>
        <w:rPr>
          <w:rStyle w:val="21"/>
          <w:rFonts w:hint="eastAsia" w:hAnsi="宋体" w:eastAsia="宋体" w:cs="宋体"/>
          <w:b/>
          <w:bCs/>
          <w:color w:val="auto"/>
          <w:kern w:val="0"/>
          <w:sz w:val="24"/>
          <w:szCs w:val="24"/>
          <w:highlight w:val="none"/>
          <w:lang w:val="en-US" w:eastAsia="zh-CN"/>
        </w:rPr>
      </w:pPr>
      <w:r>
        <w:rPr>
          <w:rStyle w:val="21"/>
          <w:rFonts w:hint="eastAsia" w:hAnsi="宋体" w:eastAsia="宋体" w:cs="宋体"/>
          <w:b/>
          <w:bCs/>
          <w:color w:val="auto"/>
          <w:kern w:val="0"/>
          <w:sz w:val="24"/>
          <w:szCs w:val="24"/>
          <w:highlight w:val="none"/>
          <w:lang w:val="en-US" w:eastAsia="zh-CN"/>
        </w:rPr>
        <w:t>5.定标细则</w:t>
      </w:r>
    </w:p>
    <w:p w14:paraId="196A37E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5.1票决数量法程序</w:t>
      </w:r>
    </w:p>
    <w:p w14:paraId="32EA86D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14:paraId="6D9CF45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5.1.1.</w:t>
      </w:r>
      <w:r>
        <w:rPr>
          <w:rFonts w:hint="eastAsia" w:ascii="宋体" w:hAnsi="宋体" w:eastAsia="宋体" w:cs="宋体"/>
          <w:b/>
          <w:bCs/>
          <w:color w:val="auto"/>
          <w:sz w:val="24"/>
          <w:szCs w:val="24"/>
          <w:highlight w:val="none"/>
          <w:u w:val="none"/>
          <w:shd w:val="clear" w:color="auto" w:fill="FFFFFF"/>
        </w:rPr>
        <w:t>项目情况介绍</w:t>
      </w:r>
    </w:p>
    <w:p w14:paraId="09B43CD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47934DF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5.1.2.</w:t>
      </w:r>
      <w:r>
        <w:rPr>
          <w:rFonts w:hint="eastAsia" w:ascii="宋体" w:hAnsi="宋体" w:eastAsia="宋体" w:cs="宋体"/>
          <w:b/>
          <w:bCs/>
          <w:color w:val="auto"/>
          <w:sz w:val="24"/>
          <w:szCs w:val="24"/>
          <w:highlight w:val="none"/>
          <w:u w:val="none"/>
          <w:shd w:val="clear" w:color="auto" w:fill="FFFFFF"/>
        </w:rPr>
        <w:t>审阅定标资料</w:t>
      </w:r>
    </w:p>
    <w:p w14:paraId="0ACD2F3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2100E914">
      <w:pPr>
        <w:pStyle w:val="1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5.1.3.</w:t>
      </w:r>
      <w:r>
        <w:rPr>
          <w:rFonts w:hint="eastAsia" w:ascii="宋体" w:hAnsi="宋体" w:eastAsia="宋体" w:cs="宋体"/>
          <w:b/>
          <w:bCs/>
          <w:color w:val="auto"/>
          <w:sz w:val="24"/>
          <w:szCs w:val="24"/>
          <w:highlight w:val="none"/>
          <w:u w:val="none"/>
          <w:shd w:val="clear" w:color="auto" w:fill="FFFFFF"/>
        </w:rPr>
        <w:t>疑问澄清</w:t>
      </w:r>
    </w:p>
    <w:p w14:paraId="3296FEA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54EA06C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5.1.4.投票，收票，点票和汇总</w:t>
      </w:r>
    </w:p>
    <w:p w14:paraId="3CA4C27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656CC98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5.1.5.公布结果和出具定标报告</w:t>
      </w:r>
    </w:p>
    <w:p w14:paraId="1DB56A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4821960C">
      <w:pPr>
        <w:pStyle w:val="1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5.1.6.</w:t>
      </w:r>
      <w:r>
        <w:rPr>
          <w:rFonts w:hint="eastAsia" w:ascii="宋体" w:hAnsi="宋体" w:eastAsia="宋体" w:cs="宋体"/>
          <w:b/>
          <w:bCs/>
          <w:color w:val="auto"/>
          <w:sz w:val="24"/>
          <w:szCs w:val="24"/>
          <w:highlight w:val="none"/>
          <w:u w:val="none"/>
          <w:shd w:val="clear" w:color="auto" w:fill="FFFFFF"/>
        </w:rPr>
        <w:t>全程监督</w:t>
      </w:r>
    </w:p>
    <w:p w14:paraId="554DA98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793C188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5.2定标因素</w:t>
      </w:r>
    </w:p>
    <w:p w14:paraId="294955A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定标因素和相对标准有以下几个方面：</w:t>
      </w:r>
    </w:p>
    <w:p w14:paraId="1B82EED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（1）拟派团队管理能力与水平（履约能力）</w:t>
      </w:r>
    </w:p>
    <w:p w14:paraId="553C5C5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14:paraId="0F5E8F5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（2）企业信誉</w:t>
      </w:r>
    </w:p>
    <w:p w14:paraId="4DCB7F5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相对标准：企业信誉评价好的定标候选人优于企业信誉评价一般的定标候选人。</w:t>
      </w:r>
    </w:p>
    <w:p w14:paraId="1F9B9B8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（3）企业实力</w:t>
      </w:r>
    </w:p>
    <w:p w14:paraId="5369663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相对标准：企业实力好的定标候选人优于企业实力一般的定标候选人。</w:t>
      </w:r>
    </w:p>
    <w:p w14:paraId="1BCEDB2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（4）评标报告</w:t>
      </w:r>
    </w:p>
    <w:p w14:paraId="113A9F0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14:paraId="43AD2D9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（5）农民工工资保障情况</w:t>
      </w:r>
    </w:p>
    <w:p w14:paraId="73A952D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w:t>
      </w:r>
      <w:r>
        <w:rPr>
          <w:rFonts w:hint="eastAsia" w:ascii="宋体" w:hAnsi="宋体" w:eastAsia="宋体" w:cs="宋体"/>
          <w:b w:val="0"/>
          <w:bCs w:val="0"/>
          <w:color w:val="auto"/>
          <w:kern w:val="0"/>
          <w:sz w:val="24"/>
          <w:szCs w:val="24"/>
          <w:highlight w:val="none"/>
          <w:u w:val="none"/>
          <w:shd w:val="clear" w:color="auto" w:fill="FFFFFF"/>
          <w:lang w:val="en-US" w:eastAsia="zh-CN" w:bidi="ar-SA"/>
        </w:rPr>
        <w:t>定标候选人提交的证明材料和招标人查询的材料进行评审）。</w:t>
      </w:r>
    </w:p>
    <w:p w14:paraId="06F96A8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6.定标结果公示</w:t>
      </w:r>
    </w:p>
    <w:p w14:paraId="419D820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Style w:val="21"/>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定标委员会完成定标</w:t>
      </w:r>
      <w:r>
        <w:rPr>
          <w:rStyle w:val="21"/>
          <w:rFonts w:hint="eastAsia" w:ascii="宋体" w:hAnsi="宋体" w:eastAsia="宋体" w:cs="宋体"/>
          <w:b w:val="0"/>
          <w:bCs w:val="0"/>
          <w:color w:val="auto"/>
          <w:kern w:val="0"/>
          <w:sz w:val="24"/>
          <w:szCs w:val="24"/>
          <w:highlight w:val="none"/>
          <w:lang w:val="en-US" w:eastAsia="zh-CN"/>
        </w:rPr>
        <w:t>后</w:t>
      </w:r>
      <w:r>
        <w:rPr>
          <w:rStyle w:val="21"/>
          <w:rFonts w:hint="eastAsia" w:ascii="宋体" w:hAnsi="宋体" w:eastAsia="宋体" w:cs="宋体"/>
          <w:color w:val="auto"/>
          <w:kern w:val="0"/>
          <w:sz w:val="24"/>
          <w:szCs w:val="24"/>
          <w:highlight w:val="none"/>
          <w:lang w:val="en-US" w:eastAsia="zh-CN"/>
        </w:rPr>
        <w:t>，招标人应于定标会结束后3个工作日内将中标候选人和定标情况在广东省招标投标监管网和全国公共资源交易平台（广东省·韶关市）系统上公示，公示时间不少于3日。公示主要内容包括：定标报告（定标成员信息除外）、中标人名单、中标价和拟投入本项目的项目负责人、技术负责人及各专业负责人（如有）等内容。</w:t>
      </w:r>
    </w:p>
    <w:p w14:paraId="405D64A1">
      <w:pPr>
        <w:keepNext w:val="0"/>
        <w:keepLines w:val="0"/>
        <w:pageBreakBefore w:val="0"/>
        <w:wordWrap/>
        <w:overflowPunct/>
        <w:topLinePunct w:val="0"/>
        <w:bidi w:val="0"/>
        <w:spacing w:line="360" w:lineRule="auto"/>
        <w:rPr>
          <w:rFonts w:hint="eastAsia"/>
          <w:color w:val="auto"/>
          <w:sz w:val="24"/>
          <w:szCs w:val="24"/>
          <w:highlight w:val="none"/>
          <w:lang w:val="en-US" w:eastAsia="zh-CN"/>
        </w:rPr>
      </w:pPr>
    </w:p>
    <w:p w14:paraId="30C71A0F">
      <w:pPr>
        <w:keepNext w:val="0"/>
        <w:keepLines w:val="0"/>
        <w:pageBreakBefore w:val="0"/>
        <w:wordWrap/>
        <w:overflowPunct/>
        <w:topLinePunct w:val="0"/>
        <w:bidi w:val="0"/>
        <w:spacing w:before="78" w:line="360" w:lineRule="auto"/>
        <w:ind w:left="3525"/>
        <w:outlineLvl w:val="0"/>
        <w:rPr>
          <w:rFonts w:hint="eastAsia" w:ascii="宋体" w:hAnsi="宋体" w:eastAsia="宋体" w:cs="宋体"/>
          <w:b/>
          <w:bCs/>
          <w:color w:val="auto"/>
          <w:spacing w:val="-7"/>
          <w:sz w:val="24"/>
          <w:szCs w:val="24"/>
          <w:highlight w:val="none"/>
        </w:rPr>
      </w:pPr>
    </w:p>
    <w:p w14:paraId="7A57443C">
      <w:pPr>
        <w:pStyle w:val="3"/>
        <w:rPr>
          <w:rFonts w:hint="eastAsia" w:ascii="宋体" w:hAnsi="宋体" w:eastAsia="宋体" w:cs="宋体"/>
          <w:b/>
          <w:bCs/>
          <w:color w:val="auto"/>
          <w:spacing w:val="-7"/>
          <w:sz w:val="24"/>
          <w:szCs w:val="24"/>
          <w:highlight w:val="none"/>
        </w:rPr>
      </w:pPr>
    </w:p>
    <w:p w14:paraId="1A976F89">
      <w:pPr>
        <w:rPr>
          <w:rFonts w:hint="eastAsia" w:ascii="宋体" w:hAnsi="宋体" w:eastAsia="宋体" w:cs="宋体"/>
          <w:b/>
          <w:bCs/>
          <w:color w:val="auto"/>
          <w:spacing w:val="-7"/>
          <w:sz w:val="24"/>
          <w:szCs w:val="24"/>
          <w:highlight w:val="none"/>
        </w:rPr>
      </w:pPr>
    </w:p>
    <w:p w14:paraId="03C4A141">
      <w:pPr>
        <w:pStyle w:val="3"/>
        <w:rPr>
          <w:rFonts w:hint="eastAsia" w:ascii="宋体" w:hAnsi="宋体" w:eastAsia="宋体" w:cs="宋体"/>
          <w:b/>
          <w:bCs/>
          <w:color w:val="auto"/>
          <w:spacing w:val="-7"/>
          <w:sz w:val="24"/>
          <w:szCs w:val="24"/>
          <w:highlight w:val="none"/>
        </w:rPr>
      </w:pPr>
    </w:p>
    <w:p w14:paraId="061D7E42">
      <w:pPr>
        <w:rPr>
          <w:rFonts w:hint="eastAsia" w:ascii="宋体" w:hAnsi="宋体" w:eastAsia="宋体" w:cs="宋体"/>
          <w:b/>
          <w:bCs/>
          <w:color w:val="auto"/>
          <w:spacing w:val="-7"/>
          <w:sz w:val="24"/>
          <w:szCs w:val="24"/>
          <w:highlight w:val="none"/>
        </w:rPr>
      </w:pPr>
    </w:p>
    <w:p w14:paraId="0109201E">
      <w:pPr>
        <w:pStyle w:val="3"/>
        <w:rPr>
          <w:rFonts w:hint="eastAsia" w:ascii="宋体" w:hAnsi="宋体" w:eastAsia="宋体" w:cs="宋体"/>
          <w:b/>
          <w:bCs/>
          <w:color w:val="auto"/>
          <w:spacing w:val="-7"/>
          <w:sz w:val="24"/>
          <w:szCs w:val="24"/>
          <w:highlight w:val="none"/>
        </w:rPr>
      </w:pPr>
    </w:p>
    <w:p w14:paraId="02EFD01B">
      <w:pPr>
        <w:rPr>
          <w:rFonts w:hint="eastAsia" w:ascii="宋体" w:hAnsi="宋体" w:eastAsia="宋体" w:cs="宋体"/>
          <w:b/>
          <w:bCs/>
          <w:color w:val="auto"/>
          <w:spacing w:val="-7"/>
          <w:sz w:val="24"/>
          <w:szCs w:val="24"/>
          <w:highlight w:val="none"/>
        </w:rPr>
      </w:pPr>
    </w:p>
    <w:p w14:paraId="768B68B9">
      <w:pPr>
        <w:pStyle w:val="3"/>
        <w:rPr>
          <w:rFonts w:hint="eastAsia"/>
          <w:color w:val="auto"/>
          <w:highlight w:val="none"/>
        </w:rPr>
      </w:pPr>
    </w:p>
    <w:p w14:paraId="50BE9523">
      <w:pPr>
        <w:pStyle w:val="3"/>
        <w:rPr>
          <w:rFonts w:hint="eastAsia"/>
          <w:color w:val="auto"/>
          <w:highlight w:val="none"/>
        </w:rPr>
      </w:pPr>
    </w:p>
    <w:p w14:paraId="605FE5BA">
      <w:pPr>
        <w:rPr>
          <w:rFonts w:hint="eastAsia" w:ascii="宋体" w:hAnsi="宋体" w:eastAsia="宋体" w:cs="宋体"/>
          <w:b/>
          <w:bCs/>
          <w:color w:val="auto"/>
          <w:spacing w:val="-7"/>
          <w:sz w:val="24"/>
          <w:szCs w:val="24"/>
          <w:highlight w:val="none"/>
        </w:rPr>
      </w:pPr>
    </w:p>
    <w:p w14:paraId="4A5B7D25">
      <w:pPr>
        <w:spacing w:before="78" w:line="220" w:lineRule="auto"/>
        <w:ind w:left="9"/>
        <w:jc w:val="center"/>
        <w:outlineLvl w:val="1"/>
        <w:rPr>
          <w:rFonts w:hint="eastAsia" w:ascii="宋体" w:hAnsi="宋体" w:eastAsia="宋体" w:cs="宋体"/>
          <w:b/>
          <w:bCs/>
          <w:color w:val="auto"/>
          <w:spacing w:val="-3"/>
          <w:sz w:val="24"/>
          <w:szCs w:val="24"/>
          <w:highlight w:val="none"/>
        </w:rPr>
      </w:pPr>
      <w:bookmarkStart w:id="153" w:name="_Toc4926"/>
      <w:bookmarkStart w:id="154" w:name="_Toc209"/>
    </w:p>
    <w:p w14:paraId="247C2DE9">
      <w:pPr>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br w:type="page"/>
      </w:r>
    </w:p>
    <w:p w14:paraId="7621AC65">
      <w:pPr>
        <w:spacing w:before="78" w:line="220" w:lineRule="auto"/>
        <w:ind w:left="9"/>
        <w:jc w:val="center"/>
        <w:outlineLvl w:val="1"/>
        <w:rPr>
          <w:rFonts w:hint="eastAsia" w:ascii="宋体" w:hAnsi="宋体" w:eastAsia="宋体" w:cs="宋体"/>
          <w:b/>
          <w:bCs/>
          <w:color w:val="auto"/>
          <w:spacing w:val="-3"/>
          <w:sz w:val="24"/>
          <w:szCs w:val="24"/>
          <w:highlight w:val="none"/>
          <w:lang w:val="en-US" w:eastAsia="zh-CN"/>
        </w:rPr>
      </w:pPr>
      <w:r>
        <w:rPr>
          <w:rFonts w:hint="eastAsia" w:ascii="宋体" w:hAnsi="宋体" w:eastAsia="宋体" w:cs="宋体"/>
          <w:b/>
          <w:bCs/>
          <w:color w:val="auto"/>
          <w:spacing w:val="-3"/>
          <w:sz w:val="24"/>
          <w:szCs w:val="24"/>
          <w:highlight w:val="none"/>
        </w:rPr>
        <w:t>第</w:t>
      </w:r>
      <w:r>
        <w:rPr>
          <w:rFonts w:hint="eastAsia" w:ascii="宋体" w:hAnsi="宋体" w:eastAsia="宋体" w:cs="宋体"/>
          <w:b/>
          <w:bCs/>
          <w:color w:val="auto"/>
          <w:spacing w:val="-3"/>
          <w:sz w:val="24"/>
          <w:szCs w:val="24"/>
          <w:highlight w:val="none"/>
          <w:lang w:val="en-US" w:eastAsia="zh-CN"/>
        </w:rPr>
        <w:t>六</w:t>
      </w:r>
      <w:r>
        <w:rPr>
          <w:rFonts w:hint="eastAsia" w:ascii="宋体" w:hAnsi="宋体" w:eastAsia="宋体" w:cs="宋体"/>
          <w:b/>
          <w:bCs/>
          <w:color w:val="auto"/>
          <w:spacing w:val="-3"/>
          <w:sz w:val="24"/>
          <w:szCs w:val="24"/>
          <w:highlight w:val="none"/>
        </w:rPr>
        <w:t>节 中标确认</w:t>
      </w:r>
      <w:bookmarkEnd w:id="153"/>
      <w:bookmarkEnd w:id="154"/>
    </w:p>
    <w:p w14:paraId="1C9B1D7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1.中标人确定</w:t>
      </w:r>
    </w:p>
    <w:p w14:paraId="3E93A66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1.1 中标人确定。中标候选人公示期满无异议的，招标人确认排名第一的中标候选人为中标人，中标人的投标报价即为中标价。</w:t>
      </w:r>
    </w:p>
    <w:p w14:paraId="1C777CE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1.2 中标人确定后，招标人应当于7日内在线完成加盖招标人单位电子签章的中标通知书并发放到中标人及各相关单位。招标人最迟应当在投标有效期届满30日前发出中标通知书，否则，应当按照本投标人须知投标有效期的规定延长投标有效期。</w:t>
      </w:r>
      <w:r>
        <w:rPr>
          <w:rFonts w:hint="eastAsia" w:ascii="宋体" w:hAnsi="宋体" w:eastAsia="宋体" w:cs="宋体"/>
          <w:snapToGrid w:val="0"/>
          <w:color w:val="auto"/>
          <w:kern w:val="0"/>
          <w:sz w:val="24"/>
          <w:szCs w:val="24"/>
          <w:highlight w:val="none"/>
        </w:rPr>
        <w:t>在中标通知书发出后5个工作日内，韶关市公共资源交易中心将投标保证金（或银行保函）退还给中标候选人以外的投标人。</w:t>
      </w:r>
    </w:p>
    <w:p w14:paraId="2828294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1.3 招标人应当自中标通知书发出之日起15日内，通过广东省招标投标监管网和公共资源交易平台发布中标结果公示。 招标人应当自确定中标人之日起15日内，在线向有关招标管理部门提交招标投标情况的书面报告。</w:t>
      </w:r>
    </w:p>
    <w:p w14:paraId="757139A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异议和投诉</w:t>
      </w:r>
    </w:p>
    <w:p w14:paraId="124DF63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2.1 投标人或者其他利害关系人对招标项目的评标和中标结果有异议的，应当在定标候选人和中标候选人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7881D6A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2.2在定标候选人和中标候选人公示期间有关评标结果的异议成立的，招标人原则上应当组织原评标委员会和原定标委员会对有关的问题予以纠正，问题纠正后再公示定标候选人和中标候选人。</w:t>
      </w:r>
    </w:p>
    <w:p w14:paraId="7845302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62BA0DB3">
      <w:pPr>
        <w:pStyle w:val="12"/>
        <w:keepNext w:val="0"/>
        <w:keepLines w:val="0"/>
        <w:pageBreakBefore w:val="0"/>
        <w:widowControl w:val="0"/>
        <w:shd w:val="clear" w:color="auto" w:fill="auto"/>
        <w:kinsoku/>
        <w:wordWrap/>
        <w:overflowPunct/>
        <w:topLinePunct w:val="0"/>
        <w:bidi w:val="0"/>
        <w:adjustRightInd/>
        <w:snapToGrid/>
        <w:spacing w:before="0" w:beforeLines="0" w:after="0" w:afterLines="0" w:line="360" w:lineRule="auto"/>
        <w:ind w:left="0" w:leftChars="0" w:firstLine="482" w:firstLineChars="200"/>
        <w:jc w:val="both"/>
        <w:textAlignment w:val="auto"/>
        <w:outlineLvl w:val="9"/>
        <w:rPr>
          <w:rFonts w:hint="eastAsia" w:ascii="宋体" w:hAnsi="宋体" w:eastAsia="宋体" w:cs="宋体"/>
          <w:b/>
          <w:bCs/>
          <w:i/>
          <w:color w:val="auto"/>
          <w:sz w:val="24"/>
          <w:szCs w:val="24"/>
          <w:highlight w:val="none"/>
        </w:rPr>
      </w:pPr>
      <w:bookmarkStart w:id="155" w:name="_Toc236550039"/>
      <w:r>
        <w:rPr>
          <w:rStyle w:val="17"/>
          <w:rFonts w:hint="eastAsia" w:ascii="宋体" w:hAnsi="宋体" w:eastAsia="宋体" w:cs="宋体"/>
          <w:b/>
          <w:bCs/>
          <w:i w:val="0"/>
          <w:color w:val="auto"/>
          <w:sz w:val="24"/>
          <w:szCs w:val="24"/>
          <w:highlight w:val="none"/>
          <w:lang w:val="en-US" w:eastAsia="zh-CN"/>
        </w:rPr>
        <w:t>3</w:t>
      </w:r>
      <w:r>
        <w:rPr>
          <w:rStyle w:val="17"/>
          <w:rFonts w:hint="eastAsia" w:ascii="宋体" w:hAnsi="宋体" w:eastAsia="宋体" w:cs="宋体"/>
          <w:b/>
          <w:bCs/>
          <w:i w:val="0"/>
          <w:color w:val="auto"/>
          <w:sz w:val="24"/>
          <w:szCs w:val="24"/>
          <w:highlight w:val="none"/>
        </w:rPr>
        <w:t>．废除授标</w:t>
      </w:r>
      <w:bookmarkEnd w:id="155"/>
      <w:r>
        <w:rPr>
          <w:rStyle w:val="17"/>
          <w:rFonts w:hint="eastAsia" w:ascii="宋体" w:hAnsi="宋体" w:eastAsia="宋体" w:cs="宋体"/>
          <w:b/>
          <w:bCs/>
          <w:i w:val="0"/>
          <w:color w:val="auto"/>
          <w:sz w:val="24"/>
          <w:szCs w:val="24"/>
          <w:highlight w:val="none"/>
        </w:rPr>
        <w:t>及授标</w:t>
      </w:r>
    </w:p>
    <w:p w14:paraId="75528D4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3.1评定标完成后，中标候选人有下列情形之一的，招标人应按规定取消中标候选人资格或废除授标：</w:t>
      </w:r>
    </w:p>
    <w:p w14:paraId="770AB42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（1）以他人名义投标或者以其他方式弄虚作假骗取中标的；</w:t>
      </w:r>
    </w:p>
    <w:p w14:paraId="22A8E9A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（2）与其他投标人串通投标或以行贿的手段谋取中标的；</w:t>
      </w:r>
    </w:p>
    <w:p w14:paraId="5531C45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（3）不是从本投标企业基本账户提交投标担保或以虚假方式提交投标保证金保函（保单）的；</w:t>
      </w:r>
    </w:p>
    <w:p w14:paraId="15A742C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（4）中标人于投标有效期终止之前撤回投标文件，或者排名第一的中标候选人放弃中标资格的；</w:t>
      </w:r>
    </w:p>
    <w:p w14:paraId="3DA941F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（5）因中标人过错而未能按照规定与招标人签订工程总承包合同或中标人因不可抗力提出不能履行合同的；</w:t>
      </w:r>
    </w:p>
    <w:p w14:paraId="4C7ADAD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（6）因中标人过错而未能按照招标文件要求向招标人提交履约担保的；</w:t>
      </w:r>
    </w:p>
    <w:p w14:paraId="7A24E46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（7）中标单位拟派的项目负责人从投标截止时间起在其他建设工程担任项目负责人；</w:t>
      </w:r>
    </w:p>
    <w:p w14:paraId="4383BE9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（8）中标人被有关部门查实存在影响中标结果的违法行为，不符合中标条件的；</w:t>
      </w:r>
    </w:p>
    <w:p w14:paraId="39F6D0A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（9）中标人在参加本项目投标时有本企业投标承诺书所列被依法限制或暂停承揽业务或停业的处罚的；</w:t>
      </w:r>
    </w:p>
    <w:p w14:paraId="6AA12CD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（10）招标文件明确规定可以废除授标的其他情形。</w:t>
      </w:r>
    </w:p>
    <w:p w14:paraId="166EEA3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3682874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3.3 招标人有下列情形之一的，应依法承担相应的责任：</w:t>
      </w:r>
    </w:p>
    <w:p w14:paraId="12DD0DB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（1）无正当理由不发出中标通知书的；</w:t>
      </w:r>
    </w:p>
    <w:p w14:paraId="21BA9A1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（2）招标人不按照规定确定中标人的；</w:t>
      </w:r>
    </w:p>
    <w:p w14:paraId="15A1FD3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（3）中标通知书发出后无正当理由改变中标结果的；</w:t>
      </w:r>
    </w:p>
    <w:p w14:paraId="7339EA6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（4）无正当理由不与中标人签订工程总承包合同的；</w:t>
      </w:r>
    </w:p>
    <w:p w14:paraId="4393B67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Style w:val="21"/>
          <w:rFonts w:hint="eastAsia" w:ascii="宋体" w:hAnsi="宋体" w:eastAsia="宋体" w:cs="宋体"/>
          <w:color w:val="auto"/>
          <w:kern w:val="0"/>
          <w:sz w:val="24"/>
          <w:szCs w:val="24"/>
          <w:highlight w:val="none"/>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（5）在签订工程总承包合同时向中标人提出附加条件或者更改合同实质性内容的。</w:t>
      </w:r>
    </w:p>
    <w:p w14:paraId="03486548">
      <w:pPr>
        <w:keepNext w:val="0"/>
        <w:keepLines w:val="0"/>
        <w:pageBreakBefore w:val="0"/>
        <w:wordWrap/>
        <w:overflowPunct/>
        <w:topLinePunct w:val="0"/>
        <w:bidi w:val="0"/>
        <w:spacing w:line="360" w:lineRule="auto"/>
        <w:rPr>
          <w:rFonts w:hint="eastAsia"/>
          <w:color w:val="auto"/>
          <w:sz w:val="24"/>
          <w:szCs w:val="24"/>
          <w:highlight w:val="none"/>
        </w:rPr>
        <w:sectPr>
          <w:endnotePr>
            <w:numFmt w:val="decimal"/>
          </w:endnotePr>
          <w:pgSz w:w="11906" w:h="16838"/>
          <w:pgMar w:top="1247" w:right="1304" w:bottom="1247" w:left="1304" w:header="850" w:footer="544" w:gutter="0"/>
          <w:pgNumType w:fmt="decimal"/>
          <w:cols w:space="720" w:num="1"/>
          <w:rtlGutter w:val="0"/>
          <w:docGrid w:linePitch="327" w:charSpace="0"/>
        </w:sectPr>
      </w:pPr>
    </w:p>
    <w:p w14:paraId="40FF2458">
      <w:pPr>
        <w:spacing w:before="78" w:line="219" w:lineRule="auto"/>
        <w:ind w:left="3525"/>
        <w:outlineLvl w:val="0"/>
        <w:rPr>
          <w:rFonts w:hint="eastAsia" w:ascii="宋体" w:hAnsi="宋体" w:eastAsia="宋体" w:cs="宋体"/>
          <w:color w:val="auto"/>
          <w:sz w:val="24"/>
          <w:szCs w:val="24"/>
          <w:highlight w:val="none"/>
        </w:rPr>
      </w:pPr>
      <w:bookmarkStart w:id="156" w:name="_Toc13655"/>
      <w:r>
        <w:rPr>
          <w:rFonts w:hint="eastAsia" w:ascii="宋体" w:hAnsi="宋体" w:eastAsia="宋体" w:cs="宋体"/>
          <w:b/>
          <w:bCs/>
          <w:color w:val="auto"/>
          <w:spacing w:val="-7"/>
          <w:sz w:val="24"/>
          <w:szCs w:val="24"/>
          <w:highlight w:val="none"/>
        </w:rPr>
        <w:t>第二章</w:t>
      </w:r>
      <w:r>
        <w:rPr>
          <w:rFonts w:hint="eastAsia" w:ascii="宋体" w:hAnsi="宋体" w:eastAsia="宋体" w:cs="宋体"/>
          <w:color w:val="auto"/>
          <w:spacing w:val="32"/>
          <w:sz w:val="24"/>
          <w:szCs w:val="24"/>
          <w:highlight w:val="none"/>
        </w:rPr>
        <w:t xml:space="preserve"> </w:t>
      </w:r>
      <w:r>
        <w:rPr>
          <w:rFonts w:hint="eastAsia" w:ascii="宋体" w:hAnsi="宋体" w:eastAsia="宋体" w:cs="宋体"/>
          <w:b/>
          <w:bCs/>
          <w:color w:val="auto"/>
          <w:spacing w:val="-7"/>
          <w:sz w:val="24"/>
          <w:szCs w:val="24"/>
          <w:highlight w:val="none"/>
        </w:rPr>
        <w:t>中标人须知</w:t>
      </w:r>
      <w:bookmarkEnd w:id="156"/>
    </w:p>
    <w:p w14:paraId="402B19DE">
      <w:pPr>
        <w:spacing w:before="78" w:line="219" w:lineRule="auto"/>
        <w:ind w:left="582"/>
        <w:outlineLvl w:val="2"/>
        <w:rPr>
          <w:rFonts w:hint="eastAsia" w:ascii="宋体" w:hAnsi="宋体" w:eastAsia="宋体" w:cs="宋体"/>
          <w:color w:val="auto"/>
          <w:sz w:val="24"/>
          <w:szCs w:val="24"/>
          <w:highlight w:val="none"/>
        </w:rPr>
      </w:pPr>
      <w:bookmarkStart w:id="157" w:name="_Toc21697"/>
      <w:r>
        <w:rPr>
          <w:rFonts w:hint="eastAsia" w:ascii="宋体" w:hAnsi="宋体" w:eastAsia="宋体" w:cs="宋体"/>
          <w:b/>
          <w:bCs/>
          <w:color w:val="auto"/>
          <w:spacing w:val="-9"/>
          <w:sz w:val="24"/>
          <w:szCs w:val="24"/>
          <w:highlight w:val="none"/>
        </w:rPr>
        <w:t>1</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9"/>
          <w:sz w:val="24"/>
          <w:szCs w:val="24"/>
          <w:highlight w:val="none"/>
        </w:rPr>
        <w:t>．中标通知书</w:t>
      </w:r>
      <w:bookmarkEnd w:id="157"/>
    </w:p>
    <w:p w14:paraId="1F85F31A">
      <w:pPr>
        <w:spacing w:before="152" w:line="332" w:lineRule="auto"/>
        <w:ind w:left="17" w:firstLine="55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招标人确定第一中标候选人为中标人，并在中标人确定之日起</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pacing w:val="1"/>
          <w:sz w:val="24"/>
          <w:szCs w:val="24"/>
          <w:highlight w:val="none"/>
        </w:rPr>
        <w:t>7日内向中</w:t>
      </w:r>
      <w:r>
        <w:rPr>
          <w:rFonts w:hint="eastAsia" w:ascii="宋体" w:hAnsi="宋体" w:eastAsia="宋体" w:cs="宋体"/>
          <w:color w:val="auto"/>
          <w:sz w:val="24"/>
          <w:szCs w:val="24"/>
          <w:highlight w:val="none"/>
        </w:rPr>
        <w:t>标人发</w:t>
      </w:r>
      <w:r>
        <w:rPr>
          <w:rFonts w:hint="eastAsia" w:ascii="宋体" w:hAnsi="宋体" w:eastAsia="宋体" w:cs="宋体"/>
          <w:color w:val="auto"/>
          <w:spacing w:val="-3"/>
          <w:sz w:val="24"/>
          <w:szCs w:val="24"/>
          <w:highlight w:val="none"/>
        </w:rPr>
        <w:t>出中标通知书，中标人必须按韶关市公共资源交易中心的规定办理相关手续后方可领取。</w:t>
      </w:r>
      <w:r>
        <w:rPr>
          <w:rFonts w:hint="eastAsia" w:ascii="宋体" w:hAnsi="宋体" w:eastAsia="宋体" w:cs="宋体"/>
          <w:color w:val="auto"/>
          <w:spacing w:val="-2"/>
          <w:sz w:val="24"/>
          <w:szCs w:val="24"/>
          <w:highlight w:val="none"/>
        </w:rPr>
        <w:t>中标通知书对招标人和中标人均具有法律约束力。中标通知书发出后，招标人改变中标</w:t>
      </w:r>
      <w:r>
        <w:rPr>
          <w:rFonts w:hint="eastAsia" w:ascii="宋体" w:hAnsi="宋体" w:eastAsia="宋体" w:cs="宋体"/>
          <w:color w:val="auto"/>
          <w:spacing w:val="-1"/>
          <w:sz w:val="24"/>
          <w:szCs w:val="24"/>
          <w:highlight w:val="none"/>
        </w:rPr>
        <w:t>结果和中标人放弃中标的，应当承担法律责任。</w:t>
      </w:r>
    </w:p>
    <w:p w14:paraId="53767228">
      <w:pPr>
        <w:pStyle w:val="5"/>
        <w:spacing w:line="394" w:lineRule="auto"/>
        <w:rPr>
          <w:rFonts w:hint="eastAsia" w:ascii="宋体" w:hAnsi="宋体" w:eastAsia="宋体" w:cs="宋体"/>
          <w:color w:val="auto"/>
          <w:highlight w:val="none"/>
        </w:rPr>
      </w:pPr>
    </w:p>
    <w:p w14:paraId="61B5CE33">
      <w:pPr>
        <w:spacing w:before="78" w:line="221" w:lineRule="auto"/>
        <w:ind w:left="572"/>
        <w:outlineLvl w:val="2"/>
        <w:rPr>
          <w:rFonts w:hint="eastAsia" w:ascii="宋体" w:hAnsi="宋体" w:eastAsia="宋体" w:cs="宋体"/>
          <w:color w:val="auto"/>
          <w:sz w:val="24"/>
          <w:szCs w:val="24"/>
          <w:highlight w:val="none"/>
        </w:rPr>
      </w:pPr>
      <w:bookmarkStart w:id="158" w:name="_Toc979"/>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．中标结果公示</w:t>
      </w:r>
      <w:bookmarkEnd w:id="158"/>
    </w:p>
    <w:p w14:paraId="6AD9A058">
      <w:pPr>
        <w:spacing w:before="115" w:line="316" w:lineRule="auto"/>
        <w:ind w:left="2" w:right="203" w:firstLine="595"/>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中标通知书发出后</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2"/>
          <w:sz w:val="24"/>
          <w:szCs w:val="24"/>
          <w:highlight w:val="none"/>
        </w:rPr>
        <w:t>15日内，招标人应将中标结果在广东省招标投标</w:t>
      </w:r>
      <w:r>
        <w:rPr>
          <w:rFonts w:hint="eastAsia" w:ascii="宋体" w:hAnsi="宋体" w:eastAsia="宋体" w:cs="宋体"/>
          <w:color w:val="auto"/>
          <w:spacing w:val="-3"/>
          <w:sz w:val="24"/>
          <w:szCs w:val="24"/>
          <w:highlight w:val="none"/>
        </w:rPr>
        <w:t>监管网（http:</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//zbtb.gd.gov.cn）、全国公共资源交易平台（广东省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34"/>
          <w:sz w:val="24"/>
          <w:szCs w:val="24"/>
          <w:highlight w:val="none"/>
        </w:rPr>
        <w:t>）（</w:t>
      </w:r>
      <w:r>
        <w:rPr>
          <w:rFonts w:hint="eastAsia" w:ascii="宋体" w:hAnsi="宋体" w:eastAsia="宋体" w:cs="宋体"/>
          <w:color w:val="auto"/>
          <w:spacing w:val="-2"/>
          <w:sz w:val="24"/>
          <w:szCs w:val="24"/>
          <w:highlight w:val="none"/>
        </w:rPr>
        <w:t>https://ygp.</w:t>
      </w:r>
      <w:r>
        <w:rPr>
          <w:rFonts w:hint="eastAsia" w:ascii="宋体" w:hAnsi="宋体" w:eastAsia="宋体" w:cs="宋体"/>
          <w:color w:val="auto"/>
          <w:spacing w:val="-3"/>
          <w:sz w:val="24"/>
          <w:szCs w:val="24"/>
          <w:highlight w:val="none"/>
        </w:rPr>
        <w:t>gdzwfw.gov.</w:t>
      </w:r>
      <w:r>
        <w:rPr>
          <w:rFonts w:hint="eastAsia" w:ascii="宋体" w:hAnsi="宋体" w:eastAsia="宋体" w:cs="宋体"/>
          <w:color w:val="auto"/>
          <w:sz w:val="24"/>
          <w:szCs w:val="24"/>
          <w:highlight w:val="none"/>
        </w:rPr>
        <w:t xml:space="preserve"> cn/ggzy-portal/#/440200/index）进行公示。</w:t>
      </w:r>
    </w:p>
    <w:p w14:paraId="2BDCC37E">
      <w:pPr>
        <w:pStyle w:val="5"/>
        <w:spacing w:line="475" w:lineRule="auto"/>
        <w:rPr>
          <w:rFonts w:hint="eastAsia" w:ascii="宋体" w:hAnsi="宋体" w:eastAsia="宋体" w:cs="宋体"/>
          <w:color w:val="auto"/>
          <w:highlight w:val="none"/>
        </w:rPr>
      </w:pPr>
    </w:p>
    <w:p w14:paraId="4561B243">
      <w:pPr>
        <w:spacing w:before="79" w:line="221" w:lineRule="auto"/>
        <w:ind w:left="570"/>
        <w:outlineLvl w:val="2"/>
        <w:rPr>
          <w:rFonts w:hint="eastAsia" w:ascii="宋体" w:hAnsi="宋体" w:eastAsia="宋体" w:cs="宋体"/>
          <w:color w:val="auto"/>
          <w:sz w:val="24"/>
          <w:szCs w:val="24"/>
          <w:highlight w:val="none"/>
        </w:rPr>
      </w:pPr>
      <w:bookmarkStart w:id="159" w:name="_Toc13145"/>
      <w:r>
        <w:rPr>
          <w:rFonts w:hint="eastAsia" w:ascii="宋体" w:hAnsi="宋体" w:eastAsia="宋体" w:cs="宋体"/>
          <w:b/>
          <w:bCs/>
          <w:color w:val="auto"/>
          <w:spacing w:val="-8"/>
          <w:sz w:val="24"/>
          <w:szCs w:val="24"/>
          <w:highlight w:val="none"/>
        </w:rPr>
        <w:t>3</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8"/>
          <w:sz w:val="24"/>
          <w:szCs w:val="24"/>
          <w:highlight w:val="none"/>
        </w:rPr>
        <w:t>．履约保证</w:t>
      </w:r>
      <w:bookmarkEnd w:id="159"/>
    </w:p>
    <w:p w14:paraId="7D2CCCB8">
      <w:pPr>
        <w:keepNext w:val="0"/>
        <w:keepLines w:val="0"/>
        <w:pageBreakBefore w:val="0"/>
        <w:widowControl/>
        <w:kinsoku w:val="0"/>
        <w:wordWrap/>
        <w:overflowPunct/>
        <w:topLinePunct w:val="0"/>
        <w:autoSpaceDE w:val="0"/>
        <w:autoSpaceDN w:val="0"/>
        <w:bidi w:val="0"/>
        <w:adjustRightInd w:val="0"/>
        <w:snapToGrid w:val="0"/>
        <w:spacing w:before="153" w:line="312" w:lineRule="auto"/>
        <w:ind w:firstLine="47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3.1</w:t>
      </w:r>
      <w:r>
        <w:rPr>
          <w:rFonts w:hint="eastAsia" w:ascii="宋体" w:hAnsi="宋体" w:eastAsia="宋体" w:cs="宋体"/>
          <w:b/>
          <w:bCs/>
          <w:color w:val="auto"/>
          <w:spacing w:val="17"/>
          <w:sz w:val="24"/>
          <w:szCs w:val="24"/>
          <w:highlight w:val="none"/>
        </w:rPr>
        <w:t xml:space="preserve">  </w:t>
      </w:r>
      <w:r>
        <w:rPr>
          <w:rFonts w:hint="eastAsia" w:ascii="宋体" w:hAnsi="宋体" w:eastAsia="宋体" w:cs="宋体"/>
          <w:color w:val="auto"/>
          <w:spacing w:val="-3"/>
          <w:sz w:val="24"/>
          <w:szCs w:val="24"/>
          <w:highlight w:val="none"/>
        </w:rPr>
        <w:t>中标人须在领取中标通知书之日起</w:t>
      </w:r>
      <w:r>
        <w:rPr>
          <w:rFonts w:hint="eastAsia" w:ascii="宋体" w:hAnsi="宋体" w:eastAsia="宋体" w:cs="宋体"/>
          <w:color w:val="auto"/>
          <w:spacing w:val="-3"/>
          <w:sz w:val="24"/>
          <w:szCs w:val="24"/>
          <w:highlight w:val="none"/>
          <w:u w:val="single"/>
          <w:lang w:val="en-US" w:eastAsia="zh-CN"/>
        </w:rPr>
        <w:t xml:space="preserve"> 10 </w:t>
      </w:r>
      <w:r>
        <w:rPr>
          <w:rFonts w:hint="eastAsia" w:ascii="宋体" w:hAnsi="宋体" w:eastAsia="宋体" w:cs="宋体"/>
          <w:color w:val="auto"/>
          <w:spacing w:val="-3"/>
          <w:sz w:val="24"/>
          <w:szCs w:val="24"/>
          <w:highlight w:val="none"/>
        </w:rPr>
        <w:t>个工作日内、签订合同前向招标人提交金额</w:t>
      </w:r>
      <w:r>
        <w:rPr>
          <w:rFonts w:hint="eastAsia" w:ascii="宋体" w:hAnsi="宋体" w:eastAsia="宋体" w:cs="宋体"/>
          <w:color w:val="auto"/>
          <w:spacing w:val="-1"/>
          <w:position w:val="2"/>
          <w:sz w:val="24"/>
          <w:szCs w:val="24"/>
          <w:highlight w:val="none"/>
        </w:rPr>
        <w:t>为中标价</w:t>
      </w:r>
      <w:r>
        <w:rPr>
          <w:rFonts w:hint="eastAsia" w:ascii="宋体" w:hAnsi="宋体" w:eastAsia="宋体" w:cs="宋体"/>
          <w:color w:val="auto"/>
          <w:spacing w:val="-1"/>
          <w:position w:val="2"/>
          <w:sz w:val="24"/>
          <w:szCs w:val="24"/>
          <w:highlight w:val="none"/>
          <w:u w:val="single"/>
          <w:lang w:val="en-US" w:eastAsia="zh-CN"/>
        </w:rPr>
        <w:t xml:space="preserve"> 5</w:t>
      </w:r>
      <w:r>
        <w:rPr>
          <w:rFonts w:hint="eastAsia" w:ascii="宋体" w:hAnsi="宋体" w:eastAsia="宋体" w:cs="宋体"/>
          <w:color w:val="auto"/>
          <w:spacing w:val="-1"/>
          <w:position w:val="2"/>
          <w:sz w:val="24"/>
          <w:szCs w:val="24"/>
          <w:highlight w:val="none"/>
          <w:u w:val="single"/>
        </w:rPr>
        <w:t>%</w:t>
      </w:r>
      <w:r>
        <w:rPr>
          <w:rFonts w:hint="eastAsia" w:ascii="宋体" w:hAnsi="宋体" w:eastAsia="宋体" w:cs="宋体"/>
          <w:color w:val="auto"/>
          <w:spacing w:val="-1"/>
          <w:position w:val="2"/>
          <w:sz w:val="24"/>
          <w:szCs w:val="24"/>
          <w:highlight w:val="none"/>
        </w:rPr>
        <w:t>的履约保证。联合体中标的，由联合体牵头人提交。</w:t>
      </w:r>
    </w:p>
    <w:p w14:paraId="1DD1A590">
      <w:pPr>
        <w:spacing w:before="89" w:line="286" w:lineRule="auto"/>
        <w:ind w:left="12" w:right="108" w:firstLine="473"/>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3.2</w:t>
      </w:r>
      <w:r>
        <w:rPr>
          <w:rFonts w:hint="eastAsia" w:ascii="宋体" w:hAnsi="宋体" w:eastAsia="宋体" w:cs="宋体"/>
          <w:b/>
          <w:bCs/>
          <w:color w:val="auto"/>
          <w:spacing w:val="34"/>
          <w:w w:val="101"/>
          <w:sz w:val="24"/>
          <w:szCs w:val="24"/>
          <w:highlight w:val="none"/>
        </w:rPr>
        <w:t xml:space="preserve"> </w:t>
      </w:r>
      <w:r>
        <w:rPr>
          <w:rFonts w:hint="eastAsia" w:ascii="宋体" w:hAnsi="宋体" w:eastAsia="宋体" w:cs="宋体"/>
          <w:color w:val="auto"/>
          <w:spacing w:val="-1"/>
          <w:position w:val="2"/>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auto"/>
          <w:spacing w:val="-2"/>
          <w:sz w:val="24"/>
          <w:szCs w:val="24"/>
          <w:highlight w:val="none"/>
        </w:rPr>
        <w:t>。商业保函、银行保函或保险合同（或保险单）的</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1"/>
          <w:sz w:val="24"/>
          <w:szCs w:val="24"/>
          <w:highlight w:val="none"/>
        </w:rPr>
        <w:t>有效期应当自合同生效之日起至项目通过竣工验收之日后</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
          <w:sz w:val="24"/>
          <w:szCs w:val="24"/>
          <w:highlight w:val="none"/>
        </w:rPr>
        <w:t>28 天止。</w:t>
      </w:r>
    </w:p>
    <w:p w14:paraId="3E95E01B">
      <w:pPr>
        <w:wordWrap w:val="0"/>
        <w:spacing w:line="440" w:lineRule="exact"/>
        <w:ind w:firstLine="562"/>
        <w:rPr>
          <w:rFonts w:hint="eastAsia" w:ascii="宋体" w:hAnsi="宋体" w:eastAsia="宋体" w:cs="宋体"/>
          <w:color w:val="auto"/>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position w:val="2"/>
          <w:sz w:val="24"/>
          <w:szCs w:val="24"/>
          <w:highlight w:val="none"/>
          <w:lang w:eastAsia="zh-CN"/>
        </w:rPr>
        <w:t>注：中标通知书发出时，招标人发起收缴履约保证金并填写保证金金额、缴交时限和项目工期；由中标人在建设工程交易系统中自主选择一种进行缴交。项目竣工后，由招标人发起退保。）</w:t>
      </w:r>
    </w:p>
    <w:p w14:paraId="6F866D25">
      <w:pPr>
        <w:spacing w:before="145" w:line="319" w:lineRule="auto"/>
        <w:ind w:left="12" w:right="108"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3.3</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4"/>
          <w:sz w:val="24"/>
          <w:szCs w:val="24"/>
          <w:highlight w:val="none"/>
        </w:rPr>
        <w:t>中标人在领取中标通知书之日起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10 个工</w:t>
      </w:r>
      <w:r>
        <w:rPr>
          <w:rFonts w:hint="eastAsia" w:ascii="宋体" w:hAnsi="宋体" w:eastAsia="宋体" w:cs="宋体"/>
          <w:color w:val="auto"/>
          <w:spacing w:val="-5"/>
          <w:sz w:val="24"/>
          <w:szCs w:val="24"/>
          <w:highlight w:val="none"/>
        </w:rPr>
        <w:t>作日内仍未提交履约保证的，招标人发</w:t>
      </w:r>
      <w:r>
        <w:rPr>
          <w:rFonts w:hint="eastAsia" w:ascii="宋体" w:hAnsi="宋体" w:eastAsia="宋体" w:cs="宋体"/>
          <w:color w:val="auto"/>
          <w:spacing w:val="1"/>
          <w:sz w:val="24"/>
          <w:szCs w:val="24"/>
          <w:highlight w:val="none"/>
        </w:rPr>
        <w:t>出第一次提醒函；在领取中标通知书之日起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1"/>
          <w:sz w:val="24"/>
          <w:szCs w:val="24"/>
          <w:highlight w:val="none"/>
        </w:rPr>
        <w:t>15 个工作日内仍未提交的</w:t>
      </w:r>
      <w:r>
        <w:rPr>
          <w:rFonts w:hint="eastAsia" w:ascii="宋体" w:hAnsi="宋体" w:eastAsia="宋体" w:cs="宋体"/>
          <w:color w:val="auto"/>
          <w:sz w:val="24"/>
          <w:szCs w:val="24"/>
          <w:highlight w:val="none"/>
        </w:rPr>
        <w:t>，招标人发出第</w:t>
      </w:r>
      <w:r>
        <w:rPr>
          <w:rFonts w:hint="eastAsia" w:ascii="宋体" w:hAnsi="宋体" w:eastAsia="宋体" w:cs="宋体"/>
          <w:color w:val="auto"/>
          <w:spacing w:val="1"/>
          <w:sz w:val="24"/>
          <w:szCs w:val="24"/>
          <w:highlight w:val="none"/>
        </w:rPr>
        <w:t>二次提醒函；在领取中标通知书之日起</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1"/>
          <w:sz w:val="24"/>
          <w:szCs w:val="24"/>
          <w:highlight w:val="none"/>
        </w:rPr>
        <w:t>20 个工作日内仍未提交的，视其放弃中标。并</w:t>
      </w:r>
      <w:r>
        <w:rPr>
          <w:rFonts w:hint="eastAsia" w:ascii="宋体" w:hAnsi="宋体" w:eastAsia="宋体" w:cs="宋体"/>
          <w:color w:val="auto"/>
          <w:spacing w:val="-2"/>
          <w:sz w:val="24"/>
          <w:szCs w:val="24"/>
          <w:highlight w:val="none"/>
        </w:rPr>
        <w:t>由招标人通报建设行政管理部门。如采用商业保函、银行保函或保险合同方式缴纳履约保证金，在保函或保险合同到期前一个月，中标人须主动办理续期手续或提交新的商业</w:t>
      </w:r>
      <w:r>
        <w:rPr>
          <w:rFonts w:hint="eastAsia" w:ascii="宋体" w:hAnsi="宋体" w:eastAsia="宋体" w:cs="宋体"/>
          <w:color w:val="auto"/>
          <w:spacing w:val="-1"/>
          <w:sz w:val="24"/>
          <w:szCs w:val="24"/>
          <w:highlight w:val="none"/>
        </w:rPr>
        <w:t>保函、银行保函或保险合同。</w:t>
      </w:r>
    </w:p>
    <w:p w14:paraId="45A8E8A9">
      <w:pPr>
        <w:spacing w:before="152" w:line="299" w:lineRule="auto"/>
        <w:ind w:left="12" w:right="108"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3.4  </w:t>
      </w:r>
      <w:r>
        <w:rPr>
          <w:rFonts w:hint="eastAsia" w:ascii="宋体" w:hAnsi="宋体" w:eastAsia="宋体" w:cs="宋体"/>
          <w:color w:val="auto"/>
          <w:sz w:val="24"/>
          <w:szCs w:val="24"/>
          <w:highlight w:val="none"/>
        </w:rPr>
        <w:t>在工程实施过程中，如果承包人（即招标阶段的中标人，下同）由于自身的资</w:t>
      </w:r>
      <w:r>
        <w:rPr>
          <w:rFonts w:hint="eastAsia" w:ascii="宋体" w:hAnsi="宋体" w:eastAsia="宋体" w:cs="宋体"/>
          <w:color w:val="auto"/>
          <w:spacing w:val="-2"/>
          <w:sz w:val="24"/>
          <w:szCs w:val="24"/>
          <w:highlight w:val="none"/>
        </w:rPr>
        <w:t>金、技术、质量、非不可抗力等原因给发包人（即招标阶段的招标人，下同）造成经济</w:t>
      </w:r>
      <w:r>
        <w:rPr>
          <w:rFonts w:hint="eastAsia" w:ascii="宋体" w:hAnsi="宋体" w:eastAsia="宋体" w:cs="宋体"/>
          <w:color w:val="auto"/>
          <w:spacing w:val="-1"/>
          <w:sz w:val="24"/>
          <w:szCs w:val="24"/>
          <w:highlight w:val="none"/>
        </w:rPr>
        <w:t>损失，发包人有权扣划相应金额的履约保证。</w:t>
      </w:r>
    </w:p>
    <w:p w14:paraId="0A954E0F">
      <w:pPr>
        <w:spacing w:before="154" w:line="220" w:lineRule="auto"/>
        <w:ind w:left="48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3.5  </w:t>
      </w:r>
      <w:r>
        <w:rPr>
          <w:rFonts w:hint="eastAsia" w:ascii="宋体" w:hAnsi="宋体" w:eastAsia="宋体" w:cs="宋体"/>
          <w:color w:val="auto"/>
          <w:sz w:val="24"/>
          <w:szCs w:val="24"/>
          <w:highlight w:val="none"/>
        </w:rPr>
        <w:t>项目通过竣工验收之日后</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28 天内，发包人将履</w:t>
      </w:r>
      <w:r>
        <w:rPr>
          <w:rFonts w:hint="eastAsia" w:ascii="宋体" w:hAnsi="宋体" w:eastAsia="宋体" w:cs="宋体"/>
          <w:color w:val="auto"/>
          <w:spacing w:val="-1"/>
          <w:sz w:val="24"/>
          <w:szCs w:val="24"/>
          <w:highlight w:val="none"/>
        </w:rPr>
        <w:t>约保证退还给承包人。</w:t>
      </w:r>
    </w:p>
    <w:p w14:paraId="526DE87A">
      <w:pPr>
        <w:pStyle w:val="5"/>
        <w:spacing w:line="256" w:lineRule="auto"/>
        <w:rPr>
          <w:rFonts w:hint="eastAsia" w:ascii="宋体" w:hAnsi="宋体" w:eastAsia="宋体" w:cs="宋体"/>
          <w:color w:val="auto"/>
          <w:highlight w:val="none"/>
        </w:rPr>
      </w:pPr>
    </w:p>
    <w:p w14:paraId="00B41A28">
      <w:pPr>
        <w:pStyle w:val="5"/>
        <w:spacing w:line="257" w:lineRule="auto"/>
        <w:rPr>
          <w:rFonts w:hint="eastAsia" w:ascii="宋体" w:hAnsi="宋体" w:eastAsia="宋体" w:cs="宋体"/>
          <w:color w:val="auto"/>
          <w:highlight w:val="none"/>
        </w:rPr>
      </w:pPr>
    </w:p>
    <w:p w14:paraId="7231A156">
      <w:pPr>
        <w:spacing w:before="78" w:line="222" w:lineRule="auto"/>
        <w:ind w:left="488"/>
        <w:outlineLvl w:val="2"/>
        <w:rPr>
          <w:rFonts w:hint="eastAsia" w:ascii="宋体" w:hAnsi="宋体" w:eastAsia="宋体" w:cs="宋体"/>
          <w:color w:val="auto"/>
          <w:sz w:val="24"/>
          <w:szCs w:val="24"/>
          <w:highlight w:val="none"/>
        </w:rPr>
      </w:pPr>
      <w:bookmarkStart w:id="160" w:name="_Toc133"/>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8"/>
          <w:sz w:val="24"/>
          <w:szCs w:val="24"/>
          <w:highlight w:val="none"/>
        </w:rPr>
        <w:t>．合同订立</w:t>
      </w:r>
      <w:bookmarkEnd w:id="160"/>
    </w:p>
    <w:p w14:paraId="17770D9E">
      <w:pPr>
        <w:spacing w:before="150" w:line="279" w:lineRule="auto"/>
        <w:ind w:left="13" w:right="108"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4.1  </w:t>
      </w:r>
      <w:r>
        <w:rPr>
          <w:rFonts w:hint="eastAsia" w:ascii="宋体" w:hAnsi="宋体" w:eastAsia="宋体" w:cs="宋体"/>
          <w:color w:val="auto"/>
          <w:sz w:val="24"/>
          <w:szCs w:val="24"/>
          <w:highlight w:val="none"/>
        </w:rPr>
        <w:t>招标人应当自中标通知书发出之日起</w:t>
      </w:r>
      <w:r>
        <w:rPr>
          <w:rFonts w:hint="eastAsia" w:ascii="宋体" w:hAnsi="宋体" w:eastAsia="宋体" w:cs="宋体"/>
          <w:color w:val="auto"/>
          <w:sz w:val="24"/>
          <w:szCs w:val="24"/>
          <w:highlight w:val="none"/>
          <w:u w:val="single"/>
          <w:lang w:val="en-US" w:eastAsia="zh-CN"/>
        </w:rPr>
        <w:t xml:space="preserve"> 三十 </w:t>
      </w:r>
      <w:r>
        <w:rPr>
          <w:rFonts w:hint="eastAsia" w:ascii="宋体" w:hAnsi="宋体" w:eastAsia="宋体" w:cs="宋体"/>
          <w:color w:val="auto"/>
          <w:sz w:val="24"/>
          <w:szCs w:val="24"/>
          <w:highlight w:val="none"/>
        </w:rPr>
        <w:t>日内，按照招标文件、中标人的投标</w:t>
      </w:r>
      <w:r>
        <w:rPr>
          <w:rFonts w:hint="eastAsia" w:ascii="宋体" w:hAnsi="宋体" w:eastAsia="宋体" w:cs="宋体"/>
          <w:color w:val="auto"/>
          <w:spacing w:val="-1"/>
          <w:sz w:val="24"/>
          <w:szCs w:val="24"/>
          <w:highlight w:val="none"/>
        </w:rPr>
        <w:t>文件与中标人订立书面合同。</w:t>
      </w:r>
    </w:p>
    <w:p w14:paraId="0D841483">
      <w:pPr>
        <w:spacing w:before="156"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4.2  </w:t>
      </w:r>
      <w:r>
        <w:rPr>
          <w:rFonts w:hint="eastAsia" w:ascii="宋体" w:hAnsi="宋体" w:eastAsia="宋体" w:cs="宋体"/>
          <w:color w:val="auto"/>
          <w:spacing w:val="-1"/>
          <w:sz w:val="24"/>
          <w:szCs w:val="24"/>
          <w:highlight w:val="none"/>
        </w:rPr>
        <w:t>不正常报价的梳理和确认</w:t>
      </w:r>
    </w:p>
    <w:p w14:paraId="057ACCAE">
      <w:pPr>
        <w:spacing w:before="154" w:line="299" w:lineRule="auto"/>
        <w:ind w:left="14" w:right="64"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4.2.1 合同订立期间，在不改变中标人的投标总价的前提下，招标人应对中标人的</w:t>
      </w:r>
      <w:r>
        <w:rPr>
          <w:rFonts w:hint="eastAsia" w:ascii="宋体" w:hAnsi="宋体" w:eastAsia="宋体" w:cs="宋体"/>
          <w:b/>
          <w:bCs/>
          <w:color w:val="auto"/>
          <w:spacing w:val="-3"/>
          <w:sz w:val="24"/>
          <w:szCs w:val="24"/>
          <w:highlight w:val="none"/>
        </w:rPr>
        <w:t>投标报价进行全面分析和整理，从而发现并提取其中可能存在的算术性错误、错漏项、不平衡报价等不正常报价，并修正其中的算术性错误。</w:t>
      </w:r>
      <w:r>
        <w:rPr>
          <w:rFonts w:hint="eastAsia" w:ascii="宋体" w:hAnsi="宋体" w:eastAsia="宋体" w:cs="宋体"/>
          <w:color w:val="auto"/>
          <w:spacing w:val="-3"/>
          <w:sz w:val="24"/>
          <w:szCs w:val="24"/>
          <w:highlight w:val="none"/>
        </w:rPr>
        <w:t>招标人不具备</w:t>
      </w:r>
      <w:r>
        <w:rPr>
          <w:rFonts w:hint="eastAsia" w:ascii="宋体" w:hAnsi="宋体" w:eastAsia="宋体" w:cs="宋体"/>
          <w:color w:val="auto"/>
          <w:spacing w:val="-4"/>
          <w:sz w:val="24"/>
          <w:szCs w:val="24"/>
          <w:highlight w:val="none"/>
        </w:rPr>
        <w:t>以上能力的，可授</w:t>
      </w:r>
      <w:r>
        <w:rPr>
          <w:rFonts w:hint="eastAsia" w:ascii="宋体" w:hAnsi="宋体" w:eastAsia="宋体" w:cs="宋体"/>
          <w:color w:val="auto"/>
          <w:spacing w:val="-1"/>
          <w:sz w:val="24"/>
          <w:szCs w:val="24"/>
          <w:highlight w:val="none"/>
        </w:rPr>
        <w:t>权编制本项目</w:t>
      </w:r>
      <w:r>
        <w:rPr>
          <w:rFonts w:hint="eastAsia" w:ascii="宋体" w:hAnsi="宋体" w:eastAsia="宋体" w:cs="宋体"/>
          <w:color w:val="auto"/>
          <w:spacing w:val="-1"/>
          <w:sz w:val="24"/>
          <w:szCs w:val="24"/>
          <w:highlight w:val="none"/>
          <w:lang w:eastAsia="zh-CN"/>
        </w:rPr>
        <w:t>最高投标限价</w:t>
      </w:r>
      <w:r>
        <w:rPr>
          <w:rFonts w:hint="eastAsia" w:ascii="宋体" w:hAnsi="宋体" w:eastAsia="宋体" w:cs="宋体"/>
          <w:color w:val="auto"/>
          <w:spacing w:val="-1"/>
          <w:sz w:val="24"/>
          <w:szCs w:val="24"/>
          <w:highlight w:val="none"/>
        </w:rPr>
        <w:t>的造价咨询单位实施。</w:t>
      </w:r>
    </w:p>
    <w:p w14:paraId="5E5BBF72">
      <w:pPr>
        <w:spacing w:before="121" w:line="309" w:lineRule="auto"/>
        <w:ind w:left="14" w:right="65"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4.2.2  </w:t>
      </w:r>
      <w:r>
        <w:rPr>
          <w:rFonts w:hint="eastAsia" w:ascii="宋体" w:hAnsi="宋体" w:eastAsia="宋体" w:cs="宋体"/>
          <w:color w:val="auto"/>
          <w:spacing w:val="2"/>
          <w:sz w:val="24"/>
          <w:szCs w:val="24"/>
          <w:highlight w:val="none"/>
        </w:rPr>
        <w:t>算术性错误的分析和修正。投标报价汇</w:t>
      </w:r>
      <w:r>
        <w:rPr>
          <w:rFonts w:hint="eastAsia" w:ascii="宋体" w:hAnsi="宋体" w:eastAsia="宋体" w:cs="宋体"/>
          <w:color w:val="auto"/>
          <w:spacing w:val="1"/>
          <w:sz w:val="24"/>
          <w:szCs w:val="24"/>
          <w:highlight w:val="none"/>
        </w:rPr>
        <w:t>总表中，投标总价与各分项费用之和</w:t>
      </w:r>
      <w:r>
        <w:rPr>
          <w:rFonts w:hint="eastAsia" w:ascii="宋体" w:hAnsi="宋体" w:eastAsia="宋体" w:cs="宋体"/>
          <w:color w:val="auto"/>
          <w:spacing w:val="-2"/>
          <w:sz w:val="24"/>
          <w:szCs w:val="24"/>
          <w:highlight w:val="none"/>
        </w:rPr>
        <w:t>不一致的，以投标总价为准修正分项费用；投标报价汇总表的各分项费用与对应分项表中的费用不一致的，以投标报价汇总表中的分项费用为准修正对应分项表中的费用；各</w:t>
      </w:r>
      <w:r>
        <w:rPr>
          <w:rFonts w:hint="eastAsia" w:ascii="宋体" w:hAnsi="宋体" w:eastAsia="宋体" w:cs="宋体"/>
          <w:color w:val="auto"/>
          <w:sz w:val="24"/>
          <w:szCs w:val="24"/>
          <w:highlight w:val="none"/>
        </w:rPr>
        <w:t>分项表中总价金额与依据单价计算出的结果不</w:t>
      </w:r>
      <w:r>
        <w:rPr>
          <w:rFonts w:hint="eastAsia" w:ascii="宋体" w:hAnsi="宋体" w:eastAsia="宋体" w:cs="宋体"/>
          <w:color w:val="auto"/>
          <w:spacing w:val="-1"/>
          <w:sz w:val="24"/>
          <w:szCs w:val="24"/>
          <w:highlight w:val="none"/>
        </w:rPr>
        <w:t>一致的，以总价为准修正单价。</w:t>
      </w:r>
    </w:p>
    <w:p w14:paraId="07F8960C">
      <w:pPr>
        <w:spacing w:before="157" w:line="279" w:lineRule="auto"/>
        <w:ind w:left="12" w:right="66"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4.2.3  </w:t>
      </w:r>
      <w:r>
        <w:rPr>
          <w:rFonts w:hint="eastAsia" w:ascii="宋体" w:hAnsi="宋体" w:eastAsia="宋体" w:cs="宋体"/>
          <w:color w:val="auto"/>
          <w:spacing w:val="2"/>
          <w:sz w:val="24"/>
          <w:szCs w:val="24"/>
          <w:highlight w:val="none"/>
        </w:rPr>
        <w:t>错漏项的认定。中标人已标价工程量清</w:t>
      </w:r>
      <w:r>
        <w:rPr>
          <w:rFonts w:hint="eastAsia" w:ascii="宋体" w:hAnsi="宋体" w:eastAsia="宋体" w:cs="宋体"/>
          <w:color w:val="auto"/>
          <w:spacing w:val="1"/>
          <w:sz w:val="24"/>
          <w:szCs w:val="24"/>
          <w:highlight w:val="none"/>
        </w:rPr>
        <w:t>单中，任一清单项目未填报价格或价</w:t>
      </w:r>
      <w:r>
        <w:rPr>
          <w:rFonts w:hint="eastAsia" w:ascii="宋体" w:hAnsi="宋体" w:eastAsia="宋体" w:cs="宋体"/>
          <w:color w:val="auto"/>
          <w:spacing w:val="-1"/>
          <w:sz w:val="24"/>
          <w:szCs w:val="24"/>
          <w:highlight w:val="none"/>
        </w:rPr>
        <w:t>格为零的，视为错漏项。</w:t>
      </w:r>
    </w:p>
    <w:p w14:paraId="26AAE28D">
      <w:pPr>
        <w:spacing w:before="121" w:line="360" w:lineRule="auto"/>
        <w:ind w:firstLine="490"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4.2.4  </w:t>
      </w:r>
      <w:r>
        <w:rPr>
          <w:rFonts w:hint="eastAsia" w:ascii="宋体" w:hAnsi="宋体" w:eastAsia="宋体" w:cs="宋体"/>
          <w:color w:val="auto"/>
          <w:spacing w:val="2"/>
          <w:sz w:val="24"/>
          <w:szCs w:val="24"/>
          <w:highlight w:val="none"/>
        </w:rPr>
        <w:t>不平衡报价的认定。经修正算术性错误后的中标人已标价工程量清单中，</w:t>
      </w:r>
      <w:r>
        <w:rPr>
          <w:rFonts w:hint="eastAsia" w:ascii="宋体" w:hAnsi="宋体" w:eastAsia="宋体" w:cs="宋体"/>
          <w:color w:val="auto"/>
          <w:spacing w:val="2"/>
          <w:sz w:val="24"/>
          <w:szCs w:val="24"/>
          <w:highlight w:val="none"/>
          <w:u w:val="single"/>
        </w:rPr>
        <w:t>对于投标报价中综合单价相对</w:t>
      </w:r>
      <w:r>
        <w:rPr>
          <w:rFonts w:hint="eastAsia" w:ascii="宋体" w:hAnsi="宋体" w:eastAsia="宋体" w:cs="宋体"/>
          <w:color w:val="auto"/>
          <w:spacing w:val="2"/>
          <w:sz w:val="24"/>
          <w:szCs w:val="24"/>
          <w:highlight w:val="none"/>
          <w:u w:val="single"/>
          <w:lang w:eastAsia="zh-CN"/>
        </w:rPr>
        <w:t>最高投标限价</w:t>
      </w:r>
      <w:r>
        <w:rPr>
          <w:rFonts w:hint="eastAsia" w:ascii="宋体" w:hAnsi="宋体" w:eastAsia="宋体" w:cs="宋体"/>
          <w:color w:val="auto"/>
          <w:spacing w:val="2"/>
          <w:sz w:val="24"/>
          <w:szCs w:val="24"/>
          <w:highlight w:val="none"/>
          <w:u w:val="single"/>
        </w:rPr>
        <w:t xml:space="preserve">《分部分项工程和单价措施项目清单与计价表》中对应综合单价的偏差大于±15% </w:t>
      </w:r>
      <w:r>
        <w:rPr>
          <w:rFonts w:hint="eastAsia" w:ascii="宋体" w:hAnsi="宋体" w:eastAsia="宋体" w:cs="宋体"/>
          <w:color w:val="auto"/>
          <w:spacing w:val="2"/>
          <w:sz w:val="24"/>
          <w:szCs w:val="24"/>
          <w:highlight w:val="none"/>
          <w:u w:val="none"/>
        </w:rPr>
        <w:t>的清</w:t>
      </w:r>
      <w:r>
        <w:rPr>
          <w:rFonts w:hint="eastAsia" w:ascii="宋体" w:hAnsi="宋体" w:eastAsia="宋体" w:cs="宋体"/>
          <w:color w:val="auto"/>
          <w:spacing w:val="-3"/>
          <w:sz w:val="24"/>
          <w:szCs w:val="24"/>
          <w:highlight w:val="none"/>
          <w:u w:val="none"/>
        </w:rPr>
        <w:t>单项目</w:t>
      </w:r>
      <w:r>
        <w:rPr>
          <w:rFonts w:hint="eastAsia" w:ascii="宋体" w:hAnsi="宋体" w:eastAsia="宋体" w:cs="宋体"/>
          <w:color w:val="auto"/>
          <w:spacing w:val="-3"/>
          <w:sz w:val="24"/>
          <w:szCs w:val="24"/>
          <w:highlight w:val="none"/>
        </w:rPr>
        <w:t>，视为不平衡报价项目。</w:t>
      </w:r>
    </w:p>
    <w:p w14:paraId="313930F5">
      <w:pPr>
        <w:spacing w:before="146" w:line="330" w:lineRule="auto"/>
        <w:ind w:left="10" w:right="65" w:firstLine="478"/>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4.2.5 </w:t>
      </w:r>
      <w:r>
        <w:rPr>
          <w:rFonts w:hint="eastAsia" w:ascii="宋体" w:hAnsi="宋体" w:eastAsia="宋体" w:cs="宋体"/>
          <w:color w:val="auto"/>
          <w:spacing w:val="-3"/>
          <w:sz w:val="24"/>
          <w:szCs w:val="24"/>
          <w:highlight w:val="none"/>
        </w:rPr>
        <w:t>施工合同签订前，招标人或其授权的造价咨询单位应就发现的以上所有不平衡报价进行修正，形成《不平衡报价修正报告》，并由招标人和中标人共同签章确认，构成施工合同的组成部分。</w:t>
      </w:r>
    </w:p>
    <w:p w14:paraId="3F041668">
      <w:pPr>
        <w:spacing w:before="34" w:line="326" w:lineRule="auto"/>
        <w:ind w:left="12" w:right="65" w:firstLine="47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4.2.6 合同履行过程中，被认定为错漏项的清单项目，结算时按照第三章“拟签订</w:t>
      </w:r>
      <w:r>
        <w:rPr>
          <w:rFonts w:hint="eastAsia" w:ascii="宋体" w:hAnsi="宋体" w:eastAsia="宋体" w:cs="宋体"/>
          <w:b/>
          <w:bCs/>
          <w:color w:val="auto"/>
          <w:spacing w:val="-6"/>
          <w:sz w:val="24"/>
          <w:szCs w:val="24"/>
          <w:highlight w:val="none"/>
        </w:rPr>
        <w:t>合同的主要条款</w:t>
      </w:r>
      <w:r>
        <w:rPr>
          <w:rFonts w:hint="eastAsia" w:ascii="宋体" w:hAnsi="宋体" w:eastAsia="宋体" w:cs="宋体"/>
          <w:color w:val="auto"/>
          <w:spacing w:val="-77"/>
          <w:sz w:val="24"/>
          <w:szCs w:val="24"/>
          <w:highlight w:val="none"/>
        </w:rPr>
        <w:t xml:space="preserve"> </w:t>
      </w:r>
      <w:r>
        <w:rPr>
          <w:rFonts w:hint="eastAsia" w:ascii="宋体" w:hAnsi="宋体" w:eastAsia="宋体" w:cs="宋体"/>
          <w:b/>
          <w:bCs/>
          <w:color w:val="auto"/>
          <w:spacing w:val="-6"/>
          <w:sz w:val="24"/>
          <w:szCs w:val="24"/>
          <w:highlight w:val="none"/>
        </w:rPr>
        <w:t>”规定处理。</w:t>
      </w:r>
    </w:p>
    <w:p w14:paraId="353F8FC6">
      <w:pPr>
        <w:spacing w:before="33" w:line="317" w:lineRule="auto"/>
        <w:ind w:left="12" w:right="38" w:firstLine="476"/>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4.2.7  合同履行过程中，合同约定的调</w:t>
      </w:r>
      <w:r>
        <w:rPr>
          <w:rFonts w:hint="eastAsia" w:ascii="宋体" w:hAnsi="宋体" w:eastAsia="宋体" w:cs="宋体"/>
          <w:b/>
          <w:bCs/>
          <w:color w:val="auto"/>
          <w:spacing w:val="-1"/>
          <w:sz w:val="24"/>
          <w:szCs w:val="24"/>
          <w:highlight w:val="none"/>
        </w:rPr>
        <w:t>整因素（如工程量偏差、工程变更、项目特</w:t>
      </w:r>
      <w:r>
        <w:rPr>
          <w:rFonts w:hint="eastAsia" w:ascii="宋体" w:hAnsi="宋体" w:eastAsia="宋体" w:cs="宋体"/>
          <w:b/>
          <w:bCs/>
          <w:color w:val="auto"/>
          <w:spacing w:val="-4"/>
          <w:sz w:val="24"/>
          <w:szCs w:val="24"/>
          <w:highlight w:val="none"/>
        </w:rPr>
        <w:t>征不符、招标工程量清单缺项等）出现时，被认定为不平衡报价的清单项目以及</w:t>
      </w:r>
      <w:r>
        <w:rPr>
          <w:rFonts w:hint="eastAsia" w:ascii="宋体" w:hAnsi="宋体" w:eastAsia="宋体" w:cs="宋体"/>
          <w:b/>
          <w:bCs/>
          <w:color w:val="auto"/>
          <w:spacing w:val="-5"/>
          <w:sz w:val="24"/>
          <w:szCs w:val="24"/>
          <w:highlight w:val="none"/>
        </w:rPr>
        <w:t>采用被</w:t>
      </w:r>
      <w:r>
        <w:rPr>
          <w:rFonts w:hint="eastAsia" w:ascii="宋体" w:hAnsi="宋体" w:eastAsia="宋体" w:cs="宋体"/>
          <w:b/>
          <w:bCs/>
          <w:color w:val="auto"/>
          <w:spacing w:val="-3"/>
          <w:sz w:val="24"/>
          <w:szCs w:val="24"/>
          <w:highlight w:val="none"/>
        </w:rPr>
        <w:t>认定为不平衡报价的清单项目的价格作为取价（或参照取</w:t>
      </w:r>
      <w:r>
        <w:rPr>
          <w:rFonts w:hint="eastAsia" w:ascii="宋体" w:hAnsi="宋体" w:eastAsia="宋体" w:cs="宋体"/>
          <w:b/>
          <w:bCs/>
          <w:color w:val="auto"/>
          <w:spacing w:val="-4"/>
          <w:sz w:val="24"/>
          <w:szCs w:val="24"/>
          <w:highlight w:val="none"/>
        </w:rPr>
        <w:t>价）依据的变更、新增项目，</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pacing w:val="-3"/>
          <w:sz w:val="24"/>
          <w:szCs w:val="24"/>
          <w:highlight w:val="none"/>
        </w:rPr>
        <w:t>按照第三章“拟签订合同的主要条款</w:t>
      </w:r>
      <w:r>
        <w:rPr>
          <w:rFonts w:hint="eastAsia" w:ascii="宋体" w:hAnsi="宋体" w:eastAsia="宋体" w:cs="宋体"/>
          <w:color w:val="auto"/>
          <w:spacing w:val="-86"/>
          <w:sz w:val="24"/>
          <w:szCs w:val="24"/>
          <w:highlight w:val="none"/>
        </w:rPr>
        <w:t xml:space="preserve"> </w:t>
      </w:r>
      <w:r>
        <w:rPr>
          <w:rFonts w:hint="eastAsia" w:ascii="宋体" w:hAnsi="宋体" w:eastAsia="宋体" w:cs="宋体"/>
          <w:b/>
          <w:bCs/>
          <w:color w:val="auto"/>
          <w:spacing w:val="-3"/>
          <w:sz w:val="24"/>
          <w:szCs w:val="24"/>
          <w:highlight w:val="none"/>
        </w:rPr>
        <w:t>”有关规定调整</w:t>
      </w:r>
      <w:r>
        <w:rPr>
          <w:rFonts w:hint="eastAsia" w:ascii="宋体" w:hAnsi="宋体" w:eastAsia="宋体" w:cs="宋体"/>
          <w:b/>
          <w:bCs/>
          <w:color w:val="auto"/>
          <w:spacing w:val="-4"/>
          <w:sz w:val="24"/>
          <w:szCs w:val="24"/>
          <w:highlight w:val="none"/>
        </w:rPr>
        <w:t>合同价款。</w:t>
      </w:r>
    </w:p>
    <w:p w14:paraId="14D0F17F">
      <w:pPr>
        <w:spacing w:before="87" w:line="276"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4.3  </w:t>
      </w:r>
      <w:r>
        <w:rPr>
          <w:rFonts w:hint="eastAsia" w:ascii="宋体" w:hAnsi="宋体" w:eastAsia="宋体" w:cs="宋体"/>
          <w:color w:val="auto"/>
          <w:sz w:val="24"/>
          <w:szCs w:val="24"/>
          <w:highlight w:val="none"/>
        </w:rPr>
        <w:t>本招标项目合同计价方式为：</w:t>
      </w:r>
      <w:r>
        <w:rPr>
          <w:rFonts w:hint="eastAsia" w:ascii="宋体" w:hAnsi="宋体" w:eastAsia="宋体" w:cs="宋体"/>
          <w:color w:val="auto"/>
          <w:sz w:val="24"/>
          <w:szCs w:val="24"/>
          <w:highlight w:val="none"/>
          <w:u w:val="single"/>
        </w:rPr>
        <w:t xml:space="preserve"> 单价 </w:t>
      </w:r>
      <w:r>
        <w:rPr>
          <w:rFonts w:hint="eastAsia" w:ascii="宋体" w:hAnsi="宋体" w:eastAsia="宋体" w:cs="宋体"/>
          <w:color w:val="auto"/>
          <w:spacing w:val="-1"/>
          <w:sz w:val="24"/>
          <w:szCs w:val="24"/>
          <w:highlight w:val="none"/>
        </w:rPr>
        <w:t>合同。</w:t>
      </w:r>
    </w:p>
    <w:p w14:paraId="268195FA">
      <w:pPr>
        <w:spacing w:before="120" w:line="298" w:lineRule="auto"/>
        <w:ind w:left="11" w:right="28"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 xml:space="preserve">4.4  </w:t>
      </w:r>
      <w:r>
        <w:rPr>
          <w:rFonts w:hint="eastAsia" w:ascii="宋体" w:hAnsi="宋体" w:eastAsia="宋体" w:cs="宋体"/>
          <w:color w:val="auto"/>
          <w:spacing w:val="-4"/>
          <w:sz w:val="24"/>
          <w:szCs w:val="24"/>
          <w:highlight w:val="none"/>
        </w:rPr>
        <w:t>合同的标的、质量、履行期限条款和合同的价款、单</w:t>
      </w:r>
      <w:r>
        <w:rPr>
          <w:rFonts w:hint="eastAsia" w:ascii="宋体" w:hAnsi="宋体" w:eastAsia="宋体" w:cs="宋体"/>
          <w:color w:val="auto"/>
          <w:spacing w:val="-5"/>
          <w:sz w:val="24"/>
          <w:szCs w:val="24"/>
          <w:highlight w:val="none"/>
        </w:rPr>
        <w:t>价、比例条款等主要条款，</w:t>
      </w:r>
      <w:r>
        <w:rPr>
          <w:rFonts w:hint="eastAsia" w:ascii="宋体" w:hAnsi="宋体" w:eastAsia="宋体" w:cs="宋体"/>
          <w:color w:val="auto"/>
          <w:spacing w:val="-2"/>
          <w:sz w:val="24"/>
          <w:szCs w:val="24"/>
          <w:highlight w:val="none"/>
        </w:rPr>
        <w:t>应当与招标文件、中标人的投标文件的内容一致。中标人在签订合同时不得向招标人提出附加条件。</w:t>
      </w:r>
    </w:p>
    <w:p w14:paraId="512F2611">
      <w:pPr>
        <w:spacing w:before="158" w:line="298" w:lineRule="auto"/>
        <w:ind w:left="12" w:right="9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4.5  </w:t>
      </w:r>
      <w:r>
        <w:rPr>
          <w:rFonts w:hint="eastAsia" w:ascii="宋体" w:hAnsi="宋体" w:eastAsia="宋体" w:cs="宋体"/>
          <w:color w:val="auto"/>
          <w:spacing w:val="-3"/>
          <w:sz w:val="24"/>
          <w:szCs w:val="24"/>
          <w:highlight w:val="none"/>
        </w:rPr>
        <w:t>若中标人在领取中标通知书之日起</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4"/>
          <w:sz w:val="24"/>
          <w:szCs w:val="24"/>
          <w:highlight w:val="none"/>
        </w:rPr>
        <w:t>30天内仍未签订合同，招标人发出第一次提</w:t>
      </w:r>
      <w:r>
        <w:rPr>
          <w:rFonts w:hint="eastAsia" w:ascii="宋体" w:hAnsi="宋体" w:eastAsia="宋体" w:cs="宋体"/>
          <w:color w:val="auto"/>
          <w:spacing w:val="1"/>
          <w:sz w:val="24"/>
          <w:szCs w:val="24"/>
          <w:highlight w:val="none"/>
        </w:rPr>
        <w:t>醒函；在领取中标通知书之日起</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40天内仍未签订，招标人发出第二次提醒函；在</w:t>
      </w:r>
      <w:r>
        <w:rPr>
          <w:rFonts w:hint="eastAsia" w:ascii="宋体" w:hAnsi="宋体" w:eastAsia="宋体" w:cs="宋体"/>
          <w:color w:val="auto"/>
          <w:sz w:val="24"/>
          <w:szCs w:val="24"/>
          <w:highlight w:val="none"/>
        </w:rPr>
        <w:t>领取</w:t>
      </w:r>
      <w:r>
        <w:rPr>
          <w:rFonts w:hint="eastAsia" w:ascii="宋体" w:hAnsi="宋体" w:eastAsia="宋体" w:cs="宋体"/>
          <w:color w:val="auto"/>
          <w:spacing w:val="-1"/>
          <w:sz w:val="24"/>
          <w:szCs w:val="24"/>
          <w:highlight w:val="none"/>
        </w:rPr>
        <w:t>中标通知书之日起</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
          <w:sz w:val="24"/>
          <w:szCs w:val="24"/>
          <w:highlight w:val="none"/>
        </w:rPr>
        <w:t>45天内仍未签订，视其放弃中标。</w:t>
      </w:r>
    </w:p>
    <w:p w14:paraId="150C1F99">
      <w:pPr>
        <w:spacing w:before="155" w:line="299" w:lineRule="auto"/>
        <w:ind w:left="12" w:right="82"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4.6  </w:t>
      </w:r>
      <w:r>
        <w:rPr>
          <w:rFonts w:hint="eastAsia" w:ascii="宋体" w:hAnsi="宋体" w:eastAsia="宋体" w:cs="宋体"/>
          <w:color w:val="auto"/>
          <w:sz w:val="24"/>
          <w:szCs w:val="24"/>
          <w:highlight w:val="none"/>
        </w:rPr>
        <w:t>在书面合同订立之日起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 个工作日内，由中标人或招标代理机构将合同上传至</w:t>
      </w:r>
      <w:r>
        <w:rPr>
          <w:rFonts w:hint="eastAsia" w:ascii="宋体" w:hAnsi="宋体" w:eastAsia="宋体" w:cs="宋体"/>
          <w:color w:val="auto"/>
          <w:spacing w:val="-2"/>
          <w:sz w:val="24"/>
          <w:szCs w:val="24"/>
          <w:highlight w:val="none"/>
        </w:rPr>
        <w:t>建设工程交易系统，并发起退还投标保证的申请。韶关市公共资源交易中心在收到申请之日起</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2"/>
          <w:sz w:val="24"/>
          <w:szCs w:val="24"/>
          <w:highlight w:val="none"/>
        </w:rPr>
        <w:t>3 个工作日内，将投标保证金（或银行保函）退还给中标人和其他中标候选人。</w:t>
      </w:r>
    </w:p>
    <w:p w14:paraId="3D7BEA42">
      <w:pPr>
        <w:spacing w:before="78" w:line="220" w:lineRule="auto"/>
        <w:ind w:left="489"/>
        <w:outlineLvl w:val="2"/>
        <w:rPr>
          <w:rFonts w:hint="eastAsia" w:ascii="宋体" w:hAnsi="宋体" w:eastAsia="宋体" w:cs="宋体"/>
          <w:color w:val="auto"/>
          <w:sz w:val="24"/>
          <w:szCs w:val="24"/>
          <w:highlight w:val="none"/>
        </w:rPr>
      </w:pPr>
      <w:bookmarkStart w:id="161" w:name="_Toc4089"/>
      <w:r>
        <w:rPr>
          <w:rFonts w:hint="eastAsia" w:ascii="宋体" w:hAnsi="宋体" w:eastAsia="宋体" w:cs="宋体"/>
          <w:b/>
          <w:bCs/>
          <w:color w:val="auto"/>
          <w:spacing w:val="-6"/>
          <w:sz w:val="24"/>
          <w:szCs w:val="24"/>
          <w:highlight w:val="none"/>
        </w:rPr>
        <w:t>5</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6"/>
          <w:sz w:val="24"/>
          <w:szCs w:val="24"/>
          <w:highlight w:val="none"/>
        </w:rPr>
        <w:t>．放弃中标的处理</w:t>
      </w:r>
      <w:bookmarkEnd w:id="161"/>
    </w:p>
    <w:p w14:paraId="06CEAA97">
      <w:pPr>
        <w:spacing w:before="150" w:line="319" w:lineRule="auto"/>
        <w:ind w:left="12" w:right="91" w:firstLine="477"/>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5.1</w:t>
      </w:r>
      <w:r>
        <w:rPr>
          <w:rFonts w:hint="eastAsia" w:ascii="宋体" w:hAnsi="宋体" w:eastAsia="宋体" w:cs="宋体"/>
          <w:b/>
          <w:bCs/>
          <w:color w:val="auto"/>
          <w:spacing w:val="19"/>
          <w:w w:val="101"/>
          <w:sz w:val="24"/>
          <w:szCs w:val="24"/>
          <w:highlight w:val="none"/>
        </w:rPr>
        <w:t xml:space="preserve">  </w:t>
      </w:r>
      <w:r>
        <w:rPr>
          <w:rFonts w:hint="eastAsia" w:ascii="宋体" w:hAnsi="宋体" w:eastAsia="宋体" w:cs="宋体"/>
          <w:color w:val="auto"/>
          <w:spacing w:val="-1"/>
          <w:sz w:val="24"/>
          <w:szCs w:val="24"/>
          <w:highlight w:val="none"/>
        </w:rPr>
        <w:t>中标人无正当理由放弃中标的，取消其中标资格，其投标保证不予退还，给招</w:t>
      </w:r>
      <w:r>
        <w:rPr>
          <w:rFonts w:hint="eastAsia" w:ascii="宋体" w:hAnsi="宋体" w:eastAsia="宋体" w:cs="宋体"/>
          <w:color w:val="auto"/>
          <w:spacing w:val="-2"/>
          <w:sz w:val="24"/>
          <w:szCs w:val="24"/>
          <w:highlight w:val="none"/>
        </w:rPr>
        <w:t>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因此种情况造成招标人重新招标的，招标人可不接受该弃标人再次投标。同时，</w:t>
      </w:r>
      <w:r>
        <w:rPr>
          <w:rFonts w:hint="eastAsia" w:ascii="宋体" w:hAnsi="宋体" w:eastAsia="宋体" w:cs="宋体"/>
          <w:b/>
          <w:bCs/>
          <w:color w:val="auto"/>
          <w:spacing w:val="-2"/>
          <w:sz w:val="24"/>
          <w:szCs w:val="24"/>
          <w:highlight w:val="none"/>
        </w:rPr>
        <w:t>招</w:t>
      </w:r>
      <w:r>
        <w:rPr>
          <w:rFonts w:hint="eastAsia" w:ascii="宋体" w:hAnsi="宋体" w:eastAsia="宋体" w:cs="宋体"/>
          <w:b/>
          <w:bCs/>
          <w:color w:val="auto"/>
          <w:spacing w:val="-3"/>
          <w:sz w:val="24"/>
          <w:szCs w:val="24"/>
          <w:highlight w:val="none"/>
        </w:rPr>
        <w:t>标人应将该弃标人的失信行为向行政监督部门报告。</w:t>
      </w:r>
    </w:p>
    <w:p w14:paraId="3608BA89">
      <w:pPr>
        <w:spacing w:before="79" w:line="298" w:lineRule="auto"/>
        <w:ind w:left="10" w:right="91" w:firstLine="479"/>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5.2</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5"/>
          <w:sz w:val="24"/>
          <w:szCs w:val="24"/>
          <w:highlight w:val="none"/>
        </w:rPr>
        <w:t>中标人因不可抗力提出不能履行合同的，须在领取中标通知书之日起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10天</w:t>
      </w:r>
      <w:r>
        <w:rPr>
          <w:rFonts w:hint="eastAsia" w:ascii="宋体" w:hAnsi="宋体" w:eastAsia="宋体" w:cs="宋体"/>
          <w:color w:val="auto"/>
          <w:spacing w:val="-6"/>
          <w:sz w:val="24"/>
          <w:szCs w:val="24"/>
          <w:highlight w:val="none"/>
        </w:rPr>
        <w:t>内提</w:t>
      </w:r>
      <w:r>
        <w:rPr>
          <w:rFonts w:hint="eastAsia" w:ascii="宋体" w:hAnsi="宋体" w:eastAsia="宋体" w:cs="宋体"/>
          <w:color w:val="auto"/>
          <w:spacing w:val="-2"/>
          <w:sz w:val="24"/>
          <w:szCs w:val="24"/>
          <w:highlight w:val="none"/>
        </w:rPr>
        <w:t>供有关证明文件或资料，其投标保证予以退还，招标人可按照评标委员会提出的中标候选人名单排序依次确定其他中标候选人为中标人。如果招标人认为其他中标候选人的条</w:t>
      </w:r>
      <w:bookmarkStart w:id="162" w:name="bookmark84"/>
      <w:bookmarkEnd w:id="162"/>
      <w:r>
        <w:rPr>
          <w:rFonts w:hint="eastAsia" w:ascii="宋体" w:hAnsi="宋体" w:eastAsia="宋体" w:cs="宋体"/>
          <w:color w:val="auto"/>
          <w:spacing w:val="-2"/>
          <w:sz w:val="24"/>
          <w:szCs w:val="24"/>
          <w:highlight w:val="none"/>
        </w:rPr>
        <w:t>件明显不利于招标人的，也可以重新招标</w:t>
      </w:r>
      <w:r>
        <w:rPr>
          <w:rFonts w:hint="eastAsia" w:ascii="宋体" w:hAnsi="宋体" w:eastAsia="宋体" w:cs="宋体"/>
          <w:color w:val="auto"/>
          <w:spacing w:val="-1"/>
          <w:sz w:val="24"/>
          <w:szCs w:val="24"/>
          <w:highlight w:val="none"/>
        </w:rPr>
        <w:t>。</w:t>
      </w:r>
    </w:p>
    <w:p w14:paraId="455CBD1D">
      <w:pPr>
        <w:pStyle w:val="13"/>
        <w:rPr>
          <w:rFonts w:hint="eastAsia" w:ascii="宋体" w:hAnsi="宋体" w:eastAsia="宋体" w:cs="宋体"/>
          <w:color w:val="auto"/>
          <w:highlight w:val="none"/>
        </w:rPr>
        <w:sectPr>
          <w:footerReference r:id="rId1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2F84BA3">
      <w:pPr>
        <w:spacing w:before="78" w:line="219" w:lineRule="auto"/>
        <w:ind w:left="2923"/>
        <w:outlineLvl w:val="0"/>
        <w:rPr>
          <w:rFonts w:hint="eastAsia" w:ascii="宋体" w:hAnsi="宋体" w:eastAsia="宋体" w:cs="宋体"/>
          <w:color w:val="auto"/>
          <w:sz w:val="24"/>
          <w:szCs w:val="24"/>
          <w:highlight w:val="none"/>
        </w:rPr>
      </w:pPr>
      <w:bookmarkStart w:id="163" w:name="bookmark86"/>
      <w:bookmarkEnd w:id="163"/>
      <w:bookmarkStart w:id="164" w:name="_Toc7715"/>
      <w:r>
        <w:rPr>
          <w:rFonts w:hint="eastAsia" w:ascii="宋体" w:hAnsi="宋体" w:eastAsia="宋体" w:cs="宋体"/>
          <w:b/>
          <w:bCs/>
          <w:color w:val="auto"/>
          <w:spacing w:val="-3"/>
          <w:sz w:val="24"/>
          <w:szCs w:val="24"/>
          <w:highlight w:val="none"/>
        </w:rPr>
        <w:t>第三章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拟签订合同的主要条款</w:t>
      </w:r>
      <w:bookmarkEnd w:id="164"/>
    </w:p>
    <w:p w14:paraId="1E11136D">
      <w:pPr>
        <w:pStyle w:val="5"/>
        <w:spacing w:line="257" w:lineRule="auto"/>
        <w:rPr>
          <w:rFonts w:hint="eastAsia" w:ascii="宋体" w:hAnsi="宋体" w:eastAsia="宋体" w:cs="宋体"/>
          <w:color w:val="auto"/>
          <w:highlight w:val="none"/>
        </w:rPr>
      </w:pPr>
    </w:p>
    <w:p w14:paraId="5CE9E362">
      <w:pPr>
        <w:pStyle w:val="5"/>
        <w:spacing w:line="257" w:lineRule="auto"/>
        <w:rPr>
          <w:rFonts w:hint="eastAsia" w:ascii="宋体" w:hAnsi="宋体" w:eastAsia="宋体" w:cs="宋体"/>
          <w:color w:val="auto"/>
          <w:highlight w:val="none"/>
        </w:rPr>
      </w:pPr>
    </w:p>
    <w:p w14:paraId="113FF08D">
      <w:pPr>
        <w:spacing w:before="78" w:line="220" w:lineRule="auto"/>
        <w:ind w:left="498"/>
        <w:outlineLvl w:val="2"/>
        <w:rPr>
          <w:rFonts w:hint="eastAsia" w:ascii="宋体" w:hAnsi="宋体" w:eastAsia="宋体" w:cs="宋体"/>
          <w:color w:val="auto"/>
          <w:sz w:val="24"/>
          <w:szCs w:val="24"/>
          <w:highlight w:val="none"/>
        </w:rPr>
      </w:pPr>
      <w:bookmarkStart w:id="165" w:name="_Toc6603"/>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．工程承包方式</w:t>
      </w:r>
      <w:bookmarkEnd w:id="165"/>
    </w:p>
    <w:p w14:paraId="0278D8E0">
      <w:pPr>
        <w:spacing w:before="153" w:line="299" w:lineRule="auto"/>
        <w:ind w:left="11" w:right="295" w:firstLine="48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1.1  </w:t>
      </w:r>
      <w:r>
        <w:rPr>
          <w:rFonts w:hint="eastAsia" w:ascii="宋体" w:hAnsi="宋体" w:eastAsia="宋体" w:cs="宋体"/>
          <w:color w:val="auto"/>
          <w:sz w:val="24"/>
          <w:szCs w:val="24"/>
          <w:highlight w:val="none"/>
        </w:rPr>
        <w:t>承包人以中标价按包工包料、包质量、包安全包文明施工、包工期</w:t>
      </w:r>
      <w:r>
        <w:rPr>
          <w:rFonts w:hint="eastAsia" w:ascii="宋体" w:hAnsi="宋体" w:eastAsia="宋体" w:cs="宋体"/>
          <w:color w:val="auto"/>
          <w:spacing w:val="-1"/>
          <w:sz w:val="24"/>
          <w:szCs w:val="24"/>
          <w:highlight w:val="none"/>
        </w:rPr>
        <w:t>方式总承包</w:t>
      </w:r>
      <w:r>
        <w:rPr>
          <w:rFonts w:hint="eastAsia" w:ascii="宋体" w:hAnsi="宋体" w:eastAsia="宋体" w:cs="宋体"/>
          <w:color w:val="auto"/>
          <w:spacing w:val="-2"/>
          <w:sz w:val="24"/>
          <w:szCs w:val="24"/>
          <w:highlight w:val="none"/>
        </w:rPr>
        <w:t>施工，不允许转包和违法分包，如果确需分包须与发包人协商，在得到发包人和监理单</w:t>
      </w:r>
      <w:r>
        <w:rPr>
          <w:rFonts w:hint="eastAsia" w:ascii="宋体" w:hAnsi="宋体" w:eastAsia="宋体" w:cs="宋体"/>
          <w:color w:val="auto"/>
          <w:spacing w:val="-1"/>
          <w:sz w:val="24"/>
          <w:szCs w:val="24"/>
          <w:highlight w:val="none"/>
        </w:rPr>
        <w:t>位同意后报建设行政主管部门备案。</w:t>
      </w:r>
    </w:p>
    <w:p w14:paraId="33D54587">
      <w:pPr>
        <w:spacing w:before="153" w:line="219"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1.1.1  </w:t>
      </w:r>
      <w:r>
        <w:rPr>
          <w:rFonts w:hint="eastAsia" w:ascii="宋体" w:hAnsi="宋体" w:eastAsia="宋体" w:cs="宋体"/>
          <w:color w:val="auto"/>
          <w:spacing w:val="-1"/>
          <w:sz w:val="24"/>
          <w:szCs w:val="24"/>
          <w:highlight w:val="none"/>
        </w:rPr>
        <w:t>包工包料：材料符合招标文件要求并报验使用；办理用工保险。</w:t>
      </w:r>
    </w:p>
    <w:p w14:paraId="3310ECB7">
      <w:pPr>
        <w:spacing w:before="156" w:line="22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1.1.2  </w:t>
      </w:r>
      <w:r>
        <w:rPr>
          <w:rFonts w:hint="eastAsia" w:ascii="宋体" w:hAnsi="宋体" w:eastAsia="宋体" w:cs="宋体"/>
          <w:color w:val="auto"/>
          <w:spacing w:val="-1"/>
          <w:sz w:val="24"/>
          <w:szCs w:val="24"/>
          <w:highlight w:val="none"/>
        </w:rPr>
        <w:t>包质量：符合招标文件要求。</w:t>
      </w:r>
    </w:p>
    <w:p w14:paraId="7DDA3278">
      <w:pPr>
        <w:spacing w:before="153" w:line="22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1.1.3  </w:t>
      </w:r>
      <w:r>
        <w:rPr>
          <w:rFonts w:hint="eastAsia" w:ascii="宋体" w:hAnsi="宋体" w:eastAsia="宋体" w:cs="宋体"/>
          <w:color w:val="auto"/>
          <w:spacing w:val="-1"/>
          <w:sz w:val="24"/>
          <w:szCs w:val="24"/>
          <w:highlight w:val="none"/>
        </w:rPr>
        <w:t>包安全包文明施工：符合招标文件要求。</w:t>
      </w:r>
    </w:p>
    <w:p w14:paraId="64849022">
      <w:pPr>
        <w:spacing w:before="154" w:line="219"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1.1.4  </w:t>
      </w:r>
      <w:r>
        <w:rPr>
          <w:rFonts w:hint="eastAsia" w:ascii="宋体" w:hAnsi="宋体" w:eastAsia="宋体" w:cs="宋体"/>
          <w:color w:val="auto"/>
          <w:spacing w:val="-1"/>
          <w:sz w:val="24"/>
          <w:szCs w:val="24"/>
          <w:highlight w:val="none"/>
        </w:rPr>
        <w:t>包工期：本招标项目施工必须在招标工期内完成。</w:t>
      </w:r>
    </w:p>
    <w:p w14:paraId="7849A5C0">
      <w:pPr>
        <w:pStyle w:val="5"/>
        <w:spacing w:line="257" w:lineRule="auto"/>
        <w:rPr>
          <w:rFonts w:hint="eastAsia" w:ascii="宋体" w:hAnsi="宋体" w:eastAsia="宋体" w:cs="宋体"/>
          <w:color w:val="auto"/>
          <w:highlight w:val="none"/>
        </w:rPr>
      </w:pPr>
    </w:p>
    <w:p w14:paraId="33977C9F">
      <w:pPr>
        <w:pStyle w:val="5"/>
        <w:spacing w:line="257" w:lineRule="auto"/>
        <w:rPr>
          <w:rFonts w:hint="eastAsia" w:ascii="宋体" w:hAnsi="宋体" w:eastAsia="宋体" w:cs="宋体"/>
          <w:color w:val="auto"/>
          <w:highlight w:val="none"/>
        </w:rPr>
      </w:pPr>
    </w:p>
    <w:p w14:paraId="3D25C8DA">
      <w:pPr>
        <w:spacing w:before="78" w:line="220" w:lineRule="auto"/>
        <w:ind w:left="488"/>
        <w:outlineLvl w:val="2"/>
        <w:rPr>
          <w:rFonts w:hint="eastAsia" w:ascii="宋体" w:hAnsi="宋体" w:eastAsia="宋体" w:cs="宋体"/>
          <w:color w:val="auto"/>
          <w:sz w:val="24"/>
          <w:szCs w:val="24"/>
          <w:highlight w:val="none"/>
        </w:rPr>
      </w:pPr>
      <w:bookmarkStart w:id="166" w:name="bookmark88"/>
      <w:bookmarkEnd w:id="166"/>
      <w:bookmarkStart w:id="167" w:name="_Toc24910"/>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．工程结算原则</w:t>
      </w:r>
      <w:bookmarkEnd w:id="167"/>
    </w:p>
    <w:p w14:paraId="48A62CB1">
      <w:pPr>
        <w:spacing w:before="153"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2.1 </w:t>
      </w:r>
      <w:r>
        <w:rPr>
          <w:rFonts w:hint="eastAsia" w:ascii="宋体" w:hAnsi="宋体" w:eastAsia="宋体" w:cs="宋体"/>
          <w:color w:val="auto"/>
          <w:spacing w:val="-1"/>
          <w:sz w:val="24"/>
          <w:szCs w:val="24"/>
          <w:highlight w:val="none"/>
        </w:rPr>
        <w:t>承包人的投标总价为中标价，即为签约合同价。</w:t>
      </w:r>
    </w:p>
    <w:p w14:paraId="7500BD66">
      <w:pPr>
        <w:spacing w:before="155" w:line="319" w:lineRule="auto"/>
        <w:ind w:left="12" w:right="231"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2.2 </w:t>
      </w:r>
      <w:r>
        <w:rPr>
          <w:rFonts w:hint="eastAsia" w:ascii="宋体" w:hAnsi="宋体" w:eastAsia="宋体" w:cs="宋体"/>
          <w:color w:val="auto"/>
          <w:spacing w:val="2"/>
          <w:sz w:val="24"/>
          <w:szCs w:val="24"/>
          <w:highlight w:val="none"/>
        </w:rPr>
        <w:t>招标工程量清单标明的工程量是投标人投标报价的</w:t>
      </w:r>
      <w:r>
        <w:rPr>
          <w:rFonts w:hint="eastAsia" w:ascii="宋体" w:hAnsi="宋体" w:eastAsia="宋体" w:cs="宋体"/>
          <w:color w:val="auto"/>
          <w:spacing w:val="1"/>
          <w:sz w:val="24"/>
          <w:szCs w:val="24"/>
          <w:highlight w:val="none"/>
        </w:rPr>
        <w:t>共同基础，竣工结算的工程</w:t>
      </w:r>
      <w:r>
        <w:rPr>
          <w:rFonts w:hint="eastAsia" w:ascii="宋体" w:hAnsi="宋体" w:eastAsia="宋体" w:cs="宋体"/>
          <w:color w:val="auto"/>
          <w:spacing w:val="-5"/>
          <w:sz w:val="24"/>
          <w:szCs w:val="24"/>
          <w:highlight w:val="none"/>
        </w:rPr>
        <w:t>量按</w:t>
      </w:r>
      <w:bookmarkStart w:id="168" w:name="OLE_LINK28"/>
      <w:r>
        <w:rPr>
          <w:rFonts w:hint="eastAsia" w:ascii="宋体" w:hAnsi="宋体" w:eastAsia="宋体" w:cs="宋体"/>
          <w:color w:val="auto"/>
          <w:spacing w:val="-5"/>
          <w:sz w:val="24"/>
          <w:szCs w:val="24"/>
          <w:highlight w:val="none"/>
        </w:rPr>
        <w:t>《建设工程工程量清单计价</w:t>
      </w:r>
      <w:r>
        <w:rPr>
          <w:rFonts w:hint="eastAsia" w:ascii="宋体" w:hAnsi="宋体" w:eastAsia="宋体" w:cs="宋体"/>
          <w:color w:val="auto"/>
          <w:spacing w:val="-5"/>
          <w:sz w:val="24"/>
          <w:szCs w:val="24"/>
          <w:highlight w:val="none"/>
          <w:lang w:val="en-US" w:eastAsia="zh-CN"/>
        </w:rPr>
        <w:t>标准</w:t>
      </w:r>
      <w:r>
        <w:rPr>
          <w:rFonts w:hint="eastAsia" w:ascii="宋体" w:hAnsi="宋体" w:eastAsia="宋体" w:cs="宋体"/>
          <w:color w:val="auto"/>
          <w:spacing w:val="-5"/>
          <w:sz w:val="24"/>
          <w:szCs w:val="24"/>
          <w:highlight w:val="none"/>
        </w:rPr>
        <w:t>》（GB50500—</w:t>
      </w:r>
      <w:r>
        <w:rPr>
          <w:rFonts w:hint="eastAsia" w:ascii="宋体" w:hAnsi="宋体" w:eastAsia="宋体" w:cs="宋体"/>
          <w:color w:val="auto"/>
          <w:spacing w:val="-5"/>
          <w:sz w:val="24"/>
          <w:szCs w:val="24"/>
          <w:highlight w:val="none"/>
          <w:lang w:val="en-US" w:eastAsia="zh-CN"/>
        </w:rPr>
        <w:t>2024</w:t>
      </w:r>
      <w:r>
        <w:rPr>
          <w:rFonts w:hint="eastAsia" w:ascii="宋体" w:hAnsi="宋体" w:eastAsia="宋体" w:cs="宋体"/>
          <w:color w:val="auto"/>
          <w:spacing w:val="-5"/>
          <w:sz w:val="24"/>
          <w:szCs w:val="24"/>
          <w:highlight w:val="none"/>
        </w:rPr>
        <w:t>）对工程计量的规定进行计量，</w:t>
      </w:r>
      <w:r>
        <w:rPr>
          <w:rFonts w:hint="eastAsia" w:ascii="宋体" w:hAnsi="宋体" w:eastAsia="宋体" w:cs="宋体"/>
          <w:color w:val="auto"/>
          <w:spacing w:val="-2"/>
          <w:sz w:val="24"/>
          <w:szCs w:val="24"/>
          <w:highlight w:val="none"/>
        </w:rPr>
        <w:t>必须以承包人完成合同工程应予计量的工程量确定。施</w:t>
      </w:r>
      <w:bookmarkEnd w:id="168"/>
      <w:r>
        <w:rPr>
          <w:rFonts w:hint="eastAsia" w:ascii="宋体" w:hAnsi="宋体" w:eastAsia="宋体" w:cs="宋体"/>
          <w:color w:val="auto"/>
          <w:spacing w:val="-2"/>
          <w:sz w:val="24"/>
          <w:szCs w:val="24"/>
          <w:highlight w:val="none"/>
        </w:rPr>
        <w:t>工中进行工程计量，当发现招标工程量清单中出现缺项、工程量偏差、或因工程变更引起工程量增减时，应按承包人在履行合同义务中完成的工程量计算。因承包人原因造成的超出合同工程范围施工或返工</w:t>
      </w:r>
      <w:r>
        <w:rPr>
          <w:rFonts w:hint="eastAsia" w:ascii="宋体" w:hAnsi="宋体" w:eastAsia="宋体" w:cs="宋体"/>
          <w:color w:val="auto"/>
          <w:spacing w:val="-1"/>
          <w:sz w:val="24"/>
          <w:szCs w:val="24"/>
          <w:highlight w:val="none"/>
        </w:rPr>
        <w:t>的工程量，发包人不予计量，由</w:t>
      </w:r>
      <w:r>
        <w:rPr>
          <w:rFonts w:hint="eastAsia" w:ascii="宋体" w:hAnsi="宋体" w:eastAsia="宋体" w:cs="宋体"/>
          <w:color w:val="auto"/>
          <w:spacing w:val="-1"/>
          <w:sz w:val="24"/>
          <w:szCs w:val="24"/>
          <w:highlight w:val="none"/>
          <w:lang w:val="en-US" w:eastAsia="zh-CN"/>
        </w:rPr>
        <w:t>承包人</w:t>
      </w:r>
      <w:r>
        <w:rPr>
          <w:rFonts w:hint="eastAsia" w:ascii="宋体" w:hAnsi="宋体" w:eastAsia="宋体" w:cs="宋体"/>
          <w:color w:val="auto"/>
          <w:spacing w:val="-1"/>
          <w:sz w:val="24"/>
          <w:szCs w:val="24"/>
          <w:highlight w:val="none"/>
        </w:rPr>
        <w:t>自行承担相关责任和费用。</w:t>
      </w:r>
    </w:p>
    <w:p w14:paraId="7EB90D6F">
      <w:pPr>
        <w:spacing w:before="38" w:line="299" w:lineRule="auto"/>
        <w:ind w:left="12" w:right="183" w:firstLine="475"/>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2.3  </w:t>
      </w:r>
      <w:r>
        <w:rPr>
          <w:rFonts w:hint="eastAsia" w:ascii="宋体" w:hAnsi="宋体" w:eastAsia="宋体" w:cs="宋体"/>
          <w:color w:val="auto"/>
          <w:sz w:val="24"/>
          <w:szCs w:val="24"/>
          <w:highlight w:val="none"/>
        </w:rPr>
        <w:t>施工合同履行期间，若出现下列情形的，发、承包双方应当按照以下规定调整</w:t>
      </w:r>
      <w:r>
        <w:rPr>
          <w:rFonts w:hint="eastAsia" w:ascii="宋体" w:hAnsi="宋体" w:eastAsia="宋体" w:cs="宋体"/>
          <w:color w:val="auto"/>
          <w:spacing w:val="-3"/>
          <w:sz w:val="24"/>
          <w:szCs w:val="24"/>
          <w:highlight w:val="none"/>
        </w:rPr>
        <w:t>合同价款：</w:t>
      </w:r>
    </w:p>
    <w:p w14:paraId="0471A2AF">
      <w:pPr>
        <w:spacing w:before="227" w:line="220"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2.3.1  </w:t>
      </w:r>
      <w:r>
        <w:rPr>
          <w:rFonts w:hint="eastAsia" w:ascii="宋体" w:hAnsi="宋体" w:eastAsia="宋体" w:cs="宋体"/>
          <w:color w:val="auto"/>
          <w:spacing w:val="-1"/>
          <w:sz w:val="24"/>
          <w:szCs w:val="24"/>
          <w:highlight w:val="none"/>
        </w:rPr>
        <w:t>法律法规变化</w:t>
      </w:r>
    </w:p>
    <w:p w14:paraId="496F8860">
      <w:pPr>
        <w:spacing w:before="156" w:line="298" w:lineRule="auto"/>
        <w:ind w:left="10" w:right="183"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2.3.1.1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基准日之后，因国家法律、法规、规章和政策发生变化引起工程造价增减变</w:t>
      </w:r>
      <w:r>
        <w:rPr>
          <w:rFonts w:hint="eastAsia" w:ascii="宋体" w:hAnsi="宋体" w:eastAsia="宋体" w:cs="宋体"/>
          <w:color w:val="auto"/>
          <w:spacing w:val="-2"/>
          <w:sz w:val="24"/>
          <w:szCs w:val="24"/>
          <w:highlight w:val="none"/>
        </w:rPr>
        <w:t>化时，发、承包双方应按照省级建设主管部门（或省级行业主管部门）或其授权的工程</w:t>
      </w:r>
      <w:r>
        <w:rPr>
          <w:rFonts w:hint="eastAsia" w:ascii="宋体" w:hAnsi="宋体" w:eastAsia="宋体" w:cs="宋体"/>
          <w:color w:val="auto"/>
          <w:spacing w:val="-1"/>
          <w:sz w:val="24"/>
          <w:szCs w:val="24"/>
          <w:highlight w:val="none"/>
        </w:rPr>
        <w:t>造价管理机构据此发布的最新规定调整合同价款。</w:t>
      </w:r>
    </w:p>
    <w:p w14:paraId="747A38CD">
      <w:pPr>
        <w:spacing w:before="157" w:line="325" w:lineRule="auto"/>
        <w:ind w:left="12" w:right="183" w:firstLine="479"/>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注：本招标文件所称“基准日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11"/>
          <w:sz w:val="24"/>
          <w:szCs w:val="24"/>
          <w:highlight w:val="none"/>
        </w:rPr>
        <w:t>”，均指投标文</w:t>
      </w:r>
      <w:r>
        <w:rPr>
          <w:rFonts w:hint="eastAsia" w:ascii="宋体" w:hAnsi="宋体" w:eastAsia="宋体" w:cs="宋体"/>
          <w:b/>
          <w:bCs/>
          <w:color w:val="auto"/>
          <w:spacing w:val="-12"/>
          <w:sz w:val="24"/>
          <w:szCs w:val="24"/>
          <w:highlight w:val="none"/>
        </w:rPr>
        <w:t>件递交截止时间（见第一章第二节“重</w:t>
      </w:r>
      <w:r>
        <w:rPr>
          <w:rFonts w:hint="eastAsia" w:ascii="宋体" w:hAnsi="宋体" w:eastAsia="宋体" w:cs="宋体"/>
          <w:b/>
          <w:bCs/>
          <w:color w:val="auto"/>
          <w:spacing w:val="-5"/>
          <w:sz w:val="24"/>
          <w:szCs w:val="24"/>
          <w:highlight w:val="none"/>
        </w:rPr>
        <w:t>要事项时间地点一览表</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5"/>
          <w:sz w:val="24"/>
          <w:szCs w:val="24"/>
          <w:highlight w:val="none"/>
        </w:rPr>
        <w:t>”）前</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5"/>
          <w:sz w:val="24"/>
          <w:szCs w:val="24"/>
          <w:highlight w:val="none"/>
        </w:rPr>
        <w:t>28 天。</w:t>
      </w:r>
    </w:p>
    <w:p w14:paraId="796E7D37">
      <w:pPr>
        <w:spacing w:before="33" w:line="299" w:lineRule="auto"/>
        <w:ind w:left="11"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2.3.1.2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1"/>
          <w:sz w:val="24"/>
          <w:szCs w:val="24"/>
          <w:highlight w:val="none"/>
        </w:rPr>
        <w:t>因承包人原因导致工程延误，本章第</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1"/>
          <w:sz w:val="24"/>
          <w:szCs w:val="24"/>
          <w:highlight w:val="none"/>
        </w:rPr>
        <w:t>2</w:t>
      </w:r>
      <w:r>
        <w:rPr>
          <w:rFonts w:hint="eastAsia" w:ascii="宋体" w:hAnsi="宋体" w:eastAsia="宋体" w:cs="宋体"/>
          <w:b/>
          <w:bCs/>
          <w:color w:val="auto"/>
          <w:sz w:val="24"/>
          <w:szCs w:val="24"/>
          <w:highlight w:val="none"/>
        </w:rPr>
        <w:t xml:space="preserve">.3.1.1 </w:t>
      </w:r>
      <w:r>
        <w:rPr>
          <w:rFonts w:hint="eastAsia" w:ascii="宋体" w:hAnsi="宋体" w:eastAsia="宋体" w:cs="宋体"/>
          <w:color w:val="auto"/>
          <w:sz w:val="24"/>
          <w:szCs w:val="24"/>
          <w:highlight w:val="none"/>
        </w:rPr>
        <w:t>子目中的法定机构根据国家法</w:t>
      </w:r>
      <w:r>
        <w:rPr>
          <w:rFonts w:hint="eastAsia" w:ascii="宋体" w:hAnsi="宋体" w:eastAsia="宋体" w:cs="宋体"/>
          <w:color w:val="auto"/>
          <w:spacing w:val="-3"/>
          <w:sz w:val="24"/>
          <w:szCs w:val="24"/>
          <w:highlight w:val="none"/>
        </w:rPr>
        <w:t>律法规变化发布新规的时间在合同工程原定竣工时间之后的，合同价款调增的不予调整，</w:t>
      </w:r>
      <w:r>
        <w:rPr>
          <w:rFonts w:hint="eastAsia" w:ascii="宋体" w:hAnsi="宋体" w:eastAsia="宋体" w:cs="宋体"/>
          <w:color w:val="auto"/>
          <w:spacing w:val="-1"/>
          <w:sz w:val="24"/>
          <w:szCs w:val="24"/>
          <w:highlight w:val="none"/>
        </w:rPr>
        <w:t>合同价款调减的予以调整。</w:t>
      </w:r>
    </w:p>
    <w:p w14:paraId="0F7DDE8E">
      <w:pPr>
        <w:spacing w:before="155" w:line="220"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2.3.2  </w:t>
      </w:r>
      <w:r>
        <w:rPr>
          <w:rFonts w:hint="eastAsia" w:ascii="宋体" w:hAnsi="宋体" w:eastAsia="宋体" w:cs="宋体"/>
          <w:color w:val="auto"/>
          <w:spacing w:val="-1"/>
          <w:sz w:val="24"/>
          <w:szCs w:val="24"/>
          <w:highlight w:val="none"/>
        </w:rPr>
        <w:t>工程量偏差或变化</w:t>
      </w:r>
    </w:p>
    <w:p w14:paraId="693FF261">
      <w:pPr>
        <w:spacing w:before="158" w:line="309" w:lineRule="auto"/>
        <w:ind w:left="10" w:right="183"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2.3.2.1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合同履行期间，当应予计算的实际工程量与招标工程量清单出现偏差或因工程变更引起已标价工程量清单项目的工程数量发生变化时，工程量偏差或变化在</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3"/>
          <w:sz w:val="24"/>
          <w:szCs w:val="24"/>
          <w:highlight w:val="none"/>
        </w:rPr>
        <w:t>15%以</w:t>
      </w:r>
      <w:r>
        <w:rPr>
          <w:rFonts w:hint="eastAsia" w:ascii="宋体" w:hAnsi="宋体" w:eastAsia="宋体" w:cs="宋体"/>
          <w:color w:val="auto"/>
          <w:spacing w:val="-4"/>
          <w:sz w:val="24"/>
          <w:szCs w:val="24"/>
          <w:highlight w:val="none"/>
        </w:rPr>
        <w:t>内（含</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4"/>
          <w:sz w:val="24"/>
          <w:szCs w:val="24"/>
          <w:highlight w:val="none"/>
        </w:rPr>
        <w:t>15%）的，其综合单价不予调整；工程量偏差或变化超过</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15%的，按照以下规定</w:t>
      </w:r>
      <w:r>
        <w:rPr>
          <w:rFonts w:hint="eastAsia" w:ascii="宋体" w:hAnsi="宋体" w:eastAsia="宋体" w:cs="宋体"/>
          <w:color w:val="auto"/>
          <w:spacing w:val="-3"/>
          <w:sz w:val="24"/>
          <w:szCs w:val="24"/>
          <w:highlight w:val="none"/>
        </w:rPr>
        <w:t>调整：</w:t>
      </w:r>
    </w:p>
    <w:p w14:paraId="3233616C">
      <w:pPr>
        <w:spacing w:before="78" w:line="327" w:lineRule="auto"/>
        <w:ind w:left="12" w:firstLine="478"/>
        <w:jc w:val="both"/>
        <w:rPr>
          <w:rFonts w:hint="eastAsia" w:ascii="宋体" w:hAnsi="宋体" w:eastAsia="宋体" w:cs="宋体"/>
          <w:color w:val="auto"/>
          <w:sz w:val="24"/>
          <w:szCs w:val="24"/>
          <w:highlight w:val="none"/>
        </w:rPr>
      </w:pPr>
      <w:bookmarkStart w:id="169" w:name="bookmark142"/>
      <w:bookmarkEnd w:id="169"/>
      <w:r>
        <w:rPr>
          <w:rFonts w:hint="eastAsia" w:ascii="宋体" w:hAnsi="宋体" w:eastAsia="宋体" w:cs="宋体"/>
          <w:color w:val="auto"/>
          <w:spacing w:val="-3"/>
          <w:sz w:val="24"/>
          <w:szCs w:val="24"/>
          <w:highlight w:val="none"/>
        </w:rPr>
        <w:t>对于合理报价的清单项目，当工程量增加超过</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3"/>
          <w:sz w:val="24"/>
          <w:szCs w:val="24"/>
          <w:highlight w:val="none"/>
        </w:rPr>
        <w:t>15%时，增加部分的工程量的综合单</w:t>
      </w:r>
      <w:r>
        <w:rPr>
          <w:rFonts w:hint="eastAsia" w:ascii="宋体" w:hAnsi="宋体" w:eastAsia="宋体" w:cs="宋体"/>
          <w:color w:val="auto"/>
          <w:spacing w:val="-7"/>
          <w:sz w:val="24"/>
          <w:szCs w:val="24"/>
          <w:highlight w:val="none"/>
        </w:rPr>
        <w:t>价以</w:t>
      </w:r>
      <w:r>
        <w:rPr>
          <w:rFonts w:hint="eastAsia" w:ascii="宋体" w:hAnsi="宋体" w:eastAsia="宋体" w:cs="宋体"/>
          <w:color w:val="auto"/>
          <w:spacing w:val="-3"/>
          <w:sz w:val="24"/>
          <w:szCs w:val="24"/>
          <w:highlight w:val="none"/>
        </w:rPr>
        <w:t>投标报价《分部分项工程和单价措施项目清单与计价表》中综合单价为基价调低 3%；当工程量减少超过 15%时，减少后剩余部分的工程量的综合单价以投标报价《分部分项工程和单价措施项目清单与计价表》中综合单价为基价调高 3%</w:t>
      </w:r>
      <w:r>
        <w:rPr>
          <w:rFonts w:hint="eastAsia" w:ascii="宋体" w:hAnsi="宋体" w:eastAsia="宋体" w:cs="宋体"/>
          <w:color w:val="auto"/>
          <w:spacing w:val="-1"/>
          <w:sz w:val="24"/>
          <w:szCs w:val="24"/>
          <w:highlight w:val="none"/>
        </w:rPr>
        <w:t>。</w:t>
      </w:r>
    </w:p>
    <w:p w14:paraId="61009EB8">
      <w:pPr>
        <w:spacing w:before="97" w:line="324" w:lineRule="auto"/>
        <w:ind w:left="13" w:right="179"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对于按照第二章“</w:t>
      </w:r>
      <w:r>
        <w:rPr>
          <w:rFonts w:hint="eastAsia" w:ascii="宋体" w:hAnsi="宋体" w:eastAsia="宋体" w:cs="宋体"/>
          <w:color w:val="auto"/>
          <w:spacing w:val="-89"/>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 条被认定为不平衡报价的清单项目，其综合</w:t>
      </w:r>
      <w:r>
        <w:rPr>
          <w:rFonts w:hint="eastAsia" w:ascii="宋体" w:hAnsi="宋体" w:eastAsia="宋体" w:cs="宋体"/>
          <w:b/>
          <w:bCs/>
          <w:color w:val="auto"/>
          <w:spacing w:val="-3"/>
          <w:sz w:val="24"/>
          <w:szCs w:val="24"/>
          <w:highlight w:val="none"/>
        </w:rPr>
        <w:t>单价按照以下方法调整：</w:t>
      </w:r>
    </w:p>
    <w:p w14:paraId="3DA5EF22">
      <w:pPr>
        <w:spacing w:before="97" w:line="324" w:lineRule="auto"/>
        <w:ind w:left="13" w:right="179" w:firstLine="477"/>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以</w:t>
      </w:r>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中《分部分项工程和单价措施项目清单与计价表》子目相对应综合单价×（1-中标下浮率）。</w:t>
      </w:r>
    </w:p>
    <w:p w14:paraId="76B63917">
      <w:pPr>
        <w:spacing w:before="97" w:line="324" w:lineRule="auto"/>
        <w:ind w:left="13" w:right="179" w:firstLine="477"/>
        <w:rPr>
          <w:rFonts w:hint="eastAsia" w:ascii="宋体" w:hAnsi="宋体" w:eastAsia="宋体" w:cs="宋体"/>
          <w:b/>
          <w:bCs/>
          <w:color w:val="auto"/>
          <w:spacing w:val="-4"/>
          <w:sz w:val="24"/>
          <w:szCs w:val="24"/>
          <w:highlight w:val="none"/>
        </w:rPr>
      </w:pPr>
      <w:bookmarkStart w:id="170" w:name="_Toc18478"/>
      <w:bookmarkStart w:id="171" w:name="_Toc12035"/>
      <w:bookmarkStart w:id="172" w:name="_Toc30068"/>
      <w:r>
        <w:rPr>
          <w:rFonts w:hint="eastAsia" w:ascii="宋体" w:hAnsi="宋体" w:eastAsia="宋体" w:cs="宋体"/>
          <w:b/>
          <w:bCs/>
          <w:color w:val="auto"/>
          <w:spacing w:val="-4"/>
          <w:sz w:val="24"/>
          <w:szCs w:val="24"/>
          <w:highlight w:val="none"/>
        </w:rPr>
        <w:t>中标下浮率=[1-（中标价-</w:t>
      </w:r>
      <w:r>
        <w:rPr>
          <w:rFonts w:hint="eastAsia" w:ascii="宋体" w:hAnsi="宋体" w:eastAsia="宋体" w:cs="宋体"/>
          <w:b/>
          <w:bCs/>
          <w:color w:val="auto"/>
          <w:spacing w:val="-4"/>
          <w:sz w:val="24"/>
          <w:szCs w:val="24"/>
          <w:highlight w:val="none"/>
          <w:lang w:val="en-US" w:eastAsia="zh-CN"/>
        </w:rPr>
        <w:t>中标安全生产措施费</w:t>
      </w:r>
      <w:r>
        <w:rPr>
          <w:rFonts w:hint="eastAsia" w:ascii="宋体" w:hAnsi="宋体" w:eastAsia="宋体" w:cs="宋体"/>
          <w:b/>
          <w:bCs/>
          <w:color w:val="auto"/>
          <w:spacing w:val="-4"/>
          <w:sz w:val="24"/>
          <w:szCs w:val="24"/>
          <w:highlight w:val="none"/>
        </w:rPr>
        <w:t>-暂列金额-暂估价）/（</w:t>
      </w:r>
      <w:bookmarkEnd w:id="170"/>
      <w:bookmarkEnd w:id="171"/>
      <w:bookmarkStart w:id="173" w:name="_Toc15512"/>
      <w:bookmarkStart w:id="174" w:name="_Toc13602"/>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-控制价</w:t>
      </w:r>
      <w:r>
        <w:rPr>
          <w:rFonts w:hint="eastAsia" w:ascii="宋体" w:hAnsi="宋体" w:eastAsia="宋体" w:cs="宋体"/>
          <w:b/>
          <w:bCs/>
          <w:color w:val="auto"/>
          <w:spacing w:val="-4"/>
          <w:sz w:val="24"/>
          <w:szCs w:val="24"/>
          <w:highlight w:val="none"/>
          <w:lang w:val="en-US" w:eastAsia="zh-CN"/>
        </w:rPr>
        <w:t>安全生产措施费</w:t>
      </w:r>
      <w:r>
        <w:rPr>
          <w:rFonts w:hint="eastAsia" w:ascii="宋体" w:hAnsi="宋体" w:eastAsia="宋体" w:cs="宋体"/>
          <w:b/>
          <w:bCs/>
          <w:color w:val="auto"/>
          <w:spacing w:val="-4"/>
          <w:sz w:val="24"/>
          <w:szCs w:val="24"/>
          <w:highlight w:val="none"/>
        </w:rPr>
        <w:t>-暂列金额-暂估价）] ×100%</w:t>
      </w:r>
      <w:bookmarkEnd w:id="172"/>
      <w:bookmarkEnd w:id="173"/>
      <w:bookmarkEnd w:id="174"/>
    </w:p>
    <w:p w14:paraId="392FBE4A">
      <w:pPr>
        <w:spacing w:before="123" w:line="301" w:lineRule="auto"/>
        <w:ind w:left="10" w:right="116" w:firstLine="482"/>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若修正后的该部分《分部分项工程和单价措施项目清单与计价表》总金额大于原投</w:t>
      </w:r>
      <w:r>
        <w:rPr>
          <w:rFonts w:hint="eastAsia" w:ascii="宋体" w:hAnsi="宋体" w:eastAsia="宋体" w:cs="宋体"/>
          <w:color w:val="auto"/>
          <w:spacing w:val="-1"/>
          <w:sz w:val="24"/>
          <w:szCs w:val="24"/>
          <w:highlight w:val="none"/>
        </w:rPr>
        <w:t>标报价中的该部分总金额，则从投标报价需</w:t>
      </w:r>
      <w:r>
        <w:rPr>
          <w:rFonts w:hint="eastAsia" w:ascii="宋体" w:hAnsi="宋体" w:eastAsia="宋体" w:cs="宋体"/>
          <w:color w:val="auto"/>
          <w:spacing w:val="-2"/>
          <w:sz w:val="24"/>
          <w:szCs w:val="24"/>
          <w:highlight w:val="none"/>
        </w:rPr>
        <w:t>调高的综合单价中选择偏离最大的清单开始</w:t>
      </w:r>
      <w:r>
        <w:rPr>
          <w:rFonts w:hint="eastAsia" w:ascii="宋体" w:hAnsi="宋体" w:eastAsia="宋体" w:cs="宋体"/>
          <w:color w:val="auto"/>
          <w:spacing w:val="-1"/>
          <w:sz w:val="24"/>
          <w:szCs w:val="24"/>
          <w:highlight w:val="none"/>
        </w:rPr>
        <w:t>调整，调整幅度逐步减少，直至修正后的该</w:t>
      </w:r>
      <w:r>
        <w:rPr>
          <w:rFonts w:hint="eastAsia" w:ascii="宋体" w:hAnsi="宋体" w:eastAsia="宋体" w:cs="宋体"/>
          <w:color w:val="auto"/>
          <w:spacing w:val="-2"/>
          <w:sz w:val="24"/>
          <w:szCs w:val="24"/>
          <w:highlight w:val="none"/>
        </w:rPr>
        <w:t>部分《分部分项工程和单价措施项目清单与</w:t>
      </w:r>
      <w:r>
        <w:rPr>
          <w:rFonts w:hint="eastAsia" w:ascii="宋体" w:hAnsi="宋体" w:eastAsia="宋体" w:cs="宋体"/>
          <w:color w:val="auto"/>
          <w:spacing w:val="-1"/>
          <w:sz w:val="24"/>
          <w:szCs w:val="24"/>
          <w:highlight w:val="none"/>
        </w:rPr>
        <w:t>计价表》总金额与原投标报价中的该部分总</w:t>
      </w:r>
      <w:r>
        <w:rPr>
          <w:rFonts w:hint="eastAsia" w:ascii="宋体" w:hAnsi="宋体" w:eastAsia="宋体" w:cs="宋体"/>
          <w:color w:val="auto"/>
          <w:spacing w:val="-2"/>
          <w:sz w:val="24"/>
          <w:szCs w:val="24"/>
          <w:highlight w:val="none"/>
        </w:rPr>
        <w:t>金额一致；若修正后的该部分《分部分项工</w:t>
      </w:r>
      <w:r>
        <w:rPr>
          <w:rFonts w:hint="eastAsia" w:ascii="宋体" w:hAnsi="宋体" w:eastAsia="宋体" w:cs="宋体"/>
          <w:color w:val="auto"/>
          <w:spacing w:val="-1"/>
          <w:sz w:val="24"/>
          <w:szCs w:val="24"/>
          <w:highlight w:val="none"/>
        </w:rPr>
        <w:t>程和单价措施项目清单与计价表》总金额小</w:t>
      </w:r>
      <w:r>
        <w:rPr>
          <w:rFonts w:hint="eastAsia" w:ascii="宋体" w:hAnsi="宋体" w:eastAsia="宋体" w:cs="宋体"/>
          <w:color w:val="auto"/>
          <w:spacing w:val="-2"/>
          <w:sz w:val="24"/>
          <w:szCs w:val="24"/>
          <w:highlight w:val="none"/>
        </w:rPr>
        <w:t>于原投标报价中的该部分总金额，则从投标</w:t>
      </w:r>
      <w:r>
        <w:rPr>
          <w:rFonts w:hint="eastAsia" w:ascii="宋体" w:hAnsi="宋体" w:eastAsia="宋体" w:cs="宋体"/>
          <w:color w:val="auto"/>
          <w:spacing w:val="-1"/>
          <w:sz w:val="24"/>
          <w:szCs w:val="24"/>
          <w:highlight w:val="none"/>
        </w:rPr>
        <w:t>报价需调低的综合单价中选择偏离最大的清</w:t>
      </w:r>
      <w:r>
        <w:rPr>
          <w:rFonts w:hint="eastAsia" w:ascii="宋体" w:hAnsi="宋体" w:eastAsia="宋体" w:cs="宋体"/>
          <w:color w:val="auto"/>
          <w:spacing w:val="-2"/>
          <w:sz w:val="24"/>
          <w:szCs w:val="24"/>
          <w:highlight w:val="none"/>
        </w:rPr>
        <w:t>单开始调整，调整幅度逐步减少，直至修正</w:t>
      </w:r>
      <w:r>
        <w:rPr>
          <w:rFonts w:hint="eastAsia" w:ascii="宋体" w:hAnsi="宋体" w:eastAsia="宋体" w:cs="宋体"/>
          <w:color w:val="auto"/>
          <w:spacing w:val="-1"/>
          <w:sz w:val="24"/>
          <w:szCs w:val="24"/>
          <w:highlight w:val="none"/>
        </w:rPr>
        <w:t>后的该部分《分部分项工程和单价措施项目</w:t>
      </w:r>
      <w:r>
        <w:rPr>
          <w:rFonts w:hint="eastAsia" w:ascii="宋体" w:hAnsi="宋体" w:eastAsia="宋体" w:cs="宋体"/>
          <w:color w:val="auto"/>
          <w:spacing w:val="-2"/>
          <w:sz w:val="24"/>
          <w:szCs w:val="24"/>
          <w:highlight w:val="none"/>
        </w:rPr>
        <w:t>清单与计价表》总金额与原投标报价中的该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2"/>
          <w:sz w:val="24"/>
          <w:szCs w:val="24"/>
          <w:highlight w:val="none"/>
        </w:rPr>
        <w:t>部分总金额一致。修正后的总造价应与总中标价保持一致，形成《不平衡报价修正报告》，</w:t>
      </w:r>
      <w:r>
        <w:rPr>
          <w:rFonts w:hint="eastAsia" w:ascii="宋体" w:hAnsi="宋体" w:eastAsia="宋体" w:cs="宋体"/>
          <w:color w:val="auto"/>
          <w:spacing w:val="-1"/>
          <w:sz w:val="24"/>
          <w:szCs w:val="24"/>
          <w:highlight w:val="none"/>
        </w:rPr>
        <w:t>并由招标人和中标人共同签章确认。</w:t>
      </w:r>
    </w:p>
    <w:p w14:paraId="57F07A36">
      <w:pPr>
        <w:spacing w:before="129" w:line="299" w:lineRule="auto"/>
        <w:ind w:left="12" w:right="179"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2.3.2.2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如果工程量出现本章第</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1"/>
          <w:sz w:val="24"/>
          <w:szCs w:val="24"/>
          <w:highlight w:val="none"/>
        </w:rPr>
        <w:t xml:space="preserve">2.3.2.1 </w:t>
      </w:r>
      <w:r>
        <w:rPr>
          <w:rFonts w:hint="eastAsia" w:ascii="宋体" w:hAnsi="宋体" w:eastAsia="宋体" w:cs="宋体"/>
          <w:color w:val="auto"/>
          <w:spacing w:val="1"/>
          <w:sz w:val="24"/>
          <w:szCs w:val="24"/>
          <w:highlight w:val="none"/>
        </w:rPr>
        <w:t>子目的变化，且该变化引起相关措施项目相</w:t>
      </w:r>
      <w:r>
        <w:rPr>
          <w:rFonts w:hint="eastAsia" w:ascii="宋体" w:hAnsi="宋体" w:eastAsia="宋体" w:cs="宋体"/>
          <w:color w:val="auto"/>
          <w:spacing w:val="-2"/>
          <w:sz w:val="24"/>
          <w:szCs w:val="24"/>
          <w:highlight w:val="none"/>
        </w:rPr>
        <w:t>应发生变化时，按系数或单一总价方式计价的，工程量增加的措施项目费调增，工程量</w:t>
      </w:r>
      <w:r>
        <w:rPr>
          <w:rFonts w:hint="eastAsia" w:ascii="宋体" w:hAnsi="宋体" w:eastAsia="宋体" w:cs="宋体"/>
          <w:color w:val="auto"/>
          <w:spacing w:val="-1"/>
          <w:sz w:val="24"/>
          <w:szCs w:val="24"/>
          <w:highlight w:val="none"/>
        </w:rPr>
        <w:t>减少的措施项目费调减。</w:t>
      </w:r>
    </w:p>
    <w:p w14:paraId="15C59633">
      <w:pPr>
        <w:spacing w:before="154" w:line="221"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2.3.3  </w:t>
      </w:r>
      <w:r>
        <w:rPr>
          <w:rFonts w:hint="eastAsia" w:ascii="宋体" w:hAnsi="宋体" w:eastAsia="宋体" w:cs="宋体"/>
          <w:color w:val="auto"/>
          <w:spacing w:val="-1"/>
          <w:sz w:val="24"/>
          <w:szCs w:val="24"/>
          <w:highlight w:val="none"/>
        </w:rPr>
        <w:t>工程变更</w:t>
      </w:r>
    </w:p>
    <w:p w14:paraId="2E1E4FAA">
      <w:pPr>
        <w:spacing w:before="153" w:line="279" w:lineRule="auto"/>
        <w:ind w:left="19" w:right="179" w:firstLine="468"/>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合同履行期间，因工程变更引起已标价工程量清单项目发生变化时，按照以下规定调整：</w:t>
      </w:r>
    </w:p>
    <w:p w14:paraId="05AC248A">
      <w:pPr>
        <w:numPr>
          <w:ilvl w:val="0"/>
          <w:numId w:val="2"/>
        </w:numPr>
        <w:spacing w:before="78" w:line="360" w:lineRule="auto"/>
        <w:ind w:firstLine="242" w:firstLineChars="100"/>
        <w:rPr>
          <w:rFonts w:hint="eastAsia" w:ascii="宋体" w:hAnsi="宋体" w:eastAsia="宋体" w:cs="宋体"/>
          <w:b/>
          <w:bCs/>
          <w:color w:val="auto"/>
          <w:spacing w:val="-2"/>
          <w:sz w:val="24"/>
          <w:szCs w:val="24"/>
          <w:highlight w:val="none"/>
        </w:rPr>
      </w:pPr>
      <w:r>
        <w:rPr>
          <w:rFonts w:hint="eastAsia" w:ascii="宋体" w:hAnsi="宋体" w:eastAsia="宋体" w:cs="宋体"/>
          <w:color w:val="auto"/>
          <w:spacing w:val="1"/>
          <w:sz w:val="24"/>
          <w:szCs w:val="24"/>
          <w:highlight w:val="none"/>
        </w:rPr>
        <w:t>已标价工程量清单中有适用于变更工程项目的，采用该项目的单价。</w:t>
      </w:r>
      <w:r>
        <w:rPr>
          <w:rFonts w:hint="eastAsia" w:ascii="宋体" w:hAnsi="宋体" w:eastAsia="宋体" w:cs="宋体"/>
          <w:b/>
          <w:bCs/>
          <w:color w:val="auto"/>
          <w:spacing w:val="1"/>
          <w:sz w:val="24"/>
          <w:szCs w:val="24"/>
          <w:highlight w:val="none"/>
        </w:rPr>
        <w:t>但如果</w:t>
      </w:r>
      <w:bookmarkStart w:id="175" w:name="bookmark143"/>
      <w:bookmarkEnd w:id="175"/>
      <w:r>
        <w:rPr>
          <w:rFonts w:hint="eastAsia" w:ascii="宋体" w:hAnsi="宋体" w:eastAsia="宋体" w:cs="宋体"/>
          <w:b/>
          <w:bCs/>
          <w:color w:val="auto"/>
          <w:spacing w:val="-7"/>
          <w:sz w:val="24"/>
          <w:szCs w:val="24"/>
          <w:highlight w:val="none"/>
        </w:rPr>
        <w:t>被采用的项目属于按照第二章“中标人须知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7"/>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8"/>
          <w:sz w:val="24"/>
          <w:szCs w:val="24"/>
          <w:highlight w:val="none"/>
        </w:rPr>
        <w:t>4.2 条被认定为不平衡报价的清单项目，</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pacing w:val="-2"/>
          <w:sz w:val="24"/>
          <w:szCs w:val="24"/>
          <w:highlight w:val="none"/>
        </w:rPr>
        <w:t>变更工程项目的单价按照</w:t>
      </w:r>
      <w:r>
        <w:rPr>
          <w:rFonts w:hint="eastAsia" w:ascii="宋体" w:hAnsi="宋体" w:eastAsia="宋体" w:cs="宋体"/>
          <w:b/>
          <w:bCs/>
          <w:color w:val="auto"/>
          <w:spacing w:val="-7"/>
          <w:sz w:val="24"/>
          <w:szCs w:val="24"/>
          <w:highlight w:val="none"/>
        </w:rPr>
        <w:t>本章 2.3.2.1 的</w:t>
      </w:r>
      <w:r>
        <w:rPr>
          <w:rFonts w:hint="eastAsia" w:ascii="宋体" w:hAnsi="宋体" w:eastAsia="宋体" w:cs="宋体"/>
          <w:b/>
          <w:bCs/>
          <w:color w:val="auto"/>
          <w:spacing w:val="-2"/>
          <w:sz w:val="24"/>
          <w:szCs w:val="24"/>
          <w:highlight w:val="none"/>
        </w:rPr>
        <w:t>方法调整。】</w:t>
      </w:r>
    </w:p>
    <w:p w14:paraId="616E7DC4">
      <w:pPr>
        <w:numPr>
          <w:ilvl w:val="0"/>
          <w:numId w:val="0"/>
        </w:numPr>
        <w:spacing w:before="78" w:line="360" w:lineRule="auto"/>
        <w:ind w:firstLine="237" w:firstLineChars="1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b/>
          <w:bCs/>
          <w:color w:val="auto"/>
          <w:spacing w:val="-2"/>
          <w:sz w:val="24"/>
          <w:szCs w:val="24"/>
          <w:highlight w:val="none"/>
          <w:lang w:val="en-US" w:eastAsia="zh-CN"/>
        </w:rPr>
        <w:t>2</w:t>
      </w: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已标价工程量清单中没有适用但有类似于变更工程项目的，可在合理范围内</w:t>
      </w:r>
      <w:r>
        <w:rPr>
          <w:rFonts w:hint="eastAsia" w:ascii="宋体" w:hAnsi="宋体" w:eastAsia="宋体" w:cs="宋体"/>
          <w:color w:val="auto"/>
          <w:spacing w:val="-3"/>
          <w:sz w:val="24"/>
          <w:szCs w:val="24"/>
          <w:highlight w:val="none"/>
        </w:rPr>
        <w:t>参照类似项目的单价。</w:t>
      </w:r>
      <w:r>
        <w:rPr>
          <w:rFonts w:hint="eastAsia" w:ascii="宋体" w:hAnsi="宋体" w:eastAsia="宋体" w:cs="宋体"/>
          <w:b/>
          <w:bCs/>
          <w:color w:val="auto"/>
          <w:spacing w:val="-3"/>
          <w:sz w:val="24"/>
          <w:szCs w:val="24"/>
          <w:highlight w:val="none"/>
        </w:rPr>
        <w:t>但如果被参考的类似项目属于按照第二章“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5"/>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pacing w:val="-4"/>
          <w:sz w:val="24"/>
          <w:szCs w:val="24"/>
          <w:highlight w:val="none"/>
        </w:rPr>
        <w:t>条被认定为不平衡报价的清单项目，变更工程项目的单价按照本章2.3.2.1 的方法调整。</w:t>
      </w:r>
    </w:p>
    <w:p w14:paraId="69CF3D79">
      <w:pPr>
        <w:numPr>
          <w:ilvl w:val="0"/>
          <w:numId w:val="0"/>
        </w:numPr>
        <w:spacing w:before="38" w:line="310" w:lineRule="auto"/>
        <w:ind w:right="81" w:rightChars="0" w:firstLine="242" w:firstLineChars="100"/>
        <w:jc w:val="both"/>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已标价工程量清单中没有适用也没有类似于变更工程项目的，由承包人根据</w:t>
      </w:r>
      <w:r>
        <w:rPr>
          <w:rFonts w:hint="eastAsia" w:ascii="宋体" w:hAnsi="宋体" w:eastAsia="宋体" w:cs="宋体"/>
          <w:color w:val="auto"/>
          <w:spacing w:val="-2"/>
          <w:sz w:val="24"/>
          <w:szCs w:val="24"/>
          <w:highlight w:val="none"/>
        </w:rPr>
        <w:t>变更工程资料、计量规则、计价办法、施工当月项目所在地工程造价管理机构发布的价格信息和中标下浮率提出变更工程项目的单价，报发包人确认后调整。中标下浮率的计算公式如下：</w:t>
      </w:r>
    </w:p>
    <w:p w14:paraId="19574013">
      <w:pPr>
        <w:spacing w:before="126" w:line="314" w:lineRule="auto"/>
        <w:ind w:left="29" w:right="21" w:firstLine="503"/>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中标下浮率=[1-（中标价-中标</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b/>
          <w:bCs/>
          <w:color w:val="auto"/>
          <w:spacing w:val="-2"/>
          <w:sz w:val="24"/>
          <w:szCs w:val="24"/>
          <w:highlight w:val="none"/>
        </w:rPr>
        <w:t>-暂列</w:t>
      </w:r>
      <w:r>
        <w:rPr>
          <w:rFonts w:hint="eastAsia" w:ascii="宋体" w:hAnsi="宋体" w:eastAsia="宋体" w:cs="宋体"/>
          <w:b/>
          <w:bCs/>
          <w:color w:val="auto"/>
          <w:spacing w:val="-3"/>
          <w:sz w:val="24"/>
          <w:szCs w:val="24"/>
          <w:highlight w:val="none"/>
        </w:rPr>
        <w:t>金额-暂估价）/（</w:t>
      </w:r>
      <w:r>
        <w:rPr>
          <w:rFonts w:hint="eastAsia" w:ascii="宋体" w:hAnsi="宋体" w:eastAsia="宋体" w:cs="宋体"/>
          <w:b/>
          <w:bCs/>
          <w:color w:val="auto"/>
          <w:spacing w:val="-3"/>
          <w:sz w:val="24"/>
          <w:szCs w:val="24"/>
          <w:highlight w:val="none"/>
          <w:lang w:eastAsia="zh-CN"/>
        </w:rPr>
        <w:t>最高投标限价</w:t>
      </w:r>
      <w:r>
        <w:rPr>
          <w:rFonts w:hint="eastAsia" w:ascii="宋体" w:hAnsi="宋体" w:eastAsia="宋体" w:cs="宋体"/>
          <w:b/>
          <w:bCs/>
          <w:color w:val="auto"/>
          <w:spacing w:val="-3"/>
          <w:sz w:val="24"/>
          <w:szCs w:val="24"/>
          <w:highlight w:val="none"/>
        </w:rPr>
        <w:t>-控制价</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b/>
          <w:bCs/>
          <w:color w:val="auto"/>
          <w:spacing w:val="-3"/>
          <w:sz w:val="24"/>
          <w:szCs w:val="24"/>
          <w:highlight w:val="none"/>
        </w:rPr>
        <w:t>-暂列金额-暂估价）]</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3"/>
          <w:sz w:val="24"/>
          <w:szCs w:val="24"/>
          <w:highlight w:val="none"/>
        </w:rPr>
        <w:t>×100%</w:t>
      </w:r>
    </w:p>
    <w:p w14:paraId="7807E51C">
      <w:pPr>
        <w:spacing w:before="145" w:line="309" w:lineRule="auto"/>
        <w:ind w:right="81" w:firstLine="242" w:firstLineChars="1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4</w:t>
      </w:r>
      <w:r>
        <w:rPr>
          <w:rFonts w:hint="eastAsia" w:ascii="宋体" w:hAnsi="宋体" w:eastAsia="宋体" w:cs="宋体"/>
          <w:color w:val="auto"/>
          <w:spacing w:val="1"/>
          <w:sz w:val="24"/>
          <w:szCs w:val="24"/>
          <w:highlight w:val="none"/>
          <w:lang w:eastAsia="zh-CN"/>
        </w:rPr>
        <w:t>）</w:t>
      </w:r>
      <w:r>
        <w:rPr>
          <w:rFonts w:hint="eastAsia" w:ascii="宋体" w:hAnsi="宋体" w:eastAsia="宋体" w:cs="宋体"/>
          <w:snapToGrid w:val="0"/>
          <w:color w:val="auto"/>
          <w:kern w:val="0"/>
          <w:sz w:val="24"/>
          <w:szCs w:val="24"/>
          <w:highlight w:val="none"/>
          <w:lang w:eastAsia="zh-CN"/>
        </w:rPr>
        <w:t>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79EB9193">
      <w:pPr>
        <w:spacing w:before="156" w:line="309" w:lineRule="auto"/>
        <w:ind w:left="7" w:right="81"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2.3.3.2</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工程变更引起施工方案改变并使措施项目发生变化时，承包人提出调整措施</w:t>
      </w:r>
      <w:r>
        <w:rPr>
          <w:rFonts w:hint="eastAsia" w:ascii="宋体" w:hAnsi="宋体" w:eastAsia="宋体" w:cs="宋体"/>
          <w:color w:val="auto"/>
          <w:spacing w:val="-2"/>
          <w:sz w:val="24"/>
          <w:szCs w:val="24"/>
          <w:highlight w:val="none"/>
        </w:rPr>
        <w:t>项目费的，应事先将拟实施的方案提交发包人确认，并应详细说明与原方案措施项目相比的变化情况。拟实施的方案经发、承包双方确认后执行，并按照本章下列规定调整措施项目费：</w:t>
      </w:r>
    </w:p>
    <w:p w14:paraId="20DDFAEA">
      <w:pPr>
        <w:spacing w:before="152" w:line="220" w:lineRule="auto"/>
        <w:ind w:left="499"/>
        <w:rPr>
          <w:rFonts w:hint="eastAsia" w:ascii="宋体" w:hAnsi="宋体" w:eastAsia="宋体" w:cs="宋体"/>
          <w:b w:val="0"/>
          <w:bCs w:val="0"/>
          <w:color w:val="auto"/>
          <w:sz w:val="24"/>
          <w:szCs w:val="24"/>
          <w:highlight w:val="none"/>
        </w:rPr>
      </w:pPr>
      <w:r>
        <w:rPr>
          <w:rFonts w:hint="eastAsia" w:ascii="宋体" w:hAnsi="宋体" w:eastAsia="宋体" w:cs="宋体"/>
          <w:color w:val="auto"/>
          <w:spacing w:val="-1"/>
          <w:sz w:val="24"/>
          <w:szCs w:val="24"/>
          <w:highlight w:val="none"/>
        </w:rPr>
        <w:t>（1</w:t>
      </w:r>
      <w:r>
        <w:rPr>
          <w:rFonts w:hint="eastAsia" w:ascii="宋体" w:hAnsi="宋体" w:eastAsia="宋体" w:cs="宋体"/>
          <w:b/>
          <w:bCs/>
          <w:color w:val="auto"/>
          <w:spacing w:val="-1"/>
          <w:sz w:val="24"/>
          <w:szCs w:val="24"/>
          <w:highlight w:val="none"/>
        </w:rPr>
        <w:t>）</w:t>
      </w:r>
      <w:r>
        <w:rPr>
          <w:rFonts w:hint="eastAsia" w:ascii="宋体" w:hAnsi="宋体" w:eastAsia="宋体" w:cs="宋体"/>
          <w:b w:val="0"/>
          <w:bCs w:val="0"/>
          <w:color w:val="auto"/>
          <w:spacing w:val="-1"/>
          <w:sz w:val="24"/>
          <w:szCs w:val="24"/>
          <w:highlight w:val="none"/>
        </w:rPr>
        <w:t>安全生产措施费应按照实际发生变化的措施项目计算。</w:t>
      </w:r>
    </w:p>
    <w:p w14:paraId="41484985">
      <w:pPr>
        <w:spacing w:before="156" w:line="309" w:lineRule="auto"/>
        <w:ind w:left="7" w:right="81" w:firstLine="477"/>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3"/>
          <w:sz w:val="24"/>
          <w:szCs w:val="24"/>
          <w:highlight w:val="none"/>
        </w:rPr>
        <w:t>采用单价计算的措施项目费，应按照实际发生变化的措施项目，按本章第 2.3.3.1 子目的规定确定单价。</w:t>
      </w:r>
    </w:p>
    <w:p w14:paraId="63E23EA4">
      <w:pPr>
        <w:spacing w:before="154" w:line="360" w:lineRule="auto"/>
        <w:ind w:left="8" w:right="81" w:firstLine="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（3）按总价或系数计算的措施项目费，应按照实际发生变化的措施项目费调整并</w:t>
      </w:r>
      <w:r>
        <w:rPr>
          <w:rFonts w:hint="eastAsia" w:ascii="宋体" w:hAnsi="宋体" w:eastAsia="宋体" w:cs="宋体"/>
          <w:color w:val="auto"/>
          <w:spacing w:val="-3"/>
          <w:sz w:val="24"/>
          <w:szCs w:val="24"/>
          <w:highlight w:val="none"/>
        </w:rPr>
        <w:t>考虑中标下浮率因素，即调整金额＝按照实际变化调整后的金额×（ 1-中标下浮率）。</w:t>
      </w:r>
    </w:p>
    <w:p w14:paraId="25A8B7C8">
      <w:pPr>
        <w:spacing w:before="157" w:line="324" w:lineRule="auto"/>
        <w:ind w:left="21" w:right="81" w:firstLine="47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如果承包人未事先将拟实施的方案提交发包人确认，视为工程变更不引起措施项目费的调整或承包人放弃调整措施项目费的权利。</w:t>
      </w:r>
    </w:p>
    <w:p w14:paraId="53A7D803">
      <w:pPr>
        <w:spacing w:before="35" w:line="309" w:lineRule="auto"/>
        <w:ind w:right="81"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当因非承包人原因，发包人提出的工程变更删减了合同中的某项原定工作或</w:t>
      </w:r>
      <w:r>
        <w:rPr>
          <w:rFonts w:hint="eastAsia" w:ascii="宋体" w:hAnsi="宋体" w:eastAsia="宋体" w:cs="宋体"/>
          <w:color w:val="auto"/>
          <w:spacing w:val="-2"/>
          <w:sz w:val="24"/>
          <w:szCs w:val="24"/>
          <w:highlight w:val="none"/>
        </w:rPr>
        <w:t>工程，致使承包人发生的费用或（和）得到的收益不能被包括在其他已支付或应支付的项目中，也未被包含在任何替代的工作或工程中时，承包人有权提出并应得到合理的费用及利润补偿。</w:t>
      </w:r>
    </w:p>
    <w:p w14:paraId="1C33DF54">
      <w:pPr>
        <w:spacing w:before="155" w:line="220"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2.3.4  </w:t>
      </w:r>
      <w:r>
        <w:rPr>
          <w:rFonts w:hint="eastAsia" w:ascii="宋体" w:hAnsi="宋体" w:eastAsia="宋体" w:cs="宋体"/>
          <w:color w:val="auto"/>
          <w:spacing w:val="-1"/>
          <w:sz w:val="24"/>
          <w:szCs w:val="24"/>
          <w:highlight w:val="none"/>
        </w:rPr>
        <w:t>项目特征不符</w:t>
      </w:r>
    </w:p>
    <w:p w14:paraId="48227A5C">
      <w:pPr>
        <w:spacing w:before="78" w:line="331" w:lineRule="auto"/>
        <w:ind w:left="8" w:right="108" w:firstLine="480"/>
        <w:jc w:val="both"/>
        <w:rPr>
          <w:rFonts w:hint="eastAsia" w:ascii="宋体" w:hAnsi="宋体" w:eastAsia="宋体" w:cs="宋体"/>
          <w:color w:val="auto"/>
          <w:sz w:val="24"/>
          <w:szCs w:val="24"/>
          <w:highlight w:val="none"/>
        </w:rPr>
      </w:pPr>
      <w:bookmarkStart w:id="176" w:name="bookmark144"/>
      <w:bookmarkEnd w:id="176"/>
      <w:r>
        <w:rPr>
          <w:rFonts w:hint="eastAsia" w:ascii="宋体" w:hAnsi="宋体" w:eastAsia="宋体" w:cs="宋体"/>
          <w:color w:val="auto"/>
          <w:spacing w:val="-2"/>
          <w:sz w:val="24"/>
          <w:szCs w:val="24"/>
          <w:highlight w:val="none"/>
        </w:rPr>
        <w:t>承包人应按照发包人提供的设计图纸实施合同工程，若在合同履行期间出现设计图纸（含设计变更）与招标工程量清单任一项目的特征描述不符，且该变化引起该项目工</w:t>
      </w:r>
      <w:r>
        <w:rPr>
          <w:rFonts w:hint="eastAsia" w:ascii="宋体" w:hAnsi="宋体" w:eastAsia="宋体" w:cs="宋体"/>
          <w:color w:val="auto"/>
          <w:sz w:val="24"/>
          <w:szCs w:val="24"/>
          <w:highlight w:val="none"/>
        </w:rPr>
        <w:t>程造价增减变化的，应按照实际施工的项目特征，并按本章第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z w:val="24"/>
          <w:szCs w:val="24"/>
          <w:highlight w:val="none"/>
        </w:rPr>
        <w:t xml:space="preserve">2.3.3 </w:t>
      </w:r>
      <w:r>
        <w:rPr>
          <w:rFonts w:hint="eastAsia" w:ascii="宋体" w:hAnsi="宋体" w:eastAsia="宋体" w:cs="宋体"/>
          <w:color w:val="auto"/>
          <w:sz w:val="24"/>
          <w:szCs w:val="24"/>
          <w:highlight w:val="none"/>
        </w:rPr>
        <w:t>目相</w:t>
      </w:r>
      <w:r>
        <w:rPr>
          <w:rFonts w:hint="eastAsia" w:ascii="宋体" w:hAnsi="宋体" w:eastAsia="宋体" w:cs="宋体"/>
          <w:color w:val="auto"/>
          <w:spacing w:val="-1"/>
          <w:sz w:val="24"/>
          <w:szCs w:val="24"/>
          <w:highlight w:val="none"/>
        </w:rPr>
        <w:t>关条款的规定重新确定相应工程量清单项目的综合单价，并调整合同价款。</w:t>
      </w:r>
    </w:p>
    <w:p w14:paraId="5F99B1A0">
      <w:pPr>
        <w:spacing w:before="38" w:line="221" w:lineRule="auto"/>
        <w:ind w:left="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2.3.5  </w:t>
      </w:r>
      <w:r>
        <w:rPr>
          <w:rFonts w:hint="eastAsia" w:ascii="宋体" w:hAnsi="宋体" w:eastAsia="宋体" w:cs="宋体"/>
          <w:color w:val="auto"/>
          <w:spacing w:val="-1"/>
          <w:sz w:val="24"/>
          <w:szCs w:val="24"/>
          <w:highlight w:val="none"/>
        </w:rPr>
        <w:t>招标工程量清单缺项</w:t>
      </w:r>
    </w:p>
    <w:p w14:paraId="0A93B5CC">
      <w:pPr>
        <w:spacing w:before="152" w:line="278" w:lineRule="auto"/>
        <w:ind w:left="9" w:right="56"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2.3.5.1</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合同履行期间，由于招标</w:t>
      </w:r>
      <w:r>
        <w:rPr>
          <w:rFonts w:hint="eastAsia" w:ascii="宋体" w:hAnsi="宋体" w:eastAsia="宋体" w:cs="宋体"/>
          <w:color w:val="auto"/>
          <w:spacing w:val="-2"/>
          <w:sz w:val="24"/>
          <w:szCs w:val="24"/>
          <w:highlight w:val="none"/>
        </w:rPr>
        <w:t>工程量清单中缺项，新增分部分项工程清单项目，</w:t>
      </w:r>
      <w:r>
        <w:rPr>
          <w:rFonts w:hint="eastAsia" w:ascii="宋体" w:hAnsi="宋体" w:eastAsia="宋体" w:cs="宋体"/>
          <w:color w:val="auto"/>
          <w:spacing w:val="-1"/>
          <w:sz w:val="24"/>
          <w:szCs w:val="24"/>
          <w:highlight w:val="none"/>
        </w:rPr>
        <w:t>应按照本章第</w:t>
      </w:r>
      <w:r>
        <w:rPr>
          <w:rFonts w:hint="eastAsia" w:ascii="宋体" w:hAnsi="宋体" w:eastAsia="宋体" w:cs="宋体"/>
          <w:color w:val="auto"/>
          <w:spacing w:val="-39"/>
          <w:sz w:val="24"/>
          <w:szCs w:val="24"/>
          <w:highlight w:val="none"/>
        </w:rPr>
        <w:t xml:space="preserve"> </w:t>
      </w:r>
      <w:r>
        <w:rPr>
          <w:rFonts w:hint="eastAsia" w:ascii="宋体" w:hAnsi="宋体" w:eastAsia="宋体" w:cs="宋体"/>
          <w:b/>
          <w:bCs/>
          <w:color w:val="auto"/>
          <w:spacing w:val="-1"/>
          <w:sz w:val="24"/>
          <w:szCs w:val="24"/>
          <w:highlight w:val="none"/>
        </w:rPr>
        <w:t xml:space="preserve">2.3.3.1 </w:t>
      </w:r>
      <w:r>
        <w:rPr>
          <w:rFonts w:hint="eastAsia" w:ascii="宋体" w:hAnsi="宋体" w:eastAsia="宋体" w:cs="宋体"/>
          <w:color w:val="auto"/>
          <w:spacing w:val="-1"/>
          <w:sz w:val="24"/>
          <w:szCs w:val="24"/>
          <w:highlight w:val="none"/>
        </w:rPr>
        <w:t>子目的规定确定单价，并调整合同价款。</w:t>
      </w:r>
    </w:p>
    <w:p w14:paraId="42C62B9A">
      <w:pPr>
        <w:spacing w:before="157" w:line="219" w:lineRule="auto"/>
        <w:ind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新增分部分项工程清单项目后，引起</w:t>
      </w:r>
      <w:r>
        <w:rPr>
          <w:rFonts w:hint="eastAsia" w:ascii="宋体" w:hAnsi="宋体" w:eastAsia="宋体" w:cs="宋体"/>
          <w:color w:val="auto"/>
          <w:spacing w:val="-2"/>
          <w:sz w:val="24"/>
          <w:szCs w:val="24"/>
          <w:highlight w:val="none"/>
        </w:rPr>
        <w:t>措施项目发生变化的，应按照本章第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2"/>
          <w:sz w:val="24"/>
          <w:szCs w:val="24"/>
          <w:highlight w:val="none"/>
        </w:rPr>
        <w:t>2.</w:t>
      </w:r>
      <w:r>
        <w:rPr>
          <w:rFonts w:hint="eastAsia" w:ascii="宋体" w:hAnsi="宋体" w:eastAsia="宋体" w:cs="宋体"/>
          <w:b/>
          <w:bCs/>
          <w:color w:val="auto"/>
          <w:sz w:val="24"/>
          <w:szCs w:val="24"/>
          <w:highlight w:val="none"/>
        </w:rPr>
        <w:t xml:space="preserve">3.3.2 </w:t>
      </w:r>
      <w:r>
        <w:rPr>
          <w:rFonts w:hint="eastAsia" w:ascii="宋体" w:hAnsi="宋体" w:eastAsia="宋体" w:cs="宋体"/>
          <w:color w:val="auto"/>
          <w:sz w:val="24"/>
          <w:szCs w:val="24"/>
          <w:highlight w:val="none"/>
        </w:rPr>
        <w:t>子目的规定，在承包人提交的实施方案被发包人批准后调整</w:t>
      </w:r>
      <w:r>
        <w:rPr>
          <w:rFonts w:hint="eastAsia" w:ascii="宋体" w:hAnsi="宋体" w:eastAsia="宋体" w:cs="宋体"/>
          <w:color w:val="auto"/>
          <w:spacing w:val="-1"/>
          <w:sz w:val="24"/>
          <w:szCs w:val="24"/>
          <w:highlight w:val="none"/>
        </w:rPr>
        <w:t>合同价款。</w:t>
      </w:r>
    </w:p>
    <w:p w14:paraId="3370E02A">
      <w:pPr>
        <w:spacing w:before="156" w:line="279" w:lineRule="auto"/>
        <w:ind w:left="13" w:right="108" w:firstLine="471"/>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4"/>
          <w:sz w:val="24"/>
          <w:szCs w:val="24"/>
          <w:highlight w:val="none"/>
        </w:rPr>
        <w:t>2.3.5.3</w:t>
      </w:r>
      <w:r>
        <w:rPr>
          <w:rFonts w:hint="eastAsia" w:ascii="宋体" w:hAnsi="宋体" w:eastAsia="宋体" w:cs="宋体"/>
          <w:b/>
          <w:bCs/>
          <w:color w:val="auto"/>
          <w:spacing w:val="-4"/>
          <w:sz w:val="24"/>
          <w:szCs w:val="24"/>
          <w:highlight w:val="none"/>
        </w:rPr>
        <w:fldChar w:fldCharType="end"/>
      </w:r>
      <w:r>
        <w:rPr>
          <w:rFonts w:hint="eastAsia" w:ascii="宋体" w:hAnsi="宋体" w:eastAsia="宋体" w:cs="宋体"/>
          <w:b/>
          <w:bCs/>
          <w:color w:val="auto"/>
          <w:spacing w:val="22"/>
          <w:w w:val="101"/>
          <w:sz w:val="24"/>
          <w:szCs w:val="24"/>
          <w:highlight w:val="none"/>
        </w:rPr>
        <w:t xml:space="preserve">  </w:t>
      </w:r>
      <w:r>
        <w:rPr>
          <w:rFonts w:hint="eastAsia" w:ascii="宋体" w:hAnsi="宋体" w:eastAsia="宋体" w:cs="宋体"/>
          <w:color w:val="auto"/>
          <w:spacing w:val="-4"/>
          <w:sz w:val="24"/>
          <w:szCs w:val="24"/>
          <w:highlight w:val="none"/>
        </w:rPr>
        <w:t>由于招标工程量清单中措施项目缺项，承包人应将新增措施项目实施方案提</w:t>
      </w:r>
      <w:r>
        <w:rPr>
          <w:rFonts w:hint="eastAsia" w:ascii="宋体" w:hAnsi="宋体" w:eastAsia="宋体" w:cs="宋体"/>
          <w:color w:val="auto"/>
          <w:spacing w:val="-1"/>
          <w:sz w:val="24"/>
          <w:szCs w:val="24"/>
          <w:highlight w:val="none"/>
        </w:rPr>
        <w:t>交发包人批准后，按照本章第</w:t>
      </w:r>
      <w:r>
        <w:rPr>
          <w:rFonts w:hint="eastAsia" w:ascii="宋体" w:hAnsi="宋体" w:eastAsia="宋体" w:cs="宋体"/>
          <w:color w:val="auto"/>
          <w:spacing w:val="-36"/>
          <w:sz w:val="24"/>
          <w:szCs w:val="24"/>
          <w:highlight w:val="none"/>
        </w:rPr>
        <w:t xml:space="preserve"> </w:t>
      </w:r>
      <w:r>
        <w:rPr>
          <w:rFonts w:hint="eastAsia" w:ascii="宋体" w:hAnsi="宋体" w:eastAsia="宋体" w:cs="宋体"/>
          <w:b/>
          <w:bCs/>
          <w:color w:val="auto"/>
          <w:spacing w:val="-1"/>
          <w:sz w:val="24"/>
          <w:szCs w:val="24"/>
          <w:highlight w:val="none"/>
        </w:rPr>
        <w:t xml:space="preserve">2.3.3.1 </w:t>
      </w:r>
      <w:r>
        <w:rPr>
          <w:rFonts w:hint="eastAsia" w:ascii="宋体" w:hAnsi="宋体" w:eastAsia="宋体" w:cs="宋体"/>
          <w:color w:val="auto"/>
          <w:spacing w:val="-1"/>
          <w:sz w:val="24"/>
          <w:szCs w:val="24"/>
          <w:highlight w:val="none"/>
        </w:rPr>
        <w:t>子目、第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 xml:space="preserve">2.3.3.2 </w:t>
      </w:r>
      <w:r>
        <w:rPr>
          <w:rFonts w:hint="eastAsia" w:ascii="宋体" w:hAnsi="宋体" w:eastAsia="宋体" w:cs="宋体"/>
          <w:color w:val="auto"/>
          <w:spacing w:val="-1"/>
          <w:sz w:val="24"/>
          <w:szCs w:val="24"/>
          <w:highlight w:val="none"/>
        </w:rPr>
        <w:t>子目的规定调整合同价款。</w:t>
      </w:r>
    </w:p>
    <w:p w14:paraId="2E8E8EDD">
      <w:pPr>
        <w:spacing w:before="154" w:line="219" w:lineRule="auto"/>
        <w:ind w:left="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2.3.6  </w:t>
      </w:r>
      <w:r>
        <w:rPr>
          <w:rFonts w:hint="eastAsia" w:ascii="宋体" w:hAnsi="宋体" w:eastAsia="宋体" w:cs="宋体"/>
          <w:color w:val="auto"/>
          <w:spacing w:val="-1"/>
          <w:sz w:val="24"/>
          <w:szCs w:val="24"/>
          <w:highlight w:val="none"/>
        </w:rPr>
        <w:t>物价变化</w:t>
      </w:r>
    </w:p>
    <w:p w14:paraId="3751F953">
      <w:pPr>
        <w:spacing w:before="156" w:line="315" w:lineRule="auto"/>
        <w:ind w:left="8" w:right="108"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合同履行期间，项目所在地工程造价管理机构发布的动态人工调整系数发生变化时，如果承包人投标报价中人工费（以下简称“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中标人工费</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4"/>
          <w:sz w:val="24"/>
          <w:szCs w:val="24"/>
          <w:highlight w:val="none"/>
        </w:rPr>
        <w:t>等于或超过施工当</w:t>
      </w:r>
      <w:r>
        <w:rPr>
          <w:rFonts w:hint="eastAsia" w:ascii="宋体" w:hAnsi="宋体" w:eastAsia="宋体" w:cs="宋体"/>
          <w:color w:val="auto"/>
          <w:spacing w:val="-2"/>
          <w:sz w:val="24"/>
          <w:szCs w:val="24"/>
          <w:highlight w:val="none"/>
        </w:rPr>
        <w:t>月经动态调整后的定额人工费，该清单项目中标人工费不予调整；如果中标人工费低于施工当月经动态调整后的定额人工费，该清单项目中标人工费可以调整，相关费用按有</w:t>
      </w:r>
      <w:r>
        <w:rPr>
          <w:rFonts w:hint="eastAsia" w:ascii="宋体" w:hAnsi="宋体" w:eastAsia="宋体" w:cs="宋体"/>
          <w:color w:val="auto"/>
          <w:spacing w:val="-1"/>
          <w:sz w:val="24"/>
          <w:szCs w:val="24"/>
          <w:highlight w:val="none"/>
        </w:rPr>
        <w:t>关规定进行相应调整。结算人工费调整公式为：</w:t>
      </w:r>
    </w:p>
    <w:p w14:paraId="65714442">
      <w:pPr>
        <w:spacing w:before="153" w:line="220" w:lineRule="auto"/>
        <w:ind w:left="494"/>
        <w:rPr>
          <w:rFonts w:hint="eastAsia" w:ascii="宋体" w:hAnsi="宋体" w:eastAsia="宋体" w:cs="宋体"/>
          <w:color w:val="auto"/>
          <w:sz w:val="15"/>
          <w:szCs w:val="15"/>
          <w:highlight w:val="none"/>
        </w:rPr>
      </w:pPr>
      <w:r>
        <w:rPr>
          <w:rFonts w:hint="eastAsia" w:ascii="宋体" w:hAnsi="宋体" w:eastAsia="宋体" w:cs="宋体"/>
          <w:color w:val="auto"/>
          <w:spacing w:val="-1"/>
          <w:sz w:val="24"/>
          <w:szCs w:val="24"/>
          <w:highlight w:val="none"/>
        </w:rPr>
        <w:t>结算人工费＝中标人工费×F</w:t>
      </w:r>
      <w:r>
        <w:rPr>
          <w:rFonts w:hint="eastAsia" w:ascii="宋体" w:hAnsi="宋体" w:eastAsia="宋体" w:cs="宋体"/>
          <w:color w:val="auto"/>
          <w:spacing w:val="-1"/>
          <w:position w:val="-1"/>
          <w:sz w:val="15"/>
          <w:szCs w:val="15"/>
          <w:highlight w:val="none"/>
        </w:rPr>
        <w:t>1</w:t>
      </w:r>
    </w:p>
    <w:p w14:paraId="50129002">
      <w:pPr>
        <w:spacing w:before="152"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式中，F</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23"/>
          <w:w w:val="101"/>
          <w:position w:val="-1"/>
          <w:sz w:val="15"/>
          <w:szCs w:val="15"/>
          <w:highlight w:val="none"/>
        </w:rPr>
        <w:t xml:space="preserve"> </w:t>
      </w:r>
      <w:r>
        <w:rPr>
          <w:rFonts w:hint="eastAsia" w:ascii="宋体" w:hAnsi="宋体" w:eastAsia="宋体" w:cs="宋体"/>
          <w:color w:val="auto"/>
          <w:spacing w:val="-1"/>
          <w:sz w:val="24"/>
          <w:szCs w:val="24"/>
          <w:highlight w:val="none"/>
        </w:rPr>
        <w:t>为施工当月项目所在地工程造价管理机构发布的动态人工调整系数。</w:t>
      </w:r>
    </w:p>
    <w:p w14:paraId="3E9BEB18">
      <w:pPr>
        <w:spacing w:before="119" w:line="324" w:lineRule="auto"/>
        <w:ind w:left="1" w:right="108" w:firstLine="483"/>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fldChar w:fldCharType="begin"/>
      </w:r>
      <w:r>
        <w:rPr>
          <w:rFonts w:hint="eastAsia" w:ascii="宋体" w:hAnsi="宋体" w:eastAsia="宋体" w:cs="宋体"/>
          <w:b/>
          <w:bCs/>
          <w:color w:val="auto"/>
          <w:spacing w:val="-1"/>
          <w:sz w:val="24"/>
          <w:szCs w:val="24"/>
          <w:highlight w:val="none"/>
        </w:rPr>
        <w:instrText xml:space="preserve"> HYPERLINK "2.3.6.2" </w:instrText>
      </w:r>
      <w:r>
        <w:rPr>
          <w:rFonts w:hint="eastAsia" w:ascii="宋体" w:hAnsi="宋体" w:eastAsia="宋体" w:cs="宋体"/>
          <w:b/>
          <w:bCs/>
          <w:color w:val="auto"/>
          <w:spacing w:val="-1"/>
          <w:sz w:val="24"/>
          <w:szCs w:val="24"/>
          <w:highlight w:val="none"/>
        </w:rPr>
        <w:fldChar w:fldCharType="separate"/>
      </w:r>
      <w:r>
        <w:rPr>
          <w:rFonts w:hint="eastAsia" w:ascii="宋体" w:hAnsi="宋体" w:eastAsia="宋体" w:cs="宋体"/>
          <w:b/>
          <w:bCs/>
          <w:color w:val="auto"/>
          <w:spacing w:val="-1"/>
          <w:sz w:val="24"/>
          <w:szCs w:val="24"/>
          <w:highlight w:val="none"/>
        </w:rPr>
        <w:t>2.3.6.2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本招标项目约定，材料、工程设备</w:t>
      </w:r>
      <w:r>
        <w:rPr>
          <w:rFonts w:hint="eastAsia" w:ascii="宋体" w:hAnsi="宋体" w:eastAsia="宋体" w:cs="宋体"/>
          <w:color w:val="auto"/>
          <w:spacing w:val="-2"/>
          <w:sz w:val="24"/>
          <w:szCs w:val="24"/>
          <w:highlight w:val="none"/>
        </w:rPr>
        <w:t>单价涨跌风险幅度值</w:t>
      </w:r>
      <w:r>
        <w:rPr>
          <w:rFonts w:hint="eastAsia" w:ascii="宋体" w:hAnsi="宋体" w:eastAsia="宋体" w:cs="宋体"/>
          <w:color w:val="auto"/>
          <w:spacing w:val="-59"/>
          <w:sz w:val="24"/>
          <w:szCs w:val="24"/>
          <w:highlight w:val="none"/>
        </w:rPr>
        <w:t xml:space="preserve"> </w:t>
      </w:r>
      <w:r>
        <w:rPr>
          <w:rFonts w:hint="eastAsia" w:ascii="宋体" w:hAnsi="宋体" w:eastAsia="宋体" w:cs="宋体"/>
          <w:color w:val="auto"/>
          <w:spacing w:val="-2"/>
          <w:sz w:val="24"/>
          <w:szCs w:val="24"/>
          <w:highlight w:val="none"/>
        </w:rPr>
        <w:t>A 为</w:t>
      </w:r>
      <w:r>
        <w:rPr>
          <w:rFonts w:hint="eastAsia" w:ascii="宋体" w:hAnsi="宋体" w:eastAsia="宋体" w:cs="宋体"/>
          <w:color w:val="auto"/>
          <w:spacing w:val="-2"/>
          <w:sz w:val="24"/>
          <w:szCs w:val="24"/>
          <w:highlight w:val="none"/>
          <w:u w:val="single"/>
        </w:rPr>
        <w:t xml:space="preserve">  5%   </w:t>
      </w:r>
      <w:r>
        <w:rPr>
          <w:rFonts w:hint="eastAsia" w:ascii="宋体" w:hAnsi="宋体" w:eastAsia="宋体" w:cs="宋体"/>
          <w:color w:val="auto"/>
          <w:spacing w:val="-2"/>
          <w:sz w:val="24"/>
          <w:szCs w:val="24"/>
          <w:highlight w:val="none"/>
        </w:rPr>
        <w:t>。合同履</w:t>
      </w:r>
      <w:r>
        <w:rPr>
          <w:rFonts w:hint="eastAsia" w:ascii="宋体" w:hAnsi="宋体" w:eastAsia="宋体" w:cs="宋体"/>
          <w:color w:val="auto"/>
          <w:spacing w:val="-1"/>
          <w:sz w:val="24"/>
          <w:szCs w:val="24"/>
          <w:highlight w:val="none"/>
        </w:rPr>
        <w:t>行期间，当《承包人提供主要材料和工程设备一览表》（</w:t>
      </w:r>
      <w:r>
        <w:rPr>
          <w:rFonts w:hint="eastAsia" w:ascii="宋体" w:hAnsi="宋体" w:eastAsia="宋体" w:cs="宋体"/>
          <w:color w:val="auto"/>
          <w:spacing w:val="-2"/>
          <w:sz w:val="24"/>
          <w:szCs w:val="24"/>
          <w:highlight w:val="none"/>
        </w:rPr>
        <w:t>详见招标工程量清单）中的材</w:t>
      </w:r>
      <w:r>
        <w:rPr>
          <w:rFonts w:hint="eastAsia" w:ascii="宋体" w:hAnsi="宋体" w:eastAsia="宋体" w:cs="宋体"/>
          <w:color w:val="auto"/>
          <w:spacing w:val="-3"/>
          <w:sz w:val="24"/>
          <w:szCs w:val="24"/>
          <w:highlight w:val="none"/>
        </w:rPr>
        <w:t>料、工程设备单价涨跌幅度等于或低于</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A 值时，该材料、工程设备单价不予调整；超过</w:t>
      </w:r>
      <w:r>
        <w:rPr>
          <w:rFonts w:hint="eastAsia" w:ascii="宋体" w:hAnsi="宋体" w:eastAsia="宋体" w:cs="宋体"/>
          <w:color w:val="auto"/>
          <w:sz w:val="24"/>
          <w:szCs w:val="24"/>
          <w:highlight w:val="none"/>
        </w:rPr>
        <w:t>A 值时，其超过部分可以调整。相关费用按有关规定进行相</w:t>
      </w:r>
      <w:r>
        <w:rPr>
          <w:rFonts w:hint="eastAsia" w:ascii="宋体" w:hAnsi="宋体" w:eastAsia="宋体" w:cs="宋体"/>
          <w:color w:val="auto"/>
          <w:spacing w:val="-1"/>
          <w:sz w:val="24"/>
          <w:szCs w:val="24"/>
          <w:highlight w:val="none"/>
        </w:rPr>
        <w:t>应调整。</w:t>
      </w:r>
    </w:p>
    <w:p w14:paraId="42CED02E">
      <w:pPr>
        <w:spacing w:before="126" w:line="295" w:lineRule="auto"/>
        <w:ind w:left="11" w:right="108" w:firstLine="477"/>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eastAsia="zh-CN"/>
        </w:rPr>
        <w:t>a ．如果承包人投标报价中材料、工程设备单价（以下简称“ 中标单价 ”）低于基准日当月项目所在地工程造价管理机构发布的对应材料、工程设备单价（以下简称“基准单价 ”），该材料、工程设备的结算单价调整公式为：</w:t>
      </w:r>
    </w:p>
    <w:p w14:paraId="28C26EC3">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a．涨价时，</w:t>
      </w:r>
      <w:r>
        <w:rPr>
          <w:rFonts w:hint="eastAsia" w:ascii="宋体" w:hAnsi="宋体" w:eastAsia="宋体" w:cs="宋体"/>
          <w:snapToGrid w:val="0"/>
          <w:color w:val="auto"/>
          <w:kern w:val="0"/>
          <w:position w:val="-30"/>
          <w:sz w:val="24"/>
          <w:szCs w:val="24"/>
          <w:highlight w:val="none"/>
        </w:rPr>
        <w:object>
          <v:shape id="_x0000_i1025" o:spt="75" type="#_x0000_t75" style="height:33.95pt;width:200.95pt;" o:ole="t" filled="f" o:preferrelative="t" stroked="f" coordsize="21600,21600">
            <v:path/>
            <v:fill on="f" focussize="0,0"/>
            <v:stroke on="f"/>
            <v:imagedata r:id="rId29" embosscolor="#FFFFFF" o:title=""/>
            <o:lock v:ext="edit" grouping="f" rotation="f" text="f" aspectratio="t"/>
            <w10:wrap type="none"/>
            <w10:anchorlock/>
          </v:shape>
          <o:OLEObject Type="Embed" ProgID="Equation.KSEE3" ShapeID="_x0000_i1025" DrawAspect="Content" ObjectID="_1468075725" r:id="rId28">
            <o:LockedField>false</o:LockedField>
          </o:OLEObject>
        </w:object>
      </w:r>
    </w:p>
    <w:p w14:paraId="579EB4A5">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6" o:spt="75" type="#_x0000_t75" style="height:33.95pt;width:198.95pt;" o:ole="t" filled="f" o:preferrelative="t" stroked="f" coordsize="21600,21600">
            <v:path/>
            <v:fill on="f" focussize="0,0"/>
            <v:stroke on="f"/>
            <v:imagedata r:id="rId31" embosscolor="#FFFFFF" o:title=""/>
            <o:lock v:ext="edit" grouping="f" rotation="f" text="f" aspectratio="t"/>
            <w10:wrap type="none"/>
            <w10:anchorlock/>
          </v:shape>
          <o:OLEObject Type="Embed" ProgID="Equation.KSEE3" ShapeID="_x0000_i1026" DrawAspect="Content" ObjectID="_1468075726" r:id="rId30">
            <o:LockedField>false</o:LockedField>
          </o:OLEObject>
        </w:object>
      </w:r>
    </w:p>
    <w:p w14:paraId="56883823">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b．涨价时，</w:t>
      </w:r>
      <w:r>
        <w:rPr>
          <w:rFonts w:hint="eastAsia" w:ascii="宋体" w:hAnsi="宋体" w:eastAsia="宋体" w:cs="宋体"/>
          <w:snapToGrid w:val="0"/>
          <w:color w:val="auto"/>
          <w:kern w:val="0"/>
          <w:position w:val="-30"/>
          <w:sz w:val="24"/>
          <w:szCs w:val="24"/>
          <w:highlight w:val="none"/>
        </w:rPr>
        <w:object>
          <v:shape id="_x0000_i1027" o:spt="75" type="#_x0000_t75" style="height:33.95pt;width:198.95pt;" o:ole="t" filled="f" o:preferrelative="t" stroked="f" coordsize="21600,21600">
            <v:path/>
            <v:fill on="f" focussize="0,0"/>
            <v:stroke on="f"/>
            <v:imagedata r:id="rId33" embosscolor="#FFFFFF" o:title=""/>
            <o:lock v:ext="edit" grouping="f" rotation="f" text="f" aspectratio="t"/>
            <w10:wrap type="none"/>
            <w10:anchorlock/>
          </v:shape>
          <o:OLEObject Type="Embed" ProgID="Equation.KSEE3" ShapeID="_x0000_i1027" DrawAspect="Content" ObjectID="_1468075727" r:id="rId32">
            <o:LockedField>false</o:LockedField>
          </o:OLEObject>
        </w:object>
      </w:r>
    </w:p>
    <w:p w14:paraId="24ED3BDE">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8" o:spt="75" type="#_x0000_t75" style="height:33.95pt;width:200.95pt;" o:ole="t" filled="f" o:preferrelative="t" stroked="f" coordsize="21600,21600">
            <v:path/>
            <v:fill on="f" focussize="0,0"/>
            <v:stroke on="f"/>
            <v:imagedata r:id="rId35" embosscolor="#FFFFFF" o:title=""/>
            <o:lock v:ext="edit" grouping="f" rotation="f" text="f" aspectratio="t"/>
            <w10:wrap type="none"/>
            <w10:anchorlock/>
          </v:shape>
          <o:OLEObject Type="Embed" ProgID="Equation.KSEE3" ShapeID="_x0000_i1028" DrawAspect="Content" ObjectID="_1468075728" r:id="rId34">
            <o:LockedField>false</o:LockedField>
          </o:OLEObject>
        </w:object>
      </w:r>
    </w:p>
    <w:p w14:paraId="454A6792">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c．涨价时，</w:t>
      </w:r>
      <w:r>
        <w:rPr>
          <w:rFonts w:hint="eastAsia" w:ascii="宋体" w:hAnsi="宋体" w:eastAsia="宋体" w:cs="宋体"/>
          <w:snapToGrid w:val="0"/>
          <w:color w:val="auto"/>
          <w:kern w:val="0"/>
          <w:position w:val="-30"/>
          <w:sz w:val="24"/>
          <w:szCs w:val="24"/>
          <w:highlight w:val="none"/>
        </w:rPr>
        <w:object>
          <v:shape id="_x0000_i1029" o:spt="75" type="#_x0000_t75" style="height:33.95pt;width:200.95pt;" o:ole="t" filled="f" o:preferrelative="t" stroked="f" coordsize="21600,21600">
            <v:path/>
            <v:fill on="f" focussize="0,0"/>
            <v:stroke on="f"/>
            <v:imagedata r:id="rId37" embosscolor="#FFFFFF" o:title=""/>
            <o:lock v:ext="edit" grouping="f" rotation="f" text="f" aspectratio="t"/>
            <w10:wrap type="none"/>
            <w10:anchorlock/>
          </v:shape>
          <o:OLEObject Type="Embed" ProgID="Equation.KSEE3" ShapeID="_x0000_i1029" DrawAspect="Content" ObjectID="_1468075729" r:id="rId36">
            <o:LockedField>false</o:LockedField>
          </o:OLEObject>
        </w:object>
      </w:r>
    </w:p>
    <w:p w14:paraId="1B115E81">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0" o:spt="75" type="#_x0000_t75" style="height:33.95pt;width:200.95pt;" o:ole="t" filled="f" o:preferrelative="t" stroked="f" coordsize="21600,21600">
            <v:path/>
            <v:fill on="f" focussize="0,0"/>
            <v:stroke on="f"/>
            <v:imagedata r:id="rId39" embosscolor="#FFFFFF" o:title=""/>
            <o:lock v:ext="edit" grouping="f" rotation="f" text="f" aspectratio="t"/>
            <w10:wrap type="none"/>
            <w10:anchorlock/>
          </v:shape>
          <o:OLEObject Type="Embed" ProgID="Equation.KSEE3" ShapeID="_x0000_i1030" DrawAspect="Content" ObjectID="_1468075730" r:id="rId38">
            <o:LockedField>false</o:LockedField>
          </o:OLEObject>
        </w:object>
      </w:r>
    </w:p>
    <w:p w14:paraId="5E185BA4">
      <w:pPr>
        <w:spacing w:before="78"/>
        <w:ind w:left="330"/>
        <w:rPr>
          <w:rFonts w:hint="eastAsia" w:ascii="宋体" w:hAnsi="宋体" w:eastAsia="宋体" w:cs="宋体"/>
          <w:color w:val="auto"/>
          <w:sz w:val="24"/>
          <w:szCs w:val="24"/>
          <w:highlight w:val="none"/>
        </w:rPr>
      </w:pPr>
    </w:p>
    <w:p w14:paraId="6FB1B5C3">
      <w:pPr>
        <w:spacing w:before="140" w:line="196" w:lineRule="auto"/>
        <w:ind w:left="3758"/>
        <w:rPr>
          <w:rFonts w:hint="eastAsia" w:ascii="宋体" w:hAnsi="宋体" w:eastAsia="宋体" w:cs="宋体"/>
          <w:color w:val="auto"/>
          <w:sz w:val="13"/>
          <w:szCs w:val="13"/>
          <w:highlight w:val="none"/>
        </w:rPr>
      </w:pPr>
      <w:r>
        <w:rPr>
          <w:rFonts w:hint="eastAsia" w:ascii="宋体" w:hAnsi="宋体" w:eastAsia="宋体" w:cs="宋体"/>
          <w:color w:val="auto"/>
          <w:spacing w:val="-2"/>
          <w:position w:val="1"/>
          <w:sz w:val="24"/>
          <w:szCs w:val="24"/>
          <w:highlight w:val="none"/>
        </w:rPr>
        <w:t>F</w:t>
      </w:r>
      <w:r>
        <w:rPr>
          <w:rFonts w:hint="eastAsia" w:ascii="宋体" w:hAnsi="宋体" w:eastAsia="宋体" w:cs="宋体"/>
          <w:color w:val="auto"/>
          <w:spacing w:val="-2"/>
          <w:position w:val="-4"/>
          <w:sz w:val="13"/>
          <w:szCs w:val="13"/>
          <w:highlight w:val="none"/>
        </w:rPr>
        <w:t>0</w:t>
      </w:r>
    </w:p>
    <w:p w14:paraId="04FA79EF">
      <w:pPr>
        <w:spacing w:before="78" w:line="330" w:lineRule="auto"/>
        <w:ind w:right="59" w:firstLine="507"/>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以上公式中，F</w:t>
      </w:r>
      <w:r>
        <w:rPr>
          <w:rFonts w:hint="eastAsia" w:ascii="宋体" w:hAnsi="宋体" w:eastAsia="宋体" w:cs="宋体"/>
          <w:color w:val="auto"/>
          <w:spacing w:val="-4"/>
          <w:position w:val="-1"/>
          <w:sz w:val="15"/>
          <w:szCs w:val="15"/>
          <w:highlight w:val="none"/>
        </w:rPr>
        <w:t>1</w:t>
      </w:r>
      <w:r>
        <w:rPr>
          <w:rFonts w:hint="eastAsia" w:ascii="宋体" w:hAnsi="宋体" w:eastAsia="宋体" w:cs="宋体"/>
          <w:color w:val="auto"/>
          <w:spacing w:val="26"/>
          <w:position w:val="-1"/>
          <w:sz w:val="15"/>
          <w:szCs w:val="15"/>
          <w:highlight w:val="none"/>
        </w:rPr>
        <w:t xml:space="preserve"> </w:t>
      </w:r>
      <w:r>
        <w:rPr>
          <w:rFonts w:hint="eastAsia" w:ascii="宋体" w:hAnsi="宋体" w:eastAsia="宋体" w:cs="宋体"/>
          <w:color w:val="auto"/>
          <w:spacing w:val="-4"/>
          <w:sz w:val="24"/>
          <w:szCs w:val="24"/>
          <w:highlight w:val="none"/>
        </w:rPr>
        <w:t>为中标单价；F</w:t>
      </w:r>
      <w:r>
        <w:rPr>
          <w:rFonts w:hint="eastAsia" w:ascii="宋体" w:hAnsi="宋体" w:eastAsia="宋体" w:cs="宋体"/>
          <w:color w:val="auto"/>
          <w:spacing w:val="-4"/>
          <w:position w:val="-1"/>
          <w:sz w:val="15"/>
          <w:szCs w:val="15"/>
          <w:highlight w:val="none"/>
        </w:rPr>
        <w:t>0</w:t>
      </w:r>
      <w:r>
        <w:rPr>
          <w:rFonts w:hint="eastAsia" w:ascii="宋体" w:hAnsi="宋体" w:eastAsia="宋体" w:cs="宋体"/>
          <w:color w:val="auto"/>
          <w:spacing w:val="14"/>
          <w:w w:val="101"/>
          <w:position w:val="-1"/>
          <w:sz w:val="15"/>
          <w:szCs w:val="15"/>
          <w:highlight w:val="none"/>
        </w:rPr>
        <w:t xml:space="preserve"> </w:t>
      </w:r>
      <w:r>
        <w:rPr>
          <w:rFonts w:hint="eastAsia" w:ascii="宋体" w:hAnsi="宋体" w:eastAsia="宋体" w:cs="宋体"/>
          <w:color w:val="auto"/>
          <w:spacing w:val="-4"/>
          <w:sz w:val="24"/>
          <w:szCs w:val="24"/>
          <w:highlight w:val="none"/>
        </w:rPr>
        <w:t>为基准单价；F</w:t>
      </w:r>
      <w:r>
        <w:rPr>
          <w:rFonts w:hint="eastAsia" w:ascii="宋体" w:hAnsi="宋体" w:eastAsia="宋体" w:cs="宋体"/>
          <w:color w:val="auto"/>
          <w:spacing w:val="-4"/>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4"/>
          <w:sz w:val="24"/>
          <w:szCs w:val="24"/>
          <w:highlight w:val="none"/>
        </w:rPr>
        <w:t>为施工当月项目所在地工程造价管</w:t>
      </w:r>
      <w:r>
        <w:rPr>
          <w:rFonts w:hint="eastAsia" w:ascii="宋体" w:hAnsi="宋体" w:eastAsia="宋体" w:cs="宋体"/>
          <w:color w:val="auto"/>
          <w:spacing w:val="-1"/>
          <w:sz w:val="24"/>
          <w:szCs w:val="24"/>
          <w:highlight w:val="none"/>
        </w:rPr>
        <w:t>理机构发布的材料、工程设备单价；A 为合同约定的材料</w:t>
      </w:r>
      <w:r>
        <w:rPr>
          <w:rFonts w:hint="eastAsia" w:ascii="宋体" w:hAnsi="宋体" w:eastAsia="宋体" w:cs="宋体"/>
          <w:color w:val="auto"/>
          <w:spacing w:val="-2"/>
          <w:sz w:val="24"/>
          <w:szCs w:val="24"/>
          <w:highlight w:val="none"/>
        </w:rPr>
        <w:t>、工程设备单价涨跌风险幅度</w:t>
      </w:r>
      <w:r>
        <w:rPr>
          <w:rFonts w:hint="eastAsia" w:ascii="宋体" w:hAnsi="宋体" w:eastAsia="宋体" w:cs="宋体"/>
          <w:color w:val="auto"/>
          <w:spacing w:val="-5"/>
          <w:sz w:val="24"/>
          <w:szCs w:val="24"/>
          <w:highlight w:val="none"/>
        </w:rPr>
        <w:t>值。</w:t>
      </w:r>
    </w:p>
    <w:p w14:paraId="0A9FAC56">
      <w:pPr>
        <w:spacing w:before="33" w:line="299" w:lineRule="auto"/>
        <w:ind w:right="59"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合同履行期间，当《发包人提供材料和工程设备一览表》（详见招标工程量</w:t>
      </w:r>
      <w:r>
        <w:rPr>
          <w:rFonts w:hint="eastAsia" w:ascii="宋体" w:hAnsi="宋体" w:eastAsia="宋体" w:cs="宋体"/>
          <w:color w:val="auto"/>
          <w:spacing w:val="-2"/>
          <w:sz w:val="24"/>
          <w:szCs w:val="24"/>
          <w:highlight w:val="none"/>
        </w:rPr>
        <w:t>清单）中的材料、工程设备单价发生变化时，由发包人按照实际变化调整，并列入合同</w:t>
      </w:r>
      <w:r>
        <w:rPr>
          <w:rFonts w:hint="eastAsia" w:ascii="宋体" w:hAnsi="宋体" w:eastAsia="宋体" w:cs="宋体"/>
          <w:color w:val="auto"/>
          <w:spacing w:val="-4"/>
          <w:sz w:val="24"/>
          <w:szCs w:val="24"/>
          <w:highlight w:val="none"/>
        </w:rPr>
        <w:t>价款。</w:t>
      </w:r>
    </w:p>
    <w:p w14:paraId="347B12E4">
      <w:pPr>
        <w:spacing w:before="121" w:line="308" w:lineRule="auto"/>
        <w:ind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"2.3.6.4"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2.3.6.4</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本招标项目约定，施工机具台班单价涨跌风险幅度值</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3"/>
          <w:sz w:val="24"/>
          <w:szCs w:val="24"/>
          <w:highlight w:val="none"/>
        </w:rPr>
        <w:t>B</w:t>
      </w:r>
      <w:r>
        <w:rPr>
          <w:rFonts w:hint="eastAsia" w:ascii="宋体" w:hAnsi="宋体" w:eastAsia="宋体" w:cs="宋体"/>
          <w:color w:val="auto"/>
          <w:spacing w:val="-4"/>
          <w:sz w:val="24"/>
          <w:szCs w:val="24"/>
          <w:highlight w:val="none"/>
        </w:rPr>
        <w:t xml:space="preserve"> 为</w:t>
      </w:r>
      <w:r>
        <w:rPr>
          <w:rFonts w:hint="eastAsia" w:ascii="宋体" w:hAnsi="宋体" w:eastAsia="宋体" w:cs="宋体"/>
          <w:color w:val="auto"/>
          <w:spacing w:val="14"/>
          <w:sz w:val="24"/>
          <w:szCs w:val="24"/>
          <w:highlight w:val="none"/>
          <w:u w:val="single"/>
        </w:rPr>
        <w:t xml:space="preserve">  </w:t>
      </w:r>
      <w:r>
        <w:rPr>
          <w:rFonts w:hint="eastAsia" w:ascii="宋体" w:hAnsi="宋体" w:eastAsia="宋体" w:cs="宋体"/>
          <w:color w:val="auto"/>
          <w:spacing w:val="-4"/>
          <w:sz w:val="24"/>
          <w:szCs w:val="24"/>
          <w:highlight w:val="none"/>
          <w:u w:val="single"/>
        </w:rPr>
        <w:t xml:space="preserve">10%  </w:t>
      </w:r>
      <w:r>
        <w:rPr>
          <w:rFonts w:hint="eastAsia" w:ascii="宋体" w:hAnsi="宋体" w:eastAsia="宋体" w:cs="宋体"/>
          <w:color w:val="auto"/>
          <w:spacing w:val="-4"/>
          <w:sz w:val="24"/>
          <w:szCs w:val="24"/>
          <w:highlight w:val="none"/>
        </w:rPr>
        <w:t>。合同履行</w:t>
      </w:r>
      <w:r>
        <w:rPr>
          <w:rFonts w:hint="eastAsia" w:ascii="宋体" w:hAnsi="宋体" w:eastAsia="宋体" w:cs="宋体"/>
          <w:color w:val="auto"/>
          <w:spacing w:val="-7"/>
          <w:sz w:val="24"/>
          <w:szCs w:val="24"/>
          <w:highlight w:val="none"/>
        </w:rPr>
        <w:t>期间，当施工机具台班单价涨跌幅度等于或低于</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7"/>
          <w:sz w:val="24"/>
          <w:szCs w:val="24"/>
          <w:highlight w:val="none"/>
        </w:rPr>
        <w:t>B 值时，该施工机具台班单价不予调</w:t>
      </w:r>
      <w:r>
        <w:rPr>
          <w:rFonts w:hint="eastAsia" w:ascii="宋体" w:hAnsi="宋体" w:eastAsia="宋体" w:cs="宋体"/>
          <w:color w:val="auto"/>
          <w:spacing w:val="-8"/>
          <w:sz w:val="24"/>
          <w:szCs w:val="24"/>
          <w:highlight w:val="none"/>
        </w:rPr>
        <w:t>整；</w:t>
      </w:r>
      <w:r>
        <w:rPr>
          <w:rFonts w:hint="eastAsia" w:ascii="宋体" w:hAnsi="宋体" w:eastAsia="宋体" w:cs="宋体"/>
          <w:color w:val="auto"/>
          <w:sz w:val="24"/>
          <w:szCs w:val="24"/>
          <w:highlight w:val="none"/>
        </w:rPr>
        <w:t>超过</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z w:val="24"/>
          <w:szCs w:val="24"/>
          <w:highlight w:val="none"/>
        </w:rPr>
        <w:t>B 值时，其超过部分可以调整。相关费</w:t>
      </w:r>
      <w:r>
        <w:rPr>
          <w:rFonts w:hint="eastAsia" w:ascii="宋体" w:hAnsi="宋体" w:eastAsia="宋体" w:cs="宋体"/>
          <w:color w:val="auto"/>
          <w:spacing w:val="-1"/>
          <w:sz w:val="24"/>
          <w:szCs w:val="24"/>
          <w:highlight w:val="none"/>
        </w:rPr>
        <w:t>用按有关规定进行相应调整。</w:t>
      </w:r>
    </w:p>
    <w:p w14:paraId="060696EB">
      <w:pPr>
        <w:spacing w:before="153" w:line="278" w:lineRule="auto"/>
        <w:ind w:left="42" w:right="59" w:firstLine="4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color w:val="auto"/>
          <w:spacing w:val="-1"/>
          <w:sz w:val="24"/>
          <w:szCs w:val="24"/>
          <w:highlight w:val="none"/>
        </w:rPr>
        <w:t>．如果承包人投标报价中施工机具台班单价（以下简称“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中标单价</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）低于基准</w:t>
      </w:r>
      <w:r>
        <w:rPr>
          <w:rFonts w:hint="eastAsia" w:ascii="宋体" w:hAnsi="宋体" w:eastAsia="宋体" w:cs="宋体"/>
          <w:color w:val="auto"/>
          <w:spacing w:val="-3"/>
          <w:sz w:val="24"/>
          <w:szCs w:val="24"/>
          <w:highlight w:val="none"/>
        </w:rPr>
        <w:t>日当月项目所在地工程造价管理机构发布的对应施工机具台班单价（以下简称“基准单</w:t>
      </w:r>
      <w:r>
        <w:rPr>
          <w:rFonts w:hint="eastAsia" w:ascii="宋体" w:hAnsi="宋体" w:eastAsia="宋体" w:cs="宋体"/>
          <w:color w:val="auto"/>
          <w:spacing w:val="-2"/>
          <w:sz w:val="24"/>
          <w:szCs w:val="24"/>
          <w:highlight w:val="none"/>
        </w:rPr>
        <w:t>价</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”），该施工机具台班的结算单价调整公式为：</w:t>
      </w:r>
    </w:p>
    <w:p w14:paraId="418DEAD1">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1" o:spt="75" type="#_x0000_t75" style="height:33.95pt;width:200.95pt;" o:ole="t" filled="f" o:preferrelative="t" stroked="f" coordsize="21600,21600">
            <v:path/>
            <v:fill on="f" focussize="0,0"/>
            <v:stroke on="f"/>
            <v:imagedata r:id="rId41" embosscolor="#FFFFFF" o:title=""/>
            <o:lock v:ext="edit" grouping="f" rotation="f" text="f" aspectratio="t"/>
            <w10:wrap type="none"/>
            <w10:anchorlock/>
          </v:shape>
          <o:OLEObject Type="Embed" ProgID="Equation.KSEE3" ShapeID="_x0000_i1031" DrawAspect="Content" ObjectID="_1468075731" r:id="rId40">
            <o:LockedField>false</o:LockedField>
          </o:OLEObject>
        </w:object>
      </w:r>
    </w:p>
    <w:p w14:paraId="571A92A7">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2" o:spt="75" type="#_x0000_t75" style="height:33.95pt;width:198pt;" o:ole="t" filled="f" o:preferrelative="t" stroked="f" coordsize="21600,21600">
            <v:path/>
            <v:fill on="f" focussize="0,0"/>
            <v:stroke on="f"/>
            <v:imagedata r:id="rId43" embosscolor="#FFFFFF" o:title=""/>
            <o:lock v:ext="edit" grouping="f" rotation="f" text="f" aspectratio="t"/>
            <w10:wrap type="none"/>
            <w10:anchorlock/>
          </v:shape>
          <o:OLEObject Type="Embed" ProgID="Equation.KSEE3" ShapeID="_x0000_i1032" DrawAspect="Content" ObjectID="_1468075732" r:id="rId42">
            <o:LockedField>false</o:LockedField>
          </o:OLEObject>
        </w:object>
      </w:r>
    </w:p>
    <w:p w14:paraId="282298C2">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．如果中标单价高于基准单价，该施工机具台班的结算单价调整公式为：</w:t>
      </w:r>
    </w:p>
    <w:p w14:paraId="65D85B9E">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3" o:spt="75" type="#_x0000_t75" style="height:33.95pt;width:198pt;" o:ole="t" filled="f" o:preferrelative="t" stroked="f" coordsize="21600,21600">
            <v:path/>
            <v:fill on="f" focussize="0,0"/>
            <v:stroke on="f"/>
            <v:imagedata r:id="rId45" embosscolor="#FFFFFF" o:title=""/>
            <o:lock v:ext="edit" grouping="f" rotation="f" text="f" aspectratio="t"/>
            <w10:wrap type="none"/>
            <w10:anchorlock/>
          </v:shape>
          <o:OLEObject Type="Embed" ProgID="Equation.KSEE3" ShapeID="_x0000_i1033" DrawAspect="Content" ObjectID="_1468075733" r:id="rId44">
            <o:LockedField>false</o:LockedField>
          </o:OLEObject>
        </w:object>
      </w:r>
    </w:p>
    <w:p w14:paraId="3C673677">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4" o:spt="75" type="#_x0000_t75" style="height:33.95pt;width:200.95pt;" o:ole="t" filled="f" o:preferrelative="t" stroked="f" coordsize="21600,21600">
            <v:path/>
            <v:fill on="f" focussize="0,0"/>
            <v:stroke on="f"/>
            <v:imagedata r:id="rId47" embosscolor="#FFFFFF" o:title=""/>
            <o:lock v:ext="edit" grouping="f" rotation="f" text="f" aspectratio="t"/>
            <w10:wrap type="none"/>
            <w10:anchorlock/>
          </v:shape>
          <o:OLEObject Type="Embed" ProgID="Equation.KSEE3" ShapeID="_x0000_i1034" DrawAspect="Content" ObjectID="_1468075734" r:id="rId46">
            <o:LockedField>false</o:LockedField>
          </o:OLEObject>
        </w:object>
      </w:r>
    </w:p>
    <w:p w14:paraId="773C1A62">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．如果中标单价等于基准单价，该施工机具台班的结算单价调整公式为：</w:t>
      </w:r>
    </w:p>
    <w:p w14:paraId="0E0E63B9">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5" o:spt="75" type="#_x0000_t75" style="height:33.95pt;width:200.95pt;" o:ole="t" filled="f" o:preferrelative="t" stroked="f" coordsize="21600,21600">
            <v:path/>
            <v:fill on="f" focussize="0,0"/>
            <v:stroke on="f"/>
            <v:imagedata r:id="rId49" embosscolor="#FFFFFF" o:title=""/>
            <o:lock v:ext="edit" grouping="f" rotation="f" text="f" aspectratio="t"/>
            <w10:wrap type="none"/>
            <w10:anchorlock/>
          </v:shape>
          <o:OLEObject Type="Embed" ProgID="Equation.KSEE3" ShapeID="_x0000_i1035" DrawAspect="Content" ObjectID="_1468075735" r:id="rId48">
            <o:LockedField>false</o:LockedField>
          </o:OLEObject>
        </w:object>
      </w:r>
    </w:p>
    <w:p w14:paraId="364D5B69">
      <w:pPr>
        <w:spacing w:before="79" w:line="324" w:lineRule="auto"/>
        <w:ind w:left="11" w:right="65" w:firstLine="504"/>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6" o:spt="75" type="#_x0000_t75" style="height:33.95pt;width:200.95pt;" o:ole="t" filled="f" o:preferrelative="t" stroked="f" coordsize="21600,21600">
            <v:path/>
            <v:fill on="f" focussize="0,0"/>
            <v:stroke on="f"/>
            <v:imagedata r:id="rId51" embosscolor="#FFFFFF" o:title=""/>
            <o:lock v:ext="edit" grouping="f" rotation="f" text="f" aspectratio="t"/>
            <w10:wrap type="none"/>
            <w10:anchorlock/>
          </v:shape>
          <o:OLEObject Type="Embed" ProgID="Equation.KSEE3" ShapeID="_x0000_i1036" DrawAspect="Content" ObjectID="_1468075736" r:id="rId50">
            <o:LockedField>false</o:LockedField>
          </o:OLEObject>
        </w:object>
      </w:r>
    </w:p>
    <w:p w14:paraId="7379A0DA">
      <w:pPr>
        <w:spacing w:before="79" w:line="324" w:lineRule="auto"/>
        <w:ind w:left="11" w:right="65" w:firstLine="504"/>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以上公式中，F</w:t>
      </w:r>
      <w:r>
        <w:rPr>
          <w:rFonts w:hint="eastAsia" w:ascii="宋体" w:hAnsi="宋体" w:eastAsia="宋体" w:cs="宋体"/>
          <w:color w:val="auto"/>
          <w:spacing w:val="-4"/>
          <w:position w:val="-1"/>
          <w:sz w:val="15"/>
          <w:szCs w:val="15"/>
          <w:highlight w:val="none"/>
        </w:rPr>
        <w:t>1</w:t>
      </w:r>
      <w:r>
        <w:rPr>
          <w:rFonts w:hint="eastAsia" w:ascii="宋体" w:hAnsi="宋体" w:eastAsia="宋体" w:cs="宋体"/>
          <w:color w:val="auto"/>
          <w:spacing w:val="26"/>
          <w:position w:val="-1"/>
          <w:sz w:val="15"/>
          <w:szCs w:val="15"/>
          <w:highlight w:val="none"/>
        </w:rPr>
        <w:t xml:space="preserve"> </w:t>
      </w:r>
      <w:r>
        <w:rPr>
          <w:rFonts w:hint="eastAsia" w:ascii="宋体" w:hAnsi="宋体" w:eastAsia="宋体" w:cs="宋体"/>
          <w:color w:val="auto"/>
          <w:spacing w:val="-4"/>
          <w:sz w:val="24"/>
          <w:szCs w:val="24"/>
          <w:highlight w:val="none"/>
        </w:rPr>
        <w:t>为中标单价；F</w:t>
      </w:r>
      <w:r>
        <w:rPr>
          <w:rFonts w:hint="eastAsia" w:ascii="宋体" w:hAnsi="宋体" w:eastAsia="宋体" w:cs="宋体"/>
          <w:color w:val="auto"/>
          <w:spacing w:val="-4"/>
          <w:position w:val="-1"/>
          <w:sz w:val="15"/>
          <w:szCs w:val="15"/>
          <w:highlight w:val="none"/>
        </w:rPr>
        <w:t>0</w:t>
      </w:r>
      <w:r>
        <w:rPr>
          <w:rFonts w:hint="eastAsia" w:ascii="宋体" w:hAnsi="宋体" w:eastAsia="宋体" w:cs="宋体"/>
          <w:color w:val="auto"/>
          <w:spacing w:val="14"/>
          <w:w w:val="101"/>
          <w:position w:val="-1"/>
          <w:sz w:val="15"/>
          <w:szCs w:val="15"/>
          <w:highlight w:val="none"/>
        </w:rPr>
        <w:t xml:space="preserve"> </w:t>
      </w:r>
      <w:r>
        <w:rPr>
          <w:rFonts w:hint="eastAsia" w:ascii="宋体" w:hAnsi="宋体" w:eastAsia="宋体" w:cs="宋体"/>
          <w:color w:val="auto"/>
          <w:spacing w:val="-4"/>
          <w:sz w:val="24"/>
          <w:szCs w:val="24"/>
          <w:highlight w:val="none"/>
        </w:rPr>
        <w:t>为基准单价；F</w:t>
      </w:r>
      <w:r>
        <w:rPr>
          <w:rFonts w:hint="eastAsia" w:ascii="宋体" w:hAnsi="宋体" w:eastAsia="宋体" w:cs="宋体"/>
          <w:color w:val="auto"/>
          <w:spacing w:val="-4"/>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4"/>
          <w:sz w:val="24"/>
          <w:szCs w:val="24"/>
          <w:highlight w:val="none"/>
        </w:rPr>
        <w:t>为施工当月项目所在地工程造价管</w:t>
      </w:r>
      <w:r>
        <w:rPr>
          <w:rFonts w:hint="eastAsia" w:ascii="宋体" w:hAnsi="宋体" w:eastAsia="宋体" w:cs="宋体"/>
          <w:color w:val="auto"/>
          <w:spacing w:val="-1"/>
          <w:sz w:val="24"/>
          <w:szCs w:val="24"/>
          <w:highlight w:val="none"/>
        </w:rPr>
        <w:t>理机构发布的施工机具台班单价；B 为合同约定的施工机具台班单价</w:t>
      </w:r>
      <w:r>
        <w:rPr>
          <w:rFonts w:hint="eastAsia" w:ascii="宋体" w:hAnsi="宋体" w:eastAsia="宋体" w:cs="宋体"/>
          <w:color w:val="auto"/>
          <w:spacing w:val="-2"/>
          <w:sz w:val="24"/>
          <w:szCs w:val="24"/>
          <w:highlight w:val="none"/>
        </w:rPr>
        <w:t>涨跌风险幅度值。</w:t>
      </w:r>
    </w:p>
    <w:p w14:paraId="642071F0">
      <w:pPr>
        <w:spacing w:before="39" w:line="219"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2.3.7  </w:t>
      </w:r>
      <w:r>
        <w:rPr>
          <w:rFonts w:hint="eastAsia" w:ascii="宋体" w:hAnsi="宋体" w:eastAsia="宋体" w:cs="宋体"/>
          <w:color w:val="auto"/>
          <w:spacing w:val="-1"/>
          <w:sz w:val="24"/>
          <w:szCs w:val="24"/>
          <w:highlight w:val="none"/>
        </w:rPr>
        <w:t>暂估价和暂列金额</w:t>
      </w:r>
    </w:p>
    <w:p w14:paraId="290726B3">
      <w:pPr>
        <w:spacing w:before="154" w:line="299" w:lineRule="auto"/>
        <w:ind w:left="7" w:right="57" w:firstLine="477"/>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2.3.7.1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snapToGrid w:val="0"/>
          <w:color w:val="auto"/>
          <w:kern w:val="0"/>
          <w:sz w:val="24"/>
          <w:szCs w:val="24"/>
          <w:highlight w:val="none"/>
          <w:lang w:eastAsia="zh-CN"/>
        </w:rPr>
        <w:t xml:space="preserve">暂估价项目按第一章第三节“投标人须知正文 ”第 </w:t>
      </w:r>
      <w:r>
        <w:rPr>
          <w:rFonts w:hint="eastAsia" w:ascii="宋体" w:hAnsi="宋体" w:eastAsia="宋体" w:cs="宋体"/>
          <w:b/>
          <w:bCs/>
          <w:snapToGrid w:val="0"/>
          <w:color w:val="auto"/>
          <w:kern w:val="0"/>
          <w:sz w:val="24"/>
          <w:szCs w:val="24"/>
          <w:highlight w:val="none"/>
          <w:lang w:eastAsia="zh-CN"/>
        </w:rPr>
        <w:t>8.5</w:t>
      </w:r>
      <w:r>
        <w:rPr>
          <w:rFonts w:hint="eastAsia" w:ascii="宋体" w:hAnsi="宋体" w:eastAsia="宋体" w:cs="宋体"/>
          <w:snapToGrid w:val="0"/>
          <w:color w:val="auto"/>
          <w:kern w:val="0"/>
          <w:sz w:val="24"/>
          <w:szCs w:val="24"/>
          <w:highlight w:val="none"/>
          <w:lang w:eastAsia="zh-CN"/>
        </w:rPr>
        <w:t xml:space="preserve"> 条的规定确定专业工程承包人（或材料供应商、工程设备供应商）后，将专业工程合同价款（或材料单价、工程设备单价）取代相应暂估价，并调整合同价款。</w:t>
      </w:r>
    </w:p>
    <w:p w14:paraId="39A9AB80">
      <w:pPr>
        <w:spacing w:before="153" w:line="315" w:lineRule="auto"/>
        <w:ind w:left="8" w:right="2" w:firstLine="476"/>
        <w:rPr>
          <w:rFonts w:hint="eastAsia" w:ascii="宋体" w:hAnsi="宋体" w:eastAsia="宋体" w:cs="宋体"/>
          <w:color w:val="auto"/>
          <w:spacing w:val="-3"/>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8"/>
          <w:sz w:val="24"/>
          <w:szCs w:val="24"/>
          <w:highlight w:val="none"/>
        </w:rPr>
        <w:t>2.3.7.2</w:t>
      </w:r>
      <w:r>
        <w:rPr>
          <w:rFonts w:hint="eastAsia" w:ascii="宋体" w:hAnsi="宋体" w:eastAsia="宋体" w:cs="宋体"/>
          <w:b/>
          <w:bCs/>
          <w:color w:val="auto"/>
          <w:spacing w:val="-8"/>
          <w:sz w:val="24"/>
          <w:szCs w:val="24"/>
          <w:highlight w:val="none"/>
        </w:rPr>
        <w:fldChar w:fldCharType="end"/>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暂列金额由发包人掌握和使用。暂列金额项目若有发</w:t>
      </w:r>
      <w:r>
        <w:rPr>
          <w:rFonts w:hint="eastAsia" w:ascii="宋体" w:hAnsi="宋体" w:eastAsia="宋体" w:cs="宋体"/>
          <w:color w:val="auto"/>
          <w:spacing w:val="-9"/>
          <w:sz w:val="24"/>
          <w:szCs w:val="24"/>
          <w:highlight w:val="none"/>
        </w:rPr>
        <w:t>生，按第一章第三节“投</w:t>
      </w:r>
      <w:r>
        <w:rPr>
          <w:rFonts w:hint="eastAsia" w:ascii="宋体" w:hAnsi="宋体" w:eastAsia="宋体" w:cs="宋体"/>
          <w:color w:val="auto"/>
          <w:spacing w:val="-5"/>
          <w:sz w:val="24"/>
          <w:szCs w:val="24"/>
          <w:highlight w:val="none"/>
        </w:rPr>
        <w:t>标人须知正文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”第</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5"/>
          <w:sz w:val="24"/>
          <w:szCs w:val="24"/>
          <w:highlight w:val="none"/>
        </w:rPr>
        <w:t xml:space="preserve">8.6 </w:t>
      </w:r>
      <w:r>
        <w:rPr>
          <w:rFonts w:hint="eastAsia" w:ascii="宋体" w:hAnsi="宋体" w:eastAsia="宋体" w:cs="宋体"/>
          <w:color w:val="auto"/>
          <w:spacing w:val="-5"/>
          <w:sz w:val="24"/>
          <w:szCs w:val="24"/>
          <w:highlight w:val="none"/>
        </w:rPr>
        <w:t>条的规定确定材料供应商（或工程设备供</w:t>
      </w:r>
      <w:r>
        <w:rPr>
          <w:rFonts w:hint="eastAsia" w:ascii="宋体" w:hAnsi="宋体" w:eastAsia="宋体" w:cs="宋体"/>
          <w:color w:val="auto"/>
          <w:spacing w:val="-6"/>
          <w:sz w:val="24"/>
          <w:szCs w:val="24"/>
          <w:highlight w:val="none"/>
        </w:rPr>
        <w:t>应商、服务供应商）后，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材料（或工程设备、服务）的合同价款从暂列金额中支付。暂列金额扣除已发生的暂列金额项目合同价款、已发生的合同约定调整因素出现时的调整价款、已发生的索赔以及</w:t>
      </w:r>
      <w:r>
        <w:rPr>
          <w:rFonts w:hint="eastAsia" w:ascii="宋体" w:hAnsi="宋体" w:eastAsia="宋体" w:cs="宋体"/>
          <w:color w:val="auto"/>
          <w:spacing w:val="-1"/>
          <w:sz w:val="24"/>
          <w:szCs w:val="24"/>
          <w:highlight w:val="none"/>
        </w:rPr>
        <w:t>现场签证确认等的费用后，余额（若有）归发包人所有。</w:t>
      </w:r>
    </w:p>
    <w:p w14:paraId="13A8BDD7">
      <w:pPr>
        <w:spacing w:before="153" w:line="315" w:lineRule="auto"/>
        <w:ind w:left="8" w:right="2" w:firstLine="476"/>
        <w:rPr>
          <w:rFonts w:hint="eastAsia" w:ascii="宋体" w:hAnsi="宋体" w:eastAsia="宋体" w:cs="宋体"/>
          <w:color w:val="auto"/>
          <w:spacing w:val="-8"/>
          <w:sz w:val="24"/>
          <w:szCs w:val="24"/>
          <w:highlight w:val="none"/>
        </w:rPr>
      </w:pPr>
      <w:r>
        <w:rPr>
          <w:rFonts w:hint="eastAsia" w:ascii="宋体" w:hAnsi="宋体" w:eastAsia="宋体" w:cs="宋体"/>
          <w:b/>
          <w:bCs/>
          <w:color w:val="auto"/>
          <w:spacing w:val="-8"/>
          <w:sz w:val="24"/>
          <w:szCs w:val="24"/>
          <w:highlight w:val="none"/>
        </w:rPr>
        <w:t>2.3.8</w:t>
      </w:r>
      <w:r>
        <w:rPr>
          <w:rFonts w:hint="eastAsia" w:ascii="宋体" w:hAnsi="宋体" w:eastAsia="宋体" w:cs="宋体"/>
          <w:color w:val="auto"/>
          <w:spacing w:val="-8"/>
          <w:sz w:val="24"/>
          <w:szCs w:val="24"/>
          <w:highlight w:val="none"/>
        </w:rPr>
        <w:t xml:space="preserve"> 预算包干费：根据《广东省建设工程计价依据（2018）》和《关于调整〈广东省建设工程计价依据2018〉计价规则的通知》（粤标定函〔2025〕22号）。具体包括：《广东省房屋建筑与装饰工程综合定额（2018）》《广东省市政工程综合定额（2018）》《广东省通用安装工程综合定额（2018）》《广东省园林绿化工程综合定额（2018）》《广东省建设工程施工机具台班费用编制规则（2018）》等，以各专业分部分项的人工费与施工机具费之和为基础计算预算包干费。本工程的预算包干内容包括：按《广东省建设工程计价依据（20</w:t>
      </w:r>
      <w:r>
        <w:rPr>
          <w:rFonts w:hint="eastAsia" w:ascii="宋体" w:hAnsi="宋体" w:eastAsia="宋体" w:cs="宋体"/>
          <w:color w:val="auto"/>
          <w:spacing w:val="-8"/>
          <w:sz w:val="24"/>
          <w:szCs w:val="24"/>
          <w:highlight w:val="none"/>
          <w:lang w:val="en-US" w:eastAsia="zh-CN"/>
        </w:rPr>
        <w:t>18</w:t>
      </w:r>
      <w:r>
        <w:rPr>
          <w:rFonts w:hint="eastAsia" w:ascii="宋体" w:hAnsi="宋体" w:eastAsia="宋体" w:cs="宋体"/>
          <w:color w:val="auto"/>
          <w:spacing w:val="-8"/>
          <w:sz w:val="24"/>
          <w:szCs w:val="24"/>
          <w:highlight w:val="none"/>
        </w:rPr>
        <w:t>）》相关规定。若发生工程签证变更，应按合同约定计取预算包干费。</w:t>
      </w:r>
    </w:p>
    <w:p w14:paraId="398CB441">
      <w:pPr>
        <w:spacing w:before="153" w:line="315" w:lineRule="auto"/>
        <w:ind w:left="8" w:right="2" w:firstLine="476"/>
        <w:rPr>
          <w:rFonts w:hint="eastAsia" w:ascii="宋体" w:hAnsi="宋体" w:eastAsia="宋体" w:cs="宋体"/>
          <w:color w:val="auto"/>
          <w:spacing w:val="-8"/>
          <w:sz w:val="24"/>
          <w:szCs w:val="24"/>
          <w:highlight w:val="none"/>
        </w:rPr>
      </w:pPr>
      <w:r>
        <w:rPr>
          <w:rFonts w:hint="eastAsia" w:ascii="宋体" w:hAnsi="宋体" w:eastAsia="宋体" w:cs="宋体"/>
          <w:b/>
          <w:bCs/>
          <w:color w:val="auto"/>
          <w:spacing w:val="-8"/>
          <w:sz w:val="24"/>
          <w:szCs w:val="24"/>
          <w:highlight w:val="none"/>
        </w:rPr>
        <w:t>2.3.</w:t>
      </w:r>
      <w:r>
        <w:rPr>
          <w:rFonts w:hint="eastAsia" w:ascii="宋体" w:hAnsi="宋体" w:eastAsia="宋体" w:cs="宋体"/>
          <w:b/>
          <w:bCs/>
          <w:color w:val="auto"/>
          <w:spacing w:val="-8"/>
          <w:sz w:val="24"/>
          <w:szCs w:val="24"/>
          <w:highlight w:val="none"/>
          <w:lang w:val="en-US" w:eastAsia="zh-CN"/>
        </w:rPr>
        <w:t>9</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其余事项（如不可抗力、索赔、现场签证等）的调整原则按照《建设工程工程量清单计价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8"/>
          <w:sz w:val="24"/>
          <w:szCs w:val="24"/>
          <w:highlight w:val="none"/>
        </w:rPr>
        <w:t>》（GB50500—20</w:t>
      </w:r>
      <w:r>
        <w:rPr>
          <w:rFonts w:hint="eastAsia" w:ascii="宋体" w:hAnsi="宋体" w:eastAsia="宋体" w:cs="宋体"/>
          <w:color w:val="auto"/>
          <w:spacing w:val="-8"/>
          <w:sz w:val="24"/>
          <w:szCs w:val="24"/>
          <w:highlight w:val="none"/>
          <w:lang w:val="en-US" w:eastAsia="zh-CN"/>
        </w:rPr>
        <w:t>24</w:t>
      </w:r>
      <w:r>
        <w:rPr>
          <w:rFonts w:hint="eastAsia" w:ascii="宋体" w:hAnsi="宋体" w:eastAsia="宋体" w:cs="宋体"/>
          <w:color w:val="auto"/>
          <w:spacing w:val="-8"/>
          <w:sz w:val="24"/>
          <w:szCs w:val="24"/>
          <w:highlight w:val="none"/>
        </w:rPr>
        <w:t>）有关规定执行。</w:t>
      </w:r>
    </w:p>
    <w:p w14:paraId="320E67A5">
      <w:pPr>
        <w:spacing w:before="156" w:line="299" w:lineRule="auto"/>
        <w:ind w:left="12" w:right="65" w:firstLine="55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2.4  </w:t>
      </w:r>
      <w:r>
        <w:rPr>
          <w:rFonts w:hint="eastAsia" w:ascii="宋体" w:hAnsi="宋体" w:eastAsia="宋体" w:cs="宋体"/>
          <w:color w:val="auto"/>
          <w:sz w:val="24"/>
          <w:szCs w:val="24"/>
          <w:highlight w:val="none"/>
        </w:rPr>
        <w:t>凡将引起合同价款调增的事项，承包人必须于拟实施</w:t>
      </w:r>
      <w:r>
        <w:rPr>
          <w:rFonts w:hint="eastAsia" w:ascii="宋体" w:hAnsi="宋体" w:eastAsia="宋体" w:cs="宋体"/>
          <w:color w:val="auto"/>
          <w:spacing w:val="-31"/>
          <w:sz w:val="24"/>
          <w:szCs w:val="24"/>
          <w:highlight w:val="none"/>
        </w:rPr>
        <w:t xml:space="preserve"> </w:t>
      </w:r>
      <w:r>
        <w:rPr>
          <w:rFonts w:hint="eastAsia" w:ascii="宋体" w:hAnsi="宋体" w:eastAsia="宋体" w:cs="宋体"/>
          <w:color w:val="auto"/>
          <w:sz w:val="24"/>
          <w:szCs w:val="24"/>
          <w:highlight w:val="none"/>
        </w:rPr>
        <w:t>14</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z w:val="24"/>
          <w:szCs w:val="24"/>
          <w:highlight w:val="none"/>
        </w:rPr>
        <w:t>天前，将详细的</w:t>
      </w:r>
      <w:r>
        <w:rPr>
          <w:rFonts w:hint="eastAsia" w:ascii="宋体" w:hAnsi="宋体" w:eastAsia="宋体" w:cs="宋体"/>
          <w:color w:val="auto"/>
          <w:spacing w:val="-1"/>
          <w:sz w:val="24"/>
          <w:szCs w:val="24"/>
          <w:highlight w:val="none"/>
        </w:rPr>
        <w:t>报价</w:t>
      </w:r>
      <w:r>
        <w:rPr>
          <w:rFonts w:hint="eastAsia" w:ascii="宋体" w:hAnsi="宋体" w:eastAsia="宋体" w:cs="宋体"/>
          <w:color w:val="auto"/>
          <w:spacing w:val="-2"/>
          <w:sz w:val="24"/>
          <w:szCs w:val="24"/>
          <w:highlight w:val="none"/>
        </w:rPr>
        <w:t>书（含拟实施项目名称、变更部位、理由、预计造价等）报监理单位审核和发包人批准后方可实施。</w:t>
      </w:r>
    </w:p>
    <w:p w14:paraId="68F4F6DA">
      <w:pPr>
        <w:spacing w:before="153" w:line="279" w:lineRule="auto"/>
        <w:ind w:left="9" w:right="102"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承包人不得以不完全了解现场情况为理由，提出额外付</w:t>
      </w:r>
      <w:r>
        <w:rPr>
          <w:rFonts w:hint="eastAsia" w:ascii="宋体" w:hAnsi="宋体" w:eastAsia="宋体" w:cs="宋体"/>
          <w:color w:val="auto"/>
          <w:sz w:val="24"/>
          <w:szCs w:val="24"/>
          <w:highlight w:val="none"/>
        </w:rPr>
        <w:t>款或延长工期等要求。</w:t>
      </w:r>
      <w:r>
        <w:rPr>
          <w:rFonts w:hint="eastAsia" w:ascii="宋体" w:hAnsi="宋体" w:eastAsia="宋体" w:cs="宋体"/>
          <w:color w:val="auto"/>
          <w:spacing w:val="-1"/>
          <w:sz w:val="24"/>
          <w:szCs w:val="24"/>
          <w:highlight w:val="none"/>
        </w:rPr>
        <w:t>对此类要求，发包人不作任何考虑及答复。</w:t>
      </w:r>
    </w:p>
    <w:p w14:paraId="4337FFC7">
      <w:pPr>
        <w:spacing w:before="154" w:line="279" w:lineRule="auto"/>
        <w:ind w:left="10" w:right="63"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2.6 </w:t>
      </w:r>
      <w:r>
        <w:rPr>
          <w:rFonts w:hint="eastAsia" w:ascii="宋体" w:hAnsi="宋体" w:eastAsia="宋体" w:cs="宋体"/>
          <w:color w:val="auto"/>
          <w:spacing w:val="2"/>
          <w:sz w:val="24"/>
          <w:szCs w:val="24"/>
          <w:highlight w:val="none"/>
        </w:rPr>
        <w:t>承包人已标价工程量清单中漏报、错报或少报的清单项目</w:t>
      </w:r>
      <w:r>
        <w:rPr>
          <w:rFonts w:hint="eastAsia" w:ascii="宋体" w:hAnsi="宋体" w:eastAsia="宋体" w:cs="宋体"/>
          <w:color w:val="auto"/>
          <w:spacing w:val="1"/>
          <w:sz w:val="24"/>
          <w:szCs w:val="24"/>
          <w:highlight w:val="none"/>
        </w:rPr>
        <w:t>，其价格均视为已经</w:t>
      </w:r>
      <w:r>
        <w:rPr>
          <w:rFonts w:hint="eastAsia" w:ascii="宋体" w:hAnsi="宋体" w:eastAsia="宋体" w:cs="宋体"/>
          <w:color w:val="auto"/>
          <w:spacing w:val="-1"/>
          <w:sz w:val="24"/>
          <w:szCs w:val="24"/>
          <w:highlight w:val="none"/>
        </w:rPr>
        <w:t>包含在其它清单项目中，竣工结算时不得重新组价和调整。</w:t>
      </w:r>
    </w:p>
    <w:p w14:paraId="54EF813A">
      <w:pPr>
        <w:spacing w:before="155" w:line="299" w:lineRule="auto"/>
        <w:ind w:left="12" w:right="65"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2.7  </w:t>
      </w:r>
      <w:r>
        <w:rPr>
          <w:rFonts w:hint="eastAsia" w:ascii="宋体" w:hAnsi="宋体" w:eastAsia="宋体" w:cs="宋体"/>
          <w:color w:val="auto"/>
          <w:sz w:val="24"/>
          <w:szCs w:val="24"/>
          <w:highlight w:val="none"/>
        </w:rPr>
        <w:t>项目完工后，发、承包双方和受其委托具备相应资质的工程造价咨询单位必须</w:t>
      </w:r>
      <w:r>
        <w:rPr>
          <w:rFonts w:hint="eastAsia" w:ascii="宋体" w:hAnsi="宋体" w:eastAsia="宋体" w:cs="宋体"/>
          <w:color w:val="auto"/>
          <w:spacing w:val="-1"/>
          <w:sz w:val="24"/>
          <w:szCs w:val="24"/>
          <w:highlight w:val="none"/>
        </w:rPr>
        <w:t>按照《建设工程工程量清单计价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1"/>
          <w:sz w:val="24"/>
          <w:szCs w:val="24"/>
          <w:highlight w:val="none"/>
        </w:rPr>
        <w:t>）和国家、省、市的有关规定</w:t>
      </w:r>
      <w:r>
        <w:rPr>
          <w:rFonts w:hint="eastAsia" w:ascii="宋体" w:hAnsi="宋体" w:eastAsia="宋体" w:cs="宋体"/>
          <w:color w:val="auto"/>
          <w:spacing w:val="-2"/>
          <w:sz w:val="24"/>
          <w:szCs w:val="24"/>
          <w:highlight w:val="none"/>
        </w:rPr>
        <w:t>办理竣工结算。</w:t>
      </w:r>
    </w:p>
    <w:p w14:paraId="0EC00B9E">
      <w:pPr>
        <w:spacing w:before="152" w:line="319" w:lineRule="auto"/>
        <w:ind w:left="8" w:right="38" w:firstLine="55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2.8  </w:t>
      </w:r>
      <w:r>
        <w:rPr>
          <w:rFonts w:hint="eastAsia" w:ascii="宋体" w:hAnsi="宋体" w:eastAsia="宋体" w:cs="宋体"/>
          <w:color w:val="auto"/>
          <w:spacing w:val="-1"/>
          <w:sz w:val="24"/>
          <w:szCs w:val="24"/>
          <w:highlight w:val="none"/>
        </w:rPr>
        <w:t>承包人已标价工程量清单中没有的材料（或工程设备</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1"/>
          <w:sz w:val="24"/>
          <w:szCs w:val="24"/>
          <w:highlight w:val="none"/>
        </w:rPr>
        <w:t>承包人在使</w:t>
      </w:r>
      <w:r>
        <w:rPr>
          <w:rFonts w:hint="eastAsia" w:ascii="宋体" w:hAnsi="宋体" w:eastAsia="宋体" w:cs="宋体"/>
          <w:color w:val="auto"/>
          <w:spacing w:val="-2"/>
          <w:sz w:val="24"/>
          <w:szCs w:val="24"/>
          <w:highlight w:val="none"/>
        </w:rPr>
        <w:t>用前必须</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将材料（或工程设备）样板、材料合格证明（或产品合格证书）、材料（或工程设备）检验报告提交给监理单位和发包人审核。发</w:t>
      </w:r>
      <w:r>
        <w:rPr>
          <w:rFonts w:hint="eastAsia" w:ascii="宋体" w:hAnsi="宋体" w:eastAsia="宋体" w:cs="宋体"/>
          <w:color w:val="auto"/>
          <w:spacing w:val="-2"/>
          <w:sz w:val="24"/>
          <w:szCs w:val="24"/>
          <w:highlight w:val="none"/>
        </w:rPr>
        <w:t>包人审定并确定价格后，承包人方可采购和</w:t>
      </w:r>
      <w:r>
        <w:rPr>
          <w:rFonts w:hint="eastAsia" w:ascii="宋体" w:hAnsi="宋体" w:eastAsia="宋体" w:cs="宋体"/>
          <w:color w:val="auto"/>
          <w:spacing w:val="-1"/>
          <w:sz w:val="24"/>
          <w:szCs w:val="24"/>
          <w:highlight w:val="none"/>
        </w:rPr>
        <w:t>使用。如果在交货验收和使用过程中发现货</w:t>
      </w:r>
      <w:r>
        <w:rPr>
          <w:rFonts w:hint="eastAsia" w:ascii="宋体" w:hAnsi="宋体" w:eastAsia="宋体" w:cs="宋体"/>
          <w:color w:val="auto"/>
          <w:spacing w:val="-2"/>
          <w:sz w:val="24"/>
          <w:szCs w:val="24"/>
          <w:highlight w:val="none"/>
        </w:rPr>
        <w:t>不对板，监理单位和发包人有权拒用，并要</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求承包人立即进行更换。更换后的材料（或</w:t>
      </w:r>
      <w:r>
        <w:rPr>
          <w:rFonts w:hint="eastAsia" w:ascii="宋体" w:hAnsi="宋体" w:eastAsia="宋体" w:cs="宋体"/>
          <w:color w:val="auto"/>
          <w:spacing w:val="-2"/>
          <w:sz w:val="24"/>
          <w:szCs w:val="24"/>
          <w:highlight w:val="none"/>
        </w:rPr>
        <w:t>工程设备）应再次进行检查和检验。由此增</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加的费用和（或）工期延误由承包人承担。</w:t>
      </w:r>
    </w:p>
    <w:p w14:paraId="69614921">
      <w:pPr>
        <w:spacing w:before="152" w:line="319" w:lineRule="auto"/>
        <w:ind w:left="8" w:right="38" w:firstLine="559"/>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2.9 </w:t>
      </w:r>
      <w:r>
        <w:rPr>
          <w:rFonts w:hint="eastAsia" w:ascii="宋体" w:hAnsi="宋体" w:eastAsia="宋体" w:cs="宋体"/>
          <w:color w:val="auto"/>
          <w:spacing w:val="-1"/>
          <w:sz w:val="24"/>
          <w:szCs w:val="24"/>
          <w:highlight w:val="none"/>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w:t>
      </w:r>
      <w:r>
        <w:rPr>
          <w:rFonts w:hint="eastAsia" w:ascii="宋体" w:hAnsi="宋体" w:eastAsia="宋体" w:cs="宋体"/>
          <w:color w:val="auto"/>
          <w:spacing w:val="-1"/>
          <w:sz w:val="24"/>
          <w:szCs w:val="24"/>
          <w:highlight w:val="none"/>
          <w:lang w:val="en-US" w:eastAsia="zh-CN"/>
        </w:rPr>
        <w:t>造价通、</w:t>
      </w:r>
      <w:r>
        <w:rPr>
          <w:rFonts w:hint="eastAsia" w:ascii="宋体" w:hAnsi="宋体" w:eastAsia="宋体" w:cs="宋体"/>
          <w:color w:val="auto"/>
          <w:spacing w:val="-1"/>
          <w:sz w:val="24"/>
          <w:szCs w:val="24"/>
          <w:highlight w:val="none"/>
        </w:rPr>
        <w:t>电商平台价格（优先从京东、国美、苏宁等大型电商平台查询取其平均价）；若以上方式均无法确定材料价格 的，则采用厂商报价或市场询价等方式取得有合法依据的市场价格，报发包人确认。</w:t>
      </w:r>
    </w:p>
    <w:p w14:paraId="556366A9">
      <w:pPr>
        <w:pStyle w:val="30"/>
        <w:snapToGrid w:val="0"/>
        <w:spacing w:line="440" w:lineRule="exact"/>
        <w:ind w:firstLine="480"/>
        <w:jc w:val="both"/>
        <w:outlineLvl w:val="2"/>
        <w:rPr>
          <w:rStyle w:val="21"/>
          <w:rFonts w:hint="eastAsia" w:ascii="宋体" w:hAnsi="宋体" w:eastAsia="宋体" w:cs="宋体"/>
          <w:b/>
          <w:bCs/>
          <w:color w:val="auto"/>
          <w:sz w:val="24"/>
          <w:szCs w:val="24"/>
          <w:highlight w:val="none"/>
        </w:rPr>
      </w:pPr>
      <w:bookmarkStart w:id="177" w:name="_Toc1816"/>
      <w:bookmarkStart w:id="178" w:name="_Toc5247"/>
      <w:r>
        <w:rPr>
          <w:rStyle w:val="21"/>
          <w:rFonts w:hint="eastAsia" w:ascii="宋体" w:hAnsi="宋体" w:eastAsia="宋体" w:cs="宋体"/>
          <w:b/>
          <w:bCs/>
          <w:color w:val="auto"/>
          <w:sz w:val="24"/>
          <w:szCs w:val="24"/>
          <w:highlight w:val="none"/>
        </w:rPr>
        <w:t>3. 工程付款办法</w:t>
      </w:r>
      <w:bookmarkEnd w:id="177"/>
      <w:bookmarkEnd w:id="178"/>
    </w:p>
    <w:p w14:paraId="3FF5DF01">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3.1</w:t>
      </w:r>
      <w:r>
        <w:rPr>
          <w:rFonts w:hint="eastAsia" w:ascii="宋体" w:hAnsi="宋体" w:eastAsia="宋体" w:cs="宋体"/>
          <w:snapToGrid w:val="0"/>
          <w:color w:val="auto"/>
          <w:kern w:val="0"/>
          <w:sz w:val="24"/>
          <w:szCs w:val="20"/>
          <w:highlight w:val="none"/>
          <w:lang w:eastAsia="zh-CN"/>
        </w:rPr>
        <w:t xml:space="preserve"> 本工程 </w:t>
      </w:r>
      <w:r>
        <w:rPr>
          <w:rFonts w:hint="eastAsia" w:ascii="宋体" w:hAnsi="宋体" w:eastAsia="宋体" w:cs="宋体"/>
          <w:snapToGrid w:val="0"/>
          <w:color w:val="auto"/>
          <w:kern w:val="0"/>
          <w:sz w:val="24"/>
          <w:szCs w:val="20"/>
          <w:highlight w:val="none"/>
          <w:u w:val="single"/>
          <w:lang w:eastAsia="zh-CN"/>
        </w:rPr>
        <w:t>支付</w:t>
      </w:r>
      <w:r>
        <w:rPr>
          <w:rFonts w:hint="eastAsia" w:ascii="宋体" w:hAnsi="宋体" w:eastAsia="宋体" w:cs="宋体"/>
          <w:snapToGrid w:val="0"/>
          <w:color w:val="auto"/>
          <w:kern w:val="0"/>
          <w:sz w:val="24"/>
          <w:szCs w:val="20"/>
          <w:highlight w:val="none"/>
          <w:lang w:eastAsia="zh-CN"/>
        </w:rPr>
        <w:t xml:space="preserve"> 施工预付款。</w:t>
      </w:r>
    </w:p>
    <w:p w14:paraId="7531A7AB">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w:t>
      </w:r>
      <w:r>
        <w:rPr>
          <w:rFonts w:hint="eastAsia" w:ascii="宋体" w:hAnsi="宋体" w:eastAsia="宋体" w:cs="宋体"/>
          <w:snapToGrid w:val="0"/>
          <w:color w:val="auto"/>
          <w:kern w:val="0"/>
          <w:sz w:val="24"/>
          <w:szCs w:val="20"/>
          <w:highlight w:val="none"/>
          <w:lang w:eastAsia="zh-CN"/>
        </w:rPr>
        <w:t xml:space="preserve"> 施工预付款必须专用于合同工程，并按以下原则支付和抵扣：</w:t>
      </w:r>
    </w:p>
    <w:p w14:paraId="47F94F9E">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3.2.1</w:t>
      </w:r>
      <w:r>
        <w:rPr>
          <w:rFonts w:hint="eastAsia" w:ascii="宋体" w:hAnsi="宋体" w:eastAsia="宋体" w:cs="宋体"/>
          <w:snapToGrid w:val="0"/>
          <w:color w:val="auto"/>
          <w:kern w:val="0"/>
          <w:sz w:val="24"/>
          <w:szCs w:val="20"/>
          <w:highlight w:val="none"/>
          <w:lang w:eastAsia="zh-CN"/>
        </w:rPr>
        <w:t xml:space="preserve"> 施工预付款支付比例为：按施工合同价扣除“暂列金额、计日工价款、专业工程暂估价”后</w:t>
      </w:r>
      <w:r>
        <w:rPr>
          <w:rFonts w:hint="eastAsia" w:ascii="宋体" w:hAnsi="宋体" w:eastAsia="宋体" w:cs="宋体"/>
          <w:snapToGrid w:val="0"/>
          <w:color w:val="auto"/>
          <w:kern w:val="0"/>
          <w:sz w:val="24"/>
          <w:szCs w:val="20"/>
          <w:highlight w:val="none"/>
          <w:u w:val="single"/>
          <w:lang w:eastAsia="zh-CN"/>
        </w:rPr>
        <w:t xml:space="preserve"> 30% </w:t>
      </w:r>
      <w:r>
        <w:rPr>
          <w:rFonts w:hint="eastAsia" w:ascii="宋体" w:hAnsi="宋体" w:eastAsia="宋体" w:cs="宋体"/>
          <w:snapToGrid w:val="0"/>
          <w:color w:val="auto"/>
          <w:kern w:val="0"/>
          <w:sz w:val="24"/>
          <w:szCs w:val="20"/>
          <w:highlight w:val="none"/>
          <w:lang w:eastAsia="zh-CN"/>
        </w:rPr>
        <w:t>支付。</w:t>
      </w:r>
    </w:p>
    <w:p w14:paraId="74FCF0D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3.2.2</w:t>
      </w:r>
      <w:r>
        <w:rPr>
          <w:rFonts w:hint="eastAsia" w:ascii="宋体" w:hAnsi="宋体" w:eastAsia="宋体" w:cs="宋体"/>
          <w:snapToGrid w:val="0"/>
          <w:color w:val="auto"/>
          <w:kern w:val="0"/>
          <w:sz w:val="24"/>
          <w:szCs w:val="20"/>
          <w:highlight w:val="none"/>
          <w:lang w:eastAsia="zh-CN"/>
        </w:rPr>
        <w:t xml:space="preserve"> 本招标项目</w:t>
      </w:r>
      <w:r>
        <w:rPr>
          <w:rFonts w:hint="eastAsia" w:ascii="宋体" w:hAnsi="宋体" w:eastAsia="宋体" w:cs="宋体"/>
          <w:b w:val="0"/>
          <w:bCs w:val="0"/>
          <w:snapToGrid w:val="0"/>
          <w:color w:val="auto"/>
          <w:kern w:val="0"/>
          <w:sz w:val="24"/>
          <w:szCs w:val="20"/>
          <w:highlight w:val="none"/>
          <w:u w:val="single"/>
          <w:lang w:eastAsia="zh-CN"/>
        </w:rPr>
        <w:t xml:space="preserve"> 要求 </w:t>
      </w:r>
      <w:r>
        <w:rPr>
          <w:rFonts w:hint="eastAsia" w:ascii="宋体" w:hAnsi="宋体" w:eastAsia="宋体" w:cs="宋体"/>
          <w:snapToGrid w:val="0"/>
          <w:color w:val="auto"/>
          <w:kern w:val="0"/>
          <w:sz w:val="24"/>
          <w:szCs w:val="20"/>
          <w:highlight w:val="none"/>
          <w:lang w:eastAsia="zh-CN"/>
        </w:rPr>
        <w:t>承包人提供与预付款等额的预付款保函。</w:t>
      </w:r>
    </w:p>
    <w:p w14:paraId="0E2930EA">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3.2.3</w:t>
      </w:r>
      <w:r>
        <w:rPr>
          <w:rFonts w:hint="eastAsia" w:ascii="宋体" w:hAnsi="宋体" w:eastAsia="宋体" w:cs="宋体"/>
          <w:snapToGrid w:val="0"/>
          <w:color w:val="auto"/>
          <w:kern w:val="0"/>
          <w:sz w:val="24"/>
          <w:szCs w:val="20"/>
          <w:highlight w:val="none"/>
          <w:lang w:eastAsia="zh-CN"/>
        </w:rPr>
        <w:t xml:space="preserve"> 承包人应在签订合同后，</w:t>
      </w:r>
      <w:r>
        <w:rPr>
          <w:rFonts w:hint="eastAsia" w:ascii="宋体" w:hAnsi="宋体" w:eastAsia="宋体" w:cs="宋体"/>
          <w:b w:val="0"/>
          <w:bCs w:val="0"/>
          <w:snapToGrid w:val="0"/>
          <w:color w:val="auto"/>
          <w:kern w:val="0"/>
          <w:sz w:val="24"/>
          <w:szCs w:val="20"/>
          <w:highlight w:val="none"/>
          <w:lang w:eastAsia="zh-CN"/>
        </w:rPr>
        <w:t>在提供符合要求的预付款保函或预付款保险</w:t>
      </w:r>
      <w:r>
        <w:rPr>
          <w:rFonts w:hint="eastAsia" w:ascii="宋体" w:hAnsi="宋体" w:eastAsia="宋体" w:cs="宋体"/>
          <w:snapToGrid w:val="0"/>
          <w:color w:val="auto"/>
          <w:kern w:val="0"/>
          <w:sz w:val="24"/>
          <w:szCs w:val="20"/>
          <w:highlight w:val="none"/>
          <w:lang w:eastAsia="zh-CN"/>
        </w:rPr>
        <w:t>及具备施工条件的前提下，向发包人提交预付款支付申请。发包人应对在收到支付申请的</w:t>
      </w:r>
      <w:r>
        <w:rPr>
          <w:rFonts w:hint="eastAsia" w:ascii="宋体" w:hAnsi="宋体" w:eastAsia="宋体" w:cs="宋体"/>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天内进行核实后向承包人发出预付款支付证书，并在签发支付证书后的</w:t>
      </w:r>
      <w:r>
        <w:rPr>
          <w:rFonts w:hint="eastAsia" w:ascii="宋体" w:hAnsi="宋体" w:eastAsia="宋体" w:cs="宋体"/>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天内向承包人支付预付款。凡未签订合同或不具备施工条件的工程，发包人不得预付工程款。</w:t>
      </w:r>
    </w:p>
    <w:p w14:paraId="10ED0D4A">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w:t>
      </w:r>
      <w:r>
        <w:rPr>
          <w:rFonts w:hint="eastAsia" w:ascii="宋体" w:hAnsi="宋体" w:eastAsia="宋体" w:cs="宋体"/>
          <w:b/>
          <w:bCs/>
          <w:snapToGrid w:val="0"/>
          <w:color w:val="auto"/>
          <w:kern w:val="0"/>
          <w:sz w:val="24"/>
          <w:szCs w:val="20"/>
          <w:highlight w:val="none"/>
          <w:lang w:val="en-US" w:eastAsia="zh-CN"/>
        </w:rPr>
        <w:t>4</w:t>
      </w:r>
      <w:r>
        <w:rPr>
          <w:rFonts w:hint="eastAsia" w:ascii="宋体" w:hAnsi="宋体" w:eastAsia="宋体" w:cs="宋体"/>
          <w:snapToGrid w:val="0"/>
          <w:color w:val="auto"/>
          <w:kern w:val="0"/>
          <w:sz w:val="24"/>
          <w:szCs w:val="20"/>
          <w:highlight w:val="none"/>
          <w:lang w:eastAsia="zh-CN"/>
        </w:rPr>
        <w:t xml:space="preserve"> 发包人没有按时支付预付款的，承包人可催告发包人支付；发包人在付款期满后的 7 天内仍未支付的，承包人可在付款期满后的第 8 天起暂停施工。发包人应向承包人支付应付款的利息（从付款期满后之日起计算，利率按同期银行贷款利率计算），并承担违约责任。</w:t>
      </w:r>
    </w:p>
    <w:p w14:paraId="6A298AA4">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val="en-US" w:eastAsia="zh-CN"/>
        </w:rPr>
        <w:t>3.2.5</w:t>
      </w:r>
      <w:r>
        <w:rPr>
          <w:rFonts w:hint="eastAsia" w:ascii="宋体" w:hAnsi="宋体" w:eastAsia="宋体" w:cs="宋体"/>
          <w:snapToGrid w:val="0"/>
          <w:color w:val="auto"/>
          <w:kern w:val="0"/>
          <w:sz w:val="24"/>
          <w:szCs w:val="20"/>
          <w:highlight w:val="none"/>
          <w:lang w:val="en-US" w:eastAsia="zh-CN"/>
        </w:rPr>
        <w:t xml:space="preserve"> 预付款应从每支付期应支付给承包人的工程进度款中扣回，直到扣回的金额达到合同约定的预付款金额为止。</w:t>
      </w:r>
    </w:p>
    <w:p w14:paraId="44A4EE35">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3.3</w:t>
      </w:r>
      <w:r>
        <w:rPr>
          <w:rFonts w:hint="eastAsia" w:ascii="宋体" w:hAnsi="宋体" w:eastAsia="宋体" w:cs="宋体"/>
          <w:snapToGrid w:val="0"/>
          <w:color w:val="auto"/>
          <w:kern w:val="0"/>
          <w:sz w:val="24"/>
          <w:szCs w:val="20"/>
          <w:highlight w:val="none"/>
          <w:lang w:eastAsia="zh-CN"/>
        </w:rPr>
        <w:t xml:space="preserve"> 施工过程中按月支付工程进度款：承包人每月按工程实际完成工程量（含变更及增加工程）申报，承包人必须将《已完成工程量报表》和《工程付款申请书》于当月26 日前报监理单位核实。经监理单位审核、发包人审定后的工程进度款（指已经按照合同约定，扣除该支付期内因承包人违约而应扣除的管理费），于申报次月支付。</w:t>
      </w:r>
    </w:p>
    <w:p w14:paraId="36EF6CE7">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3.4</w:t>
      </w:r>
      <w:r>
        <w:rPr>
          <w:rFonts w:hint="eastAsia" w:ascii="宋体" w:hAnsi="宋体" w:eastAsia="宋体" w:cs="宋体"/>
          <w:snapToGrid w:val="0"/>
          <w:color w:val="auto"/>
          <w:kern w:val="0"/>
          <w:sz w:val="24"/>
          <w:szCs w:val="20"/>
          <w:highlight w:val="none"/>
          <w:lang w:eastAsia="zh-CN"/>
        </w:rPr>
        <w:t xml:space="preserve"> 每月的工程进度款按工程实际完成工程量的 80% 申请支付，工程进度款中的作业工人工资款项由发包人单独足额拨付到承包人的工资专户。</w:t>
      </w:r>
    </w:p>
    <w:p w14:paraId="64A5BFAC">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5</w:t>
      </w:r>
      <w:r>
        <w:rPr>
          <w:rFonts w:hint="eastAsia" w:ascii="宋体" w:hAnsi="宋体" w:eastAsia="宋体" w:cs="宋体"/>
          <w:snapToGrid w:val="0"/>
          <w:color w:val="auto"/>
          <w:kern w:val="0"/>
          <w:sz w:val="24"/>
          <w:szCs w:val="20"/>
          <w:highlight w:val="none"/>
          <w:lang w:eastAsia="zh-CN"/>
        </w:rPr>
        <w:t xml:space="preserve"> 措施项目费中的“</w:t>
      </w:r>
      <w:r>
        <w:rPr>
          <w:rFonts w:hint="eastAsia" w:ascii="宋体" w:hAnsi="宋体" w:eastAsia="宋体" w:cs="宋体"/>
          <w:snapToGrid w:val="0"/>
          <w:color w:val="auto"/>
          <w:kern w:val="0"/>
          <w:sz w:val="24"/>
          <w:szCs w:val="20"/>
          <w:highlight w:val="none"/>
          <w:lang w:val="en-US" w:eastAsia="zh-CN"/>
        </w:rPr>
        <w:t>安全生产措施费</w:t>
      </w:r>
      <w:r>
        <w:rPr>
          <w:rFonts w:hint="eastAsia" w:ascii="宋体" w:hAnsi="宋体" w:eastAsia="宋体" w:cs="宋体"/>
          <w:snapToGrid w:val="0"/>
          <w:color w:val="auto"/>
          <w:kern w:val="0"/>
          <w:sz w:val="24"/>
          <w:szCs w:val="20"/>
          <w:highlight w:val="none"/>
          <w:lang w:eastAsia="zh-CN"/>
        </w:rPr>
        <w:t>”拨付按照《广东省建设工程计价依据（20</w:t>
      </w:r>
      <w:r>
        <w:rPr>
          <w:rFonts w:hint="eastAsia" w:ascii="宋体" w:hAnsi="宋体" w:eastAsia="宋体" w:cs="宋体"/>
          <w:snapToGrid w:val="0"/>
          <w:color w:val="auto"/>
          <w:kern w:val="0"/>
          <w:sz w:val="24"/>
          <w:szCs w:val="20"/>
          <w:highlight w:val="none"/>
          <w:lang w:val="en-US" w:eastAsia="zh-CN"/>
        </w:rPr>
        <w:t>18</w:t>
      </w:r>
      <w:r>
        <w:rPr>
          <w:rFonts w:hint="eastAsia" w:ascii="宋体" w:hAnsi="宋体" w:eastAsia="宋体" w:cs="宋体"/>
          <w:snapToGrid w:val="0"/>
          <w:color w:val="auto"/>
          <w:kern w:val="0"/>
          <w:sz w:val="24"/>
          <w:szCs w:val="20"/>
          <w:highlight w:val="none"/>
          <w:lang w:eastAsia="zh-CN"/>
        </w:rPr>
        <w:t>）》执行，按照项目所在地的建设行政主管部门有关规定支付。发生一般事故及以上等级重大安全事故的，发包人可扣除承包人金额相当于所有“</w:t>
      </w:r>
      <w:r>
        <w:rPr>
          <w:rFonts w:hint="eastAsia" w:ascii="宋体" w:hAnsi="宋体" w:eastAsia="宋体" w:cs="宋体"/>
          <w:snapToGrid w:val="0"/>
          <w:color w:val="auto"/>
          <w:kern w:val="0"/>
          <w:sz w:val="24"/>
          <w:szCs w:val="20"/>
          <w:highlight w:val="none"/>
          <w:lang w:val="en-US" w:eastAsia="zh-CN"/>
        </w:rPr>
        <w:t>安全生产措施费</w:t>
      </w:r>
      <w:r>
        <w:rPr>
          <w:rFonts w:hint="eastAsia" w:ascii="宋体" w:hAnsi="宋体" w:eastAsia="宋体" w:cs="宋体"/>
          <w:snapToGrid w:val="0"/>
          <w:color w:val="auto"/>
          <w:kern w:val="0"/>
          <w:sz w:val="24"/>
          <w:szCs w:val="20"/>
          <w:highlight w:val="none"/>
          <w:lang w:eastAsia="zh-CN"/>
        </w:rPr>
        <w:t>”的工程管理费。</w:t>
      </w:r>
    </w:p>
    <w:p w14:paraId="04C0E276">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6</w:t>
      </w:r>
      <w:r>
        <w:rPr>
          <w:rFonts w:hint="eastAsia" w:ascii="宋体" w:hAnsi="宋体" w:eastAsia="宋体" w:cs="宋体"/>
          <w:snapToGrid w:val="0"/>
          <w:color w:val="auto"/>
          <w:kern w:val="0"/>
          <w:sz w:val="24"/>
          <w:szCs w:val="20"/>
          <w:highlight w:val="none"/>
          <w:lang w:eastAsia="zh-CN"/>
        </w:rPr>
        <w:t xml:space="preserve"> 变更工程造价必须经监理单位核实，并经发包人核定后方可支付。</w:t>
      </w:r>
    </w:p>
    <w:p w14:paraId="3A57AF94">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 xml:space="preserve"> 结算审核完成后，</w:t>
      </w:r>
      <w:r>
        <w:rPr>
          <w:rFonts w:hint="eastAsia" w:ascii="宋体" w:hAnsi="宋体" w:eastAsia="宋体" w:cs="宋体"/>
          <w:snapToGrid w:val="0"/>
          <w:color w:val="auto"/>
          <w:kern w:val="0"/>
          <w:sz w:val="24"/>
          <w:szCs w:val="20"/>
          <w:highlight w:val="none"/>
          <w:lang w:val="en-US" w:eastAsia="zh-CN"/>
        </w:rPr>
        <w:t>可</w:t>
      </w:r>
      <w:r>
        <w:rPr>
          <w:rFonts w:hint="eastAsia" w:ascii="宋体" w:hAnsi="宋体" w:eastAsia="宋体" w:cs="宋体"/>
          <w:snapToGrid w:val="0"/>
          <w:color w:val="auto"/>
          <w:kern w:val="0"/>
          <w:sz w:val="24"/>
          <w:szCs w:val="20"/>
          <w:highlight w:val="none"/>
          <w:lang w:eastAsia="zh-CN"/>
        </w:rPr>
        <w:t>支付至合同价格的97%，剩余3%转为质量保证金；承包人提交了等额质量保证担保或质量保证保险的，</w:t>
      </w:r>
      <w:r>
        <w:rPr>
          <w:rFonts w:hint="eastAsia" w:ascii="宋体" w:hAnsi="宋体" w:eastAsia="宋体" w:cs="宋体"/>
          <w:snapToGrid w:val="0"/>
          <w:color w:val="auto"/>
          <w:kern w:val="0"/>
          <w:sz w:val="24"/>
          <w:szCs w:val="20"/>
          <w:highlight w:val="none"/>
          <w:lang w:val="en-US" w:eastAsia="zh-CN"/>
        </w:rPr>
        <w:t>可</w:t>
      </w:r>
      <w:r>
        <w:rPr>
          <w:rFonts w:hint="eastAsia" w:ascii="宋体" w:hAnsi="宋体" w:eastAsia="宋体" w:cs="宋体"/>
          <w:snapToGrid w:val="0"/>
          <w:color w:val="auto"/>
          <w:kern w:val="0"/>
          <w:sz w:val="24"/>
          <w:szCs w:val="20"/>
          <w:highlight w:val="none"/>
          <w:lang w:eastAsia="zh-CN"/>
        </w:rPr>
        <w:t>一次性结清合同价格。</w:t>
      </w:r>
    </w:p>
    <w:p w14:paraId="58B8DFE6">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8</w:t>
      </w:r>
      <w:r>
        <w:rPr>
          <w:rFonts w:hint="eastAsia" w:ascii="宋体" w:hAnsi="宋体" w:eastAsia="宋体" w:cs="宋体"/>
          <w:snapToGrid w:val="0"/>
          <w:color w:val="auto"/>
          <w:kern w:val="0"/>
          <w:sz w:val="24"/>
          <w:szCs w:val="20"/>
          <w:highlight w:val="none"/>
          <w:lang w:eastAsia="zh-CN"/>
        </w:rPr>
        <w:t>本招标项目缺陷责任期为</w:t>
      </w:r>
      <w:r>
        <w:rPr>
          <w:rFonts w:hint="eastAsia" w:ascii="宋体" w:hAnsi="宋体" w:eastAsia="宋体" w:cs="宋体"/>
          <w:snapToGrid w:val="0"/>
          <w:color w:val="auto"/>
          <w:kern w:val="0"/>
          <w:sz w:val="24"/>
          <w:szCs w:val="20"/>
          <w:highlight w:val="none"/>
          <w:u w:val="single"/>
          <w:lang w:val="en-US" w:eastAsia="zh-CN"/>
        </w:rPr>
        <w:t>2</w:t>
      </w:r>
      <w:r>
        <w:rPr>
          <w:rFonts w:hint="eastAsia" w:ascii="宋体" w:hAnsi="宋体" w:eastAsia="宋体" w:cs="宋体"/>
          <w:snapToGrid w:val="0"/>
          <w:color w:val="auto"/>
          <w:kern w:val="0"/>
          <w:sz w:val="24"/>
          <w:szCs w:val="20"/>
          <w:highlight w:val="none"/>
          <w:lang w:eastAsia="zh-CN"/>
        </w:rPr>
        <w:t xml:space="preserve"> 年（自通过竣工验收之日起计）。缺陷责任期到期后，承包人向发包人申请退还质量保证。发包人收到退还申请后，于</w:t>
      </w:r>
      <w:r>
        <w:rPr>
          <w:rFonts w:hint="eastAsia" w:ascii="宋体" w:hAnsi="宋体" w:eastAsia="宋体" w:cs="宋体"/>
          <w:snapToGrid w:val="0"/>
          <w:color w:val="auto"/>
          <w:kern w:val="0"/>
          <w:sz w:val="24"/>
          <w:szCs w:val="20"/>
          <w:highlight w:val="none"/>
          <w:u w:val="single"/>
          <w:lang w:eastAsia="zh-CN"/>
        </w:rPr>
        <w:t>14</w:t>
      </w:r>
      <w:r>
        <w:rPr>
          <w:rFonts w:hint="eastAsia" w:ascii="宋体" w:hAnsi="宋体" w:eastAsia="宋体" w:cs="宋体"/>
          <w:snapToGrid w:val="0"/>
          <w:color w:val="auto"/>
          <w:kern w:val="0"/>
          <w:sz w:val="24"/>
          <w:szCs w:val="20"/>
          <w:highlight w:val="none"/>
          <w:lang w:eastAsia="zh-CN"/>
        </w:rPr>
        <w:t>天内会同承包人进行核实。经双方核实且均无异议后，发包人在核实之日起</w:t>
      </w:r>
      <w:r>
        <w:rPr>
          <w:rFonts w:hint="eastAsia" w:ascii="宋体" w:hAnsi="宋体" w:eastAsia="宋体" w:cs="宋体"/>
          <w:snapToGrid w:val="0"/>
          <w:color w:val="auto"/>
          <w:kern w:val="0"/>
          <w:sz w:val="24"/>
          <w:szCs w:val="20"/>
          <w:highlight w:val="none"/>
          <w:u w:val="single"/>
          <w:lang w:eastAsia="zh-CN"/>
        </w:rPr>
        <w:t xml:space="preserve"> 14 </w:t>
      </w:r>
      <w:r>
        <w:rPr>
          <w:rFonts w:hint="eastAsia" w:ascii="宋体" w:hAnsi="宋体" w:eastAsia="宋体" w:cs="宋体"/>
          <w:snapToGrid w:val="0"/>
          <w:color w:val="auto"/>
          <w:kern w:val="0"/>
          <w:sz w:val="24"/>
          <w:szCs w:val="20"/>
          <w:highlight w:val="none"/>
          <w:lang w:eastAsia="zh-CN"/>
        </w:rPr>
        <w:t>天内将应返保证金（或银行保函）退还承包人。</w:t>
      </w:r>
    </w:p>
    <w:p w14:paraId="096339E2">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3.9</w:t>
      </w:r>
      <w:r>
        <w:rPr>
          <w:rFonts w:hint="eastAsia" w:ascii="宋体" w:hAnsi="宋体" w:eastAsia="宋体" w:cs="宋体"/>
          <w:snapToGrid w:val="0"/>
          <w:color w:val="auto"/>
          <w:kern w:val="0"/>
          <w:sz w:val="24"/>
          <w:szCs w:val="20"/>
          <w:highlight w:val="none"/>
          <w:lang w:eastAsia="zh-CN"/>
        </w:rPr>
        <w:t xml:space="preserve"> </w:t>
      </w:r>
      <w:r>
        <w:rPr>
          <w:rFonts w:hint="eastAsia" w:ascii="宋体" w:hAnsi="宋体" w:eastAsia="宋体" w:cs="宋体"/>
          <w:b w:val="0"/>
          <w:bCs w:val="0"/>
          <w:snapToGrid w:val="0"/>
          <w:color w:val="auto"/>
          <w:kern w:val="0"/>
          <w:sz w:val="24"/>
          <w:szCs w:val="20"/>
          <w:highlight w:val="none"/>
          <w:lang w:eastAsia="zh-CN"/>
        </w:rPr>
        <w:t>发包人每次支付工程款前，承包人均应提供有效的增值税专用发票。如果承包人无法提供符合要求的发票，由此造成的相应损失由承包人承担。</w:t>
      </w:r>
    </w:p>
    <w:p w14:paraId="1DF264A5">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10</w:t>
      </w:r>
      <w:r>
        <w:rPr>
          <w:rFonts w:hint="eastAsia" w:ascii="宋体" w:hAnsi="宋体" w:eastAsia="宋体" w:cs="宋体"/>
          <w:snapToGrid w:val="0"/>
          <w:color w:val="auto"/>
          <w:kern w:val="0"/>
          <w:sz w:val="24"/>
          <w:szCs w:val="20"/>
          <w:highlight w:val="none"/>
          <w:lang w:eastAsia="zh-CN"/>
        </w:rPr>
        <w:t>暂列金额支付方式：</w:t>
      </w:r>
      <w:r>
        <w:rPr>
          <w:rFonts w:hint="eastAsia" w:ascii="宋体" w:hAnsi="宋体" w:eastAsia="宋体" w:cs="宋体"/>
          <w:snapToGrid w:val="0"/>
          <w:color w:val="auto"/>
          <w:kern w:val="0"/>
          <w:sz w:val="24"/>
          <w:szCs w:val="20"/>
          <w:highlight w:val="none"/>
          <w:u w:val="single"/>
          <w:lang w:val="en-US" w:eastAsia="zh-CN"/>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中的变更签证部分暂停拨付。在暂列金额的范围内，最终经发包人委托的全过程造价咨询公司审核、发包人确认后支付至该部分实际完成工程量的80％，其余部分待结算完成审核后支付至97%，剩余3%为工程质量保修金。</w:t>
      </w:r>
    </w:p>
    <w:p w14:paraId="0A0FBC08">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u w:val="single"/>
          <w:lang w:eastAsia="zh-CN"/>
        </w:rPr>
      </w:pPr>
      <w:r>
        <w:rPr>
          <w:rFonts w:hint="eastAsia" w:ascii="宋体" w:hAnsi="宋体" w:eastAsia="宋体" w:cs="宋体"/>
          <w:b/>
          <w:bCs/>
          <w:snapToGrid w:val="0"/>
          <w:color w:val="auto"/>
          <w:kern w:val="0"/>
          <w:sz w:val="24"/>
          <w:szCs w:val="20"/>
          <w:highlight w:val="none"/>
          <w:lang w:eastAsia="zh-CN"/>
        </w:rPr>
        <w:t>3.11</w:t>
      </w:r>
      <w:r>
        <w:rPr>
          <w:rFonts w:hint="eastAsia" w:ascii="宋体" w:hAnsi="宋体" w:eastAsia="宋体" w:cs="宋体"/>
          <w:snapToGrid w:val="0"/>
          <w:color w:val="auto"/>
          <w:kern w:val="0"/>
          <w:sz w:val="24"/>
          <w:szCs w:val="20"/>
          <w:highlight w:val="none"/>
          <w:lang w:eastAsia="zh-CN"/>
        </w:rPr>
        <w:t xml:space="preserve"> 材料暂估价、专业工程暂估价支付方式：</w:t>
      </w:r>
      <w:r>
        <w:rPr>
          <w:rFonts w:hint="eastAsia" w:ascii="宋体" w:hAnsi="宋体" w:eastAsia="宋体" w:cs="宋体"/>
          <w:snapToGrid w:val="0"/>
          <w:color w:val="auto"/>
          <w:kern w:val="0"/>
          <w:sz w:val="24"/>
          <w:szCs w:val="20"/>
          <w:highlight w:val="none"/>
          <w:u w:val="single"/>
          <w:lang w:eastAsia="zh-CN"/>
        </w:rPr>
        <w:t>材料暂估价、专业工程暂估价与每个月的工程进度款一并报送，但需要列明详细项目内容，该部分材料暂估价、专业工程暂估价按该部分实际完成工程量的50%支付，工程竣工验收合格后支付至8</w:t>
      </w:r>
      <w:r>
        <w:rPr>
          <w:rFonts w:hint="eastAsia" w:ascii="宋体" w:hAnsi="宋体" w:eastAsia="宋体" w:cs="宋体"/>
          <w:snapToGrid w:val="0"/>
          <w:color w:val="auto"/>
          <w:kern w:val="0"/>
          <w:sz w:val="24"/>
          <w:szCs w:val="20"/>
          <w:highlight w:val="none"/>
          <w:u w:val="single"/>
          <w:lang w:val="en-US" w:eastAsia="zh-CN"/>
        </w:rPr>
        <w:t>0</w:t>
      </w:r>
      <w:r>
        <w:rPr>
          <w:rFonts w:hint="eastAsia" w:ascii="宋体" w:hAnsi="宋体" w:eastAsia="宋体" w:cs="宋体"/>
          <w:snapToGrid w:val="0"/>
          <w:color w:val="auto"/>
          <w:kern w:val="0"/>
          <w:sz w:val="24"/>
          <w:szCs w:val="20"/>
          <w:highlight w:val="none"/>
          <w:u w:val="single"/>
          <w:lang w:eastAsia="zh-CN"/>
        </w:rPr>
        <w:t>%，剩余部分结算完成后支付至审定造价的97%，剩余3%为工程质量保修金。</w:t>
      </w:r>
    </w:p>
    <w:p w14:paraId="4A16BF6D">
      <w:pPr>
        <w:spacing w:before="154" w:line="212" w:lineRule="auto"/>
        <w:ind w:left="486"/>
        <w:outlineLvl w:val="2"/>
        <w:rPr>
          <w:rFonts w:hint="eastAsia" w:ascii="宋体" w:hAnsi="宋体" w:eastAsia="宋体" w:cs="宋体"/>
          <w:b/>
          <w:bCs/>
          <w:color w:val="auto"/>
          <w:spacing w:val="-7"/>
          <w:sz w:val="24"/>
          <w:szCs w:val="24"/>
          <w:highlight w:val="none"/>
        </w:rPr>
      </w:pPr>
      <w:bookmarkStart w:id="179" w:name="_Toc29229"/>
      <w:r>
        <w:rPr>
          <w:rFonts w:hint="eastAsia" w:ascii="宋体" w:hAnsi="宋体" w:eastAsia="宋体" w:cs="宋体"/>
          <w:b/>
          <w:bCs/>
          <w:color w:val="auto"/>
          <w:spacing w:val="-7"/>
          <w:sz w:val="24"/>
          <w:szCs w:val="24"/>
          <w:highlight w:val="none"/>
        </w:rPr>
        <w:t>4</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7"/>
          <w:sz w:val="24"/>
          <w:szCs w:val="24"/>
          <w:highlight w:val="none"/>
        </w:rPr>
        <w:t>．其他专用合同条款</w:t>
      </w:r>
      <w:bookmarkEnd w:id="179"/>
    </w:p>
    <w:p w14:paraId="0E5B672F">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 </w:t>
      </w:r>
      <w:r>
        <w:rPr>
          <w:rFonts w:hint="eastAsia" w:ascii="宋体" w:hAnsi="宋体" w:eastAsia="宋体" w:cs="宋体"/>
          <w:bCs/>
          <w:snapToGrid w:val="0"/>
          <w:color w:val="auto"/>
          <w:kern w:val="0"/>
          <w:sz w:val="24"/>
          <w:szCs w:val="24"/>
          <w:highlight w:val="none"/>
          <w:lang w:val="en-US" w:eastAsia="zh-CN"/>
        </w:rPr>
        <w:t xml:space="preserve">专业工程分包 </w:t>
      </w:r>
    </w:p>
    <w:p w14:paraId="0578C6B4">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 </w:t>
      </w:r>
    </w:p>
    <w:p w14:paraId="67F5698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w:t>
      </w:r>
      <w:r>
        <w:rPr>
          <w:rFonts w:hint="eastAsia" w:ascii="宋体" w:hAnsi="宋体" w:eastAsia="宋体" w:cs="宋体"/>
          <w:bCs/>
          <w:snapToGrid w:val="0"/>
          <w:color w:val="auto"/>
          <w:kern w:val="0"/>
          <w:sz w:val="24"/>
          <w:szCs w:val="24"/>
          <w:highlight w:val="none"/>
          <w:lang w:val="en-US" w:eastAsia="zh-CN"/>
        </w:rPr>
        <w:t xml:space="preserve"> 工人工资支付专用账户 </w:t>
      </w:r>
    </w:p>
    <w:p w14:paraId="7E921C6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4.2.1</w:t>
      </w:r>
      <w:r>
        <w:rPr>
          <w:rFonts w:hint="eastAsia" w:ascii="宋体" w:hAnsi="宋体" w:eastAsia="宋体" w:cs="宋体"/>
          <w:bCs/>
          <w:snapToGrid w:val="0"/>
          <w:color w:val="auto"/>
          <w:kern w:val="0"/>
          <w:sz w:val="24"/>
          <w:szCs w:val="24"/>
          <w:highlight w:val="none"/>
          <w:lang w:val="en-US" w:eastAsia="zh-CN"/>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  </w:t>
      </w:r>
    </w:p>
    <w:p w14:paraId="3A63BD5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4.2.2</w:t>
      </w:r>
      <w:r>
        <w:rPr>
          <w:rFonts w:hint="eastAsia" w:ascii="宋体" w:hAnsi="宋体" w:eastAsia="宋体" w:cs="宋体"/>
          <w:bCs/>
          <w:snapToGrid w:val="0"/>
          <w:color w:val="auto"/>
          <w:kern w:val="0"/>
          <w:sz w:val="24"/>
          <w:szCs w:val="24"/>
          <w:highlight w:val="none"/>
          <w:lang w:val="en-US" w:eastAsia="zh-CN"/>
        </w:rPr>
        <w:t xml:space="preserve"> 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 </w:t>
      </w:r>
    </w:p>
    <w:p w14:paraId="093A1EC8">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按韶关市人力资源和社会保障局、韶关市住房和城乡建设管理局、韶关市交通运输局韶关市水务局、韶关市金融工作局、国家金融监督管理总局韶关监管分局关于印发《韶关市工程建设领域农民工工资保证金管理实施细则》的通知(韶人社规〔2023〕2 号) 及《韶关市工程建设领域农民工工资保证金管理实施细则》（韶法审〔2023〕19 号）规定执行。承包人在签订工程施工承包合同后一个月内必须办妥该事项，并将办妥回执交发包人。 </w:t>
      </w:r>
    </w:p>
    <w:p w14:paraId="6FDCEEC4">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 </w:t>
      </w:r>
    </w:p>
    <w:p w14:paraId="33F9D07C">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4.2.3 承包人应在工资专户开立后 2 个工作日内，将开户银行及其账号、开户协议等资料提交给发包人。 </w:t>
      </w:r>
    </w:p>
    <w:p w14:paraId="5BA13B75">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（1）用人单位应当在建设项目动工前，在建设项目所在地商业银行设立工人工资支付专用账户。 </w:t>
      </w:r>
    </w:p>
    <w:p w14:paraId="77474D2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（2）用人单位应当在用工之日起 15 日内为每一位工人办理个人银行账户。</w:t>
      </w:r>
    </w:p>
    <w:p w14:paraId="2BDE6942">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（3）用人单位应当指定专人负责建设项目施工现场台账管理，真实、准确记录工人名册、劳务合同、劳动合同、工程进度、工时台账、劳务承包款和工人工资支付等信息， 并保存两年以上备查。 </w:t>
      </w:r>
    </w:p>
    <w:p w14:paraId="667B9FDD">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（4）用人单位应当按照“及时支付，按实结算”的原则，在规定日期前通过银行工人 工资支付专用账户将工人工资直接支付到工人的个人银行账户，并按月将工人工资支付 明细表报施工总承包单位和建设单位备案。</w:t>
      </w:r>
    </w:p>
    <w:p w14:paraId="30C444AD">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 用人单位未建立、保存用工管理台账，或者伪造相关台账的，按照《广东省劳动保障监察条例》第五十条的规定，由人力资源社会保障部门责令改正，并可处以二千元以上二万元以下的人民币罚款。</w:t>
      </w:r>
    </w:p>
    <w:p w14:paraId="15528DF0">
      <w:pPr>
        <w:pStyle w:val="3"/>
        <w:rPr>
          <w:rFonts w:hint="default"/>
          <w:color w:val="auto"/>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 </w:t>
      </w:r>
      <w:r>
        <w:rPr>
          <w:rFonts w:hint="eastAsia" w:ascii="宋体" w:hAnsi="宋体" w:eastAsia="宋体" w:cs="宋体"/>
          <w:b/>
          <w:bCs w:val="0"/>
          <w:snapToGrid w:val="0"/>
          <w:color w:val="auto"/>
          <w:kern w:val="0"/>
          <w:sz w:val="24"/>
          <w:szCs w:val="24"/>
          <w:highlight w:val="none"/>
          <w:lang w:val="en-US" w:eastAsia="zh-CN"/>
        </w:rPr>
        <w:t xml:space="preserve">  4.2.4 </w:t>
      </w:r>
      <w:r>
        <w:rPr>
          <w:rFonts w:hint="eastAsia" w:ascii="宋体" w:hAnsi="宋体" w:eastAsia="宋体" w:cs="宋体"/>
          <w:b w:val="0"/>
          <w:bCs/>
          <w:snapToGrid w:val="0"/>
          <w:color w:val="auto"/>
          <w:kern w:val="0"/>
          <w:sz w:val="24"/>
          <w:szCs w:val="24"/>
          <w:highlight w:val="none"/>
          <w:lang w:val="en-US" w:eastAsia="zh-CN"/>
        </w:rPr>
        <w:t>根据《广东省住房和城乡建设厅关于印发《广东省在建房屋市政工程项目落实用工实名制和工资支付有关制度标准化管理手册》的通知》(粤建市[2026〕63号)规定，承包人须对照《手册》要求，从合同签订、开工准备、施工建设到完工的整个工程建设阶段用工实名制和工资支付规范化管理，预防和减少因保障农民工工资支付有关制度落实不严不细引发的欠薪纠纷和隐患，切实维护建筑业企业和建筑工人的合法权益。</w:t>
      </w:r>
    </w:p>
    <w:p w14:paraId="793B26D1">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4.2.5</w:t>
      </w:r>
      <w:r>
        <w:rPr>
          <w:rFonts w:hint="eastAsia" w:ascii="宋体" w:hAnsi="宋体" w:eastAsia="宋体" w:cs="宋体"/>
          <w:bCs/>
          <w:snapToGrid w:val="0"/>
          <w:color w:val="auto"/>
          <w:kern w:val="0"/>
          <w:sz w:val="24"/>
          <w:szCs w:val="24"/>
          <w:highlight w:val="none"/>
          <w:lang w:val="en-US" w:eastAsia="zh-CN"/>
        </w:rPr>
        <w:t xml:space="preserve">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 </w:t>
      </w:r>
    </w:p>
    <w:p w14:paraId="1A8AC64F">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4.3</w:t>
      </w:r>
      <w:r>
        <w:rPr>
          <w:rFonts w:hint="eastAsia" w:ascii="宋体" w:hAnsi="宋体" w:eastAsia="宋体" w:cs="宋体"/>
          <w:bCs/>
          <w:snapToGrid w:val="0"/>
          <w:color w:val="auto"/>
          <w:kern w:val="0"/>
          <w:sz w:val="24"/>
          <w:szCs w:val="24"/>
          <w:highlight w:val="none"/>
          <w:lang w:val="en-US" w:eastAsia="zh-CN"/>
        </w:rPr>
        <w:t xml:space="preserve"> 诚信登记 </w:t>
      </w:r>
    </w:p>
    <w:p w14:paraId="6E6954C6">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根据资质管理规定，许可机关应当建立、健全建筑业企业信用档案管理制度，包括企业基本信息、资质、业绩、工程质量和安全、合同履约、社会投诉和违法行为等情况。 </w:t>
      </w:r>
    </w:p>
    <w:p w14:paraId="14DBCA4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w:t>
      </w:r>
      <w:r>
        <w:rPr>
          <w:rFonts w:hint="eastAsia" w:ascii="宋体" w:hAnsi="宋体" w:eastAsia="宋体" w:cs="宋体"/>
          <w:bCs/>
          <w:snapToGrid w:val="0"/>
          <w:color w:val="auto"/>
          <w:kern w:val="0"/>
          <w:sz w:val="24"/>
          <w:szCs w:val="24"/>
          <w:highlight w:val="none"/>
          <w:lang w:val="en-US" w:eastAsia="zh-CN"/>
        </w:rPr>
        <w:t xml:space="preserve"> 工期进度 </w:t>
      </w:r>
    </w:p>
    <w:p w14:paraId="4A2C3487">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4.4.1</w:t>
      </w:r>
      <w:r>
        <w:rPr>
          <w:rFonts w:hint="eastAsia" w:ascii="宋体" w:hAnsi="宋体" w:eastAsia="宋体" w:cs="宋体"/>
          <w:bCs/>
          <w:snapToGrid w:val="0"/>
          <w:color w:val="auto"/>
          <w:kern w:val="0"/>
          <w:sz w:val="24"/>
          <w:szCs w:val="24"/>
          <w:highlight w:val="none"/>
          <w:lang w:val="en-US" w:eastAsia="zh-CN"/>
        </w:rPr>
        <w:t xml:space="preserve"> 本招标项目施工标准工期为</w:t>
      </w:r>
      <w:r>
        <w:rPr>
          <w:rFonts w:hint="eastAsia" w:ascii="宋体" w:hAnsi="宋体" w:eastAsia="宋体" w:cs="宋体"/>
          <w:bCs/>
          <w:snapToGrid w:val="0"/>
          <w:color w:val="auto"/>
          <w:kern w:val="0"/>
          <w:sz w:val="24"/>
          <w:szCs w:val="24"/>
          <w:highlight w:val="none"/>
          <w:u w:val="single"/>
          <w:lang w:val="en-US" w:eastAsia="zh-CN"/>
        </w:rPr>
        <w:t>390</w:t>
      </w:r>
      <w:r>
        <w:rPr>
          <w:rFonts w:hint="eastAsia" w:ascii="宋体" w:hAnsi="宋体" w:eastAsia="宋体" w:cs="宋体"/>
          <w:bCs/>
          <w:snapToGrid w:val="0"/>
          <w:color w:val="auto"/>
          <w:kern w:val="0"/>
          <w:sz w:val="24"/>
          <w:szCs w:val="24"/>
          <w:highlight w:val="none"/>
          <w:lang w:val="en-US" w:eastAsia="zh-CN"/>
        </w:rPr>
        <w:t>个日历天，招标工期为</w:t>
      </w:r>
      <w:r>
        <w:rPr>
          <w:rFonts w:hint="eastAsia" w:ascii="宋体" w:hAnsi="宋体" w:eastAsia="宋体" w:cs="宋体"/>
          <w:bCs/>
          <w:snapToGrid w:val="0"/>
          <w:color w:val="auto"/>
          <w:kern w:val="0"/>
          <w:sz w:val="24"/>
          <w:szCs w:val="24"/>
          <w:highlight w:val="none"/>
          <w:u w:val="single"/>
          <w:lang w:val="en-US" w:eastAsia="zh-CN"/>
        </w:rPr>
        <w:t>390</w:t>
      </w:r>
      <w:r>
        <w:rPr>
          <w:rFonts w:hint="eastAsia" w:ascii="宋体" w:hAnsi="宋体" w:eastAsia="宋体" w:cs="宋体"/>
          <w:bCs/>
          <w:snapToGrid w:val="0"/>
          <w:color w:val="auto"/>
          <w:kern w:val="0"/>
          <w:sz w:val="24"/>
          <w:szCs w:val="24"/>
          <w:highlight w:val="none"/>
          <w:lang w:val="en-US" w:eastAsia="zh-CN"/>
        </w:rPr>
        <w:t xml:space="preserve">个日历天，承包人必须在招标工期内完成招标范围内的全部内容。 </w:t>
      </w:r>
    </w:p>
    <w:p w14:paraId="7A05FBBC">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4.4.2</w:t>
      </w:r>
      <w:r>
        <w:rPr>
          <w:rFonts w:hint="eastAsia" w:ascii="宋体" w:hAnsi="宋体" w:eastAsia="宋体" w:cs="宋体"/>
          <w:bCs/>
          <w:snapToGrid w:val="0"/>
          <w:color w:val="auto"/>
          <w:kern w:val="0"/>
          <w:sz w:val="24"/>
          <w:szCs w:val="24"/>
          <w:highlight w:val="none"/>
          <w:lang w:val="en-US" w:eastAsia="zh-CN"/>
        </w:rPr>
        <w:t xml:space="preserve"> 施工工期从承包人收到监理单位签发的开工令之日起计，至竣工验收合格之日止。 </w:t>
      </w:r>
    </w:p>
    <w:p w14:paraId="1328C6E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4.4.3</w:t>
      </w:r>
      <w:r>
        <w:rPr>
          <w:rFonts w:hint="eastAsia" w:ascii="宋体" w:hAnsi="宋体" w:eastAsia="宋体" w:cs="宋体"/>
          <w:bCs/>
          <w:snapToGrid w:val="0"/>
          <w:color w:val="auto"/>
          <w:kern w:val="0"/>
          <w:sz w:val="24"/>
          <w:szCs w:val="24"/>
          <w:highlight w:val="none"/>
          <w:lang w:val="en-US" w:eastAsia="zh-CN"/>
        </w:rPr>
        <w:t xml:space="preserve"> 工期奖罚 </w:t>
      </w:r>
    </w:p>
    <w:p w14:paraId="55722A7D">
      <w:pPr>
        <w:adjustRightInd w:val="0"/>
        <w:snapToGrid w:val="0"/>
        <w:spacing w:line="440" w:lineRule="exact"/>
        <w:ind w:firstLine="480" w:firstLineChars="200"/>
        <w:rPr>
          <w:rFonts w:hint="default" w:ascii="宋体" w:hAnsi="宋体" w:eastAsia="宋体" w:cs="宋体"/>
          <w:bCs/>
          <w:snapToGrid w:val="0"/>
          <w:color w:val="auto"/>
          <w:kern w:val="0"/>
          <w:sz w:val="24"/>
          <w:szCs w:val="24"/>
          <w:highlight w:val="none"/>
          <w:u w:val="single"/>
          <w:lang w:val="en-US"/>
        </w:rPr>
      </w:pPr>
      <w:r>
        <w:rPr>
          <w:rFonts w:hint="eastAsia" w:ascii="宋体" w:hAnsi="宋体" w:eastAsia="宋体" w:cs="宋体"/>
          <w:bCs/>
          <w:snapToGrid w:val="0"/>
          <w:color w:val="auto"/>
          <w:kern w:val="0"/>
          <w:sz w:val="24"/>
          <w:szCs w:val="24"/>
          <w:highlight w:val="none"/>
          <w:lang w:val="en-US" w:eastAsia="zh-CN"/>
        </w:rPr>
        <w:t>□竣工验收合格交付使用每提前</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天竣工；奖</w:t>
      </w:r>
      <w:r>
        <w:rPr>
          <w:rFonts w:hint="eastAsia" w:ascii="宋体" w:hAnsi="宋体" w:eastAsia="宋体" w:cs="宋体"/>
          <w:bCs/>
          <w:snapToGrid w:val="0"/>
          <w:color w:val="auto"/>
          <w:kern w:val="0"/>
          <w:sz w:val="24"/>
          <w:szCs w:val="24"/>
          <w:highlight w:val="none"/>
          <w:u w:val="single"/>
          <w:lang w:val="en-US" w:eastAsia="zh-CN"/>
        </w:rPr>
        <w:t>/</w:t>
      </w:r>
    </w:p>
    <w:p w14:paraId="7BCA26EE">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元，奖励金额不超过合同价款的</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%（一般为 2%～5%）且不超过</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元。 </w:t>
      </w:r>
    </w:p>
    <w:p w14:paraId="230E6B0D">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□按施工合同期约定,因承包人原因每延误</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天竣工,罚</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元。 </w:t>
      </w:r>
    </w:p>
    <w:p w14:paraId="1FF13D24">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□按施工合同期约定,因承包人原因延误工期</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天内不处罚， 自第壹天起每延误</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天竣工,罚元。处罚金额不超过合同价款的</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%（一般为 2%～5%）且不超过万元，累计延误工期达到</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天，报请建设行政主管部门作不良行为记录，非承包方原因或不可抗力造成延误的除外。 </w:t>
      </w:r>
    </w:p>
    <w:p w14:paraId="34D8AD3C">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☑其它说明：（1）因承包人原因，工程没有按期竣工时，承包人须在逾期第壹天起每天按合同价的 1‰ 向发包人返纳逾期竣工违约金。逾期竣工违约金的最高限额为合同价款的3%。</w:t>
      </w:r>
    </w:p>
    <w:p w14:paraId="65A05E6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2）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每次按200元缴纳违约金给发包人，在结算中一并扣除。</w:t>
      </w:r>
    </w:p>
    <w:p w14:paraId="1064A2E3">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（3）承包人在进场后7天内提交施工进度计划，并注明主要施工节点时间，送监理单位及发包人审核后，作为工期考核的阶段性指标。</w:t>
      </w:r>
    </w:p>
    <w:p w14:paraId="7FEABCC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w:t>
      </w:r>
      <w:r>
        <w:rPr>
          <w:rFonts w:hint="eastAsia" w:ascii="宋体" w:hAnsi="宋体" w:eastAsia="宋体" w:cs="宋体"/>
          <w:bCs/>
          <w:snapToGrid w:val="0"/>
          <w:color w:val="auto"/>
          <w:kern w:val="0"/>
          <w:sz w:val="24"/>
          <w:szCs w:val="24"/>
          <w:highlight w:val="none"/>
          <w:lang w:val="en-US" w:eastAsia="zh-CN"/>
        </w:rPr>
        <w:t xml:space="preserve"> 项目管理机构 </w:t>
      </w:r>
    </w:p>
    <w:p w14:paraId="3FC0DC5C">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4.5.1</w:t>
      </w:r>
      <w:r>
        <w:rPr>
          <w:rFonts w:hint="eastAsia" w:ascii="宋体" w:hAnsi="宋体" w:eastAsia="宋体" w:cs="宋体"/>
          <w:bCs/>
          <w:snapToGrid w:val="0"/>
          <w:color w:val="auto"/>
          <w:kern w:val="0"/>
          <w:sz w:val="24"/>
          <w:szCs w:val="24"/>
          <w:highlight w:val="none"/>
          <w:lang w:val="en-US" w:eastAsia="zh-CN"/>
        </w:rPr>
        <w:t xml:space="preserve"> 承包人派驻的项目管理班子成员必须为其投标文件确定的人员，否则发包人有权终止合同。 </w:t>
      </w:r>
    </w:p>
    <w:p w14:paraId="680614F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4.5.2</w:t>
      </w:r>
      <w:r>
        <w:rPr>
          <w:rFonts w:hint="eastAsia" w:ascii="宋体" w:hAnsi="宋体" w:eastAsia="宋体" w:cs="宋体"/>
          <w:bCs/>
          <w:snapToGrid w:val="0"/>
          <w:color w:val="auto"/>
          <w:kern w:val="0"/>
          <w:sz w:val="24"/>
          <w:szCs w:val="24"/>
          <w:highlight w:val="none"/>
          <w:lang w:val="en-US" w:eastAsia="zh-CN"/>
        </w:rPr>
        <w:t xml:space="preserve"> 项目管理班子成员不得擅自变更，若需变更的，需经发包人和建设行政主管部门审核同意方可变更，且更换后的项目管理班子成员理应与承包人的投标文件所确定的原项目管理班子成员的主要条件一致；</w:t>
      </w:r>
    </w:p>
    <w:p w14:paraId="11C1D9F2">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w:t>
      </w:r>
      <w:r>
        <w:rPr>
          <w:rFonts w:hint="eastAsia" w:ascii="宋体" w:hAnsi="宋体" w:eastAsia="宋体" w:cs="宋体"/>
          <w:bCs/>
          <w:snapToGrid w:val="0"/>
          <w:color w:val="auto"/>
          <w:kern w:val="0"/>
          <w:sz w:val="24"/>
          <w:szCs w:val="24"/>
          <w:highlight w:val="none"/>
          <w:lang w:val="en-US" w:eastAsia="zh-CN"/>
        </w:rPr>
        <w:t xml:space="preserve"> 现场管理 </w:t>
      </w:r>
    </w:p>
    <w:p w14:paraId="2908CA7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4.6.1</w:t>
      </w:r>
      <w:r>
        <w:rPr>
          <w:rFonts w:hint="eastAsia" w:ascii="宋体" w:hAnsi="宋体" w:eastAsia="宋体" w:cs="宋体"/>
          <w:bCs/>
          <w:snapToGrid w:val="0"/>
          <w:color w:val="auto"/>
          <w:kern w:val="0"/>
          <w:sz w:val="24"/>
          <w:szCs w:val="24"/>
          <w:highlight w:val="none"/>
          <w:lang w:val="en-US" w:eastAsia="zh-CN"/>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 </w:t>
      </w:r>
    </w:p>
    <w:p w14:paraId="0A46F8F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4.6.2</w:t>
      </w:r>
      <w:r>
        <w:rPr>
          <w:rFonts w:hint="eastAsia" w:ascii="宋体" w:hAnsi="宋体" w:eastAsia="宋体" w:cs="宋体"/>
          <w:bCs/>
          <w:snapToGrid w:val="0"/>
          <w:color w:val="auto"/>
          <w:kern w:val="0"/>
          <w:sz w:val="24"/>
          <w:szCs w:val="24"/>
          <w:highlight w:val="none"/>
          <w:lang w:val="en-US" w:eastAsia="zh-CN"/>
        </w:rPr>
        <w:t xml:space="preserve"> 承包人应按安全施工有关规定，采取严格、科学的安全防护措施，确保施工和人员（包括第三者）的安全，承担由于自身安全防护措施不力所造成的安全事故责任和发生的费用。 </w:t>
      </w:r>
    </w:p>
    <w:p w14:paraId="4A9874C7">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4.6.3</w:t>
      </w:r>
      <w:r>
        <w:rPr>
          <w:rFonts w:hint="eastAsia" w:ascii="宋体" w:hAnsi="宋体" w:eastAsia="宋体" w:cs="宋体"/>
          <w:bCs/>
          <w:snapToGrid w:val="0"/>
          <w:color w:val="auto"/>
          <w:kern w:val="0"/>
          <w:sz w:val="24"/>
          <w:szCs w:val="24"/>
          <w:highlight w:val="none"/>
          <w:lang w:val="en-US" w:eastAsia="zh-CN"/>
        </w:rPr>
        <w:t xml:space="preserve"> 为保证施工现场的环境卫生，承包人在本招标项目施工过程中，所有的车辆必须按发包人规定的行车路线行驶。 </w:t>
      </w:r>
    </w:p>
    <w:p w14:paraId="7B17CD65">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4.7</w:t>
      </w:r>
      <w:r>
        <w:rPr>
          <w:rFonts w:hint="eastAsia" w:ascii="宋体" w:hAnsi="宋体" w:eastAsia="宋体" w:cs="宋体"/>
          <w:bCs/>
          <w:snapToGrid w:val="0"/>
          <w:color w:val="auto"/>
          <w:kern w:val="0"/>
          <w:sz w:val="24"/>
          <w:szCs w:val="24"/>
          <w:highlight w:val="none"/>
          <w:lang w:val="en-US" w:eastAsia="zh-CN"/>
        </w:rPr>
        <w:t xml:space="preserve"> 监督实施 </w:t>
      </w:r>
    </w:p>
    <w:p w14:paraId="3D991878">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须服从发包人对工程质量、进度、成本的全方位监督，施工中的年度计划、季度计划、月度计划、施工方案等应报送监理单位审批和发包人备案。施工中的质量保措施等资料均应及时报送监理单位和发包人备案。 </w:t>
      </w:r>
    </w:p>
    <w:p w14:paraId="6EA0A1EF">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4.8</w:t>
      </w:r>
      <w:r>
        <w:rPr>
          <w:rFonts w:hint="eastAsia" w:ascii="宋体" w:hAnsi="宋体" w:eastAsia="宋体" w:cs="宋体"/>
          <w:bCs/>
          <w:snapToGrid w:val="0"/>
          <w:color w:val="auto"/>
          <w:kern w:val="0"/>
          <w:sz w:val="24"/>
          <w:szCs w:val="24"/>
          <w:highlight w:val="none"/>
          <w:lang w:val="en-US" w:eastAsia="zh-CN"/>
        </w:rPr>
        <w:t xml:space="preserve"> 主材的采购和使用 </w:t>
      </w:r>
    </w:p>
    <w:p w14:paraId="2B8D5483">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 </w:t>
      </w:r>
    </w:p>
    <w:p w14:paraId="225C8D2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4.9 </w:t>
      </w:r>
      <w:r>
        <w:rPr>
          <w:rFonts w:hint="eastAsia" w:ascii="宋体" w:hAnsi="宋体" w:eastAsia="宋体" w:cs="宋体"/>
          <w:bCs/>
          <w:snapToGrid w:val="0"/>
          <w:color w:val="auto"/>
          <w:kern w:val="0"/>
          <w:sz w:val="24"/>
          <w:szCs w:val="24"/>
          <w:highlight w:val="none"/>
          <w:lang w:val="en-US" w:eastAsia="zh-CN"/>
        </w:rPr>
        <w:t xml:space="preserve">竣工资料移交 </w:t>
      </w:r>
    </w:p>
    <w:p w14:paraId="04900D9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项目竣工验收时，承包人应向监理单位和发包人提供符合国家档案部门备案要求的，编制成册的竣工图及有关的技术档案资料（含声像档案）一式份。 </w:t>
      </w:r>
    </w:p>
    <w:p w14:paraId="26C6D615">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w:t>
      </w:r>
      <w:r>
        <w:rPr>
          <w:rFonts w:hint="eastAsia" w:ascii="宋体" w:hAnsi="宋体" w:eastAsia="宋体" w:cs="宋体"/>
          <w:bCs/>
          <w:snapToGrid w:val="0"/>
          <w:color w:val="auto"/>
          <w:kern w:val="0"/>
          <w:sz w:val="24"/>
          <w:szCs w:val="24"/>
          <w:highlight w:val="none"/>
          <w:lang w:val="en-US" w:eastAsia="zh-CN"/>
        </w:rPr>
        <w:t xml:space="preserve"> 质量保证</w:t>
      </w:r>
    </w:p>
    <w:p w14:paraId="12B458FC">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4.10.1</w:t>
      </w:r>
      <w:r>
        <w:rPr>
          <w:rFonts w:hint="eastAsia" w:ascii="宋体" w:hAnsi="宋体" w:eastAsia="宋体" w:cs="宋体"/>
          <w:bCs/>
          <w:snapToGrid w:val="0"/>
          <w:color w:val="auto"/>
          <w:kern w:val="0"/>
          <w:sz w:val="24"/>
          <w:szCs w:val="24"/>
          <w:highlight w:val="none"/>
          <w:lang w:val="en-US" w:eastAsia="zh-CN"/>
        </w:rPr>
        <w:t xml:space="preserve"> 本招标项目缺陷责任期为</w:t>
      </w:r>
      <w:r>
        <w:rPr>
          <w:rFonts w:hint="eastAsia" w:ascii="宋体" w:hAnsi="宋体" w:eastAsia="宋体" w:cs="宋体"/>
          <w:bCs/>
          <w:snapToGrid w:val="0"/>
          <w:color w:val="auto"/>
          <w:kern w:val="0"/>
          <w:sz w:val="24"/>
          <w:szCs w:val="24"/>
          <w:highlight w:val="none"/>
          <w:u w:val="single"/>
          <w:lang w:val="en-US" w:eastAsia="zh-CN"/>
        </w:rPr>
        <w:t>2</w:t>
      </w:r>
      <w:r>
        <w:rPr>
          <w:rFonts w:hint="eastAsia" w:ascii="宋体" w:hAnsi="宋体" w:eastAsia="宋体" w:cs="宋体"/>
          <w:bCs/>
          <w:snapToGrid w:val="0"/>
          <w:color w:val="auto"/>
          <w:kern w:val="0"/>
          <w:sz w:val="24"/>
          <w:szCs w:val="24"/>
          <w:highlight w:val="none"/>
          <w:lang w:val="en-US" w:eastAsia="zh-CN"/>
        </w:rPr>
        <w:t>年（自通过竣工验收之日起计），在此期间预留金额为结算价</w:t>
      </w:r>
      <w:r>
        <w:rPr>
          <w:rFonts w:hint="eastAsia" w:ascii="宋体" w:hAnsi="宋体" w:eastAsia="宋体" w:cs="宋体"/>
          <w:bCs/>
          <w:snapToGrid w:val="0"/>
          <w:color w:val="auto"/>
          <w:kern w:val="0"/>
          <w:sz w:val="24"/>
          <w:szCs w:val="24"/>
          <w:highlight w:val="none"/>
          <w:u w:val="single"/>
          <w:lang w:val="en-US" w:eastAsia="zh-CN"/>
        </w:rPr>
        <w:t>3%</w:t>
      </w:r>
      <w:r>
        <w:rPr>
          <w:rFonts w:hint="eastAsia" w:ascii="宋体" w:hAnsi="宋体" w:eastAsia="宋体" w:cs="宋体"/>
          <w:bCs/>
          <w:snapToGrid w:val="0"/>
          <w:color w:val="auto"/>
          <w:kern w:val="0"/>
          <w:sz w:val="24"/>
          <w:szCs w:val="24"/>
          <w:highlight w:val="none"/>
          <w:lang w:val="en-US" w:eastAsia="zh-CN"/>
        </w:rPr>
        <w:t xml:space="preserve">的质量保证。 </w:t>
      </w:r>
    </w:p>
    <w:p w14:paraId="159CD4D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4.10.2</w:t>
      </w:r>
      <w:r>
        <w:rPr>
          <w:rFonts w:hint="eastAsia" w:ascii="宋体" w:hAnsi="宋体" w:eastAsia="宋体" w:cs="宋体"/>
          <w:bCs/>
          <w:snapToGrid w:val="0"/>
          <w:color w:val="auto"/>
          <w:kern w:val="0"/>
          <w:sz w:val="24"/>
          <w:szCs w:val="24"/>
          <w:highlight w:val="none"/>
          <w:lang w:val="en-US" w:eastAsia="zh-CN"/>
        </w:rPr>
        <w:t xml:space="preserve"> 质量保证的形式包括质量保证金、质量保证担保、质量保证保险三种，由承包人自主选择。 </w:t>
      </w:r>
    </w:p>
    <w:p w14:paraId="1BCA727E">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（1）采用质量保证金形式的，在结清审定总造价时一次性扣留相应金额作为质量保证金。 </w:t>
      </w:r>
    </w:p>
    <w:p w14:paraId="55B98A90">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2）采用质量保证担保或质量保证保险的，承包人应在竣工验收时向发包人提交有效的商业保函、银行保函或保险合同（或保险单）原件，商业保函、银行保函或保险合同（或保险单）的有效期不得短于缺陷责任期。 </w:t>
      </w:r>
    </w:p>
    <w:p w14:paraId="6F46CC6C">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4.10.3</w:t>
      </w:r>
      <w:r>
        <w:rPr>
          <w:rFonts w:hint="eastAsia" w:ascii="宋体" w:hAnsi="宋体" w:eastAsia="宋体" w:cs="宋体"/>
          <w:bCs/>
          <w:snapToGrid w:val="0"/>
          <w:color w:val="auto"/>
          <w:kern w:val="0"/>
          <w:sz w:val="24"/>
          <w:szCs w:val="24"/>
          <w:highlight w:val="none"/>
          <w:lang w:val="en-US" w:eastAsia="zh-CN"/>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 </w:t>
      </w:r>
    </w:p>
    <w:p w14:paraId="32A57CC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由他人原因造成的缺陷，发包人负责组织维修，承包人不承担费用，且发包人不得从质量保证中扣除费用。 </w:t>
      </w:r>
    </w:p>
    <w:p w14:paraId="43A52331">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4.10.4</w:t>
      </w:r>
      <w:r>
        <w:rPr>
          <w:rFonts w:hint="eastAsia" w:ascii="宋体" w:hAnsi="宋体" w:eastAsia="宋体" w:cs="宋体"/>
          <w:bCs/>
          <w:snapToGrid w:val="0"/>
          <w:color w:val="auto"/>
          <w:kern w:val="0"/>
          <w:sz w:val="24"/>
          <w:szCs w:val="24"/>
          <w:highlight w:val="none"/>
          <w:lang w:val="en-US" w:eastAsia="zh-CN"/>
        </w:rPr>
        <w:t xml:space="preserve"> 缺陷责任期内，承包人应认真履行合同约定的责任。缺陷责任期到期后，承包人向发包人申请退还质量保证，发包人应按照《建设工程质量保证金管理办法》有关规定将质量保证退还给承包人。  </w:t>
      </w:r>
    </w:p>
    <w:p w14:paraId="4C5F7F9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4.11</w:t>
      </w:r>
      <w:r>
        <w:rPr>
          <w:rFonts w:hint="eastAsia" w:ascii="宋体" w:hAnsi="宋体" w:eastAsia="宋体" w:cs="宋体"/>
          <w:bCs/>
          <w:snapToGrid w:val="0"/>
          <w:color w:val="auto"/>
          <w:kern w:val="0"/>
          <w:sz w:val="24"/>
          <w:szCs w:val="24"/>
          <w:highlight w:val="none"/>
          <w:lang w:val="en-US" w:eastAsia="zh-CN"/>
        </w:rPr>
        <w:t xml:space="preserve"> 不良行为处理 </w:t>
      </w:r>
    </w:p>
    <w:p w14:paraId="65315F13">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及其有关人员有下列行为之一的，发包人应及时向建设行政主管部门报告。除按照有关法律、法规进行处罚外，不良行为将计入企业及有关个人诚信档案，并在韶关市住房和城乡建设管理局网站（http://zgj.sg.gov.cn）公示。 </w:t>
      </w:r>
    </w:p>
    <w:p w14:paraId="2F4D6F5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（1）转包、违法分包或违反投标承诺分包工程的； </w:t>
      </w:r>
    </w:p>
    <w:p w14:paraId="02A84D0C">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（2）非原参加投标中标的项目经理负责组织施工或在实施过程中擅自更换项目经理的、项目的其他主要管理人员与中标文件确定的人员不相符的；</w:t>
      </w:r>
    </w:p>
    <w:p w14:paraId="49379664">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（3）投标文件确定的大型机械设备没有进入施工现场的； </w:t>
      </w:r>
    </w:p>
    <w:p w14:paraId="6A2EC979">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（4）与建设单位、监理单位串通，签认虚假工程量或工程造价的； </w:t>
      </w:r>
    </w:p>
    <w:p w14:paraId="4E4AA24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（5）项目经理施工现场管理不到位的； </w:t>
      </w:r>
    </w:p>
    <w:p w14:paraId="499CD8E0">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（6）项目经理在非本人资格证书注册单位从事工程项目施工管理的； </w:t>
      </w:r>
    </w:p>
    <w:p w14:paraId="76C6E3DD">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（7）项目经理同时承担超过一项工程项目的； </w:t>
      </w:r>
    </w:p>
    <w:p w14:paraId="55C963A7">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（8）违反有关法律、法规、规章规定的其它行为。 </w:t>
      </w:r>
    </w:p>
    <w:p w14:paraId="15B449B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4.12 </w:t>
      </w:r>
      <w:r>
        <w:rPr>
          <w:rFonts w:hint="eastAsia" w:ascii="宋体" w:hAnsi="宋体" w:eastAsia="宋体" w:cs="宋体"/>
          <w:bCs/>
          <w:snapToGrid w:val="0"/>
          <w:color w:val="auto"/>
          <w:kern w:val="0"/>
          <w:sz w:val="24"/>
          <w:szCs w:val="24"/>
          <w:highlight w:val="none"/>
          <w:lang w:val="en-US" w:eastAsia="zh-CN"/>
        </w:rPr>
        <w:t xml:space="preserve">信用评价条款内容 </w:t>
      </w:r>
    </w:p>
    <w:p w14:paraId="59400717">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由发包人决定是否对施工单位的履约情况进行信用评价。若进行信用评价，评价条款由发包人自拟，条款内容可参考人员到位情况、服务配合程度、服务成果质量、项目后期服务及信用评价结果的运用等。 </w:t>
      </w:r>
    </w:p>
    <w:p w14:paraId="1B37689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4.13</w:t>
      </w:r>
      <w:r>
        <w:rPr>
          <w:rFonts w:hint="eastAsia" w:ascii="宋体" w:hAnsi="宋体" w:eastAsia="宋体" w:cs="宋体"/>
          <w:bCs/>
          <w:snapToGrid w:val="0"/>
          <w:color w:val="auto"/>
          <w:kern w:val="0"/>
          <w:sz w:val="24"/>
          <w:szCs w:val="24"/>
          <w:highlight w:val="none"/>
          <w:lang w:val="en-US" w:eastAsia="zh-CN"/>
        </w:rPr>
        <w:t xml:space="preserve"> 危险性较大的分部分项工程安全管理约定 。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 </w:t>
      </w:r>
    </w:p>
    <w:p w14:paraId="235008C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 </w:t>
      </w:r>
    </w:p>
    <w:p w14:paraId="7A75898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4.14</w:t>
      </w:r>
      <w:r>
        <w:rPr>
          <w:rFonts w:hint="eastAsia" w:ascii="宋体" w:hAnsi="宋体" w:eastAsia="宋体" w:cs="宋体"/>
          <w:bCs/>
          <w:snapToGrid w:val="0"/>
          <w:color w:val="auto"/>
          <w:kern w:val="0"/>
          <w:sz w:val="24"/>
          <w:szCs w:val="24"/>
          <w:highlight w:val="none"/>
          <w:lang w:val="en-US" w:eastAsia="zh-CN"/>
        </w:rPr>
        <w:t xml:space="preserve"> 承包人在工程实施过程中，按照国家、省、市的相关规定制定相关的专项安全施工方案（如高支模、基坑支护、沉井等），编制专项施工方案报监理人、发包人审批后方可开展专项工程的施工。 </w:t>
      </w:r>
    </w:p>
    <w:p w14:paraId="3E34D861">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4.15</w:t>
      </w:r>
      <w:r>
        <w:rPr>
          <w:rFonts w:hint="eastAsia" w:ascii="宋体" w:hAnsi="宋体" w:eastAsia="宋体" w:cs="宋体"/>
          <w:bCs/>
          <w:snapToGrid w:val="0"/>
          <w:color w:val="auto"/>
          <w:kern w:val="0"/>
          <w:sz w:val="24"/>
          <w:szCs w:val="24"/>
          <w:highlight w:val="none"/>
          <w:lang w:val="en-US" w:eastAsia="zh-CN"/>
        </w:rPr>
        <w:t xml:space="preserve"> 承包人须按照《韶关市建筑垃圾管理条例》（2021 年 5 月 1 日起施行），将弃土运至发包人指定的场所，否则发包人有权要求承包人无条件将弃土从违约弃土点运至发包人指定的场所并扣除违约金人民币</w:t>
      </w:r>
      <w:r>
        <w:rPr>
          <w:rFonts w:hint="eastAsia" w:ascii="宋体" w:hAnsi="宋体" w:eastAsia="宋体" w:cs="宋体"/>
          <w:color w:val="auto"/>
          <w:kern w:val="2"/>
          <w:sz w:val="24"/>
          <w:szCs w:val="24"/>
          <w:highlight w:val="none"/>
          <w:u w:val="single"/>
          <w:shd w:val="clear" w:color="auto" w:fill="FFFFFF"/>
          <w:lang w:val="en-US" w:eastAsia="zh-CN" w:bidi="ar-SA"/>
        </w:rPr>
        <w:t xml:space="preserve"> 200</w:t>
      </w:r>
      <w:r>
        <w:rPr>
          <w:rFonts w:hint="eastAsia" w:ascii="宋体" w:hAnsi="宋体" w:eastAsia="宋体" w:cs="宋体"/>
          <w:bCs/>
          <w:snapToGrid w:val="0"/>
          <w:color w:val="auto"/>
          <w:kern w:val="0"/>
          <w:sz w:val="24"/>
          <w:szCs w:val="24"/>
          <w:highlight w:val="none"/>
          <w:lang w:val="en-US" w:eastAsia="zh-CN"/>
        </w:rPr>
        <w:t xml:space="preserve">元/次。承包人对建筑垃圾须按《韶关市建筑垃圾管理条例》（2021 年 5 月 1 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 </w:t>
      </w:r>
    </w:p>
    <w:p w14:paraId="1BBACC6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4.16 </w:t>
      </w:r>
      <w:r>
        <w:rPr>
          <w:rFonts w:hint="eastAsia" w:ascii="宋体" w:hAnsi="宋体" w:eastAsia="宋体" w:cs="宋体"/>
          <w:bCs/>
          <w:snapToGrid w:val="0"/>
          <w:color w:val="auto"/>
          <w:kern w:val="0"/>
          <w:sz w:val="24"/>
          <w:szCs w:val="24"/>
          <w:highlight w:val="none"/>
          <w:lang w:val="en-US" w:eastAsia="zh-CN"/>
        </w:rPr>
        <w:t xml:space="preserve">工程竣工验收后 15 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 </w:t>
      </w:r>
    </w:p>
    <w:p w14:paraId="66A01115">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4.17</w:t>
      </w:r>
      <w:r>
        <w:rPr>
          <w:rFonts w:hint="eastAsia" w:ascii="宋体" w:hAnsi="宋体" w:eastAsia="宋体" w:cs="宋体"/>
          <w:bCs/>
          <w:snapToGrid w:val="0"/>
          <w:color w:val="auto"/>
          <w:kern w:val="0"/>
          <w:sz w:val="24"/>
          <w:szCs w:val="24"/>
          <w:highlight w:val="none"/>
          <w:lang w:val="en-US" w:eastAsia="zh-CN"/>
        </w:rPr>
        <w:t xml:space="preserve"> 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w:t>
      </w:r>
    </w:p>
    <w:p w14:paraId="18A21401">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4.17.1 </w:t>
      </w:r>
      <w:r>
        <w:rPr>
          <w:rFonts w:hint="eastAsia" w:ascii="宋体" w:hAnsi="宋体" w:eastAsia="宋体" w:cs="宋体"/>
          <w:bCs/>
          <w:snapToGrid w:val="0"/>
          <w:color w:val="auto"/>
          <w:kern w:val="0"/>
          <w:sz w:val="24"/>
          <w:szCs w:val="24"/>
          <w:highlight w:val="none"/>
          <w:lang w:val="en-US" w:eastAsia="zh-CN"/>
        </w:rPr>
        <w:t>承包人在施工阶段应做好水土保持工作，相关费用承包人自行考虑在投标报价中。</w:t>
      </w:r>
    </w:p>
    <w:p w14:paraId="7830AFF5">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4.18</w:t>
      </w:r>
      <w:r>
        <w:rPr>
          <w:rFonts w:hint="eastAsia" w:ascii="宋体" w:hAnsi="宋体" w:eastAsia="宋体" w:cs="宋体"/>
          <w:bCs/>
          <w:snapToGrid w:val="0"/>
          <w:color w:val="auto"/>
          <w:kern w:val="0"/>
          <w:sz w:val="24"/>
          <w:szCs w:val="24"/>
          <w:highlight w:val="none"/>
          <w:lang w:val="en-US" w:eastAsia="zh-CN"/>
        </w:rPr>
        <w:t xml:space="preserve"> 承包人中标后必须按规定及时缴交工人工资保证金、环保噪声排污费等。 </w:t>
      </w:r>
    </w:p>
    <w:p w14:paraId="32EB6447">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4.19</w:t>
      </w:r>
      <w:r>
        <w:rPr>
          <w:rFonts w:hint="eastAsia" w:ascii="宋体" w:hAnsi="宋体" w:eastAsia="宋体" w:cs="宋体"/>
          <w:bCs/>
          <w:snapToGrid w:val="0"/>
          <w:color w:val="auto"/>
          <w:kern w:val="0"/>
          <w:sz w:val="24"/>
          <w:szCs w:val="24"/>
          <w:highlight w:val="none"/>
          <w:lang w:val="en-US" w:eastAsia="zh-CN"/>
        </w:rPr>
        <w:t xml:space="preserve"> 工程质量保修期按《中华人民共和国建筑法》、《建设工程质量管理条例》等相关规定实施。 </w:t>
      </w:r>
    </w:p>
    <w:p w14:paraId="51151F17">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4.20</w:t>
      </w:r>
      <w:r>
        <w:rPr>
          <w:rFonts w:hint="eastAsia" w:ascii="宋体" w:hAnsi="宋体" w:eastAsia="宋体" w:cs="宋体"/>
          <w:bCs/>
          <w:snapToGrid w:val="0"/>
          <w:color w:val="auto"/>
          <w:kern w:val="0"/>
          <w:sz w:val="24"/>
          <w:szCs w:val="24"/>
          <w:highlight w:val="none"/>
          <w:lang w:val="en-US" w:eastAsia="zh-CN"/>
        </w:rPr>
        <w:t xml:space="preserve"> 如项目实施过程中发生了工程变更及工程签证，承包人需根据发包人发布的《工程变更管理办法》和《工程签证管理办法》完善工程变更签证相关程序。 </w:t>
      </w:r>
    </w:p>
    <w:p w14:paraId="0CF2207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4.21</w:t>
      </w:r>
      <w:r>
        <w:rPr>
          <w:rFonts w:hint="eastAsia" w:ascii="宋体" w:hAnsi="宋体" w:eastAsia="宋体" w:cs="宋体"/>
          <w:bCs/>
          <w:snapToGrid w:val="0"/>
          <w:color w:val="auto"/>
          <w:kern w:val="0"/>
          <w:sz w:val="24"/>
          <w:szCs w:val="24"/>
          <w:highlight w:val="none"/>
          <w:lang w:val="en-US" w:eastAsia="zh-CN"/>
        </w:rPr>
        <w:t xml:space="preserve"> 承包人需按相关规定要求，设置本工程符合相关要求的永久性标牌及规划公示牌，投标人在投标报价时综合考虑在报价内，发包人不另行支付该部分费用。 </w:t>
      </w:r>
    </w:p>
    <w:p w14:paraId="035EC59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4.22</w:t>
      </w:r>
      <w:r>
        <w:rPr>
          <w:rFonts w:hint="eastAsia" w:ascii="宋体" w:hAnsi="宋体" w:eastAsia="宋体" w:cs="宋体"/>
          <w:bCs/>
          <w:snapToGrid w:val="0"/>
          <w:color w:val="auto"/>
          <w:kern w:val="0"/>
          <w:sz w:val="24"/>
          <w:szCs w:val="24"/>
          <w:highlight w:val="none"/>
          <w:lang w:val="en-US" w:eastAsia="zh-CN"/>
        </w:rPr>
        <w:t xml:space="preserve"> 承包人应在项目所在地住建管理部门办理诚信登记，发包人将严格按住建管理部门诚信登记管理办法对承包人履约情况进行考核。 </w:t>
      </w:r>
    </w:p>
    <w:p w14:paraId="230CCF5C">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4.23</w:t>
      </w:r>
      <w:r>
        <w:rPr>
          <w:rFonts w:hint="eastAsia" w:ascii="宋体" w:hAnsi="宋体" w:eastAsia="宋体" w:cs="宋体"/>
          <w:bCs/>
          <w:snapToGrid w:val="0"/>
          <w:color w:val="auto"/>
          <w:kern w:val="0"/>
          <w:sz w:val="24"/>
          <w:szCs w:val="24"/>
          <w:highlight w:val="none"/>
          <w:lang w:val="en-US" w:eastAsia="zh-CN"/>
        </w:rPr>
        <w:t xml:space="preserve"> 承包人应按韶关市住房和城乡建设管理局、韶关市人力资源和社会保障局等职能部门对用工实名制的相关规定,落实工人及相关软硬件设施要求。</w:t>
      </w:r>
    </w:p>
    <w:p w14:paraId="5BF0818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w:t>
      </w:r>
      <w:r>
        <w:rPr>
          <w:rFonts w:hint="eastAsia" w:ascii="宋体" w:hAnsi="宋体" w:eastAsia="宋体" w:cs="宋体"/>
          <w:bCs/>
          <w:snapToGrid w:val="0"/>
          <w:color w:val="auto"/>
          <w:kern w:val="0"/>
          <w:sz w:val="24"/>
          <w:szCs w:val="24"/>
          <w:highlight w:val="none"/>
          <w:lang w:val="en-US" w:eastAsia="zh-CN"/>
        </w:rPr>
        <w:t xml:space="preserve"> 质量违约</w:t>
      </w:r>
    </w:p>
    <w:p w14:paraId="20B3072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4.24.1</w:t>
      </w:r>
      <w:r>
        <w:rPr>
          <w:rFonts w:hint="eastAsia" w:ascii="宋体" w:hAnsi="宋体" w:eastAsia="宋体" w:cs="宋体"/>
          <w:bCs/>
          <w:snapToGrid w:val="0"/>
          <w:color w:val="auto"/>
          <w:kern w:val="0"/>
          <w:sz w:val="24"/>
          <w:szCs w:val="24"/>
          <w:highlight w:val="none"/>
          <w:lang w:val="en-US" w:eastAsia="zh-CN"/>
        </w:rPr>
        <w:t xml:space="preserve">材料违约处理：若发现材料不符合国家标准或发包人在技术规范中规定的标准， </w:t>
      </w:r>
    </w:p>
    <w:p w14:paraId="6C91CE25">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视为承包人违约，按现行《建设工程质量管理条例》处理。 </w:t>
      </w:r>
    </w:p>
    <w:p w14:paraId="31C4278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4.24.1.1</w:t>
      </w:r>
      <w:r>
        <w:rPr>
          <w:rFonts w:hint="eastAsia" w:ascii="宋体" w:hAnsi="宋体" w:eastAsia="宋体" w:cs="宋体"/>
          <w:bCs/>
          <w:snapToGrid w:val="0"/>
          <w:color w:val="auto"/>
          <w:kern w:val="0"/>
          <w:sz w:val="24"/>
          <w:szCs w:val="24"/>
          <w:highlight w:val="none"/>
          <w:lang w:val="en-US" w:eastAsia="zh-CN"/>
        </w:rPr>
        <w:t xml:space="preserve"> 成品采购项目在采购前，承包人必须先行书面征求监理人、发包人的同意并 </w:t>
      </w:r>
    </w:p>
    <w:p w14:paraId="7679A446">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一起看样定版后方能实施。未经监理人、发包人同意擅自先行采购和实施的，否则因不符 </w:t>
      </w:r>
    </w:p>
    <w:p w14:paraId="51A91B9F">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合设计要求返工造成的费用由承包人承担。</w:t>
      </w:r>
    </w:p>
    <w:p w14:paraId="5C018631">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w:t>
      </w:r>
      <w:r>
        <w:rPr>
          <w:rFonts w:hint="eastAsia" w:ascii="宋体" w:hAnsi="宋体" w:eastAsia="宋体" w:cs="宋体"/>
          <w:b w:val="0"/>
          <w:bCs/>
          <w:snapToGrid w:val="0"/>
          <w:color w:val="auto"/>
          <w:kern w:val="0"/>
          <w:sz w:val="24"/>
          <w:szCs w:val="24"/>
          <w:highlight w:val="none"/>
          <w:lang w:val="en-US" w:eastAsia="zh-CN"/>
        </w:rPr>
        <w:t xml:space="preserve">工程质量违约： </w:t>
      </w:r>
    </w:p>
    <w:p w14:paraId="1B9C1EEA">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4.24.2.1</w:t>
      </w:r>
      <w:r>
        <w:rPr>
          <w:rFonts w:hint="eastAsia" w:ascii="宋体" w:hAnsi="宋体" w:eastAsia="宋体" w:cs="宋体"/>
          <w:b w:val="0"/>
          <w:bCs/>
          <w:snapToGrid w:val="0"/>
          <w:color w:val="auto"/>
          <w:kern w:val="0"/>
          <w:sz w:val="24"/>
          <w:szCs w:val="24"/>
          <w:highlight w:val="none"/>
          <w:lang w:val="en-US" w:eastAsia="zh-CN"/>
        </w:rPr>
        <w:t xml:space="preserve"> 在施工过程中经监理单位日常巡查或抽检发现未达到合格标准，责令承包人进 </w:t>
      </w:r>
    </w:p>
    <w:p w14:paraId="5C975ADF">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行整改，如未按规定时间进行整改或整改不到位的，每次按1000元缴纳违约金给发包人，在进度款或结算款中一并扣除。 </w:t>
      </w:r>
    </w:p>
    <w:p w14:paraId="2AE5A15F">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4.24.2.2</w:t>
      </w:r>
      <w:r>
        <w:rPr>
          <w:rFonts w:hint="eastAsia" w:ascii="宋体" w:hAnsi="宋体" w:eastAsia="宋体" w:cs="宋体"/>
          <w:b w:val="0"/>
          <w:bCs/>
          <w:snapToGrid w:val="0"/>
          <w:color w:val="auto"/>
          <w:kern w:val="0"/>
          <w:sz w:val="24"/>
          <w:szCs w:val="24"/>
          <w:highlight w:val="none"/>
          <w:lang w:val="en-US" w:eastAsia="zh-CN"/>
        </w:rPr>
        <w:t xml:space="preserve"> 工程质量标准须达到国家验收合格标准。如未达到合格标准，除无偿返工至合 </w:t>
      </w:r>
    </w:p>
    <w:p w14:paraId="15420836">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格外，还要按合同价款的 1%向招标人支付质量违约金，工期不予顺延。 </w:t>
      </w:r>
    </w:p>
    <w:p w14:paraId="75B106C8">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w:t>
      </w:r>
      <w:r>
        <w:rPr>
          <w:rFonts w:hint="eastAsia" w:ascii="宋体" w:hAnsi="宋体" w:eastAsia="宋体" w:cs="宋体"/>
          <w:b w:val="0"/>
          <w:bCs/>
          <w:snapToGrid w:val="0"/>
          <w:color w:val="auto"/>
          <w:kern w:val="0"/>
          <w:sz w:val="24"/>
          <w:szCs w:val="24"/>
          <w:highlight w:val="none"/>
          <w:lang w:val="en-US" w:eastAsia="zh-CN"/>
        </w:rPr>
        <w:t xml:space="preserve"> 重大责任事故违约 </w:t>
      </w:r>
    </w:p>
    <w:p w14:paraId="2CF3DBDB">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4.25.1</w:t>
      </w:r>
      <w:r>
        <w:rPr>
          <w:rFonts w:hint="eastAsia" w:ascii="宋体" w:hAnsi="宋体" w:eastAsia="宋体" w:cs="宋体"/>
          <w:b w:val="0"/>
          <w:bCs/>
          <w:snapToGrid w:val="0"/>
          <w:color w:val="auto"/>
          <w:kern w:val="0"/>
          <w:sz w:val="24"/>
          <w:szCs w:val="24"/>
          <w:highlight w:val="none"/>
          <w:lang w:val="en-US" w:eastAsia="zh-CN"/>
        </w:rPr>
        <w:t xml:space="preserve"> 承包人因违反国家安全质量法规及合同有关条款约定,出现火灾、坍塌、人员重 </w:t>
      </w:r>
    </w:p>
    <w:p w14:paraId="7B0C91A4">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伤、死亡等重大责任事故,则承包人应承担全部损失,并按相关法规接受行政处罚；如造成发 </w:t>
      </w:r>
    </w:p>
    <w:p w14:paraId="731BE7C8">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包人及对第三人利益的损害,该等损害赔偿责任均由承包人承担。 </w:t>
      </w:r>
    </w:p>
    <w:p w14:paraId="40709944">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4.26</w:t>
      </w:r>
      <w:r>
        <w:rPr>
          <w:rFonts w:hint="eastAsia" w:ascii="宋体" w:hAnsi="宋体" w:eastAsia="宋体" w:cs="宋体"/>
          <w:b w:val="0"/>
          <w:bCs/>
          <w:snapToGrid w:val="0"/>
          <w:color w:val="auto"/>
          <w:kern w:val="0"/>
          <w:sz w:val="24"/>
          <w:szCs w:val="24"/>
          <w:highlight w:val="none"/>
          <w:lang w:val="en-US" w:eastAsia="zh-CN"/>
        </w:rPr>
        <w:t xml:space="preserve"> 用工违约 </w:t>
      </w:r>
    </w:p>
    <w:p w14:paraId="4D732884">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4.26.1</w:t>
      </w:r>
      <w:r>
        <w:rPr>
          <w:rFonts w:hint="eastAsia" w:ascii="宋体" w:hAnsi="宋体" w:eastAsia="宋体" w:cs="宋体"/>
          <w:b w:val="0"/>
          <w:bCs/>
          <w:snapToGrid w:val="0"/>
          <w:color w:val="auto"/>
          <w:kern w:val="0"/>
          <w:sz w:val="24"/>
          <w:szCs w:val="24"/>
          <w:highlight w:val="none"/>
          <w:lang w:val="en-US" w:eastAsia="zh-CN"/>
        </w:rPr>
        <w:t xml:space="preserve"> 在合同履行期间，如经查实承包人拖欠或克扣农民工或劳务工工资，导致劳资纠纷或发生危及公共安全或正常社会秩序的事件的，按承包人违约处理，承包人应按拖欠或克 </w:t>
      </w:r>
    </w:p>
    <w:p w14:paraId="244E24AC">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扣农民工工资总金额 2 倍的标准向发包人缴纳惩罚性违约金。 </w:t>
      </w:r>
    </w:p>
    <w:p w14:paraId="16AA4E81">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4.27</w:t>
      </w:r>
      <w:r>
        <w:rPr>
          <w:rFonts w:hint="eastAsia" w:ascii="宋体" w:hAnsi="宋体" w:eastAsia="宋体" w:cs="宋体"/>
          <w:b w:val="0"/>
          <w:bCs/>
          <w:snapToGrid w:val="0"/>
          <w:color w:val="auto"/>
          <w:kern w:val="0"/>
          <w:sz w:val="24"/>
          <w:szCs w:val="24"/>
          <w:highlight w:val="none"/>
          <w:lang w:val="en-US" w:eastAsia="zh-CN"/>
        </w:rPr>
        <w:t xml:space="preserve"> 安全文明施工违约 </w:t>
      </w:r>
    </w:p>
    <w:p w14:paraId="1CB63FA6">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4.27.1</w:t>
      </w:r>
      <w:r>
        <w:rPr>
          <w:rFonts w:hint="eastAsia" w:ascii="宋体" w:hAnsi="宋体" w:eastAsia="宋体" w:cs="宋体"/>
          <w:b w:val="0"/>
          <w:bCs/>
          <w:snapToGrid w:val="0"/>
          <w:color w:val="auto"/>
          <w:kern w:val="0"/>
          <w:sz w:val="24"/>
          <w:szCs w:val="24"/>
          <w:highlight w:val="none"/>
          <w:lang w:val="en-US" w:eastAsia="zh-CN"/>
        </w:rPr>
        <w:t xml:space="preserve"> 如承包人违反国家、广东省、发包人及合同关于安全文明施工的规定，但尚未造 </w:t>
      </w:r>
    </w:p>
    <w:p w14:paraId="39BB36A1">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成安全责任事故，承包人应及时改正行为并赔偿相关方的损失，如未及时整改，针对每一违约 </w:t>
      </w:r>
    </w:p>
    <w:p w14:paraId="742B9C55">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行为应缴纳违约金1000元。</w:t>
      </w:r>
    </w:p>
    <w:p w14:paraId="24BA627B">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.2</w:t>
      </w:r>
      <w:r>
        <w:rPr>
          <w:rFonts w:hint="default" w:ascii="宋体" w:hAnsi="宋体" w:eastAsia="宋体" w:cs="宋体"/>
          <w:b w:val="0"/>
          <w:bCs/>
          <w:snapToGrid w:val="0"/>
          <w:color w:val="auto"/>
          <w:kern w:val="0"/>
          <w:sz w:val="24"/>
          <w:szCs w:val="24"/>
          <w:highlight w:val="none"/>
          <w:lang w:val="en-US" w:eastAsia="zh-CN"/>
        </w:rPr>
        <w:t xml:space="preserve"> 承包人必须接受发包人及监理单位组织的安全、文明施工的检查，检查中的不合 </w:t>
      </w:r>
    </w:p>
    <w:p w14:paraId="5896D6C6">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格项目、安全隐患必须在规定的时间内整改完成，否则每拖延一天处以200元人民币违约金，直至整改合格。</w:t>
      </w:r>
    </w:p>
    <w:p w14:paraId="3A1EB41D">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lang w:val="en-US" w:eastAsia="zh-CN"/>
        </w:rPr>
        <w:t xml:space="preserve">   </w:t>
      </w: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lang w:val="en-US" w:eastAsia="zh-CN"/>
        </w:rPr>
        <w:t xml:space="preserve">3 </w:t>
      </w:r>
      <w:r>
        <w:rPr>
          <w:rFonts w:hint="eastAsia" w:ascii="宋体" w:hAnsi="宋体" w:eastAsia="宋体" w:cs="宋体"/>
          <w:b w:val="0"/>
          <w:bCs/>
          <w:snapToGrid w:val="0"/>
          <w:color w:val="auto"/>
          <w:kern w:val="0"/>
          <w:sz w:val="24"/>
          <w:szCs w:val="24"/>
          <w:highlight w:val="none"/>
          <w:lang w:val="en-US" w:eastAsia="zh-CN"/>
        </w:rPr>
        <w:t>承包人现场施工人员未按相关规定佩戴安全帽和反光衣进入施工区域的，经现场发包人（监理单位）管理人员确认后，承包人须按50元/人/次缴纳违约金。</w:t>
      </w:r>
    </w:p>
    <w:p w14:paraId="76C61253">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val="0"/>
          <w:bCs/>
          <w:snapToGrid w:val="0"/>
          <w:color w:val="auto"/>
          <w:kern w:val="0"/>
          <w:sz w:val="24"/>
          <w:szCs w:val="24"/>
          <w:highlight w:val="none"/>
          <w:lang w:val="en-US" w:eastAsia="zh-CN"/>
        </w:rPr>
        <w:t xml:space="preserve"> 其他违约 </w:t>
      </w:r>
    </w:p>
    <w:p w14:paraId="384DEC4C">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.1</w:t>
      </w:r>
      <w:r>
        <w:rPr>
          <w:rFonts w:hint="default" w:ascii="宋体" w:hAnsi="宋体" w:eastAsia="宋体" w:cs="宋体"/>
          <w:b w:val="0"/>
          <w:bCs/>
          <w:snapToGrid w:val="0"/>
          <w:color w:val="auto"/>
          <w:kern w:val="0"/>
          <w:sz w:val="24"/>
          <w:szCs w:val="24"/>
          <w:highlight w:val="none"/>
          <w:lang w:val="en-US" w:eastAsia="zh-CN"/>
        </w:rPr>
        <w:t xml:space="preserve"> 承包人安排在施工场地的主要管理人员（主要指项目经理、项目技术负责人和专 </w:t>
      </w:r>
    </w:p>
    <w:p w14:paraId="258EC6E1">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职安全生产管理人员）应与承包人投标文件承诺的名单一致，并保持相对稳定。未经总监理工程师批准，上述人员不应无故不到位或被替换。若确实无法到位或需替换，需经总监理工程师审核并报发包人批准后，承包人可安排同等资历的人员替换；</w:t>
      </w:r>
    </w:p>
    <w:p w14:paraId="4C447EE0">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.2</w:t>
      </w:r>
      <w:r>
        <w:rPr>
          <w:rFonts w:hint="default" w:ascii="宋体" w:hAnsi="宋体" w:eastAsia="宋体" w:cs="宋体"/>
          <w:b w:val="0"/>
          <w:bCs/>
          <w:snapToGrid w:val="0"/>
          <w:color w:val="auto"/>
          <w:kern w:val="0"/>
          <w:sz w:val="24"/>
          <w:szCs w:val="24"/>
          <w:highlight w:val="none"/>
          <w:lang w:val="en-US" w:eastAsia="zh-CN"/>
        </w:rPr>
        <w:t xml:space="preserve"> 中标人施工资料必须与形象进度同步</w:t>
      </w:r>
      <w:r>
        <w:rPr>
          <w:rFonts w:hint="eastAsia" w:ascii="宋体" w:hAnsi="宋体" w:eastAsia="宋体" w:cs="宋体"/>
          <w:b w:val="0"/>
          <w:bCs/>
          <w:snapToGrid w:val="0"/>
          <w:color w:val="auto"/>
          <w:kern w:val="0"/>
          <w:sz w:val="24"/>
          <w:szCs w:val="24"/>
          <w:highlight w:val="none"/>
          <w:lang w:val="en-US" w:eastAsia="zh-CN"/>
        </w:rPr>
        <w:t>，如发包人在日常检查中发现不同步的现象的，视为违约并扣除违约金1000元/每次</w:t>
      </w:r>
      <w:r>
        <w:rPr>
          <w:rFonts w:hint="default" w:ascii="宋体" w:hAnsi="宋体" w:eastAsia="宋体" w:cs="宋体"/>
          <w:b w:val="0"/>
          <w:bCs/>
          <w:snapToGrid w:val="0"/>
          <w:color w:val="auto"/>
          <w:kern w:val="0"/>
          <w:sz w:val="24"/>
          <w:szCs w:val="24"/>
          <w:highlight w:val="none"/>
          <w:lang w:val="en-US" w:eastAsia="zh-CN"/>
        </w:rPr>
        <w:t xml:space="preserve">。 </w:t>
      </w:r>
    </w:p>
    <w:p w14:paraId="4F38EE4F">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.3</w:t>
      </w:r>
      <w:r>
        <w:rPr>
          <w:rFonts w:hint="default" w:ascii="宋体" w:hAnsi="宋体" w:eastAsia="宋体" w:cs="宋体"/>
          <w:b w:val="0"/>
          <w:bCs/>
          <w:snapToGrid w:val="0"/>
          <w:color w:val="auto"/>
          <w:kern w:val="0"/>
          <w:sz w:val="24"/>
          <w:szCs w:val="24"/>
          <w:highlight w:val="none"/>
          <w:lang w:val="en-US" w:eastAsia="zh-CN"/>
        </w:rPr>
        <w:t xml:space="preserve"> 承包人没有正当合理的理由中途退场，可扣除承包人已递交的所有履约风险保证 </w:t>
      </w:r>
    </w:p>
    <w:p w14:paraId="038159DB">
      <w:pPr>
        <w:adjustRightInd w:val="0"/>
        <w:snapToGrid w:val="0"/>
        <w:spacing w:line="440" w:lineRule="exact"/>
        <w:rPr>
          <w:rFonts w:hint="default" w:ascii="宋体" w:hAnsi="宋体" w:eastAsia="宋体" w:cs="宋体"/>
          <w:bCs/>
          <w:snapToGrid w:val="0"/>
          <w:color w:val="auto"/>
          <w:kern w:val="0"/>
          <w:sz w:val="24"/>
          <w:szCs w:val="24"/>
          <w:highlight w:val="none"/>
          <w:lang w:val="en-US" w:eastAsia="zh-CN" w:bidi="ar-SA"/>
        </w:rPr>
      </w:pPr>
      <w:r>
        <w:rPr>
          <w:rFonts w:hint="default" w:ascii="宋体" w:hAnsi="宋体" w:eastAsia="宋体" w:cs="宋体"/>
          <w:b w:val="0"/>
          <w:bCs/>
          <w:snapToGrid w:val="0"/>
          <w:color w:val="auto"/>
          <w:kern w:val="0"/>
          <w:sz w:val="24"/>
          <w:szCs w:val="24"/>
          <w:highlight w:val="none"/>
          <w:lang w:val="en-US" w:eastAsia="zh-CN"/>
        </w:rPr>
        <w:t>金。承包人因上述违约行为而须缴纳的违约金在工程进度款中或结算时一并扣除。</w:t>
      </w:r>
    </w:p>
    <w:p w14:paraId="27D3C403">
      <w:pPr>
        <w:adjustRightInd w:val="0"/>
        <w:snapToGrid w:val="0"/>
        <w:spacing w:line="440" w:lineRule="exact"/>
        <w:ind w:firstLine="482" w:firstLineChars="200"/>
        <w:rPr>
          <w:rFonts w:hint="eastAsia" w:ascii="宋体" w:hAnsi="宋体" w:eastAsia="宋体" w:cs="宋体"/>
          <w:b/>
          <w:bCs w:val="0"/>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5.其他合同条款由招标人与中标人自行协商约定。</w:t>
      </w:r>
    </w:p>
    <w:p w14:paraId="5855293F">
      <w:pPr>
        <w:pStyle w:val="13"/>
        <w:rPr>
          <w:rFonts w:hint="eastAsia" w:ascii="宋体" w:hAnsi="宋体" w:eastAsia="宋体" w:cs="宋体"/>
          <w:color w:val="auto"/>
          <w:sz w:val="24"/>
          <w:szCs w:val="24"/>
          <w:highlight w:val="none"/>
          <w:lang w:eastAsia="zh-CN"/>
        </w:rPr>
      </w:pPr>
    </w:p>
    <w:p w14:paraId="2E2370AE">
      <w:pPr>
        <w:pStyle w:val="13"/>
        <w:rPr>
          <w:rFonts w:hint="eastAsia" w:ascii="宋体" w:hAnsi="宋体" w:eastAsia="宋体" w:cs="宋体"/>
          <w:color w:val="auto"/>
          <w:sz w:val="24"/>
          <w:szCs w:val="24"/>
          <w:highlight w:val="none"/>
          <w:lang w:eastAsia="zh-CN"/>
        </w:rPr>
      </w:pPr>
    </w:p>
    <w:p w14:paraId="31C4E63E">
      <w:pPr>
        <w:pStyle w:val="13"/>
        <w:rPr>
          <w:rFonts w:hint="eastAsia" w:ascii="宋体" w:hAnsi="宋体" w:eastAsia="宋体" w:cs="宋体"/>
          <w:color w:val="auto"/>
          <w:sz w:val="24"/>
          <w:szCs w:val="24"/>
          <w:highlight w:val="none"/>
          <w:lang w:eastAsia="zh-CN"/>
        </w:rPr>
      </w:pPr>
    </w:p>
    <w:p w14:paraId="1AE326F0">
      <w:pPr>
        <w:pStyle w:val="13"/>
        <w:rPr>
          <w:rFonts w:hint="eastAsia" w:ascii="宋体" w:hAnsi="宋体" w:eastAsia="宋体" w:cs="宋体"/>
          <w:color w:val="auto"/>
          <w:sz w:val="24"/>
          <w:szCs w:val="24"/>
          <w:highlight w:val="none"/>
          <w:lang w:eastAsia="zh-CN"/>
        </w:rPr>
      </w:pPr>
    </w:p>
    <w:p w14:paraId="3F12ECAE">
      <w:pPr>
        <w:pStyle w:val="13"/>
        <w:rPr>
          <w:rFonts w:hint="eastAsia" w:ascii="宋体" w:hAnsi="宋体" w:eastAsia="宋体" w:cs="宋体"/>
          <w:color w:val="auto"/>
          <w:sz w:val="24"/>
          <w:szCs w:val="24"/>
          <w:highlight w:val="none"/>
          <w:lang w:eastAsia="zh-CN"/>
        </w:rPr>
      </w:pPr>
    </w:p>
    <w:p w14:paraId="50600504">
      <w:pPr>
        <w:spacing w:before="78" w:line="219" w:lineRule="auto"/>
        <w:outlineLvl w:val="9"/>
        <w:rPr>
          <w:rFonts w:hint="eastAsia" w:ascii="宋体" w:hAnsi="宋体" w:eastAsia="宋体" w:cs="宋体"/>
          <w:b/>
          <w:bCs/>
          <w:color w:val="auto"/>
          <w:spacing w:val="-3"/>
          <w:sz w:val="24"/>
          <w:szCs w:val="24"/>
          <w:highlight w:val="none"/>
        </w:rPr>
      </w:pPr>
      <w:bookmarkStart w:id="180" w:name="bookmark96"/>
      <w:bookmarkEnd w:id="180"/>
    </w:p>
    <w:p w14:paraId="24EEA4E1">
      <w:pPr>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br w:type="page"/>
      </w:r>
    </w:p>
    <w:p w14:paraId="59B44A03">
      <w:pPr>
        <w:spacing w:before="78" w:line="219" w:lineRule="auto"/>
        <w:ind w:left="3273"/>
        <w:outlineLvl w:val="0"/>
        <w:rPr>
          <w:rFonts w:hint="eastAsia" w:ascii="宋体" w:hAnsi="宋体" w:eastAsia="宋体" w:cs="宋体"/>
          <w:color w:val="auto"/>
          <w:highlight w:val="none"/>
        </w:rPr>
      </w:pPr>
      <w:bookmarkStart w:id="181" w:name="_Toc30225"/>
      <w:r>
        <w:rPr>
          <w:rFonts w:hint="eastAsia" w:ascii="宋体" w:hAnsi="宋体" w:eastAsia="宋体" w:cs="宋体"/>
          <w:b/>
          <w:bCs/>
          <w:color w:val="auto"/>
          <w:spacing w:val="-3"/>
          <w:sz w:val="24"/>
          <w:szCs w:val="24"/>
          <w:highlight w:val="none"/>
        </w:rPr>
        <w:t>第四章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技术要求</w:t>
      </w:r>
      <w:bookmarkEnd w:id="181"/>
    </w:p>
    <w:p w14:paraId="7D742F28">
      <w:pPr>
        <w:pStyle w:val="5"/>
        <w:spacing w:line="257" w:lineRule="auto"/>
        <w:rPr>
          <w:rFonts w:hint="eastAsia" w:ascii="宋体" w:hAnsi="宋体" w:eastAsia="宋体" w:cs="宋体"/>
          <w:color w:val="auto"/>
          <w:highlight w:val="none"/>
        </w:rPr>
      </w:pPr>
    </w:p>
    <w:p w14:paraId="7E3BAD74">
      <w:pPr>
        <w:spacing w:before="78" w:line="221" w:lineRule="auto"/>
        <w:ind w:left="125"/>
        <w:outlineLvl w:val="2"/>
        <w:rPr>
          <w:rFonts w:hint="eastAsia" w:ascii="宋体" w:hAnsi="宋体" w:eastAsia="宋体" w:cs="宋体"/>
          <w:color w:val="auto"/>
          <w:sz w:val="24"/>
          <w:szCs w:val="24"/>
          <w:highlight w:val="none"/>
        </w:rPr>
      </w:pPr>
      <w:bookmarkStart w:id="182" w:name="_Toc10155"/>
      <w:bookmarkStart w:id="183" w:name="_Toc19340"/>
      <w:r>
        <w:rPr>
          <w:rFonts w:hint="eastAsia" w:ascii="宋体" w:hAnsi="宋体" w:eastAsia="宋体" w:cs="宋体"/>
          <w:b/>
          <w:bCs/>
          <w:color w:val="auto"/>
          <w:spacing w:val="-6"/>
          <w:sz w:val="24"/>
          <w:szCs w:val="24"/>
          <w:highlight w:val="none"/>
        </w:rPr>
        <w:t>1</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6"/>
          <w:sz w:val="24"/>
          <w:szCs w:val="24"/>
          <w:highlight w:val="none"/>
        </w:rPr>
        <w:t>．</w:t>
      </w:r>
      <w:r>
        <w:rPr>
          <w:rFonts w:hint="eastAsia" w:ascii="宋体" w:hAnsi="宋体" w:eastAsia="宋体" w:cs="宋体"/>
          <w:b/>
          <w:bCs/>
          <w:color w:val="auto"/>
          <w:spacing w:val="-1"/>
          <w:sz w:val="24"/>
          <w:szCs w:val="24"/>
          <w:highlight w:val="none"/>
        </w:rPr>
        <w:t>房屋建筑工程建设项目</w:t>
      </w:r>
      <w:bookmarkEnd w:id="182"/>
      <w:bookmarkEnd w:id="183"/>
    </w:p>
    <w:p w14:paraId="06E73E64">
      <w:pPr>
        <w:spacing w:before="152" w:line="220"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房屋建筑工程建设项目必须执行的现行技术规范，包括且不限于：</w:t>
      </w:r>
    </w:p>
    <w:p w14:paraId="02A18F3C">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（1）《建筑工程施工质量验收统一标准》；</w:t>
      </w:r>
    </w:p>
    <w:p w14:paraId="433695A5">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（2）《建筑地基基础工程施工质量验收规范》；</w:t>
      </w:r>
    </w:p>
    <w:p w14:paraId="10A6E3BE">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（3）《砌体工程施工质量验收规范》；</w:t>
      </w:r>
    </w:p>
    <w:p w14:paraId="5D186729">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（4）《混凝土结构工程施工质量验收规范》；</w:t>
      </w:r>
    </w:p>
    <w:p w14:paraId="7C7F1B08">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（5）《屋面工程质量验收规范》；</w:t>
      </w:r>
    </w:p>
    <w:p w14:paraId="2D388671">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（6）《地下防水工程质量验收规范》；</w:t>
      </w:r>
    </w:p>
    <w:p w14:paraId="381F4ACB">
      <w:pPr>
        <w:spacing w:before="156"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（7）《建筑地面工程施工质量验收规范》；</w:t>
      </w:r>
    </w:p>
    <w:p w14:paraId="18E4C4D8">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（8）《建筑装饰装修工程施工质量验收规范》；</w:t>
      </w:r>
    </w:p>
    <w:p w14:paraId="29535975">
      <w:pPr>
        <w:spacing w:before="153" w:line="219"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（9）《建筑给排水及采暖工程施工质量验收规范》；</w:t>
      </w:r>
    </w:p>
    <w:p w14:paraId="236F7526">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（10）《建筑电气工程施工质量验收规范》；</w:t>
      </w:r>
    </w:p>
    <w:p w14:paraId="1273DE5E">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（11）《住建部绿色建筑评价标准》；</w:t>
      </w:r>
    </w:p>
    <w:p w14:paraId="4BE51374">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（12）《建筑节能与可再生能源利用通用规范》（GB55015-2021）；</w:t>
      </w:r>
    </w:p>
    <w:p w14:paraId="73DAD95B">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（13）《建筑环境通用规范》；</w:t>
      </w:r>
    </w:p>
    <w:p w14:paraId="6D2F3DEB">
      <w:pPr>
        <w:spacing w:before="153" w:line="219" w:lineRule="auto"/>
        <w:ind w:left="130"/>
        <w:rPr>
          <w:rFonts w:hint="eastAsia" w:ascii="宋体" w:hAnsi="宋体" w:eastAsia="宋体" w:cs="宋体"/>
          <w:color w:val="auto"/>
          <w:spacing w:val="-1"/>
          <w:sz w:val="24"/>
          <w:szCs w:val="24"/>
          <w:highlight w:val="none"/>
        </w:rPr>
      </w:pPr>
      <w:bookmarkStart w:id="184" w:name="_Toc16294"/>
      <w:bookmarkStart w:id="185" w:name="_Toc12084"/>
      <w:r>
        <w:rPr>
          <w:rFonts w:hint="eastAsia" w:ascii="宋体" w:hAnsi="宋体" w:eastAsia="宋体" w:cs="宋体"/>
          <w:color w:val="auto"/>
          <w:spacing w:val="-1"/>
          <w:sz w:val="24"/>
          <w:szCs w:val="24"/>
          <w:highlight w:val="none"/>
        </w:rPr>
        <w:t>（14）《建筑与市政工程无障碍通用规范》 GB 55019-2021；</w:t>
      </w:r>
      <w:bookmarkEnd w:id="184"/>
      <w:bookmarkEnd w:id="185"/>
    </w:p>
    <w:p w14:paraId="385C3B67">
      <w:pPr>
        <w:spacing w:before="153" w:line="219" w:lineRule="auto"/>
        <w:ind w:left="130"/>
        <w:rPr>
          <w:rFonts w:hint="eastAsia" w:ascii="宋体" w:hAnsi="宋体" w:eastAsia="宋体" w:cs="宋体"/>
          <w:color w:val="auto"/>
          <w:spacing w:val="-1"/>
          <w:sz w:val="24"/>
          <w:szCs w:val="24"/>
          <w:highlight w:val="none"/>
        </w:rPr>
      </w:pPr>
      <w:bookmarkStart w:id="186" w:name="_Toc1177"/>
      <w:bookmarkStart w:id="187" w:name="_Toc15158"/>
      <w:r>
        <w:rPr>
          <w:rFonts w:hint="eastAsia" w:ascii="宋体" w:hAnsi="宋体" w:eastAsia="宋体" w:cs="宋体"/>
          <w:color w:val="auto"/>
          <w:spacing w:val="-1"/>
          <w:sz w:val="24"/>
          <w:szCs w:val="24"/>
          <w:highlight w:val="none"/>
        </w:rPr>
        <w:t>（15）《建筑防火通用规范》GB 55037-2022;</w:t>
      </w:r>
      <w:bookmarkEnd w:id="186"/>
      <w:bookmarkEnd w:id="187"/>
    </w:p>
    <w:p w14:paraId="26991816">
      <w:pPr>
        <w:spacing w:before="153" w:line="219" w:lineRule="auto"/>
        <w:ind w:left="130"/>
        <w:rPr>
          <w:rFonts w:hint="eastAsia" w:ascii="宋体" w:hAnsi="宋体" w:eastAsia="宋体" w:cs="宋体"/>
          <w:color w:val="auto"/>
          <w:spacing w:val="-1"/>
          <w:sz w:val="24"/>
          <w:szCs w:val="24"/>
          <w:highlight w:val="none"/>
        </w:rPr>
      </w:pPr>
      <w:bookmarkStart w:id="188" w:name="_Toc2461"/>
      <w:bookmarkStart w:id="189" w:name="_Toc24233"/>
      <w:r>
        <w:rPr>
          <w:rFonts w:hint="eastAsia" w:ascii="宋体" w:hAnsi="宋体" w:eastAsia="宋体" w:cs="宋体"/>
          <w:color w:val="auto"/>
          <w:spacing w:val="-1"/>
          <w:sz w:val="24"/>
          <w:szCs w:val="24"/>
          <w:highlight w:val="none"/>
        </w:rPr>
        <w:t>（16）《建筑与市政工程抗震通用规范》GB55002-2001;</w:t>
      </w:r>
      <w:bookmarkEnd w:id="188"/>
      <w:bookmarkEnd w:id="189"/>
    </w:p>
    <w:p w14:paraId="5FED2140">
      <w:pPr>
        <w:spacing w:before="153" w:line="219" w:lineRule="auto"/>
        <w:ind w:left="130"/>
        <w:rPr>
          <w:rFonts w:hint="eastAsia" w:ascii="宋体" w:hAnsi="宋体" w:eastAsia="宋体" w:cs="宋体"/>
          <w:color w:val="auto"/>
          <w:spacing w:val="-1"/>
          <w:sz w:val="24"/>
          <w:szCs w:val="24"/>
          <w:highlight w:val="none"/>
        </w:rPr>
      </w:pPr>
      <w:bookmarkStart w:id="190" w:name="_Toc8109"/>
      <w:bookmarkStart w:id="191" w:name="_Toc5777"/>
      <w:r>
        <w:rPr>
          <w:rFonts w:hint="eastAsia" w:ascii="宋体" w:hAnsi="宋体" w:eastAsia="宋体" w:cs="宋体"/>
          <w:color w:val="auto"/>
          <w:spacing w:val="-1"/>
          <w:sz w:val="24"/>
          <w:szCs w:val="24"/>
          <w:highlight w:val="none"/>
        </w:rPr>
        <w:t>（17）《建筑与市政地基基础通用规范》GB55003-2001;</w:t>
      </w:r>
      <w:bookmarkEnd w:id="190"/>
      <w:bookmarkEnd w:id="191"/>
    </w:p>
    <w:p w14:paraId="6DA74E82">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（18）《广东省住房和城乡建设厅绿色施工导则》；</w:t>
      </w:r>
    </w:p>
    <w:p w14:paraId="5B663EFF">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（19）《广东省建筑工程绿色施工评价标准》；</w:t>
      </w:r>
    </w:p>
    <w:p w14:paraId="65E04225">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（20）《广东省建筑节能与绿色建筑工程施工质量验收规范》</w:t>
      </w:r>
    </w:p>
    <w:p w14:paraId="2710362F">
      <w:pPr>
        <w:spacing w:before="153" w:line="219"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（21）其他现行国家、广东省关于房建工程的施工及验收规范、定额</w:t>
      </w:r>
      <w:r>
        <w:rPr>
          <w:rFonts w:hint="eastAsia" w:ascii="宋体" w:hAnsi="宋体" w:eastAsia="宋体" w:cs="宋体"/>
          <w:color w:val="auto"/>
          <w:spacing w:val="-6"/>
          <w:sz w:val="24"/>
          <w:szCs w:val="24"/>
          <w:highlight w:val="none"/>
        </w:rPr>
        <w:t>、规程、标准。</w:t>
      </w:r>
    </w:p>
    <w:p w14:paraId="2D9B4D4A">
      <w:pPr>
        <w:pStyle w:val="5"/>
        <w:spacing w:line="257" w:lineRule="auto"/>
        <w:rPr>
          <w:rFonts w:hint="eastAsia" w:ascii="宋体" w:hAnsi="宋体" w:eastAsia="宋体" w:cs="宋体"/>
          <w:color w:val="auto"/>
          <w:highlight w:val="none"/>
        </w:rPr>
      </w:pPr>
    </w:p>
    <w:p w14:paraId="2E32FBD4">
      <w:pPr>
        <w:spacing w:before="78" w:line="220" w:lineRule="auto"/>
        <w:ind w:left="115"/>
        <w:outlineLvl w:val="2"/>
        <w:rPr>
          <w:rFonts w:hint="eastAsia" w:ascii="宋体" w:hAnsi="宋体" w:eastAsia="宋体" w:cs="宋体"/>
          <w:color w:val="auto"/>
          <w:sz w:val="24"/>
          <w:szCs w:val="24"/>
          <w:highlight w:val="none"/>
        </w:rPr>
      </w:pPr>
      <w:bookmarkStart w:id="192" w:name="_Toc15652"/>
      <w:bookmarkStart w:id="193" w:name="_Toc16340"/>
      <w:r>
        <w:rPr>
          <w:rFonts w:hint="eastAsia" w:ascii="宋体" w:hAnsi="宋体" w:eastAsia="宋体" w:cs="宋体"/>
          <w:b/>
          <w:bCs/>
          <w:color w:val="auto"/>
          <w:spacing w:val="-5"/>
          <w:sz w:val="24"/>
          <w:szCs w:val="24"/>
          <w:highlight w:val="none"/>
        </w:rPr>
        <w:t>2</w:t>
      </w:r>
      <w:r>
        <w:rPr>
          <w:rFonts w:hint="eastAsia" w:ascii="宋体" w:hAnsi="宋体" w:eastAsia="宋体" w:cs="宋体"/>
          <w:b/>
          <w:bCs/>
          <w:color w:val="auto"/>
          <w:spacing w:val="-18"/>
          <w:sz w:val="24"/>
          <w:szCs w:val="24"/>
          <w:highlight w:val="none"/>
        </w:rPr>
        <w:t xml:space="preserve"> </w:t>
      </w:r>
      <w:r>
        <w:rPr>
          <w:rFonts w:hint="eastAsia" w:ascii="宋体" w:hAnsi="宋体" w:eastAsia="宋体" w:cs="宋体"/>
          <w:b/>
          <w:bCs/>
          <w:color w:val="auto"/>
          <w:spacing w:val="-5"/>
          <w:sz w:val="24"/>
          <w:szCs w:val="24"/>
          <w:highlight w:val="none"/>
        </w:rPr>
        <w:t>．市政基础设施工程建设项目</w:t>
      </w:r>
      <w:bookmarkEnd w:id="192"/>
      <w:bookmarkEnd w:id="193"/>
    </w:p>
    <w:p w14:paraId="2F5071A2">
      <w:pPr>
        <w:spacing w:before="154" w:line="220" w:lineRule="auto"/>
        <w:ind w:left="12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市政基础设施工程建设项目必须执行的现行技术规范，包括且不限于：</w:t>
      </w:r>
    </w:p>
    <w:p w14:paraId="437545E6">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（1）《公路路基施工技术规范》；</w:t>
      </w:r>
    </w:p>
    <w:p w14:paraId="4515E797">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（2）《市政道路工程质量检验评定标准》；</w:t>
      </w:r>
    </w:p>
    <w:p w14:paraId="1FF64E67">
      <w:pPr>
        <w:spacing w:before="154"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（3）《市政排水管渠工程质量检验评定标准》；</w:t>
      </w:r>
    </w:p>
    <w:p w14:paraId="47986826">
      <w:pPr>
        <w:keepNext w:val="0"/>
        <w:keepLines w:val="0"/>
        <w:pageBreakBefore w:val="0"/>
        <w:widowControl w:val="0"/>
        <w:kinsoku w:val="0"/>
        <w:wordWrap/>
        <w:overflowPunct/>
        <w:topLinePunct w:val="0"/>
        <w:autoSpaceDE w:val="0"/>
        <w:autoSpaceDN w:val="0"/>
        <w:bidi w:val="0"/>
        <w:adjustRightInd w:val="0"/>
        <w:snapToGrid w:val="0"/>
        <w:spacing w:before="155" w:line="220" w:lineRule="auto"/>
        <w:ind w:left="13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（4）《给水排水管道工程施工及验收规范》；</w:t>
      </w:r>
    </w:p>
    <w:p w14:paraId="1E97AD2C">
      <w:pPr>
        <w:keepNext w:val="0"/>
        <w:keepLines w:val="0"/>
        <w:pageBreakBefore w:val="0"/>
        <w:widowControl w:val="0"/>
        <w:kinsoku w:val="0"/>
        <w:wordWrap/>
        <w:overflowPunct/>
        <w:topLinePunct w:val="0"/>
        <w:autoSpaceDE w:val="0"/>
        <w:autoSpaceDN w:val="0"/>
        <w:bidi w:val="0"/>
        <w:adjustRightInd w:val="0"/>
        <w:snapToGrid w:val="0"/>
        <w:spacing w:before="78"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（5）《城市道路路基工程施工及验收规范》；</w:t>
      </w:r>
    </w:p>
    <w:p w14:paraId="65DE285C">
      <w:pPr>
        <w:keepNext w:val="0"/>
        <w:keepLines w:val="0"/>
        <w:pageBreakBefore w:val="0"/>
        <w:widowControl w:val="0"/>
        <w:kinsoku w:val="0"/>
        <w:wordWrap/>
        <w:overflowPunct/>
        <w:topLinePunct w:val="0"/>
        <w:autoSpaceDE w:val="0"/>
        <w:autoSpaceDN w:val="0"/>
        <w:bidi w:val="0"/>
        <w:adjustRightInd w:val="0"/>
        <w:snapToGrid w:val="0"/>
        <w:spacing w:before="155"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（6）《水泥砼路面施工及验收规范》；</w:t>
      </w:r>
    </w:p>
    <w:p w14:paraId="05D8FA88">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（7）《公路水泥砼路面施工技术规范》；</w:t>
      </w:r>
    </w:p>
    <w:p w14:paraId="0B00FD6F">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（8）《埋地硬聚氯乙烯排水管道工程技术规程》；</w:t>
      </w:r>
    </w:p>
    <w:p w14:paraId="3D24E823">
      <w:pPr>
        <w:keepNext w:val="0"/>
        <w:keepLines w:val="0"/>
        <w:pageBreakBefore w:val="0"/>
        <w:widowControl w:val="0"/>
        <w:kinsoku w:val="0"/>
        <w:wordWrap/>
        <w:overflowPunct/>
        <w:topLinePunct w:val="0"/>
        <w:autoSpaceDE w:val="0"/>
        <w:autoSpaceDN w:val="0"/>
        <w:bidi w:val="0"/>
        <w:adjustRightInd w:val="0"/>
        <w:snapToGrid w:val="0"/>
        <w:spacing w:before="122" w:line="219"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（9）《沥青路面施工及验收规范》；</w:t>
      </w:r>
    </w:p>
    <w:p w14:paraId="16485365">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（10）《广东省市政工程施工质量技术资料统一用表》。</w:t>
      </w:r>
    </w:p>
    <w:p w14:paraId="5F551C5C">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4" w:name="_Toc8494"/>
      <w:bookmarkStart w:id="195" w:name="_Toc30781"/>
      <w:r>
        <w:rPr>
          <w:rFonts w:hint="eastAsia" w:ascii="宋体" w:hAnsi="宋体" w:eastAsia="宋体" w:cs="宋体"/>
          <w:color w:val="auto"/>
          <w:spacing w:val="-2"/>
          <w:sz w:val="24"/>
          <w:szCs w:val="24"/>
          <w:highlight w:val="none"/>
        </w:rPr>
        <w:t>（11）《建筑与市政工程无障碍通用规范》 GB 55019-2021；</w:t>
      </w:r>
      <w:bookmarkEnd w:id="194"/>
      <w:bookmarkEnd w:id="195"/>
    </w:p>
    <w:p w14:paraId="2752EE1F">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6" w:name="_Toc31143"/>
      <w:bookmarkStart w:id="197" w:name="_Toc17383"/>
      <w:r>
        <w:rPr>
          <w:rFonts w:hint="eastAsia" w:ascii="宋体" w:hAnsi="宋体" w:eastAsia="宋体" w:cs="宋体"/>
          <w:color w:val="auto"/>
          <w:spacing w:val="-2"/>
          <w:sz w:val="24"/>
          <w:szCs w:val="24"/>
          <w:highlight w:val="none"/>
        </w:rPr>
        <w:t>（12）《建筑防火通用规范》GB 55037-2022;</w:t>
      </w:r>
      <w:bookmarkEnd w:id="196"/>
      <w:bookmarkEnd w:id="197"/>
    </w:p>
    <w:p w14:paraId="4D682210">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8" w:name="_Toc954"/>
      <w:bookmarkStart w:id="199" w:name="_Toc32476"/>
      <w:r>
        <w:rPr>
          <w:rFonts w:hint="eastAsia" w:ascii="宋体" w:hAnsi="宋体" w:eastAsia="宋体" w:cs="宋体"/>
          <w:color w:val="auto"/>
          <w:spacing w:val="-2"/>
          <w:sz w:val="24"/>
          <w:szCs w:val="24"/>
          <w:highlight w:val="none"/>
        </w:rPr>
        <w:t>（13）《建筑与市政工程抗震通用规范》GB55002-2001;</w:t>
      </w:r>
      <w:bookmarkEnd w:id="198"/>
      <w:bookmarkEnd w:id="199"/>
    </w:p>
    <w:p w14:paraId="7F16C665">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200" w:name="_Toc7185"/>
      <w:bookmarkStart w:id="201" w:name="_Toc27898"/>
      <w:r>
        <w:rPr>
          <w:rFonts w:hint="eastAsia" w:ascii="宋体" w:hAnsi="宋体" w:eastAsia="宋体" w:cs="宋体"/>
          <w:color w:val="auto"/>
          <w:spacing w:val="-2"/>
          <w:sz w:val="24"/>
          <w:szCs w:val="24"/>
          <w:highlight w:val="none"/>
        </w:rPr>
        <w:t>（14）《建筑与市政地基基础通用规范》GB55003-2001;</w:t>
      </w:r>
      <w:bookmarkEnd w:id="200"/>
      <w:bookmarkEnd w:id="201"/>
    </w:p>
    <w:p w14:paraId="310CD92D">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202" w:name="_Toc29669"/>
      <w:bookmarkStart w:id="203" w:name="_Toc17281"/>
      <w:r>
        <w:rPr>
          <w:rFonts w:hint="eastAsia" w:ascii="宋体" w:hAnsi="宋体" w:eastAsia="宋体" w:cs="宋体"/>
          <w:color w:val="auto"/>
          <w:spacing w:val="-2"/>
          <w:sz w:val="24"/>
          <w:szCs w:val="24"/>
          <w:highlight w:val="none"/>
        </w:rPr>
        <w:t>（15）《城市道路照明设计标准》（CJJ45-2015）；</w:t>
      </w:r>
      <w:bookmarkEnd w:id="202"/>
      <w:bookmarkEnd w:id="203"/>
    </w:p>
    <w:p w14:paraId="37027B6D">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204" w:name="_Toc9161"/>
      <w:bookmarkStart w:id="205" w:name="_Toc31812"/>
      <w:r>
        <w:rPr>
          <w:rFonts w:hint="eastAsia" w:ascii="宋体" w:hAnsi="宋体" w:eastAsia="宋体" w:cs="宋体"/>
          <w:color w:val="auto"/>
          <w:spacing w:val="-2"/>
          <w:sz w:val="24"/>
          <w:szCs w:val="24"/>
          <w:highlight w:val="none"/>
        </w:rPr>
        <w:t>（16）《低压配电设计规范》（GB50054-2011）；</w:t>
      </w:r>
      <w:bookmarkEnd w:id="204"/>
      <w:bookmarkEnd w:id="205"/>
    </w:p>
    <w:p w14:paraId="31C208B3">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206" w:name="_Toc6405"/>
      <w:bookmarkStart w:id="207" w:name="_Toc18255"/>
      <w:r>
        <w:rPr>
          <w:rFonts w:hint="eastAsia" w:ascii="宋体" w:hAnsi="宋体" w:eastAsia="宋体" w:cs="宋体"/>
          <w:color w:val="auto"/>
          <w:spacing w:val="-2"/>
          <w:sz w:val="24"/>
          <w:szCs w:val="24"/>
          <w:highlight w:val="none"/>
        </w:rPr>
        <w:t>（17）《城市道路照明工程施工及验收规程》（CJJ89-2012）；</w:t>
      </w:r>
      <w:bookmarkEnd w:id="206"/>
      <w:bookmarkEnd w:id="207"/>
    </w:p>
    <w:p w14:paraId="02D5C0B7">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（18）《LED 道路照明工程技术规范》（DB44/T 1898-2016）；</w:t>
      </w:r>
    </w:p>
    <w:p w14:paraId="55773A73">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（19）《灯具第 1 部分：一般要求与试验》（GB7000.1-2015）；</w:t>
      </w:r>
    </w:p>
    <w:p w14:paraId="26007854">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（20）《电缆工程电缆设计标准》（GB50217-2018）；</w:t>
      </w:r>
    </w:p>
    <w:p w14:paraId="7B016A82">
      <w:pPr>
        <w:keepNext w:val="0"/>
        <w:keepLines w:val="0"/>
        <w:pageBreakBefore w:val="0"/>
        <w:widowControl w:val="0"/>
        <w:kinsoku w:val="0"/>
        <w:wordWrap/>
        <w:overflowPunct/>
        <w:topLinePunct w:val="0"/>
        <w:autoSpaceDE w:val="0"/>
        <w:autoSpaceDN w:val="0"/>
        <w:bidi w:val="0"/>
        <w:adjustRightInd w:val="0"/>
        <w:snapToGrid w:val="0"/>
        <w:spacing w:before="146" w:line="220" w:lineRule="auto"/>
        <w:ind w:left="216" w:leftChars="103" w:firstLine="0" w:firstLineChars="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（21）其他现行国家、广东省关于市政工程的技术及验收规范、定额、规程、标准。</w:t>
      </w:r>
    </w:p>
    <w:p w14:paraId="2B404C41">
      <w:pPr>
        <w:pStyle w:val="5"/>
        <w:keepNext w:val="0"/>
        <w:keepLines w:val="0"/>
        <w:pageBreakBefore w:val="0"/>
        <w:widowControl w:val="0"/>
        <w:kinsoku w:val="0"/>
        <w:wordWrap/>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highlight w:val="none"/>
        </w:rPr>
      </w:pPr>
    </w:p>
    <w:p w14:paraId="6982BB1C">
      <w:pPr>
        <w:pStyle w:val="5"/>
        <w:keepNext w:val="0"/>
        <w:keepLines w:val="0"/>
        <w:pageBreakBefore w:val="0"/>
        <w:widowControl w:val="0"/>
        <w:kinsoku w:val="0"/>
        <w:wordWrap/>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highlight w:val="none"/>
        </w:rPr>
      </w:pPr>
    </w:p>
    <w:p w14:paraId="358F79C7">
      <w:pPr>
        <w:keepNext w:val="0"/>
        <w:keepLines w:val="0"/>
        <w:pageBreakBefore w:val="0"/>
        <w:widowControl w:val="0"/>
        <w:kinsoku w:val="0"/>
        <w:wordWrap/>
        <w:overflowPunct/>
        <w:topLinePunct w:val="0"/>
        <w:autoSpaceDE w:val="0"/>
        <w:autoSpaceDN w:val="0"/>
        <w:bidi w:val="0"/>
        <w:adjustRightInd w:val="0"/>
        <w:snapToGrid w:val="0"/>
        <w:spacing w:before="78" w:line="222" w:lineRule="auto"/>
        <w:ind w:left="556"/>
        <w:textAlignment w:val="baseline"/>
        <w:outlineLvl w:val="2"/>
        <w:rPr>
          <w:rFonts w:hint="eastAsia" w:ascii="宋体" w:hAnsi="宋体" w:eastAsia="宋体" w:cs="宋体"/>
          <w:color w:val="auto"/>
          <w:sz w:val="24"/>
          <w:szCs w:val="24"/>
          <w:highlight w:val="none"/>
        </w:rPr>
      </w:pPr>
      <w:bookmarkStart w:id="208" w:name="_Toc9200"/>
      <w:bookmarkStart w:id="209" w:name="_Toc31813"/>
      <w:r>
        <w:rPr>
          <w:rFonts w:hint="eastAsia" w:ascii="宋体" w:hAnsi="宋体" w:eastAsia="宋体" w:cs="宋体"/>
          <w:b/>
          <w:bCs/>
          <w:color w:val="auto"/>
          <w:spacing w:val="-8"/>
          <w:sz w:val="24"/>
          <w:szCs w:val="24"/>
          <w:highlight w:val="none"/>
        </w:rPr>
        <w:t>3</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8"/>
          <w:sz w:val="24"/>
          <w:szCs w:val="24"/>
          <w:highlight w:val="none"/>
        </w:rPr>
        <w:t>．备查要求</w:t>
      </w:r>
      <w:bookmarkEnd w:id="208"/>
      <w:bookmarkEnd w:id="209"/>
    </w:p>
    <w:p w14:paraId="3C6D64F1">
      <w:pPr>
        <w:keepNext w:val="0"/>
        <w:keepLines w:val="0"/>
        <w:pageBreakBefore w:val="0"/>
        <w:widowControl w:val="0"/>
        <w:kinsoku w:val="0"/>
        <w:wordWrap/>
        <w:overflowPunct/>
        <w:topLinePunct w:val="0"/>
        <w:autoSpaceDE w:val="0"/>
        <w:autoSpaceDN w:val="0"/>
        <w:bidi w:val="0"/>
        <w:adjustRightInd w:val="0"/>
        <w:snapToGrid w:val="0"/>
        <w:spacing w:before="155" w:line="324" w:lineRule="auto"/>
        <w:ind w:right="81" w:firstLine="561"/>
        <w:jc w:val="both"/>
        <w:textAlignment w:val="baseline"/>
        <w:rPr>
          <w:rFonts w:hint="eastAsia"/>
          <w:color w:val="auto"/>
          <w:highlight w:val="none"/>
        </w:rPr>
        <w:sectPr>
          <w:footerReference r:id="rId1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spacing w:val="3"/>
          <w:sz w:val="24"/>
          <w:szCs w:val="24"/>
          <w:highlight w:val="none"/>
        </w:rPr>
        <w:t>承包人必须在施工现场准备至少一套上述规范，发包人和监理单位可</w:t>
      </w:r>
      <w:r>
        <w:rPr>
          <w:rFonts w:hint="eastAsia" w:ascii="宋体" w:hAnsi="宋体" w:eastAsia="宋体" w:cs="宋体"/>
          <w:color w:val="auto"/>
          <w:spacing w:val="2"/>
          <w:sz w:val="24"/>
          <w:szCs w:val="24"/>
          <w:highlight w:val="none"/>
        </w:rPr>
        <w:t>随时检查承</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包人的上述规范，并监督承包人按规范要求执行。</w:t>
      </w:r>
    </w:p>
    <w:p w14:paraId="2DD82F1E">
      <w:pPr>
        <w:spacing w:before="78" w:line="219" w:lineRule="auto"/>
        <w:jc w:val="center"/>
        <w:outlineLvl w:val="0"/>
        <w:rPr>
          <w:rFonts w:hint="eastAsia" w:ascii="宋体" w:hAnsi="宋体" w:eastAsia="宋体" w:cs="宋体"/>
          <w:color w:val="auto"/>
          <w:sz w:val="24"/>
          <w:szCs w:val="24"/>
          <w:highlight w:val="none"/>
        </w:rPr>
      </w:pPr>
      <w:bookmarkStart w:id="210" w:name="bookmark146"/>
      <w:bookmarkEnd w:id="210"/>
      <w:bookmarkStart w:id="211" w:name="bookmark100"/>
      <w:bookmarkEnd w:id="211"/>
      <w:bookmarkStart w:id="212" w:name="_Toc21699"/>
      <w:r>
        <w:rPr>
          <w:rFonts w:hint="eastAsia" w:ascii="宋体" w:hAnsi="宋体" w:eastAsia="宋体" w:cs="宋体"/>
          <w:b/>
          <w:bCs/>
          <w:color w:val="auto"/>
          <w:spacing w:val="-5"/>
          <w:sz w:val="24"/>
          <w:szCs w:val="24"/>
          <w:highlight w:val="none"/>
        </w:rPr>
        <w:t>第五章</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5"/>
          <w:sz w:val="24"/>
          <w:szCs w:val="24"/>
          <w:highlight w:val="none"/>
        </w:rPr>
        <w:t>图纸和招标工程量清单</w:t>
      </w:r>
      <w:bookmarkEnd w:id="212"/>
    </w:p>
    <w:p w14:paraId="18BFD40C">
      <w:pPr>
        <w:pStyle w:val="5"/>
        <w:spacing w:line="283" w:lineRule="auto"/>
        <w:rPr>
          <w:rFonts w:hint="eastAsia" w:ascii="宋体" w:hAnsi="宋体" w:eastAsia="宋体" w:cs="宋体"/>
          <w:color w:val="auto"/>
          <w:highlight w:val="none"/>
        </w:rPr>
      </w:pPr>
    </w:p>
    <w:p w14:paraId="30CD1372">
      <w:pPr>
        <w:pStyle w:val="5"/>
        <w:spacing w:line="284" w:lineRule="auto"/>
        <w:rPr>
          <w:rFonts w:hint="eastAsia" w:ascii="宋体" w:hAnsi="宋体" w:eastAsia="宋体" w:cs="宋体"/>
          <w:color w:val="auto"/>
          <w:highlight w:val="none"/>
        </w:rPr>
      </w:pPr>
    </w:p>
    <w:p w14:paraId="2C530BA2">
      <w:pPr>
        <w:spacing w:before="78" w:line="219" w:lineRule="auto"/>
        <w:ind w:left="106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 xml:space="preserve">□有，另附复印件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有，自行网上下载(浏览)           □无</w:t>
      </w:r>
    </w:p>
    <w:p w14:paraId="16445377">
      <w:pPr>
        <w:pStyle w:val="5"/>
        <w:spacing w:line="265" w:lineRule="auto"/>
        <w:rPr>
          <w:rFonts w:hint="eastAsia" w:ascii="宋体" w:hAnsi="宋体" w:eastAsia="宋体" w:cs="宋体"/>
          <w:color w:val="auto"/>
          <w:highlight w:val="none"/>
        </w:rPr>
      </w:pPr>
    </w:p>
    <w:p w14:paraId="3D80665C">
      <w:pPr>
        <w:spacing w:before="151" w:line="222" w:lineRule="auto"/>
        <w:ind w:left="715"/>
        <w:outlineLvl w:val="2"/>
        <w:rPr>
          <w:rFonts w:hint="eastAsia" w:ascii="宋体" w:hAnsi="宋体" w:eastAsia="宋体" w:cs="宋体"/>
          <w:color w:val="auto"/>
          <w:sz w:val="24"/>
          <w:szCs w:val="24"/>
          <w:highlight w:val="none"/>
        </w:rPr>
      </w:pPr>
      <w:bookmarkStart w:id="213" w:name="_Toc21706"/>
      <w:bookmarkStart w:id="214" w:name="_Toc24446"/>
      <w:r>
        <w:rPr>
          <w:rFonts w:hint="eastAsia" w:ascii="宋体" w:hAnsi="宋体" w:eastAsia="宋体" w:cs="宋体"/>
          <w:b/>
          <w:bCs/>
          <w:color w:val="auto"/>
          <w:spacing w:val="-14"/>
          <w:sz w:val="24"/>
          <w:szCs w:val="24"/>
          <w:highlight w:val="none"/>
        </w:rPr>
        <w:t>1</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14"/>
          <w:sz w:val="24"/>
          <w:szCs w:val="24"/>
          <w:highlight w:val="none"/>
        </w:rPr>
        <w:t>．图纸</w:t>
      </w:r>
      <w:bookmarkEnd w:id="213"/>
      <w:bookmarkEnd w:id="214"/>
    </w:p>
    <w:p w14:paraId="2CA026A7">
      <w:pPr>
        <w:spacing w:before="150" w:line="330" w:lineRule="auto"/>
        <w:ind w:left="230" w:firstLine="480"/>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本招标文件随文另附施工图（电子文件）一套。</w:t>
      </w:r>
    </w:p>
    <w:p w14:paraId="3AE3E87D">
      <w:pPr>
        <w:pStyle w:val="5"/>
        <w:spacing w:line="253" w:lineRule="auto"/>
        <w:rPr>
          <w:rFonts w:hint="eastAsia" w:ascii="宋体" w:hAnsi="宋体" w:eastAsia="宋体" w:cs="宋体"/>
          <w:color w:val="auto"/>
          <w:highlight w:val="none"/>
        </w:rPr>
      </w:pPr>
    </w:p>
    <w:p w14:paraId="5C841887">
      <w:pPr>
        <w:spacing w:before="79" w:line="221" w:lineRule="auto"/>
        <w:ind w:left="705"/>
        <w:outlineLvl w:val="2"/>
        <w:rPr>
          <w:rFonts w:hint="eastAsia" w:ascii="宋体" w:hAnsi="宋体" w:eastAsia="宋体" w:cs="宋体"/>
          <w:color w:val="auto"/>
          <w:sz w:val="24"/>
          <w:szCs w:val="24"/>
          <w:highlight w:val="none"/>
        </w:rPr>
      </w:pPr>
      <w:bookmarkStart w:id="215" w:name="_Toc24419"/>
      <w:bookmarkStart w:id="216" w:name="_Toc9064"/>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6"/>
          <w:sz w:val="24"/>
          <w:szCs w:val="24"/>
          <w:highlight w:val="none"/>
        </w:rPr>
        <w:t>．招标工程量清单</w:t>
      </w:r>
      <w:bookmarkEnd w:id="215"/>
      <w:bookmarkEnd w:id="216"/>
    </w:p>
    <w:p w14:paraId="633B5B90">
      <w:pPr>
        <w:spacing w:before="117" w:line="312" w:lineRule="auto"/>
        <w:ind w:left="23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2.1  </w:t>
      </w:r>
      <w:r>
        <w:rPr>
          <w:rFonts w:hint="eastAsia" w:ascii="宋体" w:hAnsi="宋体" w:eastAsia="宋体" w:cs="宋体"/>
          <w:color w:val="auto"/>
          <w:spacing w:val="-3"/>
          <w:sz w:val="24"/>
          <w:szCs w:val="24"/>
          <w:highlight w:val="none"/>
        </w:rPr>
        <w:t>本招标文件随文另附</w:t>
      </w:r>
      <w:bookmarkStart w:id="217" w:name="OLE_LINK33"/>
      <w:r>
        <w:rPr>
          <w:rFonts w:hint="eastAsia" w:ascii="宋体" w:hAnsi="宋体" w:eastAsia="宋体" w:cs="宋体"/>
          <w:color w:val="auto"/>
          <w:spacing w:val="-3"/>
          <w:sz w:val="24"/>
          <w:szCs w:val="24"/>
          <w:highlight w:val="none"/>
          <w:u w:val="single"/>
        </w:rPr>
        <w:t>招标工程量清单</w:t>
      </w:r>
      <w:bookmarkEnd w:id="217"/>
      <w:r>
        <w:rPr>
          <w:rFonts w:hint="eastAsia" w:ascii="宋体" w:hAnsi="宋体" w:eastAsia="宋体" w:cs="宋体"/>
          <w:color w:val="auto"/>
          <w:spacing w:val="-3"/>
          <w:sz w:val="24"/>
          <w:szCs w:val="24"/>
          <w:highlight w:val="none"/>
        </w:rPr>
        <w:t>电子文件一套。</w:t>
      </w:r>
    </w:p>
    <w:p w14:paraId="1A92A326">
      <w:pPr>
        <w:spacing w:before="78" w:line="219" w:lineRule="auto"/>
        <w:ind w:left="478" w:firstLine="239" w:firstLineChars="100"/>
        <w:rPr>
          <w:rFonts w:hint="eastAsia" w:ascii="宋体" w:hAnsi="宋体" w:eastAsia="宋体" w:cs="宋体"/>
          <w:color w:val="auto"/>
          <w:sz w:val="24"/>
          <w:szCs w:val="24"/>
          <w:highlight w:val="none"/>
        </w:rPr>
      </w:pPr>
      <w:bookmarkStart w:id="218" w:name="bookmark147"/>
      <w:bookmarkEnd w:id="218"/>
      <w:r>
        <w:rPr>
          <w:rFonts w:hint="eastAsia" w:ascii="宋体" w:hAnsi="宋体" w:eastAsia="宋体" w:cs="宋体"/>
          <w:b/>
          <w:bCs/>
          <w:color w:val="auto"/>
          <w:spacing w:val="-1"/>
          <w:sz w:val="24"/>
          <w:szCs w:val="24"/>
          <w:highlight w:val="none"/>
        </w:rPr>
        <w:t xml:space="preserve">2.2  </w:t>
      </w:r>
      <w:r>
        <w:rPr>
          <w:rFonts w:hint="eastAsia" w:ascii="宋体" w:hAnsi="宋体" w:eastAsia="宋体" w:cs="宋体"/>
          <w:color w:val="auto"/>
          <w:spacing w:val="-1"/>
          <w:sz w:val="24"/>
          <w:szCs w:val="24"/>
          <w:highlight w:val="none"/>
        </w:rPr>
        <w:t>本工程按照以下依据编制</w:t>
      </w:r>
      <w:r>
        <w:rPr>
          <w:rFonts w:hint="eastAsia" w:ascii="宋体" w:hAnsi="宋体" w:eastAsia="宋体" w:cs="宋体"/>
          <w:color w:val="auto"/>
          <w:spacing w:val="-1"/>
          <w:sz w:val="24"/>
          <w:szCs w:val="24"/>
          <w:highlight w:val="none"/>
          <w:u w:val="single"/>
        </w:rPr>
        <w:t>招标工程量清单、最高投标限价</w:t>
      </w:r>
      <w:r>
        <w:rPr>
          <w:rFonts w:hint="eastAsia" w:ascii="宋体" w:hAnsi="宋体" w:eastAsia="宋体" w:cs="宋体"/>
          <w:color w:val="auto"/>
          <w:spacing w:val="-1"/>
          <w:sz w:val="24"/>
          <w:szCs w:val="24"/>
          <w:highlight w:val="none"/>
        </w:rPr>
        <w:t>：</w:t>
      </w:r>
    </w:p>
    <w:p w14:paraId="5503E56A">
      <w:pPr>
        <w:spacing w:before="123"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4"/>
          <w:sz w:val="24"/>
          <w:szCs w:val="24"/>
          <w:highlight w:val="none"/>
        </w:rPr>
        <w:t>）；</w:t>
      </w:r>
    </w:p>
    <w:p w14:paraId="005A03F2">
      <w:pPr>
        <w:spacing w:before="115" w:line="299" w:lineRule="auto"/>
        <w:ind w:firstLine="493"/>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（2）投标人应对招标人提供的工程量清单进行认真细致的复核。这种复核包括对</w:t>
      </w:r>
      <w:r>
        <w:rPr>
          <w:rFonts w:hint="eastAsia" w:ascii="宋体" w:hAnsi="宋体" w:eastAsia="宋体" w:cs="宋体"/>
          <w:color w:val="auto"/>
          <w:spacing w:val="-1"/>
          <w:sz w:val="24"/>
          <w:szCs w:val="24"/>
          <w:highlight w:val="none"/>
        </w:rPr>
        <w:t>招标人提供的工程量清单中的子目编码、子目名称、子</w:t>
      </w:r>
      <w:r>
        <w:rPr>
          <w:rFonts w:hint="eastAsia" w:ascii="宋体" w:hAnsi="宋体" w:eastAsia="宋体" w:cs="宋体"/>
          <w:color w:val="auto"/>
          <w:spacing w:val="-2"/>
          <w:sz w:val="24"/>
          <w:szCs w:val="24"/>
          <w:highlight w:val="none"/>
        </w:rPr>
        <w:t>目特征描述、计量单位、工程量</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的准确性以及可能存在的任何书写、打印错误进行检查</w:t>
      </w:r>
      <w:r>
        <w:rPr>
          <w:rFonts w:hint="eastAsia" w:ascii="宋体" w:hAnsi="宋体" w:eastAsia="宋体" w:cs="宋体"/>
          <w:color w:val="auto"/>
          <w:spacing w:val="-2"/>
          <w:sz w:val="24"/>
          <w:szCs w:val="24"/>
          <w:highlight w:val="none"/>
        </w:rPr>
        <w:t>和复核，特别是对“分部分项工</w:t>
      </w:r>
      <w:r>
        <w:rPr>
          <w:rFonts w:hint="eastAsia" w:ascii="宋体" w:hAnsi="宋体" w:eastAsia="宋体" w:cs="宋体"/>
          <w:color w:val="auto"/>
          <w:spacing w:val="-1"/>
          <w:sz w:val="24"/>
          <w:szCs w:val="24"/>
          <w:highlight w:val="none"/>
        </w:rPr>
        <w:t>程量清单与计价表”中每个工作子目的工程量进</w:t>
      </w:r>
      <w:r>
        <w:rPr>
          <w:rFonts w:hint="eastAsia" w:ascii="宋体" w:hAnsi="宋体" w:eastAsia="宋体" w:cs="宋体"/>
          <w:color w:val="auto"/>
          <w:spacing w:val="-2"/>
          <w:sz w:val="24"/>
          <w:szCs w:val="24"/>
          <w:highlight w:val="none"/>
        </w:rPr>
        <w:t>行重新计算和校核。如果投标人经过检</w:t>
      </w:r>
      <w:r>
        <w:rPr>
          <w:rFonts w:hint="eastAsia" w:ascii="宋体" w:hAnsi="宋体" w:eastAsia="宋体" w:cs="宋体"/>
          <w:color w:val="auto"/>
          <w:spacing w:val="-1"/>
          <w:sz w:val="24"/>
          <w:szCs w:val="24"/>
          <w:highlight w:val="none"/>
        </w:rPr>
        <w:t>查和复核以后认为招标人提供的工程量清单存在</w:t>
      </w:r>
      <w:r>
        <w:rPr>
          <w:rFonts w:hint="eastAsia" w:ascii="宋体" w:hAnsi="宋体" w:eastAsia="宋体" w:cs="宋体"/>
          <w:color w:val="auto"/>
          <w:spacing w:val="-2"/>
          <w:sz w:val="24"/>
          <w:szCs w:val="24"/>
          <w:highlight w:val="none"/>
        </w:rPr>
        <w:t>差异，则投标人应将此类差异的详细情</w:t>
      </w:r>
      <w:r>
        <w:rPr>
          <w:rFonts w:hint="eastAsia" w:ascii="宋体" w:hAnsi="宋体" w:eastAsia="宋体" w:cs="宋体"/>
          <w:color w:val="auto"/>
          <w:spacing w:val="-8"/>
          <w:sz w:val="24"/>
          <w:szCs w:val="24"/>
          <w:highlight w:val="none"/>
        </w:rPr>
        <w:t>况连同按“投标须知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8"/>
          <w:sz w:val="24"/>
          <w:szCs w:val="24"/>
          <w:highlight w:val="none"/>
        </w:rPr>
        <w:t>”规定提交的要求招标人澄清的其他</w:t>
      </w:r>
      <w:r>
        <w:rPr>
          <w:rFonts w:hint="eastAsia" w:ascii="宋体" w:hAnsi="宋体" w:eastAsia="宋体" w:cs="宋体"/>
          <w:color w:val="auto"/>
          <w:spacing w:val="-9"/>
          <w:sz w:val="24"/>
          <w:szCs w:val="24"/>
          <w:highlight w:val="none"/>
        </w:rPr>
        <w:t>问题一起提交给招标人，招标人</w:t>
      </w:r>
      <w:r>
        <w:rPr>
          <w:rFonts w:hint="eastAsia" w:ascii="宋体" w:hAnsi="宋体" w:eastAsia="宋体" w:cs="宋体"/>
          <w:color w:val="auto"/>
          <w:spacing w:val="-2"/>
          <w:sz w:val="24"/>
          <w:szCs w:val="24"/>
          <w:highlight w:val="none"/>
        </w:rPr>
        <w:t>将根据实际情况决定是否颁发</w:t>
      </w:r>
      <w:r>
        <w:rPr>
          <w:rFonts w:hint="eastAsia" w:ascii="宋体" w:hAnsi="宋体" w:eastAsia="宋体" w:cs="宋体"/>
          <w:color w:val="auto"/>
          <w:spacing w:val="-2"/>
          <w:sz w:val="24"/>
          <w:szCs w:val="24"/>
          <w:highlight w:val="none"/>
          <w:u w:val="single"/>
        </w:rPr>
        <w:t>工程量清单</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8"/>
          <w:sz w:val="24"/>
          <w:szCs w:val="24"/>
          <w:highlight w:val="none"/>
          <w:lang w:eastAsia="zh-CN"/>
        </w:rPr>
        <w:t>最高投标限价</w:t>
      </w:r>
      <w:r>
        <w:rPr>
          <w:rFonts w:hint="eastAsia" w:ascii="宋体" w:hAnsi="宋体" w:eastAsia="宋体" w:cs="宋体"/>
          <w:color w:val="auto"/>
          <w:spacing w:val="-8"/>
          <w:sz w:val="24"/>
          <w:szCs w:val="24"/>
          <w:highlight w:val="none"/>
        </w:rPr>
        <w:t>的</w:t>
      </w:r>
      <w:r>
        <w:rPr>
          <w:rFonts w:hint="eastAsia" w:ascii="宋体" w:hAnsi="宋体" w:eastAsia="宋体" w:cs="宋体"/>
          <w:color w:val="auto"/>
          <w:spacing w:val="-2"/>
          <w:sz w:val="24"/>
          <w:szCs w:val="24"/>
          <w:highlight w:val="none"/>
        </w:rPr>
        <w:t>补充和(或)修改文件。</w:t>
      </w:r>
    </w:p>
    <w:p w14:paraId="671E003E">
      <w:pPr>
        <w:spacing w:before="79" w:line="263" w:lineRule="auto"/>
        <w:ind w:left="2" w:right="2" w:firstLine="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（3）本招标工程量清单措施项目中的</w:t>
      </w:r>
      <w:r>
        <w:rPr>
          <w:rFonts w:hint="eastAsia" w:ascii="宋体" w:hAnsi="宋体" w:eastAsia="宋体" w:cs="宋体"/>
          <w:b/>
          <w:bCs/>
          <w:color w:val="auto"/>
          <w:spacing w:val="-6"/>
          <w:sz w:val="24"/>
          <w:szCs w:val="24"/>
          <w:highlight w:val="none"/>
          <w:u w:val="single"/>
        </w:rPr>
        <w:t>暂列金额、暂估价</w:t>
      </w:r>
      <w:r>
        <w:rPr>
          <w:rFonts w:hint="eastAsia" w:ascii="宋体" w:hAnsi="宋体" w:eastAsia="宋体" w:cs="宋体"/>
          <w:color w:val="auto"/>
          <w:spacing w:val="-2"/>
          <w:sz w:val="24"/>
          <w:szCs w:val="24"/>
          <w:highlight w:val="none"/>
        </w:rPr>
        <w:t>不得作为竞争性费用，投标报价必须按本招标工程量清</w:t>
      </w:r>
      <w:r>
        <w:rPr>
          <w:rFonts w:hint="eastAsia" w:ascii="宋体" w:hAnsi="宋体" w:eastAsia="宋体" w:cs="宋体"/>
          <w:color w:val="auto"/>
          <w:spacing w:val="-3"/>
          <w:sz w:val="24"/>
          <w:szCs w:val="24"/>
          <w:highlight w:val="none"/>
        </w:rPr>
        <w:t>单规定</w:t>
      </w:r>
      <w:r>
        <w:rPr>
          <w:rFonts w:hint="eastAsia" w:ascii="宋体" w:hAnsi="宋体" w:eastAsia="宋体" w:cs="宋体"/>
          <w:color w:val="auto"/>
          <w:spacing w:val="-2"/>
          <w:sz w:val="24"/>
          <w:szCs w:val="24"/>
          <w:highlight w:val="none"/>
        </w:rPr>
        <w:t>的金额填</w:t>
      </w:r>
      <w:r>
        <w:rPr>
          <w:rFonts w:hint="eastAsia" w:ascii="宋体" w:hAnsi="宋体" w:eastAsia="宋体" w:cs="宋体"/>
          <w:color w:val="auto"/>
          <w:spacing w:val="-3"/>
          <w:sz w:val="24"/>
          <w:szCs w:val="24"/>
          <w:highlight w:val="none"/>
        </w:rPr>
        <w:t>报。</w:t>
      </w:r>
    </w:p>
    <w:p w14:paraId="5DCB1C98">
      <w:pPr>
        <w:spacing w:before="118" w:line="265" w:lineRule="auto"/>
        <w:ind w:left="7" w:right="4" w:firstLine="48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（4）投标报价使用的表格格式须按照 GB50500-20</w:t>
      </w:r>
      <w:r>
        <w:rPr>
          <w:rFonts w:hint="eastAsia" w:ascii="宋体" w:hAnsi="宋体" w:eastAsia="宋体" w:cs="宋体"/>
          <w:color w:val="auto"/>
          <w:spacing w:val="-2"/>
          <w:sz w:val="24"/>
          <w:szCs w:val="24"/>
          <w:highlight w:val="none"/>
          <w:lang w:val="en-US" w:eastAsia="zh-CN"/>
        </w:rPr>
        <w:t>24</w:t>
      </w:r>
      <w:r>
        <w:rPr>
          <w:rFonts w:hint="eastAsia" w:ascii="宋体" w:hAnsi="宋体" w:eastAsia="宋体" w:cs="宋体"/>
          <w:color w:val="auto"/>
          <w:spacing w:val="-2"/>
          <w:sz w:val="24"/>
          <w:szCs w:val="24"/>
          <w:highlight w:val="none"/>
        </w:rPr>
        <w:t>《建设工程工程量清单计价</w:t>
      </w:r>
      <w:r>
        <w:rPr>
          <w:rFonts w:hint="eastAsia" w:ascii="宋体" w:hAnsi="宋体" w:eastAsia="宋体" w:cs="宋体"/>
          <w:color w:val="auto"/>
          <w:spacing w:val="-2"/>
          <w:sz w:val="24"/>
          <w:szCs w:val="24"/>
          <w:highlight w:val="none"/>
          <w:lang w:val="en-US" w:eastAsia="zh-CN"/>
        </w:rPr>
        <w:t>标准</w:t>
      </w:r>
      <w:r>
        <w:rPr>
          <w:rFonts w:hint="eastAsia" w:ascii="宋体" w:hAnsi="宋体" w:eastAsia="宋体" w:cs="宋体"/>
          <w:color w:val="auto"/>
          <w:spacing w:val="-6"/>
          <w:sz w:val="24"/>
          <w:szCs w:val="24"/>
          <w:highlight w:val="none"/>
        </w:rPr>
        <w:t>》。</w:t>
      </w:r>
    </w:p>
    <w:p w14:paraId="7A6D2807">
      <w:pPr>
        <w:spacing w:before="107" w:line="286" w:lineRule="auto"/>
        <w:ind w:right="4" w:firstLine="492"/>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76BF53C">
      <w:pPr>
        <w:spacing w:before="146" w:line="221"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（6）施工图及相关资料；</w:t>
      </w:r>
    </w:p>
    <w:p w14:paraId="42278B5F">
      <w:pPr>
        <w:spacing w:before="153" w:line="220"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（7）招标文件；</w:t>
      </w:r>
    </w:p>
    <w:p w14:paraId="52F48B2B">
      <w:pPr>
        <w:spacing w:before="155" w:line="220"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（8）施工现场情况、地勘水文资料、工程特点及常规施工方案；</w:t>
      </w:r>
    </w:p>
    <w:p w14:paraId="4C41C58C">
      <w:pPr>
        <w:spacing w:before="153"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（9）与建设工程有关的标准、规范、技术资料、材料设备信息价或市场价格等</w:t>
      </w:r>
      <w:r>
        <w:rPr>
          <w:rFonts w:hint="eastAsia" w:ascii="宋体" w:hAnsi="宋体" w:eastAsia="宋体" w:cs="宋体"/>
          <w:color w:val="auto"/>
          <w:spacing w:val="-2"/>
          <w:sz w:val="24"/>
          <w:szCs w:val="24"/>
          <w:highlight w:val="none"/>
        </w:rPr>
        <w:t>。</w:t>
      </w:r>
    </w:p>
    <w:p w14:paraId="67595A52">
      <w:pPr>
        <w:spacing w:line="219" w:lineRule="auto"/>
        <w:rPr>
          <w:rFonts w:hint="eastAsia" w:ascii="宋体" w:hAnsi="宋体" w:eastAsia="宋体" w:cs="宋体"/>
          <w:color w:val="auto"/>
          <w:sz w:val="24"/>
          <w:szCs w:val="24"/>
          <w:highlight w:val="none"/>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D988DE9">
      <w:pPr>
        <w:pStyle w:val="5"/>
        <w:spacing w:line="304" w:lineRule="auto"/>
        <w:rPr>
          <w:rFonts w:hint="eastAsia" w:ascii="宋体" w:hAnsi="宋体" w:eastAsia="宋体" w:cs="宋体"/>
          <w:color w:val="auto"/>
          <w:highlight w:val="none"/>
        </w:rPr>
      </w:pPr>
    </w:p>
    <w:p w14:paraId="550B4999">
      <w:pPr>
        <w:spacing w:before="78" w:line="219" w:lineRule="auto"/>
        <w:ind w:left="3357"/>
        <w:outlineLvl w:val="0"/>
        <w:rPr>
          <w:rFonts w:hint="eastAsia" w:ascii="宋体" w:hAnsi="宋体" w:eastAsia="宋体" w:cs="宋体"/>
          <w:color w:val="auto"/>
          <w:sz w:val="24"/>
          <w:szCs w:val="24"/>
          <w:highlight w:val="none"/>
        </w:rPr>
      </w:pPr>
      <w:bookmarkStart w:id="219" w:name="_Toc27130"/>
      <w:r>
        <w:rPr>
          <w:rFonts w:hint="eastAsia" w:ascii="宋体" w:hAnsi="宋体" w:eastAsia="宋体" w:cs="宋体"/>
          <w:b/>
          <w:bCs/>
          <w:color w:val="auto"/>
          <w:spacing w:val="-3"/>
          <w:sz w:val="24"/>
          <w:szCs w:val="24"/>
          <w:highlight w:val="none"/>
        </w:rPr>
        <w:t>第六章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投标文件格式</w:t>
      </w:r>
      <w:bookmarkEnd w:id="219"/>
    </w:p>
    <w:p w14:paraId="287452BB">
      <w:pPr>
        <w:pStyle w:val="5"/>
        <w:spacing w:line="302" w:lineRule="auto"/>
        <w:jc w:val="right"/>
        <w:rPr>
          <w:rFonts w:hint="eastAsia" w:ascii="宋体" w:hAnsi="宋体" w:eastAsia="宋体" w:cs="宋体"/>
          <w:color w:val="auto"/>
          <w:highlight w:val="none"/>
        </w:rPr>
      </w:pPr>
    </w:p>
    <w:p w14:paraId="7BCFC7A5">
      <w:pPr>
        <w:spacing w:before="78" w:line="220" w:lineRule="auto"/>
        <w:outlineLvl w:val="2"/>
        <w:rPr>
          <w:rFonts w:hint="eastAsia" w:ascii="宋体" w:hAnsi="宋体" w:eastAsia="宋体" w:cs="宋体"/>
          <w:color w:val="auto"/>
          <w:sz w:val="24"/>
          <w:szCs w:val="24"/>
          <w:highlight w:val="none"/>
        </w:rPr>
      </w:pPr>
      <w:bookmarkStart w:id="220" w:name="_Toc11203"/>
      <w:r>
        <w:rPr>
          <w:rFonts w:hint="eastAsia" w:ascii="宋体" w:hAnsi="宋体" w:eastAsia="宋体" w:cs="宋体"/>
          <w:b/>
          <w:bCs/>
          <w:color w:val="auto"/>
          <w:spacing w:val="-4"/>
          <w:sz w:val="24"/>
          <w:szCs w:val="24"/>
          <w:highlight w:val="none"/>
        </w:rPr>
        <w:t>格式一</w:t>
      </w:r>
      <w:r>
        <w:rPr>
          <w:rFonts w:hint="eastAsia" w:ascii="宋体" w:hAnsi="宋体" w:eastAsia="宋体" w:cs="宋体"/>
          <w:color w:val="auto"/>
          <w:spacing w:val="-4"/>
          <w:sz w:val="24"/>
          <w:szCs w:val="24"/>
          <w:highlight w:val="none"/>
        </w:rPr>
        <w:t xml:space="preserve"> </w:t>
      </w:r>
      <w:r>
        <w:rPr>
          <w:rFonts w:hint="eastAsia" w:ascii="宋体" w:hAnsi="宋体" w:eastAsia="宋体" w:cs="宋体"/>
          <w:b/>
          <w:bCs/>
          <w:color w:val="auto"/>
          <w:spacing w:val="-4"/>
          <w:sz w:val="24"/>
          <w:szCs w:val="24"/>
          <w:highlight w:val="none"/>
        </w:rPr>
        <w:t>封面</w:t>
      </w:r>
      <w:bookmarkEnd w:id="220"/>
    </w:p>
    <w:p w14:paraId="739AF14B">
      <w:pPr>
        <w:pStyle w:val="5"/>
        <w:spacing w:line="258" w:lineRule="auto"/>
        <w:rPr>
          <w:rFonts w:hint="eastAsia" w:ascii="宋体" w:hAnsi="宋体" w:eastAsia="宋体" w:cs="宋体"/>
          <w:color w:val="auto"/>
          <w:highlight w:val="none"/>
        </w:rPr>
      </w:pPr>
    </w:p>
    <w:p w14:paraId="0443419F">
      <w:pPr>
        <w:pStyle w:val="5"/>
        <w:spacing w:line="259" w:lineRule="auto"/>
        <w:rPr>
          <w:rFonts w:hint="eastAsia" w:ascii="宋体" w:hAnsi="宋体" w:eastAsia="宋体" w:cs="宋体"/>
          <w:color w:val="auto"/>
          <w:highlight w:val="none"/>
        </w:rPr>
      </w:pPr>
    </w:p>
    <w:p w14:paraId="2B360061">
      <w:pPr>
        <w:pStyle w:val="5"/>
        <w:spacing w:line="259" w:lineRule="auto"/>
        <w:rPr>
          <w:rFonts w:hint="eastAsia" w:ascii="宋体" w:hAnsi="宋体" w:eastAsia="宋体" w:cs="宋体"/>
          <w:color w:val="auto"/>
          <w:highlight w:val="none"/>
        </w:rPr>
      </w:pPr>
    </w:p>
    <w:p w14:paraId="59CCDA55">
      <w:pPr>
        <w:spacing w:before="153" w:line="225" w:lineRule="auto"/>
        <w:ind w:left="-1" w:leftChars="0" w:firstLine="0" w:firstLineChars="0"/>
        <w:jc w:val="center"/>
        <w:rPr>
          <w:rFonts w:hint="eastAsia" w:ascii="宋体" w:hAnsi="宋体" w:eastAsia="宋体" w:cs="宋体"/>
          <w:color w:val="auto"/>
          <w:sz w:val="47"/>
          <w:szCs w:val="47"/>
          <w:highlight w:val="none"/>
        </w:rPr>
      </w:pPr>
      <w:r>
        <w:rPr>
          <w:rFonts w:hint="eastAsia" w:ascii="宋体" w:hAnsi="宋体" w:eastAsia="宋体" w:cs="宋体"/>
          <w:b/>
          <w:bCs/>
          <w:color w:val="auto"/>
          <w:spacing w:val="8"/>
          <w:sz w:val="47"/>
          <w:szCs w:val="47"/>
          <w:highlight w:val="none"/>
          <w:u w:val="single"/>
          <w:lang w:val="en-US" w:eastAsia="zh-CN"/>
        </w:rPr>
        <w:t xml:space="preserve">       </w:t>
      </w:r>
      <w:r>
        <w:rPr>
          <w:rFonts w:hint="eastAsia" w:ascii="宋体" w:hAnsi="宋体" w:eastAsia="宋体" w:cs="宋体"/>
          <w:b/>
          <w:bCs/>
          <w:color w:val="auto"/>
          <w:spacing w:val="8"/>
          <w:sz w:val="47"/>
          <w:szCs w:val="47"/>
          <w:highlight w:val="none"/>
          <w:u w:val="single"/>
        </w:rPr>
        <w:t>（项目名称</w:t>
      </w:r>
      <w:r>
        <w:rPr>
          <w:rFonts w:hint="eastAsia" w:ascii="宋体" w:hAnsi="宋体" w:eastAsia="宋体" w:cs="宋体"/>
          <w:b/>
          <w:bCs/>
          <w:color w:val="auto"/>
          <w:spacing w:val="-32"/>
          <w:sz w:val="47"/>
          <w:szCs w:val="47"/>
          <w:highlight w:val="none"/>
          <w:u w:val="single"/>
        </w:rPr>
        <w:t>）</w:t>
      </w:r>
      <w:r>
        <w:rPr>
          <w:rFonts w:hint="eastAsia" w:ascii="宋体" w:hAnsi="宋体" w:eastAsia="宋体" w:cs="宋体"/>
          <w:b/>
          <w:bCs/>
          <w:color w:val="auto"/>
          <w:spacing w:val="8"/>
          <w:sz w:val="47"/>
          <w:szCs w:val="47"/>
          <w:highlight w:val="none"/>
        </w:rPr>
        <w:t>招标</w:t>
      </w:r>
    </w:p>
    <w:p w14:paraId="746E2DD1">
      <w:pPr>
        <w:pStyle w:val="5"/>
        <w:spacing w:line="247" w:lineRule="auto"/>
        <w:rPr>
          <w:rFonts w:hint="eastAsia" w:ascii="宋体" w:hAnsi="宋体" w:eastAsia="宋体" w:cs="宋体"/>
          <w:color w:val="auto"/>
          <w:highlight w:val="none"/>
        </w:rPr>
      </w:pPr>
    </w:p>
    <w:p w14:paraId="71307223">
      <w:pPr>
        <w:pStyle w:val="5"/>
        <w:spacing w:line="247" w:lineRule="auto"/>
        <w:rPr>
          <w:rFonts w:hint="eastAsia" w:ascii="宋体" w:hAnsi="宋体" w:eastAsia="宋体" w:cs="宋体"/>
          <w:color w:val="auto"/>
          <w:highlight w:val="none"/>
        </w:rPr>
      </w:pPr>
    </w:p>
    <w:p w14:paraId="6E6D73FC">
      <w:pPr>
        <w:pStyle w:val="5"/>
        <w:spacing w:line="247" w:lineRule="auto"/>
        <w:rPr>
          <w:rFonts w:hint="eastAsia" w:ascii="宋体" w:hAnsi="宋体" w:eastAsia="宋体" w:cs="宋体"/>
          <w:color w:val="auto"/>
          <w:highlight w:val="none"/>
        </w:rPr>
      </w:pPr>
    </w:p>
    <w:p w14:paraId="088E24D3">
      <w:pPr>
        <w:pStyle w:val="5"/>
        <w:spacing w:line="247" w:lineRule="auto"/>
        <w:rPr>
          <w:rFonts w:hint="eastAsia" w:ascii="宋体" w:hAnsi="宋体" w:eastAsia="宋体" w:cs="宋体"/>
          <w:color w:val="auto"/>
          <w:highlight w:val="none"/>
        </w:rPr>
      </w:pPr>
    </w:p>
    <w:p w14:paraId="7F0F7FCE">
      <w:pPr>
        <w:pStyle w:val="5"/>
        <w:spacing w:line="248" w:lineRule="auto"/>
        <w:rPr>
          <w:rFonts w:hint="eastAsia" w:ascii="宋体" w:hAnsi="宋体" w:eastAsia="宋体" w:cs="宋体"/>
          <w:color w:val="auto"/>
          <w:highlight w:val="none"/>
        </w:rPr>
      </w:pPr>
    </w:p>
    <w:p w14:paraId="1C9108E1">
      <w:pPr>
        <w:spacing w:before="231" w:line="223" w:lineRule="auto"/>
        <w:jc w:val="center"/>
        <w:rPr>
          <w:rFonts w:hint="eastAsia" w:ascii="宋体" w:hAnsi="宋体" w:eastAsia="宋体" w:cs="宋体"/>
          <w:color w:val="auto"/>
          <w:sz w:val="71"/>
          <w:szCs w:val="71"/>
          <w:highlight w:val="none"/>
        </w:rPr>
      </w:pPr>
      <w:r>
        <w:rPr>
          <w:rFonts w:hint="eastAsia" w:ascii="宋体" w:hAnsi="宋体" w:eastAsia="宋体" w:cs="宋体"/>
          <w:b/>
          <w:bCs/>
          <w:color w:val="auto"/>
          <w:spacing w:val="-26"/>
          <w:sz w:val="71"/>
          <w:szCs w:val="71"/>
          <w:highlight w:val="none"/>
        </w:rPr>
        <w:t>投</w:t>
      </w:r>
      <w:r>
        <w:rPr>
          <w:rFonts w:hint="eastAsia" w:ascii="宋体" w:hAnsi="宋体" w:eastAsia="宋体" w:cs="宋体"/>
          <w:color w:val="auto"/>
          <w:spacing w:val="22"/>
          <w:sz w:val="71"/>
          <w:szCs w:val="71"/>
          <w:highlight w:val="none"/>
        </w:rPr>
        <w:t xml:space="preserve">  </w:t>
      </w:r>
      <w:r>
        <w:rPr>
          <w:rFonts w:hint="eastAsia" w:ascii="宋体" w:hAnsi="宋体" w:eastAsia="宋体" w:cs="宋体"/>
          <w:b/>
          <w:bCs/>
          <w:color w:val="auto"/>
          <w:spacing w:val="-26"/>
          <w:sz w:val="71"/>
          <w:szCs w:val="71"/>
          <w:highlight w:val="none"/>
        </w:rPr>
        <w:t>标</w:t>
      </w:r>
      <w:r>
        <w:rPr>
          <w:rFonts w:hint="eastAsia" w:ascii="宋体" w:hAnsi="宋体" w:eastAsia="宋体" w:cs="宋体"/>
          <w:color w:val="auto"/>
          <w:spacing w:val="23"/>
          <w:sz w:val="71"/>
          <w:szCs w:val="71"/>
          <w:highlight w:val="none"/>
        </w:rPr>
        <w:t xml:space="preserve">  </w:t>
      </w:r>
      <w:r>
        <w:rPr>
          <w:rFonts w:hint="eastAsia" w:ascii="宋体" w:hAnsi="宋体" w:eastAsia="宋体" w:cs="宋体"/>
          <w:b/>
          <w:bCs/>
          <w:color w:val="auto"/>
          <w:spacing w:val="-26"/>
          <w:sz w:val="71"/>
          <w:szCs w:val="71"/>
          <w:highlight w:val="none"/>
        </w:rPr>
        <w:t>文</w:t>
      </w:r>
      <w:r>
        <w:rPr>
          <w:rFonts w:hint="eastAsia" w:ascii="宋体" w:hAnsi="宋体" w:eastAsia="宋体" w:cs="宋体"/>
          <w:color w:val="auto"/>
          <w:spacing w:val="19"/>
          <w:sz w:val="71"/>
          <w:szCs w:val="71"/>
          <w:highlight w:val="none"/>
        </w:rPr>
        <w:t xml:space="preserve">  </w:t>
      </w:r>
      <w:r>
        <w:rPr>
          <w:rFonts w:hint="eastAsia" w:ascii="宋体" w:hAnsi="宋体" w:eastAsia="宋体" w:cs="宋体"/>
          <w:b/>
          <w:bCs/>
          <w:color w:val="auto"/>
          <w:spacing w:val="-26"/>
          <w:sz w:val="71"/>
          <w:szCs w:val="71"/>
          <w:highlight w:val="none"/>
        </w:rPr>
        <w:t>件</w:t>
      </w:r>
    </w:p>
    <w:p w14:paraId="7B104BD8">
      <w:pPr>
        <w:pStyle w:val="5"/>
        <w:spacing w:line="293" w:lineRule="auto"/>
        <w:rPr>
          <w:rFonts w:hint="eastAsia" w:ascii="宋体" w:hAnsi="宋体" w:eastAsia="宋体" w:cs="宋体"/>
          <w:color w:val="auto"/>
          <w:highlight w:val="none"/>
        </w:rPr>
      </w:pPr>
    </w:p>
    <w:p w14:paraId="7615D4DC">
      <w:pPr>
        <w:pStyle w:val="5"/>
        <w:spacing w:line="293" w:lineRule="auto"/>
        <w:rPr>
          <w:rFonts w:hint="eastAsia" w:ascii="宋体" w:hAnsi="宋体" w:eastAsia="宋体" w:cs="宋体"/>
          <w:color w:val="auto"/>
          <w:highlight w:val="none"/>
        </w:rPr>
      </w:pPr>
    </w:p>
    <w:p w14:paraId="4DBC5FB6">
      <w:pPr>
        <w:spacing w:before="152" w:line="223" w:lineRule="auto"/>
        <w:jc w:val="center"/>
        <w:rPr>
          <w:rFonts w:hint="eastAsia" w:ascii="宋体" w:hAnsi="宋体" w:eastAsia="宋体" w:cs="宋体"/>
          <w:b/>
          <w:bCs/>
          <w:color w:val="auto"/>
          <w:spacing w:val="2"/>
          <w:sz w:val="40"/>
          <w:szCs w:val="40"/>
          <w:highlight w:val="none"/>
        </w:rPr>
      </w:pPr>
      <w:bookmarkStart w:id="221" w:name="bookmark105"/>
      <w:bookmarkEnd w:id="221"/>
      <w:r>
        <w:rPr>
          <w:rFonts w:hint="eastAsia" w:ascii="宋体" w:hAnsi="宋体" w:eastAsia="宋体" w:cs="宋体"/>
          <w:b/>
          <w:bCs/>
          <w:color w:val="auto"/>
          <w:spacing w:val="2"/>
          <w:sz w:val="40"/>
          <w:szCs w:val="40"/>
          <w:highlight w:val="none"/>
        </w:rPr>
        <w:t>（商务标书／经济标书／施工组织设计</w:t>
      </w:r>
      <w:r>
        <w:rPr>
          <w:rFonts w:hint="eastAsia" w:ascii="宋体" w:hAnsi="宋体" w:eastAsia="宋体" w:cs="宋体"/>
          <w:b/>
          <w:bCs/>
          <w:color w:val="auto"/>
          <w:spacing w:val="2"/>
          <w:sz w:val="40"/>
          <w:szCs w:val="40"/>
          <w:highlight w:val="none"/>
          <w:lang w:val="en-US" w:eastAsia="zh-CN"/>
        </w:rPr>
        <w:t>/定标文件</w:t>
      </w:r>
      <w:r>
        <w:rPr>
          <w:rFonts w:hint="eastAsia" w:ascii="宋体" w:hAnsi="宋体" w:eastAsia="宋体" w:cs="宋体"/>
          <w:b/>
          <w:bCs/>
          <w:color w:val="auto"/>
          <w:spacing w:val="2"/>
          <w:sz w:val="40"/>
          <w:szCs w:val="40"/>
          <w:highlight w:val="none"/>
        </w:rPr>
        <w:t>）</w:t>
      </w:r>
    </w:p>
    <w:p w14:paraId="2DA8A33D">
      <w:pPr>
        <w:bidi w:val="0"/>
        <w:rPr>
          <w:rFonts w:hint="eastAsia"/>
          <w:color w:val="auto"/>
          <w:highlight w:val="none"/>
        </w:rPr>
      </w:pPr>
    </w:p>
    <w:p w14:paraId="3C4BBA84">
      <w:pPr>
        <w:bidi w:val="0"/>
        <w:rPr>
          <w:rFonts w:hint="eastAsia"/>
          <w:color w:val="auto"/>
          <w:highlight w:val="none"/>
        </w:rPr>
      </w:pPr>
    </w:p>
    <w:p w14:paraId="5428D87E">
      <w:pPr>
        <w:bidi w:val="0"/>
        <w:rPr>
          <w:rFonts w:hint="eastAsia"/>
          <w:color w:val="auto"/>
          <w:highlight w:val="none"/>
        </w:rPr>
      </w:pPr>
    </w:p>
    <w:p w14:paraId="77DB0781">
      <w:pPr>
        <w:bidi w:val="0"/>
        <w:rPr>
          <w:rFonts w:hint="eastAsia"/>
          <w:color w:val="auto"/>
          <w:highlight w:val="none"/>
        </w:rPr>
      </w:pPr>
    </w:p>
    <w:p w14:paraId="3006E333">
      <w:pPr>
        <w:bidi w:val="0"/>
        <w:rPr>
          <w:rFonts w:hint="eastAsia"/>
          <w:color w:val="auto"/>
          <w:highlight w:val="none"/>
        </w:rPr>
      </w:pPr>
    </w:p>
    <w:p w14:paraId="06A014A8">
      <w:pPr>
        <w:bidi w:val="0"/>
        <w:rPr>
          <w:rFonts w:hint="eastAsia"/>
          <w:color w:val="auto"/>
          <w:highlight w:val="none"/>
        </w:rPr>
      </w:pPr>
    </w:p>
    <w:p w14:paraId="4BAEFC2F">
      <w:pPr>
        <w:bidi w:val="0"/>
        <w:rPr>
          <w:rFonts w:hint="eastAsia"/>
          <w:color w:val="auto"/>
          <w:highlight w:val="none"/>
        </w:rPr>
      </w:pPr>
    </w:p>
    <w:p w14:paraId="7A63145D">
      <w:pPr>
        <w:bidi w:val="0"/>
        <w:rPr>
          <w:rFonts w:hint="eastAsia"/>
          <w:color w:val="auto"/>
          <w:highlight w:val="none"/>
        </w:rPr>
      </w:pPr>
    </w:p>
    <w:p w14:paraId="0C4DAB91">
      <w:pPr>
        <w:pStyle w:val="40"/>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36E728C8">
      <w:pPr>
        <w:pStyle w:val="40"/>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4973925B">
      <w:pPr>
        <w:pStyle w:val="40"/>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4D2B9541">
      <w:pPr>
        <w:pStyle w:val="40"/>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488301E4">
      <w:pPr>
        <w:pStyle w:val="40"/>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73EF07C6">
      <w:pPr>
        <w:pStyle w:val="40"/>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u w:val="single"/>
        </w:rPr>
      </w:pPr>
    </w:p>
    <w:p w14:paraId="3BF12184">
      <w:pPr>
        <w:pStyle w:val="40"/>
        <w:widowControl w:val="0"/>
        <w:wordWrap w:val="0"/>
        <w:adjustRightInd w:val="0"/>
        <w:snapToGrid w:val="0"/>
        <w:spacing w:line="36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6BABDC82">
      <w:pPr>
        <w:bidi w:val="0"/>
        <w:rPr>
          <w:rFonts w:hint="eastAsia"/>
          <w:color w:val="auto"/>
          <w:highlight w:val="none"/>
        </w:rPr>
      </w:pPr>
    </w:p>
    <w:p w14:paraId="14FDDA8B">
      <w:pPr>
        <w:outlineLvl w:val="9"/>
        <w:rPr>
          <w:rFonts w:hint="eastAsia"/>
          <w:color w:val="auto"/>
          <w:highlight w:val="none"/>
        </w:rPr>
      </w:pPr>
    </w:p>
    <w:p w14:paraId="01B6E2A9">
      <w:pPr>
        <w:spacing w:line="223" w:lineRule="auto"/>
        <w:rPr>
          <w:rFonts w:hint="eastAsia" w:ascii="宋体" w:hAnsi="宋体" w:eastAsia="宋体" w:cs="宋体"/>
          <w:color w:val="auto"/>
          <w:sz w:val="47"/>
          <w:szCs w:val="47"/>
          <w:highlight w:val="none"/>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0F3231E">
      <w:pPr>
        <w:spacing w:before="78" w:line="220" w:lineRule="auto"/>
        <w:outlineLvl w:val="2"/>
        <w:rPr>
          <w:rFonts w:hint="eastAsia" w:ascii="宋体" w:hAnsi="宋体" w:eastAsia="宋体" w:cs="宋体"/>
          <w:b/>
          <w:bCs/>
          <w:color w:val="auto"/>
          <w:spacing w:val="-4"/>
          <w:sz w:val="24"/>
          <w:szCs w:val="24"/>
          <w:highlight w:val="none"/>
        </w:rPr>
      </w:pPr>
      <w:bookmarkStart w:id="222" w:name="_Toc24492"/>
      <w:r>
        <w:rPr>
          <w:rFonts w:hint="eastAsia" w:ascii="宋体" w:hAnsi="宋体" w:eastAsia="宋体" w:cs="宋体"/>
          <w:b/>
          <w:bCs/>
          <w:color w:val="auto"/>
          <w:spacing w:val="-4"/>
          <w:sz w:val="24"/>
          <w:szCs w:val="24"/>
          <w:highlight w:val="none"/>
        </w:rPr>
        <w:t>格式二 投标函</w:t>
      </w:r>
      <w:bookmarkEnd w:id="222"/>
    </w:p>
    <w:p w14:paraId="141EDEFC">
      <w:pPr>
        <w:pStyle w:val="5"/>
        <w:spacing w:line="261" w:lineRule="auto"/>
        <w:rPr>
          <w:rFonts w:hint="eastAsia" w:ascii="宋体" w:hAnsi="宋体" w:eastAsia="宋体" w:cs="宋体"/>
          <w:color w:val="auto"/>
          <w:highlight w:val="none"/>
        </w:rPr>
      </w:pPr>
    </w:p>
    <w:p w14:paraId="3A72A5B0">
      <w:pPr>
        <w:spacing w:before="97" w:line="221" w:lineRule="auto"/>
        <w:ind w:left="3799"/>
        <w:outlineLvl w:val="9"/>
        <w:rPr>
          <w:rFonts w:hint="eastAsia" w:ascii="宋体" w:hAnsi="宋体" w:eastAsia="宋体" w:cs="宋体"/>
          <w:color w:val="auto"/>
          <w:sz w:val="30"/>
          <w:szCs w:val="30"/>
          <w:highlight w:val="none"/>
        </w:rPr>
      </w:pPr>
      <w:bookmarkStart w:id="223" w:name="bookmark148"/>
      <w:bookmarkEnd w:id="223"/>
      <w:bookmarkStart w:id="224" w:name="_Toc317"/>
      <w:bookmarkStart w:id="225" w:name="_Toc27397"/>
      <w:bookmarkStart w:id="226" w:name="_Toc297"/>
      <w:r>
        <w:rPr>
          <w:rFonts w:hint="eastAsia" w:ascii="宋体" w:hAnsi="宋体" w:eastAsia="宋体" w:cs="宋体"/>
          <w:b/>
          <w:bCs/>
          <w:color w:val="auto"/>
          <w:spacing w:val="-13"/>
          <w:sz w:val="30"/>
          <w:szCs w:val="30"/>
          <w:highlight w:val="none"/>
        </w:rPr>
        <w:t>投</w:t>
      </w:r>
      <w:r>
        <w:rPr>
          <w:rFonts w:hint="eastAsia" w:ascii="宋体" w:hAnsi="宋体" w:eastAsia="宋体" w:cs="宋体"/>
          <w:color w:val="auto"/>
          <w:spacing w:val="6"/>
          <w:sz w:val="30"/>
          <w:szCs w:val="30"/>
          <w:highlight w:val="none"/>
        </w:rPr>
        <w:t xml:space="preserve">  </w:t>
      </w:r>
      <w:r>
        <w:rPr>
          <w:rFonts w:hint="eastAsia" w:ascii="宋体" w:hAnsi="宋体" w:eastAsia="宋体" w:cs="宋体"/>
          <w:b/>
          <w:bCs/>
          <w:color w:val="auto"/>
          <w:spacing w:val="-13"/>
          <w:sz w:val="30"/>
          <w:szCs w:val="30"/>
          <w:highlight w:val="none"/>
        </w:rPr>
        <w:t>标</w:t>
      </w:r>
      <w:r>
        <w:rPr>
          <w:rFonts w:hint="eastAsia" w:ascii="宋体" w:hAnsi="宋体" w:eastAsia="宋体" w:cs="宋体"/>
          <w:color w:val="auto"/>
          <w:spacing w:val="17"/>
          <w:sz w:val="30"/>
          <w:szCs w:val="30"/>
          <w:highlight w:val="none"/>
        </w:rPr>
        <w:t xml:space="preserve">  </w:t>
      </w:r>
      <w:r>
        <w:rPr>
          <w:rFonts w:hint="eastAsia" w:ascii="宋体" w:hAnsi="宋体" w:eastAsia="宋体" w:cs="宋体"/>
          <w:b/>
          <w:bCs/>
          <w:color w:val="auto"/>
          <w:spacing w:val="-13"/>
          <w:sz w:val="30"/>
          <w:szCs w:val="30"/>
          <w:highlight w:val="none"/>
        </w:rPr>
        <w:t>函</w:t>
      </w:r>
      <w:bookmarkEnd w:id="224"/>
      <w:bookmarkEnd w:id="225"/>
      <w:bookmarkEnd w:id="226"/>
    </w:p>
    <w:p w14:paraId="4BA1B37F">
      <w:pPr>
        <w:pStyle w:val="5"/>
        <w:spacing w:line="249" w:lineRule="auto"/>
        <w:rPr>
          <w:rFonts w:hint="eastAsia" w:ascii="宋体" w:hAnsi="宋体" w:eastAsia="宋体" w:cs="宋体"/>
          <w:color w:val="auto"/>
          <w:highlight w:val="none"/>
        </w:rPr>
      </w:pPr>
    </w:p>
    <w:p w14:paraId="19945F21">
      <w:pPr>
        <w:pStyle w:val="5"/>
        <w:spacing w:line="250" w:lineRule="auto"/>
        <w:rPr>
          <w:rFonts w:hint="eastAsia" w:ascii="宋体" w:hAnsi="宋体" w:eastAsia="宋体" w:cs="宋体"/>
          <w:color w:val="auto"/>
          <w:highlight w:val="none"/>
        </w:rPr>
      </w:pPr>
    </w:p>
    <w:p w14:paraId="6A5A2CBA">
      <w:pPr>
        <w:pStyle w:val="5"/>
        <w:spacing w:line="250" w:lineRule="auto"/>
        <w:rPr>
          <w:rFonts w:hint="eastAsia" w:ascii="宋体" w:hAnsi="宋体" w:eastAsia="宋体" w:cs="宋体"/>
          <w:color w:val="auto"/>
          <w:highlight w:val="none"/>
        </w:rPr>
      </w:pPr>
    </w:p>
    <w:p w14:paraId="62D11481">
      <w:pPr>
        <w:spacing w:before="78" w:line="221" w:lineRule="auto"/>
        <w:ind w:left="9"/>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致</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30"/>
          <w:sz w:val="24"/>
          <w:szCs w:val="24"/>
          <w:highlight w:val="none"/>
          <w:u w:val="single"/>
          <w:lang w:val="en-US" w:eastAsia="zh-CN"/>
        </w:rPr>
        <w:t xml:space="preserve">                    </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7"/>
          <w:sz w:val="24"/>
          <w:szCs w:val="24"/>
          <w:highlight w:val="none"/>
        </w:rPr>
        <w:t>招标人名称）</w:t>
      </w:r>
    </w:p>
    <w:p w14:paraId="1B2E273B">
      <w:pPr>
        <w:pStyle w:val="5"/>
        <w:spacing w:before="156" w:line="328" w:lineRule="auto"/>
        <w:ind w:left="9" w:right="142" w:firstLine="589"/>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我方考察现场并充分研究</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w:t>
      </w:r>
      <w:r>
        <w:rPr>
          <w:rFonts w:hint="eastAsia" w:ascii="宋体" w:hAnsi="宋体" w:eastAsia="宋体" w:cs="宋体"/>
          <w:color w:val="auto"/>
          <w:spacing w:val="-12"/>
          <w:sz w:val="24"/>
          <w:szCs w:val="24"/>
          <w:highlight w:val="none"/>
        </w:rPr>
        <w:t>）（</w:t>
      </w:r>
      <w:r>
        <w:rPr>
          <w:rFonts w:hint="eastAsia" w:ascii="宋体" w:hAnsi="宋体" w:eastAsia="宋体" w:cs="宋体"/>
          <w:color w:val="auto"/>
          <w:sz w:val="24"/>
          <w:szCs w:val="24"/>
          <w:highlight w:val="none"/>
        </w:rPr>
        <w:t>以下简称“本项目</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z w:val="24"/>
          <w:szCs w:val="24"/>
          <w:highlight w:val="none"/>
        </w:rPr>
        <w:t>”）招标文件</w:t>
      </w:r>
      <w:r>
        <w:rPr>
          <w:rFonts w:hint="eastAsia" w:ascii="宋体" w:hAnsi="宋体" w:eastAsia="宋体" w:cs="宋体"/>
          <w:color w:val="auto"/>
          <w:spacing w:val="-2"/>
          <w:sz w:val="24"/>
          <w:szCs w:val="24"/>
          <w:highlight w:val="none"/>
        </w:rPr>
        <w:t>所有内容后，结合自身资质、能力和特点，愿意接受招标文件的全部内容和条件，兹以</w:t>
      </w:r>
      <w:r>
        <w:rPr>
          <w:rFonts w:hint="eastAsia" w:ascii="宋体" w:hAnsi="宋体" w:eastAsia="宋体" w:cs="宋体"/>
          <w:color w:val="auto"/>
          <w:spacing w:val="-5"/>
          <w:sz w:val="24"/>
          <w:szCs w:val="24"/>
          <w:highlight w:val="none"/>
        </w:rPr>
        <w:t>人民币（大写</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的投标总价竞投本项目施工。</w:t>
      </w:r>
    </w:p>
    <w:p w14:paraId="07088F88">
      <w:pPr>
        <w:spacing w:before="39" w:line="323" w:lineRule="auto"/>
        <w:ind w:right="142" w:firstLine="57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在我方的上述投标总价中，包括：</w:t>
      </w:r>
      <w:r>
        <w:rPr>
          <w:rFonts w:hint="eastAsia" w:ascii="宋体" w:hAnsi="宋体" w:eastAsia="宋体" w:cs="宋体"/>
          <w:color w:val="auto"/>
          <w:spacing w:val="-2"/>
          <w:sz w:val="24"/>
          <w:szCs w:val="24"/>
          <w:highlight w:val="none"/>
          <w:lang w:val="en-US" w:eastAsia="zh-CN"/>
        </w:rPr>
        <w:t>安全生产措施费</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；暂列金额</w:t>
      </w:r>
      <w:r>
        <w:rPr>
          <w:rFonts w:hint="eastAsia" w:ascii="宋体" w:hAnsi="宋体" w:eastAsia="宋体" w:cs="宋体"/>
          <w:color w:val="auto"/>
          <w:spacing w:val="-2"/>
          <w:sz w:val="24"/>
          <w:szCs w:val="24"/>
          <w:highlight w:val="none"/>
          <w:u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；暂估价</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8"/>
          <w:sz w:val="24"/>
          <w:szCs w:val="24"/>
          <w:highlight w:val="none"/>
        </w:rPr>
        <w:t>。</w:t>
      </w:r>
    </w:p>
    <w:p w14:paraId="39BD325D">
      <w:pPr>
        <w:spacing w:before="38" w:line="280" w:lineRule="auto"/>
        <w:ind w:left="13" w:right="142" w:firstLine="56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  如果我方中标，我方保证按照合同约定的开工日期开始本项目的施工</w:t>
      </w:r>
      <w:r>
        <w:rPr>
          <w:rFonts w:hint="eastAsia" w:ascii="宋体" w:hAnsi="宋体" w:eastAsia="宋体" w:cs="宋体"/>
          <w:color w:val="auto"/>
          <w:sz w:val="24"/>
          <w:szCs w:val="24"/>
          <w:highlight w:val="none"/>
        </w:rPr>
        <w:t>，</w:t>
      </w:r>
      <w:bookmarkStart w:id="227" w:name="OLE_LINK34"/>
      <w:r>
        <w:rPr>
          <w:rFonts w:hint="eastAsia" w:ascii="宋体" w:hAnsi="宋体" w:eastAsia="宋体" w:cs="宋体"/>
          <w:color w:val="auto"/>
          <w:sz w:val="24"/>
          <w:szCs w:val="24"/>
          <w:highlight w:val="none"/>
          <w:u w:val="single"/>
          <w:lang w:val="en-US" w:eastAsia="zh-CN"/>
        </w:rPr>
        <w:t xml:space="preserve">     </w:t>
      </w:r>
      <w:bookmarkEnd w:id="227"/>
      <w:r>
        <w:rPr>
          <w:rFonts w:hint="eastAsia" w:ascii="宋体" w:hAnsi="宋体" w:eastAsia="宋体" w:cs="宋体"/>
          <w:color w:val="auto"/>
          <w:sz w:val="24"/>
          <w:szCs w:val="24"/>
          <w:highlight w:val="none"/>
        </w:rPr>
        <w:t>个日历</w:t>
      </w:r>
      <w:r>
        <w:rPr>
          <w:rFonts w:hint="eastAsia" w:ascii="宋体" w:hAnsi="宋体" w:eastAsia="宋体" w:cs="宋体"/>
          <w:color w:val="auto"/>
          <w:spacing w:val="-1"/>
          <w:sz w:val="24"/>
          <w:szCs w:val="24"/>
          <w:highlight w:val="none"/>
        </w:rPr>
        <w:t>天内竣工，并确保工程质量达到</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标准和维修其中的任何缺陷。</w:t>
      </w:r>
    </w:p>
    <w:p w14:paraId="253DB62F">
      <w:pPr>
        <w:spacing w:before="152" w:line="279" w:lineRule="auto"/>
        <w:ind w:left="11" w:right="142" w:firstLine="5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  本投标函在你方接收我方递交的投标文件之日起、到招标</w:t>
      </w:r>
      <w:r>
        <w:rPr>
          <w:rFonts w:hint="eastAsia" w:ascii="宋体" w:hAnsi="宋体" w:eastAsia="宋体" w:cs="宋体"/>
          <w:color w:val="auto"/>
          <w:sz w:val="24"/>
          <w:szCs w:val="24"/>
          <w:highlight w:val="none"/>
        </w:rPr>
        <w:t>文件规定的投标有效</w:t>
      </w:r>
      <w:r>
        <w:rPr>
          <w:rFonts w:hint="eastAsia" w:ascii="宋体" w:hAnsi="宋体" w:eastAsia="宋体" w:cs="宋体"/>
          <w:color w:val="auto"/>
          <w:spacing w:val="-1"/>
          <w:sz w:val="24"/>
          <w:szCs w:val="24"/>
          <w:highlight w:val="none"/>
        </w:rPr>
        <w:t>期期满前对我方具有约束力。我方随时准备接受你方发出的中标通知书。</w:t>
      </w:r>
    </w:p>
    <w:p w14:paraId="48AD4027">
      <w:pPr>
        <w:spacing w:before="156" w:line="279" w:lineRule="auto"/>
        <w:ind w:left="11" w:right="61" w:firstLine="5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z w:val="24"/>
          <w:szCs w:val="24"/>
          <w:highlight w:val="none"/>
        </w:rPr>
        <w:t>．我方在此声明，我方不存在本项目招标</w:t>
      </w:r>
      <w:r>
        <w:rPr>
          <w:rFonts w:hint="eastAsia" w:ascii="宋体" w:hAnsi="宋体" w:eastAsia="宋体" w:cs="宋体"/>
          <w:color w:val="auto"/>
          <w:spacing w:val="-1"/>
          <w:sz w:val="24"/>
          <w:szCs w:val="24"/>
          <w:highlight w:val="none"/>
        </w:rPr>
        <w:t>文件第一章第三节第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2.4</w:t>
      </w:r>
      <w:r>
        <w:rPr>
          <w:rFonts w:hint="eastAsia" w:ascii="宋体" w:hAnsi="宋体" w:eastAsia="宋体" w:cs="宋体"/>
          <w:b/>
          <w:bCs/>
          <w:color w:val="auto"/>
          <w:spacing w:val="16"/>
          <w:w w:val="101"/>
          <w:sz w:val="24"/>
          <w:szCs w:val="24"/>
          <w:highlight w:val="none"/>
        </w:rPr>
        <w:t xml:space="preserve"> </w:t>
      </w:r>
      <w:r>
        <w:rPr>
          <w:rFonts w:hint="eastAsia" w:ascii="宋体" w:hAnsi="宋体" w:eastAsia="宋体" w:cs="宋体"/>
          <w:color w:val="auto"/>
          <w:spacing w:val="-1"/>
          <w:sz w:val="24"/>
          <w:szCs w:val="24"/>
          <w:highlight w:val="none"/>
        </w:rPr>
        <w:t>条“禁止投标</w:t>
      </w:r>
      <w:r>
        <w:rPr>
          <w:rFonts w:hint="eastAsia" w:ascii="宋体" w:hAnsi="宋体" w:eastAsia="宋体" w:cs="宋体"/>
          <w:color w:val="auto"/>
          <w:spacing w:val="-6"/>
          <w:sz w:val="24"/>
          <w:szCs w:val="24"/>
          <w:highlight w:val="none"/>
        </w:rPr>
        <w:t>条款</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6"/>
          <w:sz w:val="24"/>
          <w:szCs w:val="24"/>
          <w:highlight w:val="none"/>
        </w:rPr>
        <w:t>”所列出的任何一种情形，并愿意承担因我</w:t>
      </w:r>
      <w:r>
        <w:rPr>
          <w:rFonts w:hint="eastAsia" w:ascii="宋体" w:hAnsi="宋体" w:eastAsia="宋体" w:cs="宋体"/>
          <w:color w:val="auto"/>
          <w:spacing w:val="-7"/>
          <w:sz w:val="24"/>
          <w:szCs w:val="24"/>
          <w:highlight w:val="none"/>
        </w:rPr>
        <w:t>方就此弄虚作假所引起的一切法律后果。</w:t>
      </w:r>
    </w:p>
    <w:p w14:paraId="4660D687">
      <w:pPr>
        <w:spacing w:before="153" w:line="280" w:lineRule="auto"/>
        <w:ind w:left="9" w:right="142" w:firstLine="57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2"/>
          <w:sz w:val="24"/>
          <w:szCs w:val="24"/>
          <w:highlight w:val="none"/>
        </w:rPr>
        <w:t>．我方在此承诺，所递交投标文件的全部内容均为真实、有效、准确的，并愿意承担因我方就此弄虚作假所引起的一切法律后果，同时理解和同意有可能被要求提供更</w:t>
      </w:r>
    </w:p>
    <w:p w14:paraId="40461BA7">
      <w:pPr>
        <w:spacing w:before="153" w:line="221" w:lineRule="auto"/>
        <w:ind w:left="2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多的资料。</w:t>
      </w:r>
    </w:p>
    <w:p w14:paraId="6419D9E0">
      <w:pPr>
        <w:spacing w:before="153" w:line="326" w:lineRule="auto"/>
        <w:ind w:left="13" w:firstLine="56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  我方理解你方不一定要接纳收到的最低投标总价或任何投标总价的投标人中标，</w:t>
      </w:r>
      <w:r>
        <w:rPr>
          <w:rFonts w:hint="eastAsia" w:ascii="宋体" w:hAnsi="宋体" w:eastAsia="宋体" w:cs="宋体"/>
          <w:color w:val="auto"/>
          <w:spacing w:val="-1"/>
          <w:sz w:val="24"/>
          <w:szCs w:val="24"/>
          <w:highlight w:val="none"/>
        </w:rPr>
        <w:t>也不要求你方解释我方是否中标的原因。</w:t>
      </w:r>
    </w:p>
    <w:p w14:paraId="73D2D6C1">
      <w:pPr>
        <w:pStyle w:val="5"/>
        <w:spacing w:line="276" w:lineRule="auto"/>
        <w:rPr>
          <w:rFonts w:hint="eastAsia" w:ascii="宋体" w:hAnsi="宋体" w:eastAsia="宋体" w:cs="宋体"/>
          <w:color w:val="auto"/>
          <w:highlight w:val="none"/>
        </w:rPr>
      </w:pPr>
    </w:p>
    <w:p w14:paraId="3B1672CC">
      <w:pPr>
        <w:pStyle w:val="5"/>
        <w:spacing w:line="277" w:lineRule="auto"/>
        <w:rPr>
          <w:rFonts w:hint="eastAsia" w:ascii="宋体" w:hAnsi="宋体" w:eastAsia="宋体" w:cs="宋体"/>
          <w:color w:val="auto"/>
          <w:highlight w:val="none"/>
        </w:rPr>
      </w:pPr>
    </w:p>
    <w:p w14:paraId="57FD9CFB">
      <w:pPr>
        <w:pStyle w:val="5"/>
        <w:spacing w:line="277" w:lineRule="auto"/>
        <w:rPr>
          <w:rFonts w:hint="eastAsia" w:ascii="宋体" w:hAnsi="宋体" w:eastAsia="宋体" w:cs="宋体"/>
          <w:color w:val="auto"/>
          <w:highlight w:val="none"/>
        </w:rPr>
      </w:pPr>
    </w:p>
    <w:p w14:paraId="6015D1B2">
      <w:pPr>
        <w:spacing w:before="79" w:line="219" w:lineRule="auto"/>
        <w:ind w:firstLine="5856" w:firstLineChars="240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6E91DE15">
      <w:pPr>
        <w:pStyle w:val="5"/>
        <w:spacing w:line="256" w:lineRule="auto"/>
        <w:jc w:val="right"/>
        <w:rPr>
          <w:rFonts w:hint="eastAsia" w:ascii="宋体" w:hAnsi="宋体" w:eastAsia="宋体" w:cs="宋体"/>
          <w:color w:val="auto"/>
          <w:highlight w:val="none"/>
        </w:rPr>
      </w:pPr>
    </w:p>
    <w:p w14:paraId="176D47C6">
      <w:pPr>
        <w:pStyle w:val="5"/>
        <w:spacing w:line="256" w:lineRule="auto"/>
        <w:jc w:val="right"/>
        <w:rPr>
          <w:rFonts w:hint="eastAsia" w:ascii="宋体" w:hAnsi="宋体" w:eastAsia="宋体" w:cs="宋体"/>
          <w:color w:val="auto"/>
          <w:highlight w:val="none"/>
        </w:rPr>
      </w:pPr>
    </w:p>
    <w:p w14:paraId="4144EDFD">
      <w:pPr>
        <w:spacing w:before="78" w:line="219" w:lineRule="auto"/>
        <w:ind w:left="3922"/>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1A02B60D">
      <w:pPr>
        <w:pStyle w:val="5"/>
        <w:spacing w:line="257" w:lineRule="auto"/>
        <w:rPr>
          <w:rFonts w:hint="eastAsia" w:ascii="宋体" w:hAnsi="宋体" w:eastAsia="宋体" w:cs="宋体"/>
          <w:color w:val="auto"/>
          <w:highlight w:val="none"/>
        </w:rPr>
      </w:pPr>
    </w:p>
    <w:p w14:paraId="7F9DAB3C">
      <w:pPr>
        <w:pStyle w:val="5"/>
        <w:spacing w:line="257" w:lineRule="auto"/>
        <w:rPr>
          <w:rFonts w:hint="eastAsia" w:ascii="宋体" w:hAnsi="宋体" w:eastAsia="宋体" w:cs="宋体"/>
          <w:color w:val="auto"/>
          <w:highlight w:val="none"/>
        </w:rPr>
      </w:pPr>
    </w:p>
    <w:p w14:paraId="4C42803F">
      <w:pPr>
        <w:spacing w:before="79" w:line="220" w:lineRule="auto"/>
        <w:ind w:left="697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日</w:t>
      </w:r>
    </w:p>
    <w:p w14:paraId="25695674">
      <w:pPr>
        <w:spacing w:line="220" w:lineRule="auto"/>
        <w:rPr>
          <w:rFonts w:hint="eastAsia" w:ascii="宋体" w:hAnsi="宋体" w:eastAsia="宋体" w:cs="宋体"/>
          <w:color w:val="auto"/>
          <w:sz w:val="24"/>
          <w:szCs w:val="24"/>
          <w:highlight w:val="none"/>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42A3EB4A">
      <w:pPr>
        <w:spacing w:before="78" w:line="220" w:lineRule="auto"/>
        <w:outlineLvl w:val="2"/>
        <w:rPr>
          <w:rFonts w:hint="eastAsia" w:ascii="宋体" w:hAnsi="宋体" w:eastAsia="宋体" w:cs="宋体"/>
          <w:b/>
          <w:bCs/>
          <w:color w:val="auto"/>
          <w:spacing w:val="-4"/>
          <w:sz w:val="24"/>
          <w:szCs w:val="24"/>
          <w:highlight w:val="none"/>
        </w:rPr>
      </w:pPr>
      <w:bookmarkStart w:id="228" w:name="_Toc15958"/>
      <w:r>
        <w:rPr>
          <w:rFonts w:hint="eastAsia" w:ascii="宋体" w:hAnsi="宋体" w:eastAsia="宋体" w:cs="宋体"/>
          <w:b/>
          <w:bCs/>
          <w:color w:val="auto"/>
          <w:spacing w:val="-4"/>
          <w:sz w:val="24"/>
          <w:szCs w:val="24"/>
          <w:highlight w:val="none"/>
        </w:rPr>
        <w:t>格式三 各项承诺一览表</w:t>
      </w:r>
      <w:bookmarkEnd w:id="228"/>
    </w:p>
    <w:p w14:paraId="4D49323A">
      <w:pPr>
        <w:pStyle w:val="5"/>
        <w:spacing w:line="254" w:lineRule="auto"/>
        <w:rPr>
          <w:rFonts w:hint="eastAsia" w:ascii="宋体" w:hAnsi="宋体" w:eastAsia="宋体" w:cs="宋体"/>
          <w:color w:val="auto"/>
          <w:highlight w:val="none"/>
        </w:rPr>
      </w:pPr>
    </w:p>
    <w:p w14:paraId="468F5932">
      <w:pPr>
        <w:spacing w:before="98" w:line="220" w:lineRule="auto"/>
        <w:ind w:left="3581"/>
        <w:outlineLvl w:val="9"/>
        <w:rPr>
          <w:rFonts w:hint="eastAsia" w:ascii="宋体" w:hAnsi="宋体" w:eastAsia="宋体" w:cs="宋体"/>
          <w:color w:val="auto"/>
          <w:sz w:val="30"/>
          <w:szCs w:val="30"/>
          <w:highlight w:val="none"/>
        </w:rPr>
      </w:pPr>
      <w:bookmarkStart w:id="229" w:name="bookmark149"/>
      <w:bookmarkEnd w:id="229"/>
      <w:bookmarkStart w:id="230" w:name="_Toc10326"/>
      <w:bookmarkStart w:id="231" w:name="_Toc2936"/>
      <w:bookmarkStart w:id="232" w:name="_Toc4767"/>
      <w:r>
        <w:rPr>
          <w:rFonts w:hint="eastAsia" w:ascii="宋体" w:hAnsi="宋体" w:eastAsia="宋体" w:cs="宋体"/>
          <w:b/>
          <w:bCs/>
          <w:color w:val="auto"/>
          <w:spacing w:val="-5"/>
          <w:sz w:val="30"/>
          <w:szCs w:val="30"/>
          <w:highlight w:val="none"/>
        </w:rPr>
        <w:t>各项承诺一览表</w:t>
      </w:r>
      <w:bookmarkEnd w:id="230"/>
      <w:bookmarkEnd w:id="231"/>
      <w:bookmarkEnd w:id="232"/>
    </w:p>
    <w:p w14:paraId="697689B4">
      <w:pPr>
        <w:spacing w:before="6"/>
        <w:rPr>
          <w:rFonts w:hint="eastAsia" w:ascii="宋体" w:hAnsi="宋体" w:eastAsia="宋体" w:cs="宋体"/>
          <w:color w:val="auto"/>
          <w:highlight w:val="none"/>
        </w:rPr>
      </w:pPr>
    </w:p>
    <w:tbl>
      <w:tblPr>
        <w:tblStyle w:val="14"/>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3965F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21CEFFBE">
            <w:pPr>
              <w:keepNext w:val="0"/>
              <w:keepLines w:val="0"/>
              <w:pageBreakBefore w:val="0"/>
              <w:widowControl/>
              <w:kinsoku w:val="0"/>
              <w:wordWrap/>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75" w:type="dxa"/>
            <w:vAlign w:val="top"/>
          </w:tcPr>
          <w:p w14:paraId="2B64149E">
            <w:pPr>
              <w:keepNext w:val="0"/>
              <w:keepLines w:val="0"/>
              <w:pageBreakBefore w:val="0"/>
              <w:widowControl/>
              <w:kinsoku w:val="0"/>
              <w:wordWrap/>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承诺事项</w:t>
            </w:r>
          </w:p>
        </w:tc>
        <w:tc>
          <w:tcPr>
            <w:tcW w:w="3107" w:type="dxa"/>
            <w:vAlign w:val="top"/>
          </w:tcPr>
          <w:p w14:paraId="7F2266E5">
            <w:pPr>
              <w:keepNext w:val="0"/>
              <w:keepLines w:val="0"/>
              <w:pageBreakBefore w:val="0"/>
              <w:widowControl/>
              <w:kinsoku w:val="0"/>
              <w:wordWrap/>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承诺内容</w:t>
            </w:r>
          </w:p>
        </w:tc>
        <w:tc>
          <w:tcPr>
            <w:tcW w:w="4272" w:type="dxa"/>
            <w:vAlign w:val="top"/>
          </w:tcPr>
          <w:p w14:paraId="067BCCCF">
            <w:pPr>
              <w:keepNext w:val="0"/>
              <w:keepLines w:val="0"/>
              <w:pageBreakBefore w:val="0"/>
              <w:widowControl/>
              <w:kinsoku w:val="0"/>
              <w:wordWrap/>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违约承诺</w:t>
            </w:r>
          </w:p>
        </w:tc>
      </w:tr>
      <w:tr w14:paraId="0CE7A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5F5D1464">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4D2E3D0">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BFF81DF">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6D45CEF">
            <w:pPr>
              <w:keepNext w:val="0"/>
              <w:keepLines w:val="0"/>
              <w:pageBreakBefore w:val="0"/>
              <w:widowControl/>
              <w:kinsoku w:val="0"/>
              <w:wordWrap/>
              <w:overflowPunct/>
              <w:topLinePunct w:val="0"/>
              <w:autoSpaceDE w:val="0"/>
              <w:autoSpaceDN w:val="0"/>
              <w:bidi w:val="0"/>
              <w:adjustRightInd w:val="0"/>
              <w:snapToGrid w:val="0"/>
              <w:spacing w:before="58" w:line="288" w:lineRule="auto"/>
              <w:ind w:left="32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75" w:type="dxa"/>
            <w:vAlign w:val="top"/>
          </w:tcPr>
          <w:p w14:paraId="4533949A">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FDA8859">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7DE8AC4">
            <w:pPr>
              <w:keepNext w:val="0"/>
              <w:keepLines w:val="0"/>
              <w:pageBreakBefore w:val="0"/>
              <w:widowControl/>
              <w:kinsoku w:val="0"/>
              <w:wordWrap/>
              <w:overflowPunct/>
              <w:topLinePunct w:val="0"/>
              <w:autoSpaceDE w:val="0"/>
              <w:autoSpaceDN w:val="0"/>
              <w:bidi w:val="0"/>
              <w:adjustRightInd w:val="0"/>
              <w:snapToGrid w:val="0"/>
              <w:spacing w:before="65" w:line="288" w:lineRule="auto"/>
              <w:ind w:left="57" w:right="50" w:firstLine="13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自愿接受招标</w:t>
            </w:r>
            <w:r>
              <w:rPr>
                <w:rFonts w:hint="eastAsia" w:ascii="宋体" w:hAnsi="宋体" w:eastAsia="宋体" w:cs="宋体"/>
                <w:color w:val="auto"/>
                <w:spacing w:val="8"/>
                <w:sz w:val="24"/>
                <w:szCs w:val="24"/>
                <w:highlight w:val="none"/>
              </w:rPr>
              <w:t>文件条款的承诺</w:t>
            </w:r>
          </w:p>
        </w:tc>
        <w:tc>
          <w:tcPr>
            <w:tcW w:w="3107" w:type="dxa"/>
            <w:vAlign w:val="top"/>
          </w:tcPr>
          <w:p w14:paraId="5929DBC8">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061079B">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我方自愿接受招标文件的</w:t>
            </w:r>
            <w:r>
              <w:rPr>
                <w:rFonts w:hint="eastAsia" w:ascii="宋体" w:hAnsi="宋体" w:eastAsia="宋体" w:cs="宋体"/>
                <w:color w:val="auto"/>
                <w:spacing w:val="7"/>
                <w:sz w:val="24"/>
                <w:szCs w:val="24"/>
                <w:highlight w:val="none"/>
              </w:rPr>
              <w:t>所有条款，所递交的投标文件已</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23"/>
                <w:sz w:val="24"/>
                <w:szCs w:val="24"/>
                <w:highlight w:val="none"/>
              </w:rPr>
              <w:t>经充分响应招标文件的实质性</w:t>
            </w:r>
            <w:r>
              <w:rPr>
                <w:rFonts w:hint="eastAsia" w:ascii="宋体" w:hAnsi="宋体" w:eastAsia="宋体" w:cs="宋体"/>
                <w:color w:val="auto"/>
                <w:spacing w:val="3"/>
                <w:sz w:val="24"/>
                <w:szCs w:val="24"/>
                <w:highlight w:val="none"/>
              </w:rPr>
              <w:t>要求。</w:t>
            </w:r>
          </w:p>
        </w:tc>
        <w:tc>
          <w:tcPr>
            <w:tcW w:w="4272" w:type="dxa"/>
            <w:vAlign w:val="top"/>
          </w:tcPr>
          <w:p w14:paraId="3E6F9FAC">
            <w:pPr>
              <w:keepNext w:val="0"/>
              <w:keepLines w:val="0"/>
              <w:pageBreakBefore w:val="0"/>
              <w:widowControl/>
              <w:kinsoku w:val="0"/>
              <w:wordWrap/>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如果我方的投标文件未响应、违反、偏</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0"/>
                <w:sz w:val="24"/>
                <w:szCs w:val="24"/>
                <w:highlight w:val="none"/>
              </w:rPr>
              <w:t>离招标文件的实质性要求，我方接受招标人或其授权的招标代理机构或其组建的评标委员会依据招标文件作出的相应处理，包括否</w:t>
            </w:r>
            <w:r>
              <w:rPr>
                <w:rFonts w:hint="eastAsia" w:ascii="宋体" w:hAnsi="宋体" w:eastAsia="宋体" w:cs="宋体"/>
                <w:color w:val="auto"/>
                <w:spacing w:val="4"/>
                <w:sz w:val="24"/>
                <w:szCs w:val="24"/>
                <w:highlight w:val="none"/>
              </w:rPr>
              <w:t>决投标。</w:t>
            </w:r>
          </w:p>
        </w:tc>
      </w:tr>
      <w:tr w14:paraId="175FE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223893F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BC1080F">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17F526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133EF04">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4BD0369">
            <w:pPr>
              <w:keepNext w:val="0"/>
              <w:keepLines w:val="0"/>
              <w:pageBreakBefore w:val="0"/>
              <w:widowControl/>
              <w:kinsoku w:val="0"/>
              <w:wordWrap/>
              <w:overflowPunct/>
              <w:topLinePunct w:val="0"/>
              <w:autoSpaceDE w:val="0"/>
              <w:autoSpaceDN w:val="0"/>
              <w:bidi w:val="0"/>
              <w:adjustRightInd w:val="0"/>
              <w:snapToGrid w:val="0"/>
              <w:spacing w:before="58" w:line="288" w:lineRule="auto"/>
              <w:ind w:left="30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75" w:type="dxa"/>
            <w:vAlign w:val="top"/>
          </w:tcPr>
          <w:p w14:paraId="353DD19E">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63C7C60">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E12909F">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0C5DB77">
            <w:pPr>
              <w:keepNext w:val="0"/>
              <w:keepLines w:val="0"/>
              <w:pageBreakBefore w:val="0"/>
              <w:widowControl/>
              <w:kinsoku w:val="0"/>
              <w:wordWrap/>
              <w:overflowPunct/>
              <w:topLinePunct w:val="0"/>
              <w:autoSpaceDE w:val="0"/>
              <w:autoSpaceDN w:val="0"/>
              <w:bidi w:val="0"/>
              <w:adjustRightInd w:val="0"/>
              <w:snapToGrid w:val="0"/>
              <w:spacing w:before="65" w:line="288" w:lineRule="auto"/>
              <w:ind w:left="262" w:right="261" w:firstLine="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无禁止投标</w:t>
            </w:r>
            <w:r>
              <w:rPr>
                <w:rFonts w:hint="eastAsia" w:ascii="宋体" w:hAnsi="宋体" w:eastAsia="宋体" w:cs="宋体"/>
                <w:color w:val="auto"/>
                <w:spacing w:val="8"/>
                <w:sz w:val="24"/>
                <w:szCs w:val="24"/>
                <w:highlight w:val="none"/>
              </w:rPr>
              <w:t>情形的承诺</w:t>
            </w:r>
          </w:p>
        </w:tc>
        <w:tc>
          <w:tcPr>
            <w:tcW w:w="3107" w:type="dxa"/>
            <w:vAlign w:val="top"/>
          </w:tcPr>
          <w:p w14:paraId="2924ECB2">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8A1B198">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E60DCFD">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我方不存在招标文件第一</w:t>
            </w:r>
            <w:r>
              <w:rPr>
                <w:rFonts w:hint="eastAsia" w:ascii="宋体" w:hAnsi="宋体" w:eastAsia="宋体" w:cs="宋体"/>
                <w:color w:val="auto"/>
                <w:spacing w:val="8"/>
                <w:sz w:val="24"/>
                <w:szCs w:val="24"/>
                <w:highlight w:val="none"/>
              </w:rPr>
              <w:t>章第三节第</w:t>
            </w:r>
            <w:r>
              <w:rPr>
                <w:rFonts w:hint="eastAsia" w:ascii="宋体" w:hAnsi="宋体" w:eastAsia="宋体" w:cs="宋体"/>
                <w:color w:val="auto"/>
                <w:spacing w:val="-35"/>
                <w:sz w:val="24"/>
                <w:szCs w:val="24"/>
                <w:highlight w:val="none"/>
              </w:rPr>
              <w:t xml:space="preserve"> </w:t>
            </w:r>
            <w:r>
              <w:rPr>
                <w:rFonts w:hint="eastAsia" w:ascii="宋体" w:hAnsi="宋体" w:eastAsia="宋体" w:cs="宋体"/>
                <w:b/>
                <w:bCs/>
                <w:color w:val="auto"/>
                <w:spacing w:val="8"/>
                <w:sz w:val="24"/>
                <w:szCs w:val="24"/>
                <w:highlight w:val="none"/>
              </w:rPr>
              <w:t>2.4</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8"/>
                <w:sz w:val="24"/>
                <w:szCs w:val="24"/>
                <w:highlight w:val="none"/>
              </w:rPr>
              <w:t>条“禁止投标条</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6"/>
                <w:sz w:val="24"/>
                <w:szCs w:val="24"/>
                <w:highlight w:val="none"/>
              </w:rPr>
              <w:t>款</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6"/>
                <w:sz w:val="24"/>
                <w:szCs w:val="24"/>
                <w:highlight w:val="none"/>
              </w:rPr>
              <w:t>”规定的任何一种情形。</w:t>
            </w:r>
          </w:p>
        </w:tc>
        <w:tc>
          <w:tcPr>
            <w:tcW w:w="4272" w:type="dxa"/>
            <w:vAlign w:val="top"/>
          </w:tcPr>
          <w:p w14:paraId="514D0FA6">
            <w:pPr>
              <w:keepNext w:val="0"/>
              <w:keepLines w:val="0"/>
              <w:pageBreakBefore w:val="0"/>
              <w:widowControl/>
              <w:kinsoku w:val="0"/>
              <w:wordWrap/>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如果我方有招标文件第一章第三节第</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1"/>
                <w:sz w:val="24"/>
                <w:szCs w:val="24"/>
                <w:highlight w:val="none"/>
              </w:rPr>
              <w:t xml:space="preserve">4 </w:t>
            </w:r>
            <w:r>
              <w:rPr>
                <w:rFonts w:hint="eastAsia" w:ascii="宋体" w:hAnsi="宋体" w:eastAsia="宋体" w:cs="宋体"/>
                <w:color w:val="auto"/>
                <w:spacing w:val="1"/>
                <w:sz w:val="24"/>
                <w:szCs w:val="24"/>
                <w:highlight w:val="none"/>
              </w:rPr>
              <w:t>条“禁止投标条款</w:t>
            </w:r>
            <w:r>
              <w:rPr>
                <w:rFonts w:hint="eastAsia" w:ascii="宋体" w:hAnsi="宋体" w:eastAsia="宋体" w:cs="宋体"/>
                <w:color w:val="auto"/>
                <w:spacing w:val="-65"/>
                <w:sz w:val="24"/>
                <w:szCs w:val="24"/>
                <w:highlight w:val="none"/>
              </w:rPr>
              <w:t xml:space="preserve"> </w:t>
            </w:r>
            <w:r>
              <w:rPr>
                <w:rFonts w:hint="eastAsia" w:ascii="宋体" w:hAnsi="宋体" w:eastAsia="宋体" w:cs="宋体"/>
                <w:color w:val="auto"/>
                <w:spacing w:val="1"/>
                <w:sz w:val="24"/>
                <w:szCs w:val="24"/>
                <w:highlight w:val="none"/>
              </w:rPr>
              <w:t>”规定的任何一种情形，</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我方接受招标人或其授权的招标代理机构或</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8"/>
                <w:sz w:val="24"/>
                <w:szCs w:val="24"/>
                <w:highlight w:val="none"/>
              </w:rPr>
              <w:t>其组建的评标委员会依据招标文件作出的相</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8"/>
                <w:sz w:val="24"/>
                <w:szCs w:val="24"/>
                <w:highlight w:val="none"/>
              </w:rPr>
              <w:t>应处理以及有关监督部门作出的行政处罚，</w:t>
            </w:r>
            <w:r>
              <w:rPr>
                <w:rFonts w:hint="eastAsia" w:ascii="宋体" w:hAnsi="宋体" w:eastAsia="宋体" w:cs="宋体"/>
                <w:color w:val="auto"/>
                <w:spacing w:val="6"/>
                <w:sz w:val="24"/>
                <w:szCs w:val="24"/>
                <w:highlight w:val="none"/>
              </w:rPr>
              <w:t>并承担由此引起的一切法律后果。</w:t>
            </w:r>
          </w:p>
        </w:tc>
      </w:tr>
      <w:tr w14:paraId="7A92F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3065BE89">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F5D2DD4">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CC1647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396B996">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106CE2C">
            <w:pPr>
              <w:keepNext w:val="0"/>
              <w:keepLines w:val="0"/>
              <w:pageBreakBefore w:val="0"/>
              <w:widowControl/>
              <w:kinsoku w:val="0"/>
              <w:wordWrap/>
              <w:overflowPunct/>
              <w:topLinePunct w:val="0"/>
              <w:autoSpaceDE w:val="0"/>
              <w:autoSpaceDN w:val="0"/>
              <w:bidi w:val="0"/>
              <w:adjustRightInd w:val="0"/>
              <w:snapToGrid w:val="0"/>
              <w:spacing w:before="57"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75" w:type="dxa"/>
            <w:vAlign w:val="top"/>
          </w:tcPr>
          <w:p w14:paraId="7C052787">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A4A7316">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CADECDE">
            <w:pPr>
              <w:keepNext w:val="0"/>
              <w:keepLines w:val="0"/>
              <w:pageBreakBefore w:val="0"/>
              <w:widowControl/>
              <w:kinsoku w:val="0"/>
              <w:wordWrap/>
              <w:overflowPunct/>
              <w:topLinePunct w:val="0"/>
              <w:autoSpaceDE w:val="0"/>
              <w:autoSpaceDN w:val="0"/>
              <w:bidi w:val="0"/>
              <w:adjustRightInd w:val="0"/>
              <w:snapToGrid w:val="0"/>
              <w:spacing w:before="65" w:line="288" w:lineRule="auto"/>
              <w:ind w:left="1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自觉抵制围标</w:t>
            </w:r>
          </w:p>
          <w:p w14:paraId="4C79CA28">
            <w:pPr>
              <w:keepNext w:val="0"/>
              <w:keepLines w:val="0"/>
              <w:pageBreakBefore w:val="0"/>
              <w:widowControl/>
              <w:kinsoku w:val="0"/>
              <w:wordWrap/>
              <w:overflowPunct/>
              <w:topLinePunct w:val="0"/>
              <w:autoSpaceDE w:val="0"/>
              <w:autoSpaceDN w:val="0"/>
              <w:bidi w:val="0"/>
              <w:adjustRightInd w:val="0"/>
              <w:snapToGrid w:val="0"/>
              <w:spacing w:before="131" w:line="288" w:lineRule="auto"/>
              <w:ind w:left="2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串标和弄虚</w:t>
            </w:r>
          </w:p>
          <w:p w14:paraId="14A0AAA6">
            <w:pPr>
              <w:keepNext w:val="0"/>
              <w:keepLines w:val="0"/>
              <w:pageBreakBefore w:val="0"/>
              <w:widowControl/>
              <w:kinsoku w:val="0"/>
              <w:wordWrap/>
              <w:overflowPunct/>
              <w:topLinePunct w:val="0"/>
              <w:autoSpaceDE w:val="0"/>
              <w:autoSpaceDN w:val="0"/>
              <w:bidi w:val="0"/>
              <w:adjustRightInd w:val="0"/>
              <w:snapToGrid w:val="0"/>
              <w:spacing w:before="133" w:line="288" w:lineRule="auto"/>
              <w:ind w:left="5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作假行为的承诺</w:t>
            </w:r>
          </w:p>
        </w:tc>
        <w:tc>
          <w:tcPr>
            <w:tcW w:w="3107" w:type="dxa"/>
            <w:vAlign w:val="top"/>
          </w:tcPr>
          <w:p w14:paraId="2D434A9C">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D050BCE">
            <w:pPr>
              <w:keepNext w:val="0"/>
              <w:keepLines w:val="0"/>
              <w:pageBreakBefore w:val="0"/>
              <w:widowControl/>
              <w:kinsoku w:val="0"/>
              <w:wordWrap/>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我方合法正当、诚实守信地</w:t>
            </w:r>
            <w:r>
              <w:rPr>
                <w:rFonts w:hint="eastAsia" w:ascii="宋体" w:hAnsi="宋体" w:eastAsia="宋体" w:cs="宋体"/>
                <w:color w:val="auto"/>
                <w:spacing w:val="7"/>
                <w:sz w:val="24"/>
                <w:szCs w:val="24"/>
                <w:highlight w:val="none"/>
              </w:rPr>
              <w:t>参与投标，不组织、不参加围标串标违法行为，不通过弄虚作假</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6"/>
                <w:sz w:val="24"/>
                <w:szCs w:val="24"/>
                <w:highlight w:val="none"/>
              </w:rPr>
              <w:t>行为骗取中标。</w:t>
            </w:r>
          </w:p>
        </w:tc>
        <w:tc>
          <w:tcPr>
            <w:tcW w:w="4272" w:type="dxa"/>
            <w:vAlign w:val="top"/>
          </w:tcPr>
          <w:p w14:paraId="0B330229">
            <w:pPr>
              <w:keepNext w:val="0"/>
              <w:keepLines w:val="0"/>
              <w:pageBreakBefore w:val="0"/>
              <w:widowControl/>
              <w:kinsoku w:val="0"/>
              <w:wordWrap/>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w:t>
            </w:r>
            <w:r>
              <w:rPr>
                <w:rFonts w:hint="eastAsia" w:ascii="宋体" w:hAnsi="宋体" w:eastAsia="宋体" w:cs="宋体"/>
                <w:color w:val="auto"/>
                <w:spacing w:val="7"/>
                <w:sz w:val="24"/>
                <w:szCs w:val="24"/>
                <w:highlight w:val="none"/>
              </w:rPr>
              <w:t>引起的一切法律后果。</w:t>
            </w:r>
          </w:p>
        </w:tc>
      </w:tr>
      <w:tr w14:paraId="2117A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2D4CCBDC">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2F4BEC5">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FC22BBE">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A0AD6AA">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FED5608">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C92FA31">
            <w:pPr>
              <w:keepNext w:val="0"/>
              <w:keepLines w:val="0"/>
              <w:pageBreakBefore w:val="0"/>
              <w:widowControl/>
              <w:kinsoku w:val="0"/>
              <w:wordWrap/>
              <w:overflowPunct/>
              <w:topLinePunct w:val="0"/>
              <w:autoSpaceDE w:val="0"/>
              <w:autoSpaceDN w:val="0"/>
              <w:bidi w:val="0"/>
              <w:adjustRightInd w:val="0"/>
              <w:snapToGrid w:val="0"/>
              <w:spacing w:before="58" w:line="288" w:lineRule="auto"/>
              <w:ind w:left="30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675" w:type="dxa"/>
            <w:vAlign w:val="top"/>
          </w:tcPr>
          <w:p w14:paraId="0207AEC7">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3874989">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C824E7C">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604624C">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7FB2617">
            <w:pPr>
              <w:keepNext w:val="0"/>
              <w:keepLines w:val="0"/>
              <w:pageBreakBefore w:val="0"/>
              <w:widowControl/>
              <w:kinsoku w:val="0"/>
              <w:wordWrap/>
              <w:overflowPunct/>
              <w:topLinePunct w:val="0"/>
              <w:autoSpaceDE w:val="0"/>
              <w:autoSpaceDN w:val="0"/>
              <w:bidi w:val="0"/>
              <w:adjustRightInd w:val="0"/>
              <w:snapToGrid w:val="0"/>
              <w:spacing w:before="65" w:line="288" w:lineRule="auto"/>
              <w:ind w:left="369" w:right="367" w:firstLine="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r>
              <w:rPr>
                <w:rFonts w:hint="eastAsia" w:ascii="宋体" w:hAnsi="宋体" w:eastAsia="宋体" w:cs="宋体"/>
                <w:color w:val="auto"/>
                <w:spacing w:val="7"/>
                <w:sz w:val="24"/>
                <w:szCs w:val="24"/>
                <w:highlight w:val="none"/>
              </w:rPr>
              <w:t>任职承诺</w:t>
            </w:r>
          </w:p>
        </w:tc>
        <w:tc>
          <w:tcPr>
            <w:tcW w:w="3107" w:type="dxa"/>
            <w:vAlign w:val="top"/>
          </w:tcPr>
          <w:p w14:paraId="6E1C15C1">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383979E">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F81B840">
            <w:pPr>
              <w:keepNext w:val="0"/>
              <w:keepLines w:val="0"/>
              <w:pageBreakBefore w:val="0"/>
              <w:widowControl/>
              <w:kinsoku w:val="0"/>
              <w:wordWrap/>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9"/>
                <w:sz w:val="24"/>
                <w:szCs w:val="24"/>
                <w:highlight w:val="none"/>
              </w:rPr>
              <w:t>我方拟派项目经理现阶段</w:t>
            </w:r>
            <w:r>
              <w:rPr>
                <w:rFonts w:hint="eastAsia" w:ascii="宋体" w:hAnsi="宋体" w:eastAsia="宋体" w:cs="宋体"/>
                <w:color w:val="auto"/>
                <w:spacing w:val="7"/>
                <w:sz w:val="24"/>
                <w:szCs w:val="24"/>
                <w:highlight w:val="none"/>
              </w:rPr>
              <w:t>没有担任任何在施（包括已中标</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7"/>
                <w:sz w:val="24"/>
                <w:szCs w:val="24"/>
                <w:highlight w:val="none"/>
              </w:rPr>
              <w:t>未开工、已开工未竣工）建设工</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7"/>
                <w:sz w:val="24"/>
                <w:szCs w:val="24"/>
                <w:highlight w:val="none"/>
              </w:rPr>
              <w:t>程项目的项目经理。</w:t>
            </w:r>
          </w:p>
        </w:tc>
        <w:tc>
          <w:tcPr>
            <w:tcW w:w="4272" w:type="dxa"/>
            <w:vAlign w:val="top"/>
          </w:tcPr>
          <w:p w14:paraId="6216ABA7">
            <w:pPr>
              <w:keepNext w:val="0"/>
              <w:keepLines w:val="0"/>
              <w:pageBreakBefore w:val="0"/>
              <w:widowControl/>
              <w:kinsoku w:val="0"/>
              <w:wordWrap/>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如果我方拟派项目经理在本项目招标投</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标活动期间有担任其他任何在施（包括已中标未开工、已开工未竣工）建设工程项目的</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7"/>
                <w:sz w:val="24"/>
                <w:szCs w:val="24"/>
                <w:highlight w:val="none"/>
              </w:rPr>
              <w:t>项目经理，我方接受招标人或其授权的招标</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7"/>
                <w:sz w:val="24"/>
                <w:szCs w:val="24"/>
                <w:highlight w:val="none"/>
              </w:rPr>
              <w:t>代理机构或其组建的评标委员会依据招标文件作出的相应处理以及有关监督部门作出的</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z w:val="24"/>
                <w:szCs w:val="24"/>
                <w:highlight w:val="none"/>
              </w:rPr>
              <w:t>行政处罚，并承担由此引起的一切法律后果。</w:t>
            </w:r>
          </w:p>
        </w:tc>
      </w:tr>
      <w:tr w14:paraId="6C7A8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3E408F04">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C177915">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BA588FC">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4"/>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675" w:type="dxa"/>
            <w:vAlign w:val="top"/>
          </w:tcPr>
          <w:p w14:paraId="039177D7">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2CDC932">
            <w:pPr>
              <w:keepNext w:val="0"/>
              <w:keepLines w:val="0"/>
              <w:pageBreakBefore w:val="0"/>
              <w:widowControl/>
              <w:kinsoku w:val="0"/>
              <w:wordWrap/>
              <w:overflowPunct/>
              <w:topLinePunct w:val="0"/>
              <w:autoSpaceDE w:val="0"/>
              <w:autoSpaceDN w:val="0"/>
              <w:bidi w:val="0"/>
              <w:adjustRightInd w:val="0"/>
              <w:snapToGrid w:val="0"/>
              <w:spacing w:before="65" w:line="288" w:lineRule="auto"/>
              <w:ind w:left="267" w:right="261" w:firstLine="10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投标文件</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7"/>
                <w:sz w:val="24"/>
                <w:szCs w:val="24"/>
                <w:highlight w:val="none"/>
              </w:rPr>
              <w:t>真实性承诺</w:t>
            </w:r>
          </w:p>
        </w:tc>
        <w:tc>
          <w:tcPr>
            <w:tcW w:w="3107" w:type="dxa"/>
            <w:vAlign w:val="top"/>
          </w:tcPr>
          <w:p w14:paraId="26DCDE38">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CA1CC7A">
            <w:pPr>
              <w:keepNext w:val="0"/>
              <w:keepLines w:val="0"/>
              <w:pageBreakBefore w:val="0"/>
              <w:widowControl/>
              <w:kinsoku w:val="0"/>
              <w:wordWrap/>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0"/>
                <w:sz w:val="24"/>
                <w:szCs w:val="24"/>
                <w:highlight w:val="none"/>
              </w:rPr>
              <w:t>我方所递交投标文件的全</w:t>
            </w:r>
            <w:r>
              <w:rPr>
                <w:rFonts w:hint="eastAsia" w:ascii="宋体" w:hAnsi="宋体" w:eastAsia="宋体" w:cs="宋体"/>
                <w:color w:val="auto"/>
                <w:spacing w:val="-7"/>
                <w:sz w:val="24"/>
                <w:szCs w:val="24"/>
                <w:highlight w:val="none"/>
              </w:rPr>
              <w:t>部内容均为真实、有效、准确的。</w:t>
            </w:r>
          </w:p>
        </w:tc>
        <w:tc>
          <w:tcPr>
            <w:tcW w:w="4272" w:type="dxa"/>
            <w:vAlign w:val="top"/>
          </w:tcPr>
          <w:p w14:paraId="0FF32EF9">
            <w:pPr>
              <w:keepNext w:val="0"/>
              <w:keepLines w:val="0"/>
              <w:pageBreakBefore w:val="0"/>
              <w:widowControl/>
              <w:kinsoku w:val="0"/>
              <w:wordWrap/>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如果我方递交的投标文件任何内容不真实或无效或不准确，我方接受招标人或其授权的招标代理机构或其组建的评标委员会依</w:t>
            </w:r>
            <w:r>
              <w:rPr>
                <w:rFonts w:hint="eastAsia" w:ascii="宋体" w:hAnsi="宋体" w:eastAsia="宋体" w:cs="宋体"/>
                <w:color w:val="auto"/>
                <w:sz w:val="24"/>
                <w:szCs w:val="24"/>
                <w:highlight w:val="none"/>
              </w:rPr>
              <w:t>据招标文件作出的相应处理，包括否决投标。</w:t>
            </w:r>
          </w:p>
        </w:tc>
      </w:tr>
      <w:tr w14:paraId="7E65C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top"/>
          </w:tcPr>
          <w:p w14:paraId="5FA30CE8">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BA65F08">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C7A697A">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3"/>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p w14:paraId="2BED09F0">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62336"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2"/>
                          <a:stretch>
                            <a:fillRect/>
                          </a:stretch>
                        </pic:blipFill>
                        <pic:spPr>
                          <a:xfrm>
                            <a:off x="0" y="0"/>
                            <a:ext cx="6350" cy="241300"/>
                          </a:xfrm>
                          <a:prstGeom prst="rect">
                            <a:avLst/>
                          </a:prstGeom>
                          <a:noFill/>
                          <a:ln>
                            <a:noFill/>
                          </a:ln>
                        </pic:spPr>
                      </pic:pic>
                    </a:graphicData>
                  </a:graphic>
                </wp:anchor>
              </w:drawing>
            </w:r>
          </w:p>
        </w:tc>
        <w:tc>
          <w:tcPr>
            <w:tcW w:w="1675" w:type="dxa"/>
            <w:vAlign w:val="top"/>
          </w:tcPr>
          <w:p w14:paraId="3B37714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980D55E">
            <w:pPr>
              <w:keepNext w:val="0"/>
              <w:keepLines w:val="0"/>
              <w:pageBreakBefore w:val="0"/>
              <w:widowControl/>
              <w:kinsoku w:val="0"/>
              <w:wordWrap/>
              <w:overflowPunct/>
              <w:topLinePunct w:val="0"/>
              <w:autoSpaceDE w:val="0"/>
              <w:autoSpaceDN w:val="0"/>
              <w:bidi w:val="0"/>
              <w:adjustRightInd w:val="0"/>
              <w:snapToGrid w:val="0"/>
              <w:spacing w:line="288" w:lineRule="auto"/>
              <w:ind w:lef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投标文件</w:t>
            </w:r>
          </w:p>
          <w:p w14:paraId="2B48682E">
            <w:pPr>
              <w:keepNext w:val="0"/>
              <w:keepLines w:val="0"/>
              <w:pageBreakBefore w:val="0"/>
              <w:widowControl/>
              <w:kinsoku w:val="0"/>
              <w:wordWrap/>
              <w:overflowPunct/>
              <w:topLinePunct w:val="0"/>
              <w:autoSpaceDE w:val="0"/>
              <w:autoSpaceDN w:val="0"/>
              <w:bidi w:val="0"/>
              <w:adjustRightInd w:val="0"/>
              <w:snapToGrid w:val="0"/>
              <w:spacing w:line="288" w:lineRule="auto"/>
              <w:ind w:lef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信息公开承诺</w:t>
            </w:r>
          </w:p>
        </w:tc>
        <w:tc>
          <w:tcPr>
            <w:tcW w:w="3107" w:type="dxa"/>
            <w:vAlign w:val="top"/>
          </w:tcPr>
          <w:p w14:paraId="29DA00F1">
            <w:pPr>
              <w:keepNext w:val="0"/>
              <w:keepLines w:val="0"/>
              <w:pageBreakBefore w:val="0"/>
              <w:widowControl/>
              <w:kinsoku w:val="0"/>
              <w:wordWrap/>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我方提供完整的文件。如果</w:t>
            </w:r>
            <w:r>
              <w:rPr>
                <w:rFonts w:hint="eastAsia" w:ascii="宋体" w:hAnsi="宋体" w:eastAsia="宋体" w:cs="宋体"/>
                <w:color w:val="auto"/>
                <w:spacing w:val="7"/>
                <w:sz w:val="24"/>
                <w:szCs w:val="24"/>
                <w:highlight w:val="none"/>
              </w:rPr>
              <w:t>我方成为本项目中标候选人，我</w:t>
            </w:r>
            <w:r>
              <w:rPr>
                <w:rFonts w:hint="eastAsia" w:ascii="宋体" w:hAnsi="宋体" w:eastAsia="宋体" w:cs="宋体"/>
                <w:color w:val="auto"/>
                <w:spacing w:val="23"/>
                <w:sz w:val="24"/>
                <w:szCs w:val="24"/>
                <w:highlight w:val="none"/>
              </w:rPr>
              <w:t>方同意并授权招标人在评标结果公示期内公开我方商务标书</w:t>
            </w:r>
            <w:r>
              <w:rPr>
                <w:rFonts w:hint="eastAsia" w:ascii="宋体" w:hAnsi="宋体" w:eastAsia="宋体" w:cs="宋体"/>
                <w:color w:val="auto"/>
                <w:spacing w:val="3"/>
                <w:sz w:val="24"/>
                <w:szCs w:val="24"/>
                <w:highlight w:val="none"/>
              </w:rPr>
              <w:t>的全部内容。</w:t>
            </w:r>
          </w:p>
        </w:tc>
        <w:tc>
          <w:tcPr>
            <w:tcW w:w="4272" w:type="dxa"/>
            <w:vAlign w:val="top"/>
          </w:tcPr>
          <w:p w14:paraId="0888FDE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19050</wp:posOffset>
                      </wp:positionV>
                      <wp:extent cx="2698750" cy="1539875"/>
                      <wp:effectExtent l="3175" t="5715" r="3175" b="16510"/>
                      <wp:wrapNone/>
                      <wp:docPr id="23" name="直接连接符 23"/>
                      <wp:cNvGraphicFramePr/>
                      <a:graphic xmlns:a="http://schemas.openxmlformats.org/drawingml/2006/main">
                        <a:graphicData uri="http://schemas.microsoft.com/office/word/2010/wordprocessingShape">
                          <wps:wsp>
                            <wps:cNvCnPr/>
                            <wps:spPr>
                              <a:xfrm flipV="1">
                                <a:off x="4209415" y="1651000"/>
                                <a:ext cx="2698750" cy="153987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05pt;margin-top:1.5pt;height:121.25pt;width:212.5pt;z-index:251660288;mso-width-relative:page;mso-height-relative:page;" filled="f" stroked="t" coordsize="21600,21600" o:gfxdata="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KAkGu1QAAAAcBAAAPAAAAAAAAAAEAIAAAACIAAABkcnMvZG93bnJldi54&#10;bWxQSwECFAAUAAAACACHTuJAXpFIZP0BAADQAwAADgAAAAAAAAABACAAAAAkAQAAZHJzL2Uyb0Rv&#10;Yy54bWxQSwUGAAAAAAYABgBZAQAAkwUAAAAA&#10;">
                      <v:fill on="f" focussize="0,0"/>
                      <v:stroke weight="1pt" color="#000000 [3213]" miterlimit="8" joinstyle="miter"/>
                      <v:imagedata o:title=""/>
                      <o:lock v:ext="edit" aspectratio="f"/>
                    </v:line>
                  </w:pict>
                </mc:Fallback>
              </mc:AlternateContent>
            </w:r>
          </w:p>
          <w:p w14:paraId="0ECBC8B4">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C892CA3">
            <w:pPr>
              <w:keepNext w:val="0"/>
              <w:keepLines w:val="0"/>
              <w:pageBreakBefore w:val="0"/>
              <w:widowControl/>
              <w:kinsoku w:val="0"/>
              <w:wordWrap/>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auto"/>
                <w:sz w:val="24"/>
                <w:szCs w:val="24"/>
                <w:highlight w:val="none"/>
              </w:rPr>
            </w:pPr>
          </w:p>
        </w:tc>
      </w:tr>
      <w:tr w14:paraId="7E825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top"/>
          </w:tcPr>
          <w:p w14:paraId="1D520AAE">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254BDA6">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841F202">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B4EED52">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9B34FFB">
            <w:pPr>
              <w:keepNext w:val="0"/>
              <w:keepLines w:val="0"/>
              <w:pageBreakBefore w:val="0"/>
              <w:widowControl/>
              <w:kinsoku w:val="0"/>
              <w:wordWrap/>
              <w:overflowPunct/>
              <w:topLinePunct w:val="0"/>
              <w:autoSpaceDE w:val="0"/>
              <w:autoSpaceDN w:val="0"/>
              <w:bidi w:val="0"/>
              <w:adjustRightInd w:val="0"/>
              <w:snapToGrid w:val="0"/>
              <w:spacing w:before="57"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675" w:type="dxa"/>
            <w:vAlign w:val="top"/>
          </w:tcPr>
          <w:p w14:paraId="090E688F">
            <w:pPr>
              <w:pStyle w:val="22"/>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084228B1">
            <w:pPr>
              <w:pStyle w:val="22"/>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13FE9B52">
            <w:pPr>
              <w:pStyle w:val="22"/>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0C1756A1">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对不正常报价</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4"/>
                <w:sz w:val="24"/>
                <w:szCs w:val="24"/>
                <w:highlight w:val="none"/>
              </w:rPr>
              <w:t>的确认承诺</w:t>
            </w:r>
          </w:p>
        </w:tc>
        <w:tc>
          <w:tcPr>
            <w:tcW w:w="3107" w:type="dxa"/>
            <w:vAlign w:val="top"/>
          </w:tcPr>
          <w:p w14:paraId="0C400811">
            <w:pPr>
              <w:keepNext w:val="0"/>
              <w:keepLines w:val="0"/>
              <w:pageBreakBefore w:val="0"/>
              <w:widowControl/>
              <w:kinsoku w:val="0"/>
              <w:wordWrap/>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如果我方中标，我方接受招</w:t>
            </w:r>
            <w:r>
              <w:rPr>
                <w:rFonts w:hint="eastAsia" w:ascii="宋体" w:hAnsi="宋体" w:eastAsia="宋体" w:cs="宋体"/>
                <w:color w:val="auto"/>
                <w:spacing w:val="23"/>
                <w:sz w:val="24"/>
                <w:szCs w:val="24"/>
                <w:highlight w:val="none"/>
              </w:rPr>
              <w:t>标人在合同订立期间依据招标文件有关条款约定对我方已标价工程量清单中不正常报价的</w:t>
            </w:r>
            <w:r>
              <w:rPr>
                <w:rFonts w:hint="eastAsia" w:ascii="宋体" w:hAnsi="宋体" w:eastAsia="宋体" w:cs="宋体"/>
                <w:color w:val="auto"/>
                <w:spacing w:val="7"/>
                <w:sz w:val="24"/>
                <w:szCs w:val="24"/>
                <w:highlight w:val="none"/>
              </w:rPr>
              <w:t>修正或认定，并按要求签署《不</w:t>
            </w:r>
            <w:r>
              <w:rPr>
                <w:rFonts w:hint="eastAsia" w:ascii="宋体" w:hAnsi="宋体" w:eastAsia="宋体" w:cs="宋体"/>
                <w:color w:val="auto"/>
                <w:spacing w:val="8"/>
                <w:sz w:val="24"/>
                <w:szCs w:val="24"/>
                <w:highlight w:val="none"/>
              </w:rPr>
              <w:t>正常报价清单》加以确认。</w:t>
            </w:r>
          </w:p>
        </w:tc>
        <w:tc>
          <w:tcPr>
            <w:tcW w:w="4272" w:type="dxa"/>
            <w:vAlign w:val="top"/>
          </w:tcPr>
          <w:p w14:paraId="30E170E5">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26035</wp:posOffset>
                      </wp:positionV>
                      <wp:extent cx="2706370" cy="1920875"/>
                      <wp:effectExtent l="3810" t="5080" r="13970" b="17145"/>
                      <wp:wrapNone/>
                      <wp:docPr id="24" name="直接连接符 24"/>
                      <wp:cNvGraphicFramePr/>
                      <a:graphic xmlns:a="http://schemas.openxmlformats.org/drawingml/2006/main">
                        <a:graphicData uri="http://schemas.microsoft.com/office/word/2010/wordprocessingShape">
                          <wps:wsp>
                            <wps:cNvCnPr/>
                            <wps:spPr>
                              <a:xfrm flipV="1">
                                <a:off x="4217670" y="3238500"/>
                                <a:ext cx="2706370" cy="192087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6pt;margin-top:2.05pt;height:151.25pt;width:213.1pt;z-index:251661312;mso-width-relative:page;mso-height-relative:page;" filled="f" stroked="t" coordsize="21600,21600" o:gfxdata="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w2Jsm1AAAAAcBAAAPAAAAAAAAAAEAIAAAACIAAABkcnMvZG93bnJldi54&#10;bWxQSwECFAAUAAAACACHTuJAmtdksv4BAADQAwAADgAAAAAAAAABACAAAAAjAQAAZHJzL2Uyb0Rv&#10;Yy54bWxQSwUGAAAAAAYABgBZAQAAkwUAAAAA&#10;">
                      <v:fill on="f" focussize="0,0"/>
                      <v:stroke weight="1pt" color="#000000 [3213]" miterlimit="8" joinstyle="miter"/>
                      <v:imagedata o:title=""/>
                      <o:lock v:ext="edit" aspectratio="f"/>
                    </v:line>
                  </w:pict>
                </mc:Fallback>
              </mc:AlternateContent>
            </w:r>
          </w:p>
          <w:p w14:paraId="6EB97A09">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E4CD708">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FF11DE2">
            <w:pPr>
              <w:keepNext w:val="0"/>
              <w:keepLines w:val="0"/>
              <w:pageBreakBefore w:val="0"/>
              <w:widowControl/>
              <w:kinsoku w:val="0"/>
              <w:wordWrap/>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auto"/>
                <w:sz w:val="24"/>
                <w:szCs w:val="24"/>
                <w:highlight w:val="none"/>
              </w:rPr>
            </w:pPr>
          </w:p>
        </w:tc>
      </w:tr>
      <w:tr w14:paraId="1064A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10D22640">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30256F9">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9CD297A">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2812CB1">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7"/>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675" w:type="dxa"/>
            <w:vAlign w:val="top"/>
          </w:tcPr>
          <w:p w14:paraId="3A23F45C">
            <w:pPr>
              <w:pStyle w:val="22"/>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55B2B974">
            <w:pPr>
              <w:pStyle w:val="22"/>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7B7F8231">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按时提交履约</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7"/>
                <w:sz w:val="24"/>
                <w:szCs w:val="24"/>
                <w:highlight w:val="none"/>
              </w:rPr>
              <w:t>保证的承诺</w:t>
            </w:r>
          </w:p>
        </w:tc>
        <w:tc>
          <w:tcPr>
            <w:tcW w:w="3107" w:type="dxa"/>
            <w:vAlign w:val="top"/>
          </w:tcPr>
          <w:p w14:paraId="4276009D">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F817C4A">
            <w:pPr>
              <w:keepNext w:val="0"/>
              <w:keepLines w:val="0"/>
              <w:pageBreakBefore w:val="0"/>
              <w:widowControl/>
              <w:kinsoku w:val="0"/>
              <w:wordWrap/>
              <w:overflowPunct/>
              <w:topLinePunct w:val="0"/>
              <w:autoSpaceDE w:val="0"/>
              <w:autoSpaceDN w:val="0"/>
              <w:bidi w:val="0"/>
              <w:adjustRightInd w:val="0"/>
              <w:snapToGrid w:val="0"/>
              <w:spacing w:line="288" w:lineRule="auto"/>
              <w:ind w:left="11" w:right="0" w:firstLine="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招标文件规定的时限内全额提</w:t>
            </w:r>
            <w:r>
              <w:rPr>
                <w:rFonts w:hint="eastAsia" w:ascii="宋体" w:hAnsi="宋体" w:eastAsia="宋体" w:cs="宋体"/>
                <w:color w:val="auto"/>
                <w:spacing w:val="6"/>
                <w:sz w:val="24"/>
                <w:szCs w:val="24"/>
                <w:highlight w:val="none"/>
              </w:rPr>
              <w:t>交履约保证。</w:t>
            </w:r>
          </w:p>
        </w:tc>
        <w:tc>
          <w:tcPr>
            <w:tcW w:w="4272" w:type="dxa"/>
            <w:vAlign w:val="top"/>
          </w:tcPr>
          <w:p w14:paraId="028933A2">
            <w:pPr>
              <w:keepNext w:val="0"/>
              <w:keepLines w:val="0"/>
              <w:pageBreakBefore w:val="0"/>
              <w:widowControl/>
              <w:kinsoku w:val="0"/>
              <w:wordWrap/>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如果我方未在招标文件规定的时限内全</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9"/>
                <w:sz w:val="24"/>
                <w:szCs w:val="24"/>
                <w:highlight w:val="none"/>
              </w:rPr>
              <w:t>额提交履约保证，我方接受招标人依据招标文件作出的相应处理以及有关监督部门作出的行政处罚，并承担由此引起的一切法律后</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果。</w:t>
            </w:r>
          </w:p>
        </w:tc>
      </w:tr>
      <w:tr w14:paraId="2ADF5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3B19ADD">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B578E80">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B6D44A5">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E33A9F1">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1C344AD">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675" w:type="dxa"/>
            <w:vAlign w:val="top"/>
          </w:tcPr>
          <w:p w14:paraId="362CB042">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5929A9A">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2844FA6">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DFEBD23">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按时签订合同</w:t>
            </w:r>
            <w:r>
              <w:rPr>
                <w:rFonts w:hint="eastAsia" w:ascii="宋体" w:hAnsi="宋体" w:eastAsia="宋体" w:cs="宋体"/>
                <w:color w:val="auto"/>
                <w:spacing w:val="1"/>
                <w:sz w:val="24"/>
                <w:szCs w:val="24"/>
                <w:highlight w:val="none"/>
              </w:rPr>
              <w:t>的承诺</w:t>
            </w:r>
          </w:p>
        </w:tc>
        <w:tc>
          <w:tcPr>
            <w:tcW w:w="3107" w:type="dxa"/>
            <w:vAlign w:val="top"/>
          </w:tcPr>
          <w:p w14:paraId="258AE928">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0CA2BE4">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招标文件规定的时限内与招标</w:t>
            </w:r>
            <w:r>
              <w:rPr>
                <w:rFonts w:hint="eastAsia" w:ascii="宋体" w:hAnsi="宋体" w:eastAsia="宋体" w:cs="宋体"/>
                <w:color w:val="auto"/>
                <w:spacing w:val="7"/>
                <w:sz w:val="24"/>
                <w:szCs w:val="24"/>
                <w:highlight w:val="none"/>
              </w:rPr>
              <w:t>人签订合同，不提出违背或超出</w:t>
            </w:r>
            <w:r>
              <w:rPr>
                <w:rFonts w:hint="eastAsia" w:ascii="宋体" w:hAnsi="宋体" w:eastAsia="宋体" w:cs="宋体"/>
                <w:color w:val="auto"/>
                <w:spacing w:val="8"/>
                <w:sz w:val="24"/>
                <w:szCs w:val="24"/>
                <w:highlight w:val="none"/>
              </w:rPr>
              <w:t>招标文件、中标文件的要求。</w:t>
            </w:r>
          </w:p>
        </w:tc>
        <w:tc>
          <w:tcPr>
            <w:tcW w:w="4272" w:type="dxa"/>
            <w:vAlign w:val="top"/>
          </w:tcPr>
          <w:p w14:paraId="53F06507">
            <w:pPr>
              <w:keepNext w:val="0"/>
              <w:keepLines w:val="0"/>
              <w:pageBreakBefore w:val="0"/>
              <w:widowControl/>
              <w:kinsoku w:val="0"/>
              <w:wordWrap/>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如果我方未在招标文件规定的时限内与招标人签订合同，或我方在签订合同过程中</w:t>
            </w:r>
            <w:r>
              <w:rPr>
                <w:rFonts w:hint="eastAsia" w:ascii="宋体" w:hAnsi="宋体" w:eastAsia="宋体" w:cs="宋体"/>
                <w:color w:val="auto"/>
                <w:sz w:val="24"/>
                <w:szCs w:val="24"/>
                <w:highlight w:val="none"/>
              </w:rPr>
              <w:t>提出违背或超出招标文件、中标文件的要求。</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7"/>
                <w:sz w:val="24"/>
                <w:szCs w:val="24"/>
                <w:highlight w:val="none"/>
              </w:rPr>
              <w:t>我方接受招标人依据招标文件作出的相应处</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7"/>
                <w:sz w:val="24"/>
                <w:szCs w:val="24"/>
                <w:highlight w:val="none"/>
              </w:rPr>
              <w:t>理以及有关监督部门作出的行政处罚，并承</w:t>
            </w:r>
            <w:r>
              <w:rPr>
                <w:rFonts w:hint="eastAsia" w:ascii="宋体" w:hAnsi="宋体" w:eastAsia="宋体" w:cs="宋体"/>
                <w:color w:val="auto"/>
                <w:spacing w:val="5"/>
                <w:sz w:val="24"/>
                <w:szCs w:val="24"/>
                <w:highlight w:val="none"/>
              </w:rPr>
              <w:t>担由此引起的一切法律后果。</w:t>
            </w:r>
          </w:p>
        </w:tc>
      </w:tr>
    </w:tbl>
    <w:p w14:paraId="2CD6691E">
      <w:pPr>
        <w:spacing w:before="78" w:line="219" w:lineRule="auto"/>
        <w:ind w:firstLine="6832" w:firstLineChars="2800"/>
        <w:jc w:val="both"/>
        <w:rPr>
          <w:rFonts w:hint="eastAsia" w:ascii="宋体" w:hAnsi="宋体" w:eastAsia="宋体" w:cs="宋体"/>
          <w:color w:val="auto"/>
          <w:spacing w:val="2"/>
          <w:sz w:val="24"/>
          <w:szCs w:val="24"/>
          <w:highlight w:val="none"/>
        </w:rPr>
      </w:pPr>
    </w:p>
    <w:p w14:paraId="27D0A0BF">
      <w:pPr>
        <w:spacing w:before="78" w:line="219" w:lineRule="auto"/>
        <w:ind w:firstLine="6832" w:firstLineChars="280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5FE2B2C3">
      <w:pPr>
        <w:pStyle w:val="5"/>
        <w:spacing w:line="297" w:lineRule="auto"/>
        <w:jc w:val="right"/>
        <w:rPr>
          <w:rFonts w:hint="eastAsia" w:ascii="宋体" w:hAnsi="宋体" w:eastAsia="宋体" w:cs="宋体"/>
          <w:color w:val="auto"/>
          <w:highlight w:val="none"/>
        </w:rPr>
      </w:pPr>
    </w:p>
    <w:p w14:paraId="66E4D509">
      <w:pPr>
        <w:spacing w:before="78" w:line="219" w:lineRule="auto"/>
        <w:ind w:left="4366"/>
        <w:jc w:val="right"/>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7DFE71EE">
      <w:pPr>
        <w:outlineLvl w:val="9"/>
        <w:rPr>
          <w:rFonts w:hint="eastAsia"/>
          <w:color w:val="auto"/>
          <w:highlight w:val="none"/>
        </w:rPr>
      </w:pPr>
    </w:p>
    <w:p w14:paraId="7F78F0AF">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88CAB85">
      <w:pPr>
        <w:spacing w:line="220" w:lineRule="auto"/>
        <w:jc w:val="right"/>
        <w:rPr>
          <w:rFonts w:hint="eastAsia" w:ascii="宋体" w:hAnsi="宋体" w:eastAsia="宋体" w:cs="宋体"/>
          <w:color w:val="auto"/>
          <w:sz w:val="24"/>
          <w:szCs w:val="24"/>
          <w:highlight w:val="none"/>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391BB046">
      <w:pPr>
        <w:spacing w:before="78" w:line="220" w:lineRule="auto"/>
        <w:outlineLvl w:val="2"/>
        <w:rPr>
          <w:rFonts w:hint="eastAsia" w:ascii="宋体" w:hAnsi="宋体" w:eastAsia="宋体" w:cs="宋体"/>
          <w:b/>
          <w:bCs/>
          <w:color w:val="auto"/>
          <w:spacing w:val="-4"/>
          <w:sz w:val="24"/>
          <w:szCs w:val="24"/>
          <w:highlight w:val="none"/>
        </w:rPr>
      </w:pPr>
      <w:bookmarkStart w:id="233" w:name="_Toc16537"/>
      <w:r>
        <w:rPr>
          <w:rFonts w:hint="eastAsia" w:ascii="宋体" w:hAnsi="宋体" w:eastAsia="宋体" w:cs="宋体"/>
          <w:b/>
          <w:bCs/>
          <w:color w:val="auto"/>
          <w:spacing w:val="-4"/>
          <w:sz w:val="24"/>
          <w:szCs w:val="24"/>
          <w:highlight w:val="none"/>
        </w:rPr>
        <w:t>格式四 授权委托书</w:t>
      </w:r>
      <w:bookmarkEnd w:id="233"/>
    </w:p>
    <w:p w14:paraId="5AD5FAF7">
      <w:pPr>
        <w:pStyle w:val="5"/>
        <w:spacing w:line="351" w:lineRule="auto"/>
        <w:rPr>
          <w:rFonts w:hint="eastAsia" w:ascii="宋体" w:hAnsi="宋体" w:eastAsia="宋体" w:cs="宋体"/>
          <w:color w:val="auto"/>
          <w:highlight w:val="none"/>
        </w:rPr>
      </w:pPr>
    </w:p>
    <w:p w14:paraId="127266FB">
      <w:pPr>
        <w:pStyle w:val="5"/>
        <w:spacing w:line="351" w:lineRule="auto"/>
        <w:rPr>
          <w:rFonts w:hint="eastAsia" w:ascii="宋体" w:hAnsi="宋体" w:eastAsia="宋体" w:cs="宋体"/>
          <w:color w:val="auto"/>
          <w:highlight w:val="none"/>
        </w:rPr>
      </w:pPr>
    </w:p>
    <w:p w14:paraId="2580279D">
      <w:pPr>
        <w:spacing w:before="97" w:line="219" w:lineRule="auto"/>
        <w:ind w:left="3786"/>
        <w:rPr>
          <w:rFonts w:hint="eastAsia" w:ascii="宋体" w:hAnsi="宋体" w:eastAsia="宋体" w:cs="宋体"/>
          <w:color w:val="auto"/>
          <w:sz w:val="30"/>
          <w:szCs w:val="30"/>
          <w:highlight w:val="none"/>
        </w:rPr>
      </w:pPr>
      <w:bookmarkStart w:id="234" w:name="bookmark151"/>
      <w:bookmarkEnd w:id="234"/>
      <w:r>
        <w:rPr>
          <w:rFonts w:hint="eastAsia" w:ascii="宋体" w:hAnsi="宋体" w:eastAsia="宋体" w:cs="宋体"/>
          <w:b/>
          <w:bCs/>
          <w:color w:val="auto"/>
          <w:spacing w:val="-5"/>
          <w:sz w:val="30"/>
          <w:szCs w:val="30"/>
          <w:highlight w:val="none"/>
        </w:rPr>
        <w:t>授权委托书</w:t>
      </w:r>
    </w:p>
    <w:p w14:paraId="09877C70">
      <w:pPr>
        <w:pStyle w:val="5"/>
        <w:spacing w:line="250" w:lineRule="auto"/>
        <w:rPr>
          <w:rFonts w:hint="eastAsia" w:ascii="宋体" w:hAnsi="宋体" w:eastAsia="宋体" w:cs="宋体"/>
          <w:color w:val="auto"/>
          <w:highlight w:val="none"/>
        </w:rPr>
      </w:pPr>
    </w:p>
    <w:p w14:paraId="6B0C422F">
      <w:pPr>
        <w:pStyle w:val="5"/>
        <w:spacing w:line="250" w:lineRule="auto"/>
        <w:rPr>
          <w:rFonts w:hint="eastAsia" w:ascii="宋体" w:hAnsi="宋体" w:eastAsia="宋体" w:cs="宋体"/>
          <w:color w:val="auto"/>
          <w:highlight w:val="none"/>
        </w:rPr>
      </w:pPr>
    </w:p>
    <w:p w14:paraId="02B03A1B">
      <w:pPr>
        <w:pStyle w:val="5"/>
        <w:spacing w:line="251" w:lineRule="auto"/>
        <w:rPr>
          <w:rFonts w:hint="eastAsia" w:ascii="宋体" w:hAnsi="宋体" w:eastAsia="宋体" w:cs="宋体"/>
          <w:color w:val="auto"/>
          <w:highlight w:val="none"/>
        </w:rPr>
      </w:pPr>
    </w:p>
    <w:p w14:paraId="203A6EF0">
      <w:pPr>
        <w:spacing w:before="78" w:line="330" w:lineRule="auto"/>
        <w:ind w:firstLine="481"/>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8"/>
          <w:highlight w:val="none"/>
          <w:lang w:eastAsia="zh-CN"/>
        </w:rPr>
        <w:t>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（姓名）为我方代理人。代理人根据授权，以我方名义签署、澄清、说明、补正、递交、撤回、修改</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 w:val="24"/>
          <w:szCs w:val="28"/>
          <w:highlight w:val="none"/>
          <w:u w:val="single"/>
          <w:lang w:eastAsia="zh-CN"/>
        </w:rPr>
        <w:t>（项目名称）</w:t>
      </w:r>
      <w:r>
        <w:rPr>
          <w:rFonts w:hint="eastAsia" w:ascii="宋体" w:hAnsi="宋体" w:eastAsia="宋体" w:cs="宋体"/>
          <w:snapToGrid w:val="0"/>
          <w:color w:val="auto"/>
          <w:kern w:val="0"/>
          <w:sz w:val="24"/>
          <w:szCs w:val="28"/>
          <w:highlight w:val="none"/>
          <w:lang w:eastAsia="zh-CN"/>
        </w:rPr>
        <w:t xml:space="preserve"> 投标文件、签订合同和处理有关事宜，其法律后果由我方承担。</w:t>
      </w:r>
    </w:p>
    <w:p w14:paraId="28055F84">
      <w:pPr>
        <w:spacing w:before="32" w:line="320" w:lineRule="auto"/>
        <w:ind w:left="480" w:right="497"/>
        <w:rPr>
          <w:rFonts w:hint="eastAsia" w:ascii="宋体" w:hAnsi="宋体" w:eastAsia="宋体" w:cs="宋体"/>
          <w:color w:val="auto"/>
          <w:spacing w:val="15"/>
          <w:sz w:val="24"/>
          <w:szCs w:val="24"/>
          <w:highlight w:val="none"/>
        </w:rPr>
      </w:pPr>
      <w:r>
        <w:rPr>
          <w:rFonts w:hint="eastAsia" w:ascii="宋体" w:hAnsi="宋体" w:eastAsia="宋体" w:cs="宋体"/>
          <w:color w:val="auto"/>
          <w:spacing w:val="-9"/>
          <w:sz w:val="24"/>
          <w:szCs w:val="24"/>
          <w:highlight w:val="none"/>
        </w:rPr>
        <w:t>委托期限：至</w:t>
      </w:r>
      <w:r>
        <w:rPr>
          <w:rFonts w:hint="eastAsia" w:ascii="宋体" w:hAnsi="宋体" w:eastAsia="宋体" w:cs="宋体"/>
          <w:color w:val="auto"/>
          <w:spacing w:val="-9"/>
          <w:sz w:val="24"/>
          <w:szCs w:val="24"/>
          <w:highlight w:val="none"/>
          <w:u w:val="single"/>
        </w:rPr>
        <w:t xml:space="preserve">     年   月    日</w:t>
      </w:r>
      <w:r>
        <w:rPr>
          <w:rFonts w:hint="eastAsia" w:ascii="宋体" w:hAnsi="宋体" w:eastAsia="宋体" w:cs="宋体"/>
          <w:i/>
          <w:iCs/>
          <w:color w:val="auto"/>
          <w:spacing w:val="-9"/>
          <w:sz w:val="25"/>
          <w:szCs w:val="25"/>
          <w:highlight w:val="none"/>
          <w:u w:val="single"/>
        </w:rPr>
        <w:t>（不得短于招标文件规定的投标有效期）</w:t>
      </w:r>
      <w:r>
        <w:rPr>
          <w:rFonts w:hint="eastAsia" w:ascii="宋体" w:hAnsi="宋体" w:eastAsia="宋体" w:cs="宋体"/>
          <w:color w:val="auto"/>
          <w:spacing w:val="-9"/>
          <w:sz w:val="25"/>
          <w:szCs w:val="25"/>
          <w:highlight w:val="none"/>
        </w:rPr>
        <w:t xml:space="preserve"> </w:t>
      </w:r>
      <w:r>
        <w:rPr>
          <w:rFonts w:hint="eastAsia" w:ascii="宋体" w:hAnsi="宋体" w:eastAsia="宋体" w:cs="宋体"/>
          <w:color w:val="auto"/>
          <w:spacing w:val="-9"/>
          <w:sz w:val="24"/>
          <w:szCs w:val="24"/>
          <w:highlight w:val="none"/>
        </w:rPr>
        <w:t>。</w:t>
      </w:r>
      <w:r>
        <w:rPr>
          <w:rFonts w:hint="eastAsia" w:ascii="宋体" w:hAnsi="宋体" w:eastAsia="宋体" w:cs="宋体"/>
          <w:color w:val="auto"/>
          <w:spacing w:val="15"/>
          <w:sz w:val="24"/>
          <w:szCs w:val="24"/>
          <w:highlight w:val="none"/>
        </w:rPr>
        <w:t xml:space="preserve"> </w:t>
      </w:r>
    </w:p>
    <w:p w14:paraId="39249A7B">
      <w:pPr>
        <w:spacing w:before="32" w:line="320" w:lineRule="auto"/>
        <w:ind w:left="480" w:right="497"/>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代理人无转委托权。</w:t>
      </w:r>
    </w:p>
    <w:p w14:paraId="062462FA">
      <w:pPr>
        <w:pStyle w:val="5"/>
        <w:spacing w:line="276" w:lineRule="auto"/>
        <w:rPr>
          <w:rFonts w:hint="eastAsia" w:ascii="宋体" w:hAnsi="宋体" w:eastAsia="宋体" w:cs="宋体"/>
          <w:color w:val="auto"/>
          <w:highlight w:val="none"/>
        </w:rPr>
      </w:pPr>
    </w:p>
    <w:p w14:paraId="152FF881">
      <w:pPr>
        <w:pStyle w:val="5"/>
        <w:spacing w:line="277" w:lineRule="auto"/>
        <w:rPr>
          <w:rFonts w:hint="eastAsia" w:ascii="宋体" w:hAnsi="宋体" w:eastAsia="宋体" w:cs="宋体"/>
          <w:color w:val="auto"/>
          <w:highlight w:val="none"/>
        </w:rPr>
      </w:pPr>
    </w:p>
    <w:p w14:paraId="17B419D0">
      <w:pPr>
        <w:pStyle w:val="5"/>
        <w:spacing w:line="277" w:lineRule="auto"/>
        <w:rPr>
          <w:rFonts w:hint="eastAsia" w:ascii="宋体" w:hAnsi="宋体" w:eastAsia="宋体" w:cs="宋体"/>
          <w:color w:val="auto"/>
          <w:highlight w:val="none"/>
        </w:rPr>
      </w:pPr>
    </w:p>
    <w:p w14:paraId="19FCA4CE">
      <w:pPr>
        <w:spacing w:before="78" w:line="219" w:lineRule="auto"/>
        <w:ind w:left="3123"/>
        <w:jc w:val="righ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投  标  人</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4"/>
          <w:sz w:val="24"/>
          <w:szCs w:val="24"/>
          <w:highlight w:val="none"/>
        </w:rPr>
        <w:t>盖单位章）</w:t>
      </w:r>
    </w:p>
    <w:p w14:paraId="75EC2CD5">
      <w:pPr>
        <w:pStyle w:val="5"/>
        <w:spacing w:line="317" w:lineRule="auto"/>
        <w:jc w:val="right"/>
        <w:rPr>
          <w:rFonts w:hint="eastAsia" w:ascii="宋体" w:hAnsi="宋体" w:eastAsia="宋体" w:cs="宋体"/>
          <w:color w:val="auto"/>
          <w:highlight w:val="none"/>
        </w:rPr>
      </w:pPr>
    </w:p>
    <w:p w14:paraId="0D1E737D">
      <w:pPr>
        <w:pStyle w:val="5"/>
        <w:spacing w:line="317" w:lineRule="auto"/>
        <w:jc w:val="right"/>
        <w:rPr>
          <w:rFonts w:hint="eastAsia" w:ascii="宋体" w:hAnsi="宋体" w:eastAsia="宋体" w:cs="宋体"/>
          <w:color w:val="auto"/>
          <w:highlight w:val="none"/>
        </w:rPr>
      </w:pPr>
    </w:p>
    <w:p w14:paraId="0263176F">
      <w:pPr>
        <w:pStyle w:val="5"/>
        <w:spacing w:line="317" w:lineRule="auto"/>
        <w:jc w:val="right"/>
        <w:rPr>
          <w:rFonts w:hint="eastAsia" w:ascii="宋体" w:hAnsi="宋体" w:eastAsia="宋体" w:cs="宋体"/>
          <w:color w:val="auto"/>
          <w:highlight w:val="none"/>
        </w:rPr>
      </w:pPr>
    </w:p>
    <w:p w14:paraId="5A270854">
      <w:pPr>
        <w:spacing w:before="79" w:line="219" w:lineRule="auto"/>
        <w:ind w:left="3121"/>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2"/>
          <w:sz w:val="24"/>
          <w:szCs w:val="24"/>
          <w:highlight w:val="none"/>
        </w:rPr>
        <w:t>签字或盖章）</w:t>
      </w:r>
    </w:p>
    <w:p w14:paraId="0C9FA250">
      <w:pPr>
        <w:pStyle w:val="5"/>
        <w:spacing w:line="317" w:lineRule="auto"/>
        <w:jc w:val="right"/>
        <w:rPr>
          <w:rFonts w:hint="eastAsia" w:ascii="宋体" w:hAnsi="宋体" w:eastAsia="宋体" w:cs="宋体"/>
          <w:color w:val="auto"/>
          <w:highlight w:val="none"/>
        </w:rPr>
      </w:pPr>
    </w:p>
    <w:p w14:paraId="417EC1D5">
      <w:pPr>
        <w:pStyle w:val="5"/>
        <w:spacing w:line="317" w:lineRule="auto"/>
        <w:jc w:val="right"/>
        <w:rPr>
          <w:rFonts w:hint="eastAsia" w:ascii="宋体" w:hAnsi="宋体" w:eastAsia="宋体" w:cs="宋体"/>
          <w:color w:val="auto"/>
          <w:highlight w:val="none"/>
        </w:rPr>
      </w:pPr>
    </w:p>
    <w:p w14:paraId="47126590">
      <w:pPr>
        <w:pStyle w:val="5"/>
        <w:spacing w:line="317" w:lineRule="auto"/>
        <w:jc w:val="right"/>
        <w:rPr>
          <w:rFonts w:hint="eastAsia" w:ascii="宋体" w:hAnsi="宋体" w:eastAsia="宋体" w:cs="宋体"/>
          <w:color w:val="auto"/>
          <w:highlight w:val="none"/>
        </w:rPr>
      </w:pPr>
    </w:p>
    <w:p w14:paraId="025CDC9C">
      <w:pPr>
        <w:spacing w:before="78" w:line="219" w:lineRule="auto"/>
        <w:ind w:left="288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委托代理人</w:t>
      </w:r>
      <w:r>
        <w:rPr>
          <w:rFonts w:hint="eastAsia" w:ascii="宋体" w:hAnsi="宋体" w:eastAsia="宋体" w:cs="宋体"/>
          <w:color w:val="auto"/>
          <w:spacing w:val="-16"/>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6"/>
          <w:sz w:val="24"/>
          <w:szCs w:val="24"/>
          <w:highlight w:val="none"/>
        </w:rPr>
        <w:t>（</w:t>
      </w:r>
      <w:r>
        <w:rPr>
          <w:rFonts w:hint="eastAsia" w:ascii="宋体" w:hAnsi="宋体" w:eastAsia="宋体" w:cs="宋体"/>
          <w:color w:val="auto"/>
          <w:spacing w:val="2"/>
          <w:sz w:val="24"/>
          <w:szCs w:val="24"/>
          <w:highlight w:val="none"/>
        </w:rPr>
        <w:t>签字或盖章）</w:t>
      </w:r>
    </w:p>
    <w:p w14:paraId="0C72C0A2">
      <w:pPr>
        <w:pStyle w:val="5"/>
        <w:spacing w:line="256" w:lineRule="auto"/>
        <w:jc w:val="right"/>
        <w:rPr>
          <w:rFonts w:hint="eastAsia" w:ascii="宋体" w:hAnsi="宋体" w:eastAsia="宋体" w:cs="宋体"/>
          <w:color w:val="auto"/>
          <w:highlight w:val="none"/>
        </w:rPr>
      </w:pPr>
    </w:p>
    <w:p w14:paraId="7DED3590">
      <w:pPr>
        <w:pStyle w:val="5"/>
        <w:spacing w:line="256" w:lineRule="auto"/>
        <w:jc w:val="right"/>
        <w:rPr>
          <w:rFonts w:hint="eastAsia" w:ascii="宋体" w:hAnsi="宋体" w:eastAsia="宋体" w:cs="宋体"/>
          <w:color w:val="auto"/>
          <w:highlight w:val="none"/>
        </w:rPr>
      </w:pPr>
    </w:p>
    <w:p w14:paraId="167C978E">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2FEE713">
      <w:pPr>
        <w:spacing w:before="78" w:line="220" w:lineRule="auto"/>
        <w:ind w:left="4201"/>
        <w:jc w:val="right"/>
        <w:rPr>
          <w:rFonts w:hint="eastAsia" w:ascii="宋体" w:hAnsi="宋体" w:eastAsia="宋体" w:cs="宋体"/>
          <w:color w:val="auto"/>
          <w:sz w:val="24"/>
          <w:szCs w:val="24"/>
          <w:highlight w:val="none"/>
        </w:rPr>
      </w:pPr>
    </w:p>
    <w:p w14:paraId="7273DAB6">
      <w:pPr>
        <w:spacing w:before="69"/>
        <w:rPr>
          <w:rFonts w:hint="eastAsia" w:ascii="宋体" w:hAnsi="宋体" w:eastAsia="宋体" w:cs="宋体"/>
          <w:color w:val="auto"/>
          <w:highlight w:val="none"/>
        </w:rPr>
      </w:pPr>
    </w:p>
    <w:p w14:paraId="1DEF33F4">
      <w:pPr>
        <w:spacing w:before="69"/>
        <w:rPr>
          <w:rFonts w:hint="eastAsia" w:ascii="宋体" w:hAnsi="宋体" w:eastAsia="宋体" w:cs="宋体"/>
          <w:color w:val="auto"/>
          <w:highlight w:val="none"/>
        </w:rPr>
      </w:pPr>
      <w:r>
        <w:rPr>
          <w:rFonts w:hint="eastAsia" w:ascii="Times New Roman"/>
          <w:snapToGrid w:val="0"/>
          <w:color w:val="auto"/>
          <w:kern w:val="0"/>
          <w:sz w:val="28"/>
          <w:szCs w:val="28"/>
          <w:highlight w:val="none"/>
          <w:u w:val="single"/>
        </w:rPr>
        <mc:AlternateContent>
          <mc:Choice Requires="wps">
            <w:drawing>
              <wp:anchor distT="0" distB="0" distL="114300" distR="114300" simplePos="0" relativeHeight="251666432" behindDoc="0" locked="0" layoutInCell="1" allowOverlap="1">
                <wp:simplePos x="0" y="0"/>
                <wp:positionH relativeFrom="column">
                  <wp:posOffset>1409700</wp:posOffset>
                </wp:positionH>
                <wp:positionV relativeFrom="paragraph">
                  <wp:posOffset>159385</wp:posOffset>
                </wp:positionV>
                <wp:extent cx="3190875" cy="1584325"/>
                <wp:effectExtent l="4445" t="4445" r="5080" b="11430"/>
                <wp:wrapNone/>
                <wp:docPr id="28" name="流程图: 可选过程 28"/>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0154840">
                            <w:pPr>
                              <w:jc w:val="center"/>
                              <w:rPr>
                                <w:rFonts w:hint="eastAsia"/>
                                <w:szCs w:val="21"/>
                              </w:rPr>
                            </w:pPr>
                          </w:p>
                          <w:p w14:paraId="6C2712CA">
                            <w:pPr>
                              <w:jc w:val="center"/>
                              <w:rPr>
                                <w:rFonts w:hint="eastAsia"/>
                                <w:szCs w:val="21"/>
                              </w:rPr>
                            </w:pPr>
                          </w:p>
                          <w:p w14:paraId="6DBB1CE9">
                            <w:pPr>
                              <w:jc w:val="center"/>
                              <w:rPr>
                                <w:rFonts w:hint="eastAsia"/>
                                <w:szCs w:val="21"/>
                              </w:rPr>
                            </w:pPr>
                          </w:p>
                          <w:p w14:paraId="36AC5511">
                            <w:pPr>
                              <w:spacing w:before="78" w:line="220" w:lineRule="auto"/>
                              <w:jc w:val="center"/>
                              <w:rPr>
                                <w:szCs w:val="21"/>
                              </w:rPr>
                            </w:pPr>
                            <w:r>
                              <w:rPr>
                                <w:rFonts w:hint="eastAsia" w:ascii="宋体" w:hAnsi="宋体" w:eastAsia="宋体" w:cs="宋体"/>
                                <w:spacing w:val="-1"/>
                                <w:sz w:val="24"/>
                                <w:szCs w:val="24"/>
                                <w:highlight w:val="none"/>
                              </w:rPr>
                              <w:t>委托代理人身份证扫描件正、反面</w:t>
                            </w:r>
                          </w:p>
                        </w:txbxContent>
                      </wps:txbx>
                      <wps:bodyPr upright="1"/>
                    </wps:wsp>
                  </a:graphicData>
                </a:graphic>
              </wp:anchor>
            </w:drawing>
          </mc:Choice>
          <mc:Fallback>
            <w:pict>
              <v:shape id="_x0000_s1026" o:spid="_x0000_s1026" o:spt="176" type="#_x0000_t176" style="position:absolute;left:0pt;margin-left:111pt;margin-top:12.55pt;height:124.75pt;width:251.25pt;z-index:251666432;mso-width-relative:page;mso-height-relative:page;" fillcolor="#FFFFFF" filled="t" stroked="t" coordsize="21600,21600" o:gfxdata="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nWTz0NgAAAAKAQAADwAAAAAAAAABACAAAAAiAAAAZHJzL2Rvd25yZXYueG1sUEsBAhQA&#10;FAAAAAgAh07iQGlt9E8rAgAAUgQAAA4AAAAAAAAAAQAgAAAAJwEAAGRycy9lMm9Eb2MueG1sUEsF&#10;BgAAAAAGAAYAWQEAAMQFAAAAAA==&#10;">
                <v:fill on="t" focussize="0,0"/>
                <v:stroke color="#000000" joinstyle="miter"/>
                <v:imagedata o:title=""/>
                <o:lock v:ext="edit" aspectratio="f"/>
                <v:textbox>
                  <w:txbxContent>
                    <w:p w14:paraId="20154840">
                      <w:pPr>
                        <w:jc w:val="center"/>
                        <w:rPr>
                          <w:rFonts w:hint="eastAsia"/>
                          <w:szCs w:val="21"/>
                        </w:rPr>
                      </w:pPr>
                    </w:p>
                    <w:p w14:paraId="6C2712CA">
                      <w:pPr>
                        <w:jc w:val="center"/>
                        <w:rPr>
                          <w:rFonts w:hint="eastAsia"/>
                          <w:szCs w:val="21"/>
                        </w:rPr>
                      </w:pPr>
                    </w:p>
                    <w:p w14:paraId="6DBB1CE9">
                      <w:pPr>
                        <w:jc w:val="center"/>
                        <w:rPr>
                          <w:rFonts w:hint="eastAsia"/>
                          <w:szCs w:val="21"/>
                        </w:rPr>
                      </w:pPr>
                    </w:p>
                    <w:p w14:paraId="36AC5511">
                      <w:pPr>
                        <w:spacing w:before="78" w:line="220" w:lineRule="auto"/>
                        <w:jc w:val="center"/>
                        <w:rPr>
                          <w:szCs w:val="21"/>
                        </w:rPr>
                      </w:pPr>
                      <w:r>
                        <w:rPr>
                          <w:rFonts w:hint="eastAsia" w:ascii="宋体" w:hAnsi="宋体" w:eastAsia="宋体" w:cs="宋体"/>
                          <w:spacing w:val="-1"/>
                          <w:sz w:val="24"/>
                          <w:szCs w:val="24"/>
                          <w:highlight w:val="none"/>
                        </w:rPr>
                        <w:t>委托代理人身份证扫描件正、反面</w:t>
                      </w:r>
                    </w:p>
                  </w:txbxContent>
                </v:textbox>
              </v:shape>
            </w:pict>
          </mc:Fallback>
        </mc:AlternateContent>
      </w:r>
    </w:p>
    <w:p w14:paraId="147D4E60">
      <w:pPr>
        <w:pStyle w:val="5"/>
        <w:rPr>
          <w:rFonts w:hint="eastAsia" w:ascii="宋体" w:hAnsi="宋体" w:eastAsia="宋体" w:cs="宋体"/>
          <w:color w:val="auto"/>
          <w:highlight w:val="none"/>
        </w:rPr>
      </w:pPr>
      <w:r>
        <w:rPr>
          <w:rFonts w:hint="eastAsia" w:ascii="Times New Roman"/>
          <w:snapToGrid w:val="0"/>
          <w:color w:val="auto"/>
          <w:kern w:val="0"/>
          <w:sz w:val="28"/>
          <w:szCs w:val="28"/>
          <w:highlight w:val="none"/>
          <w:u w:val="single"/>
        </w:rPr>
        <mc:AlternateContent>
          <mc:Choice Requires="wps">
            <w:drawing>
              <wp:anchor distT="0" distB="0" distL="114300" distR="114300" simplePos="0" relativeHeight="251664384" behindDoc="0" locked="0" layoutInCell="1" allowOverlap="1">
                <wp:simplePos x="0" y="0"/>
                <wp:positionH relativeFrom="column">
                  <wp:posOffset>2152650</wp:posOffset>
                </wp:positionH>
                <wp:positionV relativeFrom="paragraph">
                  <wp:posOffset>7458075</wp:posOffset>
                </wp:positionV>
                <wp:extent cx="3190875" cy="1584325"/>
                <wp:effectExtent l="4445" t="4445" r="5080" b="11430"/>
                <wp:wrapNone/>
                <wp:docPr id="27" name="流程图: 可选过程 27"/>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AC1ECCB">
                            <w:pPr>
                              <w:jc w:val="center"/>
                              <w:rPr>
                                <w:rFonts w:hint="eastAsia"/>
                                <w:szCs w:val="21"/>
                              </w:rPr>
                            </w:pPr>
                          </w:p>
                          <w:p w14:paraId="4C1914EC">
                            <w:pPr>
                              <w:jc w:val="center"/>
                              <w:rPr>
                                <w:rFonts w:hint="eastAsia"/>
                                <w:szCs w:val="21"/>
                              </w:rPr>
                            </w:pPr>
                          </w:p>
                          <w:p w14:paraId="1A4AADAF">
                            <w:pPr>
                              <w:jc w:val="center"/>
                              <w:rPr>
                                <w:rFonts w:hint="eastAsia"/>
                                <w:szCs w:val="21"/>
                              </w:rPr>
                            </w:pPr>
                          </w:p>
                          <w:p w14:paraId="248D0963">
                            <w:pPr>
                              <w:jc w:val="center"/>
                              <w:rPr>
                                <w:szCs w:val="21"/>
                              </w:rPr>
                            </w:pPr>
                            <w:r>
                              <w:rPr>
                                <w:rFonts w:hint="eastAsia"/>
                                <w:szCs w:val="21"/>
                              </w:rPr>
                              <w:t>委托代理人身份证</w:t>
                            </w:r>
                            <w:r>
                              <w:rPr>
                                <w:rFonts w:hint="eastAsia" w:ascii="Times New Roman"/>
                                <w:snapToGrid w:val="0"/>
                                <w:kern w:val="0"/>
                              </w:rPr>
                              <w:t>扫描件</w:t>
                            </w:r>
                            <w:r>
                              <w:rPr>
                                <w:rFonts w:hint="eastAsia"/>
                                <w:szCs w:val="21"/>
                              </w:rPr>
                              <w:t>正、反面</w:t>
                            </w:r>
                          </w:p>
                        </w:txbxContent>
                      </wps:txbx>
                      <wps:bodyPr upright="1"/>
                    </wps:wsp>
                  </a:graphicData>
                </a:graphic>
              </wp:anchor>
            </w:drawing>
          </mc:Choice>
          <mc:Fallback>
            <w:pict>
              <v:shape id="_x0000_s1026" o:spid="_x0000_s1026" o:spt="176" type="#_x0000_t176" style="position:absolute;left:0pt;margin-left:169.5pt;margin-top:587.25pt;height:124.75pt;width:251.25pt;z-index:251664384;mso-width-relative:page;mso-height-relative:page;" fillcolor="#FFFFFF" filled="t" stroked="t" coordsize="21600,21600" o:gfxdata="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kWIQ4NoAAAANAQAADwAAAAAAAAABACAAAAAiAAAAZHJzL2Rvd25yZXYueG1sUEsB&#10;AhQAFAAAAAgAh07iQD866BUsAgAAUgQAAA4AAAAAAAAAAQAgAAAAKQEAAGRycy9lMm9Eb2MueG1s&#10;UEsFBgAAAAAGAAYAWQEAAMcFAAAAAA==&#10;">
                <v:fill on="t" focussize="0,0"/>
                <v:stroke color="#000000" joinstyle="miter"/>
                <v:imagedata o:title=""/>
                <o:lock v:ext="edit" aspectratio="f"/>
                <v:textbox>
                  <w:txbxContent>
                    <w:p w14:paraId="3AC1ECCB">
                      <w:pPr>
                        <w:jc w:val="center"/>
                        <w:rPr>
                          <w:rFonts w:hint="eastAsia"/>
                          <w:szCs w:val="21"/>
                        </w:rPr>
                      </w:pPr>
                    </w:p>
                    <w:p w14:paraId="4C1914EC">
                      <w:pPr>
                        <w:jc w:val="center"/>
                        <w:rPr>
                          <w:rFonts w:hint="eastAsia"/>
                          <w:szCs w:val="21"/>
                        </w:rPr>
                      </w:pPr>
                    </w:p>
                    <w:p w14:paraId="1A4AADAF">
                      <w:pPr>
                        <w:jc w:val="center"/>
                        <w:rPr>
                          <w:rFonts w:hint="eastAsia"/>
                          <w:szCs w:val="21"/>
                        </w:rPr>
                      </w:pPr>
                    </w:p>
                    <w:p w14:paraId="248D0963">
                      <w:pPr>
                        <w:jc w:val="center"/>
                        <w:rPr>
                          <w:szCs w:val="21"/>
                        </w:rPr>
                      </w:pPr>
                      <w:r>
                        <w:rPr>
                          <w:rFonts w:hint="eastAsia"/>
                          <w:szCs w:val="21"/>
                        </w:rPr>
                        <w:t>委托代理人身份证</w:t>
                      </w:r>
                      <w:r>
                        <w:rPr>
                          <w:rFonts w:hint="eastAsia" w:ascii="Times New Roman"/>
                          <w:snapToGrid w:val="0"/>
                          <w:kern w:val="0"/>
                        </w:rPr>
                        <w:t>扫描件</w:t>
                      </w:r>
                      <w:r>
                        <w:rPr>
                          <w:rFonts w:hint="eastAsia"/>
                          <w:szCs w:val="21"/>
                        </w:rPr>
                        <w:t>正、反面</w:t>
                      </w:r>
                    </w:p>
                  </w:txbxContent>
                </v:textbox>
              </v:shape>
            </w:pict>
          </mc:Fallback>
        </mc:AlternateContent>
      </w:r>
    </w:p>
    <w:p w14:paraId="7453FE97">
      <w:pPr>
        <w:wordWrap w:val="0"/>
        <w:adjustRightInd w:val="0"/>
        <w:snapToGrid w:val="0"/>
        <w:spacing w:line="440" w:lineRule="exact"/>
        <w:ind w:firstLine="420" w:firstLineChars="200"/>
        <w:rPr>
          <w:rFonts w:hint="eastAsia" w:ascii="Times New Roman"/>
          <w:snapToGrid w:val="0"/>
          <w:color w:val="auto"/>
          <w:kern w:val="0"/>
          <w:szCs w:val="21"/>
          <w:highlight w:val="none"/>
        </w:rPr>
      </w:pPr>
    </w:p>
    <w:p w14:paraId="7B84B004">
      <w:pPr>
        <w:wordWrap w:val="0"/>
        <w:adjustRightInd w:val="0"/>
        <w:snapToGrid w:val="0"/>
        <w:ind w:firstLine="4830" w:firstLineChars="2300"/>
        <w:rPr>
          <w:rFonts w:hint="eastAsia" w:ascii="Times New Roman"/>
          <w:snapToGrid w:val="0"/>
          <w:color w:val="auto"/>
          <w:kern w:val="0"/>
          <w:szCs w:val="24"/>
          <w:highlight w:val="none"/>
        </w:rPr>
      </w:pPr>
    </w:p>
    <w:p w14:paraId="6B9E040D">
      <w:pPr>
        <w:widowControl w:val="0"/>
        <w:wordWrap w:val="0"/>
        <w:adjustRightInd w:val="0"/>
        <w:snapToGrid w:val="0"/>
        <w:rPr>
          <w:rFonts w:hint="eastAsia" w:ascii="Times New Roman"/>
          <w:snapToGrid w:val="0"/>
          <w:color w:val="auto"/>
          <w:highlight w:val="none"/>
        </w:rPr>
        <w:sectPr>
          <w:endnotePr>
            <w:numFmt w:val="decimal"/>
          </w:endnotePr>
          <w:pgSz w:w="11906" w:h="16838"/>
          <w:pgMar w:top="1440" w:right="1080" w:bottom="1440" w:left="1080" w:header="850" w:footer="992" w:gutter="0"/>
          <w:pgNumType w:fmt="decimal"/>
          <w:cols w:space="720" w:num="1"/>
          <w:docGrid w:linePitch="327" w:charSpace="0"/>
        </w:sectPr>
      </w:pPr>
    </w:p>
    <w:p w14:paraId="2447926E">
      <w:pPr>
        <w:spacing w:before="78" w:line="220" w:lineRule="auto"/>
        <w:outlineLvl w:val="2"/>
        <w:rPr>
          <w:rFonts w:hint="eastAsia" w:ascii="宋体" w:hAnsi="宋体" w:eastAsia="宋体" w:cs="宋体"/>
          <w:b/>
          <w:bCs/>
          <w:color w:val="auto"/>
          <w:spacing w:val="-4"/>
          <w:sz w:val="24"/>
          <w:szCs w:val="24"/>
          <w:highlight w:val="none"/>
        </w:rPr>
      </w:pPr>
      <w:bookmarkStart w:id="235" w:name="_Toc30394"/>
      <w:r>
        <w:rPr>
          <w:rFonts w:hint="eastAsia" w:ascii="宋体" w:hAnsi="宋体" w:eastAsia="宋体" w:cs="宋体"/>
          <w:b/>
          <w:bCs/>
          <w:color w:val="auto"/>
          <w:spacing w:val="-4"/>
          <w:sz w:val="24"/>
          <w:szCs w:val="24"/>
          <w:highlight w:val="none"/>
        </w:rPr>
        <w:t>格式五 法定代表人身份证明</w:t>
      </w:r>
      <w:bookmarkEnd w:id="235"/>
    </w:p>
    <w:p w14:paraId="67D265AF">
      <w:pPr>
        <w:pStyle w:val="5"/>
        <w:spacing w:line="350" w:lineRule="auto"/>
        <w:rPr>
          <w:rFonts w:hint="eastAsia" w:ascii="宋体" w:hAnsi="宋体" w:eastAsia="宋体" w:cs="宋体"/>
          <w:color w:val="auto"/>
          <w:highlight w:val="none"/>
        </w:rPr>
      </w:pPr>
    </w:p>
    <w:p w14:paraId="5B3BDAA6">
      <w:pPr>
        <w:pStyle w:val="5"/>
        <w:spacing w:line="350" w:lineRule="auto"/>
        <w:rPr>
          <w:rFonts w:hint="eastAsia" w:ascii="宋体" w:hAnsi="宋体" w:eastAsia="宋体" w:cs="宋体"/>
          <w:color w:val="auto"/>
          <w:highlight w:val="none"/>
        </w:rPr>
      </w:pPr>
    </w:p>
    <w:p w14:paraId="6EF58E9B">
      <w:pPr>
        <w:spacing w:before="98" w:line="220" w:lineRule="auto"/>
        <w:ind w:left="3183"/>
        <w:rPr>
          <w:rFonts w:hint="eastAsia" w:ascii="宋体" w:hAnsi="宋体" w:eastAsia="宋体" w:cs="宋体"/>
          <w:color w:val="auto"/>
          <w:sz w:val="30"/>
          <w:szCs w:val="30"/>
          <w:highlight w:val="none"/>
        </w:rPr>
      </w:pPr>
      <w:bookmarkStart w:id="236" w:name="bookmark152"/>
      <w:bookmarkEnd w:id="236"/>
      <w:r>
        <w:rPr>
          <w:rFonts w:hint="eastAsia" w:ascii="宋体" w:hAnsi="宋体" w:eastAsia="宋体" w:cs="宋体"/>
          <w:b/>
          <w:bCs/>
          <w:color w:val="auto"/>
          <w:spacing w:val="-4"/>
          <w:sz w:val="30"/>
          <w:szCs w:val="30"/>
          <w:highlight w:val="none"/>
        </w:rPr>
        <w:t>法定代表人身份证明</w:t>
      </w:r>
    </w:p>
    <w:p w14:paraId="51B2F6DC">
      <w:pPr>
        <w:pStyle w:val="5"/>
        <w:spacing w:line="250" w:lineRule="auto"/>
        <w:rPr>
          <w:rFonts w:hint="eastAsia" w:ascii="宋体" w:hAnsi="宋体" w:eastAsia="宋体" w:cs="宋体"/>
          <w:color w:val="auto"/>
          <w:highlight w:val="none"/>
        </w:rPr>
      </w:pPr>
    </w:p>
    <w:p w14:paraId="1FDB7EC2">
      <w:pPr>
        <w:pStyle w:val="5"/>
        <w:spacing w:line="250" w:lineRule="auto"/>
        <w:rPr>
          <w:rFonts w:hint="eastAsia" w:ascii="宋体" w:hAnsi="宋体" w:eastAsia="宋体" w:cs="宋体"/>
          <w:color w:val="auto"/>
          <w:highlight w:val="none"/>
        </w:rPr>
      </w:pPr>
    </w:p>
    <w:p w14:paraId="5AF2AFD4">
      <w:pPr>
        <w:pStyle w:val="5"/>
        <w:spacing w:line="251" w:lineRule="auto"/>
        <w:rPr>
          <w:rFonts w:hint="eastAsia" w:ascii="宋体" w:hAnsi="宋体" w:eastAsia="宋体" w:cs="宋体"/>
          <w:color w:val="auto"/>
          <w:highlight w:val="none"/>
        </w:rPr>
      </w:pPr>
    </w:p>
    <w:p w14:paraId="324797F0">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投标人名称：</w:t>
      </w:r>
      <w:r>
        <w:rPr>
          <w:rFonts w:hint="eastAsia" w:ascii="宋体" w:hAnsi="宋体" w:eastAsia="宋体" w:cs="宋体"/>
          <w:snapToGrid w:val="0"/>
          <w:color w:val="auto"/>
          <w:kern w:val="0"/>
          <w:sz w:val="24"/>
          <w:szCs w:val="24"/>
          <w:highlight w:val="none"/>
          <w:u w:val="single"/>
        </w:rPr>
        <w:t xml:space="preserve">                  </w:t>
      </w:r>
    </w:p>
    <w:p w14:paraId="566547D8">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姓名：</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性别：</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年龄：</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职务：</w:t>
      </w:r>
      <w:r>
        <w:rPr>
          <w:rFonts w:hint="eastAsia" w:ascii="宋体" w:hAnsi="宋体" w:eastAsia="宋体" w:cs="宋体"/>
          <w:snapToGrid w:val="0"/>
          <w:color w:val="auto"/>
          <w:kern w:val="0"/>
          <w:sz w:val="24"/>
          <w:szCs w:val="24"/>
          <w:highlight w:val="none"/>
          <w:u w:val="single"/>
        </w:rPr>
        <w:t xml:space="preserve">           </w:t>
      </w:r>
    </w:p>
    <w:p w14:paraId="3B372B94">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系</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（投标人名称）的法定代表人。</w:t>
      </w:r>
    </w:p>
    <w:p w14:paraId="000DC234">
      <w:pPr>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 w:val="24"/>
          <w:szCs w:val="24"/>
          <w:highlight w:val="none"/>
        </w:rPr>
        <w:t xml:space="preserve">    特此证明。</w:t>
      </w:r>
    </w:p>
    <w:p w14:paraId="19C18B59">
      <w:pPr>
        <w:pStyle w:val="5"/>
        <w:spacing w:line="277" w:lineRule="auto"/>
        <w:rPr>
          <w:rFonts w:hint="eastAsia" w:ascii="宋体" w:hAnsi="宋体" w:eastAsia="宋体" w:cs="宋体"/>
          <w:color w:val="auto"/>
          <w:highlight w:val="none"/>
        </w:rPr>
      </w:pPr>
    </w:p>
    <w:p w14:paraId="092E8AEC">
      <w:pPr>
        <w:pStyle w:val="5"/>
        <w:spacing w:line="277" w:lineRule="auto"/>
        <w:rPr>
          <w:rFonts w:hint="eastAsia" w:ascii="宋体" w:hAnsi="宋体" w:eastAsia="宋体" w:cs="宋体"/>
          <w:color w:val="auto"/>
          <w:highlight w:val="none"/>
        </w:rPr>
      </w:pPr>
    </w:p>
    <w:p w14:paraId="4E24C1E0">
      <w:pPr>
        <w:pStyle w:val="5"/>
        <w:spacing w:line="278" w:lineRule="auto"/>
        <w:rPr>
          <w:rFonts w:hint="eastAsia" w:ascii="宋体" w:hAnsi="宋体" w:eastAsia="宋体" w:cs="宋体"/>
          <w:color w:val="auto"/>
          <w:highlight w:val="none"/>
        </w:rPr>
      </w:pPr>
    </w:p>
    <w:p w14:paraId="30AA9900">
      <w:pPr>
        <w:spacing w:before="78"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盖单位章）</w:t>
      </w:r>
    </w:p>
    <w:p w14:paraId="649F6E9D">
      <w:pPr>
        <w:pStyle w:val="5"/>
        <w:spacing w:line="317" w:lineRule="auto"/>
        <w:jc w:val="right"/>
        <w:rPr>
          <w:rFonts w:hint="eastAsia" w:ascii="宋体" w:hAnsi="宋体" w:eastAsia="宋体" w:cs="宋体"/>
          <w:color w:val="auto"/>
          <w:highlight w:val="none"/>
        </w:rPr>
      </w:pPr>
    </w:p>
    <w:p w14:paraId="3643764D">
      <w:pPr>
        <w:pStyle w:val="5"/>
        <w:spacing w:line="317" w:lineRule="auto"/>
        <w:jc w:val="right"/>
        <w:rPr>
          <w:rFonts w:hint="eastAsia" w:ascii="宋体" w:hAnsi="宋体" w:eastAsia="宋体" w:cs="宋体"/>
          <w:color w:val="auto"/>
          <w:highlight w:val="none"/>
        </w:rPr>
      </w:pPr>
    </w:p>
    <w:p w14:paraId="558FA150">
      <w:pPr>
        <w:pStyle w:val="5"/>
        <w:spacing w:line="317" w:lineRule="auto"/>
        <w:jc w:val="right"/>
        <w:rPr>
          <w:rFonts w:hint="eastAsia" w:ascii="宋体" w:hAnsi="宋体" w:eastAsia="宋体" w:cs="宋体"/>
          <w:color w:val="auto"/>
          <w:highlight w:val="none"/>
        </w:rPr>
      </w:pPr>
    </w:p>
    <w:p w14:paraId="0384109A">
      <w:pPr>
        <w:spacing w:before="79"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56F31ABA">
      <w:pPr>
        <w:pStyle w:val="5"/>
        <w:spacing w:line="257" w:lineRule="auto"/>
        <w:jc w:val="right"/>
        <w:rPr>
          <w:rFonts w:hint="eastAsia" w:ascii="宋体" w:hAnsi="宋体" w:eastAsia="宋体" w:cs="宋体"/>
          <w:color w:val="auto"/>
          <w:highlight w:val="none"/>
        </w:rPr>
      </w:pPr>
    </w:p>
    <w:p w14:paraId="5FF97CE0">
      <w:pPr>
        <w:pStyle w:val="5"/>
        <w:spacing w:line="257" w:lineRule="auto"/>
        <w:jc w:val="right"/>
        <w:rPr>
          <w:rFonts w:hint="eastAsia" w:ascii="宋体" w:hAnsi="宋体" w:eastAsia="宋体" w:cs="宋体"/>
          <w:color w:val="auto"/>
          <w:highlight w:val="none"/>
        </w:rPr>
      </w:pPr>
    </w:p>
    <w:p w14:paraId="4629E58A">
      <w:pPr>
        <w:pStyle w:val="5"/>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052237C">
      <w:pPr>
        <w:pStyle w:val="5"/>
        <w:spacing w:line="254" w:lineRule="auto"/>
        <w:rPr>
          <w:rFonts w:hint="eastAsia" w:ascii="宋体" w:hAnsi="宋体" w:eastAsia="宋体" w:cs="宋体"/>
          <w:color w:val="auto"/>
          <w:highlight w:val="none"/>
        </w:rPr>
      </w:pPr>
    </w:p>
    <w:p w14:paraId="60854A8F">
      <w:pPr>
        <w:pStyle w:val="5"/>
        <w:spacing w:line="254" w:lineRule="auto"/>
        <w:rPr>
          <w:rFonts w:hint="eastAsia" w:ascii="宋体" w:hAnsi="宋体" w:eastAsia="宋体" w:cs="宋体"/>
          <w:color w:val="auto"/>
          <w:highlight w:val="none"/>
        </w:rPr>
      </w:pPr>
    </w:p>
    <w:p w14:paraId="0B433989">
      <w:pPr>
        <w:pStyle w:val="5"/>
        <w:spacing w:line="254" w:lineRule="auto"/>
        <w:rPr>
          <w:rFonts w:hint="eastAsia" w:ascii="宋体" w:hAnsi="宋体" w:eastAsia="宋体" w:cs="宋体"/>
          <w:color w:val="auto"/>
          <w:highlight w:val="none"/>
        </w:rPr>
      </w:pPr>
    </w:p>
    <w:p w14:paraId="07B311CE">
      <w:pPr>
        <w:pStyle w:val="5"/>
        <w:spacing w:line="254" w:lineRule="auto"/>
        <w:rPr>
          <w:rFonts w:hint="eastAsia" w:ascii="宋体" w:hAnsi="宋体" w:eastAsia="宋体" w:cs="宋体"/>
          <w:color w:val="auto"/>
          <w:highlight w:val="none"/>
        </w:rPr>
      </w:pPr>
    </w:p>
    <w:p w14:paraId="0D5D3A79">
      <w:pPr>
        <w:pStyle w:val="5"/>
        <w:spacing w:line="255" w:lineRule="auto"/>
        <w:rPr>
          <w:rFonts w:hint="eastAsia" w:ascii="宋体" w:hAnsi="宋体" w:eastAsia="宋体" w:cs="宋体"/>
          <w:color w:val="auto"/>
          <w:highlight w:val="none"/>
        </w:rPr>
      </w:pPr>
    </w:p>
    <w:p w14:paraId="71FAA874">
      <w:pPr>
        <w:pStyle w:val="5"/>
        <w:spacing w:line="255" w:lineRule="auto"/>
        <w:rPr>
          <w:rFonts w:hint="eastAsia" w:ascii="宋体" w:hAnsi="宋体" w:eastAsia="宋体" w:cs="宋体"/>
          <w:color w:val="auto"/>
          <w:highlight w:val="none"/>
        </w:rPr>
      </w:pPr>
    </w:p>
    <w:p w14:paraId="43D7BC2B">
      <w:pPr>
        <w:pStyle w:val="5"/>
        <w:spacing w:before="1" w:line="2510" w:lineRule="exact"/>
        <w:ind w:firstLine="2534"/>
        <w:rPr>
          <w:rFonts w:hint="eastAsia" w:ascii="宋体" w:hAnsi="宋体" w:eastAsia="宋体" w:cs="宋体"/>
          <w:color w:val="auto"/>
          <w:highlight w:val="none"/>
        </w:rPr>
      </w:pPr>
      <w:r>
        <w:rPr>
          <w:rFonts w:hint="eastAsia" w:ascii="宋体" w:hAnsi="宋体" w:eastAsia="宋体" w:cs="宋体"/>
          <w:color w:val="auto"/>
          <w:position w:val="-50"/>
          <w:highlight w:val="none"/>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3"/>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0067A5C7">
                              <w:pPr>
                                <w:spacing w:line="249" w:lineRule="auto"/>
                              </w:pPr>
                            </w:p>
                            <w:p w14:paraId="31CBCD3F">
                              <w:pPr>
                                <w:spacing w:line="249" w:lineRule="auto"/>
                              </w:pPr>
                            </w:p>
                            <w:p w14:paraId="56B20E7C">
                              <w:pPr>
                                <w:spacing w:line="249" w:lineRule="auto"/>
                              </w:pPr>
                            </w:p>
                            <w:p w14:paraId="024DCC48">
                              <w:pPr>
                                <w:spacing w:line="249" w:lineRule="auto"/>
                              </w:pPr>
                            </w:p>
                            <w:p w14:paraId="41AEEA98">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3"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067A5C7">
                        <w:pPr>
                          <w:spacing w:line="249" w:lineRule="auto"/>
                        </w:pPr>
                      </w:p>
                      <w:p w14:paraId="31CBCD3F">
                        <w:pPr>
                          <w:spacing w:line="249" w:lineRule="auto"/>
                        </w:pPr>
                      </w:p>
                      <w:p w14:paraId="56B20E7C">
                        <w:pPr>
                          <w:spacing w:line="249" w:lineRule="auto"/>
                        </w:pPr>
                      </w:p>
                      <w:p w14:paraId="024DCC48">
                        <w:pPr>
                          <w:spacing w:line="249" w:lineRule="auto"/>
                        </w:pPr>
                      </w:p>
                      <w:p w14:paraId="41AEEA98">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v:textbox>
                </v:shape>
                <w10:wrap type="none"/>
                <w10:anchorlock/>
              </v:group>
            </w:pict>
          </mc:Fallback>
        </mc:AlternateContent>
      </w:r>
    </w:p>
    <w:p w14:paraId="23B2CEED">
      <w:pPr>
        <w:spacing w:line="2510" w:lineRule="exact"/>
        <w:rPr>
          <w:rFonts w:hint="eastAsia" w:ascii="宋体" w:hAnsi="宋体" w:eastAsia="宋体" w:cs="宋体"/>
          <w:color w:val="auto"/>
          <w:highlight w:val="none"/>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F91306D">
      <w:pPr>
        <w:spacing w:before="78" w:line="220" w:lineRule="auto"/>
        <w:outlineLvl w:val="2"/>
        <w:rPr>
          <w:rFonts w:hint="eastAsia" w:ascii="宋体" w:hAnsi="宋体" w:eastAsia="宋体" w:cs="宋体"/>
          <w:b/>
          <w:bCs/>
          <w:color w:val="auto"/>
          <w:spacing w:val="-4"/>
          <w:sz w:val="24"/>
          <w:szCs w:val="24"/>
          <w:highlight w:val="none"/>
        </w:rPr>
      </w:pPr>
      <w:bookmarkStart w:id="237" w:name="_Toc5771"/>
      <w:r>
        <w:rPr>
          <w:rFonts w:hint="eastAsia" w:ascii="宋体" w:hAnsi="宋体" w:eastAsia="宋体" w:cs="宋体"/>
          <w:b/>
          <w:bCs/>
          <w:color w:val="auto"/>
          <w:spacing w:val="-4"/>
          <w:sz w:val="24"/>
          <w:szCs w:val="24"/>
          <w:highlight w:val="none"/>
        </w:rPr>
        <w:t>格式六 联合体协议书</w:t>
      </w:r>
      <w:bookmarkEnd w:id="237"/>
    </w:p>
    <w:p w14:paraId="5095A1DE">
      <w:pPr>
        <w:spacing w:before="98" w:line="219" w:lineRule="auto"/>
        <w:ind w:left="3638"/>
        <w:rPr>
          <w:rFonts w:hint="eastAsia" w:ascii="宋体" w:hAnsi="宋体" w:eastAsia="宋体" w:cs="宋体"/>
          <w:color w:val="auto"/>
          <w:sz w:val="30"/>
          <w:szCs w:val="30"/>
          <w:highlight w:val="none"/>
        </w:rPr>
      </w:pPr>
      <w:bookmarkStart w:id="238" w:name="bookmark153"/>
      <w:bookmarkEnd w:id="238"/>
      <w:r>
        <w:rPr>
          <w:rFonts w:hint="eastAsia" w:ascii="宋体" w:hAnsi="宋体" w:eastAsia="宋体" w:cs="宋体"/>
          <w:b/>
          <w:bCs/>
          <w:color w:val="auto"/>
          <w:spacing w:val="-5"/>
          <w:sz w:val="30"/>
          <w:szCs w:val="30"/>
          <w:highlight w:val="none"/>
        </w:rPr>
        <w:t>联合体协议书</w:t>
      </w:r>
    </w:p>
    <w:p w14:paraId="57D0BB87">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6160E60A">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12"/>
          <w:sz w:val="24"/>
          <w:szCs w:val="24"/>
          <w:highlight w:val="none"/>
        </w:rPr>
        <w:t>牵头人名称：</w:t>
      </w:r>
      <w:r>
        <w:rPr>
          <w:rFonts w:hint="eastAsia" w:ascii="宋体" w:hAnsi="宋体" w:eastAsia="宋体" w:cs="宋体"/>
          <w:color w:val="auto"/>
          <w:spacing w:val="4"/>
          <w:sz w:val="24"/>
          <w:szCs w:val="24"/>
          <w:highlight w:val="none"/>
        </w:rPr>
        <w:t xml:space="preserve"> </w:t>
      </w:r>
    </w:p>
    <w:p w14:paraId="63935571">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2A4E3146">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法定住所：</w:t>
      </w:r>
    </w:p>
    <w:p w14:paraId="2F9D11F5">
      <w:pPr>
        <w:outlineLvl w:val="9"/>
        <w:rPr>
          <w:rFonts w:hint="eastAsia"/>
          <w:color w:val="auto"/>
          <w:highlight w:val="none"/>
        </w:rPr>
      </w:pPr>
    </w:p>
    <w:p w14:paraId="5D280210">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成员二名称：</w:t>
      </w:r>
      <w:r>
        <w:rPr>
          <w:rFonts w:hint="eastAsia" w:ascii="宋体" w:hAnsi="宋体" w:eastAsia="宋体" w:cs="宋体"/>
          <w:color w:val="auto"/>
          <w:sz w:val="24"/>
          <w:szCs w:val="24"/>
          <w:highlight w:val="none"/>
        </w:rPr>
        <w:t xml:space="preserve"> </w:t>
      </w:r>
    </w:p>
    <w:p w14:paraId="0AE15560">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56587AC4">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法定住所：</w:t>
      </w:r>
    </w:p>
    <w:p w14:paraId="199F1654">
      <w:pPr>
        <w:keepNext w:val="0"/>
        <w:keepLines w:val="0"/>
        <w:pageBreakBefore w:val="0"/>
        <w:widowControl/>
        <w:kinsoku w:val="0"/>
        <w:wordWrap/>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3"/>
          <w:position w:val="3"/>
          <w:sz w:val="24"/>
          <w:szCs w:val="24"/>
          <w:highlight w:val="none"/>
        </w:rPr>
        <w:t>……</w:t>
      </w:r>
    </w:p>
    <w:p w14:paraId="6A564CFC">
      <w:pPr>
        <w:keepNext w:val="0"/>
        <w:keepLines w:val="0"/>
        <w:pageBreakBefore w:val="0"/>
        <w:widowControl/>
        <w:kinsoku w:val="0"/>
        <w:wordWrap/>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上述各成员单位经过友好协商，自愿组成联合体，</w:t>
      </w:r>
      <w:r>
        <w:rPr>
          <w:rFonts w:hint="eastAsia" w:ascii="宋体" w:hAnsi="宋体" w:eastAsia="宋体" w:cs="宋体"/>
          <w:color w:val="auto"/>
          <w:sz w:val="24"/>
          <w:szCs w:val="24"/>
          <w:highlight w:val="none"/>
        </w:rPr>
        <w:t>共同参加（项目名称</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以下简</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称“本项目</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”）的施工投标并争取赢得本项目施工承包</w:t>
      </w:r>
      <w:r>
        <w:rPr>
          <w:rFonts w:hint="eastAsia" w:ascii="宋体" w:hAnsi="宋体" w:eastAsia="宋体" w:cs="宋体"/>
          <w:color w:val="auto"/>
          <w:spacing w:val="-3"/>
          <w:sz w:val="24"/>
          <w:szCs w:val="24"/>
          <w:highlight w:val="none"/>
        </w:rPr>
        <w:t>合同（以下简称合同）。现就联</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合体投标事宜订立如下协议：</w:t>
      </w:r>
    </w:p>
    <w:p w14:paraId="54539F01">
      <w:pPr>
        <w:keepNext w:val="0"/>
        <w:keepLines w:val="0"/>
        <w:pageBreakBefore w:val="0"/>
        <w:widowControl/>
        <w:kinsoku w:val="0"/>
        <w:wordWrap/>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rPr>
        <w:t>某成员单位名称）为联合体牵头人。</w:t>
      </w:r>
    </w:p>
    <w:p w14:paraId="7265DAFD">
      <w:pPr>
        <w:keepNext w:val="0"/>
        <w:keepLines w:val="0"/>
        <w:pageBreakBefore w:val="0"/>
        <w:widowControl/>
        <w:kinsoku w:val="0"/>
        <w:wordWrap/>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1"/>
          <w:sz w:val="24"/>
          <w:szCs w:val="24"/>
          <w:highlight w:val="none"/>
        </w:rPr>
        <w:t>．在本项目投标阶段，联合体牵头人合法代表联合体各成员负责本项目投标</w:t>
      </w:r>
      <w:r>
        <w:rPr>
          <w:rFonts w:hint="eastAsia" w:ascii="宋体" w:hAnsi="宋体" w:eastAsia="宋体" w:cs="宋体"/>
          <w:color w:val="auto"/>
          <w:spacing w:val="-2"/>
          <w:sz w:val="24"/>
          <w:szCs w:val="24"/>
          <w:highlight w:val="none"/>
        </w:rPr>
        <w:t>文件编制活动，代表联合体提交和接收相关的资料、信息及指示，并处理与投标和中标有关</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2"/>
          <w:sz w:val="24"/>
          <w:szCs w:val="24"/>
          <w:highlight w:val="none"/>
        </w:rPr>
        <w:t>的一切事务；联合体中标后，联合体牵头人负责合同订立和合同实施阶段的主办、组织</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2"/>
          <w:sz w:val="24"/>
          <w:szCs w:val="24"/>
          <w:highlight w:val="none"/>
        </w:rPr>
        <w:t>和协调工作。</w:t>
      </w:r>
    </w:p>
    <w:p w14:paraId="650B248D">
      <w:pPr>
        <w:keepNext w:val="0"/>
        <w:keepLines w:val="0"/>
        <w:pageBreakBefore w:val="0"/>
        <w:widowControl/>
        <w:kinsoku w:val="0"/>
        <w:wordWrap/>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．联合体将严格按照招标文件的各项要求，递交投标文件，履行</w:t>
      </w:r>
      <w:r>
        <w:rPr>
          <w:rFonts w:hint="eastAsia" w:ascii="宋体" w:hAnsi="宋体" w:eastAsia="宋体" w:cs="宋体"/>
          <w:color w:val="auto"/>
          <w:spacing w:val="-2"/>
          <w:sz w:val="24"/>
          <w:szCs w:val="24"/>
          <w:highlight w:val="none"/>
        </w:rPr>
        <w:t>投标义务和中标后的合同，共同承担合同规定的一切义务和责任，联合体各成员单位按照内部职责的部</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1"/>
          <w:sz w:val="24"/>
          <w:szCs w:val="24"/>
          <w:highlight w:val="none"/>
        </w:rPr>
        <w:t>分，承担各自所负的责任和风险，并向招标人承担连带责任。</w:t>
      </w:r>
    </w:p>
    <w:p w14:paraId="21AD537D">
      <w:pPr>
        <w:keepNext w:val="0"/>
        <w:keepLines w:val="0"/>
        <w:pageBreakBefore w:val="0"/>
        <w:widowControl/>
        <w:kinsoku w:val="0"/>
        <w:wordWrap/>
        <w:overflowPunct/>
        <w:topLinePunct w:val="0"/>
        <w:autoSpaceDE w:val="0"/>
        <w:autoSpaceDN w:val="0"/>
        <w:bidi w:val="0"/>
        <w:adjustRightInd w:val="0"/>
        <w:snapToGrid w:val="0"/>
        <w:spacing w:before="154" w:line="264" w:lineRule="auto"/>
        <w:ind w:left="475"/>
        <w:textAlignment w:val="baseline"/>
        <w:outlineLvl w:val="9"/>
        <w:rPr>
          <w:rFonts w:hint="eastAsia" w:ascii="宋体" w:hAnsi="宋体" w:eastAsia="宋体" w:cs="宋体"/>
          <w:color w:val="auto"/>
          <w:sz w:val="24"/>
          <w:szCs w:val="24"/>
          <w:highlight w:val="none"/>
        </w:rPr>
      </w:pPr>
      <w:bookmarkStart w:id="239" w:name="_Toc32149"/>
      <w:bookmarkStart w:id="240" w:name="_Toc5365"/>
      <w:r>
        <w:rPr>
          <w:rFonts w:hint="eastAsia" w:ascii="宋体" w:hAnsi="宋体" w:eastAsia="宋体" w:cs="宋体"/>
          <w:color w:val="auto"/>
          <w:spacing w:val="-2"/>
          <w:sz w:val="24"/>
          <w:szCs w:val="24"/>
          <w:highlight w:val="none"/>
        </w:rPr>
        <w:t>4</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2"/>
          <w:sz w:val="24"/>
          <w:szCs w:val="24"/>
          <w:highlight w:val="none"/>
        </w:rPr>
        <w:t>．联合体各成员单位内部的职责分工如下：。</w:t>
      </w:r>
      <w:bookmarkEnd w:id="239"/>
      <w:bookmarkEnd w:id="240"/>
    </w:p>
    <w:p w14:paraId="546A4691">
      <w:pPr>
        <w:keepNext w:val="0"/>
        <w:keepLines w:val="0"/>
        <w:pageBreakBefore w:val="0"/>
        <w:widowControl/>
        <w:kinsoku w:val="0"/>
        <w:wordWrap/>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．投标工作和联合体在中标后工程实施过程中的有关费用按</w:t>
      </w:r>
      <w:r>
        <w:rPr>
          <w:rFonts w:hint="eastAsia" w:ascii="宋体" w:hAnsi="宋体" w:eastAsia="宋体" w:cs="宋体"/>
          <w:color w:val="auto"/>
          <w:spacing w:val="-2"/>
          <w:sz w:val="24"/>
          <w:szCs w:val="24"/>
          <w:highlight w:val="none"/>
        </w:rPr>
        <w:t>各自承担的工作量分</w:t>
      </w:r>
      <w:r>
        <w:rPr>
          <w:rFonts w:hint="eastAsia" w:ascii="宋体" w:hAnsi="宋体" w:eastAsia="宋体" w:cs="宋体"/>
          <w:color w:val="auto"/>
          <w:spacing w:val="-5"/>
          <w:sz w:val="24"/>
          <w:szCs w:val="24"/>
          <w:highlight w:val="none"/>
        </w:rPr>
        <w:t>摊。</w:t>
      </w:r>
    </w:p>
    <w:p w14:paraId="33A444D4">
      <w:pPr>
        <w:keepNext w:val="0"/>
        <w:keepLines w:val="0"/>
        <w:pageBreakBefore w:val="0"/>
        <w:widowControl/>
        <w:kinsoku w:val="0"/>
        <w:wordWrap/>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．联合体中标后，本联合体协议是合同的附件，对联合体各成</w:t>
      </w:r>
      <w:r>
        <w:rPr>
          <w:rFonts w:hint="eastAsia" w:ascii="宋体" w:hAnsi="宋体" w:eastAsia="宋体" w:cs="宋体"/>
          <w:color w:val="auto"/>
          <w:spacing w:val="-2"/>
          <w:sz w:val="24"/>
          <w:szCs w:val="24"/>
          <w:highlight w:val="none"/>
        </w:rPr>
        <w:t>员单位有合同约束</w:t>
      </w:r>
      <w:r>
        <w:rPr>
          <w:rFonts w:hint="eastAsia" w:ascii="宋体" w:hAnsi="宋体" w:eastAsia="宋体" w:cs="宋体"/>
          <w:color w:val="auto"/>
          <w:spacing w:val="-7"/>
          <w:sz w:val="24"/>
          <w:szCs w:val="24"/>
          <w:highlight w:val="none"/>
        </w:rPr>
        <w:t>力。</w:t>
      </w:r>
    </w:p>
    <w:p w14:paraId="778C3E2D">
      <w:pPr>
        <w:keepNext w:val="0"/>
        <w:keepLines w:val="0"/>
        <w:pageBreakBefore w:val="0"/>
        <w:widowControl/>
        <w:kinsoku w:val="0"/>
        <w:wordWrap/>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．本协议书自签署之日起生效，联合体未中标或者中标时合同履行</w:t>
      </w:r>
      <w:r>
        <w:rPr>
          <w:rFonts w:hint="eastAsia" w:ascii="宋体" w:hAnsi="宋体" w:eastAsia="宋体" w:cs="宋体"/>
          <w:color w:val="auto"/>
          <w:spacing w:val="-2"/>
          <w:sz w:val="24"/>
          <w:szCs w:val="24"/>
          <w:highlight w:val="none"/>
        </w:rPr>
        <w:t>完毕后自动失</w:t>
      </w:r>
      <w:r>
        <w:rPr>
          <w:rFonts w:hint="eastAsia" w:ascii="宋体" w:hAnsi="宋体" w:eastAsia="宋体" w:cs="宋体"/>
          <w:color w:val="auto"/>
          <w:spacing w:val="-8"/>
          <w:sz w:val="24"/>
          <w:szCs w:val="24"/>
          <w:highlight w:val="none"/>
        </w:rPr>
        <w:t>效。</w:t>
      </w:r>
    </w:p>
    <w:p w14:paraId="7BC91B47">
      <w:pPr>
        <w:keepNext w:val="0"/>
        <w:keepLines w:val="0"/>
        <w:pageBreakBefore w:val="0"/>
        <w:widowControl/>
        <w:kinsoku w:val="0"/>
        <w:wordWrap/>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auto"/>
          <w:sz w:val="24"/>
          <w:szCs w:val="24"/>
          <w:highlight w:val="none"/>
        </w:rPr>
      </w:pPr>
      <w:bookmarkStart w:id="241" w:name="_Toc22612"/>
      <w:bookmarkStart w:id="242" w:name="_Toc26708"/>
      <w:r>
        <w:rPr>
          <w:rFonts w:hint="eastAsia" w:ascii="宋体" w:hAnsi="宋体" w:eastAsia="宋体" w:cs="宋体"/>
          <w:color w:val="auto"/>
          <w:spacing w:val="-2"/>
          <w:sz w:val="24"/>
          <w:szCs w:val="24"/>
          <w:highlight w:val="none"/>
        </w:rPr>
        <w:t>8</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．本协议书一式份，联合体成员和招标人各执一份。</w:t>
      </w:r>
      <w:bookmarkEnd w:id="241"/>
      <w:bookmarkEnd w:id="242"/>
    </w:p>
    <w:p w14:paraId="1D22F9FD">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bookmarkStart w:id="243" w:name="bookmark154"/>
      <w:bookmarkEnd w:id="243"/>
      <w:r>
        <w:rPr>
          <w:rFonts w:hint="eastAsia" w:ascii="宋体" w:hAnsi="宋体" w:eastAsia="宋体" w:cs="宋体"/>
          <w:color w:val="auto"/>
          <w:sz w:val="24"/>
          <w:szCs w:val="24"/>
          <w:highlight w:val="none"/>
        </w:rPr>
        <w:t>牵头人名称</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rPr>
        <w:t>盖单位章）</w:t>
      </w:r>
    </w:p>
    <w:p w14:paraId="784BD52D">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27F617FE">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2022595B">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成员二名称</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盖单位章）</w:t>
      </w:r>
    </w:p>
    <w:p w14:paraId="0C758E06">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15ADDCAB">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0CCE6830">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758F69C1">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6950BD93">
      <w:pPr>
        <w:keepNext w:val="0"/>
        <w:keepLines w:val="0"/>
        <w:pageBreakBefore w:val="0"/>
        <w:widowControl/>
        <w:kinsoku w:val="0"/>
        <w:wordWrap/>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pacing w:val="9"/>
          <w:sz w:val="20"/>
          <w:szCs w:val="20"/>
          <w:highlight w:val="none"/>
        </w:rPr>
        <w:t>说明：《联合体协议书》</w:t>
      </w:r>
      <w:r>
        <w:rPr>
          <w:rFonts w:hint="eastAsia" w:ascii="宋体" w:hAnsi="宋体" w:eastAsia="宋体" w:cs="宋体"/>
          <w:color w:val="auto"/>
          <w:spacing w:val="-55"/>
          <w:sz w:val="20"/>
          <w:szCs w:val="20"/>
          <w:highlight w:val="none"/>
        </w:rPr>
        <w:t xml:space="preserve"> </w:t>
      </w:r>
      <w:r>
        <w:rPr>
          <w:rFonts w:hint="eastAsia" w:ascii="宋体" w:hAnsi="宋体" w:eastAsia="宋体" w:cs="宋体"/>
          <w:color w:val="auto"/>
          <w:spacing w:val="9"/>
          <w:sz w:val="20"/>
          <w:szCs w:val="20"/>
          <w:highlight w:val="none"/>
        </w:rPr>
        <w:t>由委托代理人签字或盖章的，</w:t>
      </w:r>
      <w:r>
        <w:rPr>
          <w:rFonts w:hint="eastAsia" w:ascii="宋体" w:hAnsi="宋体" w:eastAsia="宋体" w:cs="宋体"/>
          <w:color w:val="auto"/>
          <w:spacing w:val="8"/>
          <w:sz w:val="20"/>
          <w:szCs w:val="20"/>
          <w:highlight w:val="none"/>
        </w:rPr>
        <w:t>应附法定代表人签字或盖章的授权委托</w:t>
      </w:r>
      <w:r>
        <w:rPr>
          <w:rFonts w:hint="eastAsia" w:ascii="宋体" w:hAnsi="宋体" w:eastAsia="宋体" w:cs="宋体"/>
          <w:color w:val="auto"/>
          <w:spacing w:val="-2"/>
          <w:sz w:val="20"/>
          <w:szCs w:val="20"/>
          <w:highlight w:val="none"/>
        </w:rPr>
        <w:t>书。</w:t>
      </w:r>
    </w:p>
    <w:p w14:paraId="4ACC4BD3">
      <w:pPr>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z w:val="20"/>
          <w:szCs w:val="20"/>
          <w:highlight w:val="none"/>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EFDB9DA">
      <w:pPr>
        <w:spacing w:before="78" w:line="220" w:lineRule="auto"/>
        <w:outlineLvl w:val="2"/>
        <w:rPr>
          <w:rFonts w:hint="eastAsia" w:ascii="宋体" w:hAnsi="宋体" w:eastAsia="宋体" w:cs="宋体"/>
          <w:b/>
          <w:bCs/>
          <w:color w:val="auto"/>
          <w:spacing w:val="-4"/>
          <w:sz w:val="24"/>
          <w:szCs w:val="24"/>
          <w:highlight w:val="none"/>
        </w:rPr>
      </w:pPr>
      <w:bookmarkStart w:id="244" w:name="_Toc17838"/>
      <w:r>
        <w:rPr>
          <w:rFonts w:hint="eastAsia" w:ascii="宋体" w:hAnsi="宋体" w:eastAsia="宋体" w:cs="宋体"/>
          <w:b/>
          <w:bCs/>
          <w:color w:val="auto"/>
          <w:spacing w:val="-4"/>
          <w:sz w:val="24"/>
          <w:szCs w:val="24"/>
          <w:highlight w:val="none"/>
        </w:rPr>
        <w:t>格式七 投标人基本情况表</w:t>
      </w:r>
      <w:bookmarkEnd w:id="244"/>
    </w:p>
    <w:p w14:paraId="23048DE3">
      <w:pPr>
        <w:spacing w:before="333" w:line="219" w:lineRule="auto"/>
        <w:ind w:left="3350"/>
        <w:rPr>
          <w:rFonts w:hint="eastAsia" w:ascii="宋体" w:hAnsi="宋体" w:eastAsia="宋体" w:cs="宋体"/>
          <w:color w:val="auto"/>
          <w:sz w:val="30"/>
          <w:szCs w:val="30"/>
          <w:highlight w:val="none"/>
        </w:rPr>
      </w:pPr>
      <w:r>
        <w:rPr>
          <w:rFonts w:hint="eastAsia" w:ascii="宋体" w:hAnsi="宋体" w:eastAsia="宋体" w:cs="宋体"/>
          <w:b/>
          <w:bCs/>
          <w:color w:val="auto"/>
          <w:spacing w:val="-5"/>
          <w:sz w:val="30"/>
          <w:szCs w:val="30"/>
          <w:highlight w:val="none"/>
        </w:rPr>
        <w:t>投标人基本情况表</w:t>
      </w:r>
    </w:p>
    <w:p w14:paraId="33E85BC8">
      <w:pPr>
        <w:spacing w:line="239" w:lineRule="exact"/>
        <w:rPr>
          <w:rFonts w:hint="eastAsia" w:ascii="宋体" w:hAnsi="宋体" w:eastAsia="宋体" w:cs="宋体"/>
          <w:color w:val="auto"/>
          <w:highlight w:val="none"/>
        </w:rPr>
      </w:pPr>
    </w:p>
    <w:tbl>
      <w:tblPr>
        <w:tblStyle w:val="14"/>
        <w:tblW w:w="9259" w:type="dxa"/>
        <w:tblInd w:w="2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5D5CC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620" w:type="dxa"/>
            <w:vAlign w:val="center"/>
          </w:tcPr>
          <w:p w14:paraId="3AD258FE">
            <w:pPr>
              <w:spacing w:before="149" w:line="229" w:lineRule="auto"/>
              <w:ind w:left="228"/>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p>
        </w:tc>
        <w:tc>
          <w:tcPr>
            <w:tcW w:w="7639" w:type="dxa"/>
            <w:gridSpan w:val="8"/>
            <w:vAlign w:val="top"/>
          </w:tcPr>
          <w:p w14:paraId="3868B49A">
            <w:pPr>
              <w:pStyle w:val="22"/>
              <w:rPr>
                <w:rFonts w:hint="eastAsia" w:ascii="宋体" w:hAnsi="宋体" w:eastAsia="宋体" w:cs="宋体"/>
                <w:color w:val="auto"/>
                <w:sz w:val="24"/>
                <w:szCs w:val="24"/>
                <w:highlight w:val="none"/>
              </w:rPr>
            </w:pPr>
          </w:p>
        </w:tc>
      </w:tr>
      <w:tr w14:paraId="72582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1620" w:type="dxa"/>
            <w:vAlign w:val="top"/>
          </w:tcPr>
          <w:p w14:paraId="4C48FCF7">
            <w:pPr>
              <w:spacing w:before="144" w:line="230" w:lineRule="auto"/>
              <w:ind w:left="32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注册地址</w:t>
            </w:r>
          </w:p>
        </w:tc>
        <w:tc>
          <w:tcPr>
            <w:tcW w:w="3684" w:type="dxa"/>
            <w:gridSpan w:val="3"/>
            <w:vAlign w:val="top"/>
          </w:tcPr>
          <w:p w14:paraId="7F271352">
            <w:pPr>
              <w:pStyle w:val="22"/>
              <w:rPr>
                <w:rFonts w:hint="eastAsia" w:ascii="宋体" w:hAnsi="宋体" w:eastAsia="宋体" w:cs="宋体"/>
                <w:color w:val="auto"/>
                <w:sz w:val="24"/>
                <w:szCs w:val="24"/>
                <w:highlight w:val="none"/>
              </w:rPr>
            </w:pPr>
          </w:p>
        </w:tc>
        <w:tc>
          <w:tcPr>
            <w:tcW w:w="1354" w:type="dxa"/>
            <w:gridSpan w:val="2"/>
            <w:vAlign w:val="top"/>
          </w:tcPr>
          <w:p w14:paraId="3A706451">
            <w:pPr>
              <w:spacing w:before="144" w:line="228" w:lineRule="auto"/>
              <w:ind w:left="226"/>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邮政编码</w:t>
            </w:r>
          </w:p>
        </w:tc>
        <w:tc>
          <w:tcPr>
            <w:tcW w:w="2601" w:type="dxa"/>
            <w:gridSpan w:val="3"/>
            <w:vAlign w:val="top"/>
          </w:tcPr>
          <w:p w14:paraId="0794D51B">
            <w:pPr>
              <w:pStyle w:val="22"/>
              <w:rPr>
                <w:rFonts w:hint="eastAsia" w:ascii="宋体" w:hAnsi="宋体" w:eastAsia="宋体" w:cs="宋体"/>
                <w:color w:val="auto"/>
                <w:sz w:val="24"/>
                <w:szCs w:val="24"/>
                <w:highlight w:val="none"/>
              </w:rPr>
            </w:pPr>
          </w:p>
        </w:tc>
      </w:tr>
      <w:tr w14:paraId="55C4B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620" w:type="dxa"/>
            <w:vMerge w:val="restart"/>
            <w:tcBorders>
              <w:bottom w:val="nil"/>
            </w:tcBorders>
            <w:vAlign w:val="top"/>
          </w:tcPr>
          <w:p w14:paraId="21FB4ADA">
            <w:pPr>
              <w:pStyle w:val="22"/>
              <w:spacing w:line="332" w:lineRule="auto"/>
              <w:rPr>
                <w:rFonts w:hint="eastAsia" w:ascii="宋体" w:hAnsi="宋体" w:eastAsia="宋体" w:cs="宋体"/>
                <w:color w:val="auto"/>
                <w:sz w:val="24"/>
                <w:szCs w:val="24"/>
                <w:highlight w:val="none"/>
              </w:rPr>
            </w:pPr>
          </w:p>
          <w:p w14:paraId="3969FF5E">
            <w:pPr>
              <w:spacing w:before="65" w:line="230" w:lineRule="auto"/>
              <w:ind w:left="329"/>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联系方式</w:t>
            </w:r>
          </w:p>
        </w:tc>
        <w:tc>
          <w:tcPr>
            <w:tcW w:w="975" w:type="dxa"/>
            <w:vAlign w:val="top"/>
          </w:tcPr>
          <w:p w14:paraId="0728E46D">
            <w:pPr>
              <w:spacing w:before="145" w:line="231" w:lineRule="auto"/>
              <w:ind w:left="136"/>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联系人</w:t>
            </w:r>
          </w:p>
        </w:tc>
        <w:tc>
          <w:tcPr>
            <w:tcW w:w="2709" w:type="dxa"/>
            <w:gridSpan w:val="2"/>
            <w:vAlign w:val="top"/>
          </w:tcPr>
          <w:p w14:paraId="5637CB33">
            <w:pPr>
              <w:pStyle w:val="22"/>
              <w:rPr>
                <w:rFonts w:hint="eastAsia" w:ascii="宋体" w:hAnsi="宋体" w:eastAsia="宋体" w:cs="宋体"/>
                <w:color w:val="auto"/>
                <w:sz w:val="24"/>
                <w:szCs w:val="24"/>
                <w:highlight w:val="none"/>
              </w:rPr>
            </w:pPr>
          </w:p>
        </w:tc>
        <w:tc>
          <w:tcPr>
            <w:tcW w:w="1354" w:type="dxa"/>
            <w:gridSpan w:val="2"/>
            <w:vAlign w:val="top"/>
          </w:tcPr>
          <w:p w14:paraId="2E3E7343">
            <w:pPr>
              <w:spacing w:before="145" w:line="231" w:lineRule="auto"/>
              <w:ind w:left="338"/>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电</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2"/>
                <w:sz w:val="24"/>
                <w:szCs w:val="24"/>
                <w:highlight w:val="none"/>
              </w:rPr>
              <w:t>话</w:t>
            </w:r>
          </w:p>
        </w:tc>
        <w:tc>
          <w:tcPr>
            <w:tcW w:w="2601" w:type="dxa"/>
            <w:gridSpan w:val="3"/>
            <w:vAlign w:val="top"/>
          </w:tcPr>
          <w:p w14:paraId="5782260D">
            <w:pPr>
              <w:pStyle w:val="22"/>
              <w:rPr>
                <w:rFonts w:hint="eastAsia" w:ascii="宋体" w:hAnsi="宋体" w:eastAsia="宋体" w:cs="宋体"/>
                <w:color w:val="auto"/>
                <w:sz w:val="24"/>
                <w:szCs w:val="24"/>
                <w:highlight w:val="none"/>
              </w:rPr>
            </w:pPr>
          </w:p>
        </w:tc>
      </w:tr>
      <w:tr w14:paraId="28CCC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620" w:type="dxa"/>
            <w:vMerge w:val="continue"/>
            <w:tcBorders>
              <w:top w:val="nil"/>
            </w:tcBorders>
            <w:vAlign w:val="top"/>
          </w:tcPr>
          <w:p w14:paraId="7A3AF93F">
            <w:pPr>
              <w:pStyle w:val="22"/>
              <w:rPr>
                <w:rFonts w:hint="eastAsia" w:ascii="宋体" w:hAnsi="宋体" w:eastAsia="宋体" w:cs="宋体"/>
                <w:color w:val="auto"/>
                <w:sz w:val="24"/>
                <w:szCs w:val="24"/>
                <w:highlight w:val="none"/>
              </w:rPr>
            </w:pPr>
          </w:p>
        </w:tc>
        <w:tc>
          <w:tcPr>
            <w:tcW w:w="975" w:type="dxa"/>
            <w:vAlign w:val="top"/>
          </w:tcPr>
          <w:p w14:paraId="59F6159F">
            <w:pPr>
              <w:spacing w:before="143" w:line="228" w:lineRule="auto"/>
              <w:ind w:left="13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传</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真</w:t>
            </w:r>
          </w:p>
        </w:tc>
        <w:tc>
          <w:tcPr>
            <w:tcW w:w="2709" w:type="dxa"/>
            <w:gridSpan w:val="2"/>
            <w:vAlign w:val="top"/>
          </w:tcPr>
          <w:p w14:paraId="7350F347">
            <w:pPr>
              <w:pStyle w:val="22"/>
              <w:rPr>
                <w:rFonts w:hint="eastAsia" w:ascii="宋体" w:hAnsi="宋体" w:eastAsia="宋体" w:cs="宋体"/>
                <w:color w:val="auto"/>
                <w:sz w:val="24"/>
                <w:szCs w:val="24"/>
                <w:highlight w:val="none"/>
              </w:rPr>
            </w:pPr>
          </w:p>
        </w:tc>
        <w:tc>
          <w:tcPr>
            <w:tcW w:w="1354" w:type="dxa"/>
            <w:gridSpan w:val="2"/>
            <w:vAlign w:val="top"/>
          </w:tcPr>
          <w:p w14:paraId="4088D124">
            <w:pPr>
              <w:spacing w:before="144" w:line="229" w:lineRule="auto"/>
              <w:ind w:left="23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电子邮箱</w:t>
            </w:r>
          </w:p>
        </w:tc>
        <w:tc>
          <w:tcPr>
            <w:tcW w:w="2601" w:type="dxa"/>
            <w:gridSpan w:val="3"/>
            <w:vAlign w:val="top"/>
          </w:tcPr>
          <w:p w14:paraId="6BCAF978">
            <w:pPr>
              <w:pStyle w:val="22"/>
              <w:rPr>
                <w:rFonts w:hint="eastAsia" w:ascii="宋体" w:hAnsi="宋体" w:eastAsia="宋体" w:cs="宋体"/>
                <w:color w:val="auto"/>
                <w:sz w:val="24"/>
                <w:szCs w:val="24"/>
                <w:highlight w:val="none"/>
              </w:rPr>
            </w:pPr>
          </w:p>
        </w:tc>
      </w:tr>
      <w:tr w14:paraId="1ED7E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620" w:type="dxa"/>
            <w:vAlign w:val="top"/>
          </w:tcPr>
          <w:p w14:paraId="4FD73951">
            <w:pPr>
              <w:spacing w:before="145" w:line="229"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单位性质</w:t>
            </w:r>
          </w:p>
        </w:tc>
        <w:tc>
          <w:tcPr>
            <w:tcW w:w="7639" w:type="dxa"/>
            <w:gridSpan w:val="8"/>
            <w:vAlign w:val="top"/>
          </w:tcPr>
          <w:p w14:paraId="5AEB4CA3">
            <w:pPr>
              <w:pStyle w:val="22"/>
              <w:rPr>
                <w:rFonts w:hint="eastAsia" w:ascii="宋体" w:hAnsi="宋体" w:eastAsia="宋体" w:cs="宋体"/>
                <w:color w:val="auto"/>
                <w:sz w:val="24"/>
                <w:szCs w:val="24"/>
                <w:highlight w:val="none"/>
              </w:rPr>
            </w:pPr>
          </w:p>
        </w:tc>
      </w:tr>
      <w:tr w14:paraId="0CF4E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620" w:type="dxa"/>
            <w:vAlign w:val="top"/>
          </w:tcPr>
          <w:p w14:paraId="17C49042">
            <w:pPr>
              <w:spacing w:before="144" w:line="228" w:lineRule="auto"/>
              <w:ind w:left="226"/>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法定代表人</w:t>
            </w:r>
          </w:p>
        </w:tc>
        <w:tc>
          <w:tcPr>
            <w:tcW w:w="975" w:type="dxa"/>
            <w:vAlign w:val="top"/>
          </w:tcPr>
          <w:p w14:paraId="2771A8F7">
            <w:pPr>
              <w:spacing w:before="144" w:line="228" w:lineRule="auto"/>
              <w:ind w:left="24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837" w:type="dxa"/>
            <w:vAlign w:val="top"/>
          </w:tcPr>
          <w:p w14:paraId="232541F1">
            <w:pPr>
              <w:pStyle w:val="22"/>
              <w:rPr>
                <w:rFonts w:hint="eastAsia" w:ascii="宋体" w:hAnsi="宋体" w:eastAsia="宋体" w:cs="宋体"/>
                <w:color w:val="auto"/>
                <w:sz w:val="24"/>
                <w:szCs w:val="24"/>
                <w:highlight w:val="none"/>
              </w:rPr>
            </w:pPr>
          </w:p>
        </w:tc>
        <w:tc>
          <w:tcPr>
            <w:tcW w:w="1183" w:type="dxa"/>
            <w:gridSpan w:val="2"/>
            <w:vAlign w:val="top"/>
          </w:tcPr>
          <w:p w14:paraId="3508A3E0">
            <w:pPr>
              <w:spacing w:before="144" w:line="228"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技术职称</w:t>
            </w:r>
          </w:p>
        </w:tc>
        <w:tc>
          <w:tcPr>
            <w:tcW w:w="1326" w:type="dxa"/>
            <w:gridSpan w:val="2"/>
            <w:vAlign w:val="top"/>
          </w:tcPr>
          <w:p w14:paraId="28A1E007">
            <w:pPr>
              <w:pStyle w:val="22"/>
              <w:rPr>
                <w:rFonts w:hint="eastAsia" w:ascii="宋体" w:hAnsi="宋体" w:eastAsia="宋体" w:cs="宋体"/>
                <w:color w:val="auto"/>
                <w:sz w:val="24"/>
                <w:szCs w:val="24"/>
                <w:highlight w:val="none"/>
              </w:rPr>
            </w:pPr>
          </w:p>
        </w:tc>
        <w:tc>
          <w:tcPr>
            <w:tcW w:w="770" w:type="dxa"/>
            <w:vAlign w:val="top"/>
          </w:tcPr>
          <w:p w14:paraId="0773F5EE">
            <w:pPr>
              <w:spacing w:before="143" w:line="231" w:lineRule="auto"/>
              <w:ind w:left="17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电话</w:t>
            </w:r>
          </w:p>
        </w:tc>
        <w:tc>
          <w:tcPr>
            <w:tcW w:w="1548" w:type="dxa"/>
            <w:vAlign w:val="top"/>
          </w:tcPr>
          <w:p w14:paraId="4057250C">
            <w:pPr>
              <w:pStyle w:val="22"/>
              <w:rPr>
                <w:rFonts w:hint="eastAsia" w:ascii="宋体" w:hAnsi="宋体" w:eastAsia="宋体" w:cs="宋体"/>
                <w:color w:val="auto"/>
                <w:sz w:val="24"/>
                <w:szCs w:val="24"/>
                <w:highlight w:val="none"/>
              </w:rPr>
            </w:pPr>
          </w:p>
        </w:tc>
      </w:tr>
      <w:tr w14:paraId="18FB2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620" w:type="dxa"/>
            <w:vAlign w:val="top"/>
          </w:tcPr>
          <w:p w14:paraId="69A84E88">
            <w:pPr>
              <w:spacing w:before="145" w:line="230"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成立时间</w:t>
            </w:r>
          </w:p>
        </w:tc>
        <w:tc>
          <w:tcPr>
            <w:tcW w:w="2812" w:type="dxa"/>
            <w:gridSpan w:val="2"/>
            <w:vAlign w:val="top"/>
          </w:tcPr>
          <w:p w14:paraId="438041A0">
            <w:pPr>
              <w:pStyle w:val="22"/>
              <w:rPr>
                <w:rFonts w:hint="eastAsia" w:ascii="宋体" w:hAnsi="宋体" w:eastAsia="宋体" w:cs="宋体"/>
                <w:color w:val="auto"/>
                <w:sz w:val="24"/>
                <w:szCs w:val="24"/>
                <w:highlight w:val="none"/>
              </w:rPr>
            </w:pPr>
          </w:p>
        </w:tc>
        <w:tc>
          <w:tcPr>
            <w:tcW w:w="4827" w:type="dxa"/>
            <w:gridSpan w:val="6"/>
            <w:vAlign w:val="top"/>
          </w:tcPr>
          <w:p w14:paraId="6E565ADC">
            <w:pPr>
              <w:spacing w:before="145" w:line="228" w:lineRule="auto"/>
              <w:ind w:left="1287"/>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员工总人数（个</w:t>
            </w:r>
            <w:r>
              <w:rPr>
                <w:rFonts w:hint="eastAsia" w:ascii="宋体" w:hAnsi="宋体" w:eastAsia="宋体" w:cs="宋体"/>
                <w:color w:val="auto"/>
                <w:sz w:val="24"/>
                <w:szCs w:val="24"/>
                <w:highlight w:val="none"/>
              </w:rPr>
              <w:t>）：</w:t>
            </w:r>
          </w:p>
        </w:tc>
      </w:tr>
      <w:tr w14:paraId="3AB12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620" w:type="dxa"/>
            <w:vAlign w:val="top"/>
          </w:tcPr>
          <w:p w14:paraId="715C31B7">
            <w:pPr>
              <w:spacing w:before="61" w:line="262" w:lineRule="auto"/>
              <w:ind w:right="220"/>
              <w:jc w:val="center"/>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企业资质</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类型和等级</w:t>
            </w:r>
          </w:p>
        </w:tc>
        <w:tc>
          <w:tcPr>
            <w:tcW w:w="2812" w:type="dxa"/>
            <w:gridSpan w:val="2"/>
            <w:vAlign w:val="top"/>
          </w:tcPr>
          <w:p w14:paraId="43A337F6">
            <w:pPr>
              <w:pStyle w:val="22"/>
              <w:rPr>
                <w:rFonts w:hint="eastAsia" w:ascii="宋体" w:hAnsi="宋体" w:eastAsia="宋体" w:cs="宋体"/>
                <w:color w:val="auto"/>
                <w:sz w:val="24"/>
                <w:szCs w:val="24"/>
                <w:highlight w:val="none"/>
              </w:rPr>
            </w:pPr>
          </w:p>
        </w:tc>
        <w:tc>
          <w:tcPr>
            <w:tcW w:w="1183" w:type="dxa"/>
            <w:gridSpan w:val="2"/>
            <w:vMerge w:val="restart"/>
            <w:tcBorders>
              <w:bottom w:val="nil"/>
            </w:tcBorders>
            <w:vAlign w:val="top"/>
          </w:tcPr>
          <w:p w14:paraId="443DB686">
            <w:pPr>
              <w:pStyle w:val="22"/>
              <w:spacing w:line="254" w:lineRule="auto"/>
              <w:rPr>
                <w:rFonts w:hint="eastAsia" w:ascii="宋体" w:hAnsi="宋体" w:eastAsia="宋体" w:cs="宋体"/>
                <w:color w:val="auto"/>
                <w:sz w:val="24"/>
                <w:szCs w:val="24"/>
                <w:highlight w:val="none"/>
              </w:rPr>
            </w:pPr>
          </w:p>
          <w:p w14:paraId="4CCF3A14">
            <w:pPr>
              <w:pStyle w:val="22"/>
              <w:spacing w:line="254" w:lineRule="auto"/>
              <w:rPr>
                <w:rFonts w:hint="eastAsia" w:ascii="宋体" w:hAnsi="宋体" w:eastAsia="宋体" w:cs="宋体"/>
                <w:color w:val="auto"/>
                <w:sz w:val="24"/>
                <w:szCs w:val="24"/>
                <w:highlight w:val="none"/>
              </w:rPr>
            </w:pPr>
          </w:p>
          <w:p w14:paraId="1A3EEFFA">
            <w:pPr>
              <w:pStyle w:val="22"/>
              <w:spacing w:line="254" w:lineRule="auto"/>
              <w:rPr>
                <w:rFonts w:hint="eastAsia" w:ascii="宋体" w:hAnsi="宋体" w:eastAsia="宋体" w:cs="宋体"/>
                <w:color w:val="auto"/>
                <w:sz w:val="24"/>
                <w:szCs w:val="24"/>
                <w:highlight w:val="none"/>
              </w:rPr>
            </w:pPr>
          </w:p>
          <w:p w14:paraId="53DDC3A8">
            <w:pPr>
              <w:pStyle w:val="22"/>
              <w:spacing w:line="254" w:lineRule="auto"/>
              <w:rPr>
                <w:rFonts w:hint="eastAsia" w:ascii="宋体" w:hAnsi="宋体" w:eastAsia="宋体" w:cs="宋体"/>
                <w:color w:val="auto"/>
                <w:sz w:val="24"/>
                <w:szCs w:val="24"/>
                <w:highlight w:val="none"/>
              </w:rPr>
            </w:pPr>
          </w:p>
          <w:p w14:paraId="65A4C254">
            <w:pPr>
              <w:pStyle w:val="22"/>
              <w:spacing w:line="255" w:lineRule="auto"/>
              <w:rPr>
                <w:rFonts w:hint="eastAsia" w:ascii="宋体" w:hAnsi="宋体" w:eastAsia="宋体" w:cs="宋体"/>
                <w:color w:val="auto"/>
                <w:sz w:val="24"/>
                <w:szCs w:val="24"/>
                <w:highlight w:val="none"/>
              </w:rPr>
            </w:pPr>
          </w:p>
          <w:p w14:paraId="667D3742">
            <w:pPr>
              <w:spacing w:before="65" w:line="229" w:lineRule="auto"/>
              <w:ind w:left="34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其中</w:t>
            </w:r>
          </w:p>
        </w:tc>
        <w:tc>
          <w:tcPr>
            <w:tcW w:w="2096" w:type="dxa"/>
            <w:gridSpan w:val="3"/>
            <w:vAlign w:val="top"/>
          </w:tcPr>
          <w:p w14:paraId="4AB87723">
            <w:pPr>
              <w:spacing w:before="214" w:line="229" w:lineRule="auto"/>
              <w:ind w:left="5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48" w:type="dxa"/>
            <w:vAlign w:val="top"/>
          </w:tcPr>
          <w:p w14:paraId="38C1954E">
            <w:pPr>
              <w:pStyle w:val="22"/>
              <w:rPr>
                <w:rFonts w:hint="eastAsia" w:ascii="宋体" w:hAnsi="宋体" w:eastAsia="宋体" w:cs="宋体"/>
                <w:color w:val="auto"/>
                <w:sz w:val="24"/>
                <w:szCs w:val="24"/>
                <w:highlight w:val="none"/>
              </w:rPr>
            </w:pPr>
          </w:p>
        </w:tc>
      </w:tr>
      <w:tr w14:paraId="0270F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620" w:type="dxa"/>
            <w:vAlign w:val="top"/>
          </w:tcPr>
          <w:p w14:paraId="2B68D6CD">
            <w:pPr>
              <w:spacing w:before="146" w:line="228" w:lineRule="auto"/>
              <w:ind w:left="232"/>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营业执照号</w:t>
            </w:r>
          </w:p>
        </w:tc>
        <w:tc>
          <w:tcPr>
            <w:tcW w:w="2812" w:type="dxa"/>
            <w:gridSpan w:val="2"/>
            <w:vAlign w:val="top"/>
          </w:tcPr>
          <w:p w14:paraId="7C2E8B64">
            <w:pPr>
              <w:pStyle w:val="22"/>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75023482">
            <w:pPr>
              <w:pStyle w:val="22"/>
              <w:rPr>
                <w:rFonts w:hint="eastAsia" w:ascii="宋体" w:hAnsi="宋体" w:eastAsia="宋体" w:cs="宋体"/>
                <w:color w:val="auto"/>
                <w:sz w:val="24"/>
                <w:szCs w:val="24"/>
                <w:highlight w:val="none"/>
              </w:rPr>
            </w:pPr>
          </w:p>
        </w:tc>
        <w:tc>
          <w:tcPr>
            <w:tcW w:w="2096" w:type="dxa"/>
            <w:gridSpan w:val="3"/>
            <w:vAlign w:val="top"/>
          </w:tcPr>
          <w:p w14:paraId="7A0EAAAC">
            <w:pPr>
              <w:spacing w:before="146" w:line="228" w:lineRule="auto"/>
              <w:ind w:left="345"/>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高级职称人员</w:t>
            </w:r>
          </w:p>
        </w:tc>
        <w:tc>
          <w:tcPr>
            <w:tcW w:w="1548" w:type="dxa"/>
            <w:vAlign w:val="top"/>
          </w:tcPr>
          <w:p w14:paraId="2C4D2921">
            <w:pPr>
              <w:pStyle w:val="22"/>
              <w:rPr>
                <w:rFonts w:hint="eastAsia" w:ascii="宋体" w:hAnsi="宋体" w:eastAsia="宋体" w:cs="宋体"/>
                <w:color w:val="auto"/>
                <w:sz w:val="24"/>
                <w:szCs w:val="24"/>
                <w:highlight w:val="none"/>
              </w:rPr>
            </w:pPr>
          </w:p>
        </w:tc>
      </w:tr>
      <w:tr w14:paraId="0E632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620" w:type="dxa"/>
            <w:vAlign w:val="top"/>
          </w:tcPr>
          <w:p w14:paraId="7317EB8B">
            <w:pPr>
              <w:spacing w:before="146" w:line="230" w:lineRule="auto"/>
              <w:ind w:left="32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注册资金</w:t>
            </w:r>
          </w:p>
        </w:tc>
        <w:tc>
          <w:tcPr>
            <w:tcW w:w="2812" w:type="dxa"/>
            <w:gridSpan w:val="2"/>
            <w:vAlign w:val="top"/>
          </w:tcPr>
          <w:p w14:paraId="3E125CB1">
            <w:pPr>
              <w:pStyle w:val="22"/>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6D415A6C">
            <w:pPr>
              <w:pStyle w:val="22"/>
              <w:rPr>
                <w:rFonts w:hint="eastAsia" w:ascii="宋体" w:hAnsi="宋体" w:eastAsia="宋体" w:cs="宋体"/>
                <w:color w:val="auto"/>
                <w:sz w:val="24"/>
                <w:szCs w:val="24"/>
                <w:highlight w:val="none"/>
              </w:rPr>
            </w:pPr>
          </w:p>
        </w:tc>
        <w:tc>
          <w:tcPr>
            <w:tcW w:w="2096" w:type="dxa"/>
            <w:gridSpan w:val="3"/>
            <w:vAlign w:val="top"/>
          </w:tcPr>
          <w:p w14:paraId="4EBEBC53">
            <w:pPr>
              <w:spacing w:before="147"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中级职称人员</w:t>
            </w:r>
          </w:p>
        </w:tc>
        <w:tc>
          <w:tcPr>
            <w:tcW w:w="1548" w:type="dxa"/>
            <w:vAlign w:val="top"/>
          </w:tcPr>
          <w:p w14:paraId="482CF6F8">
            <w:pPr>
              <w:pStyle w:val="22"/>
              <w:rPr>
                <w:rFonts w:hint="eastAsia" w:ascii="宋体" w:hAnsi="宋体" w:eastAsia="宋体" w:cs="宋体"/>
                <w:color w:val="auto"/>
                <w:sz w:val="24"/>
                <w:szCs w:val="24"/>
                <w:highlight w:val="none"/>
              </w:rPr>
            </w:pPr>
          </w:p>
        </w:tc>
      </w:tr>
      <w:tr w14:paraId="1D5F1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620" w:type="dxa"/>
            <w:vAlign w:val="top"/>
          </w:tcPr>
          <w:p w14:paraId="7F8A1DE0">
            <w:pPr>
              <w:spacing w:before="62" w:line="241" w:lineRule="auto"/>
              <w:ind w:right="325"/>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基本账户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开户银行</w:t>
            </w:r>
          </w:p>
        </w:tc>
        <w:tc>
          <w:tcPr>
            <w:tcW w:w="2812" w:type="dxa"/>
            <w:gridSpan w:val="2"/>
            <w:vAlign w:val="top"/>
          </w:tcPr>
          <w:p w14:paraId="4C306FE7">
            <w:pPr>
              <w:pStyle w:val="22"/>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0870925D">
            <w:pPr>
              <w:pStyle w:val="22"/>
              <w:rPr>
                <w:rFonts w:hint="eastAsia" w:ascii="宋体" w:hAnsi="宋体" w:eastAsia="宋体" w:cs="宋体"/>
                <w:color w:val="auto"/>
                <w:sz w:val="24"/>
                <w:szCs w:val="24"/>
                <w:highlight w:val="none"/>
              </w:rPr>
            </w:pPr>
          </w:p>
        </w:tc>
        <w:tc>
          <w:tcPr>
            <w:tcW w:w="2096" w:type="dxa"/>
            <w:gridSpan w:val="3"/>
            <w:vAlign w:val="top"/>
          </w:tcPr>
          <w:p w14:paraId="683A3F10">
            <w:pPr>
              <w:spacing w:before="191" w:line="230" w:lineRule="auto"/>
              <w:ind w:left="338"/>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初级职称人员</w:t>
            </w:r>
          </w:p>
        </w:tc>
        <w:tc>
          <w:tcPr>
            <w:tcW w:w="1548" w:type="dxa"/>
            <w:vAlign w:val="top"/>
          </w:tcPr>
          <w:p w14:paraId="7842E327">
            <w:pPr>
              <w:pStyle w:val="22"/>
              <w:rPr>
                <w:rFonts w:hint="eastAsia" w:ascii="宋体" w:hAnsi="宋体" w:eastAsia="宋体" w:cs="宋体"/>
                <w:color w:val="auto"/>
                <w:sz w:val="24"/>
                <w:szCs w:val="24"/>
                <w:highlight w:val="none"/>
              </w:rPr>
            </w:pPr>
          </w:p>
        </w:tc>
      </w:tr>
      <w:tr w14:paraId="5C741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620" w:type="dxa"/>
            <w:vAlign w:val="top"/>
          </w:tcPr>
          <w:p w14:paraId="48E68449">
            <w:pPr>
              <w:spacing w:before="62" w:line="259" w:lineRule="auto"/>
              <w:ind w:right="325"/>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基本账户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银行账号</w:t>
            </w:r>
          </w:p>
        </w:tc>
        <w:tc>
          <w:tcPr>
            <w:tcW w:w="2812" w:type="dxa"/>
            <w:gridSpan w:val="2"/>
            <w:vAlign w:val="top"/>
          </w:tcPr>
          <w:p w14:paraId="2869CED2">
            <w:pPr>
              <w:pStyle w:val="22"/>
              <w:rPr>
                <w:rFonts w:hint="eastAsia" w:ascii="宋体" w:hAnsi="宋体" w:eastAsia="宋体" w:cs="宋体"/>
                <w:color w:val="auto"/>
                <w:sz w:val="24"/>
                <w:szCs w:val="24"/>
                <w:highlight w:val="none"/>
              </w:rPr>
            </w:pPr>
          </w:p>
        </w:tc>
        <w:tc>
          <w:tcPr>
            <w:tcW w:w="1183" w:type="dxa"/>
            <w:gridSpan w:val="2"/>
            <w:vMerge w:val="continue"/>
            <w:tcBorders>
              <w:top w:val="nil"/>
            </w:tcBorders>
            <w:vAlign w:val="top"/>
          </w:tcPr>
          <w:p w14:paraId="46757EE6">
            <w:pPr>
              <w:pStyle w:val="22"/>
              <w:rPr>
                <w:rFonts w:hint="eastAsia" w:ascii="宋体" w:hAnsi="宋体" w:eastAsia="宋体" w:cs="宋体"/>
                <w:color w:val="auto"/>
                <w:sz w:val="24"/>
                <w:szCs w:val="24"/>
                <w:highlight w:val="none"/>
              </w:rPr>
            </w:pPr>
          </w:p>
        </w:tc>
        <w:tc>
          <w:tcPr>
            <w:tcW w:w="2096" w:type="dxa"/>
            <w:gridSpan w:val="3"/>
            <w:vAlign w:val="top"/>
          </w:tcPr>
          <w:p w14:paraId="39BF6629">
            <w:pPr>
              <w:spacing w:before="211" w:line="228" w:lineRule="auto"/>
              <w:ind w:left="6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技术员</w:t>
            </w:r>
          </w:p>
        </w:tc>
        <w:tc>
          <w:tcPr>
            <w:tcW w:w="1548" w:type="dxa"/>
            <w:vAlign w:val="top"/>
          </w:tcPr>
          <w:p w14:paraId="11E7E202">
            <w:pPr>
              <w:pStyle w:val="22"/>
              <w:rPr>
                <w:rFonts w:hint="eastAsia" w:ascii="宋体" w:hAnsi="宋体" w:eastAsia="宋体" w:cs="宋体"/>
                <w:color w:val="auto"/>
                <w:sz w:val="24"/>
                <w:szCs w:val="24"/>
                <w:highlight w:val="none"/>
              </w:rPr>
            </w:pPr>
          </w:p>
        </w:tc>
      </w:tr>
      <w:tr w14:paraId="3DFCB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620" w:type="dxa"/>
            <w:vAlign w:val="top"/>
          </w:tcPr>
          <w:p w14:paraId="1814A96C">
            <w:pPr>
              <w:spacing w:before="65" w:line="229"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经营范围</w:t>
            </w:r>
          </w:p>
        </w:tc>
        <w:tc>
          <w:tcPr>
            <w:tcW w:w="7639" w:type="dxa"/>
            <w:gridSpan w:val="8"/>
            <w:vAlign w:val="top"/>
          </w:tcPr>
          <w:p w14:paraId="348A0FA1">
            <w:pPr>
              <w:pStyle w:val="22"/>
              <w:rPr>
                <w:rFonts w:hint="eastAsia" w:ascii="宋体" w:hAnsi="宋体" w:eastAsia="宋体" w:cs="宋体"/>
                <w:color w:val="auto"/>
                <w:sz w:val="24"/>
                <w:szCs w:val="24"/>
                <w:highlight w:val="none"/>
              </w:rPr>
            </w:pPr>
          </w:p>
        </w:tc>
      </w:tr>
      <w:tr w14:paraId="7E7B9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1" w:hRule="atLeast"/>
        </w:trPr>
        <w:tc>
          <w:tcPr>
            <w:tcW w:w="1620" w:type="dxa"/>
            <w:vAlign w:val="top"/>
          </w:tcPr>
          <w:p w14:paraId="02A6C92B">
            <w:pPr>
              <w:pStyle w:val="22"/>
              <w:spacing w:line="295" w:lineRule="auto"/>
              <w:rPr>
                <w:rFonts w:hint="eastAsia" w:ascii="宋体" w:hAnsi="宋体" w:eastAsia="宋体" w:cs="宋体"/>
                <w:color w:val="auto"/>
                <w:sz w:val="24"/>
                <w:szCs w:val="24"/>
                <w:highlight w:val="none"/>
              </w:rPr>
            </w:pPr>
          </w:p>
          <w:p w14:paraId="213B49DF">
            <w:pPr>
              <w:pStyle w:val="22"/>
              <w:spacing w:line="296" w:lineRule="auto"/>
              <w:rPr>
                <w:rFonts w:hint="eastAsia" w:ascii="宋体" w:hAnsi="宋体" w:eastAsia="宋体" w:cs="宋体"/>
                <w:color w:val="auto"/>
                <w:sz w:val="24"/>
                <w:szCs w:val="24"/>
                <w:highlight w:val="none"/>
              </w:rPr>
            </w:pPr>
          </w:p>
          <w:p w14:paraId="28F2F75F">
            <w:pPr>
              <w:spacing w:before="65" w:line="229"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关联企业情况</w:t>
            </w:r>
          </w:p>
        </w:tc>
        <w:tc>
          <w:tcPr>
            <w:tcW w:w="7639" w:type="dxa"/>
            <w:gridSpan w:val="8"/>
            <w:vAlign w:val="top"/>
          </w:tcPr>
          <w:p w14:paraId="4B9D0A23">
            <w:pPr>
              <w:spacing w:before="168" w:line="228" w:lineRule="auto"/>
              <w:ind w:left="111"/>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包括但不限于与投标人存在以下关系的不同单位：</w:t>
            </w:r>
          </w:p>
          <w:p w14:paraId="40B1246D">
            <w:pPr>
              <w:spacing w:before="81" w:line="228" w:lineRule="auto"/>
              <w:ind w:left="128"/>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4"/>
                <w:sz w:val="24"/>
                <w:szCs w:val="24"/>
                <w:highlight w:val="none"/>
              </w:rPr>
              <w:t>．法定代表人为同一人的。</w:t>
            </w:r>
          </w:p>
          <w:p w14:paraId="498D4F11">
            <w:pPr>
              <w:spacing w:before="81" w:line="228" w:lineRule="auto"/>
              <w:ind w:left="10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6"/>
                <w:sz w:val="24"/>
                <w:szCs w:val="24"/>
                <w:highlight w:val="none"/>
              </w:rPr>
              <w:t>．存在控股、管理关系的。</w:t>
            </w:r>
          </w:p>
          <w:p w14:paraId="10DB8AEF">
            <w:pPr>
              <w:spacing w:before="81" w:line="228" w:lineRule="auto"/>
              <w:ind w:left="112"/>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3</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5"/>
                <w:sz w:val="24"/>
                <w:szCs w:val="24"/>
                <w:highlight w:val="none"/>
              </w:rPr>
              <w:t>．主要人员相互任职的。</w:t>
            </w:r>
          </w:p>
        </w:tc>
      </w:tr>
      <w:tr w14:paraId="738B2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1620" w:type="dxa"/>
            <w:vAlign w:val="top"/>
          </w:tcPr>
          <w:p w14:paraId="1B693A2F">
            <w:pPr>
              <w:spacing w:before="235" w:line="230" w:lineRule="auto"/>
              <w:ind w:left="54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备注</w:t>
            </w:r>
          </w:p>
        </w:tc>
        <w:tc>
          <w:tcPr>
            <w:tcW w:w="7639" w:type="dxa"/>
            <w:gridSpan w:val="8"/>
            <w:vAlign w:val="top"/>
          </w:tcPr>
          <w:p w14:paraId="07FA9A09">
            <w:pPr>
              <w:pStyle w:val="22"/>
              <w:rPr>
                <w:rFonts w:hint="eastAsia" w:ascii="宋体" w:hAnsi="宋体" w:eastAsia="宋体" w:cs="宋体"/>
                <w:color w:val="auto"/>
                <w:sz w:val="24"/>
                <w:szCs w:val="24"/>
                <w:highlight w:val="none"/>
              </w:rPr>
            </w:pPr>
          </w:p>
        </w:tc>
      </w:tr>
    </w:tbl>
    <w:p w14:paraId="18650379">
      <w:pPr>
        <w:spacing w:before="140" w:line="228" w:lineRule="auto"/>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说明：</w:t>
      </w:r>
    </w:p>
    <w:p w14:paraId="1EFE366B">
      <w:pPr>
        <w:keepNext w:val="0"/>
        <w:keepLines w:val="0"/>
        <w:pageBreakBefore w:val="0"/>
        <w:widowControl/>
        <w:kinsoku w:val="0"/>
        <w:wordWrap/>
        <w:overflowPunct/>
        <w:topLinePunct w:val="0"/>
        <w:autoSpaceDE w:val="0"/>
        <w:autoSpaceDN w:val="0"/>
        <w:bidi w:val="0"/>
        <w:adjustRightInd w:val="0"/>
        <w:snapToGrid w:val="0"/>
        <w:spacing w:before="81" w:line="288" w:lineRule="auto"/>
        <w:textAlignment w:val="baseline"/>
        <w:outlineLvl w:val="9"/>
        <w:rPr>
          <w:rFonts w:hint="eastAsia" w:ascii="宋体" w:hAnsi="宋体" w:eastAsia="宋体" w:cs="宋体"/>
          <w:color w:val="auto"/>
          <w:spacing w:val="4"/>
          <w:sz w:val="18"/>
          <w:szCs w:val="18"/>
          <w:highlight w:val="none"/>
        </w:rPr>
      </w:pPr>
      <w:bookmarkStart w:id="245" w:name="_Toc5131"/>
      <w:bookmarkStart w:id="246" w:name="_Toc14048"/>
      <w:r>
        <w:rPr>
          <w:rFonts w:hint="eastAsia" w:ascii="宋体" w:hAnsi="宋体" w:eastAsia="宋体" w:cs="宋体"/>
          <w:color w:val="auto"/>
          <w:spacing w:val="4"/>
          <w:sz w:val="18"/>
          <w:szCs w:val="18"/>
          <w:highlight w:val="none"/>
        </w:rPr>
        <w:t>1 ．《投标人基本情况表》后应附以下资料：</w:t>
      </w:r>
      <w:bookmarkEnd w:id="245"/>
      <w:bookmarkEnd w:id="246"/>
    </w:p>
    <w:p w14:paraId="4956259B">
      <w:pPr>
        <w:keepNext w:val="0"/>
        <w:keepLines w:val="0"/>
        <w:pageBreakBefore w:val="0"/>
        <w:widowControl/>
        <w:kinsoku w:val="0"/>
        <w:wordWrap/>
        <w:overflowPunct/>
        <w:topLinePunct w:val="0"/>
        <w:autoSpaceDE w:val="0"/>
        <w:autoSpaceDN w:val="0"/>
        <w:bidi w:val="0"/>
        <w:adjustRightInd w:val="0"/>
        <w:snapToGrid w:val="0"/>
        <w:spacing w:before="153" w:line="288" w:lineRule="auto"/>
        <w:textAlignment w:val="baseline"/>
        <w:rPr>
          <w:rFonts w:hint="eastAsia" w:ascii="宋体" w:hAnsi="宋体" w:eastAsia="宋体" w:cs="宋体"/>
          <w:color w:val="auto"/>
          <w:spacing w:val="6"/>
          <w:sz w:val="18"/>
          <w:szCs w:val="18"/>
          <w:highlight w:val="none"/>
        </w:rPr>
      </w:pPr>
      <w:r>
        <w:rPr>
          <w:rFonts w:hint="eastAsia" w:ascii="宋体" w:hAnsi="宋体" w:eastAsia="宋体" w:cs="宋体"/>
          <w:color w:val="auto"/>
          <w:spacing w:val="9"/>
          <w:sz w:val="18"/>
          <w:szCs w:val="18"/>
          <w:highlight w:val="none"/>
          <w:lang w:eastAsia="zh-CN"/>
        </w:rPr>
        <w:t>（1）企业营业执照、资质证书、安全生产许可证的（因推行电子证照，企业的营业执照、资质证书等可以提供电子证照。为实时掌握项目投标单位的是否具备企业安全生产条件，企业的安全生生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32D6AF4E">
      <w:pPr>
        <w:keepNext w:val="0"/>
        <w:keepLines w:val="0"/>
        <w:pageBreakBefore w:val="0"/>
        <w:widowControl/>
        <w:kinsoku w:val="0"/>
        <w:wordWrap/>
        <w:overflowPunct/>
        <w:topLinePunct w:val="0"/>
        <w:autoSpaceDE w:val="0"/>
        <w:autoSpaceDN w:val="0"/>
        <w:bidi w:val="0"/>
        <w:adjustRightInd w:val="0"/>
        <w:snapToGrid w:val="0"/>
        <w:spacing w:before="153" w:line="288" w:lineRule="auto"/>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9"/>
          <w:sz w:val="18"/>
          <w:szCs w:val="18"/>
          <w:highlight w:val="none"/>
          <w:lang w:eastAsia="zh-CN"/>
        </w:rPr>
        <w:t>（2）</w:t>
      </w:r>
      <w:r>
        <w:rPr>
          <w:rFonts w:hint="eastAsia" w:ascii="宋体" w:hAnsi="宋体" w:eastAsia="宋体" w:cs="宋体"/>
          <w:color w:val="auto"/>
          <w:spacing w:val="9"/>
          <w:sz w:val="18"/>
          <w:szCs w:val="18"/>
          <w:highlight w:val="none"/>
        </w:rPr>
        <w:t>“进粤企业和人员诚信信息登记平台</w:t>
      </w:r>
      <w:r>
        <w:rPr>
          <w:rFonts w:hint="eastAsia" w:ascii="宋体" w:hAnsi="宋体" w:eastAsia="宋体" w:cs="宋体"/>
          <w:color w:val="auto"/>
          <w:spacing w:val="-72"/>
          <w:sz w:val="18"/>
          <w:szCs w:val="18"/>
          <w:highlight w:val="none"/>
        </w:rPr>
        <w:t xml:space="preserve"> </w:t>
      </w:r>
      <w:r>
        <w:rPr>
          <w:rFonts w:hint="eastAsia" w:ascii="宋体" w:hAnsi="宋体" w:eastAsia="宋体" w:cs="宋体"/>
          <w:color w:val="auto"/>
          <w:spacing w:val="8"/>
          <w:sz w:val="18"/>
          <w:szCs w:val="18"/>
          <w:highlight w:val="none"/>
        </w:rPr>
        <w:t>”企业信息情况打印页。（适用于省外建筑企业）</w:t>
      </w:r>
    </w:p>
    <w:p w14:paraId="135F5142">
      <w:pPr>
        <w:keepNext w:val="0"/>
        <w:keepLines w:val="0"/>
        <w:pageBreakBefore w:val="0"/>
        <w:widowControl/>
        <w:kinsoku w:val="0"/>
        <w:wordWrap/>
        <w:overflowPunct/>
        <w:topLinePunct w:val="0"/>
        <w:autoSpaceDE w:val="0"/>
        <w:autoSpaceDN w:val="0"/>
        <w:bidi w:val="0"/>
        <w:adjustRightInd w:val="0"/>
        <w:snapToGrid w:val="0"/>
        <w:spacing w:before="153" w:line="288" w:lineRule="auto"/>
        <w:jc w:val="both"/>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8"/>
          <w:sz w:val="18"/>
          <w:szCs w:val="18"/>
          <w:highlight w:val="none"/>
          <w:lang w:eastAsia="zh-CN"/>
        </w:rPr>
        <w:t>（3）</w:t>
      </w:r>
      <w:r>
        <w:rPr>
          <w:rFonts w:hint="eastAsia" w:ascii="宋体" w:hAnsi="宋体" w:eastAsia="宋体" w:cs="宋体"/>
          <w:color w:val="auto"/>
          <w:spacing w:val="8"/>
          <w:sz w:val="18"/>
          <w:szCs w:val="18"/>
          <w:highlight w:val="none"/>
        </w:rPr>
        <w:t>《法人和非法人组织公共信用信息报告》（在“信用中国</w:t>
      </w:r>
      <w:r>
        <w:rPr>
          <w:rFonts w:hint="eastAsia" w:ascii="宋体" w:hAnsi="宋体" w:eastAsia="宋体" w:cs="宋体"/>
          <w:color w:val="auto"/>
          <w:spacing w:val="-70"/>
          <w:sz w:val="18"/>
          <w:szCs w:val="18"/>
          <w:highlight w:val="none"/>
        </w:rPr>
        <w:t xml:space="preserve"> </w:t>
      </w:r>
      <w:r>
        <w:rPr>
          <w:rFonts w:hint="eastAsia" w:ascii="宋体" w:hAnsi="宋体" w:eastAsia="宋体" w:cs="宋体"/>
          <w:color w:val="auto"/>
          <w:spacing w:val="8"/>
          <w:sz w:val="18"/>
          <w:szCs w:val="18"/>
          <w:highlight w:val="none"/>
        </w:rPr>
        <w:t>”网站企业查询界面</w:t>
      </w:r>
      <w:r>
        <w:rPr>
          <w:rFonts w:hint="eastAsia" w:ascii="宋体" w:hAnsi="宋体" w:eastAsia="宋体" w:cs="宋体"/>
          <w:color w:val="auto"/>
          <w:spacing w:val="7"/>
          <w:sz w:val="18"/>
          <w:szCs w:val="18"/>
          <w:highlight w:val="none"/>
        </w:rPr>
        <w:t>中下载）。</w:t>
      </w:r>
    </w:p>
    <w:p w14:paraId="3295DD47">
      <w:pPr>
        <w:keepNext w:val="0"/>
        <w:keepLines w:val="0"/>
        <w:pageBreakBefore w:val="0"/>
        <w:widowControl/>
        <w:kinsoku w:val="0"/>
        <w:wordWrap/>
        <w:overflowPunct/>
        <w:topLinePunct w:val="0"/>
        <w:autoSpaceDE w:val="0"/>
        <w:autoSpaceDN w:val="0"/>
        <w:bidi w:val="0"/>
        <w:adjustRightInd w:val="0"/>
        <w:snapToGrid w:val="0"/>
        <w:spacing w:before="81" w:line="288" w:lineRule="auto"/>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9"/>
          <w:sz w:val="18"/>
          <w:szCs w:val="18"/>
          <w:highlight w:val="none"/>
        </w:rPr>
        <w:t>2</w:t>
      </w:r>
      <w:r>
        <w:rPr>
          <w:rFonts w:hint="eastAsia" w:ascii="宋体" w:hAnsi="宋体" w:eastAsia="宋体" w:cs="宋体"/>
          <w:color w:val="auto"/>
          <w:spacing w:val="-21"/>
          <w:sz w:val="18"/>
          <w:szCs w:val="18"/>
          <w:highlight w:val="none"/>
        </w:rPr>
        <w:t xml:space="preserve"> </w:t>
      </w:r>
      <w:r>
        <w:rPr>
          <w:rFonts w:hint="eastAsia" w:ascii="宋体" w:hAnsi="宋体" w:eastAsia="宋体" w:cs="宋体"/>
          <w:color w:val="auto"/>
          <w:spacing w:val="9"/>
          <w:sz w:val="18"/>
          <w:szCs w:val="18"/>
          <w:highlight w:val="none"/>
        </w:rPr>
        <w:t>．联合体投标的，联合体成员单位均应填写《投标人基本情况</w:t>
      </w:r>
      <w:r>
        <w:rPr>
          <w:rFonts w:hint="eastAsia" w:ascii="宋体" w:hAnsi="宋体" w:eastAsia="宋体" w:cs="宋体"/>
          <w:color w:val="auto"/>
          <w:spacing w:val="8"/>
          <w:sz w:val="18"/>
          <w:szCs w:val="18"/>
          <w:highlight w:val="none"/>
        </w:rPr>
        <w:t>表》并提供以上所需资料。</w:t>
      </w:r>
    </w:p>
    <w:p w14:paraId="09067E79">
      <w:pPr>
        <w:spacing w:before="78" w:line="220" w:lineRule="auto"/>
        <w:outlineLvl w:val="2"/>
        <w:rPr>
          <w:rFonts w:hint="eastAsia" w:ascii="宋体" w:hAnsi="宋体" w:eastAsia="宋体" w:cs="宋体"/>
          <w:b/>
          <w:bCs/>
          <w:color w:val="auto"/>
          <w:spacing w:val="-4"/>
          <w:sz w:val="24"/>
          <w:szCs w:val="24"/>
          <w:highlight w:val="none"/>
        </w:rPr>
      </w:pPr>
      <w:bookmarkStart w:id="247" w:name="_Toc19699"/>
      <w:r>
        <w:rPr>
          <w:rFonts w:hint="eastAsia" w:ascii="宋体" w:hAnsi="宋体" w:eastAsia="宋体" w:cs="宋体"/>
          <w:b/>
          <w:bCs/>
          <w:color w:val="auto"/>
          <w:spacing w:val="-4"/>
          <w:sz w:val="24"/>
          <w:szCs w:val="24"/>
          <w:highlight w:val="none"/>
        </w:rPr>
        <w:t>格式八 项目经理简历表</w:t>
      </w:r>
      <w:bookmarkEnd w:id="247"/>
    </w:p>
    <w:p w14:paraId="179BBC9E">
      <w:pPr>
        <w:pStyle w:val="5"/>
        <w:spacing w:line="444" w:lineRule="auto"/>
        <w:rPr>
          <w:rFonts w:hint="eastAsia" w:ascii="宋体" w:hAnsi="宋体" w:eastAsia="宋体" w:cs="宋体"/>
          <w:color w:val="auto"/>
          <w:highlight w:val="none"/>
        </w:rPr>
      </w:pPr>
    </w:p>
    <w:p w14:paraId="75482BD5">
      <w:pPr>
        <w:spacing w:before="97" w:line="219" w:lineRule="auto"/>
        <w:ind w:left="3538"/>
        <w:outlineLvl w:val="9"/>
        <w:rPr>
          <w:rFonts w:hint="eastAsia" w:ascii="宋体" w:hAnsi="宋体" w:eastAsia="宋体" w:cs="宋体"/>
          <w:color w:val="auto"/>
          <w:sz w:val="30"/>
          <w:szCs w:val="30"/>
          <w:highlight w:val="none"/>
        </w:rPr>
      </w:pPr>
      <w:bookmarkStart w:id="248" w:name="bookmark156"/>
      <w:bookmarkEnd w:id="248"/>
      <w:bookmarkStart w:id="249" w:name="bookmark89"/>
      <w:bookmarkEnd w:id="249"/>
      <w:bookmarkStart w:id="250" w:name="_Toc31533"/>
      <w:bookmarkStart w:id="251" w:name="_Toc24489"/>
      <w:r>
        <w:rPr>
          <w:rFonts w:hint="eastAsia" w:ascii="宋体" w:hAnsi="宋体" w:eastAsia="宋体" w:cs="宋体"/>
          <w:b/>
          <w:bCs/>
          <w:color w:val="auto"/>
          <w:spacing w:val="-5"/>
          <w:sz w:val="30"/>
          <w:szCs w:val="30"/>
          <w:highlight w:val="none"/>
        </w:rPr>
        <w:t>项目经理简历表</w:t>
      </w:r>
      <w:bookmarkEnd w:id="250"/>
      <w:bookmarkEnd w:id="251"/>
    </w:p>
    <w:p w14:paraId="0CA904C7">
      <w:pPr>
        <w:spacing w:line="240" w:lineRule="exact"/>
        <w:rPr>
          <w:rFonts w:hint="eastAsia" w:ascii="宋体" w:hAnsi="宋体" w:eastAsia="宋体" w:cs="宋体"/>
          <w:color w:val="auto"/>
          <w:highlight w:val="none"/>
        </w:rPr>
      </w:pPr>
    </w:p>
    <w:tbl>
      <w:tblPr>
        <w:tblStyle w:val="14"/>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70D1E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top"/>
          </w:tcPr>
          <w:p w14:paraId="4D05B6D2">
            <w:pPr>
              <w:spacing w:before="177" w:line="228" w:lineRule="auto"/>
              <w:ind w:left="50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94" w:type="dxa"/>
            <w:gridSpan w:val="2"/>
            <w:vAlign w:val="top"/>
          </w:tcPr>
          <w:p w14:paraId="074247A3">
            <w:pPr>
              <w:pStyle w:val="22"/>
              <w:rPr>
                <w:rFonts w:hint="eastAsia" w:ascii="宋体" w:hAnsi="宋体" w:eastAsia="宋体" w:cs="宋体"/>
                <w:color w:val="auto"/>
                <w:sz w:val="24"/>
                <w:szCs w:val="24"/>
                <w:highlight w:val="none"/>
              </w:rPr>
            </w:pPr>
          </w:p>
        </w:tc>
        <w:tc>
          <w:tcPr>
            <w:tcW w:w="1357" w:type="dxa"/>
            <w:vAlign w:val="top"/>
          </w:tcPr>
          <w:p w14:paraId="055F6C4D">
            <w:pPr>
              <w:spacing w:before="177" w:line="229" w:lineRule="auto"/>
              <w:ind w:left="3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62" w:type="dxa"/>
            <w:vAlign w:val="top"/>
          </w:tcPr>
          <w:p w14:paraId="6163547A">
            <w:pPr>
              <w:pStyle w:val="22"/>
              <w:rPr>
                <w:rFonts w:hint="eastAsia" w:ascii="宋体" w:hAnsi="宋体" w:eastAsia="宋体" w:cs="宋体"/>
                <w:color w:val="auto"/>
                <w:sz w:val="24"/>
                <w:szCs w:val="24"/>
                <w:highlight w:val="none"/>
              </w:rPr>
            </w:pPr>
          </w:p>
        </w:tc>
        <w:tc>
          <w:tcPr>
            <w:tcW w:w="1798" w:type="dxa"/>
            <w:vAlign w:val="top"/>
          </w:tcPr>
          <w:p w14:paraId="3C3FBEE6">
            <w:pPr>
              <w:spacing w:before="177" w:line="228" w:lineRule="auto"/>
              <w:ind w:left="48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98" w:type="dxa"/>
            <w:vAlign w:val="top"/>
          </w:tcPr>
          <w:p w14:paraId="06E2EFE1">
            <w:pPr>
              <w:pStyle w:val="22"/>
              <w:rPr>
                <w:rFonts w:hint="eastAsia" w:ascii="宋体" w:hAnsi="宋体" w:eastAsia="宋体" w:cs="宋体"/>
                <w:color w:val="auto"/>
                <w:sz w:val="24"/>
                <w:szCs w:val="24"/>
                <w:highlight w:val="none"/>
              </w:rPr>
            </w:pPr>
          </w:p>
        </w:tc>
      </w:tr>
      <w:tr w14:paraId="6FDDE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top"/>
          </w:tcPr>
          <w:p w14:paraId="0F462855">
            <w:pPr>
              <w:spacing w:before="175" w:line="228" w:lineRule="auto"/>
              <w:ind w:left="50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94" w:type="dxa"/>
            <w:gridSpan w:val="2"/>
            <w:vAlign w:val="top"/>
          </w:tcPr>
          <w:p w14:paraId="4D308F02">
            <w:pPr>
              <w:pStyle w:val="22"/>
              <w:rPr>
                <w:rFonts w:hint="eastAsia" w:ascii="宋体" w:hAnsi="宋体" w:eastAsia="宋体" w:cs="宋体"/>
                <w:color w:val="auto"/>
                <w:sz w:val="24"/>
                <w:szCs w:val="24"/>
                <w:highlight w:val="none"/>
              </w:rPr>
            </w:pPr>
          </w:p>
        </w:tc>
        <w:tc>
          <w:tcPr>
            <w:tcW w:w="1357" w:type="dxa"/>
            <w:vAlign w:val="top"/>
          </w:tcPr>
          <w:p w14:paraId="34E38C39">
            <w:pPr>
              <w:spacing w:before="174" w:line="231" w:lineRule="auto"/>
              <w:ind w:left="3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62" w:type="dxa"/>
            <w:vAlign w:val="top"/>
          </w:tcPr>
          <w:p w14:paraId="0DAA751B">
            <w:pPr>
              <w:pStyle w:val="22"/>
              <w:rPr>
                <w:rFonts w:hint="eastAsia" w:ascii="宋体" w:hAnsi="宋体" w:eastAsia="宋体" w:cs="宋体"/>
                <w:color w:val="auto"/>
                <w:sz w:val="24"/>
                <w:szCs w:val="24"/>
                <w:highlight w:val="none"/>
              </w:rPr>
            </w:pPr>
          </w:p>
        </w:tc>
        <w:tc>
          <w:tcPr>
            <w:tcW w:w="1798" w:type="dxa"/>
            <w:vAlign w:val="top"/>
          </w:tcPr>
          <w:p w14:paraId="11073026">
            <w:pPr>
              <w:spacing w:before="175" w:line="230"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98" w:type="dxa"/>
            <w:vAlign w:val="top"/>
          </w:tcPr>
          <w:p w14:paraId="1F3A2BA6">
            <w:pPr>
              <w:pStyle w:val="22"/>
              <w:rPr>
                <w:rFonts w:hint="eastAsia" w:ascii="宋体" w:hAnsi="宋体" w:eastAsia="宋体" w:cs="宋体"/>
                <w:color w:val="auto"/>
                <w:sz w:val="24"/>
                <w:szCs w:val="24"/>
                <w:highlight w:val="none"/>
              </w:rPr>
            </w:pPr>
          </w:p>
        </w:tc>
      </w:tr>
      <w:tr w14:paraId="43516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12" w:hRule="atLeast"/>
        </w:trPr>
        <w:tc>
          <w:tcPr>
            <w:tcW w:w="1828" w:type="dxa"/>
            <w:gridSpan w:val="2"/>
            <w:vAlign w:val="top"/>
          </w:tcPr>
          <w:p w14:paraId="0E3A18BC">
            <w:pPr>
              <w:spacing w:before="175" w:line="229" w:lineRule="auto"/>
              <w:ind w:left="24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651" w:type="dxa"/>
            <w:gridSpan w:val="3"/>
            <w:vAlign w:val="top"/>
          </w:tcPr>
          <w:p w14:paraId="7D6DFC09">
            <w:pPr>
              <w:pStyle w:val="22"/>
              <w:rPr>
                <w:rFonts w:hint="eastAsia" w:ascii="宋体" w:hAnsi="宋体" w:eastAsia="宋体" w:cs="宋体"/>
                <w:color w:val="auto"/>
                <w:sz w:val="24"/>
                <w:szCs w:val="24"/>
                <w:highlight w:val="none"/>
              </w:rPr>
            </w:pPr>
          </w:p>
        </w:tc>
        <w:tc>
          <w:tcPr>
            <w:tcW w:w="3860" w:type="dxa"/>
            <w:gridSpan w:val="2"/>
            <w:vAlign w:val="top"/>
          </w:tcPr>
          <w:p w14:paraId="4408172B">
            <w:pPr>
              <w:spacing w:before="176" w:line="228"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98" w:type="dxa"/>
            <w:vAlign w:val="top"/>
          </w:tcPr>
          <w:p w14:paraId="4C87831D">
            <w:pPr>
              <w:pStyle w:val="22"/>
              <w:rPr>
                <w:rFonts w:hint="eastAsia" w:ascii="宋体" w:hAnsi="宋体" w:eastAsia="宋体" w:cs="宋体"/>
                <w:color w:val="auto"/>
                <w:sz w:val="24"/>
                <w:szCs w:val="24"/>
                <w:highlight w:val="none"/>
              </w:rPr>
            </w:pPr>
          </w:p>
        </w:tc>
      </w:tr>
      <w:tr w14:paraId="10DDF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top"/>
          </w:tcPr>
          <w:p w14:paraId="31031DB2">
            <w:pPr>
              <w:spacing w:before="176" w:line="228" w:lineRule="auto"/>
              <w:ind w:left="23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以项目经理身份参与过的主要业绩（已完工项目）</w:t>
            </w:r>
          </w:p>
        </w:tc>
      </w:tr>
      <w:tr w14:paraId="2F59C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top"/>
          </w:tcPr>
          <w:p w14:paraId="1515B561">
            <w:pPr>
              <w:spacing w:before="176" w:line="230" w:lineRule="auto"/>
              <w:ind w:left="183"/>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24" w:type="dxa"/>
            <w:gridSpan w:val="2"/>
            <w:vAlign w:val="top"/>
          </w:tcPr>
          <w:p w14:paraId="2641D3DB">
            <w:pPr>
              <w:spacing w:before="176"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37" w:type="dxa"/>
            <w:gridSpan w:val="2"/>
            <w:vAlign w:val="top"/>
          </w:tcPr>
          <w:p w14:paraId="25A9066F">
            <w:pPr>
              <w:spacing w:before="176" w:line="229" w:lineRule="auto"/>
              <w:ind w:left="5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62" w:type="dxa"/>
            <w:vAlign w:val="top"/>
          </w:tcPr>
          <w:p w14:paraId="1B17D9E4">
            <w:pPr>
              <w:spacing w:before="176" w:line="228" w:lineRule="auto"/>
              <w:ind w:left="26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98" w:type="dxa"/>
            <w:vAlign w:val="top"/>
          </w:tcPr>
          <w:p w14:paraId="2FD09F71">
            <w:pPr>
              <w:spacing w:before="176" w:line="228" w:lineRule="auto"/>
              <w:ind w:left="238"/>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98" w:type="dxa"/>
            <w:vAlign w:val="top"/>
          </w:tcPr>
          <w:p w14:paraId="1B629B28">
            <w:pPr>
              <w:spacing w:before="176" w:line="228" w:lineRule="auto"/>
              <w:ind w:left="25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3492C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0B6A7F45">
            <w:pPr>
              <w:spacing w:before="214" w:line="195" w:lineRule="auto"/>
              <w:ind w:left="3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24" w:type="dxa"/>
            <w:gridSpan w:val="2"/>
            <w:vAlign w:val="top"/>
          </w:tcPr>
          <w:p w14:paraId="2433D13F">
            <w:pPr>
              <w:pStyle w:val="22"/>
              <w:rPr>
                <w:rFonts w:hint="eastAsia" w:ascii="宋体" w:hAnsi="宋体" w:eastAsia="宋体" w:cs="宋体"/>
                <w:color w:val="auto"/>
                <w:sz w:val="24"/>
                <w:szCs w:val="24"/>
                <w:highlight w:val="none"/>
              </w:rPr>
            </w:pPr>
          </w:p>
        </w:tc>
        <w:tc>
          <w:tcPr>
            <w:tcW w:w="2037" w:type="dxa"/>
            <w:gridSpan w:val="2"/>
            <w:vAlign w:val="top"/>
          </w:tcPr>
          <w:p w14:paraId="7ED12335">
            <w:pPr>
              <w:pStyle w:val="22"/>
              <w:rPr>
                <w:rFonts w:hint="eastAsia" w:ascii="宋体" w:hAnsi="宋体" w:eastAsia="宋体" w:cs="宋体"/>
                <w:color w:val="auto"/>
                <w:sz w:val="24"/>
                <w:szCs w:val="24"/>
                <w:highlight w:val="none"/>
              </w:rPr>
            </w:pPr>
          </w:p>
        </w:tc>
        <w:tc>
          <w:tcPr>
            <w:tcW w:w="2062" w:type="dxa"/>
            <w:vAlign w:val="top"/>
          </w:tcPr>
          <w:p w14:paraId="26C48572">
            <w:pPr>
              <w:pStyle w:val="22"/>
              <w:rPr>
                <w:rFonts w:hint="eastAsia" w:ascii="宋体" w:hAnsi="宋体" w:eastAsia="宋体" w:cs="宋体"/>
                <w:color w:val="auto"/>
                <w:sz w:val="24"/>
                <w:szCs w:val="24"/>
                <w:highlight w:val="none"/>
              </w:rPr>
            </w:pPr>
          </w:p>
        </w:tc>
        <w:tc>
          <w:tcPr>
            <w:tcW w:w="1798" w:type="dxa"/>
            <w:vAlign w:val="top"/>
          </w:tcPr>
          <w:p w14:paraId="6F71C51C">
            <w:pPr>
              <w:pStyle w:val="22"/>
              <w:rPr>
                <w:rFonts w:hint="eastAsia" w:ascii="宋体" w:hAnsi="宋体" w:eastAsia="宋体" w:cs="宋体"/>
                <w:color w:val="auto"/>
                <w:sz w:val="24"/>
                <w:szCs w:val="24"/>
                <w:highlight w:val="none"/>
              </w:rPr>
            </w:pPr>
          </w:p>
        </w:tc>
        <w:tc>
          <w:tcPr>
            <w:tcW w:w="1398" w:type="dxa"/>
            <w:vAlign w:val="top"/>
          </w:tcPr>
          <w:p w14:paraId="0C3C7D01">
            <w:pPr>
              <w:pStyle w:val="22"/>
              <w:rPr>
                <w:rFonts w:hint="eastAsia" w:ascii="宋体" w:hAnsi="宋体" w:eastAsia="宋体" w:cs="宋体"/>
                <w:color w:val="auto"/>
                <w:sz w:val="24"/>
                <w:szCs w:val="24"/>
                <w:highlight w:val="none"/>
              </w:rPr>
            </w:pPr>
          </w:p>
        </w:tc>
      </w:tr>
      <w:tr w14:paraId="1C6C0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top"/>
          </w:tcPr>
          <w:p w14:paraId="1C7B1E7E">
            <w:pPr>
              <w:spacing w:before="213" w:line="195" w:lineRule="auto"/>
              <w:ind w:left="3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24" w:type="dxa"/>
            <w:gridSpan w:val="2"/>
            <w:vAlign w:val="top"/>
          </w:tcPr>
          <w:p w14:paraId="2EF46289">
            <w:pPr>
              <w:pStyle w:val="22"/>
              <w:rPr>
                <w:rFonts w:hint="eastAsia" w:ascii="宋体" w:hAnsi="宋体" w:eastAsia="宋体" w:cs="宋体"/>
                <w:color w:val="auto"/>
                <w:sz w:val="24"/>
                <w:szCs w:val="24"/>
                <w:highlight w:val="none"/>
              </w:rPr>
            </w:pPr>
          </w:p>
        </w:tc>
        <w:tc>
          <w:tcPr>
            <w:tcW w:w="2037" w:type="dxa"/>
            <w:gridSpan w:val="2"/>
            <w:vAlign w:val="top"/>
          </w:tcPr>
          <w:p w14:paraId="5885AE34">
            <w:pPr>
              <w:pStyle w:val="22"/>
              <w:rPr>
                <w:rFonts w:hint="eastAsia" w:ascii="宋体" w:hAnsi="宋体" w:eastAsia="宋体" w:cs="宋体"/>
                <w:color w:val="auto"/>
                <w:sz w:val="24"/>
                <w:szCs w:val="24"/>
                <w:highlight w:val="none"/>
              </w:rPr>
            </w:pPr>
          </w:p>
        </w:tc>
        <w:tc>
          <w:tcPr>
            <w:tcW w:w="2062" w:type="dxa"/>
            <w:vAlign w:val="top"/>
          </w:tcPr>
          <w:p w14:paraId="1D1C06AD">
            <w:pPr>
              <w:pStyle w:val="22"/>
              <w:rPr>
                <w:rFonts w:hint="eastAsia" w:ascii="宋体" w:hAnsi="宋体" w:eastAsia="宋体" w:cs="宋体"/>
                <w:color w:val="auto"/>
                <w:sz w:val="24"/>
                <w:szCs w:val="24"/>
                <w:highlight w:val="none"/>
              </w:rPr>
            </w:pPr>
          </w:p>
        </w:tc>
        <w:tc>
          <w:tcPr>
            <w:tcW w:w="1798" w:type="dxa"/>
            <w:vAlign w:val="top"/>
          </w:tcPr>
          <w:p w14:paraId="43737A2F">
            <w:pPr>
              <w:pStyle w:val="22"/>
              <w:rPr>
                <w:rFonts w:hint="eastAsia" w:ascii="宋体" w:hAnsi="宋体" w:eastAsia="宋体" w:cs="宋体"/>
                <w:color w:val="auto"/>
                <w:sz w:val="24"/>
                <w:szCs w:val="24"/>
                <w:highlight w:val="none"/>
              </w:rPr>
            </w:pPr>
          </w:p>
        </w:tc>
        <w:tc>
          <w:tcPr>
            <w:tcW w:w="1398" w:type="dxa"/>
            <w:vAlign w:val="top"/>
          </w:tcPr>
          <w:p w14:paraId="212B892A">
            <w:pPr>
              <w:pStyle w:val="22"/>
              <w:rPr>
                <w:rFonts w:hint="eastAsia" w:ascii="宋体" w:hAnsi="宋体" w:eastAsia="宋体" w:cs="宋体"/>
                <w:color w:val="auto"/>
                <w:sz w:val="24"/>
                <w:szCs w:val="24"/>
                <w:highlight w:val="none"/>
              </w:rPr>
            </w:pPr>
          </w:p>
        </w:tc>
      </w:tr>
      <w:tr w14:paraId="38B16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6AAF9394">
            <w:pPr>
              <w:spacing w:before="213" w:line="195" w:lineRule="auto"/>
              <w:ind w:left="34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24" w:type="dxa"/>
            <w:gridSpan w:val="2"/>
            <w:vAlign w:val="top"/>
          </w:tcPr>
          <w:p w14:paraId="22DD6F3A">
            <w:pPr>
              <w:pStyle w:val="22"/>
              <w:rPr>
                <w:rFonts w:hint="eastAsia" w:ascii="宋体" w:hAnsi="宋体" w:eastAsia="宋体" w:cs="宋体"/>
                <w:color w:val="auto"/>
                <w:sz w:val="24"/>
                <w:szCs w:val="24"/>
                <w:highlight w:val="none"/>
              </w:rPr>
            </w:pPr>
          </w:p>
        </w:tc>
        <w:tc>
          <w:tcPr>
            <w:tcW w:w="2037" w:type="dxa"/>
            <w:gridSpan w:val="2"/>
            <w:vAlign w:val="top"/>
          </w:tcPr>
          <w:p w14:paraId="1BCA80A7">
            <w:pPr>
              <w:pStyle w:val="22"/>
              <w:rPr>
                <w:rFonts w:hint="eastAsia" w:ascii="宋体" w:hAnsi="宋体" w:eastAsia="宋体" w:cs="宋体"/>
                <w:color w:val="auto"/>
                <w:sz w:val="24"/>
                <w:szCs w:val="24"/>
                <w:highlight w:val="none"/>
              </w:rPr>
            </w:pPr>
          </w:p>
        </w:tc>
        <w:tc>
          <w:tcPr>
            <w:tcW w:w="2062" w:type="dxa"/>
            <w:vAlign w:val="top"/>
          </w:tcPr>
          <w:p w14:paraId="3AFC4914">
            <w:pPr>
              <w:pStyle w:val="22"/>
              <w:rPr>
                <w:rFonts w:hint="eastAsia" w:ascii="宋体" w:hAnsi="宋体" w:eastAsia="宋体" w:cs="宋体"/>
                <w:color w:val="auto"/>
                <w:sz w:val="24"/>
                <w:szCs w:val="24"/>
                <w:highlight w:val="none"/>
              </w:rPr>
            </w:pPr>
          </w:p>
        </w:tc>
        <w:tc>
          <w:tcPr>
            <w:tcW w:w="1798" w:type="dxa"/>
            <w:vAlign w:val="top"/>
          </w:tcPr>
          <w:p w14:paraId="26629B2E">
            <w:pPr>
              <w:pStyle w:val="22"/>
              <w:rPr>
                <w:rFonts w:hint="eastAsia" w:ascii="宋体" w:hAnsi="宋体" w:eastAsia="宋体" w:cs="宋体"/>
                <w:color w:val="auto"/>
                <w:sz w:val="24"/>
                <w:szCs w:val="24"/>
                <w:highlight w:val="none"/>
              </w:rPr>
            </w:pPr>
          </w:p>
        </w:tc>
        <w:tc>
          <w:tcPr>
            <w:tcW w:w="1398" w:type="dxa"/>
            <w:vAlign w:val="top"/>
          </w:tcPr>
          <w:p w14:paraId="31A95DBA">
            <w:pPr>
              <w:pStyle w:val="22"/>
              <w:rPr>
                <w:rFonts w:hint="eastAsia" w:ascii="宋体" w:hAnsi="宋体" w:eastAsia="宋体" w:cs="宋体"/>
                <w:color w:val="auto"/>
                <w:sz w:val="24"/>
                <w:szCs w:val="24"/>
                <w:highlight w:val="none"/>
              </w:rPr>
            </w:pPr>
          </w:p>
        </w:tc>
      </w:tr>
      <w:tr w14:paraId="4117D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top"/>
          </w:tcPr>
          <w:p w14:paraId="369632E2">
            <w:pPr>
              <w:spacing w:before="177" w:line="325" w:lineRule="exact"/>
              <w:ind w:left="197"/>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24" w:type="dxa"/>
            <w:gridSpan w:val="2"/>
            <w:vAlign w:val="top"/>
          </w:tcPr>
          <w:p w14:paraId="65D92E7D">
            <w:pPr>
              <w:pStyle w:val="22"/>
              <w:rPr>
                <w:rFonts w:hint="eastAsia" w:ascii="宋体" w:hAnsi="宋体" w:eastAsia="宋体" w:cs="宋体"/>
                <w:color w:val="auto"/>
                <w:sz w:val="24"/>
                <w:szCs w:val="24"/>
                <w:highlight w:val="none"/>
              </w:rPr>
            </w:pPr>
          </w:p>
        </w:tc>
        <w:tc>
          <w:tcPr>
            <w:tcW w:w="2037" w:type="dxa"/>
            <w:gridSpan w:val="2"/>
            <w:vAlign w:val="top"/>
          </w:tcPr>
          <w:p w14:paraId="4C968863">
            <w:pPr>
              <w:pStyle w:val="22"/>
              <w:rPr>
                <w:rFonts w:hint="eastAsia" w:ascii="宋体" w:hAnsi="宋体" w:eastAsia="宋体" w:cs="宋体"/>
                <w:color w:val="auto"/>
                <w:sz w:val="24"/>
                <w:szCs w:val="24"/>
                <w:highlight w:val="none"/>
              </w:rPr>
            </w:pPr>
          </w:p>
        </w:tc>
        <w:tc>
          <w:tcPr>
            <w:tcW w:w="2062" w:type="dxa"/>
            <w:vAlign w:val="top"/>
          </w:tcPr>
          <w:p w14:paraId="3AF7CF77">
            <w:pPr>
              <w:pStyle w:val="22"/>
              <w:rPr>
                <w:rFonts w:hint="eastAsia" w:ascii="宋体" w:hAnsi="宋体" w:eastAsia="宋体" w:cs="宋体"/>
                <w:color w:val="auto"/>
                <w:sz w:val="24"/>
                <w:szCs w:val="24"/>
                <w:highlight w:val="none"/>
              </w:rPr>
            </w:pPr>
          </w:p>
        </w:tc>
        <w:tc>
          <w:tcPr>
            <w:tcW w:w="1798" w:type="dxa"/>
            <w:vAlign w:val="top"/>
          </w:tcPr>
          <w:p w14:paraId="4832D877">
            <w:pPr>
              <w:pStyle w:val="22"/>
              <w:rPr>
                <w:rFonts w:hint="eastAsia" w:ascii="宋体" w:hAnsi="宋体" w:eastAsia="宋体" w:cs="宋体"/>
                <w:color w:val="auto"/>
                <w:sz w:val="24"/>
                <w:szCs w:val="24"/>
                <w:highlight w:val="none"/>
              </w:rPr>
            </w:pPr>
          </w:p>
        </w:tc>
        <w:tc>
          <w:tcPr>
            <w:tcW w:w="1398" w:type="dxa"/>
            <w:vAlign w:val="top"/>
          </w:tcPr>
          <w:p w14:paraId="4DE72D0E">
            <w:pPr>
              <w:pStyle w:val="22"/>
              <w:rPr>
                <w:rFonts w:hint="eastAsia" w:ascii="宋体" w:hAnsi="宋体" w:eastAsia="宋体" w:cs="宋体"/>
                <w:color w:val="auto"/>
                <w:sz w:val="24"/>
                <w:szCs w:val="24"/>
                <w:highlight w:val="none"/>
              </w:rPr>
            </w:pPr>
          </w:p>
        </w:tc>
      </w:tr>
    </w:tbl>
    <w:p w14:paraId="495E5A63">
      <w:pPr>
        <w:pStyle w:val="5"/>
        <w:spacing w:line="315" w:lineRule="auto"/>
        <w:rPr>
          <w:rFonts w:hint="eastAsia" w:ascii="宋体" w:hAnsi="宋体" w:eastAsia="宋体" w:cs="宋体"/>
          <w:color w:val="auto"/>
          <w:highlight w:val="none"/>
        </w:rPr>
      </w:pPr>
    </w:p>
    <w:p w14:paraId="6777CCF8">
      <w:pPr>
        <w:spacing w:before="78" w:line="220" w:lineRule="auto"/>
        <w:ind w:left="696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项目经理</w:t>
      </w:r>
      <w:r>
        <w:rPr>
          <w:rFonts w:hint="eastAsia" w:ascii="宋体" w:hAnsi="宋体" w:eastAsia="宋体" w:cs="宋体"/>
          <w:color w:val="auto"/>
          <w:spacing w:val="-18"/>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3"/>
          <w:sz w:val="24"/>
          <w:szCs w:val="24"/>
          <w:highlight w:val="none"/>
        </w:rPr>
        <w:t>签字）</w:t>
      </w:r>
    </w:p>
    <w:p w14:paraId="7EE4D334">
      <w:pPr>
        <w:pStyle w:val="5"/>
        <w:spacing w:line="256" w:lineRule="auto"/>
        <w:rPr>
          <w:rFonts w:hint="eastAsia" w:ascii="宋体" w:hAnsi="宋体" w:eastAsia="宋体" w:cs="宋体"/>
          <w:color w:val="auto"/>
          <w:highlight w:val="none"/>
        </w:rPr>
      </w:pPr>
    </w:p>
    <w:p w14:paraId="09C62493">
      <w:pPr>
        <w:pStyle w:val="5"/>
        <w:spacing w:line="254" w:lineRule="auto"/>
        <w:jc w:val="right"/>
        <w:rPr>
          <w:rFonts w:hint="eastAsia" w:ascii="宋体" w:hAnsi="宋体" w:eastAsia="宋体" w:cs="宋体"/>
          <w:color w:val="auto"/>
          <w:highlight w:val="none"/>
        </w:rPr>
      </w:pPr>
      <w:r>
        <w:rPr>
          <w:rFonts w:hint="eastAsia" w:ascii="宋体" w:hAnsi="宋体" w:eastAsia="宋体" w:cs="宋体"/>
          <w:color w:val="auto"/>
          <w:spacing w:val="-4"/>
          <w:sz w:val="24"/>
          <w:szCs w:val="24"/>
          <w:highlight w:val="non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6FF6E825">
      <w:pPr>
        <w:spacing w:before="78" w:line="220" w:lineRule="auto"/>
        <w:ind w:left="4226"/>
        <w:jc w:val="center"/>
        <w:rPr>
          <w:rFonts w:hint="eastAsia" w:ascii="宋体" w:hAnsi="宋体" w:eastAsia="宋体" w:cs="宋体"/>
          <w:color w:val="auto"/>
          <w:highlight w:val="none"/>
        </w:rPr>
      </w:pPr>
    </w:p>
    <w:p w14:paraId="0367A6B3">
      <w:pPr>
        <w:pStyle w:val="5"/>
        <w:spacing w:line="241" w:lineRule="auto"/>
        <w:rPr>
          <w:rFonts w:hint="eastAsia" w:ascii="宋体" w:hAnsi="宋体" w:eastAsia="宋体" w:cs="宋体"/>
          <w:color w:val="auto"/>
          <w:highlight w:val="none"/>
        </w:rPr>
      </w:pPr>
    </w:p>
    <w:p w14:paraId="7748ADBC">
      <w:pPr>
        <w:spacing w:before="65" w:line="228"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说明：《项目经理简历表》后应附拟派项目经理以下资料：</w:t>
      </w:r>
    </w:p>
    <w:p w14:paraId="1B4359E0">
      <w:pPr>
        <w:spacing w:before="152" w:line="228" w:lineRule="auto"/>
        <w:ind w:left="484"/>
        <w:outlineLvl w:val="9"/>
        <w:rPr>
          <w:rFonts w:hint="eastAsia" w:ascii="宋体" w:hAnsi="宋体" w:eastAsia="宋体" w:cs="宋体"/>
          <w:color w:val="auto"/>
          <w:sz w:val="24"/>
          <w:szCs w:val="24"/>
          <w:highlight w:val="none"/>
        </w:rPr>
      </w:pPr>
      <w:bookmarkStart w:id="252" w:name="_Toc25271"/>
      <w:bookmarkStart w:id="253" w:name="_Toc1942"/>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bookmarkEnd w:id="252"/>
      <w:bookmarkEnd w:id="253"/>
    </w:p>
    <w:p w14:paraId="407858BC">
      <w:pPr>
        <w:spacing w:before="153" w:line="228" w:lineRule="auto"/>
        <w:ind w:left="464"/>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8"/>
          <w:sz w:val="24"/>
          <w:szCs w:val="24"/>
          <w:highlight w:val="none"/>
        </w:rPr>
        <w:t>．建造师电子注册证书（在使用有效期内的有效电子证书）彩色扫描件；</w:t>
      </w:r>
    </w:p>
    <w:p w14:paraId="7FFC2D88">
      <w:pPr>
        <w:spacing w:before="154" w:line="298" w:lineRule="auto"/>
        <w:ind w:left="50" w:right="167" w:firstLine="41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3．B 类安全生产考核合格证书彩色扫描件或广东省建筑施工企业管理人员安全生产考核系统考</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7"/>
          <w:sz w:val="24"/>
          <w:szCs w:val="24"/>
          <w:highlight w:val="none"/>
        </w:rPr>
        <w:t>核合格信息彩色扫描件；</w:t>
      </w:r>
    </w:p>
    <w:p w14:paraId="3261276C">
      <w:pPr>
        <w:spacing w:before="153" w:line="299" w:lineRule="auto"/>
        <w:ind w:left="49" w:right="167" w:firstLine="41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8"/>
          <w:sz w:val="24"/>
          <w:szCs w:val="24"/>
          <w:highlight w:val="none"/>
        </w:rPr>
        <w:t>．在本单位缴纳社保</w:t>
      </w:r>
      <w:r>
        <w:rPr>
          <w:rFonts w:hint="eastAsia" w:ascii="宋体" w:hAnsi="宋体" w:eastAsia="宋体" w:cs="宋体"/>
          <w:color w:val="auto"/>
          <w:sz w:val="24"/>
          <w:szCs w:val="24"/>
          <w:highlight w:val="none"/>
          <w:lang w:eastAsia="zh-CN"/>
        </w:rPr>
        <w:t>的证明（至少1个月，其中必须有2026年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pacing w:val="8"/>
          <w:sz w:val="24"/>
          <w:szCs w:val="24"/>
          <w:highlight w:val="none"/>
        </w:rPr>
        <w:t>彩色扫描件或打印件。拟</w:t>
      </w:r>
      <w:r>
        <w:rPr>
          <w:rFonts w:hint="eastAsia" w:ascii="宋体" w:hAnsi="宋体" w:eastAsia="宋体" w:cs="宋体"/>
          <w:color w:val="auto"/>
          <w:spacing w:val="9"/>
          <w:sz w:val="24"/>
          <w:szCs w:val="24"/>
          <w:highlight w:val="none"/>
        </w:rPr>
        <w:t>派项目经理为退休返聘人员无法提供社保证明的，提供退休证和劳动合同彩色扫描件。</w:t>
      </w:r>
    </w:p>
    <w:p w14:paraId="71F30DE4">
      <w:pPr>
        <w:spacing w:before="150" w:line="300" w:lineRule="auto"/>
        <w:ind w:left="49" w:right="170" w:firstLine="42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5</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7"/>
          <w:sz w:val="24"/>
          <w:szCs w:val="24"/>
          <w:highlight w:val="none"/>
        </w:rPr>
        <w:t>．“进粤企业和人员诚信信息登记平台</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7"/>
          <w:sz w:val="24"/>
          <w:szCs w:val="24"/>
          <w:highlight w:val="none"/>
        </w:rPr>
        <w:t>”个人（项目经理等）信息</w:t>
      </w:r>
      <w:r>
        <w:rPr>
          <w:rFonts w:hint="eastAsia" w:ascii="宋体" w:hAnsi="宋体" w:eastAsia="宋体" w:cs="宋体"/>
          <w:color w:val="auto"/>
          <w:spacing w:val="6"/>
          <w:sz w:val="24"/>
          <w:szCs w:val="24"/>
          <w:highlight w:val="none"/>
        </w:rPr>
        <w:t>情况截图。（适用于省外建</w:t>
      </w:r>
      <w:r>
        <w:rPr>
          <w:rFonts w:hint="eastAsia" w:ascii="宋体" w:hAnsi="宋体" w:eastAsia="宋体" w:cs="宋体"/>
          <w:color w:val="auto"/>
          <w:spacing w:val="4"/>
          <w:sz w:val="24"/>
          <w:szCs w:val="24"/>
          <w:highlight w:val="none"/>
        </w:rPr>
        <w:t>筑企业）</w:t>
      </w:r>
    </w:p>
    <w:p w14:paraId="725AC239">
      <w:pPr>
        <w:spacing w:line="300" w:lineRule="auto"/>
        <w:rPr>
          <w:rFonts w:hint="eastAsia" w:ascii="宋体" w:hAnsi="宋体" w:eastAsia="宋体" w:cs="宋体"/>
          <w:color w:val="auto"/>
          <w:sz w:val="20"/>
          <w:szCs w:val="20"/>
          <w:highlight w:val="none"/>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452BE9B">
      <w:pPr>
        <w:spacing w:before="78" w:line="220" w:lineRule="auto"/>
        <w:outlineLvl w:val="2"/>
        <w:rPr>
          <w:rFonts w:hint="eastAsia" w:ascii="宋体" w:hAnsi="宋体" w:eastAsia="宋体" w:cs="宋体"/>
          <w:b/>
          <w:bCs/>
          <w:color w:val="auto"/>
          <w:spacing w:val="-4"/>
          <w:sz w:val="24"/>
          <w:szCs w:val="24"/>
          <w:highlight w:val="none"/>
        </w:rPr>
      </w:pPr>
      <w:bookmarkStart w:id="254" w:name="_Toc30661"/>
      <w:r>
        <w:rPr>
          <w:rFonts w:hint="eastAsia" w:ascii="宋体" w:hAnsi="宋体" w:eastAsia="宋体" w:cs="宋体"/>
          <w:b/>
          <w:bCs/>
          <w:color w:val="auto"/>
          <w:spacing w:val="-4"/>
          <w:sz w:val="24"/>
          <w:szCs w:val="24"/>
          <w:highlight w:val="none"/>
        </w:rPr>
        <w:t>格式九 项目经理任职声明</w:t>
      </w:r>
      <w:bookmarkEnd w:id="254"/>
    </w:p>
    <w:p w14:paraId="0222D3A9">
      <w:pPr>
        <w:pStyle w:val="5"/>
        <w:spacing w:line="350" w:lineRule="auto"/>
        <w:rPr>
          <w:rFonts w:hint="eastAsia" w:ascii="宋体" w:hAnsi="宋体" w:eastAsia="宋体" w:cs="宋体"/>
          <w:color w:val="auto"/>
          <w:highlight w:val="none"/>
        </w:rPr>
      </w:pPr>
    </w:p>
    <w:p w14:paraId="5B76A26A">
      <w:pPr>
        <w:pStyle w:val="5"/>
        <w:spacing w:line="350" w:lineRule="auto"/>
        <w:rPr>
          <w:rFonts w:hint="eastAsia" w:ascii="宋体" w:hAnsi="宋体" w:eastAsia="宋体" w:cs="宋体"/>
          <w:color w:val="auto"/>
          <w:highlight w:val="none"/>
        </w:rPr>
      </w:pPr>
    </w:p>
    <w:p w14:paraId="7245C231">
      <w:pPr>
        <w:spacing w:before="98" w:line="220" w:lineRule="auto"/>
        <w:ind w:left="3338"/>
        <w:rPr>
          <w:rFonts w:hint="eastAsia" w:ascii="宋体" w:hAnsi="宋体" w:eastAsia="宋体" w:cs="宋体"/>
          <w:color w:val="auto"/>
          <w:sz w:val="30"/>
          <w:szCs w:val="30"/>
          <w:highlight w:val="none"/>
        </w:rPr>
      </w:pPr>
      <w:bookmarkStart w:id="255" w:name="bookmark157"/>
      <w:bookmarkEnd w:id="255"/>
      <w:r>
        <w:rPr>
          <w:rFonts w:hint="eastAsia" w:ascii="宋体" w:hAnsi="宋体" w:eastAsia="宋体" w:cs="宋体"/>
          <w:b/>
          <w:bCs/>
          <w:color w:val="auto"/>
          <w:spacing w:val="-5"/>
          <w:sz w:val="30"/>
          <w:szCs w:val="30"/>
          <w:highlight w:val="none"/>
        </w:rPr>
        <w:t>项目经理任职声明</w:t>
      </w:r>
    </w:p>
    <w:p w14:paraId="432A85D8">
      <w:pPr>
        <w:pStyle w:val="5"/>
        <w:spacing w:line="250" w:lineRule="auto"/>
        <w:rPr>
          <w:rFonts w:hint="eastAsia" w:ascii="宋体" w:hAnsi="宋体" w:eastAsia="宋体" w:cs="宋体"/>
          <w:color w:val="auto"/>
          <w:highlight w:val="none"/>
        </w:rPr>
      </w:pPr>
    </w:p>
    <w:p w14:paraId="20EB2AAE">
      <w:pPr>
        <w:pStyle w:val="5"/>
        <w:spacing w:line="250" w:lineRule="auto"/>
        <w:rPr>
          <w:rFonts w:hint="eastAsia" w:ascii="宋体" w:hAnsi="宋体" w:eastAsia="宋体" w:cs="宋体"/>
          <w:color w:val="auto"/>
          <w:highlight w:val="none"/>
        </w:rPr>
      </w:pPr>
    </w:p>
    <w:p w14:paraId="096AB68F">
      <w:pPr>
        <w:pStyle w:val="5"/>
        <w:spacing w:line="251" w:lineRule="auto"/>
        <w:rPr>
          <w:rFonts w:hint="eastAsia" w:ascii="宋体" w:hAnsi="宋体" w:eastAsia="宋体" w:cs="宋体"/>
          <w:color w:val="auto"/>
          <w:highlight w:val="none"/>
        </w:rPr>
      </w:pPr>
    </w:p>
    <w:p w14:paraId="5F9E03A1">
      <w:pPr>
        <w:spacing w:before="78" w:line="221"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致</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17"/>
          <w:sz w:val="24"/>
          <w:szCs w:val="24"/>
          <w:highlight w:val="none"/>
          <w:u w:val="single"/>
          <w:lang w:val="en-US" w:eastAsia="zh-CN"/>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9"/>
          <w:sz w:val="24"/>
          <w:szCs w:val="24"/>
          <w:highlight w:val="none"/>
        </w:rPr>
        <w:t>招标人名称</w:t>
      </w:r>
      <w:r>
        <w:rPr>
          <w:rFonts w:hint="eastAsia" w:ascii="宋体" w:hAnsi="宋体" w:eastAsia="宋体" w:cs="宋体"/>
          <w:color w:val="auto"/>
          <w:spacing w:val="-17"/>
          <w:sz w:val="24"/>
          <w:szCs w:val="24"/>
          <w:highlight w:val="none"/>
        </w:rPr>
        <w:t>）</w:t>
      </w:r>
    </w:p>
    <w:p w14:paraId="719E6D7A">
      <w:pPr>
        <w:spacing w:before="155" w:line="324"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我方在此声明，我方拟派往</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（项目名称）的项目经理</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（项目经理姓名）现阶段没有</w:t>
      </w:r>
      <w:r>
        <w:rPr>
          <w:rFonts w:hint="eastAsia" w:ascii="宋体" w:hAnsi="宋体" w:eastAsia="宋体" w:cs="宋体"/>
          <w:color w:val="auto"/>
          <w:sz w:val="24"/>
          <w:szCs w:val="24"/>
          <w:highlight w:val="none"/>
        </w:rPr>
        <w:t>担任任何在施（包括已中标未开工、已开工未竣工）</w:t>
      </w:r>
      <w:r>
        <w:rPr>
          <w:rFonts w:hint="eastAsia" w:ascii="宋体" w:hAnsi="宋体" w:eastAsia="宋体" w:cs="宋体"/>
          <w:color w:val="auto"/>
          <w:spacing w:val="-1"/>
          <w:sz w:val="24"/>
          <w:szCs w:val="24"/>
          <w:highlight w:val="none"/>
        </w:rPr>
        <w:t>建设工程项目的项目经理。</w:t>
      </w:r>
    </w:p>
    <w:p w14:paraId="0A7CAF45">
      <w:pPr>
        <w:spacing w:before="35" w:line="326" w:lineRule="auto"/>
        <w:ind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我方保证上述信息的真实和准确，并愿意承担因我方就此弄虚作假所引起的一切法</w:t>
      </w:r>
      <w:r>
        <w:rPr>
          <w:rFonts w:hint="eastAsia" w:ascii="宋体" w:hAnsi="宋体" w:eastAsia="宋体" w:cs="宋体"/>
          <w:color w:val="auto"/>
          <w:spacing w:val="-3"/>
          <w:sz w:val="24"/>
          <w:szCs w:val="24"/>
          <w:highlight w:val="none"/>
        </w:rPr>
        <w:t>律后果。</w:t>
      </w:r>
    </w:p>
    <w:p w14:paraId="454F3D49">
      <w:pPr>
        <w:pStyle w:val="5"/>
        <w:spacing w:line="391" w:lineRule="auto"/>
        <w:rPr>
          <w:rFonts w:hint="eastAsia" w:ascii="宋体" w:hAnsi="宋体" w:eastAsia="宋体" w:cs="宋体"/>
          <w:color w:val="auto"/>
          <w:highlight w:val="none"/>
        </w:rPr>
      </w:pPr>
    </w:p>
    <w:p w14:paraId="71821FC3">
      <w:pPr>
        <w:spacing w:before="78" w:line="220" w:lineRule="auto"/>
        <w:ind w:left="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特此承诺</w:t>
      </w:r>
    </w:p>
    <w:p w14:paraId="115952D0">
      <w:pPr>
        <w:pStyle w:val="5"/>
        <w:spacing w:line="316" w:lineRule="auto"/>
        <w:rPr>
          <w:rFonts w:hint="eastAsia" w:ascii="宋体" w:hAnsi="宋体" w:eastAsia="宋体" w:cs="宋体"/>
          <w:color w:val="auto"/>
          <w:highlight w:val="none"/>
        </w:rPr>
      </w:pPr>
    </w:p>
    <w:p w14:paraId="22D6F26F">
      <w:pPr>
        <w:pStyle w:val="5"/>
        <w:spacing w:line="317" w:lineRule="auto"/>
        <w:rPr>
          <w:rFonts w:hint="eastAsia" w:ascii="宋体" w:hAnsi="宋体" w:eastAsia="宋体" w:cs="宋体"/>
          <w:color w:val="auto"/>
          <w:highlight w:val="none"/>
        </w:rPr>
      </w:pPr>
    </w:p>
    <w:p w14:paraId="36094E3E">
      <w:pPr>
        <w:pStyle w:val="5"/>
        <w:spacing w:line="317" w:lineRule="auto"/>
        <w:rPr>
          <w:rFonts w:hint="eastAsia" w:ascii="宋体" w:hAnsi="宋体" w:eastAsia="宋体" w:cs="宋体"/>
          <w:color w:val="auto"/>
          <w:highlight w:val="none"/>
        </w:rPr>
      </w:pPr>
    </w:p>
    <w:p w14:paraId="3EC0BCF7">
      <w:pPr>
        <w:spacing w:before="79"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450159BF">
      <w:pPr>
        <w:pStyle w:val="5"/>
        <w:spacing w:line="317" w:lineRule="auto"/>
        <w:rPr>
          <w:rFonts w:hint="eastAsia" w:ascii="宋体" w:hAnsi="宋体" w:eastAsia="宋体" w:cs="宋体"/>
          <w:color w:val="auto"/>
          <w:highlight w:val="none"/>
        </w:rPr>
      </w:pPr>
    </w:p>
    <w:p w14:paraId="1B03D641">
      <w:pPr>
        <w:pStyle w:val="5"/>
        <w:spacing w:line="317" w:lineRule="auto"/>
        <w:rPr>
          <w:rFonts w:hint="eastAsia" w:ascii="宋体" w:hAnsi="宋体" w:eastAsia="宋体" w:cs="宋体"/>
          <w:color w:val="auto"/>
          <w:highlight w:val="none"/>
        </w:rPr>
      </w:pPr>
    </w:p>
    <w:p w14:paraId="1F3428F4">
      <w:pPr>
        <w:pStyle w:val="5"/>
        <w:spacing w:line="317" w:lineRule="auto"/>
        <w:rPr>
          <w:rFonts w:hint="eastAsia" w:ascii="宋体" w:hAnsi="宋体" w:eastAsia="宋体" w:cs="宋体"/>
          <w:color w:val="auto"/>
          <w:highlight w:val="none"/>
        </w:rPr>
      </w:pPr>
    </w:p>
    <w:p w14:paraId="2BADCBF6">
      <w:pPr>
        <w:spacing w:before="78"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290A6B30">
      <w:pPr>
        <w:pStyle w:val="5"/>
        <w:spacing w:line="257" w:lineRule="auto"/>
        <w:rPr>
          <w:rFonts w:hint="eastAsia" w:ascii="宋体" w:hAnsi="宋体" w:eastAsia="宋体" w:cs="宋体"/>
          <w:color w:val="auto"/>
          <w:highlight w:val="none"/>
        </w:rPr>
      </w:pPr>
    </w:p>
    <w:p w14:paraId="4B449D16">
      <w:pPr>
        <w:pStyle w:val="5"/>
        <w:spacing w:line="257" w:lineRule="auto"/>
        <w:rPr>
          <w:rFonts w:hint="eastAsia" w:ascii="宋体" w:hAnsi="宋体" w:eastAsia="宋体" w:cs="宋体"/>
          <w:color w:val="auto"/>
          <w:highlight w:val="none"/>
        </w:rPr>
      </w:pPr>
    </w:p>
    <w:p w14:paraId="355B5F54">
      <w:pPr>
        <w:pStyle w:val="5"/>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DA4BE3C">
      <w:pPr>
        <w:spacing w:line="220" w:lineRule="auto"/>
        <w:rPr>
          <w:rFonts w:hint="eastAsia" w:ascii="宋体" w:hAnsi="宋体" w:eastAsia="宋体" w:cs="宋体"/>
          <w:color w:val="auto"/>
          <w:sz w:val="24"/>
          <w:szCs w:val="24"/>
          <w:highlight w:val="none"/>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4288582">
      <w:pPr>
        <w:spacing w:before="78" w:line="220" w:lineRule="auto"/>
        <w:outlineLvl w:val="2"/>
        <w:rPr>
          <w:rFonts w:hint="eastAsia" w:ascii="宋体" w:hAnsi="宋体" w:eastAsia="宋体" w:cs="宋体"/>
          <w:b/>
          <w:bCs/>
          <w:color w:val="auto"/>
          <w:spacing w:val="-4"/>
          <w:sz w:val="24"/>
          <w:szCs w:val="24"/>
          <w:highlight w:val="none"/>
        </w:rPr>
      </w:pPr>
      <w:bookmarkStart w:id="256" w:name="_Toc31071"/>
      <w:r>
        <w:rPr>
          <w:rFonts w:hint="eastAsia" w:ascii="宋体" w:hAnsi="宋体" w:eastAsia="宋体" w:cs="宋体"/>
          <w:b/>
          <w:bCs/>
          <w:color w:val="auto"/>
          <w:spacing w:val="-4"/>
          <w:sz w:val="24"/>
          <w:szCs w:val="24"/>
          <w:highlight w:val="none"/>
        </w:rPr>
        <w:t>格式十 项目技术负责人简历表</w:t>
      </w:r>
      <w:bookmarkEnd w:id="256"/>
    </w:p>
    <w:p w14:paraId="3106768A">
      <w:pPr>
        <w:pStyle w:val="5"/>
        <w:spacing w:line="444" w:lineRule="auto"/>
        <w:rPr>
          <w:rFonts w:hint="eastAsia" w:ascii="宋体" w:hAnsi="宋体" w:eastAsia="宋体" w:cs="宋体"/>
          <w:color w:val="auto"/>
          <w:highlight w:val="none"/>
        </w:rPr>
      </w:pPr>
    </w:p>
    <w:p w14:paraId="0337BF98">
      <w:pPr>
        <w:spacing w:before="97" w:line="219" w:lineRule="auto"/>
        <w:ind w:left="3087"/>
        <w:outlineLvl w:val="9"/>
        <w:rPr>
          <w:rFonts w:hint="eastAsia" w:ascii="宋体" w:hAnsi="宋体" w:eastAsia="宋体" w:cs="宋体"/>
          <w:color w:val="auto"/>
          <w:sz w:val="30"/>
          <w:szCs w:val="30"/>
          <w:highlight w:val="none"/>
        </w:rPr>
      </w:pPr>
      <w:bookmarkStart w:id="257" w:name="_Toc25712"/>
      <w:bookmarkStart w:id="258" w:name="_Toc1553"/>
      <w:r>
        <w:rPr>
          <w:rFonts w:hint="eastAsia" w:ascii="宋体" w:hAnsi="宋体" w:eastAsia="宋体" w:cs="宋体"/>
          <w:b/>
          <w:bCs/>
          <w:color w:val="auto"/>
          <w:spacing w:val="-4"/>
          <w:sz w:val="30"/>
          <w:szCs w:val="30"/>
          <w:highlight w:val="none"/>
        </w:rPr>
        <w:t>项目技术负责人简历表</w:t>
      </w:r>
      <w:bookmarkEnd w:id="257"/>
      <w:bookmarkEnd w:id="258"/>
    </w:p>
    <w:p w14:paraId="42236072">
      <w:pPr>
        <w:spacing w:line="240" w:lineRule="exact"/>
        <w:rPr>
          <w:rFonts w:hint="eastAsia" w:ascii="宋体" w:hAnsi="宋体" w:eastAsia="宋体" w:cs="宋体"/>
          <w:color w:val="auto"/>
          <w:highlight w:val="none"/>
        </w:rPr>
      </w:pPr>
    </w:p>
    <w:tbl>
      <w:tblPr>
        <w:tblStyle w:val="14"/>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4AFB0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top"/>
          </w:tcPr>
          <w:p w14:paraId="7AA78083">
            <w:pPr>
              <w:spacing w:before="177" w:line="228" w:lineRule="auto"/>
              <w:ind w:left="50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82" w:type="dxa"/>
            <w:gridSpan w:val="2"/>
            <w:vAlign w:val="top"/>
          </w:tcPr>
          <w:p w14:paraId="1561C941">
            <w:pPr>
              <w:pStyle w:val="22"/>
              <w:rPr>
                <w:rFonts w:hint="eastAsia" w:ascii="宋体" w:hAnsi="宋体" w:eastAsia="宋体" w:cs="宋体"/>
                <w:color w:val="auto"/>
                <w:sz w:val="24"/>
                <w:szCs w:val="24"/>
                <w:highlight w:val="none"/>
              </w:rPr>
            </w:pPr>
          </w:p>
        </w:tc>
        <w:tc>
          <w:tcPr>
            <w:tcW w:w="1346" w:type="dxa"/>
            <w:vAlign w:val="top"/>
          </w:tcPr>
          <w:p w14:paraId="55A89542">
            <w:pPr>
              <w:spacing w:before="177" w:line="229" w:lineRule="auto"/>
              <w:ind w:left="3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47" w:type="dxa"/>
            <w:vAlign w:val="top"/>
          </w:tcPr>
          <w:p w14:paraId="4FB52911">
            <w:pPr>
              <w:pStyle w:val="22"/>
              <w:rPr>
                <w:rFonts w:hint="eastAsia" w:ascii="宋体" w:hAnsi="宋体" w:eastAsia="宋体" w:cs="宋体"/>
                <w:color w:val="auto"/>
                <w:sz w:val="24"/>
                <w:szCs w:val="24"/>
                <w:highlight w:val="none"/>
              </w:rPr>
            </w:pPr>
          </w:p>
        </w:tc>
        <w:tc>
          <w:tcPr>
            <w:tcW w:w="1783" w:type="dxa"/>
            <w:vAlign w:val="top"/>
          </w:tcPr>
          <w:p w14:paraId="6F3DC758">
            <w:pPr>
              <w:spacing w:before="177" w:line="228" w:lineRule="auto"/>
              <w:ind w:left="4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86" w:type="dxa"/>
            <w:vAlign w:val="top"/>
          </w:tcPr>
          <w:p w14:paraId="42D1E8D3">
            <w:pPr>
              <w:pStyle w:val="22"/>
              <w:rPr>
                <w:rFonts w:hint="eastAsia" w:ascii="宋体" w:hAnsi="宋体" w:eastAsia="宋体" w:cs="宋体"/>
                <w:color w:val="auto"/>
                <w:sz w:val="24"/>
                <w:szCs w:val="24"/>
                <w:highlight w:val="none"/>
              </w:rPr>
            </w:pPr>
          </w:p>
        </w:tc>
      </w:tr>
      <w:tr w14:paraId="34597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top"/>
          </w:tcPr>
          <w:p w14:paraId="71125750">
            <w:pPr>
              <w:spacing w:before="175" w:line="228" w:lineRule="auto"/>
              <w:ind w:left="50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82" w:type="dxa"/>
            <w:gridSpan w:val="2"/>
            <w:vAlign w:val="top"/>
          </w:tcPr>
          <w:p w14:paraId="35038385">
            <w:pPr>
              <w:pStyle w:val="22"/>
              <w:rPr>
                <w:rFonts w:hint="eastAsia" w:ascii="宋体" w:hAnsi="宋体" w:eastAsia="宋体" w:cs="宋体"/>
                <w:color w:val="auto"/>
                <w:sz w:val="24"/>
                <w:szCs w:val="24"/>
                <w:highlight w:val="none"/>
              </w:rPr>
            </w:pPr>
          </w:p>
        </w:tc>
        <w:tc>
          <w:tcPr>
            <w:tcW w:w="1346" w:type="dxa"/>
            <w:vAlign w:val="top"/>
          </w:tcPr>
          <w:p w14:paraId="4C0BBF2D">
            <w:pPr>
              <w:spacing w:before="174" w:line="231" w:lineRule="auto"/>
              <w:ind w:left="3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47" w:type="dxa"/>
            <w:vAlign w:val="top"/>
          </w:tcPr>
          <w:p w14:paraId="4AF43D55">
            <w:pPr>
              <w:pStyle w:val="22"/>
              <w:rPr>
                <w:rFonts w:hint="eastAsia" w:ascii="宋体" w:hAnsi="宋体" w:eastAsia="宋体" w:cs="宋体"/>
                <w:color w:val="auto"/>
                <w:sz w:val="24"/>
                <w:szCs w:val="24"/>
                <w:highlight w:val="none"/>
              </w:rPr>
            </w:pPr>
          </w:p>
        </w:tc>
        <w:tc>
          <w:tcPr>
            <w:tcW w:w="1783" w:type="dxa"/>
            <w:vAlign w:val="top"/>
          </w:tcPr>
          <w:p w14:paraId="2E157D47">
            <w:pPr>
              <w:spacing w:before="175" w:line="230" w:lineRule="auto"/>
              <w:ind w:left="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86" w:type="dxa"/>
            <w:vAlign w:val="top"/>
          </w:tcPr>
          <w:p w14:paraId="08029EEB">
            <w:pPr>
              <w:pStyle w:val="22"/>
              <w:rPr>
                <w:rFonts w:hint="eastAsia" w:ascii="宋体" w:hAnsi="宋体" w:eastAsia="宋体" w:cs="宋体"/>
                <w:color w:val="auto"/>
                <w:sz w:val="24"/>
                <w:szCs w:val="24"/>
                <w:highlight w:val="none"/>
              </w:rPr>
            </w:pPr>
          </w:p>
        </w:tc>
      </w:tr>
      <w:tr w14:paraId="51AC3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top"/>
          </w:tcPr>
          <w:p w14:paraId="3979693A">
            <w:pPr>
              <w:spacing w:before="175" w:line="229" w:lineRule="auto"/>
              <w:ind w:left="24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628" w:type="dxa"/>
            <w:gridSpan w:val="3"/>
            <w:vAlign w:val="top"/>
          </w:tcPr>
          <w:p w14:paraId="1564146F">
            <w:pPr>
              <w:pStyle w:val="22"/>
              <w:rPr>
                <w:rFonts w:hint="eastAsia" w:ascii="宋体" w:hAnsi="宋体" w:eastAsia="宋体" w:cs="宋体"/>
                <w:color w:val="auto"/>
                <w:sz w:val="24"/>
                <w:szCs w:val="24"/>
                <w:highlight w:val="none"/>
              </w:rPr>
            </w:pPr>
          </w:p>
        </w:tc>
        <w:tc>
          <w:tcPr>
            <w:tcW w:w="3830" w:type="dxa"/>
            <w:gridSpan w:val="2"/>
            <w:vAlign w:val="top"/>
          </w:tcPr>
          <w:p w14:paraId="7CA8A1A6">
            <w:pPr>
              <w:spacing w:before="176" w:line="228"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86" w:type="dxa"/>
            <w:vAlign w:val="top"/>
          </w:tcPr>
          <w:p w14:paraId="0D8E0447">
            <w:pPr>
              <w:pStyle w:val="22"/>
              <w:rPr>
                <w:rFonts w:hint="eastAsia" w:ascii="宋体" w:hAnsi="宋体" w:eastAsia="宋体" w:cs="宋体"/>
                <w:color w:val="auto"/>
                <w:sz w:val="24"/>
                <w:szCs w:val="24"/>
                <w:highlight w:val="none"/>
              </w:rPr>
            </w:pPr>
          </w:p>
        </w:tc>
      </w:tr>
      <w:tr w14:paraId="6D080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top"/>
          </w:tcPr>
          <w:p w14:paraId="3FBB7B80">
            <w:pPr>
              <w:spacing w:before="176" w:line="228" w:lineRule="auto"/>
              <w:ind w:left="204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以项目技术负责人身份参与过的主要业绩（已完工项目）</w:t>
            </w:r>
          </w:p>
        </w:tc>
      </w:tr>
      <w:tr w14:paraId="2C8AF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top"/>
          </w:tcPr>
          <w:p w14:paraId="4EF87BFD">
            <w:pPr>
              <w:spacing w:before="176" w:line="230" w:lineRule="auto"/>
              <w:ind w:left="183"/>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10" w:type="dxa"/>
            <w:gridSpan w:val="2"/>
            <w:vAlign w:val="top"/>
          </w:tcPr>
          <w:p w14:paraId="1ED0B701">
            <w:pPr>
              <w:spacing w:before="176"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21" w:type="dxa"/>
            <w:gridSpan w:val="2"/>
            <w:vAlign w:val="top"/>
          </w:tcPr>
          <w:p w14:paraId="7ADE6658">
            <w:pPr>
              <w:spacing w:before="176" w:line="229" w:lineRule="auto"/>
              <w:ind w:left="5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47" w:type="dxa"/>
            <w:vAlign w:val="top"/>
          </w:tcPr>
          <w:p w14:paraId="1A795555">
            <w:pPr>
              <w:spacing w:before="176" w:line="22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83" w:type="dxa"/>
            <w:vAlign w:val="top"/>
          </w:tcPr>
          <w:p w14:paraId="6AB7EB93">
            <w:pPr>
              <w:spacing w:before="176" w:line="228" w:lineRule="auto"/>
              <w:ind w:left="23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86" w:type="dxa"/>
            <w:vAlign w:val="top"/>
          </w:tcPr>
          <w:p w14:paraId="5395B5A4">
            <w:pPr>
              <w:spacing w:before="176" w:line="228" w:lineRule="auto"/>
              <w:ind w:left="25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189AE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22BC9CCF">
            <w:pPr>
              <w:spacing w:before="214" w:line="195" w:lineRule="auto"/>
              <w:ind w:left="3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10" w:type="dxa"/>
            <w:gridSpan w:val="2"/>
            <w:vAlign w:val="top"/>
          </w:tcPr>
          <w:p w14:paraId="6A7A0396">
            <w:pPr>
              <w:pStyle w:val="22"/>
              <w:rPr>
                <w:rFonts w:hint="eastAsia" w:ascii="宋体" w:hAnsi="宋体" w:eastAsia="宋体" w:cs="宋体"/>
                <w:color w:val="auto"/>
                <w:sz w:val="24"/>
                <w:szCs w:val="24"/>
                <w:highlight w:val="none"/>
              </w:rPr>
            </w:pPr>
          </w:p>
        </w:tc>
        <w:tc>
          <w:tcPr>
            <w:tcW w:w="2021" w:type="dxa"/>
            <w:gridSpan w:val="2"/>
            <w:vAlign w:val="top"/>
          </w:tcPr>
          <w:p w14:paraId="20A24090">
            <w:pPr>
              <w:pStyle w:val="22"/>
              <w:rPr>
                <w:rFonts w:hint="eastAsia" w:ascii="宋体" w:hAnsi="宋体" w:eastAsia="宋体" w:cs="宋体"/>
                <w:color w:val="auto"/>
                <w:sz w:val="24"/>
                <w:szCs w:val="24"/>
                <w:highlight w:val="none"/>
              </w:rPr>
            </w:pPr>
          </w:p>
        </w:tc>
        <w:tc>
          <w:tcPr>
            <w:tcW w:w="2047" w:type="dxa"/>
            <w:vAlign w:val="top"/>
          </w:tcPr>
          <w:p w14:paraId="18C29026">
            <w:pPr>
              <w:pStyle w:val="22"/>
              <w:rPr>
                <w:rFonts w:hint="eastAsia" w:ascii="宋体" w:hAnsi="宋体" w:eastAsia="宋体" w:cs="宋体"/>
                <w:color w:val="auto"/>
                <w:sz w:val="24"/>
                <w:szCs w:val="24"/>
                <w:highlight w:val="none"/>
              </w:rPr>
            </w:pPr>
          </w:p>
        </w:tc>
        <w:tc>
          <w:tcPr>
            <w:tcW w:w="1783" w:type="dxa"/>
            <w:vAlign w:val="top"/>
          </w:tcPr>
          <w:p w14:paraId="16C3F689">
            <w:pPr>
              <w:pStyle w:val="22"/>
              <w:rPr>
                <w:rFonts w:hint="eastAsia" w:ascii="宋体" w:hAnsi="宋体" w:eastAsia="宋体" w:cs="宋体"/>
                <w:color w:val="auto"/>
                <w:sz w:val="24"/>
                <w:szCs w:val="24"/>
                <w:highlight w:val="none"/>
              </w:rPr>
            </w:pPr>
          </w:p>
        </w:tc>
        <w:tc>
          <w:tcPr>
            <w:tcW w:w="1386" w:type="dxa"/>
            <w:vAlign w:val="top"/>
          </w:tcPr>
          <w:p w14:paraId="53FCAF75">
            <w:pPr>
              <w:pStyle w:val="22"/>
              <w:rPr>
                <w:rFonts w:hint="eastAsia" w:ascii="宋体" w:hAnsi="宋体" w:eastAsia="宋体" w:cs="宋体"/>
                <w:color w:val="auto"/>
                <w:sz w:val="24"/>
                <w:szCs w:val="24"/>
                <w:highlight w:val="none"/>
              </w:rPr>
            </w:pPr>
          </w:p>
        </w:tc>
      </w:tr>
      <w:tr w14:paraId="297BD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top"/>
          </w:tcPr>
          <w:p w14:paraId="03518C0D">
            <w:pPr>
              <w:spacing w:before="213" w:line="195" w:lineRule="auto"/>
              <w:ind w:left="3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10" w:type="dxa"/>
            <w:gridSpan w:val="2"/>
            <w:vAlign w:val="top"/>
          </w:tcPr>
          <w:p w14:paraId="5F264124">
            <w:pPr>
              <w:pStyle w:val="22"/>
              <w:rPr>
                <w:rFonts w:hint="eastAsia" w:ascii="宋体" w:hAnsi="宋体" w:eastAsia="宋体" w:cs="宋体"/>
                <w:color w:val="auto"/>
                <w:sz w:val="24"/>
                <w:szCs w:val="24"/>
                <w:highlight w:val="none"/>
              </w:rPr>
            </w:pPr>
          </w:p>
        </w:tc>
        <w:tc>
          <w:tcPr>
            <w:tcW w:w="2021" w:type="dxa"/>
            <w:gridSpan w:val="2"/>
            <w:vAlign w:val="top"/>
          </w:tcPr>
          <w:p w14:paraId="18A8377B">
            <w:pPr>
              <w:pStyle w:val="22"/>
              <w:rPr>
                <w:rFonts w:hint="eastAsia" w:ascii="宋体" w:hAnsi="宋体" w:eastAsia="宋体" w:cs="宋体"/>
                <w:color w:val="auto"/>
                <w:sz w:val="24"/>
                <w:szCs w:val="24"/>
                <w:highlight w:val="none"/>
              </w:rPr>
            </w:pPr>
          </w:p>
        </w:tc>
        <w:tc>
          <w:tcPr>
            <w:tcW w:w="2047" w:type="dxa"/>
            <w:vAlign w:val="top"/>
          </w:tcPr>
          <w:p w14:paraId="0855EC98">
            <w:pPr>
              <w:pStyle w:val="22"/>
              <w:rPr>
                <w:rFonts w:hint="eastAsia" w:ascii="宋体" w:hAnsi="宋体" w:eastAsia="宋体" w:cs="宋体"/>
                <w:color w:val="auto"/>
                <w:sz w:val="24"/>
                <w:szCs w:val="24"/>
                <w:highlight w:val="none"/>
              </w:rPr>
            </w:pPr>
          </w:p>
        </w:tc>
        <w:tc>
          <w:tcPr>
            <w:tcW w:w="1783" w:type="dxa"/>
            <w:vAlign w:val="top"/>
          </w:tcPr>
          <w:p w14:paraId="31C3724A">
            <w:pPr>
              <w:pStyle w:val="22"/>
              <w:rPr>
                <w:rFonts w:hint="eastAsia" w:ascii="宋体" w:hAnsi="宋体" w:eastAsia="宋体" w:cs="宋体"/>
                <w:color w:val="auto"/>
                <w:sz w:val="24"/>
                <w:szCs w:val="24"/>
                <w:highlight w:val="none"/>
              </w:rPr>
            </w:pPr>
          </w:p>
        </w:tc>
        <w:tc>
          <w:tcPr>
            <w:tcW w:w="1386" w:type="dxa"/>
            <w:vAlign w:val="top"/>
          </w:tcPr>
          <w:p w14:paraId="2A137FF1">
            <w:pPr>
              <w:pStyle w:val="22"/>
              <w:rPr>
                <w:rFonts w:hint="eastAsia" w:ascii="宋体" w:hAnsi="宋体" w:eastAsia="宋体" w:cs="宋体"/>
                <w:color w:val="auto"/>
                <w:sz w:val="24"/>
                <w:szCs w:val="24"/>
                <w:highlight w:val="none"/>
              </w:rPr>
            </w:pPr>
          </w:p>
        </w:tc>
      </w:tr>
      <w:tr w14:paraId="3A53F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0CBEAA6F">
            <w:pPr>
              <w:spacing w:before="178" w:line="324" w:lineRule="exact"/>
              <w:ind w:left="197"/>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10" w:type="dxa"/>
            <w:gridSpan w:val="2"/>
            <w:vAlign w:val="top"/>
          </w:tcPr>
          <w:p w14:paraId="0F2EC4C9">
            <w:pPr>
              <w:pStyle w:val="22"/>
              <w:rPr>
                <w:rFonts w:hint="eastAsia" w:ascii="宋体" w:hAnsi="宋体" w:eastAsia="宋体" w:cs="宋体"/>
                <w:color w:val="auto"/>
                <w:sz w:val="24"/>
                <w:szCs w:val="24"/>
                <w:highlight w:val="none"/>
              </w:rPr>
            </w:pPr>
          </w:p>
        </w:tc>
        <w:tc>
          <w:tcPr>
            <w:tcW w:w="2021" w:type="dxa"/>
            <w:gridSpan w:val="2"/>
            <w:vAlign w:val="top"/>
          </w:tcPr>
          <w:p w14:paraId="517085DD">
            <w:pPr>
              <w:pStyle w:val="22"/>
              <w:rPr>
                <w:rFonts w:hint="eastAsia" w:ascii="宋体" w:hAnsi="宋体" w:eastAsia="宋体" w:cs="宋体"/>
                <w:color w:val="auto"/>
                <w:sz w:val="24"/>
                <w:szCs w:val="24"/>
                <w:highlight w:val="none"/>
              </w:rPr>
            </w:pPr>
          </w:p>
        </w:tc>
        <w:tc>
          <w:tcPr>
            <w:tcW w:w="2047" w:type="dxa"/>
            <w:vAlign w:val="top"/>
          </w:tcPr>
          <w:p w14:paraId="5C66CAAC">
            <w:pPr>
              <w:pStyle w:val="22"/>
              <w:rPr>
                <w:rFonts w:hint="eastAsia" w:ascii="宋体" w:hAnsi="宋体" w:eastAsia="宋体" w:cs="宋体"/>
                <w:color w:val="auto"/>
                <w:sz w:val="24"/>
                <w:szCs w:val="24"/>
                <w:highlight w:val="none"/>
              </w:rPr>
            </w:pPr>
          </w:p>
        </w:tc>
        <w:tc>
          <w:tcPr>
            <w:tcW w:w="1783" w:type="dxa"/>
            <w:vAlign w:val="top"/>
          </w:tcPr>
          <w:p w14:paraId="7BC0456A">
            <w:pPr>
              <w:pStyle w:val="22"/>
              <w:rPr>
                <w:rFonts w:hint="eastAsia" w:ascii="宋体" w:hAnsi="宋体" w:eastAsia="宋体" w:cs="宋体"/>
                <w:color w:val="auto"/>
                <w:sz w:val="24"/>
                <w:szCs w:val="24"/>
                <w:highlight w:val="none"/>
              </w:rPr>
            </w:pPr>
          </w:p>
        </w:tc>
        <w:tc>
          <w:tcPr>
            <w:tcW w:w="1386" w:type="dxa"/>
            <w:vAlign w:val="top"/>
          </w:tcPr>
          <w:p w14:paraId="06E9D194">
            <w:pPr>
              <w:pStyle w:val="22"/>
              <w:rPr>
                <w:rFonts w:hint="eastAsia" w:ascii="宋体" w:hAnsi="宋体" w:eastAsia="宋体" w:cs="宋体"/>
                <w:color w:val="auto"/>
                <w:sz w:val="24"/>
                <w:szCs w:val="24"/>
                <w:highlight w:val="none"/>
              </w:rPr>
            </w:pPr>
          </w:p>
        </w:tc>
      </w:tr>
      <w:tr w14:paraId="504D6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46776EC0">
            <w:pPr>
              <w:pStyle w:val="22"/>
              <w:rPr>
                <w:rFonts w:hint="eastAsia" w:ascii="宋体" w:hAnsi="宋体" w:eastAsia="宋体" w:cs="宋体"/>
                <w:color w:val="auto"/>
                <w:sz w:val="24"/>
                <w:szCs w:val="24"/>
                <w:highlight w:val="none"/>
              </w:rPr>
            </w:pPr>
          </w:p>
        </w:tc>
        <w:tc>
          <w:tcPr>
            <w:tcW w:w="1610" w:type="dxa"/>
            <w:gridSpan w:val="2"/>
            <w:vAlign w:val="top"/>
          </w:tcPr>
          <w:p w14:paraId="3B8A9573">
            <w:pPr>
              <w:pStyle w:val="22"/>
              <w:rPr>
                <w:rFonts w:hint="eastAsia" w:ascii="宋体" w:hAnsi="宋体" w:eastAsia="宋体" w:cs="宋体"/>
                <w:color w:val="auto"/>
                <w:sz w:val="24"/>
                <w:szCs w:val="24"/>
                <w:highlight w:val="none"/>
              </w:rPr>
            </w:pPr>
          </w:p>
        </w:tc>
        <w:tc>
          <w:tcPr>
            <w:tcW w:w="2021" w:type="dxa"/>
            <w:gridSpan w:val="2"/>
            <w:vAlign w:val="top"/>
          </w:tcPr>
          <w:p w14:paraId="056AD1CF">
            <w:pPr>
              <w:pStyle w:val="22"/>
              <w:rPr>
                <w:rFonts w:hint="eastAsia" w:ascii="宋体" w:hAnsi="宋体" w:eastAsia="宋体" w:cs="宋体"/>
                <w:color w:val="auto"/>
                <w:sz w:val="24"/>
                <w:szCs w:val="24"/>
                <w:highlight w:val="none"/>
              </w:rPr>
            </w:pPr>
          </w:p>
        </w:tc>
        <w:tc>
          <w:tcPr>
            <w:tcW w:w="2047" w:type="dxa"/>
            <w:vAlign w:val="top"/>
          </w:tcPr>
          <w:p w14:paraId="573C36A4">
            <w:pPr>
              <w:pStyle w:val="22"/>
              <w:rPr>
                <w:rFonts w:hint="eastAsia" w:ascii="宋体" w:hAnsi="宋体" w:eastAsia="宋体" w:cs="宋体"/>
                <w:color w:val="auto"/>
                <w:sz w:val="24"/>
                <w:szCs w:val="24"/>
                <w:highlight w:val="none"/>
              </w:rPr>
            </w:pPr>
          </w:p>
        </w:tc>
        <w:tc>
          <w:tcPr>
            <w:tcW w:w="1783" w:type="dxa"/>
            <w:vAlign w:val="top"/>
          </w:tcPr>
          <w:p w14:paraId="1E516D20">
            <w:pPr>
              <w:pStyle w:val="22"/>
              <w:rPr>
                <w:rFonts w:hint="eastAsia" w:ascii="宋体" w:hAnsi="宋体" w:eastAsia="宋体" w:cs="宋体"/>
                <w:color w:val="auto"/>
                <w:sz w:val="24"/>
                <w:szCs w:val="24"/>
                <w:highlight w:val="none"/>
              </w:rPr>
            </w:pPr>
          </w:p>
        </w:tc>
        <w:tc>
          <w:tcPr>
            <w:tcW w:w="1386" w:type="dxa"/>
            <w:vAlign w:val="top"/>
          </w:tcPr>
          <w:p w14:paraId="075772A1">
            <w:pPr>
              <w:pStyle w:val="22"/>
              <w:rPr>
                <w:rFonts w:hint="eastAsia" w:ascii="宋体" w:hAnsi="宋体" w:eastAsia="宋体" w:cs="宋体"/>
                <w:color w:val="auto"/>
                <w:sz w:val="24"/>
                <w:szCs w:val="24"/>
                <w:highlight w:val="none"/>
              </w:rPr>
            </w:pPr>
          </w:p>
        </w:tc>
      </w:tr>
      <w:tr w14:paraId="076E4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top"/>
          </w:tcPr>
          <w:p w14:paraId="07FF6091">
            <w:pPr>
              <w:pStyle w:val="22"/>
              <w:rPr>
                <w:rFonts w:hint="eastAsia" w:ascii="宋体" w:hAnsi="宋体" w:eastAsia="宋体" w:cs="宋体"/>
                <w:color w:val="auto"/>
                <w:sz w:val="24"/>
                <w:szCs w:val="24"/>
                <w:highlight w:val="none"/>
              </w:rPr>
            </w:pPr>
          </w:p>
        </w:tc>
        <w:tc>
          <w:tcPr>
            <w:tcW w:w="1610" w:type="dxa"/>
            <w:gridSpan w:val="2"/>
            <w:vAlign w:val="top"/>
          </w:tcPr>
          <w:p w14:paraId="3D0E71A1">
            <w:pPr>
              <w:pStyle w:val="22"/>
              <w:rPr>
                <w:rFonts w:hint="eastAsia" w:ascii="宋体" w:hAnsi="宋体" w:eastAsia="宋体" w:cs="宋体"/>
                <w:color w:val="auto"/>
                <w:sz w:val="24"/>
                <w:szCs w:val="24"/>
                <w:highlight w:val="none"/>
              </w:rPr>
            </w:pPr>
          </w:p>
        </w:tc>
        <w:tc>
          <w:tcPr>
            <w:tcW w:w="2021" w:type="dxa"/>
            <w:gridSpan w:val="2"/>
            <w:vAlign w:val="top"/>
          </w:tcPr>
          <w:p w14:paraId="77E58B66">
            <w:pPr>
              <w:pStyle w:val="22"/>
              <w:rPr>
                <w:rFonts w:hint="eastAsia" w:ascii="宋体" w:hAnsi="宋体" w:eastAsia="宋体" w:cs="宋体"/>
                <w:color w:val="auto"/>
                <w:sz w:val="24"/>
                <w:szCs w:val="24"/>
                <w:highlight w:val="none"/>
              </w:rPr>
            </w:pPr>
          </w:p>
        </w:tc>
        <w:tc>
          <w:tcPr>
            <w:tcW w:w="2047" w:type="dxa"/>
            <w:vAlign w:val="top"/>
          </w:tcPr>
          <w:p w14:paraId="6FF68E37">
            <w:pPr>
              <w:pStyle w:val="22"/>
              <w:rPr>
                <w:rFonts w:hint="eastAsia" w:ascii="宋体" w:hAnsi="宋体" w:eastAsia="宋体" w:cs="宋体"/>
                <w:color w:val="auto"/>
                <w:sz w:val="24"/>
                <w:szCs w:val="24"/>
                <w:highlight w:val="none"/>
              </w:rPr>
            </w:pPr>
          </w:p>
        </w:tc>
        <w:tc>
          <w:tcPr>
            <w:tcW w:w="1783" w:type="dxa"/>
            <w:vAlign w:val="top"/>
          </w:tcPr>
          <w:p w14:paraId="662180F1">
            <w:pPr>
              <w:pStyle w:val="22"/>
              <w:rPr>
                <w:rFonts w:hint="eastAsia" w:ascii="宋体" w:hAnsi="宋体" w:eastAsia="宋体" w:cs="宋体"/>
                <w:color w:val="auto"/>
                <w:sz w:val="24"/>
                <w:szCs w:val="24"/>
                <w:highlight w:val="none"/>
              </w:rPr>
            </w:pPr>
          </w:p>
        </w:tc>
        <w:tc>
          <w:tcPr>
            <w:tcW w:w="1386" w:type="dxa"/>
            <w:vAlign w:val="top"/>
          </w:tcPr>
          <w:p w14:paraId="0C66EFC2">
            <w:pPr>
              <w:pStyle w:val="22"/>
              <w:rPr>
                <w:rFonts w:hint="eastAsia" w:ascii="宋体" w:hAnsi="宋体" w:eastAsia="宋体" w:cs="宋体"/>
                <w:color w:val="auto"/>
                <w:sz w:val="24"/>
                <w:szCs w:val="24"/>
                <w:highlight w:val="none"/>
              </w:rPr>
            </w:pPr>
          </w:p>
        </w:tc>
      </w:tr>
    </w:tbl>
    <w:p w14:paraId="5325E016">
      <w:pPr>
        <w:pStyle w:val="5"/>
        <w:spacing w:line="314" w:lineRule="auto"/>
        <w:rPr>
          <w:rFonts w:hint="eastAsia" w:ascii="宋体" w:hAnsi="宋体" w:eastAsia="宋体" w:cs="宋体"/>
          <w:color w:val="auto"/>
          <w:sz w:val="24"/>
          <w:szCs w:val="24"/>
          <w:highlight w:val="none"/>
        </w:rPr>
      </w:pPr>
    </w:p>
    <w:p w14:paraId="523A5C78">
      <w:pPr>
        <w:pStyle w:val="5"/>
        <w:spacing w:line="315" w:lineRule="auto"/>
        <w:rPr>
          <w:rFonts w:hint="eastAsia" w:ascii="宋体" w:hAnsi="宋体" w:eastAsia="宋体" w:cs="宋体"/>
          <w:color w:val="auto"/>
          <w:sz w:val="24"/>
          <w:szCs w:val="24"/>
          <w:highlight w:val="none"/>
        </w:rPr>
      </w:pPr>
    </w:p>
    <w:p w14:paraId="72B98227">
      <w:pPr>
        <w:pStyle w:val="5"/>
        <w:spacing w:line="315" w:lineRule="auto"/>
        <w:rPr>
          <w:rFonts w:hint="eastAsia" w:ascii="宋体" w:hAnsi="宋体" w:eastAsia="宋体" w:cs="宋体"/>
          <w:color w:val="auto"/>
          <w:sz w:val="24"/>
          <w:szCs w:val="24"/>
          <w:highlight w:val="none"/>
        </w:rPr>
      </w:pPr>
    </w:p>
    <w:p w14:paraId="12783693">
      <w:pPr>
        <w:spacing w:before="78" w:line="220" w:lineRule="auto"/>
        <w:ind w:left="5165"/>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项目技术负责人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2"/>
          <w:sz w:val="24"/>
          <w:szCs w:val="24"/>
          <w:highlight w:val="none"/>
        </w:rPr>
        <w:t>签字）</w:t>
      </w:r>
    </w:p>
    <w:p w14:paraId="3CB1A771">
      <w:pPr>
        <w:pStyle w:val="5"/>
        <w:spacing w:line="256" w:lineRule="auto"/>
        <w:jc w:val="right"/>
        <w:rPr>
          <w:rFonts w:hint="eastAsia" w:ascii="宋体" w:hAnsi="宋体" w:eastAsia="宋体" w:cs="宋体"/>
          <w:color w:val="auto"/>
          <w:sz w:val="24"/>
          <w:szCs w:val="24"/>
          <w:highlight w:val="none"/>
        </w:rPr>
      </w:pPr>
    </w:p>
    <w:p w14:paraId="656998E8">
      <w:pPr>
        <w:pStyle w:val="5"/>
        <w:spacing w:line="257" w:lineRule="auto"/>
        <w:jc w:val="right"/>
        <w:rPr>
          <w:rFonts w:hint="eastAsia" w:ascii="宋体" w:hAnsi="宋体" w:eastAsia="宋体" w:cs="宋体"/>
          <w:color w:val="auto"/>
          <w:sz w:val="24"/>
          <w:szCs w:val="24"/>
          <w:highlight w:val="none"/>
        </w:rPr>
      </w:pPr>
    </w:p>
    <w:p w14:paraId="2EAEFEDB">
      <w:pPr>
        <w:pStyle w:val="5"/>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DE3AD99">
      <w:pPr>
        <w:spacing w:before="65" w:line="228"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说明：《项目技术负责人简历表》后应附拟派项目技术负责人以下资料：</w:t>
      </w:r>
    </w:p>
    <w:p w14:paraId="1B76FAC3">
      <w:pPr>
        <w:spacing w:before="155" w:line="228" w:lineRule="auto"/>
        <w:ind w:left="484"/>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p>
    <w:p w14:paraId="35543EFB">
      <w:pPr>
        <w:spacing w:before="151" w:line="228" w:lineRule="auto"/>
        <w:ind w:left="464"/>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2</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5"/>
          <w:sz w:val="24"/>
          <w:szCs w:val="24"/>
          <w:highlight w:val="none"/>
        </w:rPr>
        <w:t>．职称证彩色扫描件；</w:t>
      </w:r>
    </w:p>
    <w:p w14:paraId="7F72C730">
      <w:pPr>
        <w:spacing w:before="153" w:line="299" w:lineRule="auto"/>
        <w:ind w:left="47" w:right="95" w:firstLine="42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3</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8"/>
          <w:sz w:val="24"/>
          <w:szCs w:val="24"/>
          <w:highlight w:val="none"/>
        </w:rPr>
        <w:t>．在本单位缴纳社保的证明（</w:t>
      </w:r>
      <w:r>
        <w:rPr>
          <w:rFonts w:hint="eastAsia" w:ascii="宋体" w:hAnsi="宋体" w:eastAsia="宋体" w:cs="宋体"/>
          <w:color w:val="auto"/>
          <w:sz w:val="24"/>
          <w:szCs w:val="24"/>
          <w:highlight w:val="none"/>
          <w:lang w:eastAsia="zh-CN"/>
        </w:rPr>
        <w:t>至少1个月，其中必须有 2026年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pacing w:val="8"/>
          <w:sz w:val="24"/>
          <w:szCs w:val="24"/>
          <w:highlight w:val="none"/>
        </w:rPr>
        <w:t>）彩色扫描件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拟派项目技术负责人为退休返聘人员无法提供社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58ABCF34">
      <w:pPr>
        <w:spacing w:before="153" w:line="228" w:lineRule="auto"/>
        <w:ind w:left="46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8"/>
          <w:sz w:val="24"/>
          <w:szCs w:val="24"/>
          <w:highlight w:val="none"/>
        </w:rPr>
        <w:t>．“进粤企业和人员诚信信息登记平台</w:t>
      </w:r>
      <w:r>
        <w:rPr>
          <w:rFonts w:hint="eastAsia" w:ascii="宋体" w:hAnsi="宋体" w:eastAsia="宋体" w:cs="宋体"/>
          <w:color w:val="auto"/>
          <w:spacing w:val="-70"/>
          <w:sz w:val="24"/>
          <w:szCs w:val="24"/>
          <w:highlight w:val="none"/>
        </w:rPr>
        <w:t xml:space="preserve"> </w:t>
      </w:r>
      <w:r>
        <w:rPr>
          <w:rFonts w:hint="eastAsia" w:ascii="宋体" w:hAnsi="宋体" w:eastAsia="宋体" w:cs="宋体"/>
          <w:color w:val="auto"/>
          <w:spacing w:val="8"/>
          <w:sz w:val="24"/>
          <w:szCs w:val="24"/>
          <w:highlight w:val="none"/>
        </w:rPr>
        <w:t>”个人信息情况截图。（适用于省外建筑企业）</w:t>
      </w:r>
    </w:p>
    <w:p w14:paraId="07A94923">
      <w:pPr>
        <w:spacing w:line="228" w:lineRule="auto"/>
        <w:rPr>
          <w:rFonts w:hint="eastAsia" w:ascii="宋体" w:hAnsi="宋体" w:eastAsia="宋体" w:cs="宋体"/>
          <w:color w:val="auto"/>
          <w:sz w:val="20"/>
          <w:szCs w:val="20"/>
          <w:highlight w:val="none"/>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4F017D6D">
      <w:pPr>
        <w:spacing w:before="78" w:line="220" w:lineRule="auto"/>
        <w:outlineLvl w:val="2"/>
        <w:rPr>
          <w:rFonts w:hint="eastAsia" w:ascii="宋体" w:hAnsi="宋体" w:eastAsia="宋体" w:cs="宋体"/>
          <w:b/>
          <w:bCs/>
          <w:color w:val="auto"/>
          <w:spacing w:val="-4"/>
          <w:sz w:val="24"/>
          <w:szCs w:val="24"/>
          <w:highlight w:val="none"/>
        </w:rPr>
      </w:pPr>
      <w:bookmarkStart w:id="259" w:name="_Toc25235"/>
      <w:r>
        <w:rPr>
          <w:rFonts w:hint="eastAsia" w:ascii="宋体" w:hAnsi="宋体" w:eastAsia="宋体" w:cs="宋体"/>
          <w:b/>
          <w:bCs/>
          <w:color w:val="auto"/>
          <w:spacing w:val="-4"/>
          <w:sz w:val="24"/>
          <w:szCs w:val="24"/>
          <w:highlight w:val="none"/>
        </w:rPr>
        <w:t>格式十一 项目管理机构组成表</w:t>
      </w:r>
      <w:bookmarkEnd w:id="259"/>
    </w:p>
    <w:p w14:paraId="31F00FFE">
      <w:pPr>
        <w:pStyle w:val="5"/>
        <w:spacing w:line="351" w:lineRule="auto"/>
        <w:rPr>
          <w:rFonts w:hint="eastAsia" w:ascii="宋体" w:hAnsi="宋体" w:eastAsia="宋体" w:cs="宋体"/>
          <w:color w:val="auto"/>
          <w:highlight w:val="none"/>
        </w:rPr>
      </w:pPr>
    </w:p>
    <w:p w14:paraId="2D6D4596">
      <w:pPr>
        <w:pStyle w:val="5"/>
        <w:spacing w:line="351" w:lineRule="auto"/>
        <w:rPr>
          <w:rFonts w:hint="eastAsia" w:ascii="宋体" w:hAnsi="宋体" w:eastAsia="宋体" w:cs="宋体"/>
          <w:color w:val="auto"/>
          <w:highlight w:val="none"/>
        </w:rPr>
      </w:pPr>
    </w:p>
    <w:p w14:paraId="208877FA">
      <w:pPr>
        <w:spacing w:before="97" w:line="219" w:lineRule="auto"/>
        <w:ind w:left="3200"/>
        <w:outlineLvl w:val="9"/>
        <w:rPr>
          <w:rFonts w:hint="eastAsia" w:ascii="宋体" w:hAnsi="宋体" w:eastAsia="宋体" w:cs="宋体"/>
          <w:color w:val="auto"/>
          <w:sz w:val="30"/>
          <w:szCs w:val="30"/>
          <w:highlight w:val="none"/>
        </w:rPr>
      </w:pPr>
      <w:bookmarkStart w:id="260" w:name="bookmark158"/>
      <w:bookmarkEnd w:id="260"/>
      <w:bookmarkStart w:id="261" w:name="_Toc28765"/>
      <w:bookmarkStart w:id="262" w:name="_Toc19973"/>
      <w:r>
        <w:rPr>
          <w:rFonts w:hint="eastAsia" w:ascii="宋体" w:hAnsi="宋体" w:eastAsia="宋体" w:cs="宋体"/>
          <w:b/>
          <w:bCs/>
          <w:color w:val="auto"/>
          <w:spacing w:val="-4"/>
          <w:sz w:val="30"/>
          <w:szCs w:val="30"/>
          <w:highlight w:val="none"/>
        </w:rPr>
        <w:t>项目管理机构组成表</w:t>
      </w:r>
      <w:bookmarkEnd w:id="261"/>
      <w:bookmarkEnd w:id="262"/>
    </w:p>
    <w:p w14:paraId="1338E2D0">
      <w:pPr>
        <w:spacing w:before="7"/>
        <w:rPr>
          <w:rFonts w:hint="eastAsia" w:ascii="宋体" w:hAnsi="宋体" w:eastAsia="宋体" w:cs="宋体"/>
          <w:color w:val="auto"/>
          <w:highlight w:val="none"/>
        </w:rPr>
      </w:pPr>
    </w:p>
    <w:tbl>
      <w:tblPr>
        <w:tblStyle w:val="14"/>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1966F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top"/>
          </w:tcPr>
          <w:p w14:paraId="1AF238ED">
            <w:pPr>
              <w:spacing w:before="229" w:line="231" w:lineRule="auto"/>
              <w:ind w:left="9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序号</w:t>
            </w:r>
          </w:p>
        </w:tc>
        <w:tc>
          <w:tcPr>
            <w:tcW w:w="1939" w:type="dxa"/>
            <w:vAlign w:val="top"/>
          </w:tcPr>
          <w:p w14:paraId="7A9839F5">
            <w:pPr>
              <w:spacing w:before="228" w:line="231" w:lineRule="auto"/>
              <w:ind w:left="70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岗位</w:t>
            </w:r>
          </w:p>
        </w:tc>
        <w:tc>
          <w:tcPr>
            <w:tcW w:w="1567" w:type="dxa"/>
            <w:vAlign w:val="top"/>
          </w:tcPr>
          <w:p w14:paraId="6E18EBC5">
            <w:pPr>
              <w:spacing w:before="228" w:line="231" w:lineRule="auto"/>
              <w:ind w:left="52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017" w:type="dxa"/>
            <w:vAlign w:val="top"/>
          </w:tcPr>
          <w:p w14:paraId="0582A7FD">
            <w:pPr>
              <w:spacing w:before="228" w:line="230" w:lineRule="auto"/>
              <w:ind w:left="268"/>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性别</w:t>
            </w:r>
          </w:p>
        </w:tc>
        <w:tc>
          <w:tcPr>
            <w:tcW w:w="1002" w:type="dxa"/>
            <w:vAlign w:val="top"/>
          </w:tcPr>
          <w:p w14:paraId="51B94AE0">
            <w:pPr>
              <w:spacing w:before="229" w:line="231" w:lineRule="auto"/>
              <w:ind w:left="26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年龄</w:t>
            </w:r>
          </w:p>
        </w:tc>
        <w:tc>
          <w:tcPr>
            <w:tcW w:w="1551" w:type="dxa"/>
            <w:vAlign w:val="top"/>
          </w:tcPr>
          <w:p w14:paraId="7EBA634A">
            <w:pPr>
              <w:spacing w:before="228" w:line="230" w:lineRule="auto"/>
              <w:ind w:left="516"/>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职称</w:t>
            </w:r>
          </w:p>
        </w:tc>
        <w:tc>
          <w:tcPr>
            <w:tcW w:w="1926" w:type="dxa"/>
            <w:vAlign w:val="top"/>
          </w:tcPr>
          <w:p w14:paraId="1183443B">
            <w:pPr>
              <w:spacing w:before="228" w:line="230" w:lineRule="auto"/>
              <w:ind w:left="687"/>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备注</w:t>
            </w:r>
          </w:p>
        </w:tc>
      </w:tr>
      <w:tr w14:paraId="0E011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2C23F57F">
            <w:pPr>
              <w:spacing w:before="185" w:line="195" w:lineRule="auto"/>
              <w:ind w:left="2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39" w:type="dxa"/>
            <w:vAlign w:val="top"/>
          </w:tcPr>
          <w:p w14:paraId="13500ACF">
            <w:pPr>
              <w:spacing w:before="150" w:line="229" w:lineRule="auto"/>
              <w:ind w:left="486"/>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67" w:type="dxa"/>
            <w:vAlign w:val="top"/>
          </w:tcPr>
          <w:p w14:paraId="4A249D2C">
            <w:pPr>
              <w:pStyle w:val="22"/>
              <w:rPr>
                <w:rFonts w:hint="eastAsia" w:ascii="宋体" w:hAnsi="宋体" w:eastAsia="宋体" w:cs="宋体"/>
                <w:color w:val="auto"/>
                <w:sz w:val="24"/>
                <w:szCs w:val="24"/>
                <w:highlight w:val="none"/>
              </w:rPr>
            </w:pPr>
          </w:p>
        </w:tc>
        <w:tc>
          <w:tcPr>
            <w:tcW w:w="1017" w:type="dxa"/>
            <w:vAlign w:val="top"/>
          </w:tcPr>
          <w:p w14:paraId="2B38E46F">
            <w:pPr>
              <w:pStyle w:val="22"/>
              <w:rPr>
                <w:rFonts w:hint="eastAsia" w:ascii="宋体" w:hAnsi="宋体" w:eastAsia="宋体" w:cs="宋体"/>
                <w:color w:val="auto"/>
                <w:sz w:val="24"/>
                <w:szCs w:val="24"/>
                <w:highlight w:val="none"/>
              </w:rPr>
            </w:pPr>
          </w:p>
        </w:tc>
        <w:tc>
          <w:tcPr>
            <w:tcW w:w="1002" w:type="dxa"/>
            <w:vAlign w:val="top"/>
          </w:tcPr>
          <w:p w14:paraId="57FACFC8">
            <w:pPr>
              <w:pStyle w:val="22"/>
              <w:rPr>
                <w:rFonts w:hint="eastAsia" w:ascii="宋体" w:hAnsi="宋体" w:eastAsia="宋体" w:cs="宋体"/>
                <w:color w:val="auto"/>
                <w:sz w:val="24"/>
                <w:szCs w:val="24"/>
                <w:highlight w:val="none"/>
              </w:rPr>
            </w:pPr>
          </w:p>
        </w:tc>
        <w:tc>
          <w:tcPr>
            <w:tcW w:w="1551" w:type="dxa"/>
            <w:vAlign w:val="top"/>
          </w:tcPr>
          <w:p w14:paraId="5985744D">
            <w:pPr>
              <w:pStyle w:val="22"/>
              <w:rPr>
                <w:rFonts w:hint="eastAsia" w:ascii="宋体" w:hAnsi="宋体" w:eastAsia="宋体" w:cs="宋体"/>
                <w:color w:val="auto"/>
                <w:sz w:val="24"/>
                <w:szCs w:val="24"/>
                <w:highlight w:val="none"/>
              </w:rPr>
            </w:pPr>
          </w:p>
        </w:tc>
        <w:tc>
          <w:tcPr>
            <w:tcW w:w="1926" w:type="dxa"/>
            <w:vAlign w:val="top"/>
          </w:tcPr>
          <w:p w14:paraId="581F47DE">
            <w:pPr>
              <w:pStyle w:val="22"/>
              <w:rPr>
                <w:rFonts w:hint="eastAsia" w:ascii="宋体" w:hAnsi="宋体" w:eastAsia="宋体" w:cs="宋体"/>
                <w:color w:val="auto"/>
                <w:sz w:val="24"/>
                <w:szCs w:val="24"/>
                <w:highlight w:val="none"/>
              </w:rPr>
            </w:pPr>
          </w:p>
        </w:tc>
      </w:tr>
      <w:tr w14:paraId="70B30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top"/>
          </w:tcPr>
          <w:p w14:paraId="15CC92B5">
            <w:pPr>
              <w:spacing w:before="187" w:line="195" w:lineRule="auto"/>
              <w:ind w:left="24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939" w:type="dxa"/>
            <w:vAlign w:val="top"/>
          </w:tcPr>
          <w:p w14:paraId="3162AE7A">
            <w:pPr>
              <w:spacing w:before="152" w:line="22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项目技术负责人</w:t>
            </w:r>
          </w:p>
        </w:tc>
        <w:tc>
          <w:tcPr>
            <w:tcW w:w="1567" w:type="dxa"/>
            <w:vAlign w:val="top"/>
          </w:tcPr>
          <w:p w14:paraId="2005CB2C">
            <w:pPr>
              <w:pStyle w:val="22"/>
              <w:rPr>
                <w:rFonts w:hint="eastAsia" w:ascii="宋体" w:hAnsi="宋体" w:eastAsia="宋体" w:cs="宋体"/>
                <w:color w:val="auto"/>
                <w:sz w:val="24"/>
                <w:szCs w:val="24"/>
                <w:highlight w:val="none"/>
              </w:rPr>
            </w:pPr>
          </w:p>
        </w:tc>
        <w:tc>
          <w:tcPr>
            <w:tcW w:w="1017" w:type="dxa"/>
            <w:vAlign w:val="top"/>
          </w:tcPr>
          <w:p w14:paraId="3E3DFCA4">
            <w:pPr>
              <w:pStyle w:val="22"/>
              <w:rPr>
                <w:rFonts w:hint="eastAsia" w:ascii="宋体" w:hAnsi="宋体" w:eastAsia="宋体" w:cs="宋体"/>
                <w:color w:val="auto"/>
                <w:sz w:val="24"/>
                <w:szCs w:val="24"/>
                <w:highlight w:val="none"/>
              </w:rPr>
            </w:pPr>
          </w:p>
        </w:tc>
        <w:tc>
          <w:tcPr>
            <w:tcW w:w="1002" w:type="dxa"/>
            <w:vAlign w:val="top"/>
          </w:tcPr>
          <w:p w14:paraId="3790714A">
            <w:pPr>
              <w:pStyle w:val="22"/>
              <w:rPr>
                <w:rFonts w:hint="eastAsia" w:ascii="宋体" w:hAnsi="宋体" w:eastAsia="宋体" w:cs="宋体"/>
                <w:color w:val="auto"/>
                <w:sz w:val="24"/>
                <w:szCs w:val="24"/>
                <w:highlight w:val="none"/>
              </w:rPr>
            </w:pPr>
          </w:p>
        </w:tc>
        <w:tc>
          <w:tcPr>
            <w:tcW w:w="1551" w:type="dxa"/>
            <w:vAlign w:val="top"/>
          </w:tcPr>
          <w:p w14:paraId="320A1606">
            <w:pPr>
              <w:pStyle w:val="22"/>
              <w:rPr>
                <w:rFonts w:hint="eastAsia" w:ascii="宋体" w:hAnsi="宋体" w:eastAsia="宋体" w:cs="宋体"/>
                <w:color w:val="auto"/>
                <w:sz w:val="24"/>
                <w:szCs w:val="24"/>
                <w:highlight w:val="none"/>
              </w:rPr>
            </w:pPr>
          </w:p>
        </w:tc>
        <w:tc>
          <w:tcPr>
            <w:tcW w:w="1926" w:type="dxa"/>
            <w:vAlign w:val="top"/>
          </w:tcPr>
          <w:p w14:paraId="27237A0C">
            <w:pPr>
              <w:pStyle w:val="22"/>
              <w:rPr>
                <w:rFonts w:hint="eastAsia" w:ascii="宋体" w:hAnsi="宋体" w:eastAsia="宋体" w:cs="宋体"/>
                <w:color w:val="auto"/>
                <w:sz w:val="24"/>
                <w:szCs w:val="24"/>
                <w:highlight w:val="none"/>
              </w:rPr>
            </w:pPr>
          </w:p>
        </w:tc>
      </w:tr>
      <w:tr w14:paraId="3F0C7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0B446DA6">
            <w:pPr>
              <w:spacing w:before="189" w:line="195" w:lineRule="auto"/>
              <w:ind w:left="247"/>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939" w:type="dxa"/>
            <w:vAlign w:val="center"/>
          </w:tcPr>
          <w:p w14:paraId="3B57C58A">
            <w:pPr>
              <w:spacing w:before="153" w:line="229" w:lineRule="auto"/>
              <w:ind w:left="378"/>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专职安全员</w:t>
            </w:r>
          </w:p>
        </w:tc>
        <w:tc>
          <w:tcPr>
            <w:tcW w:w="1567" w:type="dxa"/>
            <w:vAlign w:val="top"/>
          </w:tcPr>
          <w:p w14:paraId="43146F80">
            <w:pPr>
              <w:pStyle w:val="22"/>
              <w:rPr>
                <w:rFonts w:hint="eastAsia" w:ascii="宋体" w:hAnsi="宋体" w:eastAsia="宋体" w:cs="宋体"/>
                <w:color w:val="auto"/>
                <w:sz w:val="24"/>
                <w:szCs w:val="24"/>
                <w:highlight w:val="none"/>
              </w:rPr>
            </w:pPr>
          </w:p>
        </w:tc>
        <w:tc>
          <w:tcPr>
            <w:tcW w:w="1017" w:type="dxa"/>
            <w:vAlign w:val="top"/>
          </w:tcPr>
          <w:p w14:paraId="406AA0F8">
            <w:pPr>
              <w:pStyle w:val="22"/>
              <w:rPr>
                <w:rFonts w:hint="eastAsia" w:ascii="宋体" w:hAnsi="宋体" w:eastAsia="宋体" w:cs="宋体"/>
                <w:color w:val="auto"/>
                <w:sz w:val="24"/>
                <w:szCs w:val="24"/>
                <w:highlight w:val="none"/>
              </w:rPr>
            </w:pPr>
          </w:p>
        </w:tc>
        <w:tc>
          <w:tcPr>
            <w:tcW w:w="1002" w:type="dxa"/>
            <w:vAlign w:val="top"/>
          </w:tcPr>
          <w:p w14:paraId="2A5E7CAF">
            <w:pPr>
              <w:pStyle w:val="22"/>
              <w:rPr>
                <w:rFonts w:hint="eastAsia" w:ascii="宋体" w:hAnsi="宋体" w:eastAsia="宋体" w:cs="宋体"/>
                <w:color w:val="auto"/>
                <w:sz w:val="24"/>
                <w:szCs w:val="24"/>
                <w:highlight w:val="none"/>
              </w:rPr>
            </w:pPr>
          </w:p>
        </w:tc>
        <w:tc>
          <w:tcPr>
            <w:tcW w:w="1551" w:type="dxa"/>
            <w:vAlign w:val="top"/>
          </w:tcPr>
          <w:p w14:paraId="0B7D72A5">
            <w:pPr>
              <w:pStyle w:val="22"/>
              <w:rPr>
                <w:rFonts w:hint="eastAsia" w:ascii="宋体" w:hAnsi="宋体" w:eastAsia="宋体" w:cs="宋体"/>
                <w:color w:val="auto"/>
                <w:sz w:val="24"/>
                <w:szCs w:val="24"/>
                <w:highlight w:val="none"/>
              </w:rPr>
            </w:pPr>
          </w:p>
        </w:tc>
        <w:tc>
          <w:tcPr>
            <w:tcW w:w="1926" w:type="dxa"/>
            <w:vAlign w:val="top"/>
          </w:tcPr>
          <w:p w14:paraId="0F772ED4">
            <w:pPr>
              <w:pStyle w:val="22"/>
              <w:rPr>
                <w:rFonts w:hint="eastAsia" w:ascii="宋体" w:hAnsi="宋体" w:eastAsia="宋体" w:cs="宋体"/>
                <w:color w:val="auto"/>
                <w:sz w:val="24"/>
                <w:szCs w:val="24"/>
                <w:highlight w:val="none"/>
              </w:rPr>
            </w:pPr>
          </w:p>
        </w:tc>
      </w:tr>
      <w:tr w14:paraId="371CB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3282AF5D">
            <w:pPr>
              <w:spacing w:before="188" w:line="195" w:lineRule="auto"/>
              <w:ind w:left="24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939" w:type="dxa"/>
            <w:vAlign w:val="top"/>
          </w:tcPr>
          <w:p w14:paraId="4F00DCB3">
            <w:pPr>
              <w:spacing w:before="152" w:line="230" w:lineRule="auto"/>
              <w:ind w:left="58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施工员</w:t>
            </w:r>
          </w:p>
        </w:tc>
        <w:tc>
          <w:tcPr>
            <w:tcW w:w="1567" w:type="dxa"/>
            <w:vAlign w:val="top"/>
          </w:tcPr>
          <w:p w14:paraId="55F7D621">
            <w:pPr>
              <w:pStyle w:val="22"/>
              <w:rPr>
                <w:rFonts w:hint="eastAsia" w:ascii="宋体" w:hAnsi="宋体" w:eastAsia="宋体" w:cs="宋体"/>
                <w:color w:val="auto"/>
                <w:sz w:val="24"/>
                <w:szCs w:val="24"/>
                <w:highlight w:val="none"/>
              </w:rPr>
            </w:pPr>
          </w:p>
        </w:tc>
        <w:tc>
          <w:tcPr>
            <w:tcW w:w="1017" w:type="dxa"/>
            <w:vAlign w:val="top"/>
          </w:tcPr>
          <w:p w14:paraId="65A6CC06">
            <w:pPr>
              <w:pStyle w:val="22"/>
              <w:rPr>
                <w:rFonts w:hint="eastAsia" w:ascii="宋体" w:hAnsi="宋体" w:eastAsia="宋体" w:cs="宋体"/>
                <w:color w:val="auto"/>
                <w:sz w:val="24"/>
                <w:szCs w:val="24"/>
                <w:highlight w:val="none"/>
              </w:rPr>
            </w:pPr>
          </w:p>
        </w:tc>
        <w:tc>
          <w:tcPr>
            <w:tcW w:w="1002" w:type="dxa"/>
            <w:vAlign w:val="top"/>
          </w:tcPr>
          <w:p w14:paraId="70E2A93D">
            <w:pPr>
              <w:pStyle w:val="22"/>
              <w:rPr>
                <w:rFonts w:hint="eastAsia" w:ascii="宋体" w:hAnsi="宋体" w:eastAsia="宋体" w:cs="宋体"/>
                <w:color w:val="auto"/>
                <w:sz w:val="24"/>
                <w:szCs w:val="24"/>
                <w:highlight w:val="none"/>
              </w:rPr>
            </w:pPr>
          </w:p>
        </w:tc>
        <w:tc>
          <w:tcPr>
            <w:tcW w:w="1551" w:type="dxa"/>
            <w:vAlign w:val="top"/>
          </w:tcPr>
          <w:p w14:paraId="5A660685">
            <w:pPr>
              <w:pStyle w:val="22"/>
              <w:rPr>
                <w:rFonts w:hint="eastAsia" w:ascii="宋体" w:hAnsi="宋体" w:eastAsia="宋体" w:cs="宋体"/>
                <w:color w:val="auto"/>
                <w:sz w:val="24"/>
                <w:szCs w:val="24"/>
                <w:highlight w:val="none"/>
              </w:rPr>
            </w:pPr>
          </w:p>
        </w:tc>
        <w:tc>
          <w:tcPr>
            <w:tcW w:w="1926" w:type="dxa"/>
            <w:vAlign w:val="top"/>
          </w:tcPr>
          <w:p w14:paraId="106593F4">
            <w:pPr>
              <w:pStyle w:val="22"/>
              <w:rPr>
                <w:rFonts w:hint="eastAsia" w:ascii="宋体" w:hAnsi="宋体" w:eastAsia="宋体" w:cs="宋体"/>
                <w:color w:val="auto"/>
                <w:sz w:val="24"/>
                <w:szCs w:val="24"/>
                <w:highlight w:val="none"/>
              </w:rPr>
            </w:pPr>
          </w:p>
        </w:tc>
      </w:tr>
      <w:tr w14:paraId="41ADC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134CAF90">
            <w:pPr>
              <w:spacing w:before="193" w:line="192" w:lineRule="auto"/>
              <w:ind w:left="24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939" w:type="dxa"/>
            <w:vAlign w:val="top"/>
          </w:tcPr>
          <w:p w14:paraId="6870C343">
            <w:pPr>
              <w:spacing w:before="154" w:line="229" w:lineRule="auto"/>
              <w:ind w:left="58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质量员</w:t>
            </w:r>
          </w:p>
        </w:tc>
        <w:tc>
          <w:tcPr>
            <w:tcW w:w="1567" w:type="dxa"/>
            <w:vAlign w:val="top"/>
          </w:tcPr>
          <w:p w14:paraId="3E6E2ED1">
            <w:pPr>
              <w:pStyle w:val="22"/>
              <w:rPr>
                <w:rFonts w:hint="eastAsia" w:ascii="宋体" w:hAnsi="宋体" w:eastAsia="宋体" w:cs="宋体"/>
                <w:color w:val="auto"/>
                <w:sz w:val="24"/>
                <w:szCs w:val="24"/>
                <w:highlight w:val="none"/>
              </w:rPr>
            </w:pPr>
          </w:p>
        </w:tc>
        <w:tc>
          <w:tcPr>
            <w:tcW w:w="1017" w:type="dxa"/>
            <w:vAlign w:val="top"/>
          </w:tcPr>
          <w:p w14:paraId="21E2DE89">
            <w:pPr>
              <w:pStyle w:val="22"/>
              <w:rPr>
                <w:rFonts w:hint="eastAsia" w:ascii="宋体" w:hAnsi="宋体" w:eastAsia="宋体" w:cs="宋体"/>
                <w:color w:val="auto"/>
                <w:sz w:val="24"/>
                <w:szCs w:val="24"/>
                <w:highlight w:val="none"/>
              </w:rPr>
            </w:pPr>
          </w:p>
        </w:tc>
        <w:tc>
          <w:tcPr>
            <w:tcW w:w="1002" w:type="dxa"/>
            <w:vAlign w:val="top"/>
          </w:tcPr>
          <w:p w14:paraId="69EE7D4B">
            <w:pPr>
              <w:pStyle w:val="22"/>
              <w:rPr>
                <w:rFonts w:hint="eastAsia" w:ascii="宋体" w:hAnsi="宋体" w:eastAsia="宋体" w:cs="宋体"/>
                <w:color w:val="auto"/>
                <w:sz w:val="24"/>
                <w:szCs w:val="24"/>
                <w:highlight w:val="none"/>
              </w:rPr>
            </w:pPr>
          </w:p>
        </w:tc>
        <w:tc>
          <w:tcPr>
            <w:tcW w:w="1551" w:type="dxa"/>
            <w:vAlign w:val="top"/>
          </w:tcPr>
          <w:p w14:paraId="3F8A242A">
            <w:pPr>
              <w:pStyle w:val="22"/>
              <w:rPr>
                <w:rFonts w:hint="eastAsia" w:ascii="宋体" w:hAnsi="宋体" w:eastAsia="宋体" w:cs="宋体"/>
                <w:color w:val="auto"/>
                <w:sz w:val="24"/>
                <w:szCs w:val="24"/>
                <w:highlight w:val="none"/>
              </w:rPr>
            </w:pPr>
          </w:p>
        </w:tc>
        <w:tc>
          <w:tcPr>
            <w:tcW w:w="1926" w:type="dxa"/>
            <w:vAlign w:val="top"/>
          </w:tcPr>
          <w:p w14:paraId="10CD68F4">
            <w:pPr>
              <w:pStyle w:val="22"/>
              <w:rPr>
                <w:rFonts w:hint="eastAsia" w:ascii="宋体" w:hAnsi="宋体" w:eastAsia="宋体" w:cs="宋体"/>
                <w:color w:val="auto"/>
                <w:sz w:val="24"/>
                <w:szCs w:val="24"/>
                <w:highlight w:val="none"/>
              </w:rPr>
            </w:pPr>
          </w:p>
        </w:tc>
      </w:tr>
      <w:tr w14:paraId="1B583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7DAAD56D">
            <w:pPr>
              <w:spacing w:before="191" w:line="195" w:lineRule="auto"/>
              <w:ind w:left="24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939" w:type="dxa"/>
            <w:vAlign w:val="top"/>
          </w:tcPr>
          <w:p w14:paraId="51C67845">
            <w:pPr>
              <w:spacing w:before="155" w:line="228" w:lineRule="auto"/>
              <w:ind w:left="58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材料员</w:t>
            </w:r>
          </w:p>
        </w:tc>
        <w:tc>
          <w:tcPr>
            <w:tcW w:w="1567" w:type="dxa"/>
            <w:vAlign w:val="top"/>
          </w:tcPr>
          <w:p w14:paraId="4D093681">
            <w:pPr>
              <w:pStyle w:val="22"/>
              <w:rPr>
                <w:rFonts w:hint="eastAsia" w:ascii="宋体" w:hAnsi="宋体" w:eastAsia="宋体" w:cs="宋体"/>
                <w:color w:val="auto"/>
                <w:sz w:val="24"/>
                <w:szCs w:val="24"/>
                <w:highlight w:val="none"/>
              </w:rPr>
            </w:pPr>
          </w:p>
        </w:tc>
        <w:tc>
          <w:tcPr>
            <w:tcW w:w="1017" w:type="dxa"/>
            <w:vAlign w:val="top"/>
          </w:tcPr>
          <w:p w14:paraId="71EE1FF6">
            <w:pPr>
              <w:pStyle w:val="22"/>
              <w:rPr>
                <w:rFonts w:hint="eastAsia" w:ascii="宋体" w:hAnsi="宋体" w:eastAsia="宋体" w:cs="宋体"/>
                <w:color w:val="auto"/>
                <w:sz w:val="24"/>
                <w:szCs w:val="24"/>
                <w:highlight w:val="none"/>
              </w:rPr>
            </w:pPr>
          </w:p>
        </w:tc>
        <w:tc>
          <w:tcPr>
            <w:tcW w:w="1002" w:type="dxa"/>
            <w:vAlign w:val="top"/>
          </w:tcPr>
          <w:p w14:paraId="2BCF624C">
            <w:pPr>
              <w:pStyle w:val="22"/>
              <w:rPr>
                <w:rFonts w:hint="eastAsia" w:ascii="宋体" w:hAnsi="宋体" w:eastAsia="宋体" w:cs="宋体"/>
                <w:color w:val="auto"/>
                <w:sz w:val="24"/>
                <w:szCs w:val="24"/>
                <w:highlight w:val="none"/>
              </w:rPr>
            </w:pPr>
          </w:p>
        </w:tc>
        <w:tc>
          <w:tcPr>
            <w:tcW w:w="1551" w:type="dxa"/>
            <w:vAlign w:val="top"/>
          </w:tcPr>
          <w:p w14:paraId="19A0F2C7">
            <w:pPr>
              <w:pStyle w:val="22"/>
              <w:rPr>
                <w:rFonts w:hint="eastAsia" w:ascii="宋体" w:hAnsi="宋体" w:eastAsia="宋体" w:cs="宋体"/>
                <w:color w:val="auto"/>
                <w:sz w:val="24"/>
                <w:szCs w:val="24"/>
                <w:highlight w:val="none"/>
              </w:rPr>
            </w:pPr>
          </w:p>
        </w:tc>
        <w:tc>
          <w:tcPr>
            <w:tcW w:w="1926" w:type="dxa"/>
            <w:vAlign w:val="top"/>
          </w:tcPr>
          <w:p w14:paraId="6FAE91CE">
            <w:pPr>
              <w:pStyle w:val="22"/>
              <w:rPr>
                <w:rFonts w:hint="eastAsia" w:ascii="宋体" w:hAnsi="宋体" w:eastAsia="宋体" w:cs="宋体"/>
                <w:color w:val="auto"/>
                <w:sz w:val="24"/>
                <w:szCs w:val="24"/>
                <w:highlight w:val="none"/>
              </w:rPr>
            </w:pPr>
          </w:p>
        </w:tc>
      </w:tr>
      <w:tr w14:paraId="17144D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255452A5">
            <w:pPr>
              <w:spacing w:before="192" w:line="192" w:lineRule="auto"/>
              <w:ind w:left="24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939" w:type="dxa"/>
            <w:vAlign w:val="top"/>
          </w:tcPr>
          <w:p w14:paraId="16C54EAB">
            <w:pPr>
              <w:spacing w:before="154" w:line="229" w:lineRule="auto"/>
              <w:ind w:left="59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资料员</w:t>
            </w:r>
          </w:p>
        </w:tc>
        <w:tc>
          <w:tcPr>
            <w:tcW w:w="1567" w:type="dxa"/>
            <w:vAlign w:val="top"/>
          </w:tcPr>
          <w:p w14:paraId="69C8ACE5">
            <w:pPr>
              <w:pStyle w:val="22"/>
              <w:rPr>
                <w:rFonts w:hint="eastAsia" w:ascii="宋体" w:hAnsi="宋体" w:eastAsia="宋体" w:cs="宋体"/>
                <w:color w:val="auto"/>
                <w:sz w:val="24"/>
                <w:szCs w:val="24"/>
                <w:highlight w:val="none"/>
              </w:rPr>
            </w:pPr>
          </w:p>
        </w:tc>
        <w:tc>
          <w:tcPr>
            <w:tcW w:w="1017" w:type="dxa"/>
            <w:vAlign w:val="top"/>
          </w:tcPr>
          <w:p w14:paraId="2F71D614">
            <w:pPr>
              <w:pStyle w:val="22"/>
              <w:rPr>
                <w:rFonts w:hint="eastAsia" w:ascii="宋体" w:hAnsi="宋体" w:eastAsia="宋体" w:cs="宋体"/>
                <w:color w:val="auto"/>
                <w:sz w:val="24"/>
                <w:szCs w:val="24"/>
                <w:highlight w:val="none"/>
              </w:rPr>
            </w:pPr>
          </w:p>
        </w:tc>
        <w:tc>
          <w:tcPr>
            <w:tcW w:w="1002" w:type="dxa"/>
            <w:vAlign w:val="top"/>
          </w:tcPr>
          <w:p w14:paraId="7B5E8A7B">
            <w:pPr>
              <w:pStyle w:val="22"/>
              <w:rPr>
                <w:rFonts w:hint="eastAsia" w:ascii="宋体" w:hAnsi="宋体" w:eastAsia="宋体" w:cs="宋体"/>
                <w:color w:val="auto"/>
                <w:sz w:val="24"/>
                <w:szCs w:val="24"/>
                <w:highlight w:val="none"/>
              </w:rPr>
            </w:pPr>
          </w:p>
        </w:tc>
        <w:tc>
          <w:tcPr>
            <w:tcW w:w="1551" w:type="dxa"/>
            <w:vAlign w:val="top"/>
          </w:tcPr>
          <w:p w14:paraId="3F296856">
            <w:pPr>
              <w:pStyle w:val="22"/>
              <w:rPr>
                <w:rFonts w:hint="eastAsia" w:ascii="宋体" w:hAnsi="宋体" w:eastAsia="宋体" w:cs="宋体"/>
                <w:color w:val="auto"/>
                <w:sz w:val="24"/>
                <w:szCs w:val="24"/>
                <w:highlight w:val="none"/>
              </w:rPr>
            </w:pPr>
          </w:p>
        </w:tc>
        <w:tc>
          <w:tcPr>
            <w:tcW w:w="1926" w:type="dxa"/>
            <w:vAlign w:val="top"/>
          </w:tcPr>
          <w:p w14:paraId="25209F83">
            <w:pPr>
              <w:pStyle w:val="22"/>
              <w:rPr>
                <w:rFonts w:hint="eastAsia" w:ascii="宋体" w:hAnsi="宋体" w:eastAsia="宋体" w:cs="宋体"/>
                <w:color w:val="auto"/>
                <w:sz w:val="24"/>
                <w:szCs w:val="24"/>
                <w:highlight w:val="none"/>
              </w:rPr>
            </w:pPr>
          </w:p>
        </w:tc>
      </w:tr>
      <w:tr w14:paraId="00EA6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top"/>
          </w:tcPr>
          <w:p w14:paraId="7C6DBDA2">
            <w:pPr>
              <w:spacing w:before="154" w:line="325" w:lineRule="exact"/>
              <w:ind w:left="104"/>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939" w:type="dxa"/>
            <w:vAlign w:val="top"/>
          </w:tcPr>
          <w:p w14:paraId="2D4FFF8B">
            <w:pPr>
              <w:pStyle w:val="22"/>
              <w:rPr>
                <w:rFonts w:hint="eastAsia" w:ascii="宋体" w:hAnsi="宋体" w:eastAsia="宋体" w:cs="宋体"/>
                <w:color w:val="auto"/>
                <w:sz w:val="24"/>
                <w:szCs w:val="24"/>
                <w:highlight w:val="none"/>
              </w:rPr>
            </w:pPr>
          </w:p>
        </w:tc>
        <w:tc>
          <w:tcPr>
            <w:tcW w:w="1567" w:type="dxa"/>
            <w:vAlign w:val="top"/>
          </w:tcPr>
          <w:p w14:paraId="382B89B9">
            <w:pPr>
              <w:pStyle w:val="22"/>
              <w:rPr>
                <w:rFonts w:hint="eastAsia" w:ascii="宋体" w:hAnsi="宋体" w:eastAsia="宋体" w:cs="宋体"/>
                <w:color w:val="auto"/>
                <w:sz w:val="24"/>
                <w:szCs w:val="24"/>
                <w:highlight w:val="none"/>
              </w:rPr>
            </w:pPr>
          </w:p>
        </w:tc>
        <w:tc>
          <w:tcPr>
            <w:tcW w:w="1017" w:type="dxa"/>
            <w:vAlign w:val="top"/>
          </w:tcPr>
          <w:p w14:paraId="44D28E36">
            <w:pPr>
              <w:pStyle w:val="22"/>
              <w:rPr>
                <w:rFonts w:hint="eastAsia" w:ascii="宋体" w:hAnsi="宋体" w:eastAsia="宋体" w:cs="宋体"/>
                <w:color w:val="auto"/>
                <w:sz w:val="24"/>
                <w:szCs w:val="24"/>
                <w:highlight w:val="none"/>
              </w:rPr>
            </w:pPr>
          </w:p>
        </w:tc>
        <w:tc>
          <w:tcPr>
            <w:tcW w:w="1002" w:type="dxa"/>
            <w:vAlign w:val="top"/>
          </w:tcPr>
          <w:p w14:paraId="41476DD1">
            <w:pPr>
              <w:pStyle w:val="22"/>
              <w:rPr>
                <w:rFonts w:hint="eastAsia" w:ascii="宋体" w:hAnsi="宋体" w:eastAsia="宋体" w:cs="宋体"/>
                <w:color w:val="auto"/>
                <w:sz w:val="24"/>
                <w:szCs w:val="24"/>
                <w:highlight w:val="none"/>
              </w:rPr>
            </w:pPr>
          </w:p>
        </w:tc>
        <w:tc>
          <w:tcPr>
            <w:tcW w:w="1551" w:type="dxa"/>
            <w:vAlign w:val="top"/>
          </w:tcPr>
          <w:p w14:paraId="0ED2C990">
            <w:pPr>
              <w:pStyle w:val="22"/>
              <w:rPr>
                <w:rFonts w:hint="eastAsia" w:ascii="宋体" w:hAnsi="宋体" w:eastAsia="宋体" w:cs="宋体"/>
                <w:color w:val="auto"/>
                <w:sz w:val="24"/>
                <w:szCs w:val="24"/>
                <w:highlight w:val="none"/>
              </w:rPr>
            </w:pPr>
          </w:p>
        </w:tc>
        <w:tc>
          <w:tcPr>
            <w:tcW w:w="1926" w:type="dxa"/>
            <w:vAlign w:val="top"/>
          </w:tcPr>
          <w:p w14:paraId="1911ACAF">
            <w:pPr>
              <w:pStyle w:val="22"/>
              <w:rPr>
                <w:rFonts w:hint="eastAsia" w:ascii="宋体" w:hAnsi="宋体" w:eastAsia="宋体" w:cs="宋体"/>
                <w:color w:val="auto"/>
                <w:sz w:val="24"/>
                <w:szCs w:val="24"/>
                <w:highlight w:val="none"/>
              </w:rPr>
            </w:pPr>
          </w:p>
        </w:tc>
      </w:tr>
    </w:tbl>
    <w:p w14:paraId="29422EAC">
      <w:pPr>
        <w:pStyle w:val="5"/>
        <w:spacing w:line="395" w:lineRule="auto"/>
        <w:rPr>
          <w:rFonts w:hint="eastAsia" w:ascii="宋体" w:hAnsi="宋体" w:eastAsia="宋体" w:cs="宋体"/>
          <w:color w:val="auto"/>
          <w:sz w:val="24"/>
          <w:szCs w:val="24"/>
          <w:highlight w:val="none"/>
        </w:rPr>
      </w:pPr>
    </w:p>
    <w:p w14:paraId="22C3973C">
      <w:pPr>
        <w:spacing w:before="65" w:line="228" w:lineRule="auto"/>
        <w:ind w:left="43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说明：</w:t>
      </w:r>
    </w:p>
    <w:p w14:paraId="61686924">
      <w:pPr>
        <w:spacing w:before="153" w:line="228" w:lineRule="auto"/>
        <w:ind w:firstLine="496"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4"/>
          <w:sz w:val="24"/>
          <w:szCs w:val="24"/>
          <w:highlight w:val="none"/>
        </w:rPr>
        <w:t>．《项目管理机构组成表》后应附表中拟派人</w:t>
      </w:r>
      <w:r>
        <w:rPr>
          <w:rFonts w:hint="eastAsia" w:ascii="宋体" w:hAnsi="宋体" w:eastAsia="宋体" w:cs="宋体"/>
          <w:color w:val="auto"/>
          <w:spacing w:val="3"/>
          <w:sz w:val="24"/>
          <w:szCs w:val="24"/>
          <w:highlight w:val="none"/>
        </w:rPr>
        <w:t>员（项目经理、项目技术负责人除外）以下资料：</w:t>
      </w:r>
    </w:p>
    <w:p w14:paraId="7E89B549">
      <w:pPr>
        <w:spacing w:before="154" w:line="228" w:lineRule="auto"/>
        <w:ind w:left="448"/>
        <w:jc w:val="left"/>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lang w:val="en-US" w:eastAsia="zh-CN"/>
        </w:rPr>
        <w:t>1</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身份证彩色扫描件；</w:t>
      </w:r>
    </w:p>
    <w:p w14:paraId="309A6033">
      <w:pPr>
        <w:spacing w:before="152" w:line="228" w:lineRule="auto"/>
        <w:ind w:firstLine="500"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2</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9"/>
          <w:sz w:val="24"/>
          <w:szCs w:val="24"/>
          <w:highlight w:val="none"/>
        </w:rPr>
        <w:t>专职安全员须提供C类安全生产考核合格证书扫描件或“建筑施工企业管理人员安全生产考核信息系统”考核合格信息扫描件；施工员、质量员、材料员、资料员</w:t>
      </w:r>
      <w:r>
        <w:rPr>
          <w:rFonts w:hint="eastAsia" w:ascii="宋体" w:hAnsi="宋体" w:eastAsia="宋体" w:cs="宋体"/>
          <w:color w:val="auto"/>
          <w:spacing w:val="9"/>
          <w:sz w:val="24"/>
          <w:szCs w:val="24"/>
          <w:highlight w:val="none"/>
          <w:lang w:val="en-US" w:eastAsia="zh-CN"/>
        </w:rPr>
        <w:t>等</w:t>
      </w:r>
      <w:r>
        <w:rPr>
          <w:rFonts w:hint="eastAsia" w:ascii="宋体" w:hAnsi="宋体" w:eastAsia="宋体" w:cs="宋体"/>
          <w:color w:val="auto"/>
          <w:spacing w:val="9"/>
          <w:sz w:val="24"/>
          <w:szCs w:val="24"/>
          <w:highlight w:val="none"/>
        </w:rPr>
        <w:t>附岗位证书或培训证书彩色扫描件或打印件；</w:t>
      </w:r>
    </w:p>
    <w:p w14:paraId="504AAA3A">
      <w:pPr>
        <w:spacing w:before="153" w:line="299" w:lineRule="auto"/>
        <w:ind w:left="11" w:right="89" w:firstLine="42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lang w:val="en-US" w:eastAsia="zh-CN"/>
        </w:rPr>
        <w:t>3</w:t>
      </w: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rPr>
        <w:t>在本单位缴纳社保的证明（</w:t>
      </w:r>
      <w:r>
        <w:rPr>
          <w:rFonts w:hint="eastAsia" w:ascii="宋体" w:hAnsi="宋体" w:eastAsia="宋体" w:cs="宋体"/>
          <w:color w:val="auto"/>
          <w:sz w:val="24"/>
          <w:szCs w:val="24"/>
          <w:highlight w:val="none"/>
          <w:lang w:eastAsia="zh-CN"/>
        </w:rPr>
        <w:t>至少1个月，其中必须有2026年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pacing w:val="8"/>
          <w:sz w:val="24"/>
          <w:szCs w:val="24"/>
          <w:highlight w:val="none"/>
        </w:rPr>
        <w:t>）彩色扫描件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拟派</w:t>
      </w:r>
      <w:r>
        <w:rPr>
          <w:rFonts w:hint="eastAsia" w:ascii="宋体" w:hAnsi="宋体" w:eastAsia="宋体" w:cs="宋体"/>
          <w:color w:val="auto"/>
          <w:spacing w:val="10"/>
          <w:sz w:val="24"/>
          <w:szCs w:val="24"/>
          <w:highlight w:val="none"/>
          <w:lang w:val="en-US" w:eastAsia="zh-CN"/>
        </w:rPr>
        <w:t>人员</w:t>
      </w:r>
      <w:r>
        <w:rPr>
          <w:rFonts w:hint="eastAsia" w:ascii="宋体" w:hAnsi="宋体" w:eastAsia="宋体" w:cs="宋体"/>
          <w:color w:val="auto"/>
          <w:spacing w:val="10"/>
          <w:sz w:val="24"/>
          <w:szCs w:val="24"/>
          <w:highlight w:val="none"/>
        </w:rPr>
        <w:t>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51AF937C">
      <w:pPr>
        <w:spacing w:before="152" w:line="228" w:lineRule="auto"/>
        <w:ind w:left="0" w:leftChars="0" w:firstLine="419" w:firstLineChars="164"/>
        <w:rPr>
          <w:rFonts w:hint="eastAsia" w:ascii="宋体" w:hAnsi="宋体" w:eastAsia="宋体" w:cs="宋体"/>
          <w:color w:val="auto"/>
          <w:spacing w:val="9"/>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9"/>
          <w:sz w:val="24"/>
          <w:szCs w:val="24"/>
          <w:highlight w:val="none"/>
        </w:rPr>
        <w:t>“进粤企业和人员诚信信息登记平台 ”个人信息情况截图。（适用于省外建筑企业）</w:t>
      </w:r>
    </w:p>
    <w:p w14:paraId="24229929">
      <w:pPr>
        <w:spacing w:before="153" w:line="299" w:lineRule="auto"/>
        <w:ind w:left="16" w:right="40" w:firstLine="41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val="en-US" w:eastAsia="zh-CN"/>
        </w:rPr>
        <w:t>2.</w:t>
      </w:r>
      <w:r>
        <w:rPr>
          <w:rFonts w:hint="eastAsia" w:ascii="宋体" w:hAnsi="宋体" w:eastAsia="宋体" w:cs="宋体"/>
          <w:color w:val="auto"/>
          <w:spacing w:val="8"/>
          <w:sz w:val="24"/>
          <w:szCs w:val="24"/>
          <w:highlight w:val="none"/>
        </w:rPr>
        <w:t>联合体投标的，《项目管理机构组成表》应包括联合体成员单位参与项目管理</w:t>
      </w:r>
      <w:r>
        <w:rPr>
          <w:rFonts w:hint="eastAsia" w:ascii="宋体" w:hAnsi="宋体" w:eastAsia="宋体" w:cs="宋体"/>
          <w:color w:val="auto"/>
          <w:spacing w:val="7"/>
          <w:sz w:val="24"/>
          <w:szCs w:val="24"/>
          <w:highlight w:val="none"/>
        </w:rPr>
        <w:t>机构的人员，并提供以上所需资料。</w:t>
      </w:r>
    </w:p>
    <w:p w14:paraId="6C78574D">
      <w:pPr>
        <w:pStyle w:val="5"/>
        <w:spacing w:line="248" w:lineRule="auto"/>
        <w:rPr>
          <w:rFonts w:hint="eastAsia" w:ascii="宋体" w:hAnsi="宋体" w:eastAsia="宋体" w:cs="宋体"/>
          <w:color w:val="auto"/>
          <w:sz w:val="24"/>
          <w:szCs w:val="24"/>
          <w:highlight w:val="none"/>
        </w:rPr>
      </w:pPr>
    </w:p>
    <w:p w14:paraId="25A865C0">
      <w:pPr>
        <w:pStyle w:val="5"/>
        <w:spacing w:line="248" w:lineRule="auto"/>
        <w:rPr>
          <w:rFonts w:hint="eastAsia" w:ascii="宋体" w:hAnsi="宋体" w:eastAsia="宋体" w:cs="宋体"/>
          <w:color w:val="auto"/>
          <w:sz w:val="24"/>
          <w:szCs w:val="24"/>
          <w:highlight w:val="none"/>
        </w:rPr>
      </w:pPr>
    </w:p>
    <w:p w14:paraId="5CBA64EC">
      <w:pPr>
        <w:pStyle w:val="5"/>
        <w:spacing w:line="248" w:lineRule="auto"/>
        <w:rPr>
          <w:rFonts w:hint="eastAsia" w:ascii="宋体" w:hAnsi="宋体" w:eastAsia="宋体" w:cs="宋体"/>
          <w:color w:val="auto"/>
          <w:highlight w:val="none"/>
        </w:rPr>
      </w:pPr>
    </w:p>
    <w:p w14:paraId="5DBB0CF3">
      <w:pPr>
        <w:pStyle w:val="5"/>
        <w:spacing w:line="248" w:lineRule="auto"/>
        <w:rPr>
          <w:rFonts w:hint="eastAsia" w:ascii="宋体" w:hAnsi="宋体" w:eastAsia="宋体" w:cs="宋体"/>
          <w:color w:val="auto"/>
          <w:highlight w:val="none"/>
        </w:rPr>
      </w:pPr>
    </w:p>
    <w:p w14:paraId="661A6E5F">
      <w:pPr>
        <w:spacing w:before="79" w:line="220" w:lineRule="auto"/>
        <w:rPr>
          <w:rFonts w:hint="eastAsia" w:ascii="宋体" w:hAnsi="宋体" w:eastAsia="宋体" w:cs="宋体"/>
          <w:b/>
          <w:bCs/>
          <w:color w:val="auto"/>
          <w:spacing w:val="-2"/>
          <w:sz w:val="24"/>
          <w:szCs w:val="24"/>
          <w:highlight w:val="none"/>
        </w:rPr>
      </w:pPr>
    </w:p>
    <w:p w14:paraId="4B42C774">
      <w:pPr>
        <w:spacing w:before="78" w:line="220" w:lineRule="auto"/>
        <w:outlineLvl w:val="2"/>
        <w:rPr>
          <w:rFonts w:hint="eastAsia" w:ascii="宋体" w:hAnsi="宋体" w:eastAsia="宋体" w:cs="宋体"/>
          <w:b/>
          <w:bCs/>
          <w:color w:val="auto"/>
          <w:spacing w:val="-4"/>
          <w:sz w:val="24"/>
          <w:szCs w:val="24"/>
          <w:highlight w:val="none"/>
        </w:rPr>
      </w:pPr>
      <w:bookmarkStart w:id="263" w:name="_Toc16480"/>
      <w:r>
        <w:rPr>
          <w:rFonts w:hint="eastAsia" w:ascii="宋体" w:hAnsi="宋体" w:eastAsia="宋体" w:cs="宋体"/>
          <w:b/>
          <w:bCs/>
          <w:color w:val="auto"/>
          <w:spacing w:val="-4"/>
          <w:sz w:val="24"/>
          <w:szCs w:val="24"/>
          <w:highlight w:val="none"/>
        </w:rPr>
        <w:t>格式十二 建造师查询页（有效期+建造师签字）</w:t>
      </w:r>
      <w:bookmarkEnd w:id="263"/>
    </w:p>
    <w:p w14:paraId="1F2C3246">
      <w:pPr>
        <w:outlineLvl w:val="9"/>
        <w:rPr>
          <w:rFonts w:hint="eastAsia" w:ascii="宋体" w:hAnsi="宋体" w:eastAsia="宋体" w:cs="宋体"/>
          <w:color w:val="auto"/>
          <w:highlight w:val="none"/>
        </w:rPr>
      </w:pPr>
      <w:r>
        <w:rPr>
          <w:rFonts w:hint="eastAsia" w:ascii="宋体" w:hAnsi="宋体" w:eastAsia="宋体" w:cs="宋体"/>
          <w:color w:val="auto"/>
          <w:position w:val="-235"/>
          <w:highlight w:val="none"/>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4"/>
                    <a:stretch>
                      <a:fillRect/>
                    </a:stretch>
                  </pic:blipFill>
                  <pic:spPr>
                    <a:xfrm>
                      <a:off x="0" y="0"/>
                      <a:ext cx="6239510" cy="8013700"/>
                    </a:xfrm>
                    <a:prstGeom prst="rect">
                      <a:avLst/>
                    </a:prstGeom>
                    <a:noFill/>
                    <a:ln>
                      <a:noFill/>
                    </a:ln>
                  </pic:spPr>
                </pic:pic>
              </a:graphicData>
            </a:graphic>
          </wp:inline>
        </w:drawing>
      </w:r>
    </w:p>
    <w:p w14:paraId="32417FEE">
      <w:pPr>
        <w:spacing w:line="220" w:lineRule="auto"/>
        <w:rPr>
          <w:rFonts w:hint="eastAsia" w:ascii="宋体" w:hAnsi="宋体" w:eastAsia="宋体" w:cs="宋体"/>
          <w:color w:val="auto"/>
          <w:sz w:val="24"/>
          <w:szCs w:val="24"/>
          <w:highlight w:val="none"/>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41CEABD7">
      <w:pPr>
        <w:spacing w:line="10744" w:lineRule="exact"/>
        <w:rPr>
          <w:rFonts w:hint="eastAsia" w:ascii="宋体" w:hAnsi="宋体" w:eastAsia="宋体" w:cs="宋体"/>
          <w:color w:val="auto"/>
          <w:highlight w:val="none"/>
        </w:rPr>
      </w:pPr>
      <w:r>
        <w:rPr>
          <w:rFonts w:hint="eastAsia" w:ascii="宋体" w:hAnsi="宋体" w:eastAsia="宋体" w:cs="宋体"/>
          <w:color w:val="auto"/>
          <w:position w:val="-214"/>
          <w:highlight w:val="none"/>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5"/>
                    <a:stretch>
                      <a:fillRect/>
                    </a:stretch>
                  </pic:blipFill>
                  <pic:spPr>
                    <a:xfrm>
                      <a:off x="0" y="0"/>
                      <a:ext cx="6285865" cy="6925310"/>
                    </a:xfrm>
                    <a:prstGeom prst="rect">
                      <a:avLst/>
                    </a:prstGeom>
                    <a:noFill/>
                    <a:ln>
                      <a:noFill/>
                    </a:ln>
                  </pic:spPr>
                </pic:pic>
              </a:graphicData>
            </a:graphic>
          </wp:inline>
        </w:drawing>
      </w:r>
    </w:p>
    <w:p w14:paraId="7741AA77">
      <w:pPr>
        <w:spacing w:line="10744" w:lineRule="exact"/>
        <w:rPr>
          <w:rFonts w:hint="eastAsia" w:ascii="宋体" w:hAnsi="宋体" w:eastAsia="宋体" w:cs="宋体"/>
          <w:color w:val="auto"/>
          <w:highlight w:val="none"/>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44FE29D7">
      <w:pPr>
        <w:spacing w:before="78" w:line="220" w:lineRule="auto"/>
        <w:outlineLvl w:val="2"/>
        <w:rPr>
          <w:rFonts w:hint="eastAsia" w:ascii="宋体" w:hAnsi="宋体" w:eastAsia="宋体" w:cs="宋体"/>
          <w:b/>
          <w:bCs/>
          <w:color w:val="auto"/>
          <w:spacing w:val="-4"/>
          <w:sz w:val="24"/>
          <w:szCs w:val="24"/>
          <w:highlight w:val="none"/>
        </w:rPr>
      </w:pPr>
      <w:bookmarkStart w:id="264" w:name="_Toc28779"/>
      <w:r>
        <w:rPr>
          <w:rFonts w:hint="eastAsia" w:ascii="宋体" w:hAnsi="宋体" w:eastAsia="宋体" w:cs="宋体"/>
          <w:b/>
          <w:bCs/>
          <w:color w:val="auto"/>
          <w:spacing w:val="-4"/>
          <w:sz w:val="24"/>
          <w:szCs w:val="24"/>
          <w:highlight w:val="none"/>
        </w:rPr>
        <w:t>格式十三：</w:t>
      </w:r>
      <w:r>
        <w:rPr>
          <w:rFonts w:hint="eastAsia" w:ascii="宋体" w:hAnsi="宋体" w:eastAsia="宋体" w:cs="宋体"/>
          <w:b/>
          <w:bCs/>
          <w:color w:val="auto"/>
          <w:spacing w:val="7"/>
          <w:sz w:val="22"/>
          <w:szCs w:val="22"/>
          <w:highlight w:val="none"/>
        </w:rPr>
        <w:t>危险性较大的分部分项工程清单及超过一定规模的危险性较大的</w:t>
      </w:r>
      <w:r>
        <w:rPr>
          <w:rFonts w:hint="eastAsia" w:ascii="宋体" w:hAnsi="宋体" w:eastAsia="宋体" w:cs="宋体"/>
          <w:b/>
          <w:bCs/>
          <w:color w:val="auto"/>
          <w:spacing w:val="5"/>
          <w:sz w:val="22"/>
          <w:szCs w:val="22"/>
          <w:highlight w:val="none"/>
        </w:rPr>
        <w:t>分部分项工程清单</w:t>
      </w:r>
      <w:bookmarkEnd w:id="264"/>
    </w:p>
    <w:p w14:paraId="6C11B1C1">
      <w:pPr>
        <w:pStyle w:val="5"/>
        <w:spacing w:line="269" w:lineRule="auto"/>
        <w:rPr>
          <w:rFonts w:hint="eastAsia" w:ascii="宋体" w:hAnsi="宋体" w:eastAsia="宋体" w:cs="宋体"/>
          <w:color w:val="auto"/>
          <w:highlight w:val="none"/>
        </w:rPr>
      </w:pPr>
    </w:p>
    <w:p w14:paraId="720912E4">
      <w:pPr>
        <w:tabs>
          <w:tab w:val="left" w:pos="2940"/>
        </w:tabs>
        <w:spacing w:before="101" w:line="377" w:lineRule="auto"/>
        <w:ind w:left="3179" w:leftChars="0" w:right="41" w:hanging="3133" w:firstLineChars="0"/>
        <w:rPr>
          <w:rFonts w:hint="eastAsia" w:ascii="宋体" w:hAnsi="宋体" w:eastAsia="宋体" w:cs="宋体"/>
          <w:color w:val="auto"/>
          <w:sz w:val="31"/>
          <w:szCs w:val="31"/>
          <w:highlight w:val="none"/>
        </w:rPr>
      </w:pPr>
      <w:bookmarkStart w:id="265" w:name="bookmark160"/>
      <w:bookmarkEnd w:id="265"/>
      <w:bookmarkStart w:id="266" w:name="OLE_LINK41"/>
      <w:r>
        <w:rPr>
          <w:rFonts w:hint="eastAsia" w:ascii="宋体" w:hAnsi="宋体" w:eastAsia="宋体" w:cs="宋体"/>
          <w:b/>
          <w:bCs/>
          <w:color w:val="auto"/>
          <w:spacing w:val="7"/>
          <w:sz w:val="31"/>
          <w:szCs w:val="31"/>
          <w:highlight w:val="none"/>
        </w:rPr>
        <w:t>危险性较大的分部分项工程清单及超过一定规模的危险性较大的</w:t>
      </w:r>
      <w:r>
        <w:rPr>
          <w:rFonts w:hint="eastAsia" w:ascii="宋体" w:hAnsi="宋体" w:eastAsia="宋体" w:cs="宋体"/>
          <w:b/>
          <w:bCs/>
          <w:color w:val="auto"/>
          <w:spacing w:val="5"/>
          <w:sz w:val="31"/>
          <w:szCs w:val="31"/>
          <w:highlight w:val="none"/>
        </w:rPr>
        <w:t>分部分项工程清单</w:t>
      </w:r>
    </w:p>
    <w:bookmarkEnd w:id="266"/>
    <w:p w14:paraId="3CED781B">
      <w:pPr>
        <w:spacing w:before="6" w:line="326" w:lineRule="auto"/>
        <w:ind w:left="5" w:firstLine="49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1、根据中华人民共和国住房和城乡建设部令第37号《危险性较大的分部分项工程</w:t>
      </w:r>
      <w:r>
        <w:rPr>
          <w:rFonts w:hint="eastAsia" w:ascii="宋体" w:hAnsi="宋体" w:eastAsia="宋体" w:cs="宋体"/>
          <w:color w:val="auto"/>
          <w:spacing w:val="-2"/>
          <w:sz w:val="24"/>
          <w:szCs w:val="24"/>
          <w:highlight w:val="none"/>
        </w:rPr>
        <w:t>安全管理规定》（以下简称“37号文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投标人在投标时须补充完善危大工程清单并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明确相应的安全管理措施。</w:t>
      </w:r>
    </w:p>
    <w:p w14:paraId="3F0F74DD">
      <w:pPr>
        <w:spacing w:before="208" w:line="326" w:lineRule="auto"/>
        <w:ind w:left="1"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2、招标人根据设计文件的要求及37号文、粤建规范〔2019〕2号文的规定列出“危险性较大的分部分项工程清单及超过一定规模的危</w:t>
      </w:r>
      <w:r>
        <w:rPr>
          <w:rFonts w:hint="eastAsia" w:ascii="宋体" w:hAnsi="宋体" w:eastAsia="宋体" w:cs="宋体"/>
          <w:color w:val="auto"/>
          <w:spacing w:val="-3"/>
          <w:sz w:val="24"/>
          <w:szCs w:val="24"/>
          <w:highlight w:val="none"/>
        </w:rPr>
        <w:t>险性较大的分部分项工程清单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5"/>
          <w:sz w:val="24"/>
          <w:szCs w:val="24"/>
          <w:highlight w:val="none"/>
        </w:rPr>
        <w:t>本招标项目相关的清单项，具体详见第5点“打</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”标识。</w:t>
      </w:r>
    </w:p>
    <w:p w14:paraId="3E480952">
      <w:pPr>
        <w:spacing w:before="209" w:line="299" w:lineRule="auto"/>
        <w:ind w:left="3" w:right="72" w:firstLine="48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（1）投标单位同意建设单位在清单中标识的该</w:t>
      </w:r>
      <w:r>
        <w:rPr>
          <w:rFonts w:hint="eastAsia" w:ascii="宋体" w:hAnsi="宋体" w:eastAsia="宋体" w:cs="宋体"/>
          <w:color w:val="auto"/>
          <w:spacing w:val="-4"/>
          <w:sz w:val="24"/>
          <w:szCs w:val="24"/>
          <w:highlight w:val="none"/>
        </w:rPr>
        <w:t>项请在对应项打“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”标识，并与</w:t>
      </w:r>
      <w:r>
        <w:rPr>
          <w:rFonts w:hint="eastAsia" w:ascii="宋体" w:hAnsi="宋体" w:eastAsia="宋体" w:cs="宋体"/>
          <w:color w:val="auto"/>
          <w:spacing w:val="-1"/>
          <w:sz w:val="24"/>
          <w:szCs w:val="24"/>
          <w:highlight w:val="none"/>
        </w:rPr>
        <w:t>投标文件中提供相应的安全管理措施。</w:t>
      </w:r>
    </w:p>
    <w:p w14:paraId="4C26C2C1">
      <w:pPr>
        <w:spacing w:before="208" w:line="299" w:lineRule="auto"/>
        <w:ind w:left="2" w:right="72" w:firstLine="48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（2）投标单位对清单中认为需要补充的该项请</w:t>
      </w:r>
      <w:r>
        <w:rPr>
          <w:rFonts w:hint="eastAsia" w:ascii="宋体" w:hAnsi="宋体" w:eastAsia="宋体" w:cs="宋体"/>
          <w:color w:val="auto"/>
          <w:spacing w:val="-4"/>
          <w:sz w:val="24"/>
          <w:szCs w:val="24"/>
          <w:highlight w:val="none"/>
        </w:rPr>
        <w:t>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”标识，并与投标</w:t>
      </w:r>
      <w:r>
        <w:rPr>
          <w:rFonts w:hint="eastAsia" w:ascii="宋体" w:hAnsi="宋体" w:eastAsia="宋体" w:cs="宋体"/>
          <w:color w:val="auto"/>
          <w:spacing w:val="-1"/>
          <w:sz w:val="24"/>
          <w:szCs w:val="24"/>
          <w:highlight w:val="none"/>
        </w:rPr>
        <w:t>文件中提供相应的安全管理措施。</w:t>
      </w:r>
    </w:p>
    <w:p w14:paraId="4F5D1797">
      <w:pPr>
        <w:spacing w:before="210" w:line="300" w:lineRule="auto"/>
        <w:ind w:right="72" w:firstLine="49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（3）投标单位不同意建设单位在清单中标识的该项请在对应项打“</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”标识，并</w:t>
      </w:r>
      <w:r>
        <w:rPr>
          <w:rFonts w:hint="eastAsia" w:ascii="宋体" w:hAnsi="宋体" w:eastAsia="宋体" w:cs="宋体"/>
          <w:color w:val="auto"/>
          <w:spacing w:val="-1"/>
          <w:sz w:val="24"/>
          <w:szCs w:val="24"/>
          <w:highlight w:val="none"/>
        </w:rPr>
        <w:t>在备注栏填上相关说明。</w:t>
      </w:r>
    </w:p>
    <w:p w14:paraId="12229CBC">
      <w:pPr>
        <w:spacing w:before="207" w:line="371" w:lineRule="auto"/>
        <w:ind w:firstLine="484"/>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u w:val="single"/>
        </w:rPr>
        <w:t>3、投标单位应当在投标时根据招标人提供的下述第5点清单，</w:t>
      </w:r>
      <w:r>
        <w:rPr>
          <w:rFonts w:hint="eastAsia" w:ascii="宋体" w:hAnsi="宋体" w:eastAsia="宋体" w:cs="宋体"/>
          <w:b/>
          <w:bCs/>
          <w:color w:val="auto"/>
          <w:spacing w:val="-5"/>
          <w:sz w:val="24"/>
          <w:szCs w:val="24"/>
          <w:highlight w:val="none"/>
          <w:u w:val="single"/>
        </w:rPr>
        <w:t>在投标施工组织中回</w:t>
      </w:r>
      <w:r>
        <w:rPr>
          <w:rFonts w:hint="eastAsia" w:ascii="宋体" w:hAnsi="宋体" w:eastAsia="宋体" w:cs="宋体"/>
          <w:b/>
          <w:bCs/>
          <w:color w:val="auto"/>
          <w:spacing w:val="-4"/>
          <w:sz w:val="24"/>
          <w:szCs w:val="24"/>
          <w:highlight w:val="none"/>
          <w:u w:val="single"/>
        </w:rPr>
        <w:t>应建设单位提供的危大工程清单，补充相应的安全管理措施。（为减轻标书编制</w:t>
      </w:r>
      <w:r>
        <w:rPr>
          <w:rFonts w:hint="eastAsia" w:ascii="宋体" w:hAnsi="宋体" w:eastAsia="宋体" w:cs="宋体"/>
          <w:b/>
          <w:bCs/>
          <w:color w:val="auto"/>
          <w:spacing w:val="-5"/>
          <w:sz w:val="24"/>
          <w:szCs w:val="24"/>
          <w:highlight w:val="none"/>
          <w:u w:val="single"/>
        </w:rPr>
        <w:t>的工作</w:t>
      </w:r>
      <w:r>
        <w:rPr>
          <w:rFonts w:hint="eastAsia" w:ascii="宋体" w:hAnsi="宋体" w:eastAsia="宋体" w:cs="宋体"/>
          <w:b/>
          <w:bCs/>
          <w:color w:val="auto"/>
          <w:spacing w:val="-2"/>
          <w:sz w:val="24"/>
          <w:szCs w:val="24"/>
          <w:highlight w:val="none"/>
          <w:u w:val="single"/>
        </w:rPr>
        <w:t>量，投标单位回应的危大工程清单该部分的页数应控制在3页内）</w:t>
      </w:r>
    </w:p>
    <w:p w14:paraId="6E79D1A7">
      <w:pPr>
        <w:spacing w:before="33" w:line="326" w:lineRule="auto"/>
        <w:ind w:left="1" w:firstLine="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4、对于超过一定规模的危大工程，中标单位应当组织召开</w:t>
      </w:r>
      <w:r>
        <w:rPr>
          <w:rFonts w:hint="eastAsia" w:ascii="宋体" w:hAnsi="宋体" w:eastAsia="宋体" w:cs="宋体"/>
          <w:color w:val="auto"/>
          <w:spacing w:val="-1"/>
          <w:sz w:val="24"/>
          <w:szCs w:val="24"/>
          <w:highlight w:val="none"/>
        </w:rPr>
        <w:t>专家论证会对专项施工</w:t>
      </w:r>
      <w:r>
        <w:rPr>
          <w:rFonts w:hint="eastAsia" w:ascii="宋体" w:hAnsi="宋体" w:eastAsia="宋体" w:cs="宋体"/>
          <w:color w:val="auto"/>
          <w:spacing w:val="-2"/>
          <w:sz w:val="24"/>
          <w:szCs w:val="24"/>
          <w:highlight w:val="none"/>
        </w:rPr>
        <w:t>方案进行论证。实行施工总承包的，由施工总承包单位组织召开专家论证会。专家论证</w:t>
      </w:r>
      <w:r>
        <w:rPr>
          <w:rFonts w:hint="eastAsia" w:ascii="宋体" w:hAnsi="宋体" w:eastAsia="宋体" w:cs="宋体"/>
          <w:color w:val="auto"/>
          <w:spacing w:val="-1"/>
          <w:sz w:val="24"/>
          <w:szCs w:val="24"/>
          <w:highlight w:val="none"/>
        </w:rPr>
        <w:t>前专项施工方案应当通过施工总承包单位审核和总监理工程师审查。</w:t>
      </w:r>
    </w:p>
    <w:p w14:paraId="47D875D7">
      <w:pPr>
        <w:spacing w:before="208" w:line="301" w:lineRule="auto"/>
        <w:ind w:firstLine="484"/>
        <w:rPr>
          <w:rFonts w:hint="eastAsia" w:ascii="宋体" w:hAnsi="宋体" w:eastAsia="宋体" w:cs="宋体"/>
          <w:color w:val="auto"/>
          <w:highlight w:val="none"/>
        </w:rPr>
      </w:pPr>
      <w:r>
        <w:rPr>
          <w:rFonts w:hint="eastAsia" w:ascii="宋体" w:hAnsi="宋体" w:eastAsia="宋体" w:cs="宋体"/>
          <w:color w:val="auto"/>
          <w:spacing w:val="2"/>
          <w:sz w:val="24"/>
          <w:szCs w:val="24"/>
          <w:highlight w:val="none"/>
        </w:rPr>
        <w:t>5、危险性较大的分部分项工程清单及超过一</w:t>
      </w:r>
      <w:r>
        <w:rPr>
          <w:rFonts w:hint="eastAsia" w:ascii="宋体" w:hAnsi="宋体" w:eastAsia="宋体" w:cs="宋体"/>
          <w:color w:val="auto"/>
          <w:spacing w:val="1"/>
          <w:sz w:val="24"/>
          <w:szCs w:val="24"/>
          <w:highlight w:val="none"/>
        </w:rPr>
        <w:t>定规模的危险性较大的分部分项工程</w:t>
      </w:r>
      <w:r>
        <w:rPr>
          <w:rFonts w:hint="eastAsia" w:ascii="宋体" w:hAnsi="宋体" w:eastAsia="宋体" w:cs="宋体"/>
          <w:color w:val="auto"/>
          <w:spacing w:val="-4"/>
          <w:sz w:val="24"/>
          <w:szCs w:val="24"/>
          <w:highlight w:val="none"/>
        </w:rPr>
        <w:t>清单</w:t>
      </w:r>
    </w:p>
    <w:p w14:paraId="5F1FCC5E">
      <w:pPr>
        <w:spacing w:before="40"/>
        <w:rPr>
          <w:rFonts w:hint="eastAsia" w:ascii="宋体" w:hAnsi="宋体" w:eastAsia="宋体" w:cs="宋体"/>
          <w:color w:val="auto"/>
          <w:highlight w:val="none"/>
        </w:rPr>
      </w:pPr>
    </w:p>
    <w:tbl>
      <w:tblPr>
        <w:tblStyle w:val="14"/>
        <w:tblW w:w="988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4862"/>
        <w:gridCol w:w="1294"/>
        <w:gridCol w:w="1294"/>
        <w:gridCol w:w="2428"/>
      </w:tblGrid>
      <w:tr w14:paraId="7A80F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B957C79">
            <w:pPr>
              <w:spacing w:before="133" w:line="220" w:lineRule="auto"/>
              <w:ind w:firstLine="235" w:firstLineChars="100"/>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3"/>
                <w:sz w:val="24"/>
                <w:szCs w:val="24"/>
                <w:highlight w:val="none"/>
              </w:rPr>
              <w:t>一、危险性较大的分部分项工程清单</w:t>
            </w:r>
          </w:p>
        </w:tc>
        <w:tc>
          <w:tcPr>
            <w:tcW w:w="1294" w:type="dxa"/>
            <w:vAlign w:val="top"/>
          </w:tcPr>
          <w:p w14:paraId="0AA03E3F">
            <w:pPr>
              <w:spacing w:before="133" w:line="221" w:lineRule="auto"/>
              <w:ind w:left="206"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4"/>
                <w:sz w:val="24"/>
                <w:szCs w:val="24"/>
                <w:highlight w:val="none"/>
              </w:rPr>
              <w:t>建设单位</w:t>
            </w:r>
          </w:p>
        </w:tc>
        <w:tc>
          <w:tcPr>
            <w:tcW w:w="1294" w:type="dxa"/>
            <w:vAlign w:val="top"/>
          </w:tcPr>
          <w:p w14:paraId="33FC53F4">
            <w:pPr>
              <w:spacing w:before="133" w:line="221" w:lineRule="auto"/>
              <w:ind w:left="205" w:leftChars="0"/>
              <w:rPr>
                <w:rFonts w:hint="eastAsia" w:ascii="宋体" w:hAnsi="宋体" w:eastAsia="宋体" w:cs="宋体"/>
                <w:color w:val="auto"/>
                <w:spacing w:val="-19"/>
                <w:w w:val="94"/>
                <w:sz w:val="24"/>
                <w:szCs w:val="24"/>
                <w:highlight w:val="none"/>
              </w:rPr>
            </w:pPr>
            <w:r>
              <w:rPr>
                <w:rFonts w:hint="eastAsia" w:ascii="宋体" w:hAnsi="宋体" w:eastAsia="宋体" w:cs="宋体"/>
                <w:b/>
                <w:bCs/>
                <w:color w:val="auto"/>
                <w:spacing w:val="-5"/>
                <w:sz w:val="24"/>
                <w:szCs w:val="24"/>
                <w:highlight w:val="none"/>
              </w:rPr>
              <w:t>投标单位</w:t>
            </w:r>
          </w:p>
        </w:tc>
        <w:tc>
          <w:tcPr>
            <w:tcW w:w="2428" w:type="dxa"/>
            <w:vAlign w:val="top"/>
          </w:tcPr>
          <w:p w14:paraId="372BEA47">
            <w:pPr>
              <w:spacing w:before="133" w:line="222" w:lineRule="auto"/>
              <w:ind w:left="360" w:leftChars="0"/>
              <w:rPr>
                <w:rFonts w:hint="eastAsia" w:ascii="宋体" w:hAnsi="宋体" w:eastAsia="宋体" w:cs="宋体"/>
                <w:color w:val="auto"/>
                <w:highlight w:val="none"/>
              </w:rPr>
            </w:pPr>
            <w:r>
              <w:rPr>
                <w:rFonts w:hint="eastAsia" w:ascii="宋体" w:hAnsi="宋体" w:eastAsia="宋体" w:cs="宋体"/>
                <w:color w:val="auto"/>
                <w:spacing w:val="-7"/>
                <w:sz w:val="24"/>
                <w:szCs w:val="24"/>
                <w:highlight w:val="none"/>
              </w:rPr>
              <w:t>备注</w:t>
            </w:r>
          </w:p>
        </w:tc>
      </w:tr>
      <w:tr w14:paraId="6B1A8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9413D3C">
            <w:pPr>
              <w:spacing w:before="128" w:line="221" w:lineRule="auto"/>
              <w:ind w:left="120" w:leftChars="0"/>
              <w:rPr>
                <w:rFonts w:hint="eastAsia" w:ascii="宋体" w:hAnsi="宋体" w:eastAsia="宋体" w:cs="宋体"/>
                <w:color w:val="auto"/>
                <w:spacing w:val="-2"/>
                <w:sz w:val="24"/>
                <w:szCs w:val="24"/>
                <w:highlight w:val="none"/>
              </w:rPr>
            </w:pPr>
            <w:r>
              <w:rPr>
                <w:rFonts w:hint="eastAsia" w:ascii="宋体" w:hAnsi="宋体" w:eastAsia="宋体" w:cs="宋体"/>
                <w:color w:val="auto"/>
                <w:spacing w:val="-3"/>
                <w:sz w:val="24"/>
                <w:szCs w:val="24"/>
                <w:highlight w:val="none"/>
              </w:rPr>
              <w:t>一、基坑支护</w:t>
            </w:r>
          </w:p>
        </w:tc>
        <w:tc>
          <w:tcPr>
            <w:tcW w:w="1294" w:type="dxa"/>
            <w:vAlign w:val="top"/>
          </w:tcPr>
          <w:p w14:paraId="0D5E170B">
            <w:pPr>
              <w:spacing w:before="128" w:line="223" w:lineRule="auto"/>
              <w:jc w:val="center"/>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bookmarkStart w:id="267" w:name="OLE_LINK39"/>
            <w:r>
              <w:rPr>
                <w:rFonts w:hint="eastAsia" w:ascii="宋体" w:hAnsi="宋体" w:eastAsia="宋体" w:cs="宋体"/>
                <w:color w:val="auto"/>
                <w:spacing w:val="5"/>
                <w:sz w:val="24"/>
                <w:szCs w:val="24"/>
                <w:highlight w:val="none"/>
              </w:rPr>
              <w:t xml:space="preserve">  </w:t>
            </w:r>
            <w:bookmarkEnd w:id="267"/>
            <w:r>
              <w:rPr>
                <w:rFonts w:hint="eastAsia" w:ascii="宋体" w:hAnsi="宋体" w:eastAsia="宋体" w:cs="宋体"/>
                <w:color w:val="auto"/>
                <w:spacing w:val="-19"/>
                <w:w w:val="94"/>
                <w:sz w:val="24"/>
                <w:szCs w:val="24"/>
                <w:highlight w:val="none"/>
              </w:rPr>
              <w:t>)</w:t>
            </w:r>
          </w:p>
        </w:tc>
        <w:tc>
          <w:tcPr>
            <w:tcW w:w="1294" w:type="dxa"/>
            <w:vAlign w:val="top"/>
          </w:tcPr>
          <w:p w14:paraId="2EADC7D4">
            <w:pPr>
              <w:spacing w:before="128" w:line="223" w:lineRule="auto"/>
              <w:ind w:left="367"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A0FE647">
            <w:pPr>
              <w:pStyle w:val="22"/>
              <w:rPr>
                <w:rFonts w:hint="eastAsia" w:ascii="宋体" w:hAnsi="宋体" w:eastAsia="宋体" w:cs="宋体"/>
                <w:color w:val="auto"/>
                <w:highlight w:val="none"/>
              </w:rPr>
            </w:pPr>
          </w:p>
        </w:tc>
      </w:tr>
      <w:tr w14:paraId="23C2F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009D212">
            <w:pPr>
              <w:spacing w:before="129" w:line="328" w:lineRule="auto"/>
              <w:ind w:left="135" w:leftChars="0" w:right="68" w:rightChars="0" w:hanging="8" w:firstLineChars="0"/>
              <w:rPr>
                <w:rFonts w:hint="eastAsia" w:ascii="宋体" w:hAnsi="宋体" w:eastAsia="宋体" w:cs="宋体"/>
                <w:color w:val="auto"/>
                <w:spacing w:val="-2"/>
                <w:sz w:val="24"/>
                <w:szCs w:val="24"/>
                <w:highlight w:val="none"/>
              </w:rPr>
            </w:pPr>
            <w:r>
              <w:rPr>
                <w:rFonts w:hint="eastAsia" w:ascii="宋体" w:hAnsi="宋体" w:eastAsia="宋体" w:cs="宋体"/>
                <w:color w:val="auto"/>
                <w:spacing w:val="-4"/>
                <w:sz w:val="24"/>
                <w:szCs w:val="24"/>
                <w:highlight w:val="none"/>
              </w:rPr>
              <w:t>（一）开挖深度超过</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3m（含</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4"/>
                <w:sz w:val="24"/>
                <w:szCs w:val="24"/>
                <w:highlight w:val="none"/>
              </w:rPr>
              <w:t>3m）的基坑（槽）</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的土方开挖、支护、降水工程。</w:t>
            </w:r>
          </w:p>
        </w:tc>
        <w:tc>
          <w:tcPr>
            <w:tcW w:w="1294" w:type="dxa"/>
            <w:vAlign w:val="top"/>
          </w:tcPr>
          <w:p w14:paraId="6C0D4CF8">
            <w:pPr>
              <w:pStyle w:val="22"/>
              <w:spacing w:line="297" w:lineRule="auto"/>
              <w:rPr>
                <w:rFonts w:hint="eastAsia" w:ascii="宋体" w:hAnsi="宋体" w:eastAsia="宋体" w:cs="宋体"/>
                <w:color w:val="auto"/>
                <w:highlight w:val="none"/>
              </w:rPr>
            </w:pPr>
          </w:p>
          <w:p w14:paraId="4CD6C7B3">
            <w:pPr>
              <w:spacing w:before="78" w:line="223" w:lineRule="auto"/>
              <w:ind w:left="396"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EA02A3D">
            <w:pPr>
              <w:pStyle w:val="22"/>
              <w:spacing w:line="297" w:lineRule="auto"/>
              <w:rPr>
                <w:rFonts w:hint="eastAsia" w:ascii="宋体" w:hAnsi="宋体" w:eastAsia="宋体" w:cs="宋体"/>
                <w:color w:val="auto"/>
                <w:highlight w:val="none"/>
              </w:rPr>
            </w:pPr>
          </w:p>
          <w:p w14:paraId="39911A4C">
            <w:pPr>
              <w:spacing w:before="78" w:line="223" w:lineRule="auto"/>
              <w:ind w:left="367"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9A95EAC">
            <w:pPr>
              <w:pStyle w:val="22"/>
              <w:rPr>
                <w:rFonts w:hint="eastAsia" w:ascii="宋体" w:hAnsi="宋体" w:eastAsia="宋体" w:cs="宋体"/>
                <w:color w:val="auto"/>
                <w:highlight w:val="none"/>
              </w:rPr>
            </w:pPr>
          </w:p>
        </w:tc>
      </w:tr>
      <w:tr w14:paraId="2B20B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7971E1C">
            <w:pPr>
              <w:spacing w:before="132" w:line="354" w:lineRule="auto"/>
              <w:ind w:left="116" w:right="108" w:firstLine="11"/>
              <w:jc w:val="both"/>
              <w:rPr>
                <w:rFonts w:hint="eastAsia" w:ascii="宋体" w:hAnsi="宋体" w:eastAsia="宋体" w:cs="宋体"/>
                <w:color w:val="auto"/>
                <w:sz w:val="24"/>
                <w:szCs w:val="24"/>
                <w:highlight w:val="none"/>
              </w:rPr>
            </w:pPr>
            <w:bookmarkStart w:id="268" w:name="bookmark161"/>
            <w:bookmarkEnd w:id="268"/>
            <w:r>
              <w:rPr>
                <w:rFonts w:hint="eastAsia" w:ascii="宋体" w:hAnsi="宋体" w:eastAsia="宋体" w:cs="宋体"/>
                <w:color w:val="auto"/>
                <w:spacing w:val="-2"/>
                <w:sz w:val="24"/>
                <w:szCs w:val="24"/>
                <w:highlight w:val="none"/>
              </w:rPr>
              <w:t>（二）开挖深度虽未超过</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2"/>
                <w:sz w:val="24"/>
                <w:szCs w:val="24"/>
                <w:highlight w:val="none"/>
              </w:rPr>
              <w:t>3m，但地质条件、周</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围环境和地下管线复杂，或影响毗邻建、构筑</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
                <w:sz w:val="24"/>
                <w:szCs w:val="24"/>
                <w:highlight w:val="none"/>
              </w:rPr>
              <w:t>物安全的基坑（槽）的土方开挖、支护、降水</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4"/>
                <w:sz w:val="24"/>
                <w:szCs w:val="24"/>
                <w:highlight w:val="none"/>
              </w:rPr>
              <w:t>工程。</w:t>
            </w:r>
          </w:p>
        </w:tc>
        <w:tc>
          <w:tcPr>
            <w:tcW w:w="1294" w:type="dxa"/>
            <w:vAlign w:val="top"/>
          </w:tcPr>
          <w:p w14:paraId="186A1897">
            <w:pPr>
              <w:pStyle w:val="22"/>
              <w:spacing w:line="263" w:lineRule="auto"/>
              <w:rPr>
                <w:rFonts w:hint="eastAsia" w:ascii="宋体" w:hAnsi="宋体" w:eastAsia="宋体" w:cs="宋体"/>
                <w:color w:val="auto"/>
                <w:highlight w:val="none"/>
              </w:rPr>
            </w:pPr>
          </w:p>
          <w:p w14:paraId="794606CF">
            <w:pPr>
              <w:pStyle w:val="22"/>
              <w:spacing w:line="263" w:lineRule="auto"/>
              <w:rPr>
                <w:rFonts w:hint="eastAsia" w:ascii="宋体" w:hAnsi="宋体" w:eastAsia="宋体" w:cs="宋体"/>
                <w:color w:val="auto"/>
                <w:highlight w:val="none"/>
              </w:rPr>
            </w:pPr>
          </w:p>
          <w:p w14:paraId="1D249BA2">
            <w:pPr>
              <w:pStyle w:val="22"/>
              <w:spacing w:line="264" w:lineRule="auto"/>
              <w:rPr>
                <w:rFonts w:hint="eastAsia" w:ascii="宋体" w:hAnsi="宋体" w:eastAsia="宋体" w:cs="宋体"/>
                <w:color w:val="auto"/>
                <w:highlight w:val="none"/>
              </w:rPr>
            </w:pPr>
          </w:p>
          <w:p w14:paraId="66BD5DC4">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bookmarkStart w:id="269" w:name="OLE_LINK40"/>
            <w:r>
              <w:rPr>
                <w:rFonts w:hint="eastAsia" w:ascii="宋体" w:hAnsi="宋体" w:eastAsia="宋体" w:cs="宋体"/>
                <w:color w:val="auto"/>
                <w:spacing w:val="2"/>
                <w:sz w:val="24"/>
                <w:szCs w:val="24"/>
                <w:highlight w:val="none"/>
              </w:rPr>
              <w:t xml:space="preserve">     </w:t>
            </w:r>
            <w:bookmarkEnd w:id="269"/>
            <w:r>
              <w:rPr>
                <w:rFonts w:hint="eastAsia" w:ascii="宋体" w:hAnsi="宋体" w:eastAsia="宋体" w:cs="宋体"/>
                <w:color w:val="auto"/>
                <w:spacing w:val="-19"/>
                <w:w w:val="94"/>
                <w:sz w:val="24"/>
                <w:szCs w:val="24"/>
                <w:highlight w:val="none"/>
              </w:rPr>
              <w:t>)</w:t>
            </w:r>
          </w:p>
        </w:tc>
        <w:tc>
          <w:tcPr>
            <w:tcW w:w="1294" w:type="dxa"/>
            <w:vAlign w:val="top"/>
          </w:tcPr>
          <w:p w14:paraId="6108BECE">
            <w:pPr>
              <w:pStyle w:val="22"/>
              <w:spacing w:line="263" w:lineRule="auto"/>
              <w:rPr>
                <w:rFonts w:hint="eastAsia" w:ascii="宋体" w:hAnsi="宋体" w:eastAsia="宋体" w:cs="宋体"/>
                <w:color w:val="auto"/>
                <w:highlight w:val="none"/>
              </w:rPr>
            </w:pPr>
          </w:p>
          <w:p w14:paraId="17FF50A5">
            <w:pPr>
              <w:pStyle w:val="22"/>
              <w:spacing w:line="263" w:lineRule="auto"/>
              <w:rPr>
                <w:rFonts w:hint="eastAsia" w:ascii="宋体" w:hAnsi="宋体" w:eastAsia="宋体" w:cs="宋体"/>
                <w:color w:val="auto"/>
                <w:highlight w:val="none"/>
              </w:rPr>
            </w:pPr>
          </w:p>
          <w:p w14:paraId="7EDD1339">
            <w:pPr>
              <w:pStyle w:val="22"/>
              <w:spacing w:line="264" w:lineRule="auto"/>
              <w:rPr>
                <w:rFonts w:hint="eastAsia" w:ascii="宋体" w:hAnsi="宋体" w:eastAsia="宋体" w:cs="宋体"/>
                <w:color w:val="auto"/>
                <w:highlight w:val="none"/>
              </w:rPr>
            </w:pPr>
          </w:p>
          <w:p w14:paraId="2F640A74">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02870B6">
            <w:pPr>
              <w:pStyle w:val="22"/>
              <w:rPr>
                <w:rFonts w:hint="eastAsia" w:ascii="宋体" w:hAnsi="宋体" w:eastAsia="宋体" w:cs="宋体"/>
                <w:color w:val="auto"/>
                <w:highlight w:val="none"/>
              </w:rPr>
            </w:pPr>
          </w:p>
        </w:tc>
      </w:tr>
      <w:tr w14:paraId="27D12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F3B71E8">
            <w:pPr>
              <w:spacing w:before="128" w:line="219"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二、模板工程及支撑体系</w:t>
            </w:r>
          </w:p>
        </w:tc>
        <w:tc>
          <w:tcPr>
            <w:tcW w:w="1294" w:type="dxa"/>
            <w:vAlign w:val="top"/>
          </w:tcPr>
          <w:p w14:paraId="4337238F">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8680A76">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F41C3C8">
            <w:pPr>
              <w:pStyle w:val="22"/>
              <w:rPr>
                <w:rFonts w:hint="eastAsia" w:ascii="宋体" w:hAnsi="宋体" w:eastAsia="宋体" w:cs="宋体"/>
                <w:color w:val="auto"/>
                <w:highlight w:val="none"/>
              </w:rPr>
            </w:pPr>
          </w:p>
        </w:tc>
      </w:tr>
      <w:tr w14:paraId="5AE5E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9CCC3F2">
            <w:pPr>
              <w:spacing w:before="128" w:line="328" w:lineRule="auto"/>
              <w:ind w:left="123" w:right="25" w:firstLine="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（一）各类工具式模板工程：包括滑模、爬模、</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2"/>
                <w:sz w:val="24"/>
                <w:szCs w:val="24"/>
                <w:highlight w:val="none"/>
              </w:rPr>
              <w:t>飞模、隧道模等工程。</w:t>
            </w:r>
          </w:p>
        </w:tc>
        <w:tc>
          <w:tcPr>
            <w:tcW w:w="1294" w:type="dxa"/>
            <w:vAlign w:val="top"/>
          </w:tcPr>
          <w:p w14:paraId="1DF75EF6">
            <w:pPr>
              <w:pStyle w:val="22"/>
              <w:spacing w:line="293" w:lineRule="auto"/>
              <w:rPr>
                <w:rFonts w:hint="eastAsia" w:ascii="宋体" w:hAnsi="宋体" w:eastAsia="宋体" w:cs="宋体"/>
                <w:color w:val="auto"/>
                <w:highlight w:val="none"/>
              </w:rPr>
            </w:pPr>
          </w:p>
          <w:p w14:paraId="488E59E7">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AF1AE4F">
            <w:pPr>
              <w:pStyle w:val="22"/>
              <w:spacing w:line="293" w:lineRule="auto"/>
              <w:rPr>
                <w:rFonts w:hint="eastAsia" w:ascii="宋体" w:hAnsi="宋体" w:eastAsia="宋体" w:cs="宋体"/>
                <w:color w:val="auto"/>
                <w:highlight w:val="none"/>
              </w:rPr>
            </w:pPr>
          </w:p>
          <w:p w14:paraId="27B7E6C8">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F261D5D">
            <w:pPr>
              <w:pStyle w:val="22"/>
              <w:rPr>
                <w:rFonts w:hint="eastAsia" w:ascii="宋体" w:hAnsi="宋体" w:eastAsia="宋体" w:cs="宋体"/>
                <w:color w:val="auto"/>
                <w:highlight w:val="none"/>
              </w:rPr>
            </w:pPr>
          </w:p>
        </w:tc>
      </w:tr>
      <w:tr w14:paraId="007FF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4A1C811">
            <w:pPr>
              <w:spacing w:before="131" w:line="362" w:lineRule="auto"/>
              <w:ind w:left="115" w:right="105" w:firstLine="12"/>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（二）混凝土模板支撑工程：搭设高度</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5"/>
                <w:sz w:val="24"/>
                <w:szCs w:val="24"/>
                <w:highlight w:val="none"/>
              </w:rPr>
              <w:t>5m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5"/>
                <w:sz w:val="24"/>
                <w:szCs w:val="24"/>
                <w:highlight w:val="none"/>
              </w:rPr>
              <w:t>及以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上，或搭设跨度</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0"/>
                <w:sz w:val="24"/>
                <w:szCs w:val="24"/>
                <w:highlight w:val="none"/>
              </w:rPr>
              <w:t>及以上，或施工总荷</w:t>
            </w:r>
            <w:r>
              <w:rPr>
                <w:rFonts w:hint="eastAsia" w:ascii="宋体" w:hAnsi="宋体" w:eastAsia="宋体" w:cs="宋体"/>
                <w:color w:val="auto"/>
                <w:spacing w:val="-11"/>
                <w:sz w:val="24"/>
                <w:szCs w:val="24"/>
                <w:highlight w:val="none"/>
              </w:rPr>
              <w:t>载（荷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载效应基本组合的设计值，以下简称设计值）</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14"/>
                <w:sz w:val="24"/>
                <w:szCs w:val="24"/>
                <w:highlight w:val="none"/>
              </w:rPr>
              <w:t>10kN/m2</w:t>
            </w:r>
            <w:r>
              <w:rPr>
                <w:rFonts w:hint="eastAsia" w:ascii="宋体" w:hAnsi="宋体" w:eastAsia="宋体" w:cs="宋体"/>
                <w:color w:val="auto"/>
                <w:spacing w:val="-35"/>
                <w:sz w:val="24"/>
                <w:szCs w:val="24"/>
                <w:highlight w:val="none"/>
              </w:rPr>
              <w:t xml:space="preserve"> </w:t>
            </w:r>
            <w:r>
              <w:rPr>
                <w:rFonts w:hint="eastAsia" w:ascii="宋体" w:hAnsi="宋体" w:eastAsia="宋体" w:cs="宋体"/>
                <w:color w:val="auto"/>
                <w:spacing w:val="-14"/>
                <w:sz w:val="24"/>
                <w:szCs w:val="24"/>
                <w:highlight w:val="none"/>
              </w:rPr>
              <w:t>及以上，或集中线荷载（设计值）15kN/m</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及以上，或高度大于支撑水平投影宽度且相对</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独立无联系构件的混凝土模板支撑工程。</w:t>
            </w:r>
          </w:p>
        </w:tc>
        <w:tc>
          <w:tcPr>
            <w:tcW w:w="1294" w:type="dxa"/>
            <w:vAlign w:val="top"/>
          </w:tcPr>
          <w:p w14:paraId="26597171">
            <w:pPr>
              <w:pStyle w:val="22"/>
              <w:spacing w:line="255" w:lineRule="auto"/>
              <w:rPr>
                <w:rFonts w:hint="eastAsia" w:ascii="宋体" w:hAnsi="宋体" w:eastAsia="宋体" w:cs="宋体"/>
                <w:color w:val="auto"/>
                <w:highlight w:val="none"/>
              </w:rPr>
            </w:pPr>
          </w:p>
          <w:p w14:paraId="6A163710">
            <w:pPr>
              <w:pStyle w:val="22"/>
              <w:spacing w:line="255" w:lineRule="auto"/>
              <w:rPr>
                <w:rFonts w:hint="eastAsia" w:ascii="宋体" w:hAnsi="宋体" w:eastAsia="宋体" w:cs="宋体"/>
                <w:color w:val="auto"/>
                <w:highlight w:val="none"/>
              </w:rPr>
            </w:pPr>
          </w:p>
          <w:p w14:paraId="0237777A">
            <w:pPr>
              <w:pStyle w:val="22"/>
              <w:spacing w:line="255" w:lineRule="auto"/>
              <w:rPr>
                <w:rFonts w:hint="eastAsia" w:ascii="宋体" w:hAnsi="宋体" w:eastAsia="宋体" w:cs="宋体"/>
                <w:color w:val="auto"/>
                <w:highlight w:val="none"/>
              </w:rPr>
            </w:pPr>
          </w:p>
          <w:p w14:paraId="5406C4AE">
            <w:pPr>
              <w:pStyle w:val="22"/>
              <w:spacing w:line="255" w:lineRule="auto"/>
              <w:rPr>
                <w:rFonts w:hint="eastAsia" w:ascii="宋体" w:hAnsi="宋体" w:eastAsia="宋体" w:cs="宋体"/>
                <w:color w:val="auto"/>
                <w:highlight w:val="none"/>
              </w:rPr>
            </w:pPr>
          </w:p>
          <w:p w14:paraId="774290A4">
            <w:pPr>
              <w:pStyle w:val="22"/>
              <w:spacing w:line="256" w:lineRule="auto"/>
              <w:rPr>
                <w:rFonts w:hint="eastAsia" w:ascii="宋体" w:hAnsi="宋体" w:eastAsia="宋体" w:cs="宋体"/>
                <w:color w:val="auto"/>
                <w:highlight w:val="none"/>
              </w:rPr>
            </w:pPr>
          </w:p>
          <w:p w14:paraId="6546A9BB">
            <w:pPr>
              <w:spacing w:before="7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08E54D6">
            <w:pPr>
              <w:pStyle w:val="22"/>
              <w:spacing w:line="255" w:lineRule="auto"/>
              <w:rPr>
                <w:rFonts w:hint="eastAsia" w:ascii="宋体" w:hAnsi="宋体" w:eastAsia="宋体" w:cs="宋体"/>
                <w:color w:val="auto"/>
                <w:highlight w:val="none"/>
              </w:rPr>
            </w:pPr>
          </w:p>
          <w:p w14:paraId="76A6E57B">
            <w:pPr>
              <w:pStyle w:val="22"/>
              <w:spacing w:line="255" w:lineRule="auto"/>
              <w:rPr>
                <w:rFonts w:hint="eastAsia" w:ascii="宋体" w:hAnsi="宋体" w:eastAsia="宋体" w:cs="宋体"/>
                <w:color w:val="auto"/>
                <w:highlight w:val="none"/>
              </w:rPr>
            </w:pPr>
          </w:p>
          <w:p w14:paraId="365AC230">
            <w:pPr>
              <w:pStyle w:val="22"/>
              <w:spacing w:line="255" w:lineRule="auto"/>
              <w:rPr>
                <w:rFonts w:hint="eastAsia" w:ascii="宋体" w:hAnsi="宋体" w:eastAsia="宋体" w:cs="宋体"/>
                <w:color w:val="auto"/>
                <w:highlight w:val="none"/>
              </w:rPr>
            </w:pPr>
          </w:p>
          <w:p w14:paraId="58388FAE">
            <w:pPr>
              <w:pStyle w:val="22"/>
              <w:spacing w:line="255" w:lineRule="auto"/>
              <w:rPr>
                <w:rFonts w:hint="eastAsia" w:ascii="宋体" w:hAnsi="宋体" w:eastAsia="宋体" w:cs="宋体"/>
                <w:color w:val="auto"/>
                <w:highlight w:val="none"/>
              </w:rPr>
            </w:pPr>
          </w:p>
          <w:p w14:paraId="35C9851D">
            <w:pPr>
              <w:pStyle w:val="22"/>
              <w:spacing w:line="256" w:lineRule="auto"/>
              <w:rPr>
                <w:rFonts w:hint="eastAsia" w:ascii="宋体" w:hAnsi="宋体" w:eastAsia="宋体" w:cs="宋体"/>
                <w:color w:val="auto"/>
                <w:highlight w:val="none"/>
              </w:rPr>
            </w:pPr>
          </w:p>
          <w:p w14:paraId="55C5B869">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422EFB1">
            <w:pPr>
              <w:pStyle w:val="22"/>
              <w:rPr>
                <w:rFonts w:hint="eastAsia" w:ascii="宋体" w:hAnsi="宋体" w:eastAsia="宋体" w:cs="宋体"/>
                <w:color w:val="auto"/>
                <w:highlight w:val="none"/>
              </w:rPr>
            </w:pPr>
          </w:p>
        </w:tc>
      </w:tr>
      <w:tr w14:paraId="4FDCF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7981EB5">
            <w:pPr>
              <w:spacing w:before="130"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（三）承重支撑体系：用于钢结构安装等满堂</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3"/>
                <w:sz w:val="24"/>
                <w:szCs w:val="24"/>
                <w:highlight w:val="none"/>
              </w:rPr>
              <w:t>支撑体系。</w:t>
            </w:r>
          </w:p>
        </w:tc>
        <w:tc>
          <w:tcPr>
            <w:tcW w:w="1294" w:type="dxa"/>
            <w:vAlign w:val="top"/>
          </w:tcPr>
          <w:p w14:paraId="19B3D1F2">
            <w:pPr>
              <w:pStyle w:val="22"/>
              <w:spacing w:line="296" w:lineRule="auto"/>
              <w:rPr>
                <w:rFonts w:hint="eastAsia" w:ascii="宋体" w:hAnsi="宋体" w:eastAsia="宋体" w:cs="宋体"/>
                <w:color w:val="auto"/>
                <w:highlight w:val="none"/>
              </w:rPr>
            </w:pPr>
          </w:p>
          <w:p w14:paraId="16201551">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A65A17F">
            <w:pPr>
              <w:pStyle w:val="22"/>
              <w:spacing w:line="296" w:lineRule="auto"/>
              <w:rPr>
                <w:rFonts w:hint="eastAsia" w:ascii="宋体" w:hAnsi="宋体" w:eastAsia="宋体" w:cs="宋体"/>
                <w:color w:val="auto"/>
                <w:highlight w:val="none"/>
              </w:rPr>
            </w:pPr>
          </w:p>
          <w:p w14:paraId="3F6E8F1D">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72A0E0C">
            <w:pPr>
              <w:pStyle w:val="22"/>
              <w:rPr>
                <w:rFonts w:hint="eastAsia" w:ascii="宋体" w:hAnsi="宋体" w:eastAsia="宋体" w:cs="宋体"/>
                <w:color w:val="auto"/>
                <w:highlight w:val="none"/>
              </w:rPr>
            </w:pPr>
          </w:p>
        </w:tc>
      </w:tr>
      <w:tr w14:paraId="60456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2F51711">
            <w:pPr>
              <w:spacing w:before="130" w:line="219" w:lineRule="auto"/>
              <w:ind w:left="35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三、起重吊装及起重机械安装拆卸工程</w:t>
            </w:r>
          </w:p>
        </w:tc>
        <w:tc>
          <w:tcPr>
            <w:tcW w:w="1294" w:type="dxa"/>
            <w:vAlign w:val="top"/>
          </w:tcPr>
          <w:p w14:paraId="029BDFBE">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D2E8554">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3A6FA68">
            <w:pPr>
              <w:pStyle w:val="22"/>
              <w:rPr>
                <w:rFonts w:hint="eastAsia" w:ascii="宋体" w:hAnsi="宋体" w:eastAsia="宋体" w:cs="宋体"/>
                <w:color w:val="auto"/>
                <w:highlight w:val="none"/>
              </w:rPr>
            </w:pPr>
          </w:p>
        </w:tc>
      </w:tr>
      <w:tr w14:paraId="22CFB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21F912F">
            <w:pPr>
              <w:spacing w:before="131" w:line="327" w:lineRule="auto"/>
              <w:ind w:left="144" w:right="168" w:hanging="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（一）采用非常规起重设备、方法，且单件起</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4"/>
                <w:sz w:val="24"/>
                <w:szCs w:val="24"/>
                <w:highlight w:val="none"/>
              </w:rPr>
              <w:t>吊重量在</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10kN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4"/>
                <w:sz w:val="24"/>
                <w:szCs w:val="24"/>
                <w:highlight w:val="none"/>
              </w:rPr>
              <w:t>及以上的起重吊装工程。</w:t>
            </w:r>
          </w:p>
        </w:tc>
        <w:tc>
          <w:tcPr>
            <w:tcW w:w="1294" w:type="dxa"/>
            <w:vAlign w:val="top"/>
          </w:tcPr>
          <w:p w14:paraId="6F16F6A8">
            <w:pPr>
              <w:pStyle w:val="22"/>
              <w:spacing w:line="297" w:lineRule="auto"/>
              <w:rPr>
                <w:rFonts w:hint="eastAsia" w:ascii="宋体" w:hAnsi="宋体" w:eastAsia="宋体" w:cs="宋体"/>
                <w:color w:val="auto"/>
                <w:highlight w:val="none"/>
              </w:rPr>
            </w:pPr>
          </w:p>
          <w:p w14:paraId="113DEF6E">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5B3DB11">
            <w:pPr>
              <w:pStyle w:val="22"/>
              <w:spacing w:line="297" w:lineRule="auto"/>
              <w:rPr>
                <w:rFonts w:hint="eastAsia" w:ascii="宋体" w:hAnsi="宋体" w:eastAsia="宋体" w:cs="宋体"/>
                <w:color w:val="auto"/>
                <w:highlight w:val="none"/>
              </w:rPr>
            </w:pPr>
          </w:p>
          <w:p w14:paraId="3D07234D">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54155A9">
            <w:pPr>
              <w:pStyle w:val="22"/>
              <w:rPr>
                <w:rFonts w:hint="eastAsia" w:ascii="宋体" w:hAnsi="宋体" w:eastAsia="宋体" w:cs="宋体"/>
                <w:color w:val="auto"/>
                <w:highlight w:val="none"/>
              </w:rPr>
            </w:pPr>
          </w:p>
        </w:tc>
      </w:tr>
      <w:tr w14:paraId="6244C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53DB307">
            <w:pPr>
              <w:spacing w:before="132"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（二）采用起重机械进行安装的工程。</w:t>
            </w:r>
          </w:p>
        </w:tc>
        <w:tc>
          <w:tcPr>
            <w:tcW w:w="1294" w:type="dxa"/>
            <w:vAlign w:val="top"/>
          </w:tcPr>
          <w:p w14:paraId="64722B15">
            <w:pPr>
              <w:spacing w:before="131"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882B3C9">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EBC9A7E">
            <w:pPr>
              <w:pStyle w:val="22"/>
              <w:rPr>
                <w:rFonts w:hint="eastAsia" w:ascii="宋体" w:hAnsi="宋体" w:eastAsia="宋体" w:cs="宋体"/>
                <w:color w:val="auto"/>
                <w:highlight w:val="none"/>
              </w:rPr>
            </w:pPr>
          </w:p>
        </w:tc>
      </w:tr>
      <w:tr w14:paraId="3D1CA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FF2C314">
            <w:pPr>
              <w:spacing w:before="130"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（三）起重机械安装和拆卸工程。</w:t>
            </w:r>
          </w:p>
        </w:tc>
        <w:tc>
          <w:tcPr>
            <w:tcW w:w="1294" w:type="dxa"/>
            <w:vAlign w:val="top"/>
          </w:tcPr>
          <w:p w14:paraId="2CF2138D">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BE94131">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9265035">
            <w:pPr>
              <w:pStyle w:val="22"/>
              <w:rPr>
                <w:rFonts w:hint="eastAsia" w:ascii="宋体" w:hAnsi="宋体" w:eastAsia="宋体" w:cs="宋体"/>
                <w:color w:val="auto"/>
                <w:highlight w:val="none"/>
              </w:rPr>
            </w:pPr>
          </w:p>
        </w:tc>
      </w:tr>
      <w:tr w14:paraId="57722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9D5FF90">
            <w:pPr>
              <w:spacing w:before="131" w:line="219" w:lineRule="auto"/>
              <w:ind w:left="13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四、脚手架工程</w:t>
            </w:r>
          </w:p>
        </w:tc>
        <w:tc>
          <w:tcPr>
            <w:tcW w:w="1294" w:type="dxa"/>
            <w:vAlign w:val="top"/>
          </w:tcPr>
          <w:p w14:paraId="4A432561">
            <w:pPr>
              <w:spacing w:before="130" w:line="223" w:lineRule="auto"/>
              <w:ind w:left="48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5"/>
                <w:sz w:val="24"/>
                <w:szCs w:val="24"/>
                <w:highlight w:val="none"/>
                <w:lang w:val="en-US" w:eastAsia="zh-CN"/>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8E355FA">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E4A1204">
            <w:pPr>
              <w:pStyle w:val="22"/>
              <w:rPr>
                <w:rFonts w:hint="eastAsia" w:ascii="宋体" w:hAnsi="宋体" w:eastAsia="宋体" w:cs="宋体"/>
                <w:color w:val="auto"/>
                <w:highlight w:val="none"/>
              </w:rPr>
            </w:pPr>
          </w:p>
        </w:tc>
      </w:tr>
      <w:tr w14:paraId="65106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7B01B48">
            <w:pPr>
              <w:spacing w:before="130"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（一）搭设高度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24m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及以上的落地式钢管脚手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架工程（包括采光井、电梯井脚手架）。</w:t>
            </w:r>
          </w:p>
        </w:tc>
        <w:tc>
          <w:tcPr>
            <w:tcW w:w="1294" w:type="dxa"/>
            <w:vAlign w:val="top"/>
          </w:tcPr>
          <w:p w14:paraId="1E028CBF">
            <w:pPr>
              <w:pStyle w:val="22"/>
              <w:spacing w:line="297" w:lineRule="auto"/>
              <w:rPr>
                <w:rFonts w:hint="eastAsia" w:ascii="宋体" w:hAnsi="宋体" w:eastAsia="宋体" w:cs="宋体"/>
                <w:color w:val="auto"/>
                <w:highlight w:val="none"/>
              </w:rPr>
            </w:pPr>
          </w:p>
          <w:p w14:paraId="6DC4908A">
            <w:pPr>
              <w:spacing w:before="7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BEBBF08">
            <w:pPr>
              <w:pStyle w:val="22"/>
              <w:spacing w:line="297" w:lineRule="auto"/>
              <w:rPr>
                <w:rFonts w:hint="eastAsia" w:ascii="宋体" w:hAnsi="宋体" w:eastAsia="宋体" w:cs="宋体"/>
                <w:color w:val="auto"/>
                <w:highlight w:val="none"/>
              </w:rPr>
            </w:pPr>
          </w:p>
          <w:p w14:paraId="025D2CF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4A1A1C0">
            <w:pPr>
              <w:pStyle w:val="22"/>
              <w:rPr>
                <w:rFonts w:hint="eastAsia" w:ascii="宋体" w:hAnsi="宋体" w:eastAsia="宋体" w:cs="宋体"/>
                <w:color w:val="auto"/>
                <w:highlight w:val="none"/>
              </w:rPr>
            </w:pPr>
          </w:p>
        </w:tc>
      </w:tr>
      <w:tr w14:paraId="6030C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FA52113">
            <w:pPr>
              <w:spacing w:before="131"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（二）附着式升降脚手架工程。</w:t>
            </w:r>
          </w:p>
        </w:tc>
        <w:tc>
          <w:tcPr>
            <w:tcW w:w="1294" w:type="dxa"/>
            <w:vAlign w:val="top"/>
          </w:tcPr>
          <w:p w14:paraId="5BF127C0">
            <w:pPr>
              <w:spacing w:before="130"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4354F7E">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B13273E">
            <w:pPr>
              <w:pStyle w:val="22"/>
              <w:rPr>
                <w:rFonts w:hint="eastAsia" w:ascii="宋体" w:hAnsi="宋体" w:eastAsia="宋体" w:cs="宋体"/>
                <w:color w:val="auto"/>
                <w:highlight w:val="none"/>
              </w:rPr>
            </w:pPr>
          </w:p>
        </w:tc>
      </w:tr>
      <w:tr w14:paraId="30E09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22435C8A">
            <w:pPr>
              <w:spacing w:before="132"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（三）悬挑式脚手架工程。</w:t>
            </w:r>
          </w:p>
        </w:tc>
        <w:tc>
          <w:tcPr>
            <w:tcW w:w="1294" w:type="dxa"/>
            <w:vAlign w:val="top"/>
          </w:tcPr>
          <w:p w14:paraId="7DC61F0B">
            <w:pPr>
              <w:spacing w:before="131"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66B3EA8">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4E518A4">
            <w:pPr>
              <w:pStyle w:val="22"/>
              <w:rPr>
                <w:rFonts w:hint="eastAsia" w:ascii="宋体" w:hAnsi="宋体" w:eastAsia="宋体" w:cs="宋体"/>
                <w:color w:val="auto"/>
                <w:highlight w:val="none"/>
              </w:rPr>
            </w:pPr>
          </w:p>
        </w:tc>
      </w:tr>
      <w:tr w14:paraId="5073E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F37052F">
            <w:pPr>
              <w:spacing w:before="131"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（四）高处作业吊篮。</w:t>
            </w:r>
          </w:p>
        </w:tc>
        <w:tc>
          <w:tcPr>
            <w:tcW w:w="1294" w:type="dxa"/>
            <w:vAlign w:val="top"/>
          </w:tcPr>
          <w:p w14:paraId="0472E74F">
            <w:pPr>
              <w:spacing w:before="131"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F185F49">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FD28F4F">
            <w:pPr>
              <w:pStyle w:val="22"/>
              <w:rPr>
                <w:rFonts w:hint="eastAsia" w:ascii="宋体" w:hAnsi="宋体" w:eastAsia="宋体" w:cs="宋体"/>
                <w:color w:val="auto"/>
                <w:highlight w:val="none"/>
              </w:rPr>
            </w:pPr>
          </w:p>
        </w:tc>
      </w:tr>
      <w:tr w14:paraId="63A26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894E30C">
            <w:pPr>
              <w:spacing w:before="132"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（五）卸料平台、操作平台工程。</w:t>
            </w:r>
          </w:p>
        </w:tc>
        <w:tc>
          <w:tcPr>
            <w:tcW w:w="1294" w:type="dxa"/>
            <w:vAlign w:val="top"/>
          </w:tcPr>
          <w:p w14:paraId="4DC0DE00">
            <w:pPr>
              <w:spacing w:before="132"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90FD99B">
            <w:pPr>
              <w:spacing w:before="132"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04FBD69">
            <w:pPr>
              <w:pStyle w:val="22"/>
              <w:rPr>
                <w:rFonts w:hint="eastAsia" w:ascii="宋体" w:hAnsi="宋体" w:eastAsia="宋体" w:cs="宋体"/>
                <w:color w:val="auto"/>
                <w:highlight w:val="none"/>
              </w:rPr>
            </w:pPr>
          </w:p>
        </w:tc>
      </w:tr>
      <w:tr w14:paraId="69E397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1E6C1D9">
            <w:pPr>
              <w:spacing w:before="133"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（六）异型脚手架工程。</w:t>
            </w:r>
          </w:p>
        </w:tc>
        <w:tc>
          <w:tcPr>
            <w:tcW w:w="1294" w:type="dxa"/>
            <w:vAlign w:val="top"/>
          </w:tcPr>
          <w:p w14:paraId="4614E528">
            <w:pPr>
              <w:spacing w:before="132"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66F8320">
            <w:pPr>
              <w:spacing w:before="132"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E7D0985">
            <w:pPr>
              <w:pStyle w:val="22"/>
              <w:rPr>
                <w:rFonts w:hint="eastAsia" w:ascii="宋体" w:hAnsi="宋体" w:eastAsia="宋体" w:cs="宋体"/>
                <w:color w:val="auto"/>
                <w:highlight w:val="none"/>
              </w:rPr>
            </w:pPr>
          </w:p>
        </w:tc>
      </w:tr>
      <w:tr w14:paraId="3B3BC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9C14E63">
            <w:pPr>
              <w:spacing w:before="131" w:line="220" w:lineRule="auto"/>
              <w:ind w:left="120"/>
              <w:rPr>
                <w:rFonts w:hint="eastAsia" w:ascii="宋体" w:hAnsi="宋体" w:eastAsia="宋体" w:cs="宋体"/>
                <w:color w:val="auto"/>
                <w:sz w:val="24"/>
                <w:szCs w:val="24"/>
                <w:highlight w:val="none"/>
              </w:rPr>
            </w:pPr>
            <w:bookmarkStart w:id="270" w:name="bookmark162"/>
            <w:bookmarkEnd w:id="270"/>
            <w:r>
              <w:rPr>
                <w:rFonts w:hint="eastAsia" w:ascii="宋体" w:hAnsi="宋体" w:eastAsia="宋体" w:cs="宋体"/>
                <w:color w:val="auto"/>
                <w:spacing w:val="-3"/>
                <w:sz w:val="24"/>
                <w:szCs w:val="24"/>
                <w:highlight w:val="none"/>
              </w:rPr>
              <w:t>五、拆除工程</w:t>
            </w:r>
          </w:p>
        </w:tc>
        <w:tc>
          <w:tcPr>
            <w:tcW w:w="1294" w:type="dxa"/>
            <w:vAlign w:val="top"/>
          </w:tcPr>
          <w:p w14:paraId="370AFC0D">
            <w:pPr>
              <w:spacing w:before="131" w:line="223" w:lineRule="auto"/>
              <w:ind w:left="48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CEC3F01">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977D444">
            <w:pPr>
              <w:pStyle w:val="22"/>
              <w:rPr>
                <w:rFonts w:hint="eastAsia" w:ascii="宋体" w:hAnsi="宋体" w:eastAsia="宋体" w:cs="宋体"/>
                <w:color w:val="auto"/>
                <w:highlight w:val="none"/>
              </w:rPr>
            </w:pPr>
          </w:p>
        </w:tc>
      </w:tr>
      <w:tr w14:paraId="1C9BD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D64ED7">
            <w:pPr>
              <w:spacing w:before="126" w:line="329" w:lineRule="auto"/>
              <w:ind w:left="117" w:right="1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可能影响行人、交通、电力设施、通讯设施或</w:t>
            </w:r>
            <w:r>
              <w:rPr>
                <w:rFonts w:hint="eastAsia" w:ascii="宋体" w:hAnsi="宋体" w:eastAsia="宋体" w:cs="宋体"/>
                <w:color w:val="auto"/>
                <w:spacing w:val="7"/>
                <w:sz w:val="24"/>
                <w:szCs w:val="24"/>
                <w:highlight w:val="none"/>
              </w:rPr>
              <w:t xml:space="preserve"> </w:t>
            </w:r>
            <w:r>
              <w:rPr>
                <w:rFonts w:hint="eastAsia" w:ascii="宋体" w:hAnsi="宋体" w:eastAsia="宋体" w:cs="宋体"/>
                <w:color w:val="auto"/>
                <w:spacing w:val="-1"/>
                <w:sz w:val="24"/>
                <w:szCs w:val="24"/>
                <w:highlight w:val="none"/>
              </w:rPr>
              <w:t>其它建、构筑物安全的拆除工程。</w:t>
            </w:r>
          </w:p>
        </w:tc>
        <w:tc>
          <w:tcPr>
            <w:tcW w:w="1294" w:type="dxa"/>
            <w:vAlign w:val="top"/>
          </w:tcPr>
          <w:p w14:paraId="57BD981D">
            <w:pPr>
              <w:pStyle w:val="22"/>
              <w:spacing w:line="294" w:lineRule="auto"/>
              <w:rPr>
                <w:rFonts w:hint="eastAsia" w:ascii="宋体" w:hAnsi="宋体" w:eastAsia="宋体" w:cs="宋体"/>
                <w:color w:val="auto"/>
                <w:highlight w:val="none"/>
              </w:rPr>
            </w:pPr>
          </w:p>
          <w:p w14:paraId="735310B3">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C5975CE">
            <w:pPr>
              <w:pStyle w:val="22"/>
              <w:spacing w:line="294" w:lineRule="auto"/>
              <w:rPr>
                <w:rFonts w:hint="eastAsia" w:ascii="宋体" w:hAnsi="宋体" w:eastAsia="宋体" w:cs="宋体"/>
                <w:color w:val="auto"/>
                <w:highlight w:val="none"/>
              </w:rPr>
            </w:pPr>
          </w:p>
          <w:p w14:paraId="44763066">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B806C2C">
            <w:pPr>
              <w:pStyle w:val="22"/>
              <w:rPr>
                <w:rFonts w:hint="eastAsia" w:ascii="宋体" w:hAnsi="宋体" w:eastAsia="宋体" w:cs="宋体"/>
                <w:color w:val="auto"/>
                <w:highlight w:val="none"/>
              </w:rPr>
            </w:pPr>
          </w:p>
        </w:tc>
      </w:tr>
      <w:tr w14:paraId="09842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E4AE637">
            <w:pPr>
              <w:spacing w:before="126" w:line="221" w:lineRule="auto"/>
              <w:ind w:left="35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六、暗挖工程</w:t>
            </w:r>
          </w:p>
        </w:tc>
        <w:tc>
          <w:tcPr>
            <w:tcW w:w="1294" w:type="dxa"/>
            <w:vAlign w:val="top"/>
          </w:tcPr>
          <w:p w14:paraId="33EBA902">
            <w:pPr>
              <w:spacing w:before="126"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39FC7E2">
            <w:pPr>
              <w:spacing w:before="126"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DD42FCB">
            <w:pPr>
              <w:pStyle w:val="22"/>
              <w:rPr>
                <w:rFonts w:hint="eastAsia" w:ascii="宋体" w:hAnsi="宋体" w:eastAsia="宋体" w:cs="宋体"/>
                <w:color w:val="auto"/>
                <w:highlight w:val="none"/>
              </w:rPr>
            </w:pPr>
          </w:p>
        </w:tc>
      </w:tr>
      <w:tr w14:paraId="0ACC2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B18A000">
            <w:pPr>
              <w:spacing w:before="128" w:line="328" w:lineRule="auto"/>
              <w:ind w:left="119" w:right="168" w:hanging="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采用矿山法、盾构法、顶管法施工的隧道、洞</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4"/>
                <w:sz w:val="24"/>
                <w:szCs w:val="24"/>
                <w:highlight w:val="none"/>
              </w:rPr>
              <w:t>室工程。</w:t>
            </w:r>
          </w:p>
        </w:tc>
        <w:tc>
          <w:tcPr>
            <w:tcW w:w="1294" w:type="dxa"/>
            <w:vAlign w:val="top"/>
          </w:tcPr>
          <w:p w14:paraId="15FA37B4">
            <w:pPr>
              <w:pStyle w:val="22"/>
              <w:spacing w:line="294" w:lineRule="auto"/>
              <w:rPr>
                <w:rFonts w:hint="eastAsia" w:ascii="宋体" w:hAnsi="宋体" w:eastAsia="宋体" w:cs="宋体"/>
                <w:color w:val="auto"/>
                <w:highlight w:val="none"/>
              </w:rPr>
            </w:pPr>
          </w:p>
          <w:p w14:paraId="26C53B8F">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370452D">
            <w:pPr>
              <w:pStyle w:val="22"/>
              <w:spacing w:line="294" w:lineRule="auto"/>
              <w:rPr>
                <w:rFonts w:hint="eastAsia" w:ascii="宋体" w:hAnsi="宋体" w:eastAsia="宋体" w:cs="宋体"/>
                <w:color w:val="auto"/>
                <w:highlight w:val="none"/>
              </w:rPr>
            </w:pPr>
          </w:p>
          <w:p w14:paraId="30CDA2B8">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63E332F">
            <w:pPr>
              <w:pStyle w:val="22"/>
              <w:rPr>
                <w:rFonts w:hint="eastAsia" w:ascii="宋体" w:hAnsi="宋体" w:eastAsia="宋体" w:cs="宋体"/>
                <w:color w:val="auto"/>
                <w:highlight w:val="none"/>
              </w:rPr>
            </w:pPr>
          </w:p>
        </w:tc>
      </w:tr>
      <w:tr w14:paraId="61C9A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BC516F4">
            <w:pPr>
              <w:spacing w:before="129" w:line="222" w:lineRule="auto"/>
              <w:ind w:left="11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七、其它</w:t>
            </w:r>
          </w:p>
        </w:tc>
        <w:tc>
          <w:tcPr>
            <w:tcW w:w="1294" w:type="dxa"/>
            <w:vAlign w:val="top"/>
          </w:tcPr>
          <w:p w14:paraId="3BCB3506">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4037480">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4F495E7">
            <w:pPr>
              <w:pStyle w:val="22"/>
              <w:rPr>
                <w:rFonts w:hint="eastAsia" w:ascii="宋体" w:hAnsi="宋体" w:eastAsia="宋体" w:cs="宋体"/>
                <w:color w:val="auto"/>
                <w:highlight w:val="none"/>
              </w:rPr>
            </w:pPr>
          </w:p>
        </w:tc>
      </w:tr>
      <w:tr w14:paraId="48B24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15044C8">
            <w:pPr>
              <w:spacing w:before="128"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（一）建筑幕墙安装工程。</w:t>
            </w:r>
          </w:p>
        </w:tc>
        <w:tc>
          <w:tcPr>
            <w:tcW w:w="1294" w:type="dxa"/>
            <w:vAlign w:val="top"/>
          </w:tcPr>
          <w:p w14:paraId="5456ED72">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1D53F55">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55087E4">
            <w:pPr>
              <w:pStyle w:val="22"/>
              <w:rPr>
                <w:rFonts w:hint="eastAsia" w:ascii="宋体" w:hAnsi="宋体" w:eastAsia="宋体" w:cs="宋体"/>
                <w:color w:val="auto"/>
                <w:highlight w:val="none"/>
              </w:rPr>
            </w:pPr>
          </w:p>
        </w:tc>
      </w:tr>
      <w:tr w14:paraId="37035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D49C824">
            <w:pPr>
              <w:spacing w:before="128" w:line="221"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（二）钢结构、网架和索膜结构安装工程。</w:t>
            </w:r>
          </w:p>
        </w:tc>
        <w:tc>
          <w:tcPr>
            <w:tcW w:w="1294" w:type="dxa"/>
            <w:vAlign w:val="top"/>
          </w:tcPr>
          <w:p w14:paraId="03BFA88A">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0401E6F">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FD5450D">
            <w:pPr>
              <w:pStyle w:val="22"/>
              <w:rPr>
                <w:rFonts w:hint="eastAsia" w:ascii="宋体" w:hAnsi="宋体" w:eastAsia="宋体" w:cs="宋体"/>
                <w:color w:val="auto"/>
                <w:highlight w:val="none"/>
              </w:rPr>
            </w:pPr>
          </w:p>
        </w:tc>
      </w:tr>
      <w:tr w14:paraId="09C4A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D6F426C">
            <w:pPr>
              <w:spacing w:before="128"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（三）人工挖孔桩工程。</w:t>
            </w:r>
          </w:p>
        </w:tc>
        <w:tc>
          <w:tcPr>
            <w:tcW w:w="1294" w:type="dxa"/>
            <w:vAlign w:val="top"/>
          </w:tcPr>
          <w:p w14:paraId="0C795AA3">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7374547">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7D8683F">
            <w:pPr>
              <w:pStyle w:val="22"/>
              <w:rPr>
                <w:rFonts w:hint="eastAsia" w:ascii="宋体" w:hAnsi="宋体" w:eastAsia="宋体" w:cs="宋体"/>
                <w:color w:val="auto"/>
                <w:highlight w:val="none"/>
              </w:rPr>
            </w:pPr>
          </w:p>
        </w:tc>
      </w:tr>
      <w:tr w14:paraId="531E6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6108D88">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（四）水下作业工程。</w:t>
            </w:r>
          </w:p>
        </w:tc>
        <w:tc>
          <w:tcPr>
            <w:tcW w:w="1294" w:type="dxa"/>
            <w:vAlign w:val="top"/>
          </w:tcPr>
          <w:p w14:paraId="76E752C0">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F2C1B42">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1DFF775">
            <w:pPr>
              <w:pStyle w:val="22"/>
              <w:rPr>
                <w:rFonts w:hint="eastAsia" w:ascii="宋体" w:hAnsi="宋体" w:eastAsia="宋体" w:cs="宋体"/>
                <w:color w:val="auto"/>
                <w:highlight w:val="none"/>
              </w:rPr>
            </w:pPr>
          </w:p>
        </w:tc>
      </w:tr>
      <w:tr w14:paraId="37982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D8D4702">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（五）装配式建筑混凝土预制构件安装工程。</w:t>
            </w:r>
          </w:p>
        </w:tc>
        <w:tc>
          <w:tcPr>
            <w:tcW w:w="1294" w:type="dxa"/>
            <w:vAlign w:val="top"/>
          </w:tcPr>
          <w:p w14:paraId="66B1E43A">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02AB2DB">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AB9B26C">
            <w:pPr>
              <w:pStyle w:val="22"/>
              <w:rPr>
                <w:rFonts w:hint="eastAsia" w:ascii="宋体" w:hAnsi="宋体" w:eastAsia="宋体" w:cs="宋体"/>
                <w:color w:val="auto"/>
                <w:highlight w:val="none"/>
              </w:rPr>
            </w:pPr>
          </w:p>
        </w:tc>
      </w:tr>
      <w:tr w14:paraId="7CCE3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EF241CE">
            <w:pPr>
              <w:spacing w:before="129" w:line="345" w:lineRule="auto"/>
              <w:ind w:left="117" w:right="168" w:firstLine="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（六）采用新技术、新工艺、新材料、新设备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可能影响工程施工安全，尚无国家、行业及地</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1"/>
                <w:sz w:val="24"/>
                <w:szCs w:val="24"/>
                <w:highlight w:val="none"/>
              </w:rPr>
              <w:t>方技术标准的分部分项工程。</w:t>
            </w:r>
          </w:p>
        </w:tc>
        <w:tc>
          <w:tcPr>
            <w:tcW w:w="1294" w:type="dxa"/>
            <w:vAlign w:val="top"/>
          </w:tcPr>
          <w:p w14:paraId="1EDBA557">
            <w:pPr>
              <w:pStyle w:val="22"/>
              <w:spacing w:line="270" w:lineRule="auto"/>
              <w:rPr>
                <w:rFonts w:hint="eastAsia" w:ascii="宋体" w:hAnsi="宋体" w:eastAsia="宋体" w:cs="宋体"/>
                <w:color w:val="auto"/>
                <w:highlight w:val="none"/>
              </w:rPr>
            </w:pPr>
          </w:p>
          <w:p w14:paraId="620AA6F2">
            <w:pPr>
              <w:pStyle w:val="22"/>
              <w:spacing w:line="271" w:lineRule="auto"/>
              <w:rPr>
                <w:rFonts w:hint="eastAsia" w:ascii="宋体" w:hAnsi="宋体" w:eastAsia="宋体" w:cs="宋体"/>
                <w:color w:val="auto"/>
                <w:highlight w:val="none"/>
              </w:rPr>
            </w:pPr>
          </w:p>
          <w:p w14:paraId="72E459A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843FDC5">
            <w:pPr>
              <w:pStyle w:val="22"/>
              <w:spacing w:line="270" w:lineRule="auto"/>
              <w:rPr>
                <w:rFonts w:hint="eastAsia" w:ascii="宋体" w:hAnsi="宋体" w:eastAsia="宋体" w:cs="宋体"/>
                <w:color w:val="auto"/>
                <w:highlight w:val="none"/>
              </w:rPr>
            </w:pPr>
          </w:p>
          <w:p w14:paraId="0A056814">
            <w:pPr>
              <w:pStyle w:val="22"/>
              <w:spacing w:line="271" w:lineRule="auto"/>
              <w:rPr>
                <w:rFonts w:hint="eastAsia" w:ascii="宋体" w:hAnsi="宋体" w:eastAsia="宋体" w:cs="宋体"/>
                <w:color w:val="auto"/>
                <w:highlight w:val="none"/>
              </w:rPr>
            </w:pPr>
          </w:p>
          <w:p w14:paraId="31A6F05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DF42D44">
            <w:pPr>
              <w:pStyle w:val="22"/>
              <w:rPr>
                <w:rFonts w:hint="eastAsia" w:ascii="宋体" w:hAnsi="宋体" w:eastAsia="宋体" w:cs="宋体"/>
                <w:color w:val="auto"/>
                <w:highlight w:val="none"/>
              </w:rPr>
            </w:pPr>
          </w:p>
        </w:tc>
      </w:tr>
      <w:tr w14:paraId="1419F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CAECC48">
            <w:pPr>
              <w:spacing w:before="129" w:line="328" w:lineRule="auto"/>
              <w:ind w:left="115" w:right="108" w:firstLine="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二、超过一定规模的危险性较大的分部分项工</w:t>
            </w:r>
            <w:r>
              <w:rPr>
                <w:rFonts w:hint="eastAsia" w:ascii="宋体" w:hAnsi="宋体" w:eastAsia="宋体" w:cs="宋体"/>
                <w:b/>
                <w:bCs/>
                <w:color w:val="auto"/>
                <w:spacing w:val="-5"/>
                <w:sz w:val="24"/>
                <w:szCs w:val="24"/>
                <w:highlight w:val="none"/>
              </w:rPr>
              <w:t>程清单</w:t>
            </w:r>
          </w:p>
        </w:tc>
        <w:tc>
          <w:tcPr>
            <w:tcW w:w="1294" w:type="dxa"/>
            <w:vAlign w:val="top"/>
          </w:tcPr>
          <w:p w14:paraId="7CB62F75">
            <w:pPr>
              <w:pStyle w:val="22"/>
              <w:spacing w:line="295" w:lineRule="auto"/>
              <w:rPr>
                <w:rFonts w:hint="eastAsia" w:ascii="宋体" w:hAnsi="宋体" w:eastAsia="宋体" w:cs="宋体"/>
                <w:color w:val="auto"/>
                <w:highlight w:val="none"/>
              </w:rPr>
            </w:pPr>
          </w:p>
          <w:p w14:paraId="7B5F226B">
            <w:pPr>
              <w:spacing w:before="78" w:line="221" w:lineRule="auto"/>
              <w:ind w:left="206"/>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建设单位</w:t>
            </w:r>
          </w:p>
        </w:tc>
        <w:tc>
          <w:tcPr>
            <w:tcW w:w="1294" w:type="dxa"/>
            <w:vAlign w:val="top"/>
          </w:tcPr>
          <w:p w14:paraId="277CD1AD">
            <w:pPr>
              <w:pStyle w:val="22"/>
              <w:spacing w:line="295" w:lineRule="auto"/>
              <w:rPr>
                <w:rFonts w:hint="eastAsia" w:ascii="宋体" w:hAnsi="宋体" w:eastAsia="宋体" w:cs="宋体"/>
                <w:color w:val="auto"/>
                <w:highlight w:val="none"/>
              </w:rPr>
            </w:pPr>
          </w:p>
          <w:p w14:paraId="76FEF012">
            <w:pPr>
              <w:spacing w:before="78" w:line="221" w:lineRule="auto"/>
              <w:ind w:left="119"/>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投标单位</w:t>
            </w:r>
          </w:p>
        </w:tc>
        <w:tc>
          <w:tcPr>
            <w:tcW w:w="2428" w:type="dxa"/>
            <w:vAlign w:val="top"/>
          </w:tcPr>
          <w:p w14:paraId="5AD2AC1E">
            <w:pPr>
              <w:pStyle w:val="22"/>
              <w:spacing w:line="295" w:lineRule="auto"/>
              <w:rPr>
                <w:rFonts w:hint="eastAsia" w:ascii="宋体" w:hAnsi="宋体" w:eastAsia="宋体" w:cs="宋体"/>
                <w:color w:val="auto"/>
                <w:highlight w:val="none"/>
              </w:rPr>
            </w:pPr>
          </w:p>
          <w:p w14:paraId="0FF8AFB5">
            <w:pPr>
              <w:spacing w:before="78" w:line="222" w:lineRule="auto"/>
              <w:ind w:left="30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备注</w:t>
            </w:r>
          </w:p>
        </w:tc>
      </w:tr>
      <w:tr w14:paraId="7EFC0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1E83FD6">
            <w:pPr>
              <w:spacing w:before="129" w:line="221"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一、深基坑工程</w:t>
            </w:r>
          </w:p>
        </w:tc>
        <w:tc>
          <w:tcPr>
            <w:tcW w:w="1294" w:type="dxa"/>
            <w:vAlign w:val="top"/>
          </w:tcPr>
          <w:p w14:paraId="78B2965C">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9C36E3E">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D7F359E">
            <w:pPr>
              <w:pStyle w:val="22"/>
              <w:rPr>
                <w:rFonts w:hint="eastAsia" w:ascii="宋体" w:hAnsi="宋体" w:eastAsia="宋体" w:cs="宋体"/>
                <w:color w:val="auto"/>
                <w:highlight w:val="none"/>
              </w:rPr>
            </w:pPr>
          </w:p>
        </w:tc>
      </w:tr>
      <w:tr w14:paraId="69E35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9BA4E77">
            <w:pPr>
              <w:spacing w:before="131" w:line="327" w:lineRule="auto"/>
              <w:ind w:left="117" w:right="10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开挖深度超过</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5"/>
                <w:sz w:val="24"/>
                <w:szCs w:val="24"/>
                <w:highlight w:val="none"/>
              </w:rPr>
              <w:t>5m（含</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5m）的基坑（槽）的土方</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开挖、支护、降水工程。</w:t>
            </w:r>
          </w:p>
        </w:tc>
        <w:tc>
          <w:tcPr>
            <w:tcW w:w="1294" w:type="dxa"/>
            <w:vAlign w:val="top"/>
          </w:tcPr>
          <w:p w14:paraId="5AC8B8F4">
            <w:pPr>
              <w:pStyle w:val="22"/>
              <w:spacing w:line="295" w:lineRule="auto"/>
              <w:rPr>
                <w:rFonts w:hint="eastAsia" w:ascii="宋体" w:hAnsi="宋体" w:eastAsia="宋体" w:cs="宋体"/>
                <w:color w:val="auto"/>
                <w:highlight w:val="none"/>
              </w:rPr>
            </w:pPr>
          </w:p>
          <w:p w14:paraId="77C4AE8F">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67D46A1">
            <w:pPr>
              <w:pStyle w:val="22"/>
              <w:spacing w:line="295" w:lineRule="auto"/>
              <w:rPr>
                <w:rFonts w:hint="eastAsia" w:ascii="宋体" w:hAnsi="宋体" w:eastAsia="宋体" w:cs="宋体"/>
                <w:color w:val="auto"/>
                <w:highlight w:val="none"/>
              </w:rPr>
            </w:pPr>
          </w:p>
          <w:p w14:paraId="2F9F75B7">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155A767">
            <w:pPr>
              <w:pStyle w:val="22"/>
              <w:rPr>
                <w:rFonts w:hint="eastAsia" w:ascii="宋体" w:hAnsi="宋体" w:eastAsia="宋体" w:cs="宋体"/>
                <w:color w:val="auto"/>
                <w:highlight w:val="none"/>
              </w:rPr>
            </w:pPr>
          </w:p>
        </w:tc>
      </w:tr>
      <w:tr w14:paraId="65749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E2AA843">
            <w:pPr>
              <w:spacing w:before="130" w:line="219"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二、模板工程及支撑体系</w:t>
            </w:r>
          </w:p>
        </w:tc>
        <w:tc>
          <w:tcPr>
            <w:tcW w:w="1294" w:type="dxa"/>
            <w:vAlign w:val="top"/>
          </w:tcPr>
          <w:p w14:paraId="5A01951F">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default" w:ascii="宋体" w:hAnsi="宋体" w:eastAsia="宋体" w:cs="宋体"/>
                <w:color w:val="auto"/>
                <w:spacing w:val="2"/>
                <w:sz w:val="24"/>
                <w:szCs w:val="24"/>
                <w:highlight w:val="none"/>
                <w:lang w:val="en-US"/>
              </w:rPr>
              <w:t xml:space="preserve">  </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6096C19">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3BC6F0B">
            <w:pPr>
              <w:pStyle w:val="22"/>
              <w:rPr>
                <w:rFonts w:hint="eastAsia" w:ascii="宋体" w:hAnsi="宋体" w:eastAsia="宋体" w:cs="宋体"/>
                <w:color w:val="auto"/>
                <w:highlight w:val="none"/>
              </w:rPr>
            </w:pPr>
          </w:p>
        </w:tc>
      </w:tr>
      <w:tr w14:paraId="126A1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6528991">
            <w:pPr>
              <w:spacing w:before="130" w:line="327" w:lineRule="auto"/>
              <w:ind w:left="123" w:right="25" w:firstLine="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（一）各类工具式模板工程：包括滑模、爬模、</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2"/>
                <w:sz w:val="24"/>
                <w:szCs w:val="24"/>
                <w:highlight w:val="none"/>
              </w:rPr>
              <w:t>飞模、隧道模等工程。</w:t>
            </w:r>
          </w:p>
        </w:tc>
        <w:tc>
          <w:tcPr>
            <w:tcW w:w="1294" w:type="dxa"/>
            <w:vAlign w:val="top"/>
          </w:tcPr>
          <w:p w14:paraId="28CBA5A9">
            <w:pPr>
              <w:pStyle w:val="22"/>
              <w:spacing w:line="294" w:lineRule="auto"/>
              <w:rPr>
                <w:rFonts w:hint="eastAsia" w:ascii="宋体" w:hAnsi="宋体" w:eastAsia="宋体" w:cs="宋体"/>
                <w:color w:val="auto"/>
                <w:highlight w:val="none"/>
              </w:rPr>
            </w:pPr>
          </w:p>
          <w:p w14:paraId="075DB3F4">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010DAA5">
            <w:pPr>
              <w:pStyle w:val="22"/>
              <w:spacing w:line="294" w:lineRule="auto"/>
              <w:rPr>
                <w:rFonts w:hint="eastAsia" w:ascii="宋体" w:hAnsi="宋体" w:eastAsia="宋体" w:cs="宋体"/>
                <w:color w:val="auto"/>
                <w:highlight w:val="none"/>
              </w:rPr>
            </w:pPr>
          </w:p>
          <w:p w14:paraId="34866CB9">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EAD65F3">
            <w:pPr>
              <w:pStyle w:val="22"/>
              <w:rPr>
                <w:rFonts w:hint="eastAsia" w:ascii="宋体" w:hAnsi="宋体" w:eastAsia="宋体" w:cs="宋体"/>
                <w:color w:val="auto"/>
                <w:highlight w:val="none"/>
              </w:rPr>
            </w:pPr>
          </w:p>
        </w:tc>
      </w:tr>
      <w:tr w14:paraId="7804A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878E78">
            <w:pPr>
              <w:spacing w:before="132" w:line="353" w:lineRule="auto"/>
              <w:ind w:left="116" w:right="6" w:firstLine="11"/>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（二）混凝土模板支撑工程：搭设高度8m</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pacing w:val="-2"/>
                <w:sz w:val="24"/>
                <w:szCs w:val="24"/>
                <w:highlight w:val="none"/>
              </w:rPr>
              <w:t>及以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1"/>
                <w:sz w:val="24"/>
                <w:szCs w:val="24"/>
                <w:highlight w:val="none"/>
              </w:rPr>
              <w:t>上，或搭设跨度</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11"/>
                <w:sz w:val="24"/>
                <w:szCs w:val="24"/>
                <w:highlight w:val="none"/>
              </w:rPr>
              <w:t>18m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1"/>
                <w:sz w:val="24"/>
                <w:szCs w:val="24"/>
                <w:highlight w:val="none"/>
              </w:rPr>
              <w:t>及以上，或施工总荷载（设</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1"/>
                <w:sz w:val="24"/>
                <w:szCs w:val="24"/>
                <w:highlight w:val="none"/>
              </w:rPr>
              <w:t>计值）15kN/m2</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1"/>
                <w:sz w:val="24"/>
                <w:szCs w:val="24"/>
                <w:highlight w:val="none"/>
              </w:rPr>
              <w:t>及以上，或集中线荷载（设</w:t>
            </w:r>
            <w:r>
              <w:rPr>
                <w:rFonts w:hint="eastAsia" w:ascii="宋体" w:hAnsi="宋体" w:eastAsia="宋体" w:cs="宋体"/>
                <w:color w:val="auto"/>
                <w:spacing w:val="-12"/>
                <w:sz w:val="24"/>
                <w:szCs w:val="24"/>
                <w:highlight w:val="none"/>
              </w:rPr>
              <w:t>计值）</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20kN/m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及以上。</w:t>
            </w:r>
          </w:p>
        </w:tc>
        <w:tc>
          <w:tcPr>
            <w:tcW w:w="1294" w:type="dxa"/>
            <w:vAlign w:val="top"/>
          </w:tcPr>
          <w:p w14:paraId="4E65AB8C">
            <w:pPr>
              <w:pStyle w:val="22"/>
              <w:spacing w:line="262" w:lineRule="auto"/>
              <w:rPr>
                <w:rFonts w:hint="eastAsia" w:ascii="宋体" w:hAnsi="宋体" w:eastAsia="宋体" w:cs="宋体"/>
                <w:color w:val="auto"/>
                <w:highlight w:val="none"/>
              </w:rPr>
            </w:pPr>
          </w:p>
          <w:p w14:paraId="09423EBB">
            <w:pPr>
              <w:pStyle w:val="22"/>
              <w:spacing w:line="263" w:lineRule="auto"/>
              <w:rPr>
                <w:rFonts w:hint="eastAsia" w:ascii="宋体" w:hAnsi="宋体" w:eastAsia="宋体" w:cs="宋体"/>
                <w:color w:val="auto"/>
                <w:highlight w:val="none"/>
              </w:rPr>
            </w:pPr>
          </w:p>
          <w:p w14:paraId="379F8F47">
            <w:pPr>
              <w:pStyle w:val="22"/>
              <w:spacing w:line="263" w:lineRule="auto"/>
              <w:rPr>
                <w:rFonts w:hint="eastAsia" w:ascii="宋体" w:hAnsi="宋体" w:eastAsia="宋体" w:cs="宋体"/>
                <w:color w:val="auto"/>
                <w:highlight w:val="none"/>
              </w:rPr>
            </w:pPr>
          </w:p>
          <w:p w14:paraId="6220F2E3">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782917A">
            <w:pPr>
              <w:pStyle w:val="22"/>
              <w:spacing w:line="262" w:lineRule="auto"/>
              <w:rPr>
                <w:rFonts w:hint="eastAsia" w:ascii="宋体" w:hAnsi="宋体" w:eastAsia="宋体" w:cs="宋体"/>
                <w:color w:val="auto"/>
                <w:highlight w:val="none"/>
              </w:rPr>
            </w:pPr>
          </w:p>
          <w:p w14:paraId="04BAD18F">
            <w:pPr>
              <w:pStyle w:val="22"/>
              <w:spacing w:line="263" w:lineRule="auto"/>
              <w:rPr>
                <w:rFonts w:hint="eastAsia" w:ascii="宋体" w:hAnsi="宋体" w:eastAsia="宋体" w:cs="宋体"/>
                <w:color w:val="auto"/>
                <w:highlight w:val="none"/>
              </w:rPr>
            </w:pPr>
          </w:p>
          <w:p w14:paraId="1983BF14">
            <w:pPr>
              <w:pStyle w:val="22"/>
              <w:spacing w:line="263" w:lineRule="auto"/>
              <w:rPr>
                <w:rFonts w:hint="eastAsia" w:ascii="宋体" w:hAnsi="宋体" w:eastAsia="宋体" w:cs="宋体"/>
                <w:color w:val="auto"/>
                <w:highlight w:val="none"/>
              </w:rPr>
            </w:pPr>
          </w:p>
          <w:p w14:paraId="5B2C7400">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B2140F8">
            <w:pPr>
              <w:pStyle w:val="22"/>
              <w:rPr>
                <w:rFonts w:hint="eastAsia" w:ascii="宋体" w:hAnsi="宋体" w:eastAsia="宋体" w:cs="宋体"/>
                <w:color w:val="auto"/>
                <w:highlight w:val="none"/>
              </w:rPr>
            </w:pPr>
          </w:p>
        </w:tc>
      </w:tr>
      <w:tr w14:paraId="27DAD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C86EC2A">
            <w:pPr>
              <w:spacing w:before="131"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（三）承重支撑体系：用于钢结构安装等满堂</w:t>
            </w:r>
          </w:p>
        </w:tc>
        <w:tc>
          <w:tcPr>
            <w:tcW w:w="1294" w:type="dxa"/>
            <w:vAlign w:val="top"/>
          </w:tcPr>
          <w:p w14:paraId="20E59D0E">
            <w:pPr>
              <w:spacing w:before="131"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107D1EA">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ECB8A05">
            <w:pPr>
              <w:pStyle w:val="22"/>
              <w:rPr>
                <w:rFonts w:hint="eastAsia" w:ascii="宋体" w:hAnsi="宋体" w:eastAsia="宋体" w:cs="宋体"/>
                <w:color w:val="auto"/>
                <w:highlight w:val="none"/>
              </w:rPr>
            </w:pPr>
          </w:p>
        </w:tc>
      </w:tr>
      <w:tr w14:paraId="4FC45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C255956">
            <w:pPr>
              <w:spacing w:before="131" w:line="220" w:lineRule="auto"/>
              <w:ind w:left="1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支撑体系，承受单点集中荷载</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2"/>
                <w:sz w:val="24"/>
                <w:szCs w:val="24"/>
                <w:highlight w:val="none"/>
              </w:rPr>
              <w:t>7kN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w:t>
            </w:r>
          </w:p>
        </w:tc>
        <w:tc>
          <w:tcPr>
            <w:tcW w:w="1294" w:type="dxa"/>
            <w:vAlign w:val="top"/>
          </w:tcPr>
          <w:p w14:paraId="27883AEC">
            <w:pPr>
              <w:pStyle w:val="22"/>
              <w:rPr>
                <w:rFonts w:hint="eastAsia" w:ascii="宋体" w:hAnsi="宋体" w:eastAsia="宋体" w:cs="宋体"/>
                <w:color w:val="auto"/>
                <w:highlight w:val="none"/>
              </w:rPr>
            </w:pPr>
          </w:p>
        </w:tc>
        <w:tc>
          <w:tcPr>
            <w:tcW w:w="1294" w:type="dxa"/>
            <w:vAlign w:val="top"/>
          </w:tcPr>
          <w:p w14:paraId="1581ABCB">
            <w:pPr>
              <w:pStyle w:val="22"/>
              <w:rPr>
                <w:rFonts w:hint="eastAsia" w:ascii="宋体" w:hAnsi="宋体" w:eastAsia="宋体" w:cs="宋体"/>
                <w:color w:val="auto"/>
                <w:highlight w:val="none"/>
              </w:rPr>
            </w:pPr>
          </w:p>
        </w:tc>
        <w:tc>
          <w:tcPr>
            <w:tcW w:w="2428" w:type="dxa"/>
            <w:vAlign w:val="top"/>
          </w:tcPr>
          <w:p w14:paraId="0818B6BE">
            <w:pPr>
              <w:pStyle w:val="22"/>
              <w:rPr>
                <w:rFonts w:hint="eastAsia" w:ascii="宋体" w:hAnsi="宋体" w:eastAsia="宋体" w:cs="宋体"/>
                <w:color w:val="auto"/>
                <w:highlight w:val="none"/>
              </w:rPr>
            </w:pPr>
          </w:p>
        </w:tc>
      </w:tr>
      <w:tr w14:paraId="7B0C0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4502E74">
            <w:pPr>
              <w:spacing w:before="128" w:line="219" w:lineRule="auto"/>
              <w:ind w:left="35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三、起重吊装及起重机械安装拆卸工程</w:t>
            </w:r>
          </w:p>
        </w:tc>
        <w:tc>
          <w:tcPr>
            <w:tcW w:w="1294" w:type="dxa"/>
            <w:vAlign w:val="top"/>
          </w:tcPr>
          <w:p w14:paraId="60812953">
            <w:pPr>
              <w:spacing w:before="127"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56FDA33">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E690892">
            <w:pPr>
              <w:pStyle w:val="22"/>
              <w:rPr>
                <w:rFonts w:hint="eastAsia" w:ascii="宋体" w:hAnsi="宋体" w:eastAsia="宋体" w:cs="宋体"/>
                <w:color w:val="auto"/>
                <w:highlight w:val="none"/>
              </w:rPr>
            </w:pPr>
          </w:p>
        </w:tc>
      </w:tr>
      <w:tr w14:paraId="350F1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7DD2B3E">
            <w:pPr>
              <w:spacing w:before="129" w:line="328" w:lineRule="auto"/>
              <w:ind w:left="144" w:right="168" w:hanging="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（一）采用非常规起重设备、方法，且单件起</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4"/>
                <w:sz w:val="24"/>
                <w:szCs w:val="24"/>
                <w:highlight w:val="none"/>
              </w:rPr>
              <w:t>吊重量在</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100kN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4"/>
                <w:sz w:val="24"/>
                <w:szCs w:val="24"/>
                <w:highlight w:val="none"/>
              </w:rPr>
              <w:t>及以上的起重吊装工程。</w:t>
            </w:r>
          </w:p>
        </w:tc>
        <w:tc>
          <w:tcPr>
            <w:tcW w:w="1294" w:type="dxa"/>
            <w:vAlign w:val="top"/>
          </w:tcPr>
          <w:p w14:paraId="07A2AB41">
            <w:pPr>
              <w:pStyle w:val="22"/>
              <w:spacing w:line="295" w:lineRule="auto"/>
              <w:rPr>
                <w:rFonts w:hint="eastAsia" w:ascii="宋体" w:hAnsi="宋体" w:eastAsia="宋体" w:cs="宋体"/>
                <w:color w:val="auto"/>
                <w:highlight w:val="none"/>
              </w:rPr>
            </w:pPr>
          </w:p>
          <w:p w14:paraId="138BFDCB">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B433F83">
            <w:pPr>
              <w:pStyle w:val="22"/>
              <w:spacing w:line="295" w:lineRule="auto"/>
              <w:rPr>
                <w:rFonts w:hint="eastAsia" w:ascii="宋体" w:hAnsi="宋体" w:eastAsia="宋体" w:cs="宋体"/>
                <w:color w:val="auto"/>
                <w:highlight w:val="none"/>
              </w:rPr>
            </w:pPr>
          </w:p>
          <w:p w14:paraId="04178C4D">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B70260B">
            <w:pPr>
              <w:pStyle w:val="22"/>
              <w:rPr>
                <w:rFonts w:hint="eastAsia" w:ascii="宋体" w:hAnsi="宋体" w:eastAsia="宋体" w:cs="宋体"/>
                <w:color w:val="auto"/>
                <w:highlight w:val="none"/>
              </w:rPr>
            </w:pPr>
          </w:p>
        </w:tc>
      </w:tr>
      <w:tr w14:paraId="7B3B9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6C5B3D3">
            <w:pPr>
              <w:spacing w:before="129" w:line="345" w:lineRule="auto"/>
              <w:ind w:left="115" w:right="105" w:firstLine="12"/>
              <w:jc w:val="both"/>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（二）起重量</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2"/>
                <w:sz w:val="24"/>
                <w:szCs w:val="24"/>
                <w:highlight w:val="none"/>
              </w:rPr>
              <w:t>300kN</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2"/>
                <w:sz w:val="24"/>
                <w:szCs w:val="24"/>
                <w:highlight w:val="none"/>
              </w:rPr>
              <w:t>及以上，或搭设总高度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2"/>
                <w:sz w:val="24"/>
                <w:szCs w:val="24"/>
                <w:highlight w:val="none"/>
              </w:rPr>
              <w:t>200m</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及以上，或搭设基础标高在</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200m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及以上的起重</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机械安装和拆卸工程。</w:t>
            </w:r>
          </w:p>
        </w:tc>
        <w:tc>
          <w:tcPr>
            <w:tcW w:w="1294" w:type="dxa"/>
            <w:vAlign w:val="top"/>
          </w:tcPr>
          <w:p w14:paraId="7B826EDF">
            <w:pPr>
              <w:pStyle w:val="22"/>
              <w:spacing w:line="270" w:lineRule="auto"/>
              <w:rPr>
                <w:rFonts w:hint="eastAsia" w:ascii="宋体" w:hAnsi="宋体" w:eastAsia="宋体" w:cs="宋体"/>
                <w:color w:val="auto"/>
                <w:highlight w:val="none"/>
              </w:rPr>
            </w:pPr>
          </w:p>
          <w:p w14:paraId="6B8E186C">
            <w:pPr>
              <w:pStyle w:val="22"/>
              <w:spacing w:line="270" w:lineRule="auto"/>
              <w:rPr>
                <w:rFonts w:hint="eastAsia" w:ascii="宋体" w:hAnsi="宋体" w:eastAsia="宋体" w:cs="宋体"/>
                <w:color w:val="auto"/>
                <w:highlight w:val="none"/>
              </w:rPr>
            </w:pPr>
          </w:p>
          <w:p w14:paraId="134C7120">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C7E3210">
            <w:pPr>
              <w:pStyle w:val="22"/>
              <w:spacing w:line="270" w:lineRule="auto"/>
              <w:rPr>
                <w:rFonts w:hint="eastAsia" w:ascii="宋体" w:hAnsi="宋体" w:eastAsia="宋体" w:cs="宋体"/>
                <w:color w:val="auto"/>
                <w:highlight w:val="none"/>
              </w:rPr>
            </w:pPr>
          </w:p>
          <w:p w14:paraId="7BC3D5B7">
            <w:pPr>
              <w:pStyle w:val="22"/>
              <w:spacing w:line="270" w:lineRule="auto"/>
              <w:rPr>
                <w:rFonts w:hint="eastAsia" w:ascii="宋体" w:hAnsi="宋体" w:eastAsia="宋体" w:cs="宋体"/>
                <w:color w:val="auto"/>
                <w:highlight w:val="none"/>
              </w:rPr>
            </w:pPr>
          </w:p>
          <w:p w14:paraId="5D477137">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F287A2C">
            <w:pPr>
              <w:pStyle w:val="22"/>
              <w:rPr>
                <w:rFonts w:hint="eastAsia" w:ascii="宋体" w:hAnsi="宋体" w:eastAsia="宋体" w:cs="宋体"/>
                <w:color w:val="auto"/>
                <w:highlight w:val="none"/>
              </w:rPr>
            </w:pPr>
          </w:p>
        </w:tc>
      </w:tr>
      <w:tr w14:paraId="68B0E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0044AA7">
            <w:pPr>
              <w:spacing w:before="128" w:line="219" w:lineRule="auto"/>
              <w:ind w:left="13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四、脚手架工程</w:t>
            </w:r>
          </w:p>
        </w:tc>
        <w:tc>
          <w:tcPr>
            <w:tcW w:w="1294" w:type="dxa"/>
            <w:vAlign w:val="top"/>
          </w:tcPr>
          <w:p w14:paraId="71D11EE1">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7EBCBB0">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6E75F26">
            <w:pPr>
              <w:pStyle w:val="22"/>
              <w:rPr>
                <w:rFonts w:hint="eastAsia" w:ascii="宋体" w:hAnsi="宋体" w:eastAsia="宋体" w:cs="宋体"/>
                <w:color w:val="auto"/>
                <w:highlight w:val="none"/>
              </w:rPr>
            </w:pPr>
          </w:p>
        </w:tc>
      </w:tr>
      <w:tr w14:paraId="0B1EF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7C4BD6D">
            <w:pPr>
              <w:spacing w:before="128" w:line="328"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（一）搭设高度</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50m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及以上的落地式钢管脚手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架工程。</w:t>
            </w:r>
          </w:p>
        </w:tc>
        <w:tc>
          <w:tcPr>
            <w:tcW w:w="1294" w:type="dxa"/>
            <w:vAlign w:val="top"/>
          </w:tcPr>
          <w:p w14:paraId="3BF357B8">
            <w:pPr>
              <w:pStyle w:val="22"/>
              <w:spacing w:line="296" w:lineRule="auto"/>
              <w:rPr>
                <w:rFonts w:hint="eastAsia" w:ascii="宋体" w:hAnsi="宋体" w:eastAsia="宋体" w:cs="宋体"/>
                <w:color w:val="auto"/>
                <w:highlight w:val="none"/>
              </w:rPr>
            </w:pPr>
          </w:p>
          <w:p w14:paraId="3FD5A828">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A4C193D">
            <w:pPr>
              <w:pStyle w:val="22"/>
              <w:spacing w:line="296" w:lineRule="auto"/>
              <w:rPr>
                <w:rFonts w:hint="eastAsia" w:ascii="宋体" w:hAnsi="宋体" w:eastAsia="宋体" w:cs="宋体"/>
                <w:color w:val="auto"/>
                <w:highlight w:val="none"/>
              </w:rPr>
            </w:pPr>
          </w:p>
          <w:p w14:paraId="1598F917">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3D0838E">
            <w:pPr>
              <w:pStyle w:val="22"/>
              <w:rPr>
                <w:rFonts w:hint="eastAsia" w:ascii="宋体" w:hAnsi="宋体" w:eastAsia="宋体" w:cs="宋体"/>
                <w:color w:val="auto"/>
                <w:highlight w:val="none"/>
              </w:rPr>
            </w:pPr>
          </w:p>
        </w:tc>
      </w:tr>
      <w:tr w14:paraId="13C830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A075D9C">
            <w:pPr>
              <w:spacing w:before="131" w:line="327" w:lineRule="auto"/>
              <w:ind w:left="116" w:right="105" w:firstLine="11"/>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（二）提升高度在</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6"/>
                <w:sz w:val="24"/>
                <w:szCs w:val="24"/>
                <w:highlight w:val="none"/>
                <w:lang w:eastAsia="zh-CN"/>
              </w:rPr>
              <w:t>450</w:t>
            </w:r>
            <w:r>
              <w:rPr>
                <w:rFonts w:hint="eastAsia" w:ascii="宋体" w:hAnsi="宋体" w:eastAsia="宋体" w:cs="宋体"/>
                <w:color w:val="auto"/>
                <w:spacing w:val="-6"/>
                <w:sz w:val="24"/>
                <w:szCs w:val="24"/>
                <w:highlight w:val="none"/>
              </w:rPr>
              <w:t>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6"/>
                <w:sz w:val="24"/>
                <w:szCs w:val="24"/>
                <w:highlight w:val="none"/>
              </w:rPr>
              <w:t>及以上的附着式升降脚</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手架工程或附着式升降操作平台工程。</w:t>
            </w:r>
          </w:p>
        </w:tc>
        <w:tc>
          <w:tcPr>
            <w:tcW w:w="1294" w:type="dxa"/>
            <w:vAlign w:val="top"/>
          </w:tcPr>
          <w:p w14:paraId="26F85400">
            <w:pPr>
              <w:pStyle w:val="22"/>
              <w:spacing w:line="296" w:lineRule="auto"/>
              <w:rPr>
                <w:rFonts w:hint="eastAsia" w:ascii="宋体" w:hAnsi="宋体" w:eastAsia="宋体" w:cs="宋体"/>
                <w:color w:val="auto"/>
                <w:highlight w:val="none"/>
              </w:rPr>
            </w:pPr>
          </w:p>
          <w:p w14:paraId="1BDFE9D0">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1018039">
            <w:pPr>
              <w:pStyle w:val="22"/>
              <w:spacing w:line="296" w:lineRule="auto"/>
              <w:rPr>
                <w:rFonts w:hint="eastAsia" w:ascii="宋体" w:hAnsi="宋体" w:eastAsia="宋体" w:cs="宋体"/>
                <w:color w:val="auto"/>
                <w:highlight w:val="none"/>
              </w:rPr>
            </w:pPr>
          </w:p>
          <w:p w14:paraId="5C37BB08">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A6A07FB">
            <w:pPr>
              <w:pStyle w:val="22"/>
              <w:rPr>
                <w:rFonts w:hint="eastAsia" w:ascii="宋体" w:hAnsi="宋体" w:eastAsia="宋体" w:cs="宋体"/>
                <w:color w:val="auto"/>
                <w:highlight w:val="none"/>
              </w:rPr>
            </w:pPr>
          </w:p>
        </w:tc>
      </w:tr>
      <w:tr w14:paraId="17693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A4312BF">
            <w:pPr>
              <w:spacing w:before="129" w:line="328"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（三）分段架体搭设高度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20m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及以上的悬挑式</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脚手架工程。</w:t>
            </w:r>
          </w:p>
        </w:tc>
        <w:tc>
          <w:tcPr>
            <w:tcW w:w="1294" w:type="dxa"/>
            <w:vAlign w:val="top"/>
          </w:tcPr>
          <w:p w14:paraId="2883E110">
            <w:pPr>
              <w:pStyle w:val="22"/>
              <w:spacing w:line="297" w:lineRule="auto"/>
              <w:rPr>
                <w:rFonts w:hint="eastAsia" w:ascii="宋体" w:hAnsi="宋体" w:eastAsia="宋体" w:cs="宋体"/>
                <w:color w:val="auto"/>
                <w:highlight w:val="none"/>
              </w:rPr>
            </w:pPr>
          </w:p>
          <w:p w14:paraId="16166682">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C0FA5EC">
            <w:pPr>
              <w:pStyle w:val="22"/>
              <w:spacing w:line="297" w:lineRule="auto"/>
              <w:rPr>
                <w:rFonts w:hint="eastAsia" w:ascii="宋体" w:hAnsi="宋体" w:eastAsia="宋体" w:cs="宋体"/>
                <w:color w:val="auto"/>
                <w:highlight w:val="none"/>
              </w:rPr>
            </w:pPr>
          </w:p>
          <w:p w14:paraId="19CB748C">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C1D0F5A">
            <w:pPr>
              <w:pStyle w:val="22"/>
              <w:rPr>
                <w:rFonts w:hint="eastAsia" w:ascii="宋体" w:hAnsi="宋体" w:eastAsia="宋体" w:cs="宋体"/>
                <w:color w:val="auto"/>
                <w:highlight w:val="none"/>
              </w:rPr>
            </w:pPr>
          </w:p>
        </w:tc>
      </w:tr>
      <w:tr w14:paraId="1EFA6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49C819D">
            <w:pPr>
              <w:spacing w:before="131" w:line="220"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五、拆除工程</w:t>
            </w:r>
          </w:p>
        </w:tc>
        <w:tc>
          <w:tcPr>
            <w:tcW w:w="1294" w:type="dxa"/>
            <w:vAlign w:val="top"/>
          </w:tcPr>
          <w:p w14:paraId="22B15F5D">
            <w:pPr>
              <w:spacing w:before="15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2366749">
            <w:pPr>
              <w:spacing w:before="15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3720432">
            <w:pPr>
              <w:pStyle w:val="22"/>
              <w:rPr>
                <w:rFonts w:hint="eastAsia" w:ascii="宋体" w:hAnsi="宋体" w:eastAsia="宋体" w:cs="宋体"/>
                <w:color w:val="auto"/>
                <w:highlight w:val="none"/>
              </w:rPr>
            </w:pPr>
          </w:p>
        </w:tc>
      </w:tr>
      <w:tr w14:paraId="5AFAEC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481DB99">
            <w:pPr>
              <w:spacing w:before="132" w:line="353"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（一）码头、桥梁、高架、烟囱、水塔或拆除</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中容易引起有毒有害气（液）体或粉尘扩散、</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易燃易爆事故发生的特殊建、构筑物的拆除工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5"/>
                <w:sz w:val="24"/>
                <w:szCs w:val="24"/>
                <w:highlight w:val="none"/>
              </w:rPr>
              <w:t>程。</w:t>
            </w:r>
          </w:p>
        </w:tc>
        <w:tc>
          <w:tcPr>
            <w:tcW w:w="1294" w:type="dxa"/>
            <w:vAlign w:val="top"/>
          </w:tcPr>
          <w:p w14:paraId="49DAB693">
            <w:pPr>
              <w:pStyle w:val="22"/>
              <w:spacing w:line="262" w:lineRule="auto"/>
              <w:rPr>
                <w:rFonts w:hint="eastAsia" w:ascii="宋体" w:hAnsi="宋体" w:eastAsia="宋体" w:cs="宋体"/>
                <w:color w:val="auto"/>
                <w:highlight w:val="none"/>
              </w:rPr>
            </w:pPr>
          </w:p>
          <w:p w14:paraId="528258BA">
            <w:pPr>
              <w:pStyle w:val="22"/>
              <w:spacing w:line="262" w:lineRule="auto"/>
              <w:rPr>
                <w:rFonts w:hint="eastAsia" w:ascii="宋体" w:hAnsi="宋体" w:eastAsia="宋体" w:cs="宋体"/>
                <w:color w:val="auto"/>
                <w:highlight w:val="none"/>
              </w:rPr>
            </w:pPr>
          </w:p>
          <w:p w14:paraId="4510409D">
            <w:pPr>
              <w:pStyle w:val="22"/>
              <w:spacing w:line="262" w:lineRule="auto"/>
              <w:rPr>
                <w:rFonts w:hint="eastAsia" w:ascii="宋体" w:hAnsi="宋体" w:eastAsia="宋体" w:cs="宋体"/>
                <w:color w:val="auto"/>
                <w:highlight w:val="none"/>
              </w:rPr>
            </w:pPr>
          </w:p>
          <w:p w14:paraId="7A124A8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F49D352">
            <w:pPr>
              <w:pStyle w:val="22"/>
              <w:spacing w:line="262" w:lineRule="auto"/>
              <w:rPr>
                <w:rFonts w:hint="eastAsia" w:ascii="宋体" w:hAnsi="宋体" w:eastAsia="宋体" w:cs="宋体"/>
                <w:color w:val="auto"/>
                <w:highlight w:val="none"/>
              </w:rPr>
            </w:pPr>
          </w:p>
          <w:p w14:paraId="09F48F3F">
            <w:pPr>
              <w:pStyle w:val="22"/>
              <w:spacing w:line="262" w:lineRule="auto"/>
              <w:rPr>
                <w:rFonts w:hint="eastAsia" w:ascii="宋体" w:hAnsi="宋体" w:eastAsia="宋体" w:cs="宋体"/>
                <w:color w:val="auto"/>
                <w:highlight w:val="none"/>
              </w:rPr>
            </w:pPr>
          </w:p>
          <w:p w14:paraId="7B923D2F">
            <w:pPr>
              <w:pStyle w:val="22"/>
              <w:spacing w:line="262" w:lineRule="auto"/>
              <w:rPr>
                <w:rFonts w:hint="eastAsia" w:ascii="宋体" w:hAnsi="宋体" w:eastAsia="宋体" w:cs="宋体"/>
                <w:color w:val="auto"/>
                <w:highlight w:val="none"/>
              </w:rPr>
            </w:pPr>
          </w:p>
          <w:p w14:paraId="24C107E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D47D0F2">
            <w:pPr>
              <w:pStyle w:val="22"/>
              <w:rPr>
                <w:rFonts w:hint="eastAsia" w:ascii="宋体" w:hAnsi="宋体" w:eastAsia="宋体" w:cs="宋体"/>
                <w:color w:val="auto"/>
                <w:highlight w:val="none"/>
              </w:rPr>
            </w:pPr>
          </w:p>
        </w:tc>
      </w:tr>
      <w:tr w14:paraId="5CCC5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BEB7604">
            <w:pPr>
              <w:spacing w:before="131"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（二）文物保护建筑、优秀历史建筑或历史文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化风貌区影响范围内的拆除工程。</w:t>
            </w:r>
          </w:p>
        </w:tc>
        <w:tc>
          <w:tcPr>
            <w:tcW w:w="1294" w:type="dxa"/>
            <w:vAlign w:val="top"/>
          </w:tcPr>
          <w:p w14:paraId="793DA19C">
            <w:pPr>
              <w:pStyle w:val="22"/>
              <w:spacing w:line="297" w:lineRule="auto"/>
              <w:rPr>
                <w:rFonts w:hint="eastAsia" w:ascii="宋体" w:hAnsi="宋体" w:eastAsia="宋体" w:cs="宋体"/>
                <w:color w:val="auto"/>
                <w:highlight w:val="none"/>
              </w:rPr>
            </w:pPr>
          </w:p>
          <w:p w14:paraId="5413041A">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2AA6A8A">
            <w:pPr>
              <w:pStyle w:val="22"/>
              <w:spacing w:line="297" w:lineRule="auto"/>
              <w:rPr>
                <w:rFonts w:hint="eastAsia" w:ascii="宋体" w:hAnsi="宋体" w:eastAsia="宋体" w:cs="宋体"/>
                <w:color w:val="auto"/>
                <w:highlight w:val="none"/>
              </w:rPr>
            </w:pPr>
          </w:p>
          <w:p w14:paraId="55ADCC46">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C351A58">
            <w:pPr>
              <w:pStyle w:val="22"/>
              <w:rPr>
                <w:rFonts w:hint="eastAsia" w:ascii="宋体" w:hAnsi="宋体" w:eastAsia="宋体" w:cs="宋体"/>
                <w:color w:val="auto"/>
                <w:highlight w:val="none"/>
              </w:rPr>
            </w:pPr>
          </w:p>
        </w:tc>
      </w:tr>
      <w:tr w14:paraId="18FDE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D86339C">
            <w:pPr>
              <w:spacing w:before="131" w:line="221" w:lineRule="auto"/>
              <w:ind w:left="11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六、暗挖工程</w:t>
            </w:r>
          </w:p>
        </w:tc>
        <w:tc>
          <w:tcPr>
            <w:tcW w:w="1294" w:type="dxa"/>
            <w:vAlign w:val="top"/>
          </w:tcPr>
          <w:p w14:paraId="6770F740">
            <w:pPr>
              <w:spacing w:before="14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0CC9725">
            <w:pPr>
              <w:spacing w:before="14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C0567EE">
            <w:pPr>
              <w:pStyle w:val="22"/>
              <w:rPr>
                <w:rFonts w:hint="eastAsia" w:ascii="宋体" w:hAnsi="宋体" w:eastAsia="宋体" w:cs="宋体"/>
                <w:color w:val="auto"/>
                <w:highlight w:val="none"/>
              </w:rPr>
            </w:pPr>
          </w:p>
        </w:tc>
      </w:tr>
      <w:tr w14:paraId="629B4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3A13207">
            <w:pPr>
              <w:spacing w:before="131" w:line="327" w:lineRule="auto"/>
              <w:ind w:left="119" w:right="168" w:hanging="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采用矿山法、盾构法、顶管法施工的隧道、洞</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4"/>
                <w:sz w:val="24"/>
                <w:szCs w:val="24"/>
                <w:highlight w:val="none"/>
              </w:rPr>
              <w:t>室工程。</w:t>
            </w:r>
          </w:p>
        </w:tc>
        <w:tc>
          <w:tcPr>
            <w:tcW w:w="1294" w:type="dxa"/>
            <w:vAlign w:val="top"/>
          </w:tcPr>
          <w:p w14:paraId="2707D7F1">
            <w:pPr>
              <w:pStyle w:val="22"/>
              <w:spacing w:line="298" w:lineRule="auto"/>
              <w:rPr>
                <w:rFonts w:hint="eastAsia" w:ascii="宋体" w:hAnsi="宋体" w:eastAsia="宋体" w:cs="宋体"/>
                <w:color w:val="auto"/>
                <w:highlight w:val="none"/>
              </w:rPr>
            </w:pPr>
          </w:p>
          <w:p w14:paraId="599AC243">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49CD043">
            <w:pPr>
              <w:pStyle w:val="22"/>
              <w:spacing w:line="298" w:lineRule="auto"/>
              <w:rPr>
                <w:rFonts w:hint="eastAsia" w:ascii="宋体" w:hAnsi="宋体" w:eastAsia="宋体" w:cs="宋体"/>
                <w:color w:val="auto"/>
                <w:highlight w:val="none"/>
              </w:rPr>
            </w:pPr>
          </w:p>
          <w:p w14:paraId="1044B038">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F6A6E23">
            <w:pPr>
              <w:pStyle w:val="22"/>
              <w:rPr>
                <w:rFonts w:hint="eastAsia" w:ascii="宋体" w:hAnsi="宋体" w:eastAsia="宋体" w:cs="宋体"/>
                <w:color w:val="auto"/>
                <w:highlight w:val="none"/>
              </w:rPr>
            </w:pPr>
          </w:p>
        </w:tc>
      </w:tr>
      <w:tr w14:paraId="11415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3FBC5A8">
            <w:pPr>
              <w:spacing w:before="130" w:line="222" w:lineRule="auto"/>
              <w:ind w:left="11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七、其它</w:t>
            </w:r>
          </w:p>
        </w:tc>
        <w:tc>
          <w:tcPr>
            <w:tcW w:w="1294" w:type="dxa"/>
            <w:vAlign w:val="top"/>
          </w:tcPr>
          <w:p w14:paraId="60D216D7">
            <w:pPr>
              <w:spacing w:before="13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E06FEFF">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FE8F470">
            <w:pPr>
              <w:pStyle w:val="22"/>
              <w:rPr>
                <w:rFonts w:hint="eastAsia" w:ascii="宋体" w:hAnsi="宋体" w:eastAsia="宋体" w:cs="宋体"/>
                <w:color w:val="auto"/>
                <w:highlight w:val="none"/>
              </w:rPr>
            </w:pPr>
          </w:p>
        </w:tc>
      </w:tr>
      <w:tr w14:paraId="15719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BBE2DE7">
            <w:pPr>
              <w:spacing w:before="130" w:line="327"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（一）施工高度</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50m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及以上的建筑幕墙安装工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5"/>
                <w:sz w:val="24"/>
                <w:szCs w:val="24"/>
                <w:highlight w:val="none"/>
              </w:rPr>
              <w:t>程。</w:t>
            </w:r>
          </w:p>
        </w:tc>
        <w:tc>
          <w:tcPr>
            <w:tcW w:w="1294" w:type="dxa"/>
            <w:vAlign w:val="top"/>
          </w:tcPr>
          <w:p w14:paraId="6EB0DA8B">
            <w:pPr>
              <w:pStyle w:val="22"/>
              <w:spacing w:line="297" w:lineRule="auto"/>
              <w:rPr>
                <w:rFonts w:hint="eastAsia" w:ascii="宋体" w:hAnsi="宋体" w:eastAsia="宋体" w:cs="宋体"/>
                <w:color w:val="auto"/>
                <w:highlight w:val="none"/>
              </w:rPr>
            </w:pPr>
          </w:p>
          <w:p w14:paraId="3CBD3A13">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54E6C1C">
            <w:pPr>
              <w:pStyle w:val="22"/>
              <w:spacing w:line="297" w:lineRule="auto"/>
              <w:rPr>
                <w:rFonts w:hint="eastAsia" w:ascii="宋体" w:hAnsi="宋体" w:eastAsia="宋体" w:cs="宋体"/>
                <w:color w:val="auto"/>
                <w:highlight w:val="none"/>
              </w:rPr>
            </w:pPr>
          </w:p>
          <w:p w14:paraId="3474BDA1">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FC56E97">
            <w:pPr>
              <w:pStyle w:val="22"/>
              <w:rPr>
                <w:rFonts w:hint="eastAsia" w:ascii="宋体" w:hAnsi="宋体" w:eastAsia="宋体" w:cs="宋体"/>
                <w:color w:val="auto"/>
                <w:highlight w:val="none"/>
              </w:rPr>
            </w:pPr>
          </w:p>
        </w:tc>
      </w:tr>
      <w:tr w14:paraId="2CFE2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FCB93F5">
            <w:pPr>
              <w:spacing w:before="130" w:line="221"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（二）跨度</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36m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及以上的钢结构安装工程，或</w:t>
            </w:r>
          </w:p>
        </w:tc>
        <w:tc>
          <w:tcPr>
            <w:tcW w:w="1294" w:type="dxa"/>
            <w:vAlign w:val="top"/>
          </w:tcPr>
          <w:p w14:paraId="4D64E647">
            <w:pPr>
              <w:spacing w:before="13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7083F5C">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73ACA33">
            <w:pPr>
              <w:pStyle w:val="22"/>
              <w:rPr>
                <w:rFonts w:hint="eastAsia" w:ascii="宋体" w:hAnsi="宋体" w:eastAsia="宋体" w:cs="宋体"/>
                <w:color w:val="auto"/>
                <w:highlight w:val="none"/>
              </w:rPr>
            </w:pPr>
          </w:p>
        </w:tc>
      </w:tr>
      <w:tr w14:paraId="4CD8F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C4F573D">
            <w:pPr>
              <w:spacing w:before="131" w:line="221" w:lineRule="auto"/>
              <w:ind w:left="116"/>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跨度</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60m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及以上的网架和索膜结构安装工程。</w:t>
            </w:r>
          </w:p>
        </w:tc>
        <w:tc>
          <w:tcPr>
            <w:tcW w:w="1294" w:type="dxa"/>
            <w:vAlign w:val="top"/>
          </w:tcPr>
          <w:p w14:paraId="38B1C6C9">
            <w:pPr>
              <w:pStyle w:val="22"/>
              <w:rPr>
                <w:rFonts w:hint="eastAsia" w:ascii="宋体" w:hAnsi="宋体" w:eastAsia="宋体" w:cs="宋体"/>
                <w:color w:val="auto"/>
                <w:highlight w:val="none"/>
              </w:rPr>
            </w:pPr>
          </w:p>
        </w:tc>
        <w:tc>
          <w:tcPr>
            <w:tcW w:w="1294" w:type="dxa"/>
            <w:vAlign w:val="top"/>
          </w:tcPr>
          <w:p w14:paraId="336412C5">
            <w:pPr>
              <w:pStyle w:val="22"/>
              <w:rPr>
                <w:rFonts w:hint="eastAsia" w:ascii="宋体" w:hAnsi="宋体" w:eastAsia="宋体" w:cs="宋体"/>
                <w:color w:val="auto"/>
                <w:highlight w:val="none"/>
              </w:rPr>
            </w:pPr>
          </w:p>
        </w:tc>
        <w:tc>
          <w:tcPr>
            <w:tcW w:w="2428" w:type="dxa"/>
            <w:vAlign w:val="top"/>
          </w:tcPr>
          <w:p w14:paraId="423F99A5">
            <w:pPr>
              <w:pStyle w:val="22"/>
              <w:rPr>
                <w:rFonts w:hint="eastAsia" w:ascii="宋体" w:hAnsi="宋体" w:eastAsia="宋体" w:cs="宋体"/>
                <w:color w:val="auto"/>
                <w:highlight w:val="none"/>
              </w:rPr>
            </w:pPr>
          </w:p>
        </w:tc>
      </w:tr>
      <w:tr w14:paraId="5147A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629CA57">
            <w:pPr>
              <w:spacing w:before="127" w:line="220"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（三）开挖深度</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7"/>
                <w:sz w:val="24"/>
                <w:szCs w:val="24"/>
                <w:highlight w:val="none"/>
              </w:rPr>
              <w:t>16m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7"/>
                <w:sz w:val="24"/>
                <w:szCs w:val="24"/>
                <w:highlight w:val="none"/>
              </w:rPr>
              <w:t>及以上的人工挖孔桩工程。</w:t>
            </w:r>
          </w:p>
        </w:tc>
        <w:tc>
          <w:tcPr>
            <w:tcW w:w="1294" w:type="dxa"/>
            <w:vAlign w:val="top"/>
          </w:tcPr>
          <w:p w14:paraId="06A07B9A">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8D7EB35">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70A9418">
            <w:pPr>
              <w:pStyle w:val="22"/>
              <w:rPr>
                <w:rFonts w:hint="eastAsia" w:ascii="宋体" w:hAnsi="宋体" w:eastAsia="宋体" w:cs="宋体"/>
                <w:color w:val="auto"/>
                <w:highlight w:val="none"/>
              </w:rPr>
            </w:pPr>
          </w:p>
        </w:tc>
      </w:tr>
      <w:tr w14:paraId="5AEFE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8D70E93">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（四）水下作业工程。</w:t>
            </w:r>
          </w:p>
        </w:tc>
        <w:tc>
          <w:tcPr>
            <w:tcW w:w="1294" w:type="dxa"/>
            <w:vAlign w:val="top"/>
          </w:tcPr>
          <w:p w14:paraId="78B3D65A">
            <w:pPr>
              <w:spacing w:before="163"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01B84A1">
            <w:pPr>
              <w:spacing w:before="163"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34A1CC1">
            <w:pPr>
              <w:pStyle w:val="22"/>
              <w:rPr>
                <w:rFonts w:hint="eastAsia" w:ascii="宋体" w:hAnsi="宋体" w:eastAsia="宋体" w:cs="宋体"/>
                <w:color w:val="auto"/>
                <w:highlight w:val="none"/>
              </w:rPr>
            </w:pPr>
          </w:p>
        </w:tc>
      </w:tr>
      <w:tr w14:paraId="7633C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C73A29B">
            <w:pPr>
              <w:spacing w:before="130" w:line="327" w:lineRule="auto"/>
              <w:ind w:left="115" w:right="25" w:firstLine="12"/>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（五）重量</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8"/>
                <w:sz w:val="24"/>
                <w:szCs w:val="24"/>
                <w:highlight w:val="none"/>
              </w:rPr>
              <w:t>1000kN及以上的大型结构整体顶升、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平移、转体等施工工艺。</w:t>
            </w:r>
          </w:p>
        </w:tc>
        <w:tc>
          <w:tcPr>
            <w:tcW w:w="1294" w:type="dxa"/>
            <w:vAlign w:val="top"/>
          </w:tcPr>
          <w:p w14:paraId="149277D5">
            <w:pPr>
              <w:pStyle w:val="22"/>
              <w:spacing w:line="296" w:lineRule="auto"/>
              <w:rPr>
                <w:rFonts w:hint="eastAsia" w:ascii="宋体" w:hAnsi="宋体" w:eastAsia="宋体" w:cs="宋体"/>
                <w:color w:val="auto"/>
                <w:highlight w:val="none"/>
              </w:rPr>
            </w:pPr>
          </w:p>
          <w:p w14:paraId="55B2C6F5">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202C3E4">
            <w:pPr>
              <w:pStyle w:val="22"/>
              <w:spacing w:line="296" w:lineRule="auto"/>
              <w:rPr>
                <w:rFonts w:hint="eastAsia" w:ascii="宋体" w:hAnsi="宋体" w:eastAsia="宋体" w:cs="宋体"/>
                <w:color w:val="auto"/>
                <w:highlight w:val="none"/>
              </w:rPr>
            </w:pPr>
          </w:p>
          <w:p w14:paraId="21112CB9">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B250482">
            <w:pPr>
              <w:pStyle w:val="22"/>
              <w:rPr>
                <w:rFonts w:hint="eastAsia" w:ascii="宋体" w:hAnsi="宋体" w:eastAsia="宋体" w:cs="宋体"/>
                <w:color w:val="auto"/>
                <w:highlight w:val="none"/>
              </w:rPr>
            </w:pPr>
          </w:p>
        </w:tc>
      </w:tr>
      <w:tr w14:paraId="24D7E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97D44CB">
            <w:pPr>
              <w:spacing w:before="129" w:line="346" w:lineRule="auto"/>
              <w:ind w:left="117" w:right="168" w:firstLine="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（六）采用新技术、新工艺、新材料、新设备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可能影响工程施工安全，尚无国家、行业及地</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1"/>
                <w:sz w:val="24"/>
                <w:szCs w:val="24"/>
                <w:highlight w:val="none"/>
              </w:rPr>
              <w:t>方技术标准的分部分项工程。</w:t>
            </w:r>
          </w:p>
        </w:tc>
        <w:tc>
          <w:tcPr>
            <w:tcW w:w="1294" w:type="dxa"/>
            <w:vAlign w:val="top"/>
          </w:tcPr>
          <w:p w14:paraId="7EC74BDA">
            <w:pPr>
              <w:pStyle w:val="22"/>
              <w:spacing w:line="272" w:lineRule="auto"/>
              <w:rPr>
                <w:rFonts w:hint="eastAsia" w:ascii="宋体" w:hAnsi="宋体" w:eastAsia="宋体" w:cs="宋体"/>
                <w:color w:val="auto"/>
                <w:highlight w:val="none"/>
              </w:rPr>
            </w:pPr>
          </w:p>
          <w:p w14:paraId="680D7DE0">
            <w:pPr>
              <w:pStyle w:val="22"/>
              <w:spacing w:line="272" w:lineRule="auto"/>
              <w:rPr>
                <w:rFonts w:hint="eastAsia" w:ascii="宋体" w:hAnsi="宋体" w:eastAsia="宋体" w:cs="宋体"/>
                <w:color w:val="auto"/>
                <w:highlight w:val="none"/>
              </w:rPr>
            </w:pPr>
          </w:p>
          <w:p w14:paraId="2F91CC4E">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752A08F">
            <w:pPr>
              <w:pStyle w:val="22"/>
              <w:spacing w:line="272" w:lineRule="auto"/>
              <w:rPr>
                <w:rFonts w:hint="eastAsia" w:ascii="宋体" w:hAnsi="宋体" w:eastAsia="宋体" w:cs="宋体"/>
                <w:color w:val="auto"/>
                <w:highlight w:val="none"/>
              </w:rPr>
            </w:pPr>
          </w:p>
          <w:p w14:paraId="0318BECB">
            <w:pPr>
              <w:pStyle w:val="22"/>
              <w:spacing w:line="272" w:lineRule="auto"/>
              <w:rPr>
                <w:rFonts w:hint="eastAsia" w:ascii="宋体" w:hAnsi="宋体" w:eastAsia="宋体" w:cs="宋体"/>
                <w:color w:val="auto"/>
                <w:highlight w:val="none"/>
              </w:rPr>
            </w:pPr>
          </w:p>
          <w:p w14:paraId="5AB69CB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BAD1F33">
            <w:pPr>
              <w:pStyle w:val="22"/>
              <w:rPr>
                <w:rFonts w:hint="eastAsia" w:ascii="宋体" w:hAnsi="宋体" w:eastAsia="宋体" w:cs="宋体"/>
                <w:color w:val="auto"/>
                <w:highlight w:val="none"/>
              </w:rPr>
            </w:pPr>
          </w:p>
        </w:tc>
      </w:tr>
    </w:tbl>
    <w:p w14:paraId="14AC8D92">
      <w:pPr>
        <w:pStyle w:val="5"/>
        <w:spacing w:line="288" w:lineRule="auto"/>
        <w:rPr>
          <w:rFonts w:hint="eastAsia" w:ascii="宋体" w:hAnsi="宋体" w:eastAsia="宋体" w:cs="宋体"/>
          <w:color w:val="auto"/>
          <w:highlight w:val="none"/>
        </w:rPr>
      </w:pPr>
    </w:p>
    <w:p w14:paraId="2BA3AE4F">
      <w:pPr>
        <w:pStyle w:val="5"/>
        <w:spacing w:line="288" w:lineRule="auto"/>
        <w:rPr>
          <w:rFonts w:hint="eastAsia" w:ascii="宋体" w:hAnsi="宋体" w:eastAsia="宋体" w:cs="宋体"/>
          <w:color w:val="auto"/>
          <w:highlight w:val="none"/>
        </w:rPr>
      </w:pPr>
    </w:p>
    <w:p w14:paraId="31DC5194">
      <w:pPr>
        <w:spacing w:before="21" w:line="376" w:lineRule="exact"/>
        <w:ind w:firstLine="520" w:firstLineChars="200"/>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10"/>
          <w:sz w:val="24"/>
          <w:szCs w:val="24"/>
          <w:highlight w:val="none"/>
        </w:rPr>
        <w:t>备注：1.根据《危险性较大的分部分项工程安全管理</w:t>
      </w:r>
      <w:r>
        <w:rPr>
          <w:rFonts w:hint="eastAsia" w:ascii="宋体" w:hAnsi="宋体" w:eastAsia="宋体" w:cs="宋体"/>
          <w:color w:val="auto"/>
          <w:spacing w:val="9"/>
          <w:sz w:val="24"/>
          <w:szCs w:val="24"/>
          <w:highlight w:val="none"/>
        </w:rPr>
        <w:t>规定》，该《危险性较大的分部分项工程清单及超</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9"/>
          <w:sz w:val="24"/>
          <w:szCs w:val="24"/>
          <w:highlight w:val="none"/>
        </w:rPr>
        <w:t>过一定规模的危险性较大的分部分项工程清单》</w:t>
      </w:r>
      <w:r>
        <w:rPr>
          <w:rFonts w:hint="eastAsia" w:ascii="宋体" w:hAnsi="宋体" w:eastAsia="宋体" w:cs="宋体"/>
          <w:color w:val="auto"/>
          <w:spacing w:val="9"/>
          <w:sz w:val="24"/>
          <w:szCs w:val="24"/>
          <w:highlight w:val="none"/>
          <w:lang w:eastAsia="zh-CN"/>
        </w:rPr>
        <w:t>应由建设单位组织勘察、设计等单位在招标文件中“勾选（对应项打“√”标识”危险性较大的分部分项工程。</w:t>
      </w:r>
    </w:p>
    <w:p w14:paraId="251777DB">
      <w:pPr>
        <w:spacing w:before="21" w:line="376" w:lineRule="exact"/>
        <w:ind w:firstLine="51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2.该《危险性较大的分部分项工程清单及超过一定规模的危险性较</w:t>
      </w:r>
      <w:r>
        <w:rPr>
          <w:rFonts w:hint="eastAsia" w:ascii="宋体" w:hAnsi="宋体" w:eastAsia="宋体" w:cs="宋体"/>
          <w:color w:val="auto"/>
          <w:spacing w:val="7"/>
          <w:sz w:val="24"/>
          <w:szCs w:val="24"/>
          <w:highlight w:val="none"/>
        </w:rPr>
        <w:t>大的分部分项工程清单》在办理</w:t>
      </w:r>
      <w:r>
        <w:rPr>
          <w:rFonts w:hint="eastAsia" w:ascii="宋体" w:hAnsi="宋体" w:eastAsia="宋体" w:cs="宋体"/>
          <w:color w:val="auto"/>
          <w:spacing w:val="10"/>
          <w:sz w:val="24"/>
          <w:szCs w:val="24"/>
          <w:highlight w:val="none"/>
        </w:rPr>
        <w:t>建设项目施工许可时必须提供，且各地建设行政主管部门可按照《广东省建设工</w:t>
      </w:r>
      <w:r>
        <w:rPr>
          <w:rFonts w:hint="eastAsia" w:ascii="宋体" w:hAnsi="宋体" w:eastAsia="宋体" w:cs="宋体"/>
          <w:color w:val="auto"/>
          <w:spacing w:val="9"/>
          <w:sz w:val="24"/>
          <w:szCs w:val="24"/>
          <w:highlight w:val="none"/>
        </w:rPr>
        <w:t>程项目招标中标后监督</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检查办法》相关规定开展检查。</w:t>
      </w:r>
    </w:p>
    <w:p w14:paraId="3B022E77">
      <w:pPr>
        <w:spacing w:before="28" w:line="228" w:lineRule="auto"/>
        <w:ind w:firstLine="516" w:firstLineChars="200"/>
        <w:rPr>
          <w:rFonts w:hint="eastAsia" w:ascii="宋体" w:hAnsi="宋体" w:eastAsia="宋体" w:cs="宋体"/>
          <w:color w:val="auto"/>
          <w:spacing w:val="8"/>
          <w:sz w:val="24"/>
          <w:szCs w:val="24"/>
          <w:highlight w:val="none"/>
          <w:lang w:eastAsia="zh-CN"/>
        </w:rPr>
      </w:pPr>
      <w:r>
        <w:rPr>
          <w:rFonts w:hint="eastAsia" w:ascii="宋体" w:hAnsi="宋体" w:eastAsia="宋体" w:cs="宋体"/>
          <w:color w:val="auto"/>
          <w:spacing w:val="9"/>
          <w:sz w:val="24"/>
          <w:szCs w:val="24"/>
          <w:highlight w:val="none"/>
        </w:rPr>
        <w:t>3.如果需要（如需要通过计算编制专项方案，或者需要专家论证</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9"/>
          <w:sz w:val="24"/>
          <w:szCs w:val="24"/>
          <w:highlight w:val="none"/>
        </w:rPr>
        <w:t>可中</w:t>
      </w:r>
      <w:r>
        <w:rPr>
          <w:rFonts w:hint="eastAsia" w:ascii="宋体" w:hAnsi="宋体" w:eastAsia="宋体" w:cs="宋体"/>
          <w:color w:val="auto"/>
          <w:spacing w:val="8"/>
          <w:sz w:val="24"/>
          <w:szCs w:val="24"/>
          <w:highlight w:val="none"/>
        </w:rPr>
        <w:t>标后提供</w:t>
      </w:r>
      <w:r>
        <w:rPr>
          <w:rFonts w:hint="eastAsia" w:ascii="宋体" w:hAnsi="宋体" w:eastAsia="宋体" w:cs="宋体"/>
          <w:color w:val="auto"/>
          <w:spacing w:val="8"/>
          <w:sz w:val="24"/>
          <w:szCs w:val="24"/>
          <w:highlight w:val="none"/>
          <w:lang w:eastAsia="zh-CN"/>
        </w:rPr>
        <w:t>详细版。</w:t>
      </w:r>
    </w:p>
    <w:p w14:paraId="42412E9A">
      <w:pPr>
        <w:rPr>
          <w:color w:val="auto"/>
          <w:highlight w:val="none"/>
        </w:rPr>
      </w:pPr>
    </w:p>
    <w:p w14:paraId="572D06C2">
      <w:pPr>
        <w:pStyle w:val="13"/>
        <w:rPr>
          <w:rFonts w:hint="eastAsia" w:ascii="宋体" w:hAnsi="宋体" w:eastAsia="宋体" w:cs="宋体"/>
          <w:b/>
          <w:bCs/>
          <w:color w:val="auto"/>
          <w:spacing w:val="-4"/>
          <w:sz w:val="24"/>
          <w:szCs w:val="24"/>
          <w:highlight w:val="none"/>
        </w:rPr>
      </w:pPr>
    </w:p>
    <w:p w14:paraId="476B74DE">
      <w:pPr>
        <w:pStyle w:val="13"/>
        <w:rPr>
          <w:rFonts w:hint="eastAsia" w:ascii="宋体" w:hAnsi="宋体" w:eastAsia="宋体" w:cs="宋体"/>
          <w:b/>
          <w:bCs/>
          <w:color w:val="auto"/>
          <w:spacing w:val="-4"/>
          <w:sz w:val="24"/>
          <w:szCs w:val="24"/>
          <w:highlight w:val="none"/>
        </w:rPr>
      </w:pPr>
    </w:p>
    <w:p w14:paraId="02EBD0BC">
      <w:pPr>
        <w:pStyle w:val="13"/>
        <w:rPr>
          <w:rFonts w:hint="eastAsia" w:ascii="宋体" w:hAnsi="宋体" w:eastAsia="宋体" w:cs="宋体"/>
          <w:b/>
          <w:bCs/>
          <w:color w:val="auto"/>
          <w:spacing w:val="-4"/>
          <w:sz w:val="24"/>
          <w:szCs w:val="24"/>
          <w:highlight w:val="none"/>
        </w:rPr>
      </w:pPr>
    </w:p>
    <w:p w14:paraId="1EF10CCC">
      <w:pPr>
        <w:pStyle w:val="13"/>
        <w:rPr>
          <w:rFonts w:hint="eastAsia" w:ascii="宋体" w:hAnsi="宋体" w:eastAsia="宋体" w:cs="宋体"/>
          <w:b/>
          <w:bCs/>
          <w:color w:val="auto"/>
          <w:spacing w:val="-4"/>
          <w:sz w:val="24"/>
          <w:szCs w:val="24"/>
          <w:highlight w:val="none"/>
        </w:rPr>
      </w:pPr>
    </w:p>
    <w:p w14:paraId="03F934CF">
      <w:pPr>
        <w:pStyle w:val="13"/>
        <w:rPr>
          <w:rFonts w:hint="eastAsia" w:ascii="宋体" w:hAnsi="宋体" w:eastAsia="宋体" w:cs="宋体"/>
          <w:b/>
          <w:bCs/>
          <w:color w:val="auto"/>
          <w:spacing w:val="-4"/>
          <w:sz w:val="24"/>
          <w:szCs w:val="24"/>
          <w:highlight w:val="none"/>
        </w:rPr>
      </w:pPr>
    </w:p>
    <w:p w14:paraId="314344D5">
      <w:pPr>
        <w:pStyle w:val="13"/>
        <w:ind w:left="0" w:leftChars="0" w:firstLine="0" w:firstLineChars="0"/>
        <w:rPr>
          <w:rFonts w:hint="eastAsia" w:ascii="宋体" w:hAnsi="宋体" w:eastAsia="宋体" w:cs="宋体"/>
          <w:b/>
          <w:bCs/>
          <w:color w:val="auto"/>
          <w:spacing w:val="-4"/>
          <w:sz w:val="24"/>
          <w:szCs w:val="24"/>
          <w:highlight w:val="none"/>
        </w:rPr>
      </w:pPr>
    </w:p>
    <w:p w14:paraId="6B0B0219">
      <w:pPr>
        <w:spacing w:before="78" w:line="220" w:lineRule="auto"/>
        <w:jc w:val="left"/>
        <w:outlineLvl w:val="9"/>
        <w:rPr>
          <w:rFonts w:hint="eastAsia" w:ascii="宋体" w:hAnsi="宋体" w:eastAsia="宋体" w:cs="宋体"/>
          <w:b/>
          <w:bCs/>
          <w:color w:val="auto"/>
          <w:spacing w:val="-4"/>
          <w:sz w:val="24"/>
          <w:szCs w:val="24"/>
          <w:highlight w:val="none"/>
        </w:rPr>
      </w:pPr>
    </w:p>
    <w:p w14:paraId="0BE792BA">
      <w:pPr>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br w:type="page"/>
      </w:r>
    </w:p>
    <w:p w14:paraId="455CA8ED">
      <w:pPr>
        <w:pStyle w:val="13"/>
        <w:ind w:left="0" w:leftChars="0" w:firstLine="0" w:firstLineChars="0"/>
        <w:rPr>
          <w:rFonts w:hint="eastAsia" w:ascii="宋体" w:hAnsi="宋体" w:eastAsia="宋体" w:cs="宋体"/>
          <w:color w:val="auto"/>
          <w:spacing w:val="8"/>
          <w:sz w:val="24"/>
          <w:szCs w:val="24"/>
          <w:highlight w:val="none"/>
          <w:lang w:eastAsia="zh-CN"/>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9C52691">
      <w:pPr>
        <w:spacing w:before="78" w:line="220" w:lineRule="auto"/>
        <w:outlineLvl w:val="2"/>
        <w:rPr>
          <w:rFonts w:hint="eastAsia" w:ascii="宋体" w:hAnsi="宋体" w:eastAsia="宋体" w:cs="宋体"/>
          <w:b/>
          <w:bCs/>
          <w:color w:val="auto"/>
          <w:spacing w:val="-4"/>
          <w:sz w:val="24"/>
          <w:szCs w:val="24"/>
          <w:highlight w:val="none"/>
        </w:rPr>
      </w:pPr>
      <w:bookmarkStart w:id="271" w:name="_Toc9960"/>
      <w:r>
        <w:rPr>
          <w:rFonts w:hint="eastAsia" w:ascii="宋体" w:hAnsi="宋体" w:eastAsia="宋体" w:cs="宋体"/>
          <w:b/>
          <w:bCs/>
          <w:color w:val="auto"/>
          <w:spacing w:val="-4"/>
          <w:sz w:val="24"/>
          <w:szCs w:val="24"/>
          <w:highlight w:val="none"/>
        </w:rPr>
        <w:t>格式十</w:t>
      </w:r>
      <w:r>
        <w:rPr>
          <w:rFonts w:hint="eastAsia" w:ascii="宋体" w:hAnsi="宋体" w:eastAsia="宋体" w:cs="宋体"/>
          <w:b/>
          <w:bCs/>
          <w:color w:val="auto"/>
          <w:spacing w:val="-4"/>
          <w:sz w:val="24"/>
          <w:szCs w:val="24"/>
          <w:highlight w:val="none"/>
          <w:lang w:val="en-US" w:eastAsia="zh-CN"/>
        </w:rPr>
        <w:t>四</w:t>
      </w:r>
      <w:r>
        <w:rPr>
          <w:rFonts w:hint="eastAsia" w:ascii="宋体" w:hAnsi="宋体" w:eastAsia="宋体" w:cs="宋体"/>
          <w:b/>
          <w:bCs/>
          <w:color w:val="auto"/>
          <w:spacing w:val="-4"/>
          <w:sz w:val="24"/>
          <w:szCs w:val="24"/>
          <w:highlight w:val="none"/>
        </w:rPr>
        <w:t xml:space="preserve">  原件一览表</w:t>
      </w:r>
      <w:bookmarkEnd w:id="271"/>
    </w:p>
    <w:tbl>
      <w:tblPr>
        <w:tblStyle w:val="14"/>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74CBFE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27334C93">
            <w:pPr>
              <w:spacing w:before="132" w:line="220" w:lineRule="auto"/>
              <w:ind w:left="3965"/>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原件一览表</w:t>
            </w:r>
          </w:p>
        </w:tc>
      </w:tr>
      <w:tr w14:paraId="0CC429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top"/>
          </w:tcPr>
          <w:p w14:paraId="4234820F">
            <w:pPr>
              <w:pStyle w:val="22"/>
              <w:spacing w:line="253" w:lineRule="auto"/>
              <w:rPr>
                <w:rFonts w:hint="eastAsia" w:ascii="宋体" w:hAnsi="宋体" w:eastAsia="宋体" w:cs="宋体"/>
                <w:color w:val="auto"/>
                <w:sz w:val="24"/>
                <w:szCs w:val="24"/>
                <w:highlight w:val="none"/>
              </w:rPr>
            </w:pPr>
          </w:p>
          <w:p w14:paraId="492B1310">
            <w:pPr>
              <w:spacing w:before="62" w:line="230"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工程名称</w:t>
            </w:r>
          </w:p>
        </w:tc>
        <w:tc>
          <w:tcPr>
            <w:tcW w:w="6816" w:type="dxa"/>
            <w:gridSpan w:val="6"/>
            <w:vAlign w:val="top"/>
          </w:tcPr>
          <w:p w14:paraId="22344F46">
            <w:pPr>
              <w:pStyle w:val="22"/>
              <w:rPr>
                <w:rFonts w:hint="eastAsia" w:ascii="宋体" w:hAnsi="宋体" w:eastAsia="宋体" w:cs="宋体"/>
                <w:color w:val="auto"/>
                <w:sz w:val="24"/>
                <w:szCs w:val="24"/>
                <w:highlight w:val="none"/>
              </w:rPr>
            </w:pPr>
          </w:p>
        </w:tc>
      </w:tr>
      <w:tr w14:paraId="53B95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6A8633FA">
            <w:pPr>
              <w:spacing w:before="150" w:line="230"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r>
              <w:rPr>
                <w:rFonts w:hint="eastAsia" w:ascii="宋体" w:hAnsi="宋体" w:eastAsia="宋体" w:cs="宋体"/>
                <w:color w:val="auto"/>
                <w:spacing w:val="5"/>
                <w:sz w:val="24"/>
                <w:szCs w:val="24"/>
                <w:highlight w:val="none"/>
              </w:rPr>
              <w:t>(请务必填写单位全称)</w:t>
            </w:r>
          </w:p>
        </w:tc>
        <w:tc>
          <w:tcPr>
            <w:tcW w:w="6816" w:type="dxa"/>
            <w:gridSpan w:val="6"/>
            <w:vAlign w:val="top"/>
          </w:tcPr>
          <w:p w14:paraId="455D3150">
            <w:pPr>
              <w:pStyle w:val="22"/>
              <w:rPr>
                <w:rFonts w:hint="eastAsia" w:ascii="宋体" w:hAnsi="宋体" w:eastAsia="宋体" w:cs="宋体"/>
                <w:color w:val="auto"/>
                <w:sz w:val="24"/>
                <w:szCs w:val="24"/>
                <w:highlight w:val="none"/>
              </w:rPr>
            </w:pPr>
          </w:p>
        </w:tc>
      </w:tr>
      <w:tr w14:paraId="7A10F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40C272F9">
            <w:pPr>
              <w:spacing w:before="151"/>
              <w:ind w:right="149"/>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投标人法定代表人或其委托代理人签名</w:t>
            </w:r>
          </w:p>
        </w:tc>
        <w:tc>
          <w:tcPr>
            <w:tcW w:w="2689" w:type="dxa"/>
            <w:gridSpan w:val="2"/>
            <w:vAlign w:val="top"/>
          </w:tcPr>
          <w:p w14:paraId="12E8AC41">
            <w:pPr>
              <w:pStyle w:val="22"/>
              <w:rPr>
                <w:rFonts w:hint="eastAsia" w:ascii="宋体" w:hAnsi="宋体" w:eastAsia="宋体" w:cs="宋体"/>
                <w:color w:val="auto"/>
                <w:sz w:val="24"/>
                <w:szCs w:val="24"/>
                <w:highlight w:val="none"/>
              </w:rPr>
            </w:pPr>
          </w:p>
        </w:tc>
        <w:tc>
          <w:tcPr>
            <w:tcW w:w="1499" w:type="dxa"/>
            <w:gridSpan w:val="2"/>
            <w:vAlign w:val="top"/>
          </w:tcPr>
          <w:p w14:paraId="2F5619D0">
            <w:pPr>
              <w:spacing w:before="151" w:line="312" w:lineRule="auto"/>
              <w:ind w:right="17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手机</w:t>
            </w:r>
            <w:r>
              <w:rPr>
                <w:rFonts w:hint="eastAsia" w:ascii="宋体" w:hAnsi="宋体" w:eastAsia="宋体" w:cs="宋体"/>
                <w:color w:val="auto"/>
                <w:spacing w:val="2"/>
                <w:sz w:val="24"/>
                <w:szCs w:val="24"/>
                <w:highlight w:val="none"/>
              </w:rPr>
              <w:t>号码</w:t>
            </w:r>
          </w:p>
        </w:tc>
        <w:tc>
          <w:tcPr>
            <w:tcW w:w="2628" w:type="dxa"/>
            <w:gridSpan w:val="2"/>
            <w:vAlign w:val="top"/>
          </w:tcPr>
          <w:p w14:paraId="497FD23A">
            <w:pPr>
              <w:pStyle w:val="22"/>
              <w:rPr>
                <w:rFonts w:hint="eastAsia" w:ascii="宋体" w:hAnsi="宋体" w:eastAsia="宋体" w:cs="宋体"/>
                <w:color w:val="auto"/>
                <w:sz w:val="24"/>
                <w:szCs w:val="24"/>
                <w:highlight w:val="none"/>
              </w:rPr>
            </w:pPr>
          </w:p>
        </w:tc>
      </w:tr>
      <w:tr w14:paraId="3FDD8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62EDEE1D">
            <w:pPr>
              <w:spacing w:before="62" w:line="228" w:lineRule="auto"/>
              <w:ind w:left="336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递交的证明材料原件如下：</w:t>
            </w:r>
          </w:p>
        </w:tc>
      </w:tr>
      <w:tr w14:paraId="7E132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03F1D9B1">
            <w:pPr>
              <w:pStyle w:val="22"/>
              <w:spacing w:line="257" w:lineRule="auto"/>
              <w:rPr>
                <w:rFonts w:hint="eastAsia" w:ascii="宋体" w:hAnsi="宋体" w:eastAsia="宋体" w:cs="宋体"/>
                <w:color w:val="auto"/>
                <w:sz w:val="24"/>
                <w:szCs w:val="24"/>
                <w:highlight w:val="none"/>
              </w:rPr>
            </w:pPr>
          </w:p>
          <w:p w14:paraId="3B7B6E3D">
            <w:pPr>
              <w:spacing w:before="62" w:line="230" w:lineRule="auto"/>
              <w:ind w:left="15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5304" w:type="dxa"/>
            <w:gridSpan w:val="4"/>
            <w:vAlign w:val="top"/>
          </w:tcPr>
          <w:p w14:paraId="372259DE">
            <w:pPr>
              <w:pStyle w:val="22"/>
              <w:spacing w:line="257" w:lineRule="auto"/>
              <w:rPr>
                <w:rFonts w:hint="eastAsia" w:ascii="宋体" w:hAnsi="宋体" w:eastAsia="宋体" w:cs="宋体"/>
                <w:color w:val="auto"/>
                <w:sz w:val="24"/>
                <w:szCs w:val="24"/>
                <w:highlight w:val="none"/>
              </w:rPr>
            </w:pPr>
          </w:p>
          <w:p w14:paraId="767A0073">
            <w:pPr>
              <w:spacing w:before="61" w:line="228" w:lineRule="auto"/>
              <w:ind w:left="1765"/>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证明材料原件名称</w:t>
            </w:r>
          </w:p>
        </w:tc>
        <w:tc>
          <w:tcPr>
            <w:tcW w:w="1771" w:type="dxa"/>
            <w:gridSpan w:val="2"/>
            <w:vAlign w:val="top"/>
          </w:tcPr>
          <w:p w14:paraId="55D5A7CE">
            <w:pPr>
              <w:pStyle w:val="22"/>
              <w:spacing w:line="256" w:lineRule="auto"/>
              <w:rPr>
                <w:rFonts w:hint="eastAsia" w:ascii="宋体" w:hAnsi="宋体" w:eastAsia="宋体" w:cs="宋体"/>
                <w:color w:val="auto"/>
                <w:sz w:val="24"/>
                <w:szCs w:val="24"/>
                <w:highlight w:val="none"/>
              </w:rPr>
            </w:pPr>
          </w:p>
          <w:p w14:paraId="731B12E3">
            <w:pPr>
              <w:spacing w:before="62" w:line="230" w:lineRule="auto"/>
              <w:ind w:left="664"/>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单位</w:t>
            </w:r>
          </w:p>
        </w:tc>
        <w:tc>
          <w:tcPr>
            <w:tcW w:w="1637" w:type="dxa"/>
            <w:vAlign w:val="top"/>
          </w:tcPr>
          <w:p w14:paraId="1F60CA40">
            <w:pPr>
              <w:pStyle w:val="22"/>
              <w:spacing w:line="256" w:lineRule="auto"/>
              <w:rPr>
                <w:rFonts w:hint="eastAsia" w:ascii="宋体" w:hAnsi="宋体" w:eastAsia="宋体" w:cs="宋体"/>
                <w:color w:val="auto"/>
                <w:sz w:val="24"/>
                <w:szCs w:val="24"/>
                <w:highlight w:val="none"/>
              </w:rPr>
            </w:pPr>
          </w:p>
          <w:p w14:paraId="6D507542">
            <w:pPr>
              <w:spacing w:before="62" w:line="229" w:lineRule="auto"/>
              <w:ind w:left="59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数量</w:t>
            </w:r>
          </w:p>
        </w:tc>
      </w:tr>
      <w:tr w14:paraId="5990B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22779D01">
            <w:pPr>
              <w:spacing w:before="287" w:line="184" w:lineRule="auto"/>
              <w:ind w:left="31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304" w:type="dxa"/>
            <w:gridSpan w:val="4"/>
            <w:vAlign w:val="top"/>
          </w:tcPr>
          <w:p w14:paraId="18F95A63">
            <w:pPr>
              <w:pStyle w:val="22"/>
              <w:rPr>
                <w:rFonts w:hint="eastAsia" w:ascii="宋体" w:hAnsi="宋体" w:eastAsia="宋体" w:cs="宋体"/>
                <w:color w:val="auto"/>
                <w:sz w:val="24"/>
                <w:szCs w:val="24"/>
                <w:highlight w:val="none"/>
              </w:rPr>
            </w:pPr>
          </w:p>
        </w:tc>
        <w:tc>
          <w:tcPr>
            <w:tcW w:w="1771" w:type="dxa"/>
            <w:gridSpan w:val="2"/>
            <w:vAlign w:val="top"/>
          </w:tcPr>
          <w:p w14:paraId="5A2381CA">
            <w:pPr>
              <w:pStyle w:val="22"/>
              <w:rPr>
                <w:rFonts w:hint="eastAsia" w:ascii="宋体" w:hAnsi="宋体" w:eastAsia="宋体" w:cs="宋体"/>
                <w:color w:val="auto"/>
                <w:sz w:val="24"/>
                <w:szCs w:val="24"/>
                <w:highlight w:val="none"/>
              </w:rPr>
            </w:pPr>
          </w:p>
        </w:tc>
        <w:tc>
          <w:tcPr>
            <w:tcW w:w="1637" w:type="dxa"/>
            <w:vAlign w:val="top"/>
          </w:tcPr>
          <w:p w14:paraId="0BA2CBC8">
            <w:pPr>
              <w:pStyle w:val="22"/>
              <w:rPr>
                <w:rFonts w:hint="eastAsia" w:ascii="宋体" w:hAnsi="宋体" w:eastAsia="宋体" w:cs="宋体"/>
                <w:color w:val="auto"/>
                <w:sz w:val="24"/>
                <w:szCs w:val="24"/>
                <w:highlight w:val="none"/>
              </w:rPr>
            </w:pPr>
          </w:p>
        </w:tc>
      </w:tr>
      <w:tr w14:paraId="779E3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15C7C2F2">
            <w:pPr>
              <w:spacing w:before="288" w:line="183" w:lineRule="auto"/>
              <w:ind w:left="3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304" w:type="dxa"/>
            <w:gridSpan w:val="4"/>
            <w:vAlign w:val="top"/>
          </w:tcPr>
          <w:p w14:paraId="7643E476">
            <w:pPr>
              <w:pStyle w:val="22"/>
              <w:rPr>
                <w:rFonts w:hint="eastAsia" w:ascii="宋体" w:hAnsi="宋体" w:eastAsia="宋体" w:cs="宋体"/>
                <w:color w:val="auto"/>
                <w:sz w:val="24"/>
                <w:szCs w:val="24"/>
                <w:highlight w:val="none"/>
              </w:rPr>
            </w:pPr>
          </w:p>
        </w:tc>
        <w:tc>
          <w:tcPr>
            <w:tcW w:w="1771" w:type="dxa"/>
            <w:gridSpan w:val="2"/>
            <w:vAlign w:val="top"/>
          </w:tcPr>
          <w:p w14:paraId="635C4823">
            <w:pPr>
              <w:pStyle w:val="22"/>
              <w:rPr>
                <w:rFonts w:hint="eastAsia" w:ascii="宋体" w:hAnsi="宋体" w:eastAsia="宋体" w:cs="宋体"/>
                <w:color w:val="auto"/>
                <w:sz w:val="24"/>
                <w:szCs w:val="24"/>
                <w:highlight w:val="none"/>
              </w:rPr>
            </w:pPr>
          </w:p>
        </w:tc>
        <w:tc>
          <w:tcPr>
            <w:tcW w:w="1637" w:type="dxa"/>
            <w:vAlign w:val="top"/>
          </w:tcPr>
          <w:p w14:paraId="2A4B0624">
            <w:pPr>
              <w:pStyle w:val="22"/>
              <w:rPr>
                <w:rFonts w:hint="eastAsia" w:ascii="宋体" w:hAnsi="宋体" w:eastAsia="宋体" w:cs="宋体"/>
                <w:color w:val="auto"/>
                <w:sz w:val="24"/>
                <w:szCs w:val="24"/>
                <w:highlight w:val="none"/>
              </w:rPr>
            </w:pPr>
          </w:p>
        </w:tc>
      </w:tr>
      <w:tr w14:paraId="6B188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702069FB">
            <w:pPr>
              <w:spacing w:before="287" w:line="183" w:lineRule="auto"/>
              <w:ind w:left="30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5304" w:type="dxa"/>
            <w:gridSpan w:val="4"/>
            <w:vAlign w:val="top"/>
          </w:tcPr>
          <w:p w14:paraId="27E9E78A">
            <w:pPr>
              <w:pStyle w:val="22"/>
              <w:rPr>
                <w:rFonts w:hint="eastAsia" w:ascii="宋体" w:hAnsi="宋体" w:eastAsia="宋体" w:cs="宋体"/>
                <w:color w:val="auto"/>
                <w:sz w:val="24"/>
                <w:szCs w:val="24"/>
                <w:highlight w:val="none"/>
              </w:rPr>
            </w:pPr>
          </w:p>
        </w:tc>
        <w:tc>
          <w:tcPr>
            <w:tcW w:w="1771" w:type="dxa"/>
            <w:gridSpan w:val="2"/>
            <w:vAlign w:val="top"/>
          </w:tcPr>
          <w:p w14:paraId="084F1E7D">
            <w:pPr>
              <w:pStyle w:val="22"/>
              <w:rPr>
                <w:rFonts w:hint="eastAsia" w:ascii="宋体" w:hAnsi="宋体" w:eastAsia="宋体" w:cs="宋体"/>
                <w:color w:val="auto"/>
                <w:sz w:val="24"/>
                <w:szCs w:val="24"/>
                <w:highlight w:val="none"/>
              </w:rPr>
            </w:pPr>
          </w:p>
        </w:tc>
        <w:tc>
          <w:tcPr>
            <w:tcW w:w="1637" w:type="dxa"/>
            <w:vAlign w:val="top"/>
          </w:tcPr>
          <w:p w14:paraId="4DD93CC9">
            <w:pPr>
              <w:pStyle w:val="22"/>
              <w:rPr>
                <w:rFonts w:hint="eastAsia" w:ascii="宋体" w:hAnsi="宋体" w:eastAsia="宋体" w:cs="宋体"/>
                <w:color w:val="auto"/>
                <w:sz w:val="24"/>
                <w:szCs w:val="24"/>
                <w:highlight w:val="none"/>
              </w:rPr>
            </w:pPr>
          </w:p>
        </w:tc>
      </w:tr>
      <w:tr w14:paraId="32F5B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1DB72EE">
            <w:pPr>
              <w:pStyle w:val="22"/>
              <w:spacing w:line="348" w:lineRule="auto"/>
              <w:rPr>
                <w:rFonts w:hint="eastAsia" w:ascii="宋体" w:hAnsi="宋体" w:eastAsia="宋体" w:cs="宋体"/>
                <w:color w:val="auto"/>
                <w:sz w:val="24"/>
                <w:szCs w:val="24"/>
                <w:highlight w:val="none"/>
              </w:rPr>
            </w:pPr>
          </w:p>
          <w:p w14:paraId="709A15DE">
            <w:pPr>
              <w:spacing w:before="78" w:line="99" w:lineRule="exact"/>
              <w:ind w:left="186"/>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w:t>
            </w:r>
          </w:p>
        </w:tc>
        <w:tc>
          <w:tcPr>
            <w:tcW w:w="5304" w:type="dxa"/>
            <w:gridSpan w:val="4"/>
            <w:vAlign w:val="top"/>
          </w:tcPr>
          <w:p w14:paraId="01EAF1F3">
            <w:pPr>
              <w:pStyle w:val="22"/>
              <w:rPr>
                <w:rFonts w:hint="eastAsia" w:ascii="宋体" w:hAnsi="宋体" w:eastAsia="宋体" w:cs="宋体"/>
                <w:color w:val="auto"/>
                <w:sz w:val="24"/>
                <w:szCs w:val="24"/>
                <w:highlight w:val="none"/>
              </w:rPr>
            </w:pPr>
          </w:p>
        </w:tc>
        <w:tc>
          <w:tcPr>
            <w:tcW w:w="1771" w:type="dxa"/>
            <w:gridSpan w:val="2"/>
            <w:vAlign w:val="top"/>
          </w:tcPr>
          <w:p w14:paraId="59CB6453">
            <w:pPr>
              <w:pStyle w:val="22"/>
              <w:rPr>
                <w:rFonts w:hint="eastAsia" w:ascii="宋体" w:hAnsi="宋体" w:eastAsia="宋体" w:cs="宋体"/>
                <w:color w:val="auto"/>
                <w:sz w:val="24"/>
                <w:szCs w:val="24"/>
                <w:highlight w:val="none"/>
              </w:rPr>
            </w:pPr>
          </w:p>
        </w:tc>
        <w:tc>
          <w:tcPr>
            <w:tcW w:w="1637" w:type="dxa"/>
            <w:vAlign w:val="top"/>
          </w:tcPr>
          <w:p w14:paraId="4DFAABA6">
            <w:pPr>
              <w:pStyle w:val="22"/>
              <w:rPr>
                <w:rFonts w:hint="eastAsia" w:ascii="宋体" w:hAnsi="宋体" w:eastAsia="宋体" w:cs="宋体"/>
                <w:color w:val="auto"/>
                <w:sz w:val="24"/>
                <w:szCs w:val="24"/>
                <w:highlight w:val="none"/>
              </w:rPr>
            </w:pPr>
          </w:p>
        </w:tc>
      </w:tr>
      <w:tr w14:paraId="1E056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0F0DD1BD">
            <w:pPr>
              <w:pStyle w:val="22"/>
              <w:spacing w:line="274" w:lineRule="auto"/>
              <w:rPr>
                <w:rFonts w:hint="eastAsia" w:ascii="宋体" w:hAnsi="宋体" w:eastAsia="宋体" w:cs="宋体"/>
                <w:color w:val="auto"/>
                <w:sz w:val="24"/>
                <w:szCs w:val="24"/>
                <w:highlight w:val="none"/>
              </w:rPr>
            </w:pPr>
          </w:p>
          <w:p w14:paraId="0EEEE587">
            <w:pPr>
              <w:pStyle w:val="22"/>
              <w:spacing w:line="275" w:lineRule="auto"/>
              <w:rPr>
                <w:rFonts w:hint="eastAsia" w:ascii="宋体" w:hAnsi="宋体" w:eastAsia="宋体" w:cs="宋体"/>
                <w:color w:val="auto"/>
                <w:sz w:val="24"/>
                <w:szCs w:val="24"/>
                <w:highlight w:val="none"/>
              </w:rPr>
            </w:pPr>
          </w:p>
          <w:p w14:paraId="60723DFB">
            <w:pPr>
              <w:pStyle w:val="22"/>
              <w:spacing w:line="275" w:lineRule="auto"/>
              <w:rPr>
                <w:rFonts w:hint="eastAsia" w:ascii="宋体" w:hAnsi="宋体" w:eastAsia="宋体" w:cs="宋体"/>
                <w:color w:val="auto"/>
                <w:sz w:val="24"/>
                <w:szCs w:val="24"/>
                <w:highlight w:val="none"/>
              </w:rPr>
            </w:pPr>
          </w:p>
          <w:p w14:paraId="1FB29EFA">
            <w:pPr>
              <w:spacing w:before="62" w:line="233" w:lineRule="auto"/>
              <w:ind w:left="2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注意：</w:t>
            </w:r>
          </w:p>
        </w:tc>
        <w:tc>
          <w:tcPr>
            <w:tcW w:w="8712" w:type="dxa"/>
            <w:gridSpan w:val="7"/>
            <w:vAlign w:val="top"/>
          </w:tcPr>
          <w:p w14:paraId="041B54D9">
            <w:pPr>
              <w:spacing w:before="148"/>
              <w:ind w:left="111" w:right="107" w:firstLine="483"/>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该表一式两份，两份表格投标人均需如实填写各项内容，两份表格的填写内容应一致。一</w:t>
            </w:r>
            <w:r>
              <w:rPr>
                <w:rFonts w:hint="eastAsia" w:ascii="宋体" w:hAnsi="宋体" w:eastAsia="宋体" w:cs="宋体"/>
                <w:color w:val="auto"/>
                <w:spacing w:val="9"/>
                <w:sz w:val="24"/>
                <w:szCs w:val="24"/>
                <w:highlight w:val="none"/>
              </w:rPr>
              <w:t>份贴于装纳原件的文件袋（箱</w:t>
            </w:r>
            <w:r>
              <w:rPr>
                <w:rFonts w:hint="eastAsia" w:ascii="宋体" w:hAnsi="宋体" w:eastAsia="宋体" w:cs="宋体"/>
                <w:color w:val="auto"/>
                <w:spacing w:val="20"/>
                <w:sz w:val="24"/>
                <w:szCs w:val="24"/>
                <w:highlight w:val="none"/>
              </w:rPr>
              <w:t>），</w:t>
            </w:r>
            <w:r>
              <w:rPr>
                <w:rFonts w:hint="eastAsia" w:ascii="宋体" w:hAnsi="宋体" w:eastAsia="宋体" w:cs="宋体"/>
                <w:color w:val="auto"/>
                <w:spacing w:val="9"/>
                <w:sz w:val="24"/>
                <w:szCs w:val="24"/>
                <w:highlight w:val="none"/>
              </w:rPr>
              <w:t>一份在递交文件袋（箱）时由招标代理机构、投标人签字后交招标代理机构。招标代理机构仅代签收装纳原件的文件袋（箱</w:t>
            </w:r>
            <w:r>
              <w:rPr>
                <w:rFonts w:hint="eastAsia" w:ascii="宋体" w:hAnsi="宋体" w:eastAsia="宋体" w:cs="宋体"/>
                <w:color w:val="auto"/>
                <w:spacing w:val="19"/>
                <w:sz w:val="24"/>
                <w:szCs w:val="24"/>
                <w:highlight w:val="none"/>
              </w:rPr>
              <w:t>），</w:t>
            </w:r>
            <w:r>
              <w:rPr>
                <w:rFonts w:hint="eastAsia" w:ascii="宋体" w:hAnsi="宋体" w:eastAsia="宋体" w:cs="宋体"/>
                <w:color w:val="auto"/>
                <w:spacing w:val="9"/>
                <w:sz w:val="24"/>
                <w:szCs w:val="24"/>
                <w:highlight w:val="none"/>
              </w:rPr>
              <w:t>而不对文件袋（箱）中资</w:t>
            </w:r>
            <w:r>
              <w:rPr>
                <w:rFonts w:hint="eastAsia" w:ascii="宋体" w:hAnsi="宋体" w:eastAsia="宋体" w:cs="宋体"/>
                <w:color w:val="auto"/>
                <w:spacing w:val="5"/>
                <w:sz w:val="24"/>
                <w:szCs w:val="24"/>
                <w:highlight w:val="none"/>
              </w:rPr>
              <w:t>料的数量、</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内容及真实性负责。</w:t>
            </w:r>
          </w:p>
        </w:tc>
      </w:tr>
      <w:tr w14:paraId="7590F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099D8C15">
            <w:pPr>
              <w:pStyle w:val="22"/>
              <w:spacing w:line="240" w:lineRule="auto"/>
              <w:rPr>
                <w:rFonts w:hint="eastAsia" w:ascii="宋体" w:hAnsi="宋体" w:eastAsia="宋体" w:cs="宋体"/>
                <w:color w:val="auto"/>
                <w:sz w:val="24"/>
                <w:szCs w:val="24"/>
                <w:highlight w:val="none"/>
              </w:rPr>
            </w:pPr>
          </w:p>
          <w:p w14:paraId="5C1CE2F1">
            <w:pPr>
              <w:spacing w:before="61" w:line="240" w:lineRule="auto"/>
              <w:ind w:left="760" w:right="153" w:hanging="600"/>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接收原件经办人</w:t>
            </w:r>
          </w:p>
          <w:p w14:paraId="11CB213A">
            <w:pPr>
              <w:spacing w:before="61" w:line="240" w:lineRule="auto"/>
              <w:ind w:left="760" w:right="153" w:hanging="6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(招标</w:t>
            </w:r>
            <w:r>
              <w:rPr>
                <w:rFonts w:hint="eastAsia" w:ascii="宋体" w:hAnsi="宋体" w:eastAsia="宋体" w:cs="宋体"/>
                <w:color w:val="auto"/>
                <w:spacing w:val="3"/>
                <w:sz w:val="24"/>
                <w:szCs w:val="24"/>
                <w:highlight w:val="none"/>
              </w:rPr>
              <w:t>代理)：</w:t>
            </w:r>
          </w:p>
        </w:tc>
        <w:tc>
          <w:tcPr>
            <w:tcW w:w="1725" w:type="dxa"/>
            <w:vAlign w:val="top"/>
          </w:tcPr>
          <w:p w14:paraId="7085A18C">
            <w:pPr>
              <w:pStyle w:val="22"/>
              <w:rPr>
                <w:rFonts w:hint="eastAsia" w:ascii="宋体" w:hAnsi="宋体" w:eastAsia="宋体" w:cs="宋体"/>
                <w:color w:val="auto"/>
                <w:sz w:val="24"/>
                <w:szCs w:val="24"/>
                <w:highlight w:val="none"/>
              </w:rPr>
            </w:pPr>
          </w:p>
        </w:tc>
        <w:tc>
          <w:tcPr>
            <w:tcW w:w="1683" w:type="dxa"/>
            <w:gridSpan w:val="2"/>
            <w:vAlign w:val="top"/>
          </w:tcPr>
          <w:p w14:paraId="6604537D">
            <w:pPr>
              <w:pStyle w:val="22"/>
              <w:spacing w:line="288" w:lineRule="auto"/>
              <w:rPr>
                <w:rFonts w:hint="eastAsia" w:ascii="宋体" w:hAnsi="宋体" w:eastAsia="宋体" w:cs="宋体"/>
                <w:color w:val="auto"/>
                <w:sz w:val="24"/>
                <w:szCs w:val="24"/>
                <w:highlight w:val="none"/>
              </w:rPr>
            </w:pPr>
          </w:p>
          <w:p w14:paraId="2BFA4810">
            <w:pPr>
              <w:pStyle w:val="22"/>
              <w:spacing w:line="289" w:lineRule="auto"/>
              <w:rPr>
                <w:rFonts w:hint="eastAsia" w:ascii="宋体" w:hAnsi="宋体" w:eastAsia="宋体" w:cs="宋体"/>
                <w:color w:val="auto"/>
                <w:sz w:val="24"/>
                <w:szCs w:val="24"/>
                <w:highlight w:val="none"/>
              </w:rPr>
            </w:pPr>
          </w:p>
          <w:p w14:paraId="600BBDBF">
            <w:pPr>
              <w:spacing w:before="62" w:line="229" w:lineRule="auto"/>
              <w:ind w:left="315"/>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接收时间：</w:t>
            </w:r>
          </w:p>
        </w:tc>
        <w:tc>
          <w:tcPr>
            <w:tcW w:w="3408" w:type="dxa"/>
            <w:gridSpan w:val="3"/>
            <w:vAlign w:val="top"/>
          </w:tcPr>
          <w:p w14:paraId="2ABE847A">
            <w:pPr>
              <w:pStyle w:val="22"/>
              <w:spacing w:line="288" w:lineRule="auto"/>
              <w:rPr>
                <w:rFonts w:hint="eastAsia" w:ascii="宋体" w:hAnsi="宋体" w:eastAsia="宋体" w:cs="宋体"/>
                <w:color w:val="auto"/>
                <w:sz w:val="24"/>
                <w:szCs w:val="24"/>
                <w:highlight w:val="none"/>
              </w:rPr>
            </w:pPr>
          </w:p>
          <w:p w14:paraId="5A4CCD31">
            <w:pPr>
              <w:pStyle w:val="22"/>
              <w:spacing w:line="289" w:lineRule="auto"/>
              <w:rPr>
                <w:rFonts w:hint="eastAsia" w:ascii="宋体" w:hAnsi="宋体" w:eastAsia="宋体" w:cs="宋体"/>
                <w:color w:val="auto"/>
                <w:sz w:val="24"/>
                <w:szCs w:val="24"/>
                <w:highlight w:val="none"/>
              </w:rPr>
            </w:pPr>
          </w:p>
          <w:p w14:paraId="4E720652">
            <w:pPr>
              <w:spacing w:before="62" w:line="229" w:lineRule="auto"/>
              <w:ind w:firstLine="444"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9"/>
                <w:sz w:val="24"/>
                <w:szCs w:val="24"/>
                <w:highlight w:val="none"/>
              </w:rPr>
              <w:t>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时</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9"/>
                <w:sz w:val="24"/>
                <w:szCs w:val="24"/>
                <w:highlight w:val="none"/>
              </w:rPr>
              <w:t>分</w:t>
            </w:r>
          </w:p>
        </w:tc>
      </w:tr>
      <w:tr w14:paraId="32818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3ECA77A0">
            <w:pPr>
              <w:spacing w:before="155" w:line="240" w:lineRule="auto"/>
              <w:ind w:left="861" w:right="153" w:hanging="699"/>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退还原件接收人</w:t>
            </w:r>
          </w:p>
          <w:p w14:paraId="6EA0816D">
            <w:pPr>
              <w:spacing w:before="155" w:line="240" w:lineRule="auto"/>
              <w:ind w:left="861" w:right="153" w:hanging="699"/>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(投标</w:t>
            </w:r>
            <w:r>
              <w:rPr>
                <w:rFonts w:hint="eastAsia" w:ascii="宋体" w:hAnsi="宋体" w:eastAsia="宋体" w:cs="宋体"/>
                <w:color w:val="auto"/>
                <w:spacing w:val="2"/>
                <w:sz w:val="24"/>
                <w:szCs w:val="24"/>
                <w:highlight w:val="none"/>
              </w:rPr>
              <w:t>人)：</w:t>
            </w:r>
          </w:p>
        </w:tc>
        <w:tc>
          <w:tcPr>
            <w:tcW w:w="1725" w:type="dxa"/>
            <w:vAlign w:val="top"/>
          </w:tcPr>
          <w:p w14:paraId="47981A8E">
            <w:pPr>
              <w:pStyle w:val="22"/>
              <w:rPr>
                <w:rFonts w:hint="eastAsia" w:ascii="宋体" w:hAnsi="宋体" w:eastAsia="宋体" w:cs="宋体"/>
                <w:color w:val="auto"/>
                <w:sz w:val="24"/>
                <w:szCs w:val="24"/>
                <w:highlight w:val="none"/>
              </w:rPr>
            </w:pPr>
          </w:p>
        </w:tc>
        <w:tc>
          <w:tcPr>
            <w:tcW w:w="1683" w:type="dxa"/>
            <w:gridSpan w:val="2"/>
            <w:vAlign w:val="top"/>
          </w:tcPr>
          <w:p w14:paraId="5B187258">
            <w:pPr>
              <w:pStyle w:val="22"/>
              <w:spacing w:line="336" w:lineRule="auto"/>
              <w:rPr>
                <w:rFonts w:hint="eastAsia" w:ascii="宋体" w:hAnsi="宋体" w:eastAsia="宋体" w:cs="宋体"/>
                <w:color w:val="auto"/>
                <w:sz w:val="24"/>
                <w:szCs w:val="24"/>
                <w:highlight w:val="none"/>
              </w:rPr>
            </w:pPr>
          </w:p>
          <w:p w14:paraId="1E17BFEB">
            <w:pPr>
              <w:spacing w:before="61" w:line="231" w:lineRule="auto"/>
              <w:ind w:left="31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退还时间：</w:t>
            </w:r>
          </w:p>
        </w:tc>
        <w:tc>
          <w:tcPr>
            <w:tcW w:w="3408" w:type="dxa"/>
            <w:gridSpan w:val="3"/>
            <w:vAlign w:val="top"/>
          </w:tcPr>
          <w:p w14:paraId="3489F98E">
            <w:pPr>
              <w:pStyle w:val="22"/>
              <w:spacing w:line="335" w:lineRule="auto"/>
              <w:rPr>
                <w:rFonts w:hint="eastAsia" w:ascii="宋体" w:hAnsi="宋体" w:eastAsia="宋体" w:cs="宋体"/>
                <w:color w:val="auto"/>
                <w:sz w:val="24"/>
                <w:szCs w:val="24"/>
                <w:highlight w:val="none"/>
              </w:rPr>
            </w:pPr>
          </w:p>
          <w:p w14:paraId="63D38B5E">
            <w:pPr>
              <w:spacing w:before="62" w:line="229" w:lineRule="auto"/>
              <w:ind w:firstLine="444"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9"/>
                <w:sz w:val="24"/>
                <w:szCs w:val="24"/>
                <w:highlight w:val="none"/>
              </w:rPr>
              <w:t>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时</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分</w:t>
            </w:r>
          </w:p>
        </w:tc>
      </w:tr>
    </w:tbl>
    <w:p w14:paraId="43508FE7">
      <w:pPr>
        <w:rPr>
          <w:rFonts w:hint="eastAsia" w:ascii="宋体" w:hAnsi="宋体" w:eastAsia="宋体" w:cs="宋体"/>
          <w:b/>
          <w:bCs/>
          <w:color w:val="auto"/>
          <w:spacing w:val="-3"/>
          <w:sz w:val="24"/>
          <w:szCs w:val="24"/>
          <w:highlight w:val="none"/>
        </w:rPr>
      </w:pPr>
      <w:bookmarkStart w:id="272" w:name="bookmark107"/>
      <w:bookmarkEnd w:id="272"/>
      <w:r>
        <w:rPr>
          <w:rFonts w:hint="eastAsia" w:ascii="宋体" w:hAnsi="宋体" w:eastAsia="宋体" w:cs="宋体"/>
          <w:b/>
          <w:bCs/>
          <w:color w:val="auto"/>
          <w:spacing w:val="-3"/>
          <w:sz w:val="24"/>
          <w:szCs w:val="24"/>
          <w:highlight w:val="none"/>
        </w:rPr>
        <w:br w:type="page"/>
      </w:r>
    </w:p>
    <w:p w14:paraId="599BAE2B">
      <w:pPr>
        <w:pStyle w:val="46"/>
        <w:snapToGrid w:val="0"/>
        <w:spacing w:line="440" w:lineRule="exact"/>
        <w:outlineLvl w:val="1"/>
        <w:rPr>
          <w:rStyle w:val="21"/>
          <w:rFonts w:hint="eastAsia" w:ascii="Times New Roman" w:hAnsi="宋体" w:eastAsia="宋体" w:cs="Times New Roman"/>
          <w:b/>
          <w:bCs/>
          <w:color w:val="auto"/>
          <w:sz w:val="21"/>
          <w:szCs w:val="21"/>
          <w:highlight w:val="none"/>
          <w:lang w:val="en-US" w:eastAsia="zh-CN"/>
        </w:rPr>
      </w:pPr>
      <w:bookmarkStart w:id="273" w:name="_Toc26911"/>
      <w:bookmarkStart w:id="274" w:name="_Toc26323"/>
      <w:r>
        <w:rPr>
          <w:rStyle w:val="21"/>
          <w:rFonts w:hint="eastAsia" w:ascii="Times New Roman" w:hAnsi="宋体" w:eastAsia="宋体" w:cs="Times New Roman"/>
          <w:b/>
          <w:bCs/>
          <w:color w:val="auto"/>
          <w:sz w:val="21"/>
          <w:szCs w:val="21"/>
          <w:highlight w:val="none"/>
          <w:lang w:eastAsia="zh-CN"/>
        </w:rPr>
        <w:t>格式十</w:t>
      </w:r>
      <w:r>
        <w:rPr>
          <w:rStyle w:val="21"/>
          <w:rFonts w:hint="eastAsia" w:ascii="Times New Roman" w:hAnsi="宋体" w:cs="Times New Roman"/>
          <w:b/>
          <w:bCs/>
          <w:color w:val="auto"/>
          <w:sz w:val="21"/>
          <w:szCs w:val="21"/>
          <w:highlight w:val="none"/>
          <w:lang w:val="en-US" w:eastAsia="zh-CN"/>
        </w:rPr>
        <w:t xml:space="preserve">五  </w:t>
      </w:r>
      <w:r>
        <w:rPr>
          <w:rStyle w:val="21"/>
          <w:rFonts w:hint="eastAsia" w:ascii="Times New Roman" w:hAnsi="宋体" w:eastAsia="宋体" w:cs="Times New Roman"/>
          <w:b/>
          <w:bCs/>
          <w:color w:val="auto"/>
          <w:sz w:val="21"/>
          <w:szCs w:val="21"/>
          <w:highlight w:val="none"/>
          <w:lang w:val="en-US" w:eastAsia="zh-CN"/>
        </w:rPr>
        <w:t>定标因素评审资料</w:t>
      </w:r>
      <w:bookmarkEnd w:id="273"/>
      <w:bookmarkEnd w:id="274"/>
    </w:p>
    <w:p w14:paraId="4E2223D7">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24"/>
          <w:szCs w:val="24"/>
          <w:highlight w:val="none"/>
          <w:lang w:eastAsia="zh-CN"/>
        </w:rPr>
        <w:t>定标因素评审资料</w:t>
      </w:r>
    </w:p>
    <w:p w14:paraId="0AF67739">
      <w:pPr>
        <w:jc w:val="left"/>
        <w:rPr>
          <w:rFonts w:hint="eastAsia" w:ascii="宋体" w:hAnsi="宋体" w:eastAsia="宋体" w:cs="宋体"/>
          <w:color w:val="auto"/>
          <w:sz w:val="24"/>
          <w:highlight w:val="none"/>
          <w:lang w:eastAsia="zh-CN"/>
        </w:rPr>
      </w:pPr>
    </w:p>
    <w:p w14:paraId="3A77A166">
      <w:pPr>
        <w:pStyle w:val="40"/>
        <w:ind w:left="0" w:leftChars="0" w:firstLine="0" w:firstLineChars="0"/>
        <w:rPr>
          <w:rStyle w:val="44"/>
          <w:rFonts w:hint="eastAsia" w:ascii="宋体" w:hAnsi="宋体" w:eastAsia="宋体" w:cs="宋体"/>
          <w:b/>
          <w:bCs/>
          <w:color w:val="auto"/>
          <w:kern w:val="2"/>
          <w:sz w:val="24"/>
          <w:szCs w:val="24"/>
          <w:highlight w:val="none"/>
        </w:rPr>
      </w:pPr>
      <w:r>
        <w:rPr>
          <w:rFonts w:hint="eastAsia" w:ascii="宋体" w:hAnsi="宋体" w:eastAsia="宋体" w:cs="宋体"/>
          <w:b/>
          <w:bCs/>
          <w:color w:val="auto"/>
          <w:sz w:val="24"/>
          <w:szCs w:val="24"/>
          <w:highlight w:val="none"/>
          <w:lang w:val="en-US" w:eastAsia="zh-CN"/>
        </w:rPr>
        <w:t>投标人根据“</w:t>
      </w:r>
      <w:r>
        <w:rPr>
          <w:rFonts w:hint="eastAsia" w:ascii="宋体" w:hAnsi="宋体" w:eastAsia="宋体" w:cs="宋体"/>
          <w:b/>
          <w:bCs/>
          <w:color w:val="auto"/>
          <w:sz w:val="24"/>
          <w:szCs w:val="24"/>
          <w:highlight w:val="none"/>
        </w:rPr>
        <w:t>第</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章 第</w:t>
      </w: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节 定标</w:t>
      </w:r>
      <w:r>
        <w:rPr>
          <w:rFonts w:hint="eastAsia" w:ascii="宋体" w:hAnsi="宋体" w:eastAsia="宋体" w:cs="宋体"/>
          <w:b/>
          <w:bCs/>
          <w:color w:val="auto"/>
          <w:sz w:val="24"/>
          <w:szCs w:val="24"/>
          <w:highlight w:val="none"/>
          <w:lang w:eastAsia="zh-CN"/>
        </w:rPr>
        <w:t>规定</w:t>
      </w:r>
      <w:r>
        <w:rPr>
          <w:rFonts w:hint="eastAsia" w:ascii="宋体" w:hAnsi="宋体" w:eastAsia="宋体" w:cs="宋体"/>
          <w:b/>
          <w:bCs/>
          <w:color w:val="auto"/>
          <w:sz w:val="24"/>
          <w:szCs w:val="24"/>
          <w:highlight w:val="none"/>
          <w:lang w:val="en-US" w:eastAsia="zh-CN"/>
        </w:rPr>
        <w:t>及细则”载明的</w:t>
      </w:r>
      <w:r>
        <w:rPr>
          <w:rFonts w:hint="eastAsia" w:ascii="宋体" w:hAnsi="宋体" w:eastAsia="宋体" w:cs="宋体"/>
          <w:b/>
          <w:bCs/>
          <w:color w:val="auto"/>
          <w:sz w:val="24"/>
          <w:szCs w:val="24"/>
          <w:highlight w:val="none"/>
          <w:lang w:eastAsia="zh-CN"/>
        </w:rPr>
        <w:t>定标因素，</w:t>
      </w:r>
      <w:r>
        <w:rPr>
          <w:rFonts w:hint="eastAsia" w:ascii="宋体" w:hAnsi="宋体" w:eastAsia="宋体" w:cs="宋体"/>
          <w:b/>
          <w:bCs/>
          <w:color w:val="auto"/>
          <w:sz w:val="24"/>
          <w:szCs w:val="24"/>
          <w:highlight w:val="none"/>
          <w:lang w:val="en-US" w:eastAsia="zh-CN"/>
        </w:rPr>
        <w:t>提交</w:t>
      </w:r>
      <w:r>
        <w:rPr>
          <w:rFonts w:hint="eastAsia" w:ascii="宋体" w:hAnsi="宋体" w:eastAsia="宋体" w:cs="宋体"/>
          <w:b/>
          <w:bCs/>
          <w:color w:val="auto"/>
          <w:sz w:val="24"/>
          <w:szCs w:val="24"/>
          <w:highlight w:val="none"/>
          <w:lang w:eastAsia="zh-CN"/>
        </w:rPr>
        <w:t>评审资料。</w:t>
      </w:r>
    </w:p>
    <w:p w14:paraId="0D6A2BCA">
      <w:pPr>
        <w:spacing w:before="78" w:line="219" w:lineRule="auto"/>
        <w:jc w:val="center"/>
        <w:outlineLvl w:val="1"/>
        <w:rPr>
          <w:rFonts w:hint="eastAsia" w:ascii="宋体" w:hAnsi="宋体" w:eastAsia="宋体" w:cs="宋体"/>
          <w:b/>
          <w:bCs/>
          <w:color w:val="auto"/>
          <w:spacing w:val="-3"/>
          <w:sz w:val="24"/>
          <w:szCs w:val="24"/>
          <w:highlight w:val="none"/>
        </w:rPr>
      </w:pPr>
    </w:p>
    <w:p w14:paraId="5788F734">
      <w:pPr>
        <w:spacing w:before="78" w:line="219" w:lineRule="auto"/>
        <w:jc w:val="center"/>
        <w:outlineLvl w:val="1"/>
        <w:rPr>
          <w:rFonts w:hint="eastAsia" w:ascii="宋体" w:hAnsi="宋体" w:eastAsia="宋体" w:cs="宋体"/>
          <w:b/>
          <w:bCs/>
          <w:color w:val="auto"/>
          <w:spacing w:val="-3"/>
          <w:sz w:val="24"/>
          <w:szCs w:val="24"/>
          <w:highlight w:val="none"/>
        </w:rPr>
      </w:pPr>
    </w:p>
    <w:p w14:paraId="6B98B5A3">
      <w:pPr>
        <w:spacing w:before="78" w:line="219" w:lineRule="auto"/>
        <w:jc w:val="center"/>
        <w:outlineLvl w:val="1"/>
        <w:rPr>
          <w:rFonts w:hint="eastAsia" w:ascii="宋体" w:hAnsi="宋体" w:eastAsia="宋体" w:cs="宋体"/>
          <w:b/>
          <w:bCs/>
          <w:color w:val="auto"/>
          <w:spacing w:val="-3"/>
          <w:sz w:val="24"/>
          <w:szCs w:val="24"/>
          <w:highlight w:val="none"/>
        </w:rPr>
      </w:pPr>
    </w:p>
    <w:p w14:paraId="053B13A8">
      <w:pPr>
        <w:spacing w:before="78" w:line="219" w:lineRule="auto"/>
        <w:jc w:val="center"/>
        <w:outlineLvl w:val="1"/>
        <w:rPr>
          <w:rFonts w:hint="eastAsia" w:ascii="宋体" w:hAnsi="宋体" w:eastAsia="宋体" w:cs="宋体"/>
          <w:b/>
          <w:bCs/>
          <w:color w:val="auto"/>
          <w:spacing w:val="-3"/>
          <w:sz w:val="24"/>
          <w:szCs w:val="24"/>
          <w:highlight w:val="none"/>
        </w:rPr>
      </w:pPr>
    </w:p>
    <w:p w14:paraId="363ADFC1">
      <w:pPr>
        <w:spacing w:before="78" w:line="219" w:lineRule="auto"/>
        <w:jc w:val="center"/>
        <w:outlineLvl w:val="1"/>
        <w:rPr>
          <w:rFonts w:hint="eastAsia" w:ascii="宋体" w:hAnsi="宋体" w:eastAsia="宋体" w:cs="宋体"/>
          <w:b/>
          <w:bCs/>
          <w:color w:val="auto"/>
          <w:spacing w:val="-3"/>
          <w:sz w:val="24"/>
          <w:szCs w:val="24"/>
          <w:highlight w:val="none"/>
        </w:rPr>
      </w:pPr>
    </w:p>
    <w:p w14:paraId="0E6053E8">
      <w:pPr>
        <w:spacing w:before="78" w:line="219" w:lineRule="auto"/>
        <w:jc w:val="center"/>
        <w:outlineLvl w:val="1"/>
        <w:rPr>
          <w:rFonts w:hint="eastAsia" w:ascii="宋体" w:hAnsi="宋体" w:eastAsia="宋体" w:cs="宋体"/>
          <w:b/>
          <w:bCs/>
          <w:color w:val="auto"/>
          <w:spacing w:val="-3"/>
          <w:sz w:val="24"/>
          <w:szCs w:val="24"/>
          <w:highlight w:val="none"/>
        </w:rPr>
      </w:pPr>
    </w:p>
    <w:p w14:paraId="726F6952">
      <w:pPr>
        <w:spacing w:before="78" w:line="219" w:lineRule="auto"/>
        <w:jc w:val="center"/>
        <w:outlineLvl w:val="1"/>
        <w:rPr>
          <w:rFonts w:hint="eastAsia" w:ascii="宋体" w:hAnsi="宋体" w:eastAsia="宋体" w:cs="宋体"/>
          <w:b/>
          <w:bCs/>
          <w:color w:val="auto"/>
          <w:spacing w:val="-3"/>
          <w:sz w:val="24"/>
          <w:szCs w:val="24"/>
          <w:highlight w:val="none"/>
        </w:rPr>
      </w:pPr>
    </w:p>
    <w:p w14:paraId="361542D0">
      <w:pPr>
        <w:spacing w:before="78" w:line="219" w:lineRule="auto"/>
        <w:jc w:val="center"/>
        <w:outlineLvl w:val="1"/>
        <w:rPr>
          <w:rFonts w:hint="eastAsia" w:ascii="宋体" w:hAnsi="宋体" w:eastAsia="宋体" w:cs="宋体"/>
          <w:b/>
          <w:bCs/>
          <w:color w:val="auto"/>
          <w:spacing w:val="-3"/>
          <w:sz w:val="24"/>
          <w:szCs w:val="24"/>
          <w:highlight w:val="none"/>
        </w:rPr>
      </w:pPr>
    </w:p>
    <w:p w14:paraId="27D66595">
      <w:pPr>
        <w:spacing w:before="78" w:line="219" w:lineRule="auto"/>
        <w:jc w:val="center"/>
        <w:outlineLvl w:val="1"/>
        <w:rPr>
          <w:rFonts w:hint="eastAsia" w:ascii="宋体" w:hAnsi="宋体" w:eastAsia="宋体" w:cs="宋体"/>
          <w:b/>
          <w:bCs/>
          <w:color w:val="auto"/>
          <w:spacing w:val="-3"/>
          <w:sz w:val="24"/>
          <w:szCs w:val="24"/>
          <w:highlight w:val="none"/>
        </w:rPr>
      </w:pPr>
    </w:p>
    <w:p w14:paraId="23E50CF4">
      <w:pPr>
        <w:spacing w:before="78" w:line="219" w:lineRule="auto"/>
        <w:jc w:val="center"/>
        <w:outlineLvl w:val="1"/>
        <w:rPr>
          <w:rFonts w:hint="eastAsia" w:ascii="宋体" w:hAnsi="宋体" w:eastAsia="宋体" w:cs="宋体"/>
          <w:b/>
          <w:bCs/>
          <w:color w:val="auto"/>
          <w:spacing w:val="-3"/>
          <w:sz w:val="24"/>
          <w:szCs w:val="24"/>
          <w:highlight w:val="none"/>
        </w:rPr>
      </w:pPr>
    </w:p>
    <w:p w14:paraId="158FCB01">
      <w:pPr>
        <w:spacing w:before="78" w:line="219" w:lineRule="auto"/>
        <w:jc w:val="center"/>
        <w:outlineLvl w:val="1"/>
        <w:rPr>
          <w:rFonts w:hint="eastAsia" w:ascii="宋体" w:hAnsi="宋体" w:eastAsia="宋体" w:cs="宋体"/>
          <w:b/>
          <w:bCs/>
          <w:color w:val="auto"/>
          <w:spacing w:val="-3"/>
          <w:sz w:val="24"/>
          <w:szCs w:val="24"/>
          <w:highlight w:val="none"/>
        </w:rPr>
      </w:pPr>
    </w:p>
    <w:p w14:paraId="1B1A6292">
      <w:pPr>
        <w:spacing w:before="78" w:line="219" w:lineRule="auto"/>
        <w:jc w:val="center"/>
        <w:outlineLvl w:val="1"/>
        <w:rPr>
          <w:rFonts w:hint="eastAsia" w:ascii="宋体" w:hAnsi="宋体" w:eastAsia="宋体" w:cs="宋体"/>
          <w:b/>
          <w:bCs/>
          <w:color w:val="auto"/>
          <w:spacing w:val="-3"/>
          <w:sz w:val="24"/>
          <w:szCs w:val="24"/>
          <w:highlight w:val="none"/>
        </w:rPr>
      </w:pPr>
    </w:p>
    <w:p w14:paraId="115C5971">
      <w:pPr>
        <w:spacing w:before="78" w:line="219" w:lineRule="auto"/>
        <w:jc w:val="center"/>
        <w:outlineLvl w:val="1"/>
        <w:rPr>
          <w:rFonts w:hint="eastAsia" w:ascii="宋体" w:hAnsi="宋体" w:eastAsia="宋体" w:cs="宋体"/>
          <w:b/>
          <w:bCs/>
          <w:color w:val="auto"/>
          <w:spacing w:val="-3"/>
          <w:sz w:val="24"/>
          <w:szCs w:val="24"/>
          <w:highlight w:val="none"/>
        </w:rPr>
      </w:pPr>
    </w:p>
    <w:p w14:paraId="7092A15D">
      <w:pPr>
        <w:spacing w:before="78" w:line="219" w:lineRule="auto"/>
        <w:jc w:val="center"/>
        <w:outlineLvl w:val="1"/>
        <w:rPr>
          <w:rFonts w:hint="eastAsia" w:ascii="宋体" w:hAnsi="宋体" w:eastAsia="宋体" w:cs="宋体"/>
          <w:b/>
          <w:bCs/>
          <w:color w:val="auto"/>
          <w:spacing w:val="-3"/>
          <w:sz w:val="24"/>
          <w:szCs w:val="24"/>
          <w:highlight w:val="none"/>
        </w:rPr>
      </w:pPr>
    </w:p>
    <w:p w14:paraId="00235FA6">
      <w:pPr>
        <w:spacing w:before="78" w:line="219" w:lineRule="auto"/>
        <w:jc w:val="center"/>
        <w:outlineLvl w:val="1"/>
        <w:rPr>
          <w:rFonts w:hint="eastAsia" w:ascii="宋体" w:hAnsi="宋体" w:eastAsia="宋体" w:cs="宋体"/>
          <w:b/>
          <w:bCs/>
          <w:color w:val="auto"/>
          <w:spacing w:val="-3"/>
          <w:sz w:val="24"/>
          <w:szCs w:val="24"/>
          <w:highlight w:val="none"/>
        </w:rPr>
      </w:pPr>
    </w:p>
    <w:p w14:paraId="2368C42D">
      <w:pPr>
        <w:spacing w:before="78" w:line="219" w:lineRule="auto"/>
        <w:jc w:val="center"/>
        <w:outlineLvl w:val="1"/>
        <w:rPr>
          <w:rFonts w:hint="eastAsia" w:ascii="宋体" w:hAnsi="宋体" w:eastAsia="宋体" w:cs="宋体"/>
          <w:b/>
          <w:bCs/>
          <w:color w:val="auto"/>
          <w:spacing w:val="-3"/>
          <w:sz w:val="24"/>
          <w:szCs w:val="24"/>
          <w:highlight w:val="none"/>
        </w:rPr>
      </w:pPr>
    </w:p>
    <w:p w14:paraId="2DC7C8CC">
      <w:pPr>
        <w:spacing w:before="78" w:line="219" w:lineRule="auto"/>
        <w:jc w:val="center"/>
        <w:outlineLvl w:val="1"/>
        <w:rPr>
          <w:rFonts w:hint="eastAsia" w:ascii="宋体" w:hAnsi="宋体" w:eastAsia="宋体" w:cs="宋体"/>
          <w:b/>
          <w:bCs/>
          <w:color w:val="auto"/>
          <w:spacing w:val="-3"/>
          <w:sz w:val="24"/>
          <w:szCs w:val="24"/>
          <w:highlight w:val="none"/>
        </w:rPr>
      </w:pPr>
    </w:p>
    <w:p w14:paraId="606378F1">
      <w:pPr>
        <w:spacing w:before="78" w:line="219" w:lineRule="auto"/>
        <w:jc w:val="center"/>
        <w:outlineLvl w:val="1"/>
        <w:rPr>
          <w:rFonts w:hint="eastAsia" w:ascii="宋体" w:hAnsi="宋体" w:eastAsia="宋体" w:cs="宋体"/>
          <w:b/>
          <w:bCs/>
          <w:color w:val="auto"/>
          <w:spacing w:val="-3"/>
          <w:sz w:val="24"/>
          <w:szCs w:val="24"/>
          <w:highlight w:val="none"/>
        </w:rPr>
      </w:pPr>
    </w:p>
    <w:p w14:paraId="75827FE5">
      <w:pPr>
        <w:spacing w:before="78" w:line="219" w:lineRule="auto"/>
        <w:jc w:val="center"/>
        <w:outlineLvl w:val="1"/>
        <w:rPr>
          <w:rFonts w:hint="eastAsia" w:ascii="宋体" w:hAnsi="宋体" w:eastAsia="宋体" w:cs="宋体"/>
          <w:b/>
          <w:bCs/>
          <w:color w:val="auto"/>
          <w:spacing w:val="-3"/>
          <w:sz w:val="24"/>
          <w:szCs w:val="24"/>
          <w:highlight w:val="none"/>
        </w:rPr>
      </w:pPr>
    </w:p>
    <w:p w14:paraId="55A4D748">
      <w:pPr>
        <w:spacing w:before="78" w:line="219" w:lineRule="auto"/>
        <w:jc w:val="center"/>
        <w:outlineLvl w:val="1"/>
        <w:rPr>
          <w:rFonts w:hint="eastAsia" w:ascii="宋体" w:hAnsi="宋体" w:eastAsia="宋体" w:cs="宋体"/>
          <w:b/>
          <w:bCs/>
          <w:color w:val="auto"/>
          <w:spacing w:val="-3"/>
          <w:sz w:val="24"/>
          <w:szCs w:val="24"/>
          <w:highlight w:val="none"/>
        </w:rPr>
      </w:pPr>
    </w:p>
    <w:p w14:paraId="64630BB9">
      <w:pPr>
        <w:spacing w:before="78" w:line="219" w:lineRule="auto"/>
        <w:jc w:val="center"/>
        <w:outlineLvl w:val="1"/>
        <w:rPr>
          <w:rFonts w:hint="eastAsia" w:ascii="宋体" w:hAnsi="宋体" w:eastAsia="宋体" w:cs="宋体"/>
          <w:b/>
          <w:bCs/>
          <w:color w:val="auto"/>
          <w:spacing w:val="-3"/>
          <w:sz w:val="24"/>
          <w:szCs w:val="24"/>
          <w:highlight w:val="none"/>
        </w:rPr>
      </w:pPr>
    </w:p>
    <w:p w14:paraId="3B68D572">
      <w:pPr>
        <w:spacing w:before="78" w:line="219" w:lineRule="auto"/>
        <w:jc w:val="center"/>
        <w:outlineLvl w:val="1"/>
        <w:rPr>
          <w:rFonts w:hint="eastAsia" w:ascii="宋体" w:hAnsi="宋体" w:eastAsia="宋体" w:cs="宋体"/>
          <w:b/>
          <w:bCs/>
          <w:color w:val="auto"/>
          <w:spacing w:val="-3"/>
          <w:sz w:val="24"/>
          <w:szCs w:val="24"/>
          <w:highlight w:val="none"/>
        </w:rPr>
      </w:pPr>
    </w:p>
    <w:p w14:paraId="620C8B96">
      <w:pPr>
        <w:spacing w:before="78" w:line="219" w:lineRule="auto"/>
        <w:jc w:val="center"/>
        <w:outlineLvl w:val="1"/>
        <w:rPr>
          <w:rFonts w:hint="eastAsia" w:ascii="宋体" w:hAnsi="宋体" w:eastAsia="宋体" w:cs="宋体"/>
          <w:b/>
          <w:bCs/>
          <w:color w:val="auto"/>
          <w:spacing w:val="-3"/>
          <w:sz w:val="24"/>
          <w:szCs w:val="24"/>
          <w:highlight w:val="none"/>
        </w:rPr>
      </w:pPr>
    </w:p>
    <w:p w14:paraId="3045E56F">
      <w:pPr>
        <w:spacing w:before="78" w:line="219" w:lineRule="auto"/>
        <w:jc w:val="center"/>
        <w:outlineLvl w:val="1"/>
        <w:rPr>
          <w:rFonts w:hint="eastAsia" w:ascii="宋体" w:hAnsi="宋体" w:eastAsia="宋体" w:cs="宋体"/>
          <w:b/>
          <w:bCs/>
          <w:color w:val="auto"/>
          <w:spacing w:val="-3"/>
          <w:sz w:val="24"/>
          <w:szCs w:val="24"/>
          <w:highlight w:val="none"/>
        </w:rPr>
      </w:pPr>
    </w:p>
    <w:p w14:paraId="1D2E6A5E">
      <w:pPr>
        <w:spacing w:before="78" w:line="219" w:lineRule="auto"/>
        <w:jc w:val="center"/>
        <w:outlineLvl w:val="1"/>
        <w:rPr>
          <w:rFonts w:hint="eastAsia" w:ascii="宋体" w:hAnsi="宋体" w:eastAsia="宋体" w:cs="宋体"/>
          <w:b/>
          <w:bCs/>
          <w:color w:val="auto"/>
          <w:spacing w:val="-3"/>
          <w:sz w:val="24"/>
          <w:szCs w:val="24"/>
          <w:highlight w:val="none"/>
        </w:rPr>
      </w:pPr>
    </w:p>
    <w:p w14:paraId="5BEB0917">
      <w:pPr>
        <w:spacing w:before="78" w:line="219" w:lineRule="auto"/>
        <w:jc w:val="center"/>
        <w:outlineLvl w:val="1"/>
        <w:rPr>
          <w:rFonts w:hint="eastAsia" w:ascii="宋体" w:hAnsi="宋体" w:eastAsia="宋体" w:cs="宋体"/>
          <w:b/>
          <w:bCs/>
          <w:color w:val="auto"/>
          <w:spacing w:val="-3"/>
          <w:sz w:val="24"/>
          <w:szCs w:val="24"/>
          <w:highlight w:val="none"/>
        </w:rPr>
      </w:pPr>
    </w:p>
    <w:p w14:paraId="5D618C35">
      <w:pPr>
        <w:spacing w:before="78" w:line="219" w:lineRule="auto"/>
        <w:jc w:val="center"/>
        <w:outlineLvl w:val="1"/>
        <w:rPr>
          <w:rFonts w:hint="eastAsia" w:ascii="宋体" w:hAnsi="宋体" w:eastAsia="宋体" w:cs="宋体"/>
          <w:b/>
          <w:bCs/>
          <w:color w:val="auto"/>
          <w:spacing w:val="-3"/>
          <w:sz w:val="24"/>
          <w:szCs w:val="24"/>
          <w:highlight w:val="none"/>
        </w:rPr>
      </w:pPr>
    </w:p>
    <w:p w14:paraId="0DF21207">
      <w:pPr>
        <w:spacing w:before="78" w:line="219" w:lineRule="auto"/>
        <w:jc w:val="center"/>
        <w:outlineLvl w:val="1"/>
        <w:rPr>
          <w:rFonts w:hint="eastAsia" w:ascii="宋体" w:hAnsi="宋体" w:eastAsia="宋体" w:cs="宋体"/>
          <w:b/>
          <w:bCs/>
          <w:color w:val="auto"/>
          <w:spacing w:val="-3"/>
          <w:sz w:val="24"/>
          <w:szCs w:val="24"/>
          <w:highlight w:val="none"/>
        </w:rPr>
      </w:pPr>
    </w:p>
    <w:p w14:paraId="13454A35">
      <w:pPr>
        <w:spacing w:before="78" w:line="219" w:lineRule="auto"/>
        <w:jc w:val="center"/>
        <w:outlineLvl w:val="1"/>
        <w:rPr>
          <w:rFonts w:hint="eastAsia" w:ascii="宋体" w:hAnsi="宋体" w:eastAsia="宋体" w:cs="宋体"/>
          <w:b/>
          <w:bCs/>
          <w:color w:val="auto"/>
          <w:spacing w:val="-3"/>
          <w:sz w:val="24"/>
          <w:szCs w:val="24"/>
          <w:highlight w:val="none"/>
        </w:rPr>
      </w:pPr>
    </w:p>
    <w:p w14:paraId="024AC8DC">
      <w:pPr>
        <w:spacing w:before="78" w:line="219" w:lineRule="auto"/>
        <w:jc w:val="center"/>
        <w:outlineLvl w:val="1"/>
        <w:rPr>
          <w:rFonts w:hint="eastAsia" w:ascii="宋体" w:hAnsi="宋体" w:eastAsia="宋体" w:cs="宋体"/>
          <w:b/>
          <w:bCs/>
          <w:color w:val="auto"/>
          <w:spacing w:val="-3"/>
          <w:sz w:val="24"/>
          <w:szCs w:val="24"/>
          <w:highlight w:val="none"/>
        </w:rPr>
      </w:pPr>
    </w:p>
    <w:p w14:paraId="5DC19ABF">
      <w:pPr>
        <w:spacing w:before="78" w:line="219" w:lineRule="auto"/>
        <w:jc w:val="center"/>
        <w:outlineLvl w:val="1"/>
        <w:rPr>
          <w:rFonts w:hint="eastAsia" w:ascii="宋体" w:hAnsi="宋体" w:eastAsia="宋体" w:cs="宋体"/>
          <w:b/>
          <w:bCs/>
          <w:color w:val="auto"/>
          <w:spacing w:val="-3"/>
          <w:sz w:val="24"/>
          <w:szCs w:val="24"/>
          <w:highlight w:val="none"/>
        </w:rPr>
      </w:pPr>
    </w:p>
    <w:p w14:paraId="29F55FD8">
      <w:pPr>
        <w:spacing w:before="78" w:line="219" w:lineRule="auto"/>
        <w:jc w:val="center"/>
        <w:outlineLvl w:val="1"/>
        <w:rPr>
          <w:rFonts w:hint="eastAsia" w:ascii="宋体" w:hAnsi="宋体" w:eastAsia="宋体" w:cs="宋体"/>
          <w:b/>
          <w:bCs/>
          <w:color w:val="auto"/>
          <w:spacing w:val="-3"/>
          <w:sz w:val="24"/>
          <w:szCs w:val="24"/>
          <w:highlight w:val="none"/>
        </w:rPr>
      </w:pPr>
    </w:p>
    <w:p w14:paraId="3EAE9C62">
      <w:pPr>
        <w:spacing w:before="78" w:line="219" w:lineRule="auto"/>
        <w:jc w:val="center"/>
        <w:outlineLvl w:val="1"/>
        <w:rPr>
          <w:rFonts w:hint="eastAsia" w:ascii="宋体" w:hAnsi="宋体" w:eastAsia="宋体" w:cs="宋体"/>
          <w:b/>
          <w:bCs/>
          <w:color w:val="auto"/>
          <w:spacing w:val="-3"/>
          <w:sz w:val="24"/>
          <w:szCs w:val="24"/>
          <w:highlight w:val="none"/>
        </w:rPr>
      </w:pPr>
    </w:p>
    <w:p w14:paraId="7F92FD45">
      <w:pPr>
        <w:spacing w:before="78" w:line="219" w:lineRule="auto"/>
        <w:jc w:val="center"/>
        <w:outlineLvl w:val="1"/>
        <w:rPr>
          <w:rFonts w:hint="eastAsia" w:ascii="宋体" w:hAnsi="宋体" w:eastAsia="宋体" w:cs="宋体"/>
          <w:color w:val="auto"/>
          <w:highlight w:val="none"/>
        </w:rPr>
      </w:pPr>
      <w:bookmarkStart w:id="275" w:name="_Toc10482"/>
      <w:r>
        <w:rPr>
          <w:rFonts w:hint="eastAsia" w:ascii="宋体" w:hAnsi="宋体" w:eastAsia="宋体" w:cs="宋体"/>
          <w:b/>
          <w:bCs/>
          <w:color w:val="auto"/>
          <w:spacing w:val="-3"/>
          <w:sz w:val="24"/>
          <w:szCs w:val="24"/>
          <w:highlight w:val="none"/>
        </w:rPr>
        <w:t>第七章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建设工程施工合同</w:t>
      </w:r>
      <w:bookmarkEnd w:id="275"/>
    </w:p>
    <w:p w14:paraId="75DB61B3">
      <w:pPr>
        <w:pStyle w:val="5"/>
        <w:spacing w:line="257" w:lineRule="auto"/>
        <w:rPr>
          <w:rFonts w:hint="eastAsia" w:ascii="宋体" w:hAnsi="宋体" w:eastAsia="宋体" w:cs="宋体"/>
          <w:color w:val="auto"/>
          <w:highlight w:val="none"/>
        </w:rPr>
      </w:pPr>
    </w:p>
    <w:p w14:paraId="4C65ACD2">
      <w:pPr>
        <w:spacing w:before="78" w:line="324"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（略</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3"/>
          <w:sz w:val="24"/>
          <w:szCs w:val="24"/>
          <w:highlight w:val="none"/>
        </w:rPr>
        <w:t>按《广东省建设工程标准施工合同》（2009 年版）或《建设工程施工合同</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rPr>
        <w:t>（示范文本）》（GF—2017—0201）执行。</w:t>
      </w:r>
    </w:p>
    <w:p w14:paraId="1C12A021">
      <w:pPr>
        <w:rPr>
          <w:rFonts w:hint="eastAsia" w:ascii="宋体" w:hAnsi="宋体" w:eastAsia="宋体" w:cs="宋体"/>
          <w:color w:val="auto"/>
          <w:highlight w:val="none"/>
        </w:rPr>
      </w:pPr>
    </w:p>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08E98">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F7645">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7EF0B2">
                          <w:pPr>
                            <w:pStyle w:val="9"/>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WErUc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zpM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WErUcoBAACbAwAADgAAAAAAAAABACAAAAAeAQAAZHJzL2Uyb0Rv&#10;Yy54bWxQSwUGAAAAAAYABgBZAQAAWgUAAAAA&#10;">
              <v:fill on="f" focussize="0,0"/>
              <v:stroke on="f"/>
              <v:imagedata o:title=""/>
              <o:lock v:ext="edit" aspectratio="f"/>
              <v:textbox inset="0mm,0mm,0mm,0mm" style="mso-fit-shape-to-text:t;">
                <w:txbxContent>
                  <w:p w14:paraId="4C7EF0B2">
                    <w:pPr>
                      <w:pStyle w:val="9"/>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4E033">
    <w:pPr>
      <w:pStyle w:val="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F61E55">
                          <w:pPr>
                            <w:pStyle w:val="9"/>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HiCcoBAACb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dvKH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kHiCcoBAACbAwAADgAAAAAAAAABACAAAAAeAQAAZHJzL2Uyb0Rv&#10;Yy54bWxQSwUGAAAAAAYABgBZAQAAWgUAAAAA&#10;">
              <v:fill on="f" focussize="0,0"/>
              <v:stroke on="f"/>
              <v:imagedata o:title=""/>
              <o:lock v:ext="edit" aspectratio="f"/>
              <v:textbox inset="0mm,0mm,0mm,0mm" style="mso-fit-shape-to-text:t;">
                <w:txbxContent>
                  <w:p w14:paraId="64F61E55">
                    <w:pPr>
                      <w:pStyle w:val="9"/>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1124C">
    <w:pPr>
      <w:pStyle w:val="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89C">
                          <w:pPr>
                            <w:pStyle w:val="9"/>
                          </w:pPr>
                          <w:r>
                            <w:fldChar w:fldCharType="begin"/>
                          </w:r>
                          <w:r>
                            <w:instrText xml:space="preserve"> PAGE  \* MERGEFORMAT </w:instrText>
                          </w:r>
                          <w:r>
                            <w:fldChar w:fldCharType="separate"/>
                          </w:r>
                          <w:r>
                            <w:t>47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14:paraId="6895D89C">
                    <w:pPr>
                      <w:pStyle w:val="9"/>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E25A">
    <w:pPr>
      <w:pStyle w:val="9"/>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5B3210">
                          <w:pPr>
                            <w:pStyle w:val="9"/>
                          </w:pPr>
                          <w:r>
                            <w:fldChar w:fldCharType="begin"/>
                          </w:r>
                          <w:r>
                            <w:instrText xml:space="preserve"> PAGE  \* MERGEFORMAT </w:instrText>
                          </w:r>
                          <w:r>
                            <w:fldChar w:fldCharType="separate"/>
                          </w:r>
                          <w:r>
                            <w:t>50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14:paraId="235B3210">
                    <w:pPr>
                      <w:pStyle w:val="9"/>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8D20B">
    <w:pPr>
      <w:pStyle w:val="9"/>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CBD958">
                          <w:pPr>
                            <w:pStyle w:val="9"/>
                          </w:pPr>
                          <w:r>
                            <w:fldChar w:fldCharType="begin"/>
                          </w:r>
                          <w:r>
                            <w:instrText xml:space="preserve"> PAGE  \* MERGEFORMAT </w:instrText>
                          </w:r>
                          <w:r>
                            <w:fldChar w:fldCharType="separate"/>
                          </w:r>
                          <w:r>
                            <w:t>78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0AeM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ctrShy3OPHzzx/nX3/Ov78T&#10;9KFAfYAa8x4CZqbhgx9wbWY/oDPzHlS0+YuMCMZR3tNFXjkkIvKj1XK1qjAkMDZfEJ89Pg8R0kfp&#10;LclGQyPOr8jKj3eQxtQ5JVdz/lYbU2Zo3H8OxMwelnsfe8xWGnbDRGjn2xPy6XH0DXW46ZSYTw6V&#10;zVsyG3E2drNxCFHvu7JGuR6E94eETZTecoURdiqMMyvspv3KS/HvvWQ9/lO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DQB4yQEAAJsDAAAOAAAAAAAAAAEAIAAAAB4BAABkcnMvZTJvRG9j&#10;LnhtbFBLBQYAAAAABgAGAFkBAABZBQAAAAA=&#10;">
              <v:fill on="f" focussize="0,0"/>
              <v:stroke on="f"/>
              <v:imagedata o:title=""/>
              <o:lock v:ext="edit" aspectratio="f"/>
              <v:textbox inset="0mm,0mm,0mm,0mm" style="mso-fit-shape-to-text:t;">
                <w:txbxContent>
                  <w:p w14:paraId="4ECBD958">
                    <w:pPr>
                      <w:pStyle w:val="9"/>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14C0D">
    <w:pPr>
      <w:pStyle w:val="9"/>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DF88B97">
                          <w:pPr>
                            <w:pStyle w:val="9"/>
                          </w:pPr>
                          <w:r>
                            <w:fldChar w:fldCharType="begin"/>
                          </w:r>
                          <w:r>
                            <w:instrText xml:space="preserve"> PAGE  \* MERGEFORMAT </w:instrText>
                          </w:r>
                          <w:r>
                            <w:fldChar w:fldCharType="separate"/>
                          </w:r>
                          <w:r>
                            <w:t>79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v:fill on="f" focussize="0,0"/>
              <v:stroke on="f"/>
              <v:imagedata o:title=""/>
              <o:lock v:ext="edit" aspectratio="f"/>
              <v:textbox inset="0mm,0mm,0mm,0mm" style="mso-fit-shape-to-text:t;">
                <w:txbxContent>
                  <w:p w14:paraId="2DF88B97">
                    <w:pPr>
                      <w:pStyle w:val="9"/>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5C556">
    <w:pPr>
      <w:pStyle w:val="9"/>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10B15D">
                          <w:pPr>
                            <w:pStyle w:val="9"/>
                          </w:pPr>
                          <w:r>
                            <w:fldChar w:fldCharType="begin"/>
                          </w:r>
                          <w:r>
                            <w:instrText xml:space="preserve"> PAGE  \* MERGEFORMAT </w:instrText>
                          </w:r>
                          <w:r>
                            <w:fldChar w:fldCharType="separate"/>
                          </w:r>
                          <w:r>
                            <w:t>80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0010B15D">
                    <w:pPr>
                      <w:pStyle w:val="9"/>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DCEF0">
    <w:pPr>
      <w:pStyle w:val="9"/>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C91D14">
                          <w:pPr>
                            <w:pStyle w:val="9"/>
                          </w:pPr>
                          <w:r>
                            <w:fldChar w:fldCharType="begin"/>
                          </w:r>
                          <w:r>
                            <w:instrText xml:space="preserve"> PAGE  \* MERGEFORMAT </w:instrText>
                          </w:r>
                          <w:r>
                            <w:fldChar w:fldCharType="separate"/>
                          </w:r>
                          <w:r>
                            <w:t>81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nmGe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4d8ctTvz84/v55+/zr28E&#10;fShQH6DGvMeAmWm48QMmz35AZ+Y9qGjzFxkRjKO8p4u8ckhE5Eer5WpVYUhgbL4gPnt6HiKkO+kt&#10;yUZDI86vyMqP95DG1DklV3P+VhtTZmjcXw7EzB6Wex97zFYadsNEaOfbE/LpcfQNdbjplJiPDpXN&#10;WzIbcTZ2s3EIUe+7ska5HoQPh4RNlN5yhRF2KowzK+ym/cpL8fxesp7+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p5hnvIAQAAmwMAAA4AAAAAAAAAAQAgAAAAHgEAAGRycy9lMm9Eb2Mu&#10;eG1sUEsFBgAAAAAGAAYAWQEAAFgFAAAAAA==&#10;">
              <v:fill on="f" focussize="0,0"/>
              <v:stroke on="f"/>
              <v:imagedata o:title=""/>
              <o:lock v:ext="edit" aspectratio="f"/>
              <v:textbox inset="0mm,0mm,0mm,0mm" style="mso-fit-shape-to-text:t;">
                <w:txbxContent>
                  <w:p w14:paraId="03C91D14">
                    <w:pPr>
                      <w:pStyle w:val="9"/>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A2D66">
    <w:pPr>
      <w:pStyle w:val="9"/>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6B43DC">
                          <w:pPr>
                            <w:pStyle w:val="9"/>
                          </w:pPr>
                          <w:r>
                            <w:fldChar w:fldCharType="begin"/>
                          </w:r>
                          <w:r>
                            <w:instrText xml:space="preserve"> PAGE  \* MERGEFORMAT </w:instrText>
                          </w:r>
                          <w:r>
                            <w:fldChar w:fldCharType="separate"/>
                          </w:r>
                          <w:r>
                            <w:t>84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626B43DC">
                    <w:pPr>
                      <w:pStyle w:val="9"/>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4D0F0">
    <w:pPr>
      <w:pStyle w:val="9"/>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CA6FA1">
                          <w:pPr>
                            <w:pStyle w:val="9"/>
                          </w:pPr>
                          <w:r>
                            <w:fldChar w:fldCharType="begin"/>
                          </w:r>
                          <w:r>
                            <w:instrText xml:space="preserve"> PAGE  \* MERGEFORMAT </w:instrText>
                          </w:r>
                          <w:r>
                            <w:fldChar w:fldCharType="separate"/>
                          </w:r>
                          <w:r>
                            <w:t>85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51CA6FA1">
                    <w:pPr>
                      <w:pStyle w:val="9"/>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C8A99">
    <w:pPr>
      <w:pStyle w:val="9"/>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C3A1A2">
                          <w:pPr>
                            <w:pStyle w:val="9"/>
                          </w:pPr>
                          <w:r>
                            <w:fldChar w:fldCharType="begin"/>
                          </w:r>
                          <w:r>
                            <w:instrText xml:space="preserve"> PAGE  \* MERGEFORMAT </w:instrText>
                          </w:r>
                          <w:r>
                            <w:fldChar w:fldCharType="separate"/>
                          </w:r>
                          <w:r>
                            <w:t>86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41C3A1A2">
                    <w:pPr>
                      <w:pStyle w:val="9"/>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83AA">
    <w:pPr>
      <w:pStyle w:val="9"/>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7CDF16">
                          <w:pPr>
                            <w:pStyle w:val="9"/>
                          </w:pPr>
                          <w:r>
                            <w:fldChar w:fldCharType="begin"/>
                          </w:r>
                          <w:r>
                            <w:instrText xml:space="preserve"> PAGE  \* MERGEFORMAT </w:instrText>
                          </w:r>
                          <w:r>
                            <w:fldChar w:fldCharType="separate"/>
                          </w:r>
                          <w:r>
                            <w:t>89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257CDF16">
                    <w:pPr>
                      <w:pStyle w:val="9"/>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F1839">
    <w:pPr>
      <w:pStyle w:val="9"/>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DDDC6D">
                          <w:pPr>
                            <w:pStyle w:val="9"/>
                          </w:pPr>
                          <w:r>
                            <w:fldChar w:fldCharType="begin"/>
                          </w:r>
                          <w:r>
                            <w:instrText xml:space="preserve"> PAGE  \* MERGEFORMAT </w:instrText>
                          </w:r>
                          <w:r>
                            <w:fldChar w:fldCharType="separate"/>
                          </w:r>
                          <w:r>
                            <w:t>90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17DDDC6D">
                    <w:pPr>
                      <w:pStyle w:val="9"/>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B42A8">
    <w:pPr>
      <w:pStyle w:val="9"/>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38896C">
                          <w:pPr>
                            <w:pStyle w:val="9"/>
                          </w:pPr>
                          <w:r>
                            <w:fldChar w:fldCharType="begin"/>
                          </w:r>
                          <w:r>
                            <w:instrText xml:space="preserve"> PAGE  \* MERGEFORMAT </w:instrText>
                          </w:r>
                          <w:r>
                            <w:fldChar w:fldCharType="separate"/>
                          </w:r>
                          <w:r>
                            <w:t>91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F38896C">
                    <w:pPr>
                      <w:pStyle w:val="9"/>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D492F">
    <w:pPr>
      <w:pStyle w:val="9"/>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6477A0">
                          <w:pPr>
                            <w:pStyle w:val="9"/>
                          </w:pPr>
                          <w:r>
                            <w:fldChar w:fldCharType="begin"/>
                          </w:r>
                          <w:r>
                            <w:instrText xml:space="preserve"> PAGE  \* MERGEFORMAT </w:instrText>
                          </w:r>
                          <w:r>
                            <w:fldChar w:fldCharType="separate"/>
                          </w:r>
                          <w:r>
                            <w:t>93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6F6477A0">
                    <w:pPr>
                      <w:pStyle w:val="9"/>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05EE9">
    <w:pPr>
      <w:pStyle w:val="9"/>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75858">
                          <w:pPr>
                            <w:pStyle w:val="9"/>
                          </w:pPr>
                          <w:r>
                            <w:fldChar w:fldCharType="begin"/>
                          </w:r>
                          <w:r>
                            <w:instrText xml:space="preserve"> PAGE  \* MERGEFORMAT </w:instrText>
                          </w:r>
                          <w:r>
                            <w:fldChar w:fldCharType="separate"/>
                          </w:r>
                          <w:r>
                            <w:t>94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6E75858">
                    <w:pPr>
                      <w:pStyle w:val="9"/>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0530B">
    <w:pPr>
      <w:pStyle w:val="9"/>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6E60DC">
                          <w:pPr>
                            <w:pStyle w:val="9"/>
                          </w:pPr>
                          <w:r>
                            <w:fldChar w:fldCharType="begin"/>
                          </w:r>
                          <w:r>
                            <w:instrText xml:space="preserve"> PAGE  \* MERGEFORMAT </w:instrText>
                          </w:r>
                          <w:r>
                            <w:fldChar w:fldCharType="separate"/>
                          </w:r>
                          <w:r>
                            <w:t>102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F6E60DC">
                    <w:pPr>
                      <w:pStyle w:val="9"/>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5426D">
    <w:pPr>
      <w:pStyle w:val="5"/>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D3099">
    <w:pPr>
      <w:pStyle w:val="5"/>
      <w:spacing w:line="50"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053E8">
    <w:pPr>
      <w:pStyle w:val="5"/>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7B020">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C9BDCA"/>
    <w:multiLevelType w:val="singleLevel"/>
    <w:tmpl w:val="E6C9BDCA"/>
    <w:lvl w:ilvl="0" w:tentative="0">
      <w:start w:val="1"/>
      <w:numFmt w:val="decimal"/>
      <w:suff w:val="nothing"/>
      <w:lvlText w:val="（%1）"/>
      <w:lvlJc w:val="left"/>
    </w:lvl>
  </w:abstractNum>
  <w:abstractNum w:abstractNumId="1">
    <w:nsid w:val="00000003"/>
    <w:multiLevelType w:val="singleLevel"/>
    <w:tmpl w:val="0000000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5NTMyYzhhYTk4ODI2NjY4ZjA3YWI3Y2E3NWM2YzcifQ=="/>
  </w:docVars>
  <w:rsids>
    <w:rsidRoot w:val="4F582EF7"/>
    <w:rsid w:val="00072C34"/>
    <w:rsid w:val="00473031"/>
    <w:rsid w:val="00824069"/>
    <w:rsid w:val="00D61DC8"/>
    <w:rsid w:val="01276505"/>
    <w:rsid w:val="013F232E"/>
    <w:rsid w:val="014C6B51"/>
    <w:rsid w:val="018B7D8A"/>
    <w:rsid w:val="01B6213A"/>
    <w:rsid w:val="01BE1198"/>
    <w:rsid w:val="01E25ABE"/>
    <w:rsid w:val="01EE7C08"/>
    <w:rsid w:val="01F123AA"/>
    <w:rsid w:val="01FD63CC"/>
    <w:rsid w:val="02337D11"/>
    <w:rsid w:val="023B3D55"/>
    <w:rsid w:val="024F6BF1"/>
    <w:rsid w:val="02BF0C55"/>
    <w:rsid w:val="02F13018"/>
    <w:rsid w:val="031418F0"/>
    <w:rsid w:val="0358304C"/>
    <w:rsid w:val="03661A20"/>
    <w:rsid w:val="039E06FB"/>
    <w:rsid w:val="04021749"/>
    <w:rsid w:val="04B67F25"/>
    <w:rsid w:val="04BF763A"/>
    <w:rsid w:val="04E2157A"/>
    <w:rsid w:val="04EF43C3"/>
    <w:rsid w:val="050B1B91"/>
    <w:rsid w:val="055E6E53"/>
    <w:rsid w:val="056C5F91"/>
    <w:rsid w:val="05D4768F"/>
    <w:rsid w:val="05E67124"/>
    <w:rsid w:val="05E732EC"/>
    <w:rsid w:val="05EC614B"/>
    <w:rsid w:val="062235DD"/>
    <w:rsid w:val="063C112F"/>
    <w:rsid w:val="06856661"/>
    <w:rsid w:val="069B537E"/>
    <w:rsid w:val="06C70A28"/>
    <w:rsid w:val="06C929F2"/>
    <w:rsid w:val="06CA23DC"/>
    <w:rsid w:val="06D05B2E"/>
    <w:rsid w:val="06DD024B"/>
    <w:rsid w:val="07001B9F"/>
    <w:rsid w:val="07133987"/>
    <w:rsid w:val="07520C39"/>
    <w:rsid w:val="07A1396F"/>
    <w:rsid w:val="07A71DAB"/>
    <w:rsid w:val="07B92A66"/>
    <w:rsid w:val="07DE24CD"/>
    <w:rsid w:val="0858402D"/>
    <w:rsid w:val="086230FE"/>
    <w:rsid w:val="088C763C"/>
    <w:rsid w:val="08CD7283"/>
    <w:rsid w:val="08E41D65"/>
    <w:rsid w:val="08EB6C4F"/>
    <w:rsid w:val="092D5890"/>
    <w:rsid w:val="09377CD6"/>
    <w:rsid w:val="0963211F"/>
    <w:rsid w:val="096B1B3E"/>
    <w:rsid w:val="09724BB7"/>
    <w:rsid w:val="09C807D3"/>
    <w:rsid w:val="09F06AB0"/>
    <w:rsid w:val="09FA34EB"/>
    <w:rsid w:val="09FF4A68"/>
    <w:rsid w:val="0A62467A"/>
    <w:rsid w:val="0A7D4664"/>
    <w:rsid w:val="0A87732E"/>
    <w:rsid w:val="0AD33307"/>
    <w:rsid w:val="0AE00211"/>
    <w:rsid w:val="0AE05E8C"/>
    <w:rsid w:val="0AF3628F"/>
    <w:rsid w:val="0B3866B7"/>
    <w:rsid w:val="0B9E41C6"/>
    <w:rsid w:val="0BC6217A"/>
    <w:rsid w:val="0BD240F7"/>
    <w:rsid w:val="0C120997"/>
    <w:rsid w:val="0C2A7A8F"/>
    <w:rsid w:val="0C2B1A59"/>
    <w:rsid w:val="0C4153D2"/>
    <w:rsid w:val="0C49746F"/>
    <w:rsid w:val="0C597D15"/>
    <w:rsid w:val="0CA07D76"/>
    <w:rsid w:val="0CA27F6D"/>
    <w:rsid w:val="0CF14A50"/>
    <w:rsid w:val="0D03679A"/>
    <w:rsid w:val="0D3B3F1D"/>
    <w:rsid w:val="0DCB0DFD"/>
    <w:rsid w:val="0DCE22AF"/>
    <w:rsid w:val="0DF525DE"/>
    <w:rsid w:val="0DF61CE0"/>
    <w:rsid w:val="0DF86616"/>
    <w:rsid w:val="0E1E1875"/>
    <w:rsid w:val="0E460DCC"/>
    <w:rsid w:val="0E684952"/>
    <w:rsid w:val="0E86353F"/>
    <w:rsid w:val="0E8E37ED"/>
    <w:rsid w:val="0EAF2E14"/>
    <w:rsid w:val="0EDB59B8"/>
    <w:rsid w:val="0F1C2D99"/>
    <w:rsid w:val="0F6F04DC"/>
    <w:rsid w:val="105858FC"/>
    <w:rsid w:val="106C3AC2"/>
    <w:rsid w:val="108403E2"/>
    <w:rsid w:val="109275A9"/>
    <w:rsid w:val="10C15734"/>
    <w:rsid w:val="10C44237"/>
    <w:rsid w:val="10C761F4"/>
    <w:rsid w:val="11164A85"/>
    <w:rsid w:val="1122342A"/>
    <w:rsid w:val="11533574"/>
    <w:rsid w:val="11785740"/>
    <w:rsid w:val="117A3266"/>
    <w:rsid w:val="11862732"/>
    <w:rsid w:val="118F278E"/>
    <w:rsid w:val="119D4F21"/>
    <w:rsid w:val="11A47985"/>
    <w:rsid w:val="11AC40AD"/>
    <w:rsid w:val="11C67A56"/>
    <w:rsid w:val="11C94C09"/>
    <w:rsid w:val="11D80D88"/>
    <w:rsid w:val="12474DCB"/>
    <w:rsid w:val="12527641"/>
    <w:rsid w:val="126805E3"/>
    <w:rsid w:val="12E7492B"/>
    <w:rsid w:val="12E74FC1"/>
    <w:rsid w:val="12F27F6E"/>
    <w:rsid w:val="14141B79"/>
    <w:rsid w:val="1457788F"/>
    <w:rsid w:val="14760C96"/>
    <w:rsid w:val="14882C02"/>
    <w:rsid w:val="14D013EF"/>
    <w:rsid w:val="150A2744"/>
    <w:rsid w:val="150D2643"/>
    <w:rsid w:val="15115C90"/>
    <w:rsid w:val="155A4F75"/>
    <w:rsid w:val="15763D45"/>
    <w:rsid w:val="15853F88"/>
    <w:rsid w:val="15A45AE5"/>
    <w:rsid w:val="15D97B34"/>
    <w:rsid w:val="15DC13FE"/>
    <w:rsid w:val="15E038B4"/>
    <w:rsid w:val="16005D04"/>
    <w:rsid w:val="160E0085"/>
    <w:rsid w:val="162E6E4D"/>
    <w:rsid w:val="16443E43"/>
    <w:rsid w:val="16737FC1"/>
    <w:rsid w:val="16C17241"/>
    <w:rsid w:val="16CB00C0"/>
    <w:rsid w:val="16CB4A2F"/>
    <w:rsid w:val="1722468F"/>
    <w:rsid w:val="173C4B1A"/>
    <w:rsid w:val="17726DD2"/>
    <w:rsid w:val="17C50FB3"/>
    <w:rsid w:val="18226406"/>
    <w:rsid w:val="182A472E"/>
    <w:rsid w:val="18602A8A"/>
    <w:rsid w:val="190B3062"/>
    <w:rsid w:val="1963464B"/>
    <w:rsid w:val="197764F6"/>
    <w:rsid w:val="1981143D"/>
    <w:rsid w:val="19BC1F42"/>
    <w:rsid w:val="1A136028"/>
    <w:rsid w:val="1A3A6836"/>
    <w:rsid w:val="1A584D7E"/>
    <w:rsid w:val="1A5B5BFF"/>
    <w:rsid w:val="1A5D1977"/>
    <w:rsid w:val="1AC50DC4"/>
    <w:rsid w:val="1AC660BB"/>
    <w:rsid w:val="1AE57555"/>
    <w:rsid w:val="1B0A266C"/>
    <w:rsid w:val="1B656D35"/>
    <w:rsid w:val="1B6A170F"/>
    <w:rsid w:val="1B745FC1"/>
    <w:rsid w:val="1B8D003A"/>
    <w:rsid w:val="1BEC4D61"/>
    <w:rsid w:val="1C0B2F87"/>
    <w:rsid w:val="1C146065"/>
    <w:rsid w:val="1C2A3ADB"/>
    <w:rsid w:val="1C324211"/>
    <w:rsid w:val="1C512E14"/>
    <w:rsid w:val="1C5632C7"/>
    <w:rsid w:val="1C7F3E27"/>
    <w:rsid w:val="1D880AB9"/>
    <w:rsid w:val="1DA27862"/>
    <w:rsid w:val="1DE11B57"/>
    <w:rsid w:val="1E206F43"/>
    <w:rsid w:val="1E3B5B2B"/>
    <w:rsid w:val="1E491296"/>
    <w:rsid w:val="1E4F7829"/>
    <w:rsid w:val="1E5D49E3"/>
    <w:rsid w:val="1E994221"/>
    <w:rsid w:val="1EDA5344"/>
    <w:rsid w:val="1EE13915"/>
    <w:rsid w:val="1EE461C3"/>
    <w:rsid w:val="1F077682"/>
    <w:rsid w:val="1F487665"/>
    <w:rsid w:val="1F5263F9"/>
    <w:rsid w:val="1F683A66"/>
    <w:rsid w:val="1F875754"/>
    <w:rsid w:val="1FFE32B4"/>
    <w:rsid w:val="2020237A"/>
    <w:rsid w:val="20515ADA"/>
    <w:rsid w:val="20801F1B"/>
    <w:rsid w:val="208A4B48"/>
    <w:rsid w:val="209669C5"/>
    <w:rsid w:val="20B16579"/>
    <w:rsid w:val="20C37337"/>
    <w:rsid w:val="20CB1F07"/>
    <w:rsid w:val="20F6072B"/>
    <w:rsid w:val="21090925"/>
    <w:rsid w:val="21244F9D"/>
    <w:rsid w:val="213D3171"/>
    <w:rsid w:val="222C2B90"/>
    <w:rsid w:val="22457E73"/>
    <w:rsid w:val="22837AA1"/>
    <w:rsid w:val="22884FD6"/>
    <w:rsid w:val="22F866E1"/>
    <w:rsid w:val="23213C5D"/>
    <w:rsid w:val="232C2DD6"/>
    <w:rsid w:val="2331574F"/>
    <w:rsid w:val="233953DA"/>
    <w:rsid w:val="235B72E4"/>
    <w:rsid w:val="23931F66"/>
    <w:rsid w:val="23C465C3"/>
    <w:rsid w:val="24262DDA"/>
    <w:rsid w:val="243E66C2"/>
    <w:rsid w:val="2446643F"/>
    <w:rsid w:val="244F07D7"/>
    <w:rsid w:val="24521E21"/>
    <w:rsid w:val="246102B6"/>
    <w:rsid w:val="24782AD4"/>
    <w:rsid w:val="248726E0"/>
    <w:rsid w:val="249C3951"/>
    <w:rsid w:val="24C17E52"/>
    <w:rsid w:val="24DB3BC4"/>
    <w:rsid w:val="24FA6740"/>
    <w:rsid w:val="25004979"/>
    <w:rsid w:val="25243F0A"/>
    <w:rsid w:val="2535226A"/>
    <w:rsid w:val="253A7C36"/>
    <w:rsid w:val="254C2D14"/>
    <w:rsid w:val="256D06AE"/>
    <w:rsid w:val="2582242A"/>
    <w:rsid w:val="259D2ECD"/>
    <w:rsid w:val="25A55F80"/>
    <w:rsid w:val="25B20381"/>
    <w:rsid w:val="25E62821"/>
    <w:rsid w:val="25F25669"/>
    <w:rsid w:val="260B04D9"/>
    <w:rsid w:val="264763B7"/>
    <w:rsid w:val="2672726E"/>
    <w:rsid w:val="26734FA1"/>
    <w:rsid w:val="26881A92"/>
    <w:rsid w:val="268B2A3A"/>
    <w:rsid w:val="268B3DAD"/>
    <w:rsid w:val="26962499"/>
    <w:rsid w:val="26A61FB0"/>
    <w:rsid w:val="27035E88"/>
    <w:rsid w:val="27415C62"/>
    <w:rsid w:val="27B65EBB"/>
    <w:rsid w:val="27CA47C6"/>
    <w:rsid w:val="282B4E63"/>
    <w:rsid w:val="28884FF7"/>
    <w:rsid w:val="289A5B44"/>
    <w:rsid w:val="289F315B"/>
    <w:rsid w:val="28D472A8"/>
    <w:rsid w:val="29017971"/>
    <w:rsid w:val="290F389D"/>
    <w:rsid w:val="293A2650"/>
    <w:rsid w:val="2962542C"/>
    <w:rsid w:val="299E36C0"/>
    <w:rsid w:val="29CC6CA4"/>
    <w:rsid w:val="2B367172"/>
    <w:rsid w:val="2B7314CC"/>
    <w:rsid w:val="2B784A6E"/>
    <w:rsid w:val="2B9A7B07"/>
    <w:rsid w:val="2BA07916"/>
    <w:rsid w:val="2BAE2033"/>
    <w:rsid w:val="2BB37649"/>
    <w:rsid w:val="2BC9037C"/>
    <w:rsid w:val="2BFD3113"/>
    <w:rsid w:val="2C0003B4"/>
    <w:rsid w:val="2C1005F7"/>
    <w:rsid w:val="2C15160E"/>
    <w:rsid w:val="2C44430E"/>
    <w:rsid w:val="2C4F172C"/>
    <w:rsid w:val="2C9C00DD"/>
    <w:rsid w:val="2CA156F3"/>
    <w:rsid w:val="2D906B09"/>
    <w:rsid w:val="2D9C5EBB"/>
    <w:rsid w:val="2DD973AC"/>
    <w:rsid w:val="2DFB1659"/>
    <w:rsid w:val="2E0221C2"/>
    <w:rsid w:val="2E611B70"/>
    <w:rsid w:val="2E9A689E"/>
    <w:rsid w:val="2ECB6A58"/>
    <w:rsid w:val="2EDD4BB1"/>
    <w:rsid w:val="2EE93382"/>
    <w:rsid w:val="2F01185F"/>
    <w:rsid w:val="2F2729AC"/>
    <w:rsid w:val="2F3C0F4C"/>
    <w:rsid w:val="2FB82F9F"/>
    <w:rsid w:val="2FE418AC"/>
    <w:rsid w:val="2FE5383E"/>
    <w:rsid w:val="2FEA4C7F"/>
    <w:rsid w:val="30330D58"/>
    <w:rsid w:val="3037089D"/>
    <w:rsid w:val="30EA3353"/>
    <w:rsid w:val="31013C49"/>
    <w:rsid w:val="312319EF"/>
    <w:rsid w:val="313C778B"/>
    <w:rsid w:val="318F6462"/>
    <w:rsid w:val="321A2D0F"/>
    <w:rsid w:val="32382656"/>
    <w:rsid w:val="324D664C"/>
    <w:rsid w:val="3267118D"/>
    <w:rsid w:val="32870EE7"/>
    <w:rsid w:val="32BE6EB2"/>
    <w:rsid w:val="32C7154E"/>
    <w:rsid w:val="33156D5E"/>
    <w:rsid w:val="3317207A"/>
    <w:rsid w:val="331A6B7B"/>
    <w:rsid w:val="331F2052"/>
    <w:rsid w:val="333554DB"/>
    <w:rsid w:val="33396D39"/>
    <w:rsid w:val="33643EF5"/>
    <w:rsid w:val="33D80BF4"/>
    <w:rsid w:val="33D939C5"/>
    <w:rsid w:val="33F77F81"/>
    <w:rsid w:val="34254482"/>
    <w:rsid w:val="346F257B"/>
    <w:rsid w:val="348C4EDB"/>
    <w:rsid w:val="348F605A"/>
    <w:rsid w:val="34BD27EA"/>
    <w:rsid w:val="34E716B6"/>
    <w:rsid w:val="3505113E"/>
    <w:rsid w:val="35233259"/>
    <w:rsid w:val="35357321"/>
    <w:rsid w:val="355115AF"/>
    <w:rsid w:val="359F2BE0"/>
    <w:rsid w:val="35AE6CC5"/>
    <w:rsid w:val="35FC399A"/>
    <w:rsid w:val="362A675A"/>
    <w:rsid w:val="36B60605"/>
    <w:rsid w:val="36DB3EF8"/>
    <w:rsid w:val="36DB7A54"/>
    <w:rsid w:val="36EC39E0"/>
    <w:rsid w:val="37484E0B"/>
    <w:rsid w:val="37647A49"/>
    <w:rsid w:val="37704640"/>
    <w:rsid w:val="37704A11"/>
    <w:rsid w:val="37C45ACE"/>
    <w:rsid w:val="37DF2D89"/>
    <w:rsid w:val="37E335F2"/>
    <w:rsid w:val="3835053A"/>
    <w:rsid w:val="386B727B"/>
    <w:rsid w:val="38BE1535"/>
    <w:rsid w:val="39194863"/>
    <w:rsid w:val="391D7376"/>
    <w:rsid w:val="39403E21"/>
    <w:rsid w:val="397A7B42"/>
    <w:rsid w:val="399A1E48"/>
    <w:rsid w:val="39B4157B"/>
    <w:rsid w:val="39D32C64"/>
    <w:rsid w:val="39D55A01"/>
    <w:rsid w:val="39DA2245"/>
    <w:rsid w:val="3A104D75"/>
    <w:rsid w:val="3A344D97"/>
    <w:rsid w:val="3A4C2C68"/>
    <w:rsid w:val="3A4D1A2B"/>
    <w:rsid w:val="3A5244D1"/>
    <w:rsid w:val="3A5E69D2"/>
    <w:rsid w:val="3ABD7209"/>
    <w:rsid w:val="3B2C2F74"/>
    <w:rsid w:val="3B3415C4"/>
    <w:rsid w:val="3B345984"/>
    <w:rsid w:val="3B351E28"/>
    <w:rsid w:val="3B4F53C1"/>
    <w:rsid w:val="3B626996"/>
    <w:rsid w:val="3B6C6BA3"/>
    <w:rsid w:val="3B78218B"/>
    <w:rsid w:val="3BAE3989"/>
    <w:rsid w:val="3BB15227"/>
    <w:rsid w:val="3BF02721"/>
    <w:rsid w:val="3BFA0A8A"/>
    <w:rsid w:val="3C242530"/>
    <w:rsid w:val="3C4165AB"/>
    <w:rsid w:val="3CCA02B2"/>
    <w:rsid w:val="3CD613E9"/>
    <w:rsid w:val="3CE62383"/>
    <w:rsid w:val="3CEC7A2A"/>
    <w:rsid w:val="3D0433A8"/>
    <w:rsid w:val="3D0F69B6"/>
    <w:rsid w:val="3D2959BD"/>
    <w:rsid w:val="3D3219D3"/>
    <w:rsid w:val="3D3474F8"/>
    <w:rsid w:val="3DA26478"/>
    <w:rsid w:val="3DCE35B6"/>
    <w:rsid w:val="3DD136B5"/>
    <w:rsid w:val="3DD5344F"/>
    <w:rsid w:val="3E0F3EB7"/>
    <w:rsid w:val="3E244EE5"/>
    <w:rsid w:val="3E2609B2"/>
    <w:rsid w:val="3E76426F"/>
    <w:rsid w:val="3E7F6463"/>
    <w:rsid w:val="3E962D65"/>
    <w:rsid w:val="3ECB4852"/>
    <w:rsid w:val="3EE83D57"/>
    <w:rsid w:val="3EEB0292"/>
    <w:rsid w:val="3F281B00"/>
    <w:rsid w:val="3F6A7BC7"/>
    <w:rsid w:val="3F930BE9"/>
    <w:rsid w:val="3F952DC8"/>
    <w:rsid w:val="3FE15005"/>
    <w:rsid w:val="3FE77469"/>
    <w:rsid w:val="400E2C48"/>
    <w:rsid w:val="407E19EB"/>
    <w:rsid w:val="40ED6D01"/>
    <w:rsid w:val="41216845"/>
    <w:rsid w:val="413A36FE"/>
    <w:rsid w:val="4176014F"/>
    <w:rsid w:val="4213220D"/>
    <w:rsid w:val="4235270E"/>
    <w:rsid w:val="423F17DF"/>
    <w:rsid w:val="42461BF0"/>
    <w:rsid w:val="424C7A58"/>
    <w:rsid w:val="427179B7"/>
    <w:rsid w:val="428A07FE"/>
    <w:rsid w:val="428D039F"/>
    <w:rsid w:val="429E2362"/>
    <w:rsid w:val="42DD2EA3"/>
    <w:rsid w:val="42FC0E58"/>
    <w:rsid w:val="43077F25"/>
    <w:rsid w:val="4310792B"/>
    <w:rsid w:val="43621354"/>
    <w:rsid w:val="436D5ED7"/>
    <w:rsid w:val="437454B8"/>
    <w:rsid w:val="43947908"/>
    <w:rsid w:val="43AA0EDA"/>
    <w:rsid w:val="43D25E53"/>
    <w:rsid w:val="43E25FC1"/>
    <w:rsid w:val="440138A0"/>
    <w:rsid w:val="44246EDE"/>
    <w:rsid w:val="44692B43"/>
    <w:rsid w:val="447C65C0"/>
    <w:rsid w:val="448742A8"/>
    <w:rsid w:val="44875C56"/>
    <w:rsid w:val="44983428"/>
    <w:rsid w:val="44C47D79"/>
    <w:rsid w:val="451A208F"/>
    <w:rsid w:val="45433394"/>
    <w:rsid w:val="45877724"/>
    <w:rsid w:val="458A0FC3"/>
    <w:rsid w:val="458D2861"/>
    <w:rsid w:val="45BB3260"/>
    <w:rsid w:val="45DC241C"/>
    <w:rsid w:val="46092999"/>
    <w:rsid w:val="4612476D"/>
    <w:rsid w:val="468F5CB4"/>
    <w:rsid w:val="46957C1F"/>
    <w:rsid w:val="46C027C2"/>
    <w:rsid w:val="4743767B"/>
    <w:rsid w:val="474820C5"/>
    <w:rsid w:val="474855C4"/>
    <w:rsid w:val="475B13E7"/>
    <w:rsid w:val="47777325"/>
    <w:rsid w:val="47DD7AD0"/>
    <w:rsid w:val="47E70FBB"/>
    <w:rsid w:val="47F02414"/>
    <w:rsid w:val="48021647"/>
    <w:rsid w:val="481D611E"/>
    <w:rsid w:val="48221986"/>
    <w:rsid w:val="483C3BAC"/>
    <w:rsid w:val="48B545A9"/>
    <w:rsid w:val="48D34790"/>
    <w:rsid w:val="48ED18F0"/>
    <w:rsid w:val="48F826E7"/>
    <w:rsid w:val="4929464F"/>
    <w:rsid w:val="494C6C0E"/>
    <w:rsid w:val="4955379A"/>
    <w:rsid w:val="498C348F"/>
    <w:rsid w:val="49C34AA3"/>
    <w:rsid w:val="49DA3B9B"/>
    <w:rsid w:val="49DA528B"/>
    <w:rsid w:val="49FA4012"/>
    <w:rsid w:val="49FA5FEB"/>
    <w:rsid w:val="4A4F4589"/>
    <w:rsid w:val="4A5573E4"/>
    <w:rsid w:val="4A62606A"/>
    <w:rsid w:val="4A712751"/>
    <w:rsid w:val="4AF87271"/>
    <w:rsid w:val="4B036BFD"/>
    <w:rsid w:val="4B380D6F"/>
    <w:rsid w:val="4B3A1029"/>
    <w:rsid w:val="4B555BCF"/>
    <w:rsid w:val="4B5A3EB8"/>
    <w:rsid w:val="4B6E0A3F"/>
    <w:rsid w:val="4B771FE9"/>
    <w:rsid w:val="4BBC29D4"/>
    <w:rsid w:val="4C3C0B3D"/>
    <w:rsid w:val="4C443C2D"/>
    <w:rsid w:val="4C560DCF"/>
    <w:rsid w:val="4C723258"/>
    <w:rsid w:val="4CB608EF"/>
    <w:rsid w:val="4D0E072B"/>
    <w:rsid w:val="4D0F1621"/>
    <w:rsid w:val="4D24354A"/>
    <w:rsid w:val="4D4E6D7A"/>
    <w:rsid w:val="4D9A1FBF"/>
    <w:rsid w:val="4DCE1F8B"/>
    <w:rsid w:val="4DF94F37"/>
    <w:rsid w:val="4E0D2791"/>
    <w:rsid w:val="4E2A6045"/>
    <w:rsid w:val="4E437F61"/>
    <w:rsid w:val="4E4E19C6"/>
    <w:rsid w:val="4EB40E5E"/>
    <w:rsid w:val="4F1A33B7"/>
    <w:rsid w:val="4F411EB6"/>
    <w:rsid w:val="4F582EF7"/>
    <w:rsid w:val="4FBA24A4"/>
    <w:rsid w:val="4FBB7FCB"/>
    <w:rsid w:val="50100316"/>
    <w:rsid w:val="502A41CA"/>
    <w:rsid w:val="50377300"/>
    <w:rsid w:val="50983373"/>
    <w:rsid w:val="50AB5953"/>
    <w:rsid w:val="50D60C20"/>
    <w:rsid w:val="51183927"/>
    <w:rsid w:val="5135755A"/>
    <w:rsid w:val="51574F11"/>
    <w:rsid w:val="517B73AD"/>
    <w:rsid w:val="518A5306"/>
    <w:rsid w:val="51983548"/>
    <w:rsid w:val="51AB3D3B"/>
    <w:rsid w:val="51BD3D23"/>
    <w:rsid w:val="51D04201"/>
    <w:rsid w:val="51DA0BDC"/>
    <w:rsid w:val="51DC4954"/>
    <w:rsid w:val="521A27DD"/>
    <w:rsid w:val="52534816"/>
    <w:rsid w:val="52634928"/>
    <w:rsid w:val="52A0414F"/>
    <w:rsid w:val="53277999"/>
    <w:rsid w:val="53987EBC"/>
    <w:rsid w:val="53A35FB7"/>
    <w:rsid w:val="53A95638"/>
    <w:rsid w:val="53E24E44"/>
    <w:rsid w:val="53F94527"/>
    <w:rsid w:val="54014B46"/>
    <w:rsid w:val="54297BF9"/>
    <w:rsid w:val="5472334E"/>
    <w:rsid w:val="54DB5397"/>
    <w:rsid w:val="550348EE"/>
    <w:rsid w:val="555D5DAC"/>
    <w:rsid w:val="5563097D"/>
    <w:rsid w:val="556F4EE2"/>
    <w:rsid w:val="55D21BD3"/>
    <w:rsid w:val="56312D95"/>
    <w:rsid w:val="564725B8"/>
    <w:rsid w:val="56652099"/>
    <w:rsid w:val="56680EAC"/>
    <w:rsid w:val="56843C9F"/>
    <w:rsid w:val="569B3338"/>
    <w:rsid w:val="56A27943"/>
    <w:rsid w:val="56A40209"/>
    <w:rsid w:val="56F5281F"/>
    <w:rsid w:val="573E766F"/>
    <w:rsid w:val="5765355C"/>
    <w:rsid w:val="57690BD0"/>
    <w:rsid w:val="576F0018"/>
    <w:rsid w:val="57C15E41"/>
    <w:rsid w:val="57CA1153"/>
    <w:rsid w:val="57E46E53"/>
    <w:rsid w:val="580118E9"/>
    <w:rsid w:val="580E253F"/>
    <w:rsid w:val="58254B7B"/>
    <w:rsid w:val="584A495B"/>
    <w:rsid w:val="584B22BE"/>
    <w:rsid w:val="5892758E"/>
    <w:rsid w:val="58947716"/>
    <w:rsid w:val="58A65CBC"/>
    <w:rsid w:val="58B66C06"/>
    <w:rsid w:val="58C779E0"/>
    <w:rsid w:val="5909228A"/>
    <w:rsid w:val="59154BEF"/>
    <w:rsid w:val="593A16EF"/>
    <w:rsid w:val="59CA7788"/>
    <w:rsid w:val="5A1B6236"/>
    <w:rsid w:val="5A2E712E"/>
    <w:rsid w:val="5A2F2D66"/>
    <w:rsid w:val="5A6D6164"/>
    <w:rsid w:val="5A86004F"/>
    <w:rsid w:val="5A8938AD"/>
    <w:rsid w:val="5AAE69DB"/>
    <w:rsid w:val="5AF0582F"/>
    <w:rsid w:val="5AF947C9"/>
    <w:rsid w:val="5B1B6AA6"/>
    <w:rsid w:val="5B224E28"/>
    <w:rsid w:val="5B7D7A78"/>
    <w:rsid w:val="5BA65FD3"/>
    <w:rsid w:val="5BAF7B56"/>
    <w:rsid w:val="5BD91F04"/>
    <w:rsid w:val="5BDB5C7C"/>
    <w:rsid w:val="5BF611E3"/>
    <w:rsid w:val="5C0E6052"/>
    <w:rsid w:val="5C313AEE"/>
    <w:rsid w:val="5C86208C"/>
    <w:rsid w:val="5CAC7619"/>
    <w:rsid w:val="5D131446"/>
    <w:rsid w:val="5D7C18C6"/>
    <w:rsid w:val="5DA14CA4"/>
    <w:rsid w:val="5DA779D9"/>
    <w:rsid w:val="5DC84953"/>
    <w:rsid w:val="5DDC3F2E"/>
    <w:rsid w:val="5E9E23A9"/>
    <w:rsid w:val="5EAC56AE"/>
    <w:rsid w:val="5EDA0A8B"/>
    <w:rsid w:val="5F0537AA"/>
    <w:rsid w:val="5F162912"/>
    <w:rsid w:val="5F20072A"/>
    <w:rsid w:val="5F2117F1"/>
    <w:rsid w:val="5F27754A"/>
    <w:rsid w:val="5F2B3E04"/>
    <w:rsid w:val="5F760F40"/>
    <w:rsid w:val="5FE21584"/>
    <w:rsid w:val="5FE82E26"/>
    <w:rsid w:val="5FF3691B"/>
    <w:rsid w:val="5FFF5CB2"/>
    <w:rsid w:val="60161979"/>
    <w:rsid w:val="60673F83"/>
    <w:rsid w:val="606E1F64"/>
    <w:rsid w:val="609E5FA7"/>
    <w:rsid w:val="60C253E7"/>
    <w:rsid w:val="60CE0912"/>
    <w:rsid w:val="60CE0B25"/>
    <w:rsid w:val="60EB39A9"/>
    <w:rsid w:val="61555832"/>
    <w:rsid w:val="618F343D"/>
    <w:rsid w:val="61A30FEA"/>
    <w:rsid w:val="61D5316E"/>
    <w:rsid w:val="61D67CE4"/>
    <w:rsid w:val="61DB6D9C"/>
    <w:rsid w:val="61EF4230"/>
    <w:rsid w:val="6200643D"/>
    <w:rsid w:val="623C3CCB"/>
    <w:rsid w:val="6277131B"/>
    <w:rsid w:val="62894736"/>
    <w:rsid w:val="62EC69C1"/>
    <w:rsid w:val="63520F1A"/>
    <w:rsid w:val="636E0BBA"/>
    <w:rsid w:val="63956DA8"/>
    <w:rsid w:val="63964B41"/>
    <w:rsid w:val="63994A58"/>
    <w:rsid w:val="64474047"/>
    <w:rsid w:val="646C600B"/>
    <w:rsid w:val="647C3D75"/>
    <w:rsid w:val="64B27796"/>
    <w:rsid w:val="64CC5E52"/>
    <w:rsid w:val="64DA0DFC"/>
    <w:rsid w:val="64FD5E87"/>
    <w:rsid w:val="65785BCE"/>
    <w:rsid w:val="658C3A08"/>
    <w:rsid w:val="658D4138"/>
    <w:rsid w:val="65A319AD"/>
    <w:rsid w:val="65B768E4"/>
    <w:rsid w:val="66043DF1"/>
    <w:rsid w:val="660B7840"/>
    <w:rsid w:val="661D46CA"/>
    <w:rsid w:val="66887A48"/>
    <w:rsid w:val="66B94E0C"/>
    <w:rsid w:val="66BB1AFB"/>
    <w:rsid w:val="66CF7EED"/>
    <w:rsid w:val="66E83943"/>
    <w:rsid w:val="670F317A"/>
    <w:rsid w:val="673D6A15"/>
    <w:rsid w:val="67960780"/>
    <w:rsid w:val="682E5386"/>
    <w:rsid w:val="683726A5"/>
    <w:rsid w:val="684B23DC"/>
    <w:rsid w:val="68576EF7"/>
    <w:rsid w:val="6874548F"/>
    <w:rsid w:val="68817FE2"/>
    <w:rsid w:val="688D47A2"/>
    <w:rsid w:val="68CD623B"/>
    <w:rsid w:val="68DB72BC"/>
    <w:rsid w:val="68FD36D6"/>
    <w:rsid w:val="69562DE6"/>
    <w:rsid w:val="695E105C"/>
    <w:rsid w:val="696012B6"/>
    <w:rsid w:val="69642093"/>
    <w:rsid w:val="69793390"/>
    <w:rsid w:val="69C02956"/>
    <w:rsid w:val="69CA6B08"/>
    <w:rsid w:val="69F97B76"/>
    <w:rsid w:val="6A042666"/>
    <w:rsid w:val="6A3277F5"/>
    <w:rsid w:val="6A9736F0"/>
    <w:rsid w:val="6AF830B1"/>
    <w:rsid w:val="6B1715B7"/>
    <w:rsid w:val="6B2C2051"/>
    <w:rsid w:val="6B3233DF"/>
    <w:rsid w:val="6B680BAF"/>
    <w:rsid w:val="6B6C68F1"/>
    <w:rsid w:val="6BA17D14"/>
    <w:rsid w:val="6BBB33D4"/>
    <w:rsid w:val="6BCC55E2"/>
    <w:rsid w:val="6BEA8026"/>
    <w:rsid w:val="6C0C5BDB"/>
    <w:rsid w:val="6C3D08A3"/>
    <w:rsid w:val="6C6770B8"/>
    <w:rsid w:val="6C845EBC"/>
    <w:rsid w:val="6CA41CC8"/>
    <w:rsid w:val="6CC20E82"/>
    <w:rsid w:val="6CD26C28"/>
    <w:rsid w:val="6CF3436B"/>
    <w:rsid w:val="6CF7293C"/>
    <w:rsid w:val="6D056FFD"/>
    <w:rsid w:val="6D443964"/>
    <w:rsid w:val="6D5B6316"/>
    <w:rsid w:val="6D9143ED"/>
    <w:rsid w:val="6DC74A88"/>
    <w:rsid w:val="6DD724DA"/>
    <w:rsid w:val="6DDC0B81"/>
    <w:rsid w:val="6DEA2117"/>
    <w:rsid w:val="6E041063"/>
    <w:rsid w:val="6E0C6BA8"/>
    <w:rsid w:val="6E4C538F"/>
    <w:rsid w:val="6E8C1058"/>
    <w:rsid w:val="6E9A11ED"/>
    <w:rsid w:val="6EBF142E"/>
    <w:rsid w:val="6ED722D3"/>
    <w:rsid w:val="6EE175F6"/>
    <w:rsid w:val="6F24190C"/>
    <w:rsid w:val="6F7C2E7B"/>
    <w:rsid w:val="6FC36D9E"/>
    <w:rsid w:val="6FE70C3C"/>
    <w:rsid w:val="70076BE8"/>
    <w:rsid w:val="70852D97"/>
    <w:rsid w:val="70A47AAD"/>
    <w:rsid w:val="70AE40C7"/>
    <w:rsid w:val="70C25205"/>
    <w:rsid w:val="70DA254F"/>
    <w:rsid w:val="70E51DA8"/>
    <w:rsid w:val="70F20FE3"/>
    <w:rsid w:val="71174B27"/>
    <w:rsid w:val="71946BA2"/>
    <w:rsid w:val="71A843FB"/>
    <w:rsid w:val="71C97895"/>
    <w:rsid w:val="721E450C"/>
    <w:rsid w:val="7256750B"/>
    <w:rsid w:val="7262278F"/>
    <w:rsid w:val="72D73D3D"/>
    <w:rsid w:val="72EC6569"/>
    <w:rsid w:val="73394BB6"/>
    <w:rsid w:val="73397A01"/>
    <w:rsid w:val="736A253A"/>
    <w:rsid w:val="73A429A0"/>
    <w:rsid w:val="73AC2D59"/>
    <w:rsid w:val="73BE1CB4"/>
    <w:rsid w:val="73EC5B91"/>
    <w:rsid w:val="73FC458A"/>
    <w:rsid w:val="742E7E7F"/>
    <w:rsid w:val="747B5DF7"/>
    <w:rsid w:val="74C002E8"/>
    <w:rsid w:val="74CF1255"/>
    <w:rsid w:val="74E7523A"/>
    <w:rsid w:val="74FB54A4"/>
    <w:rsid w:val="751A7B05"/>
    <w:rsid w:val="75220020"/>
    <w:rsid w:val="755522F8"/>
    <w:rsid w:val="755E2DEF"/>
    <w:rsid w:val="75611CC1"/>
    <w:rsid w:val="75A03D67"/>
    <w:rsid w:val="75BF5728"/>
    <w:rsid w:val="75DD731F"/>
    <w:rsid w:val="7621652A"/>
    <w:rsid w:val="76265AC6"/>
    <w:rsid w:val="763A2EF5"/>
    <w:rsid w:val="76642085"/>
    <w:rsid w:val="768014A2"/>
    <w:rsid w:val="7682438C"/>
    <w:rsid w:val="768857E3"/>
    <w:rsid w:val="768D4B1F"/>
    <w:rsid w:val="769D2054"/>
    <w:rsid w:val="76C31EDD"/>
    <w:rsid w:val="76EC2FDC"/>
    <w:rsid w:val="77060EB2"/>
    <w:rsid w:val="77120FDD"/>
    <w:rsid w:val="775C2950"/>
    <w:rsid w:val="77610F13"/>
    <w:rsid w:val="778C37F8"/>
    <w:rsid w:val="779C230C"/>
    <w:rsid w:val="779D7E32"/>
    <w:rsid w:val="77A92C7B"/>
    <w:rsid w:val="77B12E34"/>
    <w:rsid w:val="77D46CD2"/>
    <w:rsid w:val="77D83D50"/>
    <w:rsid w:val="781D0CC1"/>
    <w:rsid w:val="7823193A"/>
    <w:rsid w:val="782E61C7"/>
    <w:rsid w:val="783B33E4"/>
    <w:rsid w:val="7844130F"/>
    <w:rsid w:val="78534B66"/>
    <w:rsid w:val="785B3F75"/>
    <w:rsid w:val="787B0197"/>
    <w:rsid w:val="787E1A12"/>
    <w:rsid w:val="78BE10F6"/>
    <w:rsid w:val="78CA4C57"/>
    <w:rsid w:val="78D43D28"/>
    <w:rsid w:val="78DD2BDC"/>
    <w:rsid w:val="792E5466"/>
    <w:rsid w:val="79435553"/>
    <w:rsid w:val="794672BF"/>
    <w:rsid w:val="79E263BE"/>
    <w:rsid w:val="7A064282"/>
    <w:rsid w:val="7A3C1D44"/>
    <w:rsid w:val="7A9E283F"/>
    <w:rsid w:val="7AC77F2D"/>
    <w:rsid w:val="7ACB4CB6"/>
    <w:rsid w:val="7ADD5362"/>
    <w:rsid w:val="7B036E36"/>
    <w:rsid w:val="7B0E3521"/>
    <w:rsid w:val="7B1A0118"/>
    <w:rsid w:val="7B31160A"/>
    <w:rsid w:val="7B62386D"/>
    <w:rsid w:val="7B6E2211"/>
    <w:rsid w:val="7BAD0A4E"/>
    <w:rsid w:val="7BB00E61"/>
    <w:rsid w:val="7BD227A0"/>
    <w:rsid w:val="7BF12E1F"/>
    <w:rsid w:val="7C1822AA"/>
    <w:rsid w:val="7C7C731A"/>
    <w:rsid w:val="7C85264B"/>
    <w:rsid w:val="7CA06753"/>
    <w:rsid w:val="7CB43242"/>
    <w:rsid w:val="7CB61824"/>
    <w:rsid w:val="7CBD69D7"/>
    <w:rsid w:val="7CC76395"/>
    <w:rsid w:val="7CEF2EDE"/>
    <w:rsid w:val="7D1961AD"/>
    <w:rsid w:val="7D4F7E21"/>
    <w:rsid w:val="7D7A30EF"/>
    <w:rsid w:val="7D9D293A"/>
    <w:rsid w:val="7DA51A4B"/>
    <w:rsid w:val="7E0B01EB"/>
    <w:rsid w:val="7E1E7F1F"/>
    <w:rsid w:val="7E321E60"/>
    <w:rsid w:val="7E390B0F"/>
    <w:rsid w:val="7E493D4F"/>
    <w:rsid w:val="7E5356EF"/>
    <w:rsid w:val="7E881DA7"/>
    <w:rsid w:val="7E894498"/>
    <w:rsid w:val="7E9B65C0"/>
    <w:rsid w:val="7F060C17"/>
    <w:rsid w:val="7F0C421B"/>
    <w:rsid w:val="7F2F766E"/>
    <w:rsid w:val="7F3D58B7"/>
    <w:rsid w:val="7F6B3277"/>
    <w:rsid w:val="7F7C3A97"/>
    <w:rsid w:val="7F9051D5"/>
    <w:rsid w:val="7F9C372F"/>
    <w:rsid w:val="7FE01204"/>
    <w:rsid w:val="7FFA67D9"/>
    <w:rsid w:val="7FFB9374"/>
    <w:rsid w:val="7FFC4290"/>
    <w:rsid w:val="DFBBF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link w:val="44"/>
    <w:autoRedefine/>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3">
    <w:name w:val="heading 4"/>
    <w:basedOn w:val="1"/>
    <w:next w:val="1"/>
    <w:qFormat/>
    <w:uiPriority w:val="0"/>
    <w:pPr>
      <w:keepNext/>
      <w:keepLines/>
      <w:spacing w:line="374" w:lineRule="auto"/>
      <w:outlineLvl w:val="3"/>
    </w:pPr>
    <w:rPr>
      <w:rFonts w:ascii="Arial" w:hAnsi="Arial"/>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4">
    <w:name w:val="annotation text"/>
    <w:basedOn w:val="1"/>
    <w:next w:val="1"/>
    <w:qFormat/>
    <w:uiPriority w:val="0"/>
    <w:pPr>
      <w:adjustRightInd w:val="0"/>
      <w:spacing w:line="360" w:lineRule="atLeast"/>
      <w:jc w:val="left"/>
      <w:textAlignment w:val="baseline"/>
    </w:pPr>
    <w:rPr>
      <w:kern w:val="0"/>
    </w:rPr>
  </w:style>
  <w:style w:type="paragraph" w:styleId="5">
    <w:name w:val="Body Text"/>
    <w:basedOn w:val="1"/>
    <w:next w:val="6"/>
    <w:autoRedefine/>
    <w:semiHidden/>
    <w:qFormat/>
    <w:uiPriority w:val="0"/>
    <w:rPr>
      <w:rFonts w:ascii="Arial" w:hAnsi="Arial" w:eastAsia="Arial" w:cs="Arial"/>
      <w:sz w:val="21"/>
      <w:szCs w:val="21"/>
      <w:lang w:val="en-US" w:eastAsia="en-US" w:bidi="ar-SA"/>
    </w:rPr>
  </w:style>
  <w:style w:type="paragraph" w:styleId="6">
    <w:name w:val="Body Text 2"/>
    <w:basedOn w:val="1"/>
    <w:next w:val="5"/>
    <w:autoRedefine/>
    <w:qFormat/>
    <w:uiPriority w:val="0"/>
    <w:pPr>
      <w:spacing w:line="500" w:lineRule="exact"/>
    </w:pPr>
    <w:rPr>
      <w:rFonts w:ascii="宋体" w:hAnsi="Times New Roman" w:eastAsia="宋体" w:cs="Times New Roman"/>
      <w:sz w:val="24"/>
    </w:rPr>
  </w:style>
  <w:style w:type="paragraph" w:styleId="7">
    <w:name w:val="toc 3"/>
    <w:basedOn w:val="1"/>
    <w:next w:val="1"/>
    <w:autoRedefine/>
    <w:qFormat/>
    <w:uiPriority w:val="0"/>
    <w:pPr>
      <w:ind w:left="840" w:leftChars="400"/>
    </w:pPr>
  </w:style>
  <w:style w:type="paragraph" w:styleId="8">
    <w:name w:val="Plain Text"/>
    <w:basedOn w:val="1"/>
    <w:autoRedefine/>
    <w:qFormat/>
    <w:uiPriority w:val="0"/>
    <w:rPr>
      <w:rFonts w:ascii="宋体" w:hAnsi="Courier New"/>
      <w:szCs w:val="20"/>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toc 1"/>
    <w:basedOn w:val="1"/>
    <w:next w:val="1"/>
    <w:autoRedefine/>
    <w:qFormat/>
    <w:uiPriority w:val="0"/>
  </w:style>
  <w:style w:type="paragraph" w:styleId="11">
    <w:name w:val="toc 2"/>
    <w:basedOn w:val="1"/>
    <w:next w:val="1"/>
    <w:autoRedefine/>
    <w:qFormat/>
    <w:uiPriority w:val="0"/>
    <w:pPr>
      <w:ind w:left="420" w:leftChars="200"/>
    </w:pPr>
  </w:style>
  <w:style w:type="paragraph" w:styleId="12">
    <w:name w:val="Normal (Web)"/>
    <w:basedOn w:val="1"/>
    <w:autoRedefine/>
    <w:qFormat/>
    <w:uiPriority w:val="0"/>
    <w:pPr>
      <w:spacing w:beforeAutospacing="1" w:afterAutospacing="1"/>
      <w:jc w:val="left"/>
    </w:pPr>
    <w:rPr>
      <w:rFonts w:cs="Times New Roman"/>
      <w:kern w:val="0"/>
      <w:sz w:val="24"/>
    </w:rPr>
  </w:style>
  <w:style w:type="paragraph" w:styleId="13">
    <w:name w:val="Body Text First Indent"/>
    <w:basedOn w:val="5"/>
    <w:autoRedefine/>
    <w:qFormat/>
    <w:uiPriority w:val="99"/>
    <w:pPr>
      <w:spacing w:line="240" w:lineRule="auto"/>
      <w:ind w:firstLine="420" w:firstLineChars="100"/>
    </w:pPr>
    <w:rPr>
      <w:rFonts w:ascii="Times New Roman" w:cs="Times New Roman"/>
      <w:sz w:val="20"/>
      <w:szCs w:val="20"/>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Emphasis"/>
    <w:basedOn w:val="16"/>
    <w:autoRedefine/>
    <w:qFormat/>
    <w:uiPriority w:val="0"/>
    <w:rPr>
      <w:i/>
    </w:rPr>
  </w:style>
  <w:style w:type="paragraph" w:customStyle="1" w:styleId="18">
    <w:name w:val="Normal Indent1"/>
    <w:basedOn w:val="1"/>
    <w:autoRedefine/>
    <w:qFormat/>
    <w:uiPriority w:val="0"/>
    <w:pPr>
      <w:widowControl/>
      <w:spacing w:line="360" w:lineRule="auto"/>
      <w:ind w:firstLine="420"/>
      <w:jc w:val="left"/>
    </w:pPr>
    <w:rPr>
      <w:rFonts w:ascii="宋体" w:hAnsi="Times New Roman" w:eastAsia="宋体" w:cs="Times New Roman"/>
      <w:kern w:val="0"/>
      <w:sz w:val="20"/>
      <w:szCs w:val="20"/>
    </w:rPr>
  </w:style>
  <w:style w:type="paragraph" w:customStyle="1" w:styleId="19">
    <w:name w:val="Default"/>
    <w:autoRedefine/>
    <w:unhideWhenUsed/>
    <w:qFormat/>
    <w:uiPriority w:val="99"/>
    <w:pPr>
      <w:widowControl w:val="0"/>
      <w:autoSpaceDE w:val="0"/>
      <w:autoSpaceDN w:val="0"/>
      <w:adjustRightInd w:val="0"/>
    </w:pPr>
    <w:rPr>
      <w:rFonts w:hint="eastAsia" w:ascii="Arial Unicode MS" w:hAnsi="Arial Unicode MS" w:eastAsia="Arial Unicode MS" w:cs="Times New Roman"/>
      <w:color w:val="000000"/>
      <w:sz w:val="24"/>
      <w:lang w:val="en-US" w:eastAsia="zh-CN" w:bidi="ar-SA"/>
    </w:rPr>
  </w:style>
  <w:style w:type="paragraph" w:customStyle="1" w:styleId="20">
    <w:name w:val="UserStyle_43"/>
    <w:autoRedefine/>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1">
    <w:name w:val="NormalCharacter"/>
    <w:autoRedefine/>
    <w:qFormat/>
    <w:uiPriority w:val="99"/>
  </w:style>
  <w:style w:type="paragraph" w:customStyle="1" w:styleId="22">
    <w:name w:val="Table Text"/>
    <w:basedOn w:val="1"/>
    <w:autoRedefine/>
    <w:semiHidden/>
    <w:qFormat/>
    <w:uiPriority w:val="0"/>
    <w:rPr>
      <w:rFonts w:ascii="Arial" w:hAnsi="Arial" w:eastAsia="Arial" w:cs="Arial"/>
      <w:sz w:val="21"/>
      <w:szCs w:val="21"/>
      <w:lang w:val="en-US" w:eastAsia="en-US" w:bidi="ar-SA"/>
    </w:rPr>
  </w:style>
  <w:style w:type="paragraph" w:customStyle="1" w:styleId="23">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正文缩进1"/>
    <w:basedOn w:val="1"/>
    <w:autoRedefine/>
    <w:qFormat/>
    <w:uiPriority w:val="0"/>
    <w:pPr>
      <w:widowControl/>
      <w:ind w:firstLine="420"/>
      <w:jc w:val="left"/>
    </w:pPr>
    <w:rPr>
      <w:kern w:val="0"/>
    </w:rPr>
  </w:style>
  <w:style w:type="paragraph" w:customStyle="1" w:styleId="25">
    <w:name w:val="UserStyle_19"/>
    <w:autoRedefine/>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26">
    <w:name w:val="正文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7">
    <w:name w:val="正文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8">
    <w:name w:val="正文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9">
    <w:name w:val="正文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0">
    <w:name w:val="Heading2"/>
    <w:basedOn w:val="1"/>
    <w:next w:val="1"/>
    <w:autoRedefine/>
    <w:qFormat/>
    <w:uiPriority w:val="99"/>
    <w:pPr>
      <w:jc w:val="left"/>
    </w:pPr>
    <w:rPr>
      <w:kern w:val="0"/>
    </w:rPr>
  </w:style>
  <w:style w:type="paragraph" w:customStyle="1" w:styleId="31">
    <w:name w:val="AnnotationText"/>
    <w:basedOn w:val="1"/>
    <w:autoRedefine/>
    <w:qFormat/>
    <w:uiPriority w:val="99"/>
    <w:pPr>
      <w:spacing w:line="360" w:lineRule="atLeast"/>
      <w:jc w:val="left"/>
    </w:pPr>
    <w:rPr>
      <w:kern w:val="0"/>
    </w:rPr>
  </w:style>
  <w:style w:type="paragraph" w:customStyle="1" w:styleId="32">
    <w:name w:val="UserStyle_44"/>
    <w:basedOn w:val="33"/>
    <w:autoRedefine/>
    <w:qFormat/>
    <w:uiPriority w:val="99"/>
    <w:rPr>
      <w:sz w:val="24"/>
      <w:szCs w:val="24"/>
    </w:rPr>
  </w:style>
  <w:style w:type="paragraph" w:customStyle="1" w:styleId="33">
    <w:name w:val="UserStyle_33"/>
    <w:autoRedefine/>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4">
    <w:name w:val="UserStyle_45"/>
    <w:autoRedefine/>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35">
    <w:name w:val="正文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36">
    <w:name w:val="文一"/>
    <w:basedOn w:val="1"/>
    <w:autoRedefine/>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37">
    <w:name w:val="BodyText"/>
    <w:basedOn w:val="1"/>
    <w:next w:val="38"/>
    <w:autoRedefine/>
    <w:qFormat/>
    <w:uiPriority w:val="99"/>
    <w:pPr>
      <w:spacing w:after="120"/>
    </w:pPr>
  </w:style>
  <w:style w:type="paragraph" w:customStyle="1" w:styleId="38">
    <w:name w:val="BodyText2"/>
    <w:basedOn w:val="1"/>
    <w:autoRedefine/>
    <w:qFormat/>
    <w:uiPriority w:val="99"/>
    <w:pPr>
      <w:spacing w:line="500" w:lineRule="exact"/>
    </w:pPr>
  </w:style>
  <w:style w:type="paragraph" w:customStyle="1" w:styleId="39">
    <w:name w:val="正文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0">
    <w:name w:val="正文缩进 New"/>
    <w:basedOn w:val="41"/>
    <w:autoRedefine/>
    <w:qFormat/>
    <w:uiPriority w:val="0"/>
    <w:pPr>
      <w:widowControl/>
      <w:ind w:firstLine="420"/>
      <w:jc w:val="left"/>
    </w:pPr>
    <w:rPr>
      <w:kern w:val="0"/>
      <w:sz w:val="20"/>
    </w:rPr>
  </w:style>
  <w:style w:type="paragraph" w:customStyle="1" w:styleId="41">
    <w:name w:val="正文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2">
    <w:name w:val="正文文本 New"/>
    <w:basedOn w:val="1"/>
    <w:autoRedefine/>
    <w:qFormat/>
    <w:uiPriority w:val="0"/>
    <w:pPr>
      <w:spacing w:after="120" w:line="360" w:lineRule="auto"/>
    </w:pPr>
    <w:rPr>
      <w:rFonts w:ascii="宋体" w:hAnsi="Times New Roman" w:eastAsia="宋体" w:cs="Times New Roman"/>
      <w:sz w:val="24"/>
      <w:szCs w:val="20"/>
    </w:rPr>
  </w:style>
  <w:style w:type="character" w:customStyle="1" w:styleId="43">
    <w:name w:val="正文文本 (2) + 间距 0 pt3"/>
    <w:basedOn w:val="16"/>
    <w:autoRedefine/>
    <w:qFormat/>
    <w:uiPriority w:val="0"/>
    <w:rPr>
      <w:rFonts w:ascii="MingLiU" w:hAnsi="Times New Roman" w:eastAsia="MingLiU" w:cs="MingLiU"/>
      <w:spacing w:val="0"/>
      <w:sz w:val="22"/>
      <w:szCs w:val="22"/>
      <w:u w:val="none"/>
    </w:rPr>
  </w:style>
  <w:style w:type="character" w:customStyle="1" w:styleId="44">
    <w:name w:val="标题 2 字符"/>
    <w:link w:val="2"/>
    <w:autoRedefine/>
    <w:qFormat/>
    <w:uiPriority w:val="0"/>
    <w:rPr>
      <w:rFonts w:hint="eastAsia" w:ascii="宋体" w:hAnsi="宋体" w:eastAsia="宋体" w:cs="宋体"/>
      <w:b/>
      <w:bCs/>
      <w:kern w:val="0"/>
      <w:sz w:val="36"/>
      <w:szCs w:val="36"/>
      <w:lang w:val="en-US" w:eastAsia="zh-CN" w:bidi="ar"/>
    </w:rPr>
  </w:style>
  <w:style w:type="paragraph" w:customStyle="1" w:styleId="45">
    <w:name w:val="标题 3 New New"/>
    <w:basedOn w:val="40"/>
    <w:next w:val="40"/>
    <w:autoRedefine/>
    <w:qFormat/>
    <w:uiPriority w:val="0"/>
    <w:pPr>
      <w:keepNext/>
      <w:keepLines/>
      <w:spacing w:before="120" w:beforeLines="0" w:beforeAutospacing="0" w:after="120" w:afterLines="0" w:afterAutospacing="0"/>
      <w:jc w:val="center"/>
      <w:outlineLvl w:val="2"/>
    </w:pPr>
    <w:rPr>
      <w:rFonts w:ascii="Times New Roman" w:hAnsi="Times New Roman" w:eastAsia="宋体" w:cs="Times New Roman"/>
      <w:sz w:val="24"/>
    </w:rPr>
  </w:style>
  <w:style w:type="paragraph" w:customStyle="1" w:styleId="46">
    <w:name w:val="UserStyle_76"/>
    <w:basedOn w:val="47"/>
    <w:autoRedefine/>
    <w:qFormat/>
    <w:uiPriority w:val="99"/>
    <w:pPr>
      <w:ind w:firstLine="420"/>
      <w:jc w:val="left"/>
    </w:pPr>
    <w:rPr>
      <w:kern w:val="0"/>
      <w:sz w:val="20"/>
      <w:szCs w:val="20"/>
    </w:rPr>
  </w:style>
  <w:style w:type="paragraph" w:customStyle="1" w:styleId="47">
    <w:name w:val="UserStyle_15"/>
    <w:autoRedefine/>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8">
    <w:name w:val="正文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9">
    <w:name w:val="正文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8" Type="http://schemas.openxmlformats.org/officeDocument/2006/relationships/fontTable" Target="fontTable.xml"/><Relationship Id="rId57" Type="http://schemas.openxmlformats.org/officeDocument/2006/relationships/numbering" Target="numbering.xml"/><Relationship Id="rId56" Type="http://schemas.openxmlformats.org/officeDocument/2006/relationships/customXml" Target="../customXml/item1.xml"/><Relationship Id="rId55" Type="http://schemas.openxmlformats.org/officeDocument/2006/relationships/image" Target="media/image18.png"/><Relationship Id="rId54" Type="http://schemas.openxmlformats.org/officeDocument/2006/relationships/image" Target="media/image17.jpeg"/><Relationship Id="rId53" Type="http://schemas.openxmlformats.org/officeDocument/2006/relationships/image" Target="media/image16.png"/><Relationship Id="rId52" Type="http://schemas.openxmlformats.org/officeDocument/2006/relationships/image" Target="media/image15.png"/><Relationship Id="rId51" Type="http://schemas.openxmlformats.org/officeDocument/2006/relationships/image" Target="media/image14.wmf"/><Relationship Id="rId50" Type="http://schemas.openxmlformats.org/officeDocument/2006/relationships/oleObject" Target="embeddings/oleObject12.bin"/><Relationship Id="rId5" Type="http://schemas.openxmlformats.org/officeDocument/2006/relationships/footer" Target="footer1.xml"/><Relationship Id="rId49" Type="http://schemas.openxmlformats.org/officeDocument/2006/relationships/image" Target="media/image13.wmf"/><Relationship Id="rId48" Type="http://schemas.openxmlformats.org/officeDocument/2006/relationships/oleObject" Target="embeddings/oleObject11.bin"/><Relationship Id="rId47" Type="http://schemas.openxmlformats.org/officeDocument/2006/relationships/image" Target="media/image12.wmf"/><Relationship Id="rId46" Type="http://schemas.openxmlformats.org/officeDocument/2006/relationships/oleObject" Target="embeddings/oleObject10.bin"/><Relationship Id="rId45" Type="http://schemas.openxmlformats.org/officeDocument/2006/relationships/image" Target="media/image11.wmf"/><Relationship Id="rId44" Type="http://schemas.openxmlformats.org/officeDocument/2006/relationships/oleObject" Target="embeddings/oleObject9.bin"/><Relationship Id="rId43" Type="http://schemas.openxmlformats.org/officeDocument/2006/relationships/image" Target="media/image10.wmf"/><Relationship Id="rId42" Type="http://schemas.openxmlformats.org/officeDocument/2006/relationships/oleObject" Target="embeddings/oleObject8.bin"/><Relationship Id="rId41" Type="http://schemas.openxmlformats.org/officeDocument/2006/relationships/image" Target="media/image9.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8.wmf"/><Relationship Id="rId38" Type="http://schemas.openxmlformats.org/officeDocument/2006/relationships/oleObject" Target="embeddings/oleObject6.bin"/><Relationship Id="rId37" Type="http://schemas.openxmlformats.org/officeDocument/2006/relationships/image" Target="media/image7.wmf"/><Relationship Id="rId36" Type="http://schemas.openxmlformats.org/officeDocument/2006/relationships/oleObject" Target="embeddings/oleObject5.bin"/><Relationship Id="rId35" Type="http://schemas.openxmlformats.org/officeDocument/2006/relationships/image" Target="media/image6.wmf"/><Relationship Id="rId34" Type="http://schemas.openxmlformats.org/officeDocument/2006/relationships/oleObject" Target="embeddings/oleObject4.bin"/><Relationship Id="rId33" Type="http://schemas.openxmlformats.org/officeDocument/2006/relationships/image" Target="media/image5.wmf"/><Relationship Id="rId32" Type="http://schemas.openxmlformats.org/officeDocument/2006/relationships/oleObject" Target="embeddings/oleObject3.bin"/><Relationship Id="rId31" Type="http://schemas.openxmlformats.org/officeDocument/2006/relationships/image" Target="media/image4.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3.wmf"/><Relationship Id="rId28" Type="http://schemas.openxmlformats.org/officeDocument/2006/relationships/oleObject" Target="embeddings/oleObject1.bin"/><Relationship Id="rId27" Type="http://schemas.openxmlformats.org/officeDocument/2006/relationships/image" Target="media/image2.png"/><Relationship Id="rId26" Type="http://schemas.openxmlformats.org/officeDocument/2006/relationships/image" Target="media/image1.jpeg"/><Relationship Id="rId25" Type="http://schemas.openxmlformats.org/officeDocument/2006/relationships/theme" Target="theme/theme1.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90</Pages>
  <Words>57819</Words>
  <Characters>61493</Characters>
  <Lines>0</Lines>
  <Paragraphs>0</Paragraphs>
  <TotalTime>79</TotalTime>
  <ScaleCrop>false</ScaleCrop>
  <LinksUpToDate>false</LinksUpToDate>
  <CharactersWithSpaces>64734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2024-09-28T20:36:00Z</dcterms:created>
  <dc:creator>Administrator</dc:creator>
  <cp:lastModifiedBy>刘碧容</cp:lastModifiedBy>
  <cp:lastPrinted>2026-05-07T07:51:00Z</cp:lastPrinted>
  <dcterms:modified xsi:type="dcterms:W3CDTF">2026-10-08T09:58:39Z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2D7CEF526BC649CF9AEF0EC99CBFD1BC_13</vt:lpwstr>
  </property>
  <property fmtid="{D5CDD505-2E9C-101B-9397-08002B2CF9AE}" pid="4" name="KSOTemplateDocerSaveRecord">
    <vt:lpwstr>eyJoZGlkIjoiYzZjZGUwZmNiYmUwODIyNWEyODllYWU2NjI0NDMzMjciLCJ1c2VySWQiOiIyMjc3MDI5MTQifQ==</vt:lpwstr>
  </property>
</Properties>
</file>