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9C12318">
      <w:pPr>
        <w:rPr>
          <w:rFonts w:hint="eastAsia" w:ascii="宋体" w:hAnsi="宋体" w:eastAsia="宋体" w:cs="宋体"/>
          <w:b/>
          <w:bCs/>
          <w:color w:val="auto"/>
          <w:sz w:val="72"/>
          <w:szCs w:val="72"/>
          <w:highlight w:val="none"/>
          <w:lang w:eastAsia="zh-CN"/>
        </w:rPr>
      </w:pPr>
      <w:r>
        <w:rPr>
          <w:rFonts w:hint="eastAsia" w:ascii="宋体" w:hAnsi="宋体" w:eastAsia="宋体" w:cs="宋体"/>
          <w:b/>
          <w:color w:val="auto"/>
          <w:sz w:val="72"/>
          <w:szCs w:val="72"/>
          <w:highlight w:val="none"/>
          <w:lang w:eastAsia="zh-CN"/>
        </w:rPr>
        <w:drawing>
          <wp:anchor distT="0" distB="0" distL="114300" distR="114300" simplePos="0" relativeHeight="251659264" behindDoc="0" locked="0" layoutInCell="1" allowOverlap="1">
            <wp:simplePos x="0" y="0"/>
            <wp:positionH relativeFrom="column">
              <wp:posOffset>-845185</wp:posOffset>
            </wp:positionH>
            <wp:positionV relativeFrom="paragraph">
              <wp:posOffset>-805180</wp:posOffset>
            </wp:positionV>
            <wp:extent cx="7571740" cy="10710545"/>
            <wp:effectExtent l="0" t="0" r="10160" b="14605"/>
            <wp:wrapNone/>
            <wp:docPr id="2" name="图片 2" descr="招文封面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招文封面_01"/>
                    <pic:cNvPicPr>
                      <a:picLocks noChangeAspect="1"/>
                    </pic:cNvPicPr>
                  </pic:nvPicPr>
                  <pic:blipFill>
                    <a:blip r:embed="rId8"/>
                    <a:stretch>
                      <a:fillRect/>
                    </a:stretch>
                  </pic:blipFill>
                  <pic:spPr>
                    <a:xfrm>
                      <a:off x="0" y="0"/>
                      <a:ext cx="7571740" cy="10710545"/>
                    </a:xfrm>
                    <a:prstGeom prst="rect">
                      <a:avLst/>
                    </a:prstGeom>
                  </pic:spPr>
                </pic:pic>
              </a:graphicData>
            </a:graphic>
          </wp:anchor>
        </w:drawing>
      </w:r>
    </w:p>
    <w:p w14:paraId="7FB4D391">
      <w:pPr>
        <w:spacing w:line="360" w:lineRule="auto"/>
        <w:jc w:val="center"/>
        <w:rPr>
          <w:rFonts w:hint="eastAsia" w:ascii="宋体" w:hAnsi="宋体" w:eastAsia="宋体" w:cs="宋体"/>
          <w:b/>
          <w:color w:val="auto"/>
          <w:sz w:val="72"/>
          <w:szCs w:val="72"/>
          <w:highlight w:val="none"/>
          <w:lang w:eastAsia="zh-CN"/>
        </w:rPr>
      </w:pPr>
      <w:r>
        <w:rPr>
          <w:rFonts w:hint="eastAsia" w:ascii="宋体" w:hAnsi="宋体" w:eastAsia="宋体" w:cs="宋体"/>
          <w:b/>
          <w:color w:val="auto"/>
          <w:sz w:val="72"/>
          <w:szCs w:val="72"/>
          <w:highlight w:val="none"/>
          <w:lang w:eastAsia="zh-CN"/>
        </w:rPr>
        <w:t>韶关市武江区养老服务中心（一期）委托运营管理项目</w:t>
      </w:r>
    </w:p>
    <w:p w14:paraId="101F99CA">
      <w:pPr>
        <w:pStyle w:val="9"/>
        <w:rPr>
          <w:rFonts w:hint="eastAsia" w:ascii="宋体" w:hAnsi="宋体" w:eastAsia="宋体" w:cs="宋体"/>
          <w:color w:val="auto"/>
          <w:sz w:val="72"/>
          <w:szCs w:val="72"/>
          <w:highlight w:val="none"/>
        </w:rPr>
      </w:pPr>
    </w:p>
    <w:p w14:paraId="61584750">
      <w:pPr>
        <w:rPr>
          <w:rFonts w:hint="eastAsia" w:ascii="宋体" w:hAnsi="宋体" w:eastAsia="宋体" w:cs="宋体"/>
          <w:color w:val="auto"/>
          <w:sz w:val="72"/>
          <w:szCs w:val="72"/>
          <w:highlight w:val="none"/>
          <w:lang w:eastAsia="zh-CN"/>
        </w:rPr>
      </w:pPr>
    </w:p>
    <w:p w14:paraId="3D1CE8E0">
      <w:pPr>
        <w:spacing w:line="360" w:lineRule="auto"/>
        <w:jc w:val="center"/>
        <w:rPr>
          <w:rFonts w:hint="eastAsia" w:ascii="宋体" w:hAnsi="宋体" w:eastAsia="宋体" w:cs="宋体"/>
          <w:b/>
          <w:color w:val="auto"/>
          <w:sz w:val="72"/>
          <w:szCs w:val="72"/>
          <w:highlight w:val="none"/>
          <w:lang w:eastAsia="zh-CN"/>
        </w:rPr>
      </w:pPr>
      <w:r>
        <w:rPr>
          <w:rFonts w:hint="eastAsia" w:ascii="宋体" w:hAnsi="宋体" w:eastAsia="宋体" w:cs="宋体"/>
          <w:b/>
          <w:color w:val="auto"/>
          <w:sz w:val="72"/>
          <w:szCs w:val="72"/>
          <w:highlight w:val="none"/>
        </w:rPr>
        <w:t>公开招标文件</w:t>
      </w:r>
    </w:p>
    <w:p w14:paraId="4CF4D0DB">
      <w:pPr>
        <w:rPr>
          <w:rFonts w:hint="eastAsia" w:ascii="宋体" w:hAnsi="宋体" w:eastAsia="宋体" w:cs="宋体"/>
          <w:color w:val="auto"/>
          <w:highlight w:val="none"/>
          <w:lang w:eastAsia="zh-CN"/>
        </w:rPr>
      </w:pPr>
    </w:p>
    <w:p w14:paraId="37092F5E">
      <w:pPr>
        <w:rPr>
          <w:rFonts w:hint="eastAsia" w:ascii="宋体" w:hAnsi="宋体" w:eastAsia="宋体" w:cs="宋体"/>
          <w:color w:val="auto"/>
          <w:highlight w:val="none"/>
          <w:lang w:eastAsia="zh-CN"/>
        </w:rPr>
      </w:pPr>
    </w:p>
    <w:p w14:paraId="2C6B455E">
      <w:pPr>
        <w:pStyle w:val="26"/>
        <w:ind w:left="0" w:leftChars="0" w:firstLine="0" w:firstLineChars="0"/>
        <w:rPr>
          <w:rFonts w:hint="eastAsia" w:ascii="宋体" w:hAnsi="宋体" w:eastAsia="宋体" w:cs="宋体"/>
          <w:color w:val="auto"/>
          <w:highlight w:val="none"/>
          <w:lang w:eastAsia="zh-CN"/>
        </w:rPr>
      </w:pPr>
    </w:p>
    <w:p w14:paraId="1E444075">
      <w:pPr>
        <w:spacing w:line="360" w:lineRule="auto"/>
        <w:ind w:left="2630" w:leftChars="1104" w:right="-92" w:rightChars="-44" w:hanging="312" w:hangingChars="97"/>
        <w:jc w:val="both"/>
        <w:rPr>
          <w:rFonts w:hint="eastAsia" w:ascii="宋体" w:hAnsi="宋体" w:eastAsia="宋体" w:cs="宋体"/>
          <w:b/>
          <w:color w:val="auto"/>
          <w:sz w:val="32"/>
          <w:szCs w:val="32"/>
          <w:highlight w:val="none"/>
          <w:lang w:val="en-US" w:eastAsia="zh-CN"/>
        </w:rPr>
      </w:pPr>
      <w:r>
        <w:rPr>
          <w:rFonts w:hint="eastAsia" w:ascii="宋体" w:hAnsi="宋体" w:eastAsia="宋体" w:cs="宋体"/>
          <w:b/>
          <w:color w:val="auto"/>
          <w:sz w:val="32"/>
          <w:szCs w:val="32"/>
          <w:highlight w:val="none"/>
          <w:lang w:eastAsia="zh-CN"/>
        </w:rPr>
        <w:t>项目编号</w:t>
      </w:r>
      <w:r>
        <w:rPr>
          <w:rFonts w:hint="eastAsia" w:ascii="宋体" w:hAnsi="宋体" w:eastAsia="宋体" w:cs="宋体"/>
          <w:b/>
          <w:color w:val="auto"/>
          <w:sz w:val="32"/>
          <w:szCs w:val="32"/>
          <w:highlight w:val="none"/>
        </w:rPr>
        <w:t>：CQZB260016</w:t>
      </w:r>
      <w:r>
        <w:rPr>
          <w:rFonts w:hint="eastAsia" w:ascii="宋体" w:hAnsi="宋体" w:eastAsia="宋体" w:cs="宋体"/>
          <w:b/>
          <w:color w:val="auto"/>
          <w:sz w:val="32"/>
          <w:szCs w:val="32"/>
          <w:highlight w:val="none"/>
          <w:lang w:val="en-US" w:eastAsia="zh-CN"/>
        </w:rPr>
        <w:t xml:space="preserve">  </w:t>
      </w:r>
    </w:p>
    <w:p w14:paraId="254F3322">
      <w:pPr>
        <w:pStyle w:val="8"/>
        <w:rPr>
          <w:rFonts w:hint="eastAsia" w:ascii="宋体" w:hAnsi="宋体" w:eastAsia="宋体" w:cs="宋体"/>
          <w:b/>
          <w:color w:val="auto"/>
          <w:sz w:val="32"/>
          <w:szCs w:val="32"/>
          <w:highlight w:val="none"/>
          <w:lang w:val="en-US" w:eastAsia="zh-CN"/>
        </w:rPr>
      </w:pPr>
    </w:p>
    <w:p w14:paraId="5DC1041D">
      <w:pPr>
        <w:pStyle w:val="26"/>
        <w:rPr>
          <w:rFonts w:hint="eastAsia" w:ascii="宋体" w:hAnsi="宋体" w:eastAsia="宋体" w:cs="宋体"/>
          <w:color w:val="auto"/>
          <w:sz w:val="32"/>
          <w:szCs w:val="32"/>
          <w:highlight w:val="none"/>
        </w:rPr>
      </w:pPr>
    </w:p>
    <w:p w14:paraId="7923C673">
      <w:pPr>
        <w:pStyle w:val="26"/>
        <w:rPr>
          <w:rFonts w:hint="eastAsia" w:ascii="宋体" w:hAnsi="宋体" w:eastAsia="宋体" w:cs="宋体"/>
          <w:color w:val="auto"/>
          <w:sz w:val="32"/>
          <w:szCs w:val="32"/>
          <w:highlight w:val="none"/>
        </w:rPr>
      </w:pPr>
    </w:p>
    <w:p w14:paraId="53F9391D">
      <w:pPr>
        <w:keepNext w:val="0"/>
        <w:keepLines w:val="0"/>
        <w:pageBreakBefore w:val="0"/>
        <w:widowControl w:val="0"/>
        <w:kinsoku/>
        <w:wordWrap/>
        <w:overflowPunct/>
        <w:topLinePunct w:val="0"/>
        <w:autoSpaceDE/>
        <w:autoSpaceDN/>
        <w:bidi w:val="0"/>
        <w:adjustRightInd/>
        <w:snapToGrid/>
        <w:spacing w:line="600" w:lineRule="auto"/>
        <w:ind w:right="0" w:rightChars="0" w:firstLine="0" w:firstLineChars="0"/>
        <w:jc w:val="center"/>
        <w:textAlignment w:val="auto"/>
        <w:rPr>
          <w:rFonts w:hint="eastAsia" w:ascii="宋体" w:hAnsi="宋体" w:eastAsia="宋体" w:cs="宋体"/>
          <w:b/>
          <w:color w:val="auto"/>
          <w:sz w:val="32"/>
          <w:szCs w:val="32"/>
          <w:highlight w:val="none"/>
          <w:lang w:val="en-US" w:eastAsia="zh-CN"/>
        </w:rPr>
      </w:pPr>
      <w:r>
        <w:rPr>
          <w:rFonts w:hint="eastAsia" w:ascii="宋体" w:hAnsi="宋体" w:eastAsia="宋体" w:cs="宋体"/>
          <w:b/>
          <w:color w:val="auto"/>
          <w:sz w:val="32"/>
          <w:szCs w:val="32"/>
          <w:highlight w:val="none"/>
          <w:lang w:val="en-US" w:eastAsia="zh-CN"/>
        </w:rPr>
        <w:t>招标</w:t>
      </w:r>
      <w:r>
        <w:rPr>
          <w:rFonts w:hint="eastAsia" w:ascii="宋体" w:hAnsi="宋体" w:eastAsia="宋体" w:cs="宋体"/>
          <w:b/>
          <w:color w:val="auto"/>
          <w:sz w:val="32"/>
          <w:szCs w:val="32"/>
          <w:highlight w:val="none"/>
        </w:rPr>
        <w:t>人：</w:t>
      </w:r>
      <w:r>
        <w:rPr>
          <w:rFonts w:hint="eastAsia" w:ascii="宋体" w:hAnsi="宋体" w:eastAsia="宋体" w:cs="宋体"/>
          <w:b/>
          <w:color w:val="auto"/>
          <w:sz w:val="32"/>
          <w:szCs w:val="32"/>
          <w:highlight w:val="none"/>
          <w:lang w:eastAsia="zh-CN"/>
        </w:rPr>
        <w:t>韶关市武江区民政局</w:t>
      </w:r>
    </w:p>
    <w:p w14:paraId="012553DD">
      <w:pPr>
        <w:keepNext w:val="0"/>
        <w:keepLines w:val="0"/>
        <w:pageBreakBefore w:val="0"/>
        <w:widowControl w:val="0"/>
        <w:kinsoku/>
        <w:wordWrap/>
        <w:overflowPunct/>
        <w:topLinePunct w:val="0"/>
        <w:autoSpaceDE/>
        <w:autoSpaceDN/>
        <w:bidi w:val="0"/>
        <w:adjustRightInd/>
        <w:snapToGrid/>
        <w:spacing w:line="600" w:lineRule="auto"/>
        <w:ind w:right="0" w:rightChars="0" w:firstLine="0" w:firstLineChars="0"/>
        <w:jc w:val="center"/>
        <w:textAlignment w:val="auto"/>
        <w:rPr>
          <w:rFonts w:hint="eastAsia" w:ascii="宋体" w:hAnsi="宋体" w:eastAsia="宋体" w:cs="宋体"/>
          <w:b/>
          <w:color w:val="auto"/>
          <w:sz w:val="32"/>
          <w:szCs w:val="32"/>
          <w:highlight w:val="none"/>
        </w:rPr>
      </w:pPr>
      <w:r>
        <w:rPr>
          <w:rFonts w:hint="eastAsia" w:ascii="宋体" w:hAnsi="宋体" w:eastAsia="宋体" w:cs="宋体"/>
          <w:b/>
          <w:color w:val="auto"/>
          <w:sz w:val="32"/>
          <w:szCs w:val="32"/>
          <w:highlight w:val="none"/>
          <w:lang w:val="en-US" w:eastAsia="zh-CN"/>
        </w:rPr>
        <w:t>招标</w:t>
      </w:r>
      <w:r>
        <w:rPr>
          <w:rFonts w:hint="eastAsia" w:ascii="宋体" w:hAnsi="宋体" w:eastAsia="宋体" w:cs="宋体"/>
          <w:b/>
          <w:color w:val="auto"/>
          <w:sz w:val="32"/>
          <w:szCs w:val="32"/>
          <w:highlight w:val="none"/>
        </w:rPr>
        <w:t>代理机构：</w:t>
      </w:r>
      <w:r>
        <w:rPr>
          <w:rFonts w:hint="eastAsia" w:ascii="宋体" w:hAnsi="宋体" w:eastAsia="宋体" w:cs="宋体"/>
          <w:b/>
          <w:color w:val="auto"/>
          <w:sz w:val="32"/>
          <w:szCs w:val="32"/>
          <w:highlight w:val="none"/>
          <w:lang w:eastAsia="zh-CN"/>
        </w:rPr>
        <w:t>广东合正项目管理有限公司</w:t>
      </w:r>
    </w:p>
    <w:p w14:paraId="09745852">
      <w:pPr>
        <w:jc w:val="center"/>
        <w:rPr>
          <w:rFonts w:hint="eastAsia" w:ascii="宋体" w:hAnsi="宋体" w:eastAsia="宋体" w:cs="宋体"/>
          <w:b/>
          <w:color w:val="auto"/>
          <w:sz w:val="32"/>
          <w:szCs w:val="32"/>
          <w:highlight w:val="none"/>
        </w:rPr>
      </w:pPr>
      <w:r>
        <w:rPr>
          <w:rFonts w:hint="eastAsia" w:ascii="宋体" w:hAnsi="宋体" w:eastAsia="宋体" w:cs="宋体"/>
          <w:b/>
          <w:color w:val="auto"/>
          <w:sz w:val="32"/>
          <w:szCs w:val="32"/>
          <w:highlight w:val="none"/>
          <w:lang w:eastAsia="zh-CN"/>
        </w:rPr>
        <w:t>202</w:t>
      </w:r>
      <w:r>
        <w:rPr>
          <w:rFonts w:hint="eastAsia" w:ascii="宋体" w:hAnsi="宋体" w:eastAsia="宋体" w:cs="宋体"/>
          <w:b/>
          <w:color w:val="auto"/>
          <w:sz w:val="32"/>
          <w:szCs w:val="32"/>
          <w:highlight w:val="none"/>
          <w:lang w:val="en-US" w:eastAsia="zh-CN"/>
        </w:rPr>
        <w:t>6</w:t>
      </w:r>
      <w:r>
        <w:rPr>
          <w:rFonts w:hint="eastAsia" w:ascii="宋体" w:hAnsi="宋体" w:eastAsia="宋体" w:cs="宋体"/>
          <w:b/>
          <w:color w:val="auto"/>
          <w:sz w:val="32"/>
          <w:szCs w:val="32"/>
          <w:highlight w:val="none"/>
          <w:lang w:eastAsia="zh-CN"/>
        </w:rPr>
        <w:t>年</w:t>
      </w:r>
      <w:r>
        <w:rPr>
          <w:rFonts w:hint="eastAsia" w:ascii="宋体" w:hAnsi="宋体" w:eastAsia="宋体" w:cs="宋体"/>
          <w:b/>
          <w:color w:val="auto"/>
          <w:sz w:val="32"/>
          <w:szCs w:val="32"/>
          <w:highlight w:val="none"/>
          <w:lang w:val="en-US" w:eastAsia="zh-CN"/>
        </w:rPr>
        <w:t>06</w:t>
      </w:r>
      <w:r>
        <w:rPr>
          <w:rFonts w:hint="eastAsia" w:ascii="宋体" w:hAnsi="宋体" w:eastAsia="宋体" w:cs="宋体"/>
          <w:b/>
          <w:color w:val="auto"/>
          <w:sz w:val="32"/>
          <w:szCs w:val="32"/>
          <w:highlight w:val="none"/>
        </w:rPr>
        <w:t>月</w:t>
      </w:r>
      <w:r>
        <w:rPr>
          <w:rFonts w:hint="eastAsia" w:ascii="宋体" w:hAnsi="宋体" w:eastAsia="宋体" w:cs="宋体"/>
          <w:b/>
          <w:color w:val="auto"/>
          <w:sz w:val="32"/>
          <w:szCs w:val="32"/>
          <w:highlight w:val="none"/>
          <w:lang w:val="en-US" w:eastAsia="zh-CN"/>
        </w:rPr>
        <w:t>18</w:t>
      </w:r>
      <w:r>
        <w:rPr>
          <w:rFonts w:hint="eastAsia" w:ascii="宋体" w:hAnsi="宋体" w:eastAsia="宋体" w:cs="宋体"/>
          <w:b/>
          <w:color w:val="auto"/>
          <w:sz w:val="32"/>
          <w:szCs w:val="32"/>
          <w:highlight w:val="none"/>
        </w:rPr>
        <w:t>日</w:t>
      </w:r>
    </w:p>
    <w:p w14:paraId="0FEBA535">
      <w:pPr>
        <w:pStyle w:val="8"/>
        <w:rPr>
          <w:rFonts w:hint="eastAsia" w:asciiTheme="minorEastAsia" w:hAnsiTheme="minorEastAsia" w:eastAsiaTheme="minorEastAsia" w:cstheme="minorEastAsia"/>
          <w:b/>
          <w:color w:val="auto"/>
          <w:sz w:val="32"/>
          <w:szCs w:val="32"/>
          <w:highlight w:val="none"/>
        </w:rPr>
      </w:pPr>
    </w:p>
    <w:p w14:paraId="4C975E9A">
      <w:pPr>
        <w:pStyle w:val="8"/>
        <w:rPr>
          <w:rFonts w:hint="eastAsia" w:asciiTheme="minorEastAsia" w:hAnsiTheme="minorEastAsia" w:eastAsiaTheme="minorEastAsia" w:cstheme="minorEastAsia"/>
          <w:b/>
          <w:color w:val="auto"/>
          <w:sz w:val="32"/>
          <w:szCs w:val="32"/>
          <w:highlight w:val="none"/>
        </w:rPr>
      </w:pPr>
    </w:p>
    <w:p w14:paraId="520A4774">
      <w:pPr>
        <w:spacing w:line="360" w:lineRule="auto"/>
        <w:ind w:left="0" w:leftChars="0" w:firstLine="0" w:firstLineChars="0"/>
        <w:jc w:val="center"/>
        <w:rPr>
          <w:rFonts w:hint="eastAsia" w:ascii="宋体" w:hAnsi="宋体" w:eastAsia="宋体" w:cs="宋体"/>
          <w:b/>
          <w:bCs/>
          <w:color w:val="auto"/>
          <w:sz w:val="72"/>
          <w:szCs w:val="72"/>
          <w:highlight w:val="none"/>
        </w:rPr>
      </w:pPr>
      <w:r>
        <w:rPr>
          <w:rFonts w:hint="eastAsia" w:ascii="宋体" w:hAnsi="宋体" w:eastAsia="宋体" w:cs="宋体"/>
          <w:b/>
          <w:bCs/>
          <w:color w:val="auto"/>
          <w:sz w:val="72"/>
          <w:szCs w:val="72"/>
          <w:highlight w:val="none"/>
        </w:rPr>
        <w:t>目  录</w:t>
      </w:r>
    </w:p>
    <w:p w14:paraId="76364D56">
      <w:pPr>
        <w:pStyle w:val="90"/>
        <w:tabs>
          <w:tab w:val="right" w:leader="dot" w:pos="8306"/>
        </w:tabs>
        <w:spacing w:line="600" w:lineRule="exact"/>
        <w:jc w:val="center"/>
        <w:rPr>
          <w:rFonts w:hint="eastAsia" w:ascii="宋体" w:hAnsi="宋体" w:eastAsia="宋体" w:cs="宋体"/>
          <w:color w:val="auto"/>
          <w:sz w:val="32"/>
          <w:szCs w:val="32"/>
          <w:highlight w:val="none"/>
        </w:rPr>
      </w:pPr>
    </w:p>
    <w:p w14:paraId="518B3FEA">
      <w:pPr>
        <w:pStyle w:val="90"/>
        <w:tabs>
          <w:tab w:val="right" w:leader="dot" w:pos="8306"/>
        </w:tabs>
        <w:spacing w:line="600" w:lineRule="exact"/>
        <w:ind w:left="1058" w:leftChars="504"/>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招标公告</w:t>
      </w:r>
    </w:p>
    <w:p w14:paraId="4DAF9D73">
      <w:pPr>
        <w:pStyle w:val="90"/>
        <w:tabs>
          <w:tab w:val="right" w:leader="dot" w:pos="8306"/>
        </w:tabs>
        <w:spacing w:line="600" w:lineRule="exact"/>
        <w:ind w:left="1058" w:leftChars="504"/>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第一章 投标人须知</w:t>
      </w:r>
    </w:p>
    <w:p w14:paraId="3A33D34E">
      <w:pPr>
        <w:pStyle w:val="90"/>
        <w:tabs>
          <w:tab w:val="right" w:leader="dot" w:pos="8306"/>
        </w:tabs>
        <w:spacing w:line="600" w:lineRule="exact"/>
        <w:ind w:left="1058" w:leftChars="504"/>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第二章 投标文件内容及格式</w:t>
      </w:r>
    </w:p>
    <w:p w14:paraId="6ACEB54B">
      <w:pPr>
        <w:pStyle w:val="90"/>
        <w:tabs>
          <w:tab w:val="right" w:leader="dot" w:pos="8306"/>
        </w:tabs>
        <w:spacing w:line="600" w:lineRule="exact"/>
        <w:ind w:left="1058" w:leftChars="504"/>
        <w:rPr>
          <w:rFonts w:hint="eastAsia" w:ascii="宋体" w:hAnsi="宋体" w:eastAsia="宋体" w:cs="宋体"/>
          <w:color w:val="auto"/>
          <w:sz w:val="32"/>
          <w:szCs w:val="32"/>
          <w:highlight w:val="none"/>
          <w:lang w:eastAsia="zh-CN"/>
        </w:rPr>
      </w:pPr>
      <w:r>
        <w:rPr>
          <w:rFonts w:hint="eastAsia" w:ascii="宋体" w:hAnsi="宋体" w:eastAsia="宋体" w:cs="宋体"/>
          <w:color w:val="auto"/>
          <w:sz w:val="32"/>
          <w:szCs w:val="32"/>
          <w:highlight w:val="none"/>
        </w:rPr>
        <w:t xml:space="preserve">第三章 </w:t>
      </w:r>
      <w:r>
        <w:rPr>
          <w:rFonts w:hint="eastAsia" w:ascii="宋体" w:hAnsi="宋体" w:cs="宋体"/>
          <w:color w:val="auto"/>
          <w:sz w:val="32"/>
          <w:szCs w:val="32"/>
          <w:highlight w:val="none"/>
          <w:lang w:val="en-US" w:eastAsia="zh-CN"/>
        </w:rPr>
        <w:t>招标</w:t>
      </w:r>
      <w:r>
        <w:rPr>
          <w:rFonts w:hint="eastAsia" w:ascii="宋体" w:hAnsi="宋体" w:eastAsia="宋体" w:cs="宋体"/>
          <w:color w:val="auto"/>
          <w:sz w:val="32"/>
          <w:szCs w:val="32"/>
          <w:highlight w:val="none"/>
          <w:lang w:eastAsia="zh-CN"/>
        </w:rPr>
        <w:t>需求</w:t>
      </w:r>
    </w:p>
    <w:p w14:paraId="52FC4406">
      <w:pPr>
        <w:pStyle w:val="90"/>
        <w:tabs>
          <w:tab w:val="right" w:leader="dot" w:pos="8306"/>
        </w:tabs>
        <w:spacing w:line="600" w:lineRule="exact"/>
        <w:ind w:left="1058" w:leftChars="504"/>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第四章 评标方法</w:t>
      </w:r>
    </w:p>
    <w:p w14:paraId="4880CD40">
      <w:pPr>
        <w:pStyle w:val="90"/>
        <w:tabs>
          <w:tab w:val="right" w:leader="dot" w:pos="8306"/>
        </w:tabs>
        <w:spacing w:line="600" w:lineRule="exact"/>
        <w:ind w:left="1058" w:leftChars="504"/>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第五章 合同条款及格式</w:t>
      </w:r>
    </w:p>
    <w:p w14:paraId="72B63A83">
      <w:pPr>
        <w:pStyle w:val="90"/>
        <w:tabs>
          <w:tab w:val="right" w:leader="dot" w:pos="8306"/>
        </w:tabs>
        <w:spacing w:line="240" w:lineRule="auto"/>
        <w:rPr>
          <w:rFonts w:hint="eastAsia" w:ascii="宋体" w:hAnsi="宋体" w:eastAsia="宋体" w:cs="宋体"/>
          <w:b/>
          <w:bCs/>
          <w:color w:val="auto"/>
          <w:highlight w:val="none"/>
          <w:lang w:eastAsia="zh-CN"/>
        </w:rPr>
      </w:pPr>
    </w:p>
    <w:p w14:paraId="44C54061">
      <w:pPr>
        <w:pStyle w:val="2"/>
        <w:rPr>
          <w:rFonts w:hint="eastAsia" w:ascii="宋体" w:hAnsi="宋体" w:eastAsia="宋体" w:cs="宋体"/>
          <w:color w:val="auto"/>
          <w:highlight w:val="none"/>
        </w:rPr>
      </w:pPr>
      <w:bookmarkStart w:id="33" w:name="_GoBack"/>
      <w:bookmarkEnd w:id="33"/>
      <w:r>
        <w:rPr>
          <w:rFonts w:ascii="宋体" w:hAnsi="宋体" w:eastAsia="宋体" w:cs="宋体"/>
          <w:color w:val="auto"/>
          <w:highlight w:val="none"/>
        </w:rPr>
        <w:br w:type="page"/>
      </w:r>
      <w:r>
        <w:rPr>
          <w:rFonts w:hint="eastAsia" w:ascii="宋体" w:hAnsi="宋体" w:eastAsia="宋体" w:cs="宋体"/>
          <w:color w:val="auto"/>
          <w:highlight w:val="none"/>
        </w:rPr>
        <w:t>招标公告</w:t>
      </w:r>
    </w:p>
    <w:p w14:paraId="4D64089C">
      <w:pPr>
        <w:pBdr>
          <w:top w:val="single" w:color="auto" w:sz="4" w:space="1"/>
          <w:left w:val="single" w:color="auto" w:sz="4" w:space="4"/>
          <w:bottom w:val="single" w:color="auto" w:sz="4" w:space="1"/>
          <w:right w:val="single" w:color="auto" w:sz="4" w:space="4"/>
        </w:pBdr>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项目概况</w:t>
      </w:r>
    </w:p>
    <w:p w14:paraId="4FAD2F21">
      <w:pPr>
        <w:pBdr>
          <w:top w:val="single" w:color="auto" w:sz="4" w:space="1"/>
          <w:left w:val="single" w:color="auto" w:sz="4" w:space="4"/>
          <w:bottom w:val="single" w:color="auto" w:sz="4" w:space="1"/>
          <w:right w:val="single" w:color="auto" w:sz="4" w:space="4"/>
        </w:pBdr>
        <w:spacing w:line="360" w:lineRule="auto"/>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u w:val="single"/>
          <w:lang w:val="en-US" w:eastAsia="zh-CN"/>
        </w:rPr>
        <w:t xml:space="preserve">韶关市武江区养老服务中心（一期）委托运营管理项目  </w:t>
      </w:r>
      <w:r>
        <w:rPr>
          <w:rFonts w:hint="eastAsia" w:ascii="宋体" w:hAnsi="宋体" w:eastAsia="宋体" w:cs="宋体"/>
          <w:color w:val="auto"/>
          <w:sz w:val="21"/>
          <w:szCs w:val="21"/>
          <w:highlight w:val="none"/>
        </w:rPr>
        <w:t>招标项目的潜在投标人应在</w:t>
      </w:r>
      <w:r>
        <w:rPr>
          <w:rFonts w:hint="eastAsia" w:ascii="宋体" w:hAnsi="宋体" w:eastAsia="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u w:val="single"/>
        </w:rPr>
        <w:t>广东省公共资源交易平台</w:t>
      </w:r>
      <w:r>
        <w:rPr>
          <w:rFonts w:hint="eastAsia" w:ascii="宋体" w:hAnsi="宋体" w:eastAsia="宋体" w:cs="宋体"/>
          <w:color w:val="auto"/>
          <w:sz w:val="21"/>
          <w:szCs w:val="21"/>
          <w:highlight w:val="none"/>
          <w:u w:val="single"/>
          <w:lang w:eastAsia="zh-CN"/>
        </w:rPr>
        <w:t>（</w:t>
      </w:r>
      <w:r>
        <w:rPr>
          <w:rFonts w:hint="eastAsia" w:ascii="宋体" w:hAnsi="宋体" w:eastAsia="宋体" w:cs="宋体"/>
          <w:color w:val="auto"/>
          <w:sz w:val="21"/>
          <w:szCs w:val="21"/>
          <w:highlight w:val="none"/>
          <w:u w:val="single"/>
          <w:lang w:val="en-US" w:eastAsia="zh-CN"/>
        </w:rPr>
        <w:t>韶关市</w:t>
      </w:r>
      <w:r>
        <w:rPr>
          <w:rFonts w:hint="eastAsia" w:ascii="宋体" w:hAnsi="宋体" w:eastAsia="宋体" w:cs="宋体"/>
          <w:color w:val="auto"/>
          <w:sz w:val="21"/>
          <w:szCs w:val="21"/>
          <w:highlight w:val="none"/>
          <w:u w:val="single"/>
          <w:lang w:eastAsia="zh-CN"/>
        </w:rPr>
        <w:t>）（https://ygp.gdzwfw.gov.cn/ggzy-portal/#/440200/index）、</w:t>
      </w:r>
      <w:r>
        <w:rPr>
          <w:rFonts w:hint="eastAsia" w:ascii="宋体" w:hAnsi="宋体" w:eastAsia="宋体" w:cs="宋体"/>
          <w:color w:val="auto"/>
          <w:sz w:val="21"/>
          <w:szCs w:val="21"/>
          <w:highlight w:val="none"/>
          <w:u w:val="single"/>
        </w:rPr>
        <w:t>韶关市公共资源交易一体化平台（http://portal.ythpt.sg.gov.cn/）</w:t>
      </w:r>
      <w:r>
        <w:rPr>
          <w:rFonts w:hint="eastAsia" w:ascii="宋体" w:hAnsi="宋体" w:eastAsia="宋体" w:cs="宋体"/>
          <w:color w:val="auto"/>
          <w:sz w:val="21"/>
          <w:szCs w:val="21"/>
          <w:highlight w:val="none"/>
          <w:u w:val="single"/>
          <w:lang w:val="en-US" w:eastAsia="zh-CN"/>
        </w:rPr>
        <w:t xml:space="preserve"> </w:t>
      </w:r>
      <w:r>
        <w:rPr>
          <w:rFonts w:hint="eastAsia" w:ascii="宋体" w:hAnsi="宋体" w:eastAsia="宋体" w:cs="宋体"/>
          <w:color w:val="auto"/>
          <w:sz w:val="21"/>
          <w:szCs w:val="21"/>
          <w:highlight w:val="none"/>
          <w:u w:val="single"/>
        </w:rPr>
        <w:t xml:space="preserve"> </w:t>
      </w:r>
      <w:r>
        <w:rPr>
          <w:rFonts w:hint="eastAsia" w:ascii="宋体" w:hAnsi="宋体" w:eastAsia="宋体" w:cs="宋体"/>
          <w:color w:val="auto"/>
          <w:sz w:val="21"/>
          <w:szCs w:val="21"/>
          <w:highlight w:val="none"/>
          <w:u w:val="none"/>
        </w:rPr>
        <w:t xml:space="preserve"> </w:t>
      </w:r>
      <w:r>
        <w:rPr>
          <w:rFonts w:hint="eastAsia" w:ascii="宋体" w:hAnsi="宋体" w:eastAsia="宋体" w:cs="宋体"/>
          <w:color w:val="auto"/>
          <w:sz w:val="21"/>
          <w:szCs w:val="21"/>
          <w:highlight w:val="none"/>
        </w:rPr>
        <w:t>获取招标文件，并于</w:t>
      </w:r>
      <w:r>
        <w:rPr>
          <w:rFonts w:hint="eastAsia" w:ascii="宋体" w:hAnsi="宋体" w:eastAsia="宋体" w:cs="宋体"/>
          <w:color w:val="auto"/>
          <w:sz w:val="21"/>
          <w:szCs w:val="21"/>
          <w:highlight w:val="none"/>
          <w:u w:val="none"/>
          <w:lang w:val="en-US" w:eastAsia="zh-CN"/>
        </w:rPr>
        <w:t>2026</w:t>
      </w:r>
      <w:r>
        <w:rPr>
          <w:rFonts w:hint="eastAsia" w:ascii="宋体" w:hAnsi="宋体" w:eastAsia="宋体" w:cs="宋体"/>
          <w:bCs/>
          <w:color w:val="auto"/>
          <w:sz w:val="21"/>
          <w:szCs w:val="21"/>
          <w:highlight w:val="none"/>
          <w:u w:val="none"/>
        </w:rPr>
        <w:t>年</w:t>
      </w:r>
      <w:r>
        <w:rPr>
          <w:rFonts w:hint="eastAsia" w:ascii="宋体" w:hAnsi="宋体" w:eastAsia="宋体" w:cs="宋体"/>
          <w:b w:val="0"/>
          <w:bCs/>
          <w:color w:val="auto"/>
          <w:kern w:val="2"/>
          <w:sz w:val="21"/>
          <w:szCs w:val="21"/>
          <w:highlight w:val="none"/>
          <w:u w:val="none"/>
          <w:lang w:val="en-US" w:eastAsia="zh-CN" w:bidi="ar-SA"/>
        </w:rPr>
        <w:t>07月10日</w:t>
      </w:r>
      <w:r>
        <w:rPr>
          <w:rFonts w:hint="eastAsia" w:ascii="宋体" w:hAnsi="宋体" w:eastAsia="宋体" w:cs="宋体"/>
          <w:bCs/>
          <w:color w:val="auto"/>
          <w:sz w:val="21"/>
          <w:szCs w:val="21"/>
          <w:highlight w:val="none"/>
          <w:u w:val="none"/>
          <w:lang w:val="en-US" w:eastAsia="zh-CN"/>
        </w:rPr>
        <w:t>9点30</w:t>
      </w:r>
      <w:r>
        <w:rPr>
          <w:rFonts w:hint="eastAsia" w:ascii="宋体" w:hAnsi="宋体" w:eastAsia="宋体" w:cs="宋体"/>
          <w:bCs/>
          <w:color w:val="auto"/>
          <w:sz w:val="21"/>
          <w:szCs w:val="21"/>
          <w:highlight w:val="none"/>
          <w:u w:val="none"/>
        </w:rPr>
        <w:t>分（北</w:t>
      </w:r>
      <w:r>
        <w:rPr>
          <w:rFonts w:hint="eastAsia" w:ascii="宋体" w:hAnsi="宋体" w:eastAsia="宋体" w:cs="宋体"/>
          <w:bCs/>
          <w:color w:val="auto"/>
          <w:sz w:val="21"/>
          <w:szCs w:val="21"/>
          <w:highlight w:val="none"/>
        </w:rPr>
        <w:t>京时间）前递交投标文件</w:t>
      </w:r>
      <w:r>
        <w:rPr>
          <w:rFonts w:hint="eastAsia" w:ascii="宋体" w:hAnsi="宋体" w:eastAsia="宋体" w:cs="宋体"/>
          <w:color w:val="auto"/>
          <w:sz w:val="21"/>
          <w:szCs w:val="21"/>
          <w:highlight w:val="none"/>
        </w:rPr>
        <w:t>。</w:t>
      </w:r>
    </w:p>
    <w:p w14:paraId="65B29A64">
      <w:pPr>
        <w:keepNext/>
        <w:keepLines/>
        <w:pageBreakBefore w:val="0"/>
        <w:widowControl w:val="0"/>
        <w:kinsoku/>
        <w:wordWrap/>
        <w:overflowPunct/>
        <w:topLinePunct w:val="0"/>
        <w:autoSpaceDE/>
        <w:autoSpaceDN/>
        <w:bidi w:val="0"/>
        <w:adjustRightInd/>
        <w:snapToGrid/>
        <w:spacing w:after="0" w:line="360" w:lineRule="auto"/>
        <w:jc w:val="left"/>
        <w:textAlignment w:val="auto"/>
        <w:outlineLvl w:val="9"/>
        <w:rPr>
          <w:rFonts w:hint="eastAsia" w:ascii="宋体" w:hAnsi="宋体" w:eastAsia="宋体" w:cs="宋体"/>
          <w:b/>
          <w:bCs w:val="0"/>
          <w:color w:val="auto"/>
          <w:sz w:val="21"/>
          <w:szCs w:val="21"/>
          <w:highlight w:val="none"/>
        </w:rPr>
      </w:pPr>
      <w:bookmarkStart w:id="0" w:name="_Toc28359002"/>
      <w:bookmarkStart w:id="1" w:name="_Toc28359079"/>
      <w:bookmarkStart w:id="2" w:name="_Toc35393790"/>
      <w:bookmarkStart w:id="3" w:name="_Toc35393621"/>
      <w:bookmarkStart w:id="4" w:name="_Hlk24379207"/>
      <w:r>
        <w:rPr>
          <w:rFonts w:hint="eastAsia" w:ascii="宋体" w:hAnsi="宋体" w:eastAsia="宋体" w:cs="宋体"/>
          <w:b/>
          <w:bCs w:val="0"/>
          <w:color w:val="auto"/>
          <w:sz w:val="21"/>
          <w:szCs w:val="21"/>
          <w:highlight w:val="none"/>
        </w:rPr>
        <w:t>一、项目基本情况</w:t>
      </w:r>
      <w:bookmarkEnd w:id="0"/>
      <w:bookmarkEnd w:id="1"/>
      <w:bookmarkEnd w:id="2"/>
      <w:bookmarkEnd w:id="3"/>
    </w:p>
    <w:p w14:paraId="5DB76E27">
      <w:pPr>
        <w:spacing w:line="360" w:lineRule="auto"/>
        <w:ind w:firstLine="420" w:firstLineChars="200"/>
        <w:rPr>
          <w:rFonts w:hint="default"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rPr>
        <w:t>项目编号：</w:t>
      </w:r>
      <w:r>
        <w:rPr>
          <w:rFonts w:hint="eastAsia" w:ascii="宋体" w:hAnsi="宋体" w:eastAsia="宋体" w:cs="宋体"/>
          <w:color w:val="auto"/>
          <w:sz w:val="21"/>
          <w:szCs w:val="21"/>
          <w:highlight w:val="none"/>
          <w:lang w:val="en-US" w:eastAsia="zh-CN"/>
        </w:rPr>
        <w:t>CQZB260016</w:t>
      </w:r>
    </w:p>
    <w:p w14:paraId="6894ADC0">
      <w:pPr>
        <w:spacing w:line="360" w:lineRule="auto"/>
        <w:ind w:firstLine="420" w:firstLineChars="200"/>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rPr>
        <w:t>项目名称：</w:t>
      </w:r>
      <w:bookmarkEnd w:id="4"/>
      <w:r>
        <w:rPr>
          <w:rFonts w:hint="eastAsia" w:ascii="宋体" w:hAnsi="宋体" w:eastAsia="宋体" w:cs="宋体"/>
          <w:color w:val="auto"/>
          <w:sz w:val="21"/>
          <w:szCs w:val="21"/>
          <w:highlight w:val="none"/>
          <w:lang w:eastAsia="zh-CN"/>
        </w:rPr>
        <w:t>韶关市武江区养老服务中心（一期）委托运营管理项目</w:t>
      </w:r>
    </w:p>
    <w:p w14:paraId="43AE64DB">
      <w:pPr>
        <w:spacing w:line="360" w:lineRule="auto"/>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val="en-US" w:eastAsia="zh-CN"/>
        </w:rPr>
        <w:t>招标</w:t>
      </w:r>
      <w:r>
        <w:rPr>
          <w:rFonts w:hint="eastAsia" w:ascii="宋体" w:hAnsi="宋体" w:eastAsia="宋体" w:cs="宋体"/>
          <w:color w:val="auto"/>
          <w:sz w:val="21"/>
          <w:szCs w:val="21"/>
          <w:highlight w:val="none"/>
        </w:rPr>
        <w:t>需求：(包括但不限于标的的名称、数量、简要技术需求或服务要求等)</w:t>
      </w:r>
    </w:p>
    <w:p w14:paraId="5EB8C9B3">
      <w:pPr>
        <w:numPr>
          <w:ilvl w:val="0"/>
          <w:numId w:val="0"/>
        </w:numPr>
        <w:spacing w:line="360" w:lineRule="auto"/>
        <w:ind w:firstLine="420" w:firstLineChars="200"/>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1.</w:t>
      </w:r>
      <w:r>
        <w:rPr>
          <w:rFonts w:hint="eastAsia" w:ascii="宋体" w:hAnsi="宋体" w:eastAsia="宋体" w:cs="宋体"/>
          <w:color w:val="auto"/>
          <w:sz w:val="21"/>
          <w:szCs w:val="21"/>
          <w:highlight w:val="none"/>
        </w:rPr>
        <w:t>标的名称：</w:t>
      </w:r>
      <w:r>
        <w:rPr>
          <w:rFonts w:hint="eastAsia" w:ascii="宋体" w:hAnsi="宋体" w:eastAsia="宋体" w:cs="宋体"/>
          <w:color w:val="auto"/>
          <w:sz w:val="21"/>
          <w:szCs w:val="21"/>
          <w:highlight w:val="none"/>
          <w:lang w:eastAsia="zh-CN"/>
        </w:rPr>
        <w:t>韶关市武江区养老服务中心（一期）委托运营管理项目</w:t>
      </w:r>
    </w:p>
    <w:p w14:paraId="4AE70FC3">
      <w:pPr>
        <w:numPr>
          <w:ilvl w:val="0"/>
          <w:numId w:val="0"/>
        </w:numPr>
        <w:spacing w:line="360" w:lineRule="auto"/>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w:t>
      </w:r>
      <w:r>
        <w:rPr>
          <w:rFonts w:hint="eastAsia" w:ascii="宋体" w:hAnsi="宋体" w:eastAsia="宋体" w:cs="宋体"/>
          <w:color w:val="auto"/>
          <w:sz w:val="21"/>
          <w:szCs w:val="21"/>
          <w:highlight w:val="none"/>
          <w:lang w:val="en-US" w:eastAsia="zh-CN"/>
        </w:rPr>
        <w:t>.</w:t>
      </w:r>
      <w:r>
        <w:rPr>
          <w:rFonts w:hint="eastAsia" w:ascii="宋体" w:hAnsi="宋体" w:eastAsia="宋体" w:cs="宋体"/>
          <w:color w:val="auto"/>
          <w:sz w:val="21"/>
          <w:szCs w:val="21"/>
          <w:highlight w:val="none"/>
        </w:rPr>
        <w:t>标的数量：1项</w:t>
      </w:r>
    </w:p>
    <w:p w14:paraId="2003C021">
      <w:pPr>
        <w:spacing w:line="360" w:lineRule="auto"/>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w:t>
      </w:r>
      <w:r>
        <w:rPr>
          <w:rFonts w:hint="eastAsia" w:ascii="宋体" w:hAnsi="宋体" w:eastAsia="宋体" w:cs="宋体"/>
          <w:color w:val="auto"/>
          <w:sz w:val="21"/>
          <w:szCs w:val="21"/>
          <w:highlight w:val="none"/>
          <w:lang w:val="en-US" w:eastAsia="zh-CN"/>
        </w:rPr>
        <w:t>.</w:t>
      </w:r>
      <w:r>
        <w:rPr>
          <w:rFonts w:hint="eastAsia" w:ascii="宋体" w:hAnsi="宋体" w:eastAsia="宋体" w:cs="宋体"/>
          <w:color w:val="auto"/>
          <w:sz w:val="21"/>
          <w:szCs w:val="21"/>
          <w:highlight w:val="none"/>
        </w:rPr>
        <w:t>简要技术需求或服务要求：</w:t>
      </w:r>
    </w:p>
    <w:tbl>
      <w:tblPr>
        <w:tblStyle w:val="17"/>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84"/>
        <w:gridCol w:w="3048"/>
        <w:gridCol w:w="763"/>
        <w:gridCol w:w="2401"/>
        <w:gridCol w:w="2660"/>
      </w:tblGrid>
      <w:tr w14:paraId="40ED47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2" w:hRule="atLeast"/>
          <w:jc w:val="center"/>
        </w:trPr>
        <w:tc>
          <w:tcPr>
            <w:tcW w:w="308" w:type="pct"/>
            <w:noWrap/>
            <w:vAlign w:val="center"/>
          </w:tcPr>
          <w:p w14:paraId="5B95CBEC">
            <w:pPr>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序号</w:t>
            </w:r>
          </w:p>
        </w:tc>
        <w:tc>
          <w:tcPr>
            <w:tcW w:w="1611" w:type="pct"/>
            <w:noWrap/>
            <w:vAlign w:val="center"/>
          </w:tcPr>
          <w:p w14:paraId="2267CC8A">
            <w:pPr>
              <w:spacing w:line="360" w:lineRule="auto"/>
              <w:jc w:val="center"/>
              <w:rPr>
                <w:rFonts w:hint="eastAsia" w:ascii="宋体" w:hAnsi="宋体" w:eastAsia="宋体" w:cs="宋体"/>
                <w:b/>
                <w:bCs/>
                <w:color w:val="auto"/>
                <w:sz w:val="21"/>
                <w:szCs w:val="21"/>
                <w:highlight w:val="none"/>
                <w:lang w:val="en-US" w:eastAsia="zh-CN"/>
              </w:rPr>
            </w:pPr>
            <w:r>
              <w:rPr>
                <w:rFonts w:hint="eastAsia" w:ascii="宋体" w:hAnsi="宋体" w:eastAsia="宋体" w:cs="宋体"/>
                <w:b/>
                <w:bCs/>
                <w:color w:val="auto"/>
                <w:sz w:val="21"/>
                <w:szCs w:val="21"/>
                <w:highlight w:val="none"/>
                <w:lang w:val="en-US" w:eastAsia="zh-CN"/>
              </w:rPr>
              <w:t>招标内容</w:t>
            </w:r>
          </w:p>
        </w:tc>
        <w:tc>
          <w:tcPr>
            <w:tcW w:w="403" w:type="pct"/>
            <w:noWrap/>
            <w:vAlign w:val="center"/>
          </w:tcPr>
          <w:p w14:paraId="36F251C4">
            <w:pPr>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数量</w:t>
            </w:r>
          </w:p>
        </w:tc>
        <w:tc>
          <w:tcPr>
            <w:tcW w:w="1269" w:type="pct"/>
            <w:noWrap/>
            <w:vAlign w:val="center"/>
          </w:tcPr>
          <w:p w14:paraId="42F27389">
            <w:pPr>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主要技术要求</w:t>
            </w:r>
          </w:p>
        </w:tc>
        <w:tc>
          <w:tcPr>
            <w:tcW w:w="1406" w:type="pct"/>
            <w:noWrap/>
            <w:vAlign w:val="center"/>
          </w:tcPr>
          <w:p w14:paraId="66CDF170">
            <w:pPr>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shd w:val="clear" w:color="auto" w:fill="auto"/>
              </w:rPr>
              <w:t>服务期</w:t>
            </w:r>
          </w:p>
        </w:tc>
      </w:tr>
      <w:tr w14:paraId="009DBF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51" w:hRule="atLeast"/>
          <w:jc w:val="center"/>
        </w:trPr>
        <w:tc>
          <w:tcPr>
            <w:tcW w:w="308" w:type="pct"/>
            <w:noWrap/>
            <w:vAlign w:val="center"/>
          </w:tcPr>
          <w:p w14:paraId="4C80D0F0">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1611" w:type="pct"/>
            <w:noWrap/>
            <w:vAlign w:val="center"/>
          </w:tcPr>
          <w:p w14:paraId="6FC8E92C">
            <w:pPr>
              <w:spacing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韶关市武江区养老服务中心（一期）委托运营管理项目</w:t>
            </w:r>
          </w:p>
        </w:tc>
        <w:tc>
          <w:tcPr>
            <w:tcW w:w="403" w:type="pct"/>
            <w:noWrap/>
            <w:vAlign w:val="center"/>
          </w:tcPr>
          <w:p w14:paraId="48BD13EB">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1项</w:t>
            </w:r>
          </w:p>
        </w:tc>
        <w:tc>
          <w:tcPr>
            <w:tcW w:w="1269" w:type="pct"/>
            <w:noWrap/>
            <w:vAlign w:val="center"/>
          </w:tcPr>
          <w:p w14:paraId="089A15DA">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val="en-US" w:eastAsia="zh-CN"/>
              </w:rPr>
              <w:t>详见本项目《招标文件》第三章：招标需求</w:t>
            </w:r>
          </w:p>
        </w:tc>
        <w:tc>
          <w:tcPr>
            <w:tcW w:w="1406" w:type="pct"/>
            <w:noWrap/>
            <w:vAlign w:val="center"/>
          </w:tcPr>
          <w:p w14:paraId="1EFC22DC">
            <w:pPr>
              <w:spacing w:line="360" w:lineRule="auto"/>
              <w:jc w:val="center"/>
              <w:rPr>
                <w:rFonts w:hint="eastAsia" w:ascii="宋体" w:hAnsi="宋体" w:eastAsia="宋体" w:cs="宋体"/>
                <w:color w:val="auto"/>
                <w:kern w:val="16"/>
                <w:sz w:val="21"/>
                <w:szCs w:val="21"/>
                <w:highlight w:val="none"/>
                <w:lang w:eastAsia="zh-CN"/>
              </w:rPr>
            </w:pPr>
            <w:r>
              <w:rPr>
                <w:rFonts w:hint="eastAsia" w:ascii="宋体" w:hAnsi="宋体" w:eastAsia="宋体" w:cs="宋体"/>
                <w:color w:val="auto"/>
                <w:kern w:val="16"/>
                <w:sz w:val="21"/>
                <w:szCs w:val="21"/>
                <w:highlight w:val="none"/>
                <w:lang w:eastAsia="zh-CN"/>
              </w:rPr>
              <w:t>自合同签订之日起20年</w:t>
            </w:r>
          </w:p>
        </w:tc>
      </w:tr>
    </w:tbl>
    <w:p w14:paraId="27869699">
      <w:pPr>
        <w:spacing w:line="360" w:lineRule="auto"/>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4</w:t>
      </w:r>
      <w:r>
        <w:rPr>
          <w:rFonts w:hint="eastAsia" w:ascii="宋体" w:hAnsi="宋体" w:eastAsia="宋体" w:cs="宋体"/>
          <w:color w:val="auto"/>
          <w:sz w:val="21"/>
          <w:szCs w:val="21"/>
          <w:highlight w:val="none"/>
          <w:lang w:val="en-US" w:eastAsia="zh-CN"/>
        </w:rPr>
        <w:t>.</w:t>
      </w:r>
      <w:r>
        <w:rPr>
          <w:rFonts w:hint="eastAsia" w:ascii="宋体" w:hAnsi="宋体" w:eastAsia="宋体" w:cs="宋体"/>
          <w:color w:val="auto"/>
          <w:sz w:val="21"/>
          <w:szCs w:val="21"/>
          <w:highlight w:val="none"/>
        </w:rPr>
        <w:t>其他：无</w:t>
      </w:r>
    </w:p>
    <w:p w14:paraId="02375B1F">
      <w:pPr>
        <w:spacing w:line="360" w:lineRule="auto"/>
        <w:ind w:firstLine="420" w:firstLineChars="200"/>
        <w:rPr>
          <w:rFonts w:hint="eastAsia" w:ascii="宋体" w:hAnsi="宋体" w:eastAsia="宋体" w:cs="宋体"/>
          <w:color w:val="auto"/>
          <w:kern w:val="16"/>
          <w:sz w:val="21"/>
          <w:szCs w:val="21"/>
          <w:highlight w:val="none"/>
          <w:shd w:val="clear" w:color="auto" w:fill="auto"/>
          <w:lang w:eastAsia="zh-CN"/>
        </w:rPr>
      </w:pPr>
      <w:r>
        <w:rPr>
          <w:rFonts w:hint="eastAsia" w:ascii="宋体" w:hAnsi="宋体" w:eastAsia="宋体" w:cs="宋体"/>
          <w:color w:val="auto"/>
          <w:sz w:val="21"/>
          <w:szCs w:val="21"/>
          <w:highlight w:val="none"/>
        </w:rPr>
        <w:t>合同履行期限：</w:t>
      </w:r>
      <w:bookmarkStart w:id="5" w:name="_Toc35393622"/>
      <w:bookmarkStart w:id="6" w:name="_Toc35393791"/>
      <w:bookmarkStart w:id="7" w:name="_Toc28359003"/>
      <w:bookmarkStart w:id="8" w:name="_Toc28359080"/>
      <w:r>
        <w:rPr>
          <w:rFonts w:hint="eastAsia" w:ascii="宋体" w:hAnsi="宋体" w:eastAsia="宋体" w:cs="宋体"/>
          <w:color w:val="auto"/>
          <w:kern w:val="16"/>
          <w:sz w:val="21"/>
          <w:szCs w:val="21"/>
          <w:highlight w:val="none"/>
          <w:shd w:val="clear" w:color="auto" w:fill="auto"/>
          <w:lang w:eastAsia="zh-CN"/>
        </w:rPr>
        <w:t>自合同签订之日起20年。</w:t>
      </w:r>
    </w:p>
    <w:p w14:paraId="0E7CAD1C">
      <w:pPr>
        <w:spacing w:line="360" w:lineRule="auto"/>
        <w:ind w:firstLine="420" w:firstLineChars="200"/>
        <w:rPr>
          <w:rFonts w:hint="default" w:ascii="宋体" w:hAnsi="宋体" w:eastAsia="宋体" w:cs="宋体"/>
          <w:color w:val="auto"/>
          <w:sz w:val="21"/>
          <w:szCs w:val="21"/>
          <w:highlight w:val="none"/>
          <w:lang w:val="en-US" w:eastAsia="zh-CN"/>
        </w:rPr>
      </w:pPr>
      <w:r>
        <w:rPr>
          <w:rFonts w:hint="eastAsia" w:ascii="宋体" w:hAnsi="宋体" w:eastAsia="宋体" w:cs="宋体"/>
          <w:color w:val="auto"/>
          <w:kern w:val="16"/>
          <w:sz w:val="21"/>
          <w:szCs w:val="21"/>
          <w:highlight w:val="none"/>
          <w:shd w:val="clear" w:color="auto" w:fill="auto"/>
          <w:lang w:val="en-US" w:eastAsia="zh-CN"/>
        </w:rPr>
        <w:t>5.</w:t>
      </w:r>
      <w:r>
        <w:rPr>
          <w:rFonts w:hint="eastAsia" w:ascii="宋体" w:hAnsi="宋体" w:eastAsia="宋体" w:cs="宋体"/>
          <w:color w:val="auto"/>
          <w:sz w:val="21"/>
          <w:szCs w:val="21"/>
          <w:highlight w:val="none"/>
          <w:lang w:val="en-US" w:eastAsia="zh-CN"/>
        </w:rPr>
        <w:t>本项目不接受联合体投标。</w:t>
      </w:r>
    </w:p>
    <w:p w14:paraId="342CA9C3">
      <w:pPr>
        <w:keepNext/>
        <w:keepLines/>
        <w:pageBreakBefore w:val="0"/>
        <w:widowControl w:val="0"/>
        <w:kinsoku/>
        <w:wordWrap/>
        <w:overflowPunct/>
        <w:topLinePunct w:val="0"/>
        <w:autoSpaceDE/>
        <w:autoSpaceDN/>
        <w:bidi w:val="0"/>
        <w:adjustRightInd/>
        <w:snapToGrid/>
        <w:spacing w:after="0" w:line="360" w:lineRule="auto"/>
        <w:jc w:val="left"/>
        <w:textAlignment w:val="auto"/>
        <w:outlineLvl w:val="9"/>
        <w:rPr>
          <w:rFonts w:hint="eastAsia" w:ascii="宋体" w:hAnsi="宋体" w:eastAsia="宋体" w:cs="宋体"/>
          <w:b/>
          <w:bCs w:val="0"/>
          <w:color w:val="auto"/>
          <w:sz w:val="21"/>
          <w:szCs w:val="21"/>
          <w:highlight w:val="none"/>
        </w:rPr>
      </w:pPr>
      <w:r>
        <w:rPr>
          <w:rFonts w:hint="eastAsia" w:ascii="宋体" w:hAnsi="宋体" w:eastAsia="宋体" w:cs="宋体"/>
          <w:b/>
          <w:bCs w:val="0"/>
          <w:color w:val="auto"/>
          <w:sz w:val="21"/>
          <w:szCs w:val="21"/>
          <w:highlight w:val="none"/>
        </w:rPr>
        <w:t>二、申请人的资格要求</w:t>
      </w:r>
      <w:bookmarkEnd w:id="5"/>
      <w:bookmarkEnd w:id="6"/>
      <w:bookmarkEnd w:id="7"/>
      <w:bookmarkEnd w:id="8"/>
    </w:p>
    <w:p w14:paraId="1CCA16DB">
      <w:pPr>
        <w:spacing w:line="360" w:lineRule="auto"/>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1.投标人应具备以下规定；</w:t>
      </w:r>
    </w:p>
    <w:tbl>
      <w:tblPr>
        <w:tblStyle w:val="18"/>
        <w:tblW w:w="93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90"/>
      </w:tblGrid>
      <w:tr w14:paraId="7096A7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90" w:type="dxa"/>
            <w:noWrap w:val="0"/>
            <w:vAlign w:val="top"/>
          </w:tcPr>
          <w:p w14:paraId="14D8B253">
            <w:pPr>
              <w:keepNext w:val="0"/>
              <w:keepLines w:val="0"/>
              <w:pageBreakBefore w:val="0"/>
              <w:kinsoku/>
              <w:wordWrap/>
              <w:overflowPunct/>
              <w:topLinePunct w:val="0"/>
              <w:bidi w:val="0"/>
              <w:spacing w:afterAutospacing="0" w:line="360" w:lineRule="auto"/>
              <w:ind w:firstLine="420" w:firstLineChars="200"/>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（1）投标人必须是具有独立承担民事责任能力的在中华人民共和国境内注册的法人、其他组织或自然人（营业执照或事业单位法人证书或执业许可证等证明文件或自然人的身份证明）。</w:t>
            </w:r>
          </w:p>
          <w:p w14:paraId="1F755A8F">
            <w:pPr>
              <w:keepNext w:val="0"/>
              <w:keepLines w:val="0"/>
              <w:pageBreakBefore w:val="0"/>
              <w:kinsoku/>
              <w:wordWrap/>
              <w:overflowPunct/>
              <w:topLinePunct w:val="0"/>
              <w:bidi w:val="0"/>
              <w:spacing w:afterAutospacing="0" w:line="360" w:lineRule="auto"/>
              <w:ind w:firstLine="420" w:firstLineChars="200"/>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（2）投标人必须具有良好的商业信誉和健全的财务会计制度（投标文件中提供《资格条件承诺函》）。</w:t>
            </w:r>
          </w:p>
          <w:p w14:paraId="66AD19D5">
            <w:pPr>
              <w:keepNext w:val="0"/>
              <w:keepLines w:val="0"/>
              <w:pageBreakBefore w:val="0"/>
              <w:kinsoku/>
              <w:wordWrap/>
              <w:overflowPunct/>
              <w:topLinePunct w:val="0"/>
              <w:bidi w:val="0"/>
              <w:spacing w:afterAutospacing="0" w:line="360" w:lineRule="auto"/>
              <w:ind w:firstLine="420" w:firstLineChars="200"/>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（3）有依法缴纳税收和社会保障资金的良好记录（投标文件中提供《资格条件承诺函》）。</w:t>
            </w:r>
          </w:p>
          <w:p w14:paraId="754F63AF">
            <w:pPr>
              <w:keepNext w:val="0"/>
              <w:keepLines w:val="0"/>
              <w:pageBreakBefore w:val="0"/>
              <w:kinsoku/>
              <w:wordWrap/>
              <w:overflowPunct/>
              <w:topLinePunct w:val="0"/>
              <w:bidi w:val="0"/>
              <w:spacing w:afterAutospacing="0" w:line="360" w:lineRule="auto"/>
              <w:ind w:firstLine="420" w:firstLineChars="200"/>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（4）具备履行合同所必需的设备和专业技术能力（投标文件中提供《资格条件承诺函》）。</w:t>
            </w:r>
          </w:p>
          <w:p w14:paraId="6CA69924">
            <w:pPr>
              <w:keepNext w:val="0"/>
              <w:keepLines w:val="0"/>
              <w:pageBreakBefore w:val="0"/>
              <w:kinsoku/>
              <w:wordWrap/>
              <w:overflowPunct/>
              <w:topLinePunct w:val="0"/>
              <w:bidi w:val="0"/>
              <w:spacing w:afterAutospacing="0" w:line="360" w:lineRule="auto"/>
              <w:ind w:firstLine="420" w:firstLineChars="200"/>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5）投标人参加招标采购活动前三年内，在经营活动中没有重大违法记录（投标文件中提供《资格条件承诺函》）。重大违法记录，是指投标人因违法经营受到刑事处罚或者责令停产停业、吊销许可证或者执照、较大数额罚款等行政处罚。（根据财库〔2022〕3号文，“较大数额罚款”认定为200万元以上的罚款，法律、行政法规以及国务院有关部门明确规定相关领域“较大数额罚款”标准高于200万元的，从其规定））。</w:t>
            </w:r>
          </w:p>
        </w:tc>
      </w:tr>
    </w:tbl>
    <w:p w14:paraId="6FBCE681">
      <w:pPr>
        <w:pStyle w:val="6"/>
        <w:rPr>
          <w:rFonts w:hint="eastAsia" w:ascii="宋体" w:hAnsi="宋体" w:eastAsia="宋体" w:cs="宋体"/>
          <w:color w:val="auto"/>
          <w:sz w:val="21"/>
          <w:szCs w:val="21"/>
          <w:highlight w:val="none"/>
        </w:rPr>
      </w:pPr>
    </w:p>
    <w:p w14:paraId="753D026D">
      <w:pPr>
        <w:spacing w:line="360" w:lineRule="auto"/>
        <w:ind w:firstLine="420" w:firstLineChars="200"/>
        <w:rPr>
          <w:rFonts w:hint="eastAsia" w:ascii="宋体" w:hAnsi="宋体" w:eastAsia="宋体" w:cs="宋体"/>
          <w:color w:val="auto"/>
          <w:sz w:val="21"/>
          <w:szCs w:val="21"/>
          <w:highlight w:val="none"/>
        </w:rPr>
      </w:pPr>
      <w:bookmarkStart w:id="9" w:name="_Toc28359081"/>
      <w:bookmarkStart w:id="10" w:name="_Toc28359004"/>
      <w:r>
        <w:rPr>
          <w:rFonts w:hint="eastAsia" w:ascii="宋体" w:hAnsi="宋体" w:eastAsia="宋体" w:cs="宋体"/>
          <w:color w:val="auto"/>
          <w:sz w:val="21"/>
          <w:szCs w:val="21"/>
          <w:highlight w:val="none"/>
          <w:lang w:val="en-US" w:eastAsia="zh-CN"/>
        </w:rPr>
        <w:t>2</w:t>
      </w:r>
      <w:r>
        <w:rPr>
          <w:rFonts w:hint="eastAsia" w:ascii="宋体" w:hAnsi="宋体" w:eastAsia="宋体" w:cs="宋体"/>
          <w:color w:val="auto"/>
          <w:sz w:val="21"/>
          <w:szCs w:val="21"/>
          <w:highlight w:val="none"/>
        </w:rPr>
        <w:t>.本项目的特定资格要求：</w:t>
      </w:r>
    </w:p>
    <w:tbl>
      <w:tblPr>
        <w:tblStyle w:val="17"/>
        <w:tblW w:w="939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90"/>
      </w:tblGrid>
      <w:tr w14:paraId="3CB38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6" w:hRule="atLeast"/>
        </w:trPr>
        <w:tc>
          <w:tcPr>
            <w:tcW w:w="9390" w:type="dxa"/>
            <w:noWrap w:val="0"/>
            <w:vAlign w:val="top"/>
          </w:tcPr>
          <w:p w14:paraId="69578D55">
            <w:pPr>
              <w:spacing w:line="360" w:lineRule="auto"/>
              <w:ind w:firstLine="420" w:firstLineChars="200"/>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投标人未被列入“信用中国”网站(www.creditchina.gov.cn)“记录失信被执行人或重大税收违法失信主体或政府采购严重违法失信行为”记录名单；不处于中国政府采购网(www.ccgp.gov.cn)“政府采购严重违法失信行为信息记录”中的禁止参加政府采购活动期间。（以招标代理机构于投标截止日当天在“信用中国”网站（www.creditchina.gov.cn）及中国政府采购网（http://www.ccgp.gov.cn/）查询结果为准，如相关失信记录已失效，投标人需提供相关证明资料）。</w:t>
            </w:r>
          </w:p>
          <w:p w14:paraId="17306D85">
            <w:pPr>
              <w:spacing w:line="360" w:lineRule="auto"/>
              <w:ind w:firstLine="420" w:firstLineChars="200"/>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（2）单位负责人为同一人或者存在直接控股、 管理关系的不同投标人，不得同时参加本招标项目投标。为本项目提供整体设计、规范编制或者项目管理、监理、检测等服务的投标人，不得再参与本项目投标。（投标时提供承诺函，格式自拟）</w:t>
            </w:r>
          </w:p>
          <w:p w14:paraId="707DACAA">
            <w:pPr>
              <w:spacing w:line="360" w:lineRule="auto"/>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kern w:val="2"/>
                <w:sz w:val="21"/>
                <w:szCs w:val="21"/>
                <w:highlight w:val="none"/>
                <w:lang w:val="en-US" w:eastAsia="zh-CN" w:bidi="ar-SA"/>
              </w:rPr>
              <w:t>（3）已登记报名并获取本项目招标文件。</w:t>
            </w:r>
          </w:p>
        </w:tc>
      </w:tr>
    </w:tbl>
    <w:p w14:paraId="64798B55">
      <w:pPr>
        <w:keepNext/>
        <w:keepLines/>
        <w:pageBreakBefore w:val="0"/>
        <w:widowControl w:val="0"/>
        <w:kinsoku/>
        <w:wordWrap/>
        <w:overflowPunct/>
        <w:topLinePunct w:val="0"/>
        <w:autoSpaceDE/>
        <w:autoSpaceDN/>
        <w:bidi w:val="0"/>
        <w:adjustRightInd/>
        <w:snapToGrid/>
        <w:spacing w:after="0" w:line="360" w:lineRule="auto"/>
        <w:jc w:val="both"/>
        <w:textAlignment w:val="auto"/>
        <w:outlineLvl w:val="9"/>
        <w:rPr>
          <w:rFonts w:hint="eastAsia" w:ascii="宋体" w:hAnsi="宋体" w:eastAsia="宋体" w:cs="宋体"/>
          <w:b/>
          <w:bCs w:val="0"/>
          <w:color w:val="auto"/>
          <w:sz w:val="21"/>
          <w:szCs w:val="21"/>
          <w:highlight w:val="none"/>
        </w:rPr>
      </w:pPr>
      <w:bookmarkStart w:id="11" w:name="_Toc35393792"/>
      <w:bookmarkStart w:id="12" w:name="_Toc35393623"/>
      <w:r>
        <w:rPr>
          <w:rFonts w:hint="eastAsia" w:ascii="宋体" w:hAnsi="宋体" w:eastAsia="宋体" w:cs="宋体"/>
          <w:b/>
          <w:bCs w:val="0"/>
          <w:color w:val="auto"/>
          <w:sz w:val="21"/>
          <w:szCs w:val="21"/>
          <w:highlight w:val="none"/>
        </w:rPr>
        <w:t>三、获取招标文件</w:t>
      </w:r>
      <w:bookmarkEnd w:id="9"/>
      <w:bookmarkEnd w:id="10"/>
      <w:bookmarkEnd w:id="11"/>
      <w:bookmarkEnd w:id="12"/>
    </w:p>
    <w:p w14:paraId="76D7DE5A">
      <w:pPr>
        <w:spacing w:line="360" w:lineRule="auto"/>
        <w:ind w:firstLine="540"/>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rPr>
        <w:t>时间：202</w:t>
      </w:r>
      <w:r>
        <w:rPr>
          <w:rFonts w:hint="eastAsia" w:ascii="宋体" w:hAnsi="宋体" w:eastAsia="宋体" w:cs="宋体"/>
          <w:color w:val="auto"/>
          <w:sz w:val="21"/>
          <w:szCs w:val="21"/>
          <w:highlight w:val="none"/>
          <w:lang w:val="en-US" w:eastAsia="zh-CN"/>
        </w:rPr>
        <w:t>6</w:t>
      </w:r>
      <w:r>
        <w:rPr>
          <w:rFonts w:hint="eastAsia" w:ascii="宋体" w:hAnsi="宋体" w:eastAsia="宋体" w:cs="宋体"/>
          <w:color w:val="auto"/>
          <w:sz w:val="21"/>
          <w:szCs w:val="21"/>
          <w:highlight w:val="none"/>
        </w:rPr>
        <w:t>年</w:t>
      </w:r>
      <w:r>
        <w:rPr>
          <w:rFonts w:hint="eastAsia" w:ascii="宋体" w:hAnsi="宋体" w:eastAsia="宋体" w:cs="宋体"/>
          <w:color w:val="auto"/>
          <w:sz w:val="21"/>
          <w:szCs w:val="21"/>
          <w:highlight w:val="none"/>
          <w:lang w:val="en-US" w:eastAsia="zh-CN"/>
        </w:rPr>
        <w:t>06</w:t>
      </w:r>
      <w:r>
        <w:rPr>
          <w:rFonts w:hint="eastAsia" w:ascii="宋体" w:hAnsi="宋体" w:eastAsia="宋体" w:cs="宋体"/>
          <w:color w:val="auto"/>
          <w:sz w:val="21"/>
          <w:szCs w:val="21"/>
          <w:highlight w:val="none"/>
        </w:rPr>
        <w:t>月</w:t>
      </w:r>
      <w:r>
        <w:rPr>
          <w:rFonts w:hint="eastAsia" w:ascii="宋体" w:hAnsi="宋体" w:eastAsia="宋体" w:cs="宋体"/>
          <w:color w:val="auto"/>
          <w:sz w:val="21"/>
          <w:szCs w:val="21"/>
          <w:highlight w:val="none"/>
          <w:lang w:val="en-US" w:eastAsia="zh-CN"/>
        </w:rPr>
        <w:t>18</w:t>
      </w:r>
      <w:r>
        <w:rPr>
          <w:rFonts w:hint="eastAsia" w:ascii="宋体" w:hAnsi="宋体" w:eastAsia="宋体" w:cs="宋体"/>
          <w:color w:val="auto"/>
          <w:sz w:val="21"/>
          <w:szCs w:val="21"/>
          <w:highlight w:val="none"/>
        </w:rPr>
        <w:t>日</w:t>
      </w:r>
      <w:r>
        <w:rPr>
          <w:rFonts w:hint="eastAsia" w:ascii="宋体" w:hAnsi="宋体" w:eastAsia="宋体" w:cs="宋体"/>
          <w:color w:val="auto"/>
          <w:sz w:val="21"/>
          <w:szCs w:val="21"/>
          <w:highlight w:val="none"/>
          <w:lang w:val="en-US" w:eastAsia="zh-CN"/>
        </w:rPr>
        <w:t>18</w:t>
      </w:r>
      <w:r>
        <w:rPr>
          <w:rFonts w:hint="eastAsia" w:ascii="宋体" w:hAnsi="宋体" w:eastAsia="宋体" w:cs="宋体"/>
          <w:color w:val="auto"/>
          <w:sz w:val="21"/>
          <w:szCs w:val="21"/>
          <w:highlight w:val="none"/>
        </w:rPr>
        <w:t>:00起至202</w:t>
      </w:r>
      <w:r>
        <w:rPr>
          <w:rFonts w:hint="eastAsia" w:ascii="宋体" w:hAnsi="宋体" w:eastAsia="宋体" w:cs="宋体"/>
          <w:color w:val="auto"/>
          <w:sz w:val="21"/>
          <w:szCs w:val="21"/>
          <w:highlight w:val="none"/>
          <w:lang w:val="en-US" w:eastAsia="zh-CN"/>
        </w:rPr>
        <w:t>6</w:t>
      </w:r>
      <w:r>
        <w:rPr>
          <w:rFonts w:hint="eastAsia" w:ascii="宋体" w:hAnsi="宋体" w:eastAsia="宋体" w:cs="宋体"/>
          <w:color w:val="auto"/>
          <w:sz w:val="21"/>
          <w:szCs w:val="21"/>
          <w:highlight w:val="none"/>
        </w:rPr>
        <w:t>年</w:t>
      </w:r>
      <w:r>
        <w:rPr>
          <w:rFonts w:hint="eastAsia" w:ascii="宋体" w:hAnsi="宋体" w:eastAsia="宋体" w:cs="宋体"/>
          <w:color w:val="auto"/>
          <w:sz w:val="21"/>
          <w:szCs w:val="21"/>
          <w:highlight w:val="none"/>
          <w:lang w:val="en-US" w:eastAsia="zh-CN"/>
        </w:rPr>
        <w:t>06</w:t>
      </w:r>
      <w:r>
        <w:rPr>
          <w:rFonts w:hint="eastAsia" w:ascii="宋体" w:hAnsi="宋体" w:eastAsia="宋体" w:cs="宋体"/>
          <w:color w:val="auto"/>
          <w:sz w:val="21"/>
          <w:szCs w:val="21"/>
          <w:highlight w:val="none"/>
        </w:rPr>
        <w:t>月</w:t>
      </w:r>
      <w:r>
        <w:rPr>
          <w:rFonts w:hint="eastAsia" w:ascii="宋体" w:hAnsi="宋体" w:eastAsia="宋体" w:cs="宋体"/>
          <w:color w:val="auto"/>
          <w:sz w:val="21"/>
          <w:szCs w:val="21"/>
          <w:highlight w:val="none"/>
          <w:lang w:val="en-US" w:eastAsia="zh-CN"/>
        </w:rPr>
        <w:t>26</w:t>
      </w:r>
      <w:r>
        <w:rPr>
          <w:rFonts w:hint="eastAsia" w:ascii="宋体" w:hAnsi="宋体" w:eastAsia="宋体" w:cs="宋体"/>
          <w:color w:val="auto"/>
          <w:sz w:val="21"/>
          <w:szCs w:val="21"/>
          <w:highlight w:val="none"/>
        </w:rPr>
        <w:t>日</w:t>
      </w:r>
      <w:r>
        <w:rPr>
          <w:rFonts w:hint="eastAsia" w:ascii="宋体" w:hAnsi="宋体" w:eastAsia="宋体" w:cs="宋体"/>
          <w:color w:val="auto"/>
          <w:sz w:val="21"/>
          <w:szCs w:val="21"/>
          <w:highlight w:val="none"/>
          <w:lang w:val="en-US" w:eastAsia="zh-CN"/>
        </w:rPr>
        <w:t>18</w:t>
      </w:r>
      <w:r>
        <w:rPr>
          <w:rFonts w:hint="eastAsia" w:ascii="宋体" w:hAnsi="宋体" w:eastAsia="宋体" w:cs="宋体"/>
          <w:color w:val="auto"/>
          <w:sz w:val="21"/>
          <w:szCs w:val="21"/>
          <w:highlight w:val="none"/>
        </w:rPr>
        <w:t>:00（提供期限自本公告发布之日起不得少于5个工作日,北京时间，法定节假日除外）</w:t>
      </w:r>
      <w:r>
        <w:rPr>
          <w:rFonts w:hint="eastAsia" w:ascii="宋体" w:hAnsi="宋体" w:eastAsia="宋体" w:cs="宋体"/>
          <w:color w:val="auto"/>
          <w:sz w:val="21"/>
          <w:szCs w:val="21"/>
          <w:highlight w:val="none"/>
          <w:lang w:eastAsia="zh-CN"/>
        </w:rPr>
        <w:t>。</w:t>
      </w:r>
    </w:p>
    <w:p w14:paraId="5A377B43">
      <w:pPr>
        <w:spacing w:line="360" w:lineRule="auto"/>
        <w:ind w:firstLine="540"/>
        <w:rPr>
          <w:rFonts w:hint="eastAsia" w:ascii="宋体" w:hAnsi="宋体" w:eastAsia="宋体" w:cs="宋体"/>
          <w:color w:val="auto"/>
          <w:sz w:val="21"/>
          <w:szCs w:val="21"/>
          <w:highlight w:val="none"/>
          <w:u w:val="single"/>
          <w:lang w:eastAsia="zh-CN"/>
        </w:rPr>
      </w:pPr>
      <w:bookmarkStart w:id="13" w:name="_Toc28359082"/>
      <w:bookmarkStart w:id="14" w:name="_Toc28359005"/>
      <w:bookmarkStart w:id="15" w:name="_Toc35393624"/>
      <w:bookmarkStart w:id="16" w:name="_Toc35393793"/>
      <w:r>
        <w:rPr>
          <w:rFonts w:hint="eastAsia" w:ascii="宋体" w:hAnsi="宋体" w:eastAsia="宋体" w:cs="宋体"/>
          <w:color w:val="auto"/>
          <w:sz w:val="21"/>
          <w:szCs w:val="21"/>
          <w:highlight w:val="none"/>
        </w:rPr>
        <w:t>地点：本项目采用韶关市公共资源交易一体化平台“产权招标交易系统”进行网上报名，详见“六、其他补充事宜”</w:t>
      </w:r>
      <w:r>
        <w:rPr>
          <w:rFonts w:hint="eastAsia" w:ascii="宋体" w:hAnsi="宋体" w:eastAsia="宋体" w:cs="宋体"/>
          <w:color w:val="auto"/>
          <w:sz w:val="21"/>
          <w:szCs w:val="21"/>
          <w:highlight w:val="none"/>
          <w:lang w:eastAsia="zh-CN"/>
        </w:rPr>
        <w:t>。</w:t>
      </w:r>
    </w:p>
    <w:p w14:paraId="75A730AE">
      <w:pPr>
        <w:spacing w:line="360" w:lineRule="auto"/>
        <w:ind w:firstLine="540"/>
        <w:rPr>
          <w:rFonts w:hint="eastAsia" w:ascii="宋体" w:hAnsi="宋体" w:eastAsia="宋体" w:cs="宋体"/>
          <w:color w:val="auto"/>
          <w:sz w:val="21"/>
          <w:szCs w:val="21"/>
          <w:highlight w:val="none"/>
          <w:u w:val="single"/>
          <w:lang w:val="en-US" w:eastAsia="zh-CN"/>
        </w:rPr>
      </w:pPr>
      <w:r>
        <w:rPr>
          <w:rFonts w:hint="eastAsia" w:ascii="宋体" w:hAnsi="宋体" w:eastAsia="宋体" w:cs="宋体"/>
          <w:color w:val="auto"/>
          <w:sz w:val="21"/>
          <w:szCs w:val="21"/>
          <w:highlight w:val="none"/>
        </w:rPr>
        <w:t>方式：</w:t>
      </w:r>
      <w:r>
        <w:rPr>
          <w:rFonts w:hint="eastAsia" w:ascii="宋体" w:hAnsi="宋体" w:eastAsia="宋体" w:cs="宋体"/>
          <w:color w:val="auto"/>
          <w:sz w:val="21"/>
          <w:szCs w:val="21"/>
          <w:highlight w:val="none"/>
          <w:lang w:val="en-US" w:eastAsia="zh-CN"/>
        </w:rPr>
        <w:t>网上</w:t>
      </w:r>
      <w:r>
        <w:rPr>
          <w:rFonts w:hint="eastAsia" w:ascii="宋体" w:hAnsi="宋体" w:eastAsia="宋体" w:cs="宋体"/>
          <w:color w:val="auto"/>
          <w:sz w:val="21"/>
          <w:szCs w:val="21"/>
          <w:highlight w:val="none"/>
        </w:rPr>
        <w:t>报名</w:t>
      </w:r>
    </w:p>
    <w:p w14:paraId="030BA54C">
      <w:pPr>
        <w:spacing w:line="360" w:lineRule="auto"/>
        <w:ind w:firstLine="540"/>
        <w:rPr>
          <w:rFonts w:hint="eastAsia" w:ascii="宋体" w:hAnsi="宋体" w:eastAsia="宋体" w:cs="宋体"/>
          <w:b/>
          <w:bCs/>
          <w:color w:val="auto"/>
          <w:sz w:val="21"/>
          <w:szCs w:val="21"/>
          <w:highlight w:val="none"/>
        </w:rPr>
      </w:pPr>
      <w:r>
        <w:rPr>
          <w:rFonts w:hint="eastAsia" w:ascii="宋体" w:hAnsi="宋体" w:eastAsia="宋体" w:cs="宋体"/>
          <w:color w:val="auto"/>
          <w:sz w:val="21"/>
          <w:szCs w:val="21"/>
          <w:highlight w:val="none"/>
        </w:rPr>
        <w:t>售价（元）：</w:t>
      </w:r>
      <w:r>
        <w:rPr>
          <w:rFonts w:hint="eastAsia" w:ascii="宋体" w:hAnsi="宋体" w:eastAsia="宋体" w:cs="宋体"/>
          <w:color w:val="auto"/>
          <w:sz w:val="21"/>
          <w:szCs w:val="21"/>
          <w:highlight w:val="none"/>
          <w:lang w:val="en-US" w:eastAsia="zh-CN"/>
        </w:rPr>
        <w:t>0.00</w:t>
      </w:r>
    </w:p>
    <w:p w14:paraId="0A06E625">
      <w:pPr>
        <w:keepNext/>
        <w:keepLines/>
        <w:pageBreakBefore w:val="0"/>
        <w:widowControl w:val="0"/>
        <w:kinsoku/>
        <w:wordWrap/>
        <w:overflowPunct/>
        <w:topLinePunct w:val="0"/>
        <w:autoSpaceDE/>
        <w:autoSpaceDN/>
        <w:bidi w:val="0"/>
        <w:adjustRightInd/>
        <w:snapToGrid/>
        <w:spacing w:after="0" w:line="360" w:lineRule="auto"/>
        <w:jc w:val="both"/>
        <w:textAlignment w:val="auto"/>
        <w:outlineLvl w:val="9"/>
        <w:rPr>
          <w:rFonts w:hint="eastAsia" w:ascii="宋体" w:hAnsi="宋体" w:eastAsia="宋体" w:cs="宋体"/>
          <w:b/>
          <w:bCs w:val="0"/>
          <w:color w:val="auto"/>
          <w:sz w:val="21"/>
          <w:szCs w:val="21"/>
          <w:highlight w:val="none"/>
        </w:rPr>
      </w:pPr>
      <w:r>
        <w:rPr>
          <w:rFonts w:hint="eastAsia" w:ascii="宋体" w:hAnsi="宋体" w:eastAsia="宋体" w:cs="宋体"/>
          <w:b/>
          <w:bCs w:val="0"/>
          <w:color w:val="auto"/>
          <w:sz w:val="21"/>
          <w:szCs w:val="21"/>
          <w:highlight w:val="none"/>
        </w:rPr>
        <w:t>四、提交投标文件</w:t>
      </w:r>
      <w:bookmarkEnd w:id="13"/>
      <w:bookmarkEnd w:id="14"/>
      <w:r>
        <w:rPr>
          <w:rFonts w:hint="eastAsia" w:ascii="宋体" w:hAnsi="宋体" w:eastAsia="宋体" w:cs="宋体"/>
          <w:b/>
          <w:bCs w:val="0"/>
          <w:color w:val="auto"/>
          <w:sz w:val="21"/>
          <w:szCs w:val="21"/>
          <w:highlight w:val="none"/>
        </w:rPr>
        <w:t>截止时间、开标时间和地点</w:t>
      </w:r>
      <w:bookmarkEnd w:id="15"/>
      <w:bookmarkEnd w:id="16"/>
    </w:p>
    <w:p w14:paraId="4FCF0A3F">
      <w:pPr>
        <w:pStyle w:val="3"/>
        <w:keepNext/>
        <w:keepLines/>
        <w:pageBreakBefore w:val="0"/>
        <w:widowControl w:val="0"/>
        <w:kinsoku/>
        <w:wordWrap/>
        <w:overflowPunct/>
        <w:topLinePunct w:val="0"/>
        <w:autoSpaceDE/>
        <w:autoSpaceDN/>
        <w:bidi w:val="0"/>
        <w:adjustRightInd/>
        <w:snapToGrid/>
        <w:spacing w:before="0" w:after="0" w:line="360" w:lineRule="auto"/>
        <w:ind w:firstLine="420" w:firstLineChars="200"/>
        <w:jc w:val="both"/>
        <w:textAlignment w:val="auto"/>
        <w:rPr>
          <w:rFonts w:hint="eastAsia" w:ascii="宋体" w:hAnsi="宋体" w:eastAsia="宋体" w:cs="宋体"/>
          <w:b w:val="0"/>
          <w:bCs/>
          <w:color w:val="auto"/>
          <w:kern w:val="2"/>
          <w:sz w:val="21"/>
          <w:szCs w:val="21"/>
          <w:highlight w:val="none"/>
          <w:u w:val="none"/>
          <w:lang w:val="en-US" w:eastAsia="zh-CN" w:bidi="ar-SA"/>
        </w:rPr>
      </w:pPr>
      <w:r>
        <w:rPr>
          <w:rFonts w:hint="eastAsia" w:ascii="宋体" w:hAnsi="宋体" w:eastAsia="宋体" w:cs="宋体"/>
          <w:b w:val="0"/>
          <w:bCs/>
          <w:color w:val="auto"/>
          <w:kern w:val="2"/>
          <w:sz w:val="21"/>
          <w:szCs w:val="21"/>
          <w:highlight w:val="none"/>
          <w:u w:val="none"/>
          <w:lang w:val="en-US" w:eastAsia="zh-CN" w:bidi="ar-SA"/>
        </w:rPr>
        <w:t xml:space="preserve">1.电子投标截止时间:2026年07月10日 09 点 30 分（北京时间） </w:t>
      </w:r>
    </w:p>
    <w:p w14:paraId="5E4E52B6">
      <w:pPr>
        <w:pStyle w:val="3"/>
        <w:keepNext/>
        <w:keepLines/>
        <w:pageBreakBefore w:val="0"/>
        <w:widowControl w:val="0"/>
        <w:kinsoku/>
        <w:wordWrap/>
        <w:overflowPunct/>
        <w:topLinePunct w:val="0"/>
        <w:autoSpaceDE/>
        <w:autoSpaceDN/>
        <w:bidi w:val="0"/>
        <w:adjustRightInd/>
        <w:snapToGrid/>
        <w:spacing w:before="0" w:after="0" w:line="360" w:lineRule="auto"/>
        <w:ind w:firstLine="420" w:firstLineChars="200"/>
        <w:jc w:val="both"/>
        <w:textAlignment w:val="auto"/>
        <w:rPr>
          <w:rFonts w:hint="eastAsia" w:ascii="宋体" w:hAnsi="宋体" w:eastAsia="宋体" w:cs="宋体"/>
          <w:b w:val="0"/>
          <w:bCs/>
          <w:color w:val="auto"/>
          <w:kern w:val="2"/>
          <w:sz w:val="21"/>
          <w:szCs w:val="21"/>
          <w:highlight w:val="none"/>
          <w:u w:val="none"/>
          <w:lang w:val="en-US" w:eastAsia="zh-CN" w:bidi="ar-SA"/>
        </w:rPr>
      </w:pPr>
      <w:r>
        <w:rPr>
          <w:rFonts w:hint="eastAsia" w:ascii="宋体" w:hAnsi="宋体" w:eastAsia="宋体" w:cs="宋体"/>
          <w:b w:val="0"/>
          <w:bCs/>
          <w:color w:val="auto"/>
          <w:kern w:val="2"/>
          <w:sz w:val="21"/>
          <w:szCs w:val="21"/>
          <w:highlight w:val="none"/>
          <w:u w:val="none"/>
          <w:lang w:val="en-US" w:eastAsia="zh-CN" w:bidi="ar-SA"/>
        </w:rPr>
        <w:t>2.纸质投标文件递交截止时间:2026年07月10日 09 点 30 分（北京时间）</w:t>
      </w:r>
    </w:p>
    <w:p w14:paraId="12464085">
      <w:pPr>
        <w:pStyle w:val="3"/>
        <w:keepNext/>
        <w:keepLines/>
        <w:pageBreakBefore w:val="0"/>
        <w:widowControl w:val="0"/>
        <w:kinsoku/>
        <w:wordWrap/>
        <w:overflowPunct/>
        <w:topLinePunct w:val="0"/>
        <w:autoSpaceDE/>
        <w:autoSpaceDN/>
        <w:bidi w:val="0"/>
        <w:adjustRightInd/>
        <w:snapToGrid/>
        <w:spacing w:before="0" w:after="0" w:line="360" w:lineRule="auto"/>
        <w:ind w:firstLine="420" w:firstLineChars="200"/>
        <w:jc w:val="both"/>
        <w:textAlignment w:val="auto"/>
        <w:rPr>
          <w:rFonts w:hint="eastAsia" w:ascii="宋体" w:hAnsi="宋体" w:eastAsia="宋体" w:cs="宋体"/>
          <w:b w:val="0"/>
          <w:bCs/>
          <w:color w:val="auto"/>
          <w:kern w:val="2"/>
          <w:sz w:val="21"/>
          <w:szCs w:val="21"/>
          <w:highlight w:val="none"/>
          <w:u w:val="none"/>
          <w:lang w:val="en-US" w:eastAsia="zh-CN" w:bidi="ar-SA"/>
        </w:rPr>
      </w:pPr>
      <w:r>
        <w:rPr>
          <w:rFonts w:hint="eastAsia" w:ascii="宋体" w:hAnsi="宋体" w:eastAsia="宋体" w:cs="宋体"/>
          <w:b w:val="0"/>
          <w:bCs/>
          <w:color w:val="auto"/>
          <w:kern w:val="2"/>
          <w:sz w:val="21"/>
          <w:szCs w:val="21"/>
          <w:highlight w:val="none"/>
          <w:u w:val="none"/>
          <w:lang w:val="en-US" w:eastAsia="zh-CN" w:bidi="ar-SA"/>
        </w:rPr>
        <w:t>地点：广东省韶关市武江区西联镇韶关市公共资源交易中心，具体开标室以当日现场通知为准。</w:t>
      </w:r>
    </w:p>
    <w:p w14:paraId="0753002D">
      <w:pPr>
        <w:spacing w:line="360" w:lineRule="auto"/>
        <w:rPr>
          <w:rFonts w:hint="eastAsia"/>
          <w:color w:val="auto"/>
          <w:highlight w:val="none"/>
          <w:lang w:val="en-US" w:eastAsia="zh-CN"/>
        </w:rPr>
      </w:pPr>
      <w:r>
        <w:rPr>
          <w:rFonts w:hint="eastAsia" w:ascii="宋体" w:hAnsi="宋体" w:eastAsia="宋体" w:cs="宋体"/>
          <w:b/>
          <w:bCs w:val="0"/>
          <w:color w:val="auto"/>
          <w:sz w:val="21"/>
          <w:szCs w:val="21"/>
          <w:highlight w:val="none"/>
          <w:lang w:val="en-US" w:eastAsia="zh-CN"/>
        </w:rPr>
        <w:t>五</w:t>
      </w:r>
      <w:r>
        <w:rPr>
          <w:rFonts w:hint="eastAsia" w:ascii="宋体" w:hAnsi="宋体" w:eastAsia="宋体" w:cs="宋体"/>
          <w:b/>
          <w:bCs w:val="0"/>
          <w:color w:val="auto"/>
          <w:sz w:val="21"/>
          <w:szCs w:val="21"/>
          <w:highlight w:val="none"/>
        </w:rPr>
        <w:t>、</w:t>
      </w:r>
      <w:r>
        <w:rPr>
          <w:rFonts w:hint="eastAsia" w:ascii="宋体" w:hAnsi="宋体" w:eastAsia="宋体" w:cs="宋体"/>
          <w:b/>
          <w:bCs w:val="0"/>
          <w:color w:val="auto"/>
          <w:sz w:val="21"/>
          <w:szCs w:val="21"/>
          <w:highlight w:val="none"/>
          <w:lang w:val="en-US" w:eastAsia="zh-CN"/>
        </w:rPr>
        <w:t>公告期限</w:t>
      </w:r>
    </w:p>
    <w:p w14:paraId="205A9365">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 w:val="0"/>
          <w:bCs/>
          <w:color w:val="auto"/>
          <w:kern w:val="2"/>
          <w:sz w:val="21"/>
          <w:szCs w:val="21"/>
          <w:highlight w:val="none"/>
          <w:u w:val="none"/>
          <w:lang w:val="en-US" w:eastAsia="zh-CN" w:bidi="ar-SA"/>
        </w:rPr>
      </w:pPr>
      <w:r>
        <w:rPr>
          <w:rFonts w:hint="eastAsia" w:ascii="宋体" w:hAnsi="宋体" w:eastAsia="宋体" w:cs="宋体"/>
          <w:b w:val="0"/>
          <w:bCs/>
          <w:color w:val="auto"/>
          <w:kern w:val="2"/>
          <w:sz w:val="21"/>
          <w:szCs w:val="21"/>
          <w:highlight w:val="none"/>
          <w:u w:val="none"/>
          <w:lang w:val="en-US" w:eastAsia="zh-CN" w:bidi="ar-SA"/>
        </w:rPr>
        <w:t>自本公告发布之日起5个工作日。</w:t>
      </w:r>
      <w:bookmarkStart w:id="17" w:name="_Toc35393626"/>
      <w:bookmarkStart w:id="18" w:name="_Toc35393795"/>
    </w:p>
    <w:p w14:paraId="79D09E2A">
      <w:pPr>
        <w:keepNext/>
        <w:keepLines/>
        <w:pageBreakBefore w:val="0"/>
        <w:widowControl w:val="0"/>
        <w:kinsoku/>
        <w:wordWrap/>
        <w:overflowPunct/>
        <w:topLinePunct w:val="0"/>
        <w:autoSpaceDE/>
        <w:autoSpaceDN/>
        <w:bidi w:val="0"/>
        <w:adjustRightInd/>
        <w:snapToGrid/>
        <w:spacing w:after="0" w:line="360" w:lineRule="auto"/>
        <w:jc w:val="both"/>
        <w:textAlignment w:val="auto"/>
        <w:outlineLvl w:val="9"/>
        <w:rPr>
          <w:rFonts w:hint="eastAsia" w:ascii="宋体" w:hAnsi="宋体" w:eastAsia="宋体" w:cs="宋体"/>
          <w:b/>
          <w:bCs w:val="0"/>
          <w:color w:val="auto"/>
          <w:sz w:val="21"/>
          <w:szCs w:val="21"/>
          <w:highlight w:val="none"/>
        </w:rPr>
      </w:pPr>
      <w:r>
        <w:rPr>
          <w:rFonts w:hint="eastAsia" w:ascii="宋体" w:hAnsi="宋体" w:eastAsia="宋体" w:cs="宋体"/>
          <w:b/>
          <w:bCs w:val="0"/>
          <w:color w:val="auto"/>
          <w:sz w:val="21"/>
          <w:szCs w:val="21"/>
          <w:highlight w:val="none"/>
        </w:rPr>
        <w:t>六、其他补充事宜</w:t>
      </w:r>
      <w:bookmarkEnd w:id="17"/>
      <w:bookmarkEnd w:id="18"/>
    </w:p>
    <w:tbl>
      <w:tblPr>
        <w:tblStyle w:val="17"/>
        <w:tblW w:w="93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375"/>
      </w:tblGrid>
      <w:tr w14:paraId="5F21F0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375" w:type="dxa"/>
            <w:noWrap w:val="0"/>
            <w:vAlign w:val="top"/>
          </w:tcPr>
          <w:p w14:paraId="78168524">
            <w:pPr>
              <w:pStyle w:val="86"/>
              <w:keepNext w:val="0"/>
              <w:keepLines w:val="0"/>
              <w:pageBreakBefore w:val="0"/>
              <w:kinsoku/>
              <w:overflowPunct/>
              <w:topLinePunct w:val="0"/>
              <w:autoSpaceDE/>
              <w:autoSpaceDN/>
              <w:bidi w:val="0"/>
              <w:adjustRightInd/>
              <w:snapToGrid w:val="0"/>
              <w:spacing w:line="360" w:lineRule="auto"/>
              <w:ind w:firstLine="422" w:firstLineChars="200"/>
              <w:textAlignment w:val="auto"/>
              <w:outlineLvl w:val="9"/>
              <w:rPr>
                <w:rFonts w:hint="eastAsia" w:ascii="宋体" w:hAnsi="宋体" w:eastAsia="宋体" w:cs="宋体"/>
                <w:b/>
                <w:bCs/>
                <w:color w:val="auto"/>
                <w:kern w:val="16"/>
                <w:sz w:val="21"/>
                <w:szCs w:val="21"/>
                <w:highlight w:val="none"/>
                <w:lang w:eastAsia="zh-CN"/>
              </w:rPr>
            </w:pPr>
            <w:r>
              <w:rPr>
                <w:rFonts w:hint="eastAsia" w:ascii="宋体" w:hAnsi="宋体" w:eastAsia="宋体" w:cs="宋体"/>
                <w:b/>
                <w:bCs/>
                <w:color w:val="auto"/>
                <w:kern w:val="16"/>
                <w:sz w:val="21"/>
                <w:szCs w:val="21"/>
                <w:highlight w:val="none"/>
                <w:lang w:eastAsia="zh-CN"/>
              </w:rPr>
              <w:t>(一）</w:t>
            </w:r>
            <w:r>
              <w:rPr>
                <w:rFonts w:hint="eastAsia" w:ascii="宋体" w:hAnsi="宋体" w:cs="宋体"/>
                <w:b/>
                <w:bCs/>
                <w:color w:val="auto"/>
                <w:kern w:val="16"/>
                <w:sz w:val="21"/>
                <w:szCs w:val="21"/>
                <w:highlight w:val="none"/>
                <w:lang w:val="en-US" w:eastAsia="zh-CN"/>
              </w:rPr>
              <w:t>招标</w:t>
            </w:r>
            <w:r>
              <w:rPr>
                <w:rFonts w:hint="eastAsia" w:ascii="宋体" w:hAnsi="宋体" w:eastAsia="宋体" w:cs="宋体"/>
                <w:b/>
                <w:bCs/>
                <w:color w:val="auto"/>
                <w:kern w:val="16"/>
                <w:sz w:val="21"/>
                <w:szCs w:val="21"/>
                <w:highlight w:val="none"/>
                <w:lang w:eastAsia="zh-CN"/>
              </w:rPr>
              <w:t>项目注意事项</w:t>
            </w:r>
          </w:p>
          <w:p w14:paraId="51DCD93F">
            <w:pPr>
              <w:pStyle w:val="16"/>
              <w:keepNext w:val="0"/>
              <w:keepLines w:val="0"/>
              <w:pageBreakBefore w:val="0"/>
              <w:widowControl/>
              <w:suppressLineNumbers w:val="0"/>
              <w:shd w:val="clear" w:color="auto" w:fill="FFFFFF"/>
              <w:kinsoku/>
              <w:wordWrap w:val="0"/>
              <w:overflowPunct/>
              <w:topLinePunct w:val="0"/>
              <w:autoSpaceDE/>
              <w:autoSpaceDN/>
              <w:bidi w:val="0"/>
              <w:adjustRightInd/>
              <w:snapToGrid/>
              <w:spacing w:before="0" w:beforeAutospacing="0" w:after="0" w:afterAutospacing="0" w:line="360" w:lineRule="auto"/>
              <w:ind w:left="0" w:firstLine="420" w:firstLineChars="200"/>
              <w:jc w:val="both"/>
              <w:textAlignment w:val="auto"/>
              <w:outlineLvl w:val="9"/>
              <w:rPr>
                <w:rFonts w:hint="eastAsia" w:ascii="宋体" w:hAnsi="宋体" w:eastAsia="宋体" w:cs="宋体"/>
                <w:b w:val="0"/>
                <w:bCs w:val="0"/>
                <w:color w:val="auto"/>
                <w:kern w:val="0"/>
                <w:sz w:val="21"/>
                <w:szCs w:val="21"/>
                <w:highlight w:val="none"/>
                <w:lang w:val="en-US" w:eastAsia="zh-CN" w:bidi="ar-SA"/>
              </w:rPr>
            </w:pPr>
            <w:r>
              <w:rPr>
                <w:rFonts w:hint="eastAsia" w:ascii="宋体" w:hAnsi="宋体" w:eastAsia="宋体" w:cs="宋体"/>
                <w:b w:val="0"/>
                <w:bCs w:val="0"/>
                <w:color w:val="auto"/>
                <w:kern w:val="0"/>
                <w:sz w:val="21"/>
                <w:szCs w:val="21"/>
                <w:highlight w:val="none"/>
                <w:lang w:val="en-US" w:eastAsia="zh-CN" w:bidi="ar-SA"/>
              </w:rPr>
              <w:t>1</w:t>
            </w:r>
            <w:r>
              <w:rPr>
                <w:rFonts w:hint="eastAsia" w:cs="宋体"/>
                <w:b w:val="0"/>
                <w:bCs w:val="0"/>
                <w:color w:val="auto"/>
                <w:kern w:val="0"/>
                <w:sz w:val="21"/>
                <w:szCs w:val="21"/>
                <w:highlight w:val="none"/>
                <w:lang w:val="en-US" w:eastAsia="zh-CN" w:bidi="ar-SA"/>
              </w:rPr>
              <w:t>.</w:t>
            </w:r>
            <w:r>
              <w:rPr>
                <w:rFonts w:hint="eastAsia" w:ascii="宋体" w:hAnsi="宋体" w:eastAsia="宋体" w:cs="宋体"/>
                <w:b w:val="0"/>
                <w:bCs w:val="0"/>
                <w:color w:val="auto"/>
                <w:kern w:val="0"/>
                <w:sz w:val="21"/>
                <w:szCs w:val="21"/>
                <w:highlight w:val="none"/>
                <w:lang w:val="en-US" w:eastAsia="zh-CN" w:bidi="ar-SA"/>
              </w:rPr>
              <w:t>参与本项目的投标人须采用“产权招标交易系统”进行网上报名</w:t>
            </w:r>
            <w:r>
              <w:rPr>
                <w:rFonts w:hint="eastAsia" w:ascii="宋体" w:hAnsi="宋体" w:eastAsia="宋体" w:cs="宋体"/>
                <w:color w:val="auto"/>
                <w:kern w:val="16"/>
                <w:sz w:val="21"/>
                <w:szCs w:val="21"/>
                <w:highlight w:val="none"/>
                <w:lang w:eastAsia="zh-CN"/>
              </w:rPr>
              <w:t>、交纳投标保证金。</w:t>
            </w:r>
          </w:p>
          <w:p w14:paraId="60FFE521">
            <w:pPr>
              <w:pStyle w:val="16"/>
              <w:keepNext w:val="0"/>
              <w:keepLines w:val="0"/>
              <w:pageBreakBefore w:val="0"/>
              <w:widowControl/>
              <w:suppressLineNumbers w:val="0"/>
              <w:shd w:val="clear" w:color="auto" w:fill="FFFFFF"/>
              <w:kinsoku/>
              <w:wordWrap w:val="0"/>
              <w:overflowPunct/>
              <w:topLinePunct w:val="0"/>
              <w:autoSpaceDE/>
              <w:autoSpaceDN/>
              <w:bidi w:val="0"/>
              <w:adjustRightInd/>
              <w:snapToGrid/>
              <w:spacing w:before="0" w:beforeAutospacing="0" w:after="0" w:afterAutospacing="0" w:line="360" w:lineRule="auto"/>
              <w:ind w:left="0" w:firstLine="420" w:firstLineChars="200"/>
              <w:jc w:val="both"/>
              <w:textAlignment w:val="auto"/>
              <w:outlineLvl w:val="9"/>
              <w:rPr>
                <w:rFonts w:hint="eastAsia" w:ascii="宋体" w:hAnsi="宋体" w:eastAsia="宋体" w:cs="宋体"/>
                <w:b w:val="0"/>
                <w:bCs w:val="0"/>
                <w:color w:val="auto"/>
                <w:kern w:val="0"/>
                <w:sz w:val="21"/>
                <w:szCs w:val="21"/>
                <w:highlight w:val="none"/>
                <w:lang w:val="en-US" w:eastAsia="zh-CN" w:bidi="ar-SA"/>
              </w:rPr>
            </w:pPr>
            <w:r>
              <w:rPr>
                <w:rFonts w:hint="eastAsia" w:cs="宋体"/>
                <w:b w:val="0"/>
                <w:bCs w:val="0"/>
                <w:color w:val="auto"/>
                <w:kern w:val="0"/>
                <w:sz w:val="21"/>
                <w:szCs w:val="21"/>
                <w:highlight w:val="none"/>
                <w:lang w:val="en-US" w:eastAsia="zh-CN" w:bidi="ar-SA"/>
              </w:rPr>
              <w:t>2.</w:t>
            </w:r>
            <w:r>
              <w:rPr>
                <w:rFonts w:hint="eastAsia" w:ascii="宋体" w:hAnsi="宋体" w:eastAsia="宋体" w:cs="宋体"/>
                <w:b w:val="0"/>
                <w:bCs w:val="0"/>
                <w:color w:val="auto"/>
                <w:kern w:val="0"/>
                <w:sz w:val="21"/>
                <w:szCs w:val="21"/>
                <w:highlight w:val="none"/>
                <w:lang w:val="en-US" w:eastAsia="zh-CN" w:bidi="ar-SA"/>
              </w:rPr>
              <w:t>报名事宜</w:t>
            </w:r>
          </w:p>
          <w:p w14:paraId="5923AF35">
            <w:pPr>
              <w:pStyle w:val="16"/>
              <w:keepNext w:val="0"/>
              <w:keepLines w:val="0"/>
              <w:pageBreakBefore w:val="0"/>
              <w:widowControl/>
              <w:suppressLineNumbers w:val="0"/>
              <w:shd w:val="clear" w:color="auto" w:fill="FFFFFF"/>
              <w:kinsoku/>
              <w:wordWrap w:val="0"/>
              <w:overflowPunct/>
              <w:topLinePunct w:val="0"/>
              <w:autoSpaceDE/>
              <w:autoSpaceDN/>
              <w:bidi w:val="0"/>
              <w:adjustRightInd/>
              <w:snapToGrid/>
              <w:spacing w:before="0" w:beforeAutospacing="0" w:after="0" w:afterAutospacing="0" w:line="360" w:lineRule="auto"/>
              <w:ind w:left="0" w:firstLine="420" w:firstLineChars="200"/>
              <w:jc w:val="both"/>
              <w:textAlignment w:val="auto"/>
              <w:outlineLvl w:val="9"/>
              <w:rPr>
                <w:rFonts w:hint="eastAsia" w:ascii="宋体" w:hAnsi="宋体" w:eastAsia="宋体" w:cs="宋体"/>
                <w:b w:val="0"/>
                <w:bCs w:val="0"/>
                <w:color w:val="auto"/>
                <w:kern w:val="0"/>
                <w:sz w:val="21"/>
                <w:szCs w:val="21"/>
                <w:highlight w:val="none"/>
                <w:lang w:val="en-US" w:eastAsia="zh-CN" w:bidi="ar-SA"/>
              </w:rPr>
            </w:pPr>
            <w:r>
              <w:rPr>
                <w:rFonts w:hint="eastAsia" w:cs="宋体"/>
                <w:b w:val="0"/>
                <w:bCs w:val="0"/>
                <w:color w:val="auto"/>
                <w:kern w:val="0"/>
                <w:sz w:val="21"/>
                <w:szCs w:val="21"/>
                <w:highlight w:val="none"/>
                <w:lang w:val="en-US" w:eastAsia="zh-CN" w:bidi="ar-SA"/>
              </w:rPr>
              <w:t>（1）</w:t>
            </w:r>
            <w:r>
              <w:rPr>
                <w:rFonts w:hint="eastAsia" w:ascii="宋体" w:hAnsi="宋体" w:eastAsia="宋体" w:cs="宋体"/>
                <w:b w:val="0"/>
                <w:bCs w:val="0"/>
                <w:color w:val="auto"/>
                <w:kern w:val="0"/>
                <w:sz w:val="21"/>
                <w:szCs w:val="21"/>
                <w:highlight w:val="none"/>
                <w:lang w:val="en-US" w:eastAsia="zh-CN" w:bidi="ar-SA"/>
              </w:rPr>
              <w:t>报名流程：投标人必须在报名时间内登录广东省公共资源交易平台（韶关市）（https://ygp.gdzwfw.gov.cn/ggzy-portal/#/440200/index），韶关市公共资源交易一体化平台（</w:t>
            </w:r>
            <w:r>
              <w:rPr>
                <w:rFonts w:hint="eastAsia" w:eastAsia="宋体" w:cs="宋体"/>
                <w:b w:val="0"/>
                <w:bCs w:val="0"/>
                <w:color w:val="auto"/>
                <w:kern w:val="0"/>
                <w:sz w:val="21"/>
                <w:szCs w:val="21"/>
                <w:highlight w:val="none"/>
                <w:lang w:val="en-US" w:eastAsia="zh-CN" w:bidi="ar-SA"/>
              </w:rPr>
              <w:t>http://ythpt.sg.gov.cn/</w:t>
            </w:r>
            <w:r>
              <w:rPr>
                <w:rFonts w:hint="eastAsia" w:ascii="宋体" w:hAnsi="宋体" w:eastAsia="宋体" w:cs="宋体"/>
                <w:b w:val="0"/>
                <w:bCs w:val="0"/>
                <w:color w:val="auto"/>
                <w:kern w:val="0"/>
                <w:sz w:val="21"/>
                <w:szCs w:val="21"/>
                <w:highlight w:val="none"/>
                <w:lang w:val="en-US" w:eastAsia="zh-CN" w:bidi="ar-SA"/>
              </w:rPr>
              <w:t>），在用户登录窗口登录。登录成功后，点击“产权招标交易系统”进入产权招标交易系统，点击“系统功能菜单”中的“投标报名 &gt; 项目列表”查看可报名的项目，选择需参与的项目分包，点击“报名”，输入联系人、联系电话，输入Pin码验证成功后，点击“确认”即可。在“已报项目”栏中看到已报项目，即为报名成功。</w:t>
            </w:r>
          </w:p>
          <w:p w14:paraId="0611BDFE">
            <w:pPr>
              <w:pStyle w:val="16"/>
              <w:keepNext w:val="0"/>
              <w:keepLines w:val="0"/>
              <w:pageBreakBefore w:val="0"/>
              <w:widowControl/>
              <w:suppressLineNumbers w:val="0"/>
              <w:shd w:val="clear" w:color="auto" w:fill="FFFFFF"/>
              <w:kinsoku/>
              <w:wordWrap w:val="0"/>
              <w:overflowPunct/>
              <w:topLinePunct w:val="0"/>
              <w:autoSpaceDE/>
              <w:autoSpaceDN/>
              <w:bidi w:val="0"/>
              <w:adjustRightInd/>
              <w:snapToGrid/>
              <w:spacing w:before="0" w:beforeAutospacing="0" w:after="0" w:afterAutospacing="0" w:line="360" w:lineRule="auto"/>
              <w:ind w:left="0" w:firstLine="420" w:firstLineChars="200"/>
              <w:jc w:val="both"/>
              <w:textAlignment w:val="auto"/>
              <w:outlineLvl w:val="9"/>
              <w:rPr>
                <w:rFonts w:hint="eastAsia" w:ascii="宋体" w:hAnsi="宋体" w:eastAsia="宋体" w:cs="宋体"/>
                <w:b w:val="0"/>
                <w:bCs w:val="0"/>
                <w:color w:val="auto"/>
                <w:kern w:val="0"/>
                <w:sz w:val="21"/>
                <w:szCs w:val="21"/>
                <w:highlight w:val="none"/>
                <w:lang w:val="en-US" w:eastAsia="zh-CN" w:bidi="ar-SA"/>
              </w:rPr>
            </w:pPr>
            <w:r>
              <w:rPr>
                <w:rFonts w:hint="eastAsia" w:cs="宋体"/>
                <w:b w:val="0"/>
                <w:bCs w:val="0"/>
                <w:color w:val="auto"/>
                <w:kern w:val="0"/>
                <w:sz w:val="21"/>
                <w:szCs w:val="21"/>
                <w:highlight w:val="none"/>
                <w:lang w:val="en-US" w:eastAsia="zh-CN" w:bidi="ar-SA"/>
              </w:rPr>
              <w:t>（2）</w:t>
            </w:r>
            <w:r>
              <w:rPr>
                <w:rFonts w:hint="eastAsia" w:ascii="宋体" w:hAnsi="宋体" w:eastAsia="宋体" w:cs="宋体"/>
                <w:b w:val="0"/>
                <w:bCs w:val="0"/>
                <w:color w:val="auto"/>
                <w:kern w:val="0"/>
                <w:sz w:val="21"/>
                <w:szCs w:val="21"/>
                <w:highlight w:val="none"/>
                <w:lang w:val="en-US" w:eastAsia="zh-CN" w:bidi="ar-SA"/>
              </w:rPr>
              <w:t>未在韶关市公共资源交易中心办理韶关市电子交易平台数字证书和产权招标交易系统</w:t>
            </w:r>
            <w:r>
              <w:rPr>
                <w:rFonts w:hint="eastAsia" w:cs="宋体"/>
                <w:b w:val="0"/>
                <w:bCs w:val="0"/>
                <w:color w:val="auto"/>
                <w:kern w:val="0"/>
                <w:sz w:val="21"/>
                <w:szCs w:val="21"/>
                <w:highlight w:val="none"/>
                <w:lang w:val="en-US" w:eastAsia="zh-CN" w:bidi="ar-SA"/>
              </w:rPr>
              <w:t>投标人</w:t>
            </w:r>
            <w:r>
              <w:rPr>
                <w:rFonts w:hint="eastAsia" w:ascii="宋体" w:hAnsi="宋体" w:eastAsia="宋体" w:cs="宋体"/>
                <w:b w:val="0"/>
                <w:bCs w:val="0"/>
                <w:color w:val="auto"/>
                <w:kern w:val="0"/>
                <w:sz w:val="21"/>
                <w:szCs w:val="21"/>
                <w:highlight w:val="none"/>
                <w:lang w:val="en-US" w:eastAsia="zh-CN" w:bidi="ar-SA"/>
              </w:rPr>
              <w:t>入库手续的，投标人应当登录广东省公共资源交易平台（韶关市）（https://ygp.gdzwfw.gov.cn/ggzy-portal/#/440200/index）、韶关市公共资源交易一体化平台（</w:t>
            </w:r>
            <w:r>
              <w:rPr>
                <w:rFonts w:hint="eastAsia" w:eastAsia="宋体" w:cs="宋体"/>
                <w:b w:val="0"/>
                <w:bCs w:val="0"/>
                <w:color w:val="auto"/>
                <w:kern w:val="0"/>
                <w:sz w:val="21"/>
                <w:szCs w:val="21"/>
                <w:highlight w:val="none"/>
                <w:lang w:val="en-US" w:eastAsia="zh-CN" w:bidi="ar-SA"/>
              </w:rPr>
              <w:t>http://ythpt.sg.gov.cn/</w:t>
            </w:r>
            <w:r>
              <w:rPr>
                <w:rFonts w:hint="eastAsia" w:ascii="宋体" w:hAnsi="宋体" w:eastAsia="宋体" w:cs="宋体"/>
                <w:b w:val="0"/>
                <w:bCs w:val="0"/>
                <w:color w:val="auto"/>
                <w:kern w:val="0"/>
                <w:sz w:val="21"/>
                <w:szCs w:val="21"/>
                <w:highlight w:val="none"/>
                <w:lang w:val="en-US" w:eastAsia="zh-CN" w:bidi="ar-SA"/>
              </w:rPr>
              <w:t>）用户注册及完善企业信息、上传资料，携带相关资料到韶关市公共资源交易中心1号楼一楼办事大厅办理相关手续（详见韶关市公共资源交易一体化平台的《韶关市公共资源交易一体化平台使用产权招标交易系统注意事项》的附件《韶关市公共资源交易一体化平台产权招标交易-投标人用户手册》）。</w:t>
            </w:r>
          </w:p>
          <w:p w14:paraId="38D19452">
            <w:pPr>
              <w:pStyle w:val="16"/>
              <w:keepNext w:val="0"/>
              <w:keepLines w:val="0"/>
              <w:pageBreakBefore w:val="0"/>
              <w:widowControl/>
              <w:suppressLineNumbers w:val="0"/>
              <w:shd w:val="clear" w:color="auto" w:fill="FFFFFF"/>
              <w:kinsoku/>
              <w:wordWrap w:val="0"/>
              <w:overflowPunct/>
              <w:topLinePunct w:val="0"/>
              <w:autoSpaceDE/>
              <w:autoSpaceDN/>
              <w:bidi w:val="0"/>
              <w:adjustRightInd/>
              <w:snapToGrid/>
              <w:spacing w:before="0" w:beforeAutospacing="0" w:after="0" w:afterAutospacing="0" w:line="360" w:lineRule="auto"/>
              <w:ind w:left="0" w:firstLine="420" w:firstLineChars="200"/>
              <w:jc w:val="both"/>
              <w:textAlignment w:val="auto"/>
              <w:outlineLvl w:val="9"/>
              <w:rPr>
                <w:rFonts w:hint="eastAsia" w:ascii="宋体" w:hAnsi="宋体" w:eastAsia="宋体" w:cs="宋体"/>
                <w:b w:val="0"/>
                <w:bCs w:val="0"/>
                <w:color w:val="auto"/>
                <w:kern w:val="0"/>
                <w:sz w:val="21"/>
                <w:szCs w:val="21"/>
                <w:highlight w:val="none"/>
                <w:lang w:val="en-US" w:eastAsia="zh-CN" w:bidi="ar-SA"/>
              </w:rPr>
            </w:pPr>
            <w:r>
              <w:rPr>
                <w:rFonts w:hint="eastAsia" w:cs="宋体"/>
                <w:b w:val="0"/>
                <w:bCs w:val="0"/>
                <w:color w:val="auto"/>
                <w:kern w:val="0"/>
                <w:sz w:val="21"/>
                <w:szCs w:val="21"/>
                <w:highlight w:val="none"/>
                <w:lang w:val="en-US" w:eastAsia="zh-CN" w:bidi="ar-SA"/>
              </w:rPr>
              <w:t>（3）</w:t>
            </w:r>
            <w:r>
              <w:rPr>
                <w:rFonts w:hint="eastAsia" w:ascii="宋体" w:hAnsi="宋体" w:eastAsia="宋体" w:cs="宋体"/>
                <w:b w:val="0"/>
                <w:bCs w:val="0"/>
                <w:color w:val="auto"/>
                <w:kern w:val="0"/>
                <w:sz w:val="21"/>
                <w:szCs w:val="21"/>
                <w:highlight w:val="none"/>
                <w:lang w:val="en-US" w:eastAsia="zh-CN" w:bidi="ar-SA"/>
              </w:rPr>
              <w:t>报名成功后，投标人自行登录广东省公共资源交易平台（韶关市）（https://ygp.gdzwfw.gov.cn/ggzy-portal/#/440200/index）、韶关市公共资源交易一体化平台（</w:t>
            </w:r>
            <w:r>
              <w:rPr>
                <w:rFonts w:hint="eastAsia" w:eastAsia="宋体" w:cs="宋体"/>
                <w:b w:val="0"/>
                <w:bCs w:val="0"/>
                <w:color w:val="auto"/>
                <w:kern w:val="0"/>
                <w:sz w:val="21"/>
                <w:szCs w:val="21"/>
                <w:highlight w:val="none"/>
                <w:lang w:val="en-US" w:eastAsia="zh-CN" w:bidi="ar-SA"/>
              </w:rPr>
              <w:t>http://ythpt.sg.gov.cn/</w:t>
            </w:r>
            <w:r>
              <w:rPr>
                <w:rFonts w:hint="eastAsia" w:ascii="宋体" w:hAnsi="宋体" w:eastAsia="宋体" w:cs="宋体"/>
                <w:b w:val="0"/>
                <w:bCs w:val="0"/>
                <w:color w:val="auto"/>
                <w:kern w:val="0"/>
                <w:sz w:val="21"/>
                <w:szCs w:val="21"/>
                <w:highlight w:val="none"/>
                <w:lang w:val="en-US" w:eastAsia="zh-CN" w:bidi="ar-SA"/>
              </w:rPr>
              <w:t>）或产权招标交易系统下载招标文件、操作指南（以最新日期版本为准）参加投标活动。</w:t>
            </w:r>
          </w:p>
          <w:p w14:paraId="3627F10B">
            <w:pPr>
              <w:pStyle w:val="16"/>
              <w:keepNext w:val="0"/>
              <w:keepLines w:val="0"/>
              <w:pageBreakBefore w:val="0"/>
              <w:widowControl/>
              <w:suppressLineNumbers w:val="0"/>
              <w:shd w:val="clear" w:color="auto" w:fill="FFFFFF"/>
              <w:kinsoku/>
              <w:wordWrap w:val="0"/>
              <w:overflowPunct/>
              <w:topLinePunct w:val="0"/>
              <w:autoSpaceDE/>
              <w:autoSpaceDN/>
              <w:bidi w:val="0"/>
              <w:adjustRightInd/>
              <w:snapToGrid/>
              <w:spacing w:before="0" w:beforeAutospacing="0" w:after="0" w:afterAutospacing="0" w:line="360" w:lineRule="auto"/>
              <w:ind w:left="0" w:firstLine="420" w:firstLineChars="200"/>
              <w:jc w:val="both"/>
              <w:textAlignment w:val="auto"/>
              <w:outlineLvl w:val="9"/>
              <w:rPr>
                <w:rFonts w:hint="eastAsia" w:ascii="宋体" w:hAnsi="宋体" w:eastAsia="宋体" w:cs="宋体"/>
                <w:b w:val="0"/>
                <w:bCs w:val="0"/>
                <w:color w:val="auto"/>
                <w:kern w:val="0"/>
                <w:sz w:val="21"/>
                <w:szCs w:val="21"/>
                <w:highlight w:val="none"/>
                <w:lang w:val="en-US" w:eastAsia="zh-CN" w:bidi="ar-SA"/>
              </w:rPr>
            </w:pPr>
            <w:r>
              <w:rPr>
                <w:rFonts w:hint="eastAsia" w:cs="宋体"/>
                <w:b w:val="0"/>
                <w:bCs w:val="0"/>
                <w:color w:val="auto"/>
                <w:kern w:val="0"/>
                <w:sz w:val="21"/>
                <w:szCs w:val="21"/>
                <w:highlight w:val="none"/>
                <w:lang w:val="en-US" w:eastAsia="zh-CN" w:bidi="ar-SA"/>
              </w:rPr>
              <w:t>（4）</w:t>
            </w:r>
            <w:r>
              <w:rPr>
                <w:rFonts w:hint="eastAsia" w:ascii="宋体" w:hAnsi="宋体" w:eastAsia="宋体" w:cs="宋体"/>
                <w:b w:val="0"/>
                <w:bCs w:val="0"/>
                <w:color w:val="auto"/>
                <w:kern w:val="0"/>
                <w:sz w:val="21"/>
                <w:szCs w:val="21"/>
                <w:highlight w:val="none"/>
                <w:lang w:val="en-US" w:eastAsia="zh-CN" w:bidi="ar-SA"/>
              </w:rPr>
              <w:t>其他事宜（技术支持：0751-8379671 伍工）</w:t>
            </w:r>
          </w:p>
          <w:p w14:paraId="60CC206B">
            <w:pPr>
              <w:keepNext w:val="0"/>
              <w:keepLines w:val="0"/>
              <w:pageBreakBefore w:val="0"/>
              <w:widowControl/>
              <w:kinsoku/>
              <w:wordWrap/>
              <w:overflowPunct/>
              <w:topLinePunct w:val="0"/>
              <w:autoSpaceDE/>
              <w:autoSpaceDN/>
              <w:bidi w:val="0"/>
              <w:adjustRightInd/>
              <w:snapToGrid w:val="0"/>
              <w:spacing w:before="157" w:beforeLines="50" w:after="157" w:afterLines="50" w:line="360" w:lineRule="auto"/>
              <w:ind w:firstLine="420" w:firstLineChars="200"/>
              <w:jc w:val="left"/>
              <w:textAlignment w:val="auto"/>
              <w:outlineLvl w:val="9"/>
              <w:rPr>
                <w:rFonts w:hint="eastAsia" w:ascii="宋体" w:hAnsi="宋体" w:eastAsia="宋体" w:cs="宋体"/>
                <w:b w:val="0"/>
                <w:bCs w:val="0"/>
                <w:color w:val="auto"/>
                <w:kern w:val="0"/>
                <w:szCs w:val="21"/>
                <w:highlight w:val="none"/>
                <w:lang w:val="en-US" w:eastAsia="zh-CN"/>
              </w:rPr>
            </w:pPr>
            <w:r>
              <w:rPr>
                <w:rFonts w:hint="eastAsia" w:ascii="宋体" w:hAnsi="宋体" w:eastAsia="宋体" w:cs="宋体"/>
                <w:b w:val="0"/>
                <w:bCs w:val="0"/>
                <w:color w:val="auto"/>
                <w:kern w:val="0"/>
                <w:szCs w:val="21"/>
                <w:highlight w:val="none"/>
                <w:lang w:val="en-US" w:eastAsia="zh-CN"/>
              </w:rPr>
              <w:t>3.投标保证金</w:t>
            </w:r>
            <w:r>
              <w:rPr>
                <w:rFonts w:hint="eastAsia" w:ascii="宋体" w:hAnsi="宋体" w:eastAsia="宋体" w:cs="宋体"/>
                <w:b w:val="0"/>
                <w:bCs w:val="0"/>
                <w:color w:val="auto"/>
                <w:kern w:val="0"/>
                <w:sz w:val="21"/>
                <w:szCs w:val="21"/>
                <w:highlight w:val="none"/>
                <w:lang w:val="en-US" w:eastAsia="zh-CN" w:bidi="ar-SA"/>
              </w:rPr>
              <w:t>事宜</w:t>
            </w:r>
          </w:p>
          <w:p w14:paraId="0A325F6F">
            <w:pPr>
              <w:pStyle w:val="16"/>
              <w:keepNext w:val="0"/>
              <w:keepLines w:val="0"/>
              <w:pageBreakBefore w:val="0"/>
              <w:widowControl/>
              <w:suppressLineNumbers w:val="0"/>
              <w:shd w:val="clear" w:color="auto" w:fill="FFFFFF"/>
              <w:kinsoku/>
              <w:wordWrap w:val="0"/>
              <w:overflowPunct/>
              <w:topLinePunct w:val="0"/>
              <w:autoSpaceDE/>
              <w:autoSpaceDN/>
              <w:bidi w:val="0"/>
              <w:adjustRightInd/>
              <w:snapToGrid/>
              <w:spacing w:before="0" w:beforeAutospacing="0" w:after="0" w:afterAutospacing="0" w:line="360" w:lineRule="auto"/>
              <w:ind w:left="0" w:firstLine="420" w:firstLineChars="200"/>
              <w:jc w:val="both"/>
              <w:textAlignment w:val="auto"/>
              <w:outlineLvl w:val="9"/>
              <w:rPr>
                <w:rFonts w:hint="eastAsia" w:ascii="宋体" w:hAnsi="宋体" w:eastAsia="宋体" w:cs="宋体"/>
                <w:color w:val="auto"/>
                <w:kern w:val="0"/>
                <w:sz w:val="21"/>
                <w:szCs w:val="21"/>
                <w:highlight w:val="none"/>
                <w:lang w:val="en-US" w:eastAsia="zh-CN" w:bidi="ar-SA"/>
              </w:rPr>
            </w:pPr>
            <w:r>
              <w:rPr>
                <w:rFonts w:hint="eastAsia" w:ascii="宋体" w:hAnsi="宋体" w:eastAsia="宋体" w:cs="宋体"/>
                <w:color w:val="auto"/>
                <w:kern w:val="0"/>
                <w:sz w:val="21"/>
                <w:szCs w:val="21"/>
                <w:highlight w:val="none"/>
                <w:lang w:val="en-US" w:eastAsia="zh-CN" w:bidi="ar-SA"/>
              </w:rPr>
              <w:t>（1）投标保证金交纳截止时间：</w:t>
            </w:r>
            <w:r>
              <w:rPr>
                <w:rFonts w:hint="eastAsia" w:ascii="宋体" w:hAnsi="宋体" w:eastAsia="宋体" w:cs="宋体"/>
                <w:color w:val="auto"/>
                <w:sz w:val="21"/>
                <w:szCs w:val="21"/>
                <w:highlight w:val="none"/>
              </w:rPr>
              <w:t>202</w:t>
            </w:r>
            <w:r>
              <w:rPr>
                <w:rFonts w:hint="eastAsia" w:ascii="宋体" w:hAnsi="宋体" w:eastAsia="宋体" w:cs="宋体"/>
                <w:color w:val="auto"/>
                <w:sz w:val="21"/>
                <w:szCs w:val="21"/>
                <w:highlight w:val="none"/>
                <w:lang w:val="en-US" w:eastAsia="zh-CN"/>
              </w:rPr>
              <w:t>6</w:t>
            </w:r>
            <w:r>
              <w:rPr>
                <w:rFonts w:hint="eastAsia" w:ascii="宋体" w:hAnsi="宋体" w:eastAsia="宋体" w:cs="宋体"/>
                <w:color w:val="auto"/>
                <w:sz w:val="21"/>
                <w:szCs w:val="21"/>
                <w:highlight w:val="none"/>
              </w:rPr>
              <w:t>年</w:t>
            </w:r>
            <w:r>
              <w:rPr>
                <w:rFonts w:hint="eastAsia" w:cs="宋体"/>
                <w:color w:val="auto"/>
                <w:sz w:val="21"/>
                <w:szCs w:val="21"/>
                <w:highlight w:val="none"/>
                <w:lang w:val="en-US" w:eastAsia="zh-CN"/>
              </w:rPr>
              <w:t>07月09日</w:t>
            </w:r>
            <w:r>
              <w:rPr>
                <w:rFonts w:hint="eastAsia" w:cs="宋体"/>
                <w:color w:val="auto"/>
                <w:kern w:val="0"/>
                <w:sz w:val="21"/>
                <w:szCs w:val="21"/>
                <w:highlight w:val="none"/>
                <w:lang w:val="en-US" w:eastAsia="zh-CN" w:bidi="ar-SA"/>
              </w:rPr>
              <w:t>10</w:t>
            </w:r>
            <w:r>
              <w:rPr>
                <w:rFonts w:hint="eastAsia" w:ascii="宋体" w:hAnsi="宋体" w:eastAsia="宋体" w:cs="宋体"/>
                <w:color w:val="auto"/>
                <w:kern w:val="0"/>
                <w:sz w:val="21"/>
                <w:szCs w:val="21"/>
                <w:highlight w:val="none"/>
                <w:lang w:val="en-US" w:eastAsia="zh-CN" w:bidi="ar-SA"/>
              </w:rPr>
              <w:t>时</w:t>
            </w:r>
            <w:r>
              <w:rPr>
                <w:rFonts w:hint="eastAsia" w:cs="宋体"/>
                <w:color w:val="auto"/>
                <w:kern w:val="0"/>
                <w:sz w:val="21"/>
                <w:szCs w:val="21"/>
                <w:highlight w:val="none"/>
                <w:lang w:val="en-US" w:eastAsia="zh-CN" w:bidi="ar-SA"/>
              </w:rPr>
              <w:t>0</w:t>
            </w:r>
            <w:r>
              <w:rPr>
                <w:rFonts w:hint="eastAsia" w:ascii="宋体" w:hAnsi="宋体" w:eastAsia="宋体" w:cs="宋体"/>
                <w:color w:val="auto"/>
                <w:kern w:val="0"/>
                <w:sz w:val="21"/>
                <w:szCs w:val="21"/>
                <w:highlight w:val="none"/>
                <w:lang w:val="en-US" w:eastAsia="zh-CN" w:bidi="ar-SA"/>
              </w:rPr>
              <w:t>0分（北京时间）</w:t>
            </w:r>
          </w:p>
          <w:p w14:paraId="28462342">
            <w:pPr>
              <w:pStyle w:val="16"/>
              <w:keepNext w:val="0"/>
              <w:keepLines w:val="0"/>
              <w:pageBreakBefore w:val="0"/>
              <w:widowControl/>
              <w:suppressLineNumbers w:val="0"/>
              <w:shd w:val="clear" w:color="auto" w:fill="FFFFFF"/>
              <w:kinsoku/>
              <w:wordWrap w:val="0"/>
              <w:overflowPunct/>
              <w:topLinePunct w:val="0"/>
              <w:autoSpaceDE/>
              <w:autoSpaceDN/>
              <w:bidi w:val="0"/>
              <w:adjustRightInd/>
              <w:snapToGrid/>
              <w:spacing w:before="0" w:beforeAutospacing="0" w:after="0" w:afterAutospacing="0" w:line="360" w:lineRule="auto"/>
              <w:ind w:left="0" w:firstLine="420" w:firstLineChars="200"/>
              <w:jc w:val="both"/>
              <w:textAlignment w:val="auto"/>
              <w:outlineLvl w:val="9"/>
              <w:rPr>
                <w:rFonts w:hint="eastAsia" w:ascii="宋体" w:hAnsi="宋体" w:eastAsia="宋体" w:cs="宋体"/>
                <w:color w:val="auto"/>
                <w:kern w:val="0"/>
                <w:sz w:val="21"/>
                <w:szCs w:val="21"/>
                <w:highlight w:val="none"/>
                <w:lang w:val="en-US" w:eastAsia="zh-CN" w:bidi="ar-SA"/>
              </w:rPr>
            </w:pPr>
            <w:r>
              <w:rPr>
                <w:rFonts w:hint="eastAsia" w:ascii="宋体" w:hAnsi="宋体" w:eastAsia="宋体" w:cs="宋体"/>
                <w:color w:val="auto"/>
                <w:kern w:val="0"/>
                <w:sz w:val="21"/>
                <w:szCs w:val="21"/>
                <w:highlight w:val="none"/>
                <w:lang w:val="en-US" w:eastAsia="zh-CN" w:bidi="ar-SA"/>
              </w:rPr>
              <w:t>（2）本项目投标保证金金额为：</w:t>
            </w:r>
            <w:r>
              <w:rPr>
                <w:rFonts w:hint="eastAsia" w:ascii="宋体" w:hAnsi="宋体" w:eastAsia="宋体" w:cs="宋体"/>
                <w:b/>
                <w:bCs/>
                <w:color w:val="auto"/>
                <w:kern w:val="2"/>
                <w:sz w:val="21"/>
                <w:szCs w:val="21"/>
                <w:highlight w:val="none"/>
                <w:lang w:val="en-US" w:eastAsia="zh-CN" w:bidi="ar-SA"/>
              </w:rPr>
              <w:t>¥</w:t>
            </w:r>
            <w:r>
              <w:rPr>
                <w:rFonts w:hint="eastAsia" w:cs="宋体"/>
                <w:b/>
                <w:bCs/>
                <w:color w:val="auto"/>
                <w:kern w:val="2"/>
                <w:sz w:val="21"/>
                <w:szCs w:val="21"/>
                <w:highlight w:val="none"/>
                <w:lang w:val="en-US" w:eastAsia="zh-CN" w:bidi="ar-SA"/>
              </w:rPr>
              <w:t>10</w:t>
            </w:r>
            <w:r>
              <w:rPr>
                <w:rFonts w:hint="eastAsia" w:ascii="宋体" w:hAnsi="宋体" w:eastAsia="宋体" w:cs="宋体"/>
                <w:b/>
                <w:bCs/>
                <w:color w:val="auto"/>
                <w:kern w:val="2"/>
                <w:sz w:val="21"/>
                <w:szCs w:val="21"/>
                <w:highlight w:val="none"/>
                <w:lang w:val="en-US" w:eastAsia="zh-CN" w:bidi="ar-SA"/>
              </w:rPr>
              <w:t>0,000.00元（人民币拾万元整）</w:t>
            </w:r>
          </w:p>
          <w:p w14:paraId="0D6C88FC">
            <w:pPr>
              <w:pStyle w:val="16"/>
              <w:keepNext w:val="0"/>
              <w:keepLines w:val="0"/>
              <w:pageBreakBefore w:val="0"/>
              <w:widowControl/>
              <w:suppressLineNumbers w:val="0"/>
              <w:shd w:val="clear" w:color="auto" w:fill="FFFFFF"/>
              <w:kinsoku/>
              <w:wordWrap w:val="0"/>
              <w:overflowPunct/>
              <w:topLinePunct w:val="0"/>
              <w:autoSpaceDE/>
              <w:autoSpaceDN/>
              <w:bidi w:val="0"/>
              <w:adjustRightInd/>
              <w:snapToGrid/>
              <w:spacing w:before="0" w:beforeAutospacing="0" w:after="0" w:afterAutospacing="0" w:line="360" w:lineRule="auto"/>
              <w:ind w:left="0" w:firstLine="420" w:firstLineChars="200"/>
              <w:jc w:val="both"/>
              <w:textAlignment w:val="auto"/>
              <w:outlineLvl w:val="9"/>
              <w:rPr>
                <w:rFonts w:hint="eastAsia" w:ascii="宋体" w:hAnsi="宋体" w:eastAsia="宋体" w:cs="宋体"/>
                <w:color w:val="auto"/>
                <w:kern w:val="0"/>
                <w:sz w:val="21"/>
                <w:szCs w:val="21"/>
                <w:highlight w:val="none"/>
                <w:lang w:val="en-US" w:eastAsia="zh-CN" w:bidi="ar-SA"/>
              </w:rPr>
            </w:pPr>
            <w:r>
              <w:rPr>
                <w:rFonts w:hint="eastAsia" w:ascii="宋体" w:hAnsi="宋体" w:eastAsia="宋体" w:cs="宋体"/>
                <w:color w:val="auto"/>
                <w:kern w:val="0"/>
                <w:sz w:val="21"/>
                <w:szCs w:val="21"/>
                <w:highlight w:val="none"/>
                <w:lang w:val="en-US" w:eastAsia="zh-CN" w:bidi="ar-SA"/>
              </w:rPr>
              <w:t>（3）交纳投标保证金流程：</w:t>
            </w:r>
            <w:r>
              <w:rPr>
                <w:rFonts w:hint="eastAsia" w:ascii="宋体" w:hAnsi="宋体" w:eastAsia="宋体" w:cs="宋体"/>
                <w:color w:val="auto"/>
                <w:kern w:val="16"/>
                <w:sz w:val="21"/>
                <w:szCs w:val="21"/>
                <w:highlight w:val="none"/>
                <w:lang w:eastAsia="zh-CN"/>
              </w:rPr>
              <w:t>报名成功后，</w:t>
            </w:r>
            <w:r>
              <w:rPr>
                <w:rFonts w:hint="eastAsia" w:ascii="宋体" w:hAnsi="宋体" w:cs="宋体"/>
                <w:color w:val="auto"/>
                <w:kern w:val="16"/>
                <w:sz w:val="21"/>
                <w:szCs w:val="21"/>
                <w:highlight w:val="none"/>
                <w:lang w:val="en-US" w:eastAsia="zh-CN"/>
              </w:rPr>
              <w:t>投标人</w:t>
            </w:r>
            <w:r>
              <w:rPr>
                <w:rFonts w:hint="eastAsia" w:ascii="宋体" w:hAnsi="宋体" w:eastAsia="宋体" w:cs="宋体"/>
                <w:color w:val="auto"/>
                <w:kern w:val="16"/>
                <w:sz w:val="21"/>
                <w:szCs w:val="21"/>
                <w:highlight w:val="none"/>
                <w:lang w:eastAsia="zh-CN"/>
              </w:rPr>
              <w:t>必须在投标保证金交纳截止时间前登录产权招标交易系统，</w:t>
            </w:r>
            <w:r>
              <w:rPr>
                <w:rFonts w:hint="eastAsia" w:ascii="宋体" w:hAnsi="宋体" w:eastAsia="宋体" w:cs="宋体"/>
                <w:color w:val="auto"/>
                <w:kern w:val="0"/>
                <w:sz w:val="21"/>
                <w:szCs w:val="21"/>
                <w:highlight w:val="none"/>
                <w:lang w:val="en-US" w:eastAsia="zh-CN" w:bidi="ar-SA"/>
              </w:rPr>
              <w:t>在已报项目处理页面中，点击“缴纳保证金”按钮，可以进入缴纳投标保证金页面。</w:t>
            </w:r>
          </w:p>
          <w:p w14:paraId="123570EF">
            <w:pPr>
              <w:pStyle w:val="16"/>
              <w:keepNext w:val="0"/>
              <w:keepLines w:val="0"/>
              <w:pageBreakBefore w:val="0"/>
              <w:widowControl/>
              <w:suppressLineNumbers w:val="0"/>
              <w:shd w:val="clear" w:color="auto" w:fill="FFFFFF"/>
              <w:kinsoku/>
              <w:wordWrap w:val="0"/>
              <w:overflowPunct/>
              <w:topLinePunct w:val="0"/>
              <w:autoSpaceDE/>
              <w:autoSpaceDN/>
              <w:bidi w:val="0"/>
              <w:adjustRightInd/>
              <w:snapToGrid/>
              <w:spacing w:before="0" w:beforeAutospacing="0" w:after="0" w:afterAutospacing="0" w:line="360" w:lineRule="auto"/>
              <w:ind w:left="0" w:firstLine="420" w:firstLineChars="200"/>
              <w:jc w:val="both"/>
              <w:textAlignment w:val="auto"/>
              <w:outlineLvl w:val="9"/>
              <w:rPr>
                <w:rFonts w:hint="eastAsia" w:ascii="宋体" w:hAnsi="宋体" w:eastAsia="宋体" w:cs="宋体"/>
                <w:color w:val="auto"/>
                <w:kern w:val="0"/>
                <w:sz w:val="21"/>
                <w:szCs w:val="21"/>
                <w:highlight w:val="none"/>
                <w:lang w:val="en-US" w:eastAsia="zh-CN" w:bidi="ar-SA"/>
              </w:rPr>
            </w:pPr>
            <w:r>
              <w:rPr>
                <w:rFonts w:hint="eastAsia" w:ascii="宋体" w:hAnsi="宋体" w:eastAsia="宋体" w:cs="宋体"/>
                <w:color w:val="auto"/>
                <w:kern w:val="0"/>
                <w:sz w:val="21"/>
                <w:szCs w:val="21"/>
                <w:highlight w:val="none"/>
                <w:lang w:val="en-US" w:eastAsia="zh-CN" w:bidi="ar-SA"/>
              </w:rPr>
              <w:t>（4）缴纳投标保证金方式：①转账、②保函</w:t>
            </w:r>
          </w:p>
          <w:p w14:paraId="38E81918">
            <w:pPr>
              <w:pStyle w:val="16"/>
              <w:keepNext w:val="0"/>
              <w:keepLines w:val="0"/>
              <w:pageBreakBefore w:val="0"/>
              <w:widowControl/>
              <w:suppressLineNumbers w:val="0"/>
              <w:shd w:val="clear" w:color="auto" w:fill="FFFFFF"/>
              <w:kinsoku/>
              <w:wordWrap w:val="0"/>
              <w:overflowPunct/>
              <w:topLinePunct w:val="0"/>
              <w:autoSpaceDE/>
              <w:autoSpaceDN/>
              <w:bidi w:val="0"/>
              <w:adjustRightInd/>
              <w:snapToGrid/>
              <w:spacing w:before="0" w:beforeAutospacing="0" w:after="0" w:afterAutospacing="0" w:line="360" w:lineRule="auto"/>
              <w:ind w:left="0" w:firstLine="420" w:firstLineChars="200"/>
              <w:jc w:val="both"/>
              <w:textAlignment w:val="auto"/>
              <w:outlineLvl w:val="9"/>
              <w:rPr>
                <w:rFonts w:hint="eastAsia" w:ascii="宋体" w:hAnsi="宋体" w:eastAsia="宋体" w:cs="宋体"/>
                <w:color w:val="auto"/>
                <w:kern w:val="0"/>
                <w:sz w:val="21"/>
                <w:szCs w:val="21"/>
                <w:highlight w:val="none"/>
                <w:lang w:val="en-US" w:eastAsia="zh-CN" w:bidi="ar-SA"/>
              </w:rPr>
            </w:pPr>
            <w:r>
              <w:rPr>
                <w:rFonts w:hint="eastAsia" w:ascii="宋体" w:hAnsi="宋体" w:eastAsia="宋体" w:cs="宋体"/>
                <w:color w:val="auto"/>
                <w:kern w:val="0"/>
                <w:sz w:val="21"/>
                <w:szCs w:val="21"/>
                <w:highlight w:val="none"/>
                <w:lang w:val="en-US" w:eastAsia="zh-CN" w:bidi="ar-SA"/>
              </w:rPr>
              <w:t>①转账：</w:t>
            </w:r>
            <w:bookmarkStart w:id="19" w:name="OLE_LINK45"/>
            <w:r>
              <w:rPr>
                <w:rFonts w:hint="eastAsia" w:ascii="宋体" w:hAnsi="宋体" w:cs="宋体"/>
                <w:color w:val="auto"/>
                <w:kern w:val="16"/>
                <w:sz w:val="21"/>
                <w:szCs w:val="21"/>
                <w:highlight w:val="none"/>
                <w:lang w:val="en-US" w:eastAsia="zh-CN"/>
              </w:rPr>
              <w:t>投标人</w:t>
            </w:r>
            <w:r>
              <w:rPr>
                <w:rFonts w:hint="eastAsia" w:ascii="宋体" w:hAnsi="宋体" w:eastAsia="宋体" w:cs="宋体"/>
                <w:color w:val="auto"/>
                <w:kern w:val="16"/>
                <w:sz w:val="21"/>
                <w:szCs w:val="21"/>
                <w:highlight w:val="none"/>
                <w:lang w:eastAsia="zh-CN"/>
              </w:rPr>
              <w:t>必须在投标保证金交纳截止时间前登录产权招标交易系统，点击“系统功能菜单”中的“投标报名 &gt; 已报项目”，选择相应的项目，点击“缴纳保证金”，产权招标交易系统将弹出“缴纳保证金”窗口，选择缴费银行，点击“确定，下一步”，产权招标交易系统将自动生成子账号（特别注意：该子账号为一次性账号，仅限当前获取该子账号的</w:t>
            </w:r>
            <w:r>
              <w:rPr>
                <w:rFonts w:hint="eastAsia" w:ascii="宋体" w:hAnsi="宋体" w:cs="宋体"/>
                <w:color w:val="auto"/>
                <w:kern w:val="16"/>
                <w:sz w:val="21"/>
                <w:szCs w:val="21"/>
                <w:highlight w:val="none"/>
                <w:lang w:val="en-US" w:eastAsia="zh-CN"/>
              </w:rPr>
              <w:t>投标人</w:t>
            </w:r>
            <w:r>
              <w:rPr>
                <w:rFonts w:hint="eastAsia" w:ascii="宋体" w:hAnsi="宋体" w:eastAsia="宋体" w:cs="宋体"/>
                <w:color w:val="auto"/>
                <w:kern w:val="16"/>
                <w:sz w:val="21"/>
                <w:szCs w:val="21"/>
                <w:highlight w:val="none"/>
                <w:lang w:eastAsia="zh-CN"/>
              </w:rPr>
              <w:t>参加该项目当次</w:t>
            </w:r>
            <w:r>
              <w:rPr>
                <w:rFonts w:hint="eastAsia" w:cs="宋体"/>
                <w:color w:val="auto"/>
                <w:kern w:val="16"/>
                <w:sz w:val="21"/>
                <w:szCs w:val="21"/>
                <w:highlight w:val="none"/>
                <w:lang w:val="en-US" w:eastAsia="zh-CN"/>
              </w:rPr>
              <w:t>招标</w:t>
            </w:r>
            <w:r>
              <w:rPr>
                <w:rFonts w:hint="eastAsia" w:ascii="宋体" w:hAnsi="宋体" w:eastAsia="宋体" w:cs="宋体"/>
                <w:color w:val="auto"/>
                <w:kern w:val="16"/>
                <w:sz w:val="21"/>
                <w:szCs w:val="21"/>
                <w:highlight w:val="none"/>
                <w:lang w:eastAsia="zh-CN"/>
              </w:rPr>
              <w:t>活动有效），</w:t>
            </w:r>
            <w:r>
              <w:rPr>
                <w:rFonts w:hint="eastAsia" w:ascii="宋体" w:hAnsi="宋体" w:cs="宋体"/>
                <w:color w:val="auto"/>
                <w:kern w:val="16"/>
                <w:sz w:val="21"/>
                <w:szCs w:val="21"/>
                <w:highlight w:val="none"/>
                <w:lang w:eastAsia="zh-CN"/>
              </w:rPr>
              <w:t>投标人</w:t>
            </w:r>
            <w:r>
              <w:rPr>
                <w:rFonts w:hint="eastAsia" w:ascii="宋体" w:hAnsi="宋体" w:eastAsia="宋体" w:cs="宋体"/>
                <w:color w:val="auto"/>
                <w:kern w:val="16"/>
                <w:sz w:val="21"/>
                <w:szCs w:val="21"/>
                <w:highlight w:val="none"/>
                <w:lang w:eastAsia="zh-CN"/>
              </w:rPr>
              <w:t>将投标保证金一次性足额汇入子帐号。在“是否缴纳保证金”栏显示为“是”后（请勿在显示“否”时打印），点击“打印保证金交纳信息表”，将保证金交纳信息表打印出来，并粘贴或装订在投标文件。产权招标交易系统将根据投标保证金到达产权招标交易系统的时间判断投标保证金是否有效，“保证金是否有效交纳”栏显示为“已交纳”，即为投标保证金有效。投标保证金有效与否，将以产权招标交易系统作为判断依据。请各</w:t>
            </w:r>
            <w:r>
              <w:rPr>
                <w:rFonts w:hint="eastAsia" w:ascii="宋体" w:hAnsi="宋体" w:cs="宋体"/>
                <w:color w:val="auto"/>
                <w:kern w:val="16"/>
                <w:sz w:val="21"/>
                <w:szCs w:val="21"/>
                <w:highlight w:val="none"/>
                <w:lang w:eastAsia="zh-CN"/>
              </w:rPr>
              <w:t>投标人</w:t>
            </w:r>
            <w:r>
              <w:rPr>
                <w:rFonts w:hint="eastAsia" w:ascii="宋体" w:hAnsi="宋体" w:eastAsia="宋体" w:cs="宋体"/>
                <w:color w:val="auto"/>
                <w:kern w:val="16"/>
                <w:sz w:val="21"/>
                <w:szCs w:val="21"/>
                <w:highlight w:val="none"/>
                <w:lang w:eastAsia="zh-CN"/>
              </w:rPr>
              <w:t>充分考虑到银行转账的时间差，适时提前转账（建议</w:t>
            </w:r>
            <w:r>
              <w:rPr>
                <w:rFonts w:hint="eastAsia" w:ascii="宋体" w:hAnsi="宋体" w:cs="宋体"/>
                <w:color w:val="auto"/>
                <w:kern w:val="16"/>
                <w:sz w:val="21"/>
                <w:szCs w:val="21"/>
                <w:highlight w:val="none"/>
                <w:lang w:eastAsia="zh-CN"/>
              </w:rPr>
              <w:t>投标人</w:t>
            </w:r>
            <w:r>
              <w:rPr>
                <w:rFonts w:hint="eastAsia" w:ascii="宋体" w:hAnsi="宋体" w:eastAsia="宋体" w:cs="宋体"/>
                <w:color w:val="auto"/>
                <w:kern w:val="16"/>
                <w:sz w:val="21"/>
                <w:szCs w:val="21"/>
                <w:highlight w:val="none"/>
                <w:lang w:eastAsia="zh-CN"/>
              </w:rPr>
              <w:t>在投标保证金提交截止时间的2个工作日之前交纳投标保证金），否则，由此产生的一切后果由</w:t>
            </w:r>
            <w:r>
              <w:rPr>
                <w:rFonts w:hint="eastAsia" w:ascii="宋体" w:hAnsi="宋体" w:cs="宋体"/>
                <w:color w:val="auto"/>
                <w:kern w:val="16"/>
                <w:sz w:val="21"/>
                <w:szCs w:val="21"/>
                <w:highlight w:val="none"/>
                <w:lang w:eastAsia="zh-CN"/>
              </w:rPr>
              <w:t>投标人</w:t>
            </w:r>
            <w:r>
              <w:rPr>
                <w:rFonts w:hint="eastAsia" w:ascii="宋体" w:hAnsi="宋体" w:eastAsia="宋体" w:cs="宋体"/>
                <w:color w:val="auto"/>
                <w:kern w:val="16"/>
                <w:sz w:val="21"/>
                <w:szCs w:val="21"/>
                <w:highlight w:val="none"/>
                <w:lang w:eastAsia="zh-CN"/>
              </w:rPr>
              <w:t>自行承担。</w:t>
            </w:r>
            <w:bookmarkEnd w:id="19"/>
          </w:p>
          <w:p w14:paraId="59D4EFA7">
            <w:pPr>
              <w:pStyle w:val="16"/>
              <w:keepNext w:val="0"/>
              <w:keepLines w:val="0"/>
              <w:pageBreakBefore w:val="0"/>
              <w:widowControl/>
              <w:suppressLineNumbers w:val="0"/>
              <w:shd w:val="clear" w:color="auto" w:fill="FFFFFF"/>
              <w:kinsoku/>
              <w:wordWrap w:val="0"/>
              <w:overflowPunct/>
              <w:topLinePunct w:val="0"/>
              <w:autoSpaceDE/>
              <w:autoSpaceDN/>
              <w:bidi w:val="0"/>
              <w:adjustRightInd/>
              <w:snapToGrid/>
              <w:spacing w:before="0" w:beforeAutospacing="0" w:after="0" w:afterAutospacing="0" w:line="360" w:lineRule="auto"/>
              <w:ind w:left="0" w:firstLine="420" w:firstLineChars="200"/>
              <w:jc w:val="both"/>
              <w:textAlignment w:val="auto"/>
              <w:outlineLvl w:val="9"/>
              <w:rPr>
                <w:rFonts w:hint="eastAsia" w:ascii="宋体" w:hAnsi="宋体" w:eastAsia="宋体" w:cs="宋体"/>
                <w:color w:val="auto"/>
                <w:kern w:val="0"/>
                <w:sz w:val="21"/>
                <w:szCs w:val="21"/>
                <w:highlight w:val="none"/>
                <w:lang w:val="en-US" w:eastAsia="zh-CN" w:bidi="ar-SA"/>
              </w:rPr>
            </w:pPr>
            <w:r>
              <w:rPr>
                <w:rFonts w:hint="default" w:ascii="宋体" w:hAnsi="宋体" w:eastAsia="宋体" w:cs="宋体"/>
                <w:color w:val="auto"/>
                <w:kern w:val="0"/>
                <w:sz w:val="21"/>
                <w:szCs w:val="21"/>
                <w:highlight w:val="none"/>
                <w:lang w:val="en-US" w:eastAsia="zh-CN" w:bidi="ar-SA"/>
              </w:rPr>
              <w:t>②保函</w:t>
            </w:r>
            <w:r>
              <w:rPr>
                <w:rFonts w:hint="eastAsia" w:ascii="宋体" w:hAnsi="宋体" w:eastAsia="宋体" w:cs="宋体"/>
                <w:color w:val="auto"/>
                <w:kern w:val="0"/>
                <w:sz w:val="21"/>
                <w:szCs w:val="21"/>
                <w:highlight w:val="none"/>
                <w:lang w:val="en-US" w:eastAsia="zh-CN" w:bidi="ar-SA"/>
              </w:rPr>
              <w:t>：</w:t>
            </w:r>
            <w:r>
              <w:rPr>
                <w:rFonts w:hint="eastAsia" w:ascii="宋体" w:hAnsi="宋体" w:cs="宋体"/>
                <w:color w:val="auto"/>
                <w:kern w:val="16"/>
                <w:sz w:val="21"/>
                <w:szCs w:val="21"/>
                <w:highlight w:val="none"/>
                <w:lang w:val="en-US" w:eastAsia="zh-CN"/>
              </w:rPr>
              <w:t>投标人</w:t>
            </w:r>
            <w:r>
              <w:rPr>
                <w:rFonts w:hint="eastAsia" w:ascii="宋体" w:hAnsi="宋体" w:eastAsia="宋体" w:cs="宋体"/>
                <w:color w:val="auto"/>
                <w:kern w:val="16"/>
                <w:sz w:val="21"/>
                <w:szCs w:val="21"/>
                <w:highlight w:val="none"/>
                <w:lang w:eastAsia="zh-CN"/>
              </w:rPr>
              <w:t>必须在投标保证金交纳截止时间前登录产权招标交易系统，点击“系统功能菜单”中的“投标报名 &gt; 已报项目”，选择相应的项目，点击“缴纳保证金”，按照产权交易系统的要求制作和上传</w:t>
            </w:r>
            <w:r>
              <w:rPr>
                <w:rFonts w:hint="eastAsia" w:ascii="宋体" w:hAnsi="宋体" w:eastAsia="宋体" w:cs="宋体"/>
                <w:color w:val="auto"/>
                <w:kern w:val="0"/>
                <w:sz w:val="21"/>
                <w:szCs w:val="21"/>
                <w:highlight w:val="none"/>
                <w:lang w:val="en-US" w:eastAsia="zh-CN" w:bidi="ar-SA"/>
              </w:rPr>
              <w:t>有效的</w:t>
            </w:r>
            <w:r>
              <w:rPr>
                <w:rFonts w:hint="eastAsia" w:ascii="宋体" w:hAnsi="宋体" w:eastAsia="宋体" w:cs="宋体"/>
                <w:color w:val="auto"/>
                <w:kern w:val="16"/>
                <w:sz w:val="21"/>
                <w:szCs w:val="21"/>
                <w:highlight w:val="none"/>
                <w:lang w:eastAsia="zh-CN"/>
              </w:rPr>
              <w:t>保函电子文件</w:t>
            </w:r>
            <w:r>
              <w:rPr>
                <w:rFonts w:hint="eastAsia" w:cs="宋体"/>
                <w:color w:val="auto"/>
                <w:kern w:val="0"/>
                <w:sz w:val="21"/>
                <w:szCs w:val="21"/>
                <w:highlight w:val="none"/>
                <w:lang w:val="en-US" w:eastAsia="zh-CN" w:bidi="ar-SA"/>
              </w:rPr>
              <w:t>（保函的有效期不得短于投标有效期）</w:t>
            </w:r>
            <w:r>
              <w:rPr>
                <w:rFonts w:hint="eastAsia" w:ascii="宋体" w:hAnsi="宋体" w:eastAsia="宋体" w:cs="宋体"/>
                <w:color w:val="auto"/>
                <w:kern w:val="0"/>
                <w:sz w:val="21"/>
                <w:szCs w:val="21"/>
                <w:highlight w:val="none"/>
                <w:lang w:val="en-US" w:eastAsia="zh-CN" w:bidi="ar-SA"/>
              </w:rPr>
              <w:t>。保证金缴纳成功，才能参与评标。</w:t>
            </w:r>
          </w:p>
          <w:p w14:paraId="7A7C2B4B">
            <w:pPr>
              <w:pStyle w:val="16"/>
              <w:keepNext w:val="0"/>
              <w:keepLines w:val="0"/>
              <w:pageBreakBefore w:val="0"/>
              <w:widowControl/>
              <w:suppressLineNumbers w:val="0"/>
              <w:shd w:val="clear" w:color="auto" w:fill="FFFFFF"/>
              <w:kinsoku/>
              <w:wordWrap w:val="0"/>
              <w:overflowPunct/>
              <w:topLinePunct w:val="0"/>
              <w:autoSpaceDE/>
              <w:autoSpaceDN/>
              <w:bidi w:val="0"/>
              <w:adjustRightInd/>
              <w:snapToGrid/>
              <w:spacing w:before="0" w:beforeAutospacing="0" w:after="0" w:afterAutospacing="0" w:line="360" w:lineRule="auto"/>
              <w:ind w:left="0" w:firstLine="420" w:firstLineChars="200"/>
              <w:jc w:val="both"/>
              <w:textAlignment w:val="auto"/>
              <w:outlineLvl w:val="9"/>
              <w:rPr>
                <w:rFonts w:hint="default" w:ascii="宋体" w:hAnsi="宋体" w:eastAsia="宋体" w:cs="宋体"/>
                <w:color w:val="auto"/>
                <w:kern w:val="0"/>
                <w:sz w:val="21"/>
                <w:szCs w:val="21"/>
                <w:highlight w:val="none"/>
                <w:lang w:val="en-US" w:eastAsia="zh-CN" w:bidi="ar-SA"/>
              </w:rPr>
            </w:pPr>
            <w:r>
              <w:rPr>
                <w:rFonts w:hint="eastAsia" w:ascii="宋体" w:hAnsi="宋体" w:eastAsia="宋体" w:cs="宋体"/>
                <w:color w:val="auto"/>
                <w:kern w:val="0"/>
                <w:sz w:val="21"/>
                <w:szCs w:val="21"/>
                <w:highlight w:val="none"/>
                <w:lang w:val="en-US" w:eastAsia="zh-CN" w:bidi="ar-SA"/>
              </w:rPr>
              <w:t>具体操作流程：登录广东省公共资源交易平台（韶关市）（https://ygp.gdzwfw.gov.cn/ggzy-portal/#/440200/index）－服务指南－下载《韶关市公共资源交易一体化平台产权招标交易-投标人用户手册》</w:t>
            </w:r>
          </w:p>
          <w:p w14:paraId="339B86B7">
            <w:pPr>
              <w:pStyle w:val="16"/>
              <w:keepNext w:val="0"/>
              <w:keepLines w:val="0"/>
              <w:pageBreakBefore w:val="0"/>
              <w:widowControl/>
              <w:numPr>
                <w:ilvl w:val="0"/>
                <w:numId w:val="3"/>
              </w:numPr>
              <w:suppressLineNumbers w:val="0"/>
              <w:shd w:val="clear" w:color="auto" w:fill="FFFFFF"/>
              <w:kinsoku/>
              <w:wordWrap w:val="0"/>
              <w:overflowPunct/>
              <w:topLinePunct w:val="0"/>
              <w:autoSpaceDE/>
              <w:autoSpaceDN/>
              <w:bidi w:val="0"/>
              <w:adjustRightInd/>
              <w:snapToGrid/>
              <w:spacing w:before="0" w:beforeAutospacing="0" w:after="0" w:afterAutospacing="0" w:line="360" w:lineRule="auto"/>
              <w:ind w:leftChars="200"/>
              <w:jc w:val="both"/>
              <w:textAlignment w:val="auto"/>
              <w:outlineLvl w:val="9"/>
              <w:rPr>
                <w:rFonts w:hint="eastAsia" w:ascii="宋体" w:hAnsi="宋体" w:eastAsia="宋体" w:cs="宋体"/>
                <w:color w:val="auto"/>
                <w:kern w:val="0"/>
                <w:sz w:val="21"/>
                <w:szCs w:val="21"/>
                <w:highlight w:val="none"/>
                <w:lang w:val="en-US" w:eastAsia="zh-CN" w:bidi="ar-SA"/>
              </w:rPr>
            </w:pPr>
            <w:r>
              <w:rPr>
                <w:rFonts w:hint="eastAsia" w:ascii="宋体" w:hAnsi="宋体" w:eastAsia="宋体" w:cs="宋体"/>
                <w:color w:val="auto"/>
                <w:kern w:val="0"/>
                <w:sz w:val="21"/>
                <w:szCs w:val="21"/>
                <w:highlight w:val="none"/>
                <w:lang w:val="en-US" w:eastAsia="zh-CN" w:bidi="ar-SA"/>
              </w:rPr>
              <w:t>技术支持：0751-8379671 伍工</w:t>
            </w:r>
          </w:p>
          <w:p w14:paraId="0EA4209F">
            <w:pPr>
              <w:pStyle w:val="86"/>
              <w:keepNext w:val="0"/>
              <w:keepLines w:val="0"/>
              <w:pageBreakBefore w:val="0"/>
              <w:kinsoku/>
              <w:overflowPunct/>
              <w:topLinePunct w:val="0"/>
              <w:autoSpaceDE/>
              <w:autoSpaceDN/>
              <w:bidi w:val="0"/>
              <w:adjustRightInd/>
              <w:snapToGrid w:val="0"/>
              <w:spacing w:line="360" w:lineRule="auto"/>
              <w:ind w:firstLine="420" w:firstLineChars="200"/>
              <w:textAlignment w:val="auto"/>
              <w:outlineLvl w:val="9"/>
              <w:rPr>
                <w:rFonts w:hint="eastAsia" w:ascii="宋体" w:hAnsi="宋体" w:eastAsia="宋体" w:cs="宋体"/>
                <w:color w:val="auto"/>
                <w:kern w:val="16"/>
                <w:sz w:val="21"/>
                <w:szCs w:val="21"/>
                <w:highlight w:val="none"/>
                <w:lang w:eastAsia="zh-CN"/>
              </w:rPr>
            </w:pPr>
            <w:r>
              <w:rPr>
                <w:rFonts w:hint="eastAsia" w:ascii="宋体" w:hAnsi="宋体" w:eastAsia="宋体" w:cs="宋体"/>
                <w:color w:val="auto"/>
                <w:kern w:val="16"/>
                <w:sz w:val="21"/>
                <w:szCs w:val="21"/>
                <w:highlight w:val="none"/>
                <w:lang w:eastAsia="zh-CN"/>
              </w:rPr>
              <w:t>4.交纳投标保证金注意事项：</w:t>
            </w:r>
          </w:p>
          <w:p w14:paraId="5F27C8ED">
            <w:pPr>
              <w:pStyle w:val="86"/>
              <w:keepNext w:val="0"/>
              <w:keepLines w:val="0"/>
              <w:pageBreakBefore w:val="0"/>
              <w:kinsoku/>
              <w:overflowPunct/>
              <w:topLinePunct w:val="0"/>
              <w:autoSpaceDE/>
              <w:autoSpaceDN/>
              <w:bidi w:val="0"/>
              <w:adjustRightInd/>
              <w:snapToGrid w:val="0"/>
              <w:spacing w:line="360" w:lineRule="auto"/>
              <w:ind w:firstLine="420" w:firstLineChars="200"/>
              <w:textAlignment w:val="auto"/>
              <w:outlineLvl w:val="9"/>
              <w:rPr>
                <w:rFonts w:hint="eastAsia" w:ascii="宋体" w:hAnsi="宋体" w:eastAsia="宋体" w:cs="宋体"/>
                <w:color w:val="auto"/>
                <w:kern w:val="16"/>
                <w:sz w:val="21"/>
                <w:szCs w:val="21"/>
                <w:highlight w:val="none"/>
                <w:lang w:eastAsia="zh-CN"/>
              </w:rPr>
            </w:pPr>
            <w:r>
              <w:rPr>
                <w:rFonts w:hint="eastAsia" w:ascii="宋体" w:hAnsi="宋体" w:eastAsia="宋体" w:cs="宋体"/>
                <w:color w:val="auto"/>
                <w:kern w:val="16"/>
                <w:szCs w:val="21"/>
                <w:highlight w:val="none"/>
                <w:lang w:eastAsia="zh-CN"/>
              </w:rPr>
              <w:t>(</w:t>
            </w:r>
            <w:r>
              <w:rPr>
                <w:rFonts w:hint="eastAsia" w:ascii="宋体" w:hAnsi="宋体" w:eastAsia="宋体" w:cs="宋体"/>
                <w:color w:val="auto"/>
                <w:kern w:val="16"/>
                <w:sz w:val="21"/>
                <w:szCs w:val="21"/>
                <w:highlight w:val="none"/>
                <w:lang w:eastAsia="zh-CN"/>
              </w:rPr>
              <w:t>1)交纳投标保证金的投标人必须已报名本项目，</w:t>
            </w:r>
            <w:r>
              <w:rPr>
                <w:rFonts w:hint="eastAsia" w:ascii="宋体" w:hAnsi="宋体" w:eastAsia="宋体" w:cs="宋体"/>
                <w:color w:val="auto"/>
                <w:kern w:val="16"/>
                <w:sz w:val="21"/>
                <w:szCs w:val="21"/>
                <w:highlight w:val="none"/>
                <w:lang w:val="en-US" w:eastAsia="zh-CN"/>
              </w:rPr>
              <w:t>投标人</w:t>
            </w:r>
            <w:r>
              <w:rPr>
                <w:rFonts w:hint="eastAsia" w:ascii="宋体" w:hAnsi="宋体" w:eastAsia="宋体" w:cs="宋体"/>
                <w:color w:val="auto"/>
                <w:kern w:val="16"/>
                <w:sz w:val="21"/>
                <w:szCs w:val="21"/>
                <w:highlight w:val="none"/>
                <w:lang w:eastAsia="zh-CN"/>
              </w:rPr>
              <w:t>必须按招标文件规定的金额和规定的期限内交纳投标保证金，投标人与投标保证金的交款人名称必须一致，否则，评标委员会将对其投标文件作无效投标处理。</w:t>
            </w:r>
          </w:p>
          <w:p w14:paraId="50676575">
            <w:pPr>
              <w:pStyle w:val="86"/>
              <w:keepNext w:val="0"/>
              <w:keepLines w:val="0"/>
              <w:pageBreakBefore w:val="0"/>
              <w:kinsoku/>
              <w:overflowPunct/>
              <w:topLinePunct w:val="0"/>
              <w:autoSpaceDE/>
              <w:autoSpaceDN/>
              <w:bidi w:val="0"/>
              <w:adjustRightInd/>
              <w:snapToGrid w:val="0"/>
              <w:spacing w:line="360" w:lineRule="auto"/>
              <w:ind w:firstLine="420" w:firstLineChars="200"/>
              <w:textAlignment w:val="auto"/>
              <w:outlineLvl w:val="9"/>
              <w:rPr>
                <w:rFonts w:hint="eastAsia" w:ascii="宋体" w:hAnsi="宋体" w:eastAsia="宋体" w:cs="宋体"/>
                <w:color w:val="auto"/>
                <w:kern w:val="16"/>
                <w:sz w:val="21"/>
                <w:szCs w:val="21"/>
                <w:highlight w:val="none"/>
                <w:lang w:eastAsia="zh-CN"/>
              </w:rPr>
            </w:pPr>
            <w:r>
              <w:rPr>
                <w:rFonts w:hint="eastAsia" w:ascii="宋体" w:hAnsi="宋体" w:eastAsia="宋体" w:cs="宋体"/>
                <w:color w:val="auto"/>
                <w:kern w:val="16"/>
                <w:sz w:val="21"/>
                <w:szCs w:val="21"/>
                <w:highlight w:val="none"/>
                <w:lang w:eastAsia="zh-CN"/>
              </w:rPr>
              <w:t>(2)投标人必须将投标保证金一次性足额汇入交易系统自动生成的子账户，不接受现金、分批次交款或采用EFT系统(广东金融结算系统)方式交纳投标保证金，否则，评标委员会将对其投标文件作无效投标处理。</w:t>
            </w:r>
          </w:p>
          <w:p w14:paraId="13A4C9DB">
            <w:pPr>
              <w:pStyle w:val="86"/>
              <w:keepNext w:val="0"/>
              <w:keepLines w:val="0"/>
              <w:pageBreakBefore w:val="0"/>
              <w:kinsoku/>
              <w:overflowPunct/>
              <w:topLinePunct w:val="0"/>
              <w:autoSpaceDE/>
              <w:autoSpaceDN/>
              <w:bidi w:val="0"/>
              <w:adjustRightInd/>
              <w:snapToGrid w:val="0"/>
              <w:spacing w:line="360" w:lineRule="auto"/>
              <w:ind w:firstLine="420" w:firstLineChars="200"/>
              <w:textAlignment w:val="auto"/>
              <w:outlineLvl w:val="9"/>
              <w:rPr>
                <w:rFonts w:hint="eastAsia" w:ascii="宋体" w:hAnsi="宋体" w:eastAsia="宋体" w:cs="宋体"/>
                <w:color w:val="auto"/>
                <w:kern w:val="16"/>
                <w:sz w:val="21"/>
                <w:szCs w:val="21"/>
                <w:highlight w:val="none"/>
                <w:lang w:eastAsia="zh-CN"/>
              </w:rPr>
            </w:pPr>
            <w:r>
              <w:rPr>
                <w:rFonts w:hint="eastAsia" w:ascii="宋体" w:hAnsi="宋体" w:eastAsia="宋体" w:cs="宋体"/>
                <w:color w:val="auto"/>
                <w:kern w:val="16"/>
                <w:sz w:val="21"/>
                <w:szCs w:val="21"/>
                <w:highlight w:val="none"/>
                <w:lang w:eastAsia="zh-CN"/>
              </w:rPr>
              <w:t>(3)产权招标交易系统将在</w:t>
            </w:r>
            <w:r>
              <w:rPr>
                <w:rFonts w:hint="eastAsia" w:ascii="宋体" w:hAnsi="宋体" w:cs="宋体"/>
                <w:color w:val="auto"/>
                <w:kern w:val="16"/>
                <w:sz w:val="21"/>
                <w:szCs w:val="21"/>
                <w:highlight w:val="none"/>
                <w:lang w:val="en-US" w:eastAsia="zh-CN"/>
              </w:rPr>
              <w:t>招标</w:t>
            </w:r>
            <w:r>
              <w:rPr>
                <w:rFonts w:hint="eastAsia" w:ascii="宋体" w:hAnsi="宋体" w:eastAsia="宋体" w:cs="宋体"/>
                <w:color w:val="auto"/>
                <w:kern w:val="16"/>
                <w:sz w:val="21"/>
                <w:szCs w:val="21"/>
                <w:highlight w:val="none"/>
                <w:lang w:eastAsia="zh-CN"/>
              </w:rPr>
              <w:t>活动结束后按相关法律法规的规定以“原渠道返回”方式退回投标保证金。</w:t>
            </w:r>
          </w:p>
          <w:p w14:paraId="408139F5">
            <w:pPr>
              <w:pStyle w:val="86"/>
              <w:keepNext w:val="0"/>
              <w:keepLines w:val="0"/>
              <w:pageBreakBefore w:val="0"/>
              <w:kinsoku/>
              <w:overflowPunct/>
              <w:topLinePunct w:val="0"/>
              <w:autoSpaceDE/>
              <w:autoSpaceDN/>
              <w:bidi w:val="0"/>
              <w:adjustRightInd/>
              <w:snapToGrid w:val="0"/>
              <w:spacing w:line="360" w:lineRule="auto"/>
              <w:ind w:firstLine="422" w:firstLineChars="200"/>
              <w:textAlignment w:val="auto"/>
              <w:outlineLvl w:val="9"/>
              <w:rPr>
                <w:rFonts w:hint="eastAsia" w:ascii="宋体" w:hAnsi="宋体" w:eastAsia="宋体" w:cs="宋体"/>
                <w:b/>
                <w:bCs/>
                <w:color w:val="auto"/>
                <w:kern w:val="16"/>
                <w:sz w:val="21"/>
                <w:szCs w:val="21"/>
                <w:highlight w:val="none"/>
                <w:lang w:val="en-US" w:eastAsia="zh-CN"/>
              </w:rPr>
            </w:pPr>
            <w:r>
              <w:rPr>
                <w:rFonts w:hint="eastAsia" w:ascii="宋体" w:hAnsi="宋体" w:eastAsia="宋体" w:cs="宋体"/>
                <w:b/>
                <w:bCs/>
                <w:color w:val="auto"/>
                <w:kern w:val="16"/>
                <w:sz w:val="21"/>
                <w:szCs w:val="21"/>
                <w:highlight w:val="none"/>
                <w:lang w:val="en-US" w:eastAsia="zh-CN"/>
              </w:rPr>
              <w:t>5.特别注意事项</w:t>
            </w:r>
          </w:p>
          <w:p w14:paraId="6E132FE9">
            <w:pPr>
              <w:pStyle w:val="86"/>
              <w:keepNext w:val="0"/>
              <w:keepLines w:val="0"/>
              <w:pageBreakBefore w:val="0"/>
              <w:kinsoku/>
              <w:overflowPunct/>
              <w:topLinePunct w:val="0"/>
              <w:autoSpaceDE/>
              <w:autoSpaceDN/>
              <w:bidi w:val="0"/>
              <w:adjustRightInd/>
              <w:snapToGrid w:val="0"/>
              <w:spacing w:line="360" w:lineRule="auto"/>
              <w:ind w:firstLine="422" w:firstLineChars="200"/>
              <w:textAlignment w:val="auto"/>
              <w:outlineLvl w:val="9"/>
              <w:rPr>
                <w:rFonts w:hint="eastAsia" w:ascii="宋体" w:hAnsi="宋体" w:eastAsia="宋体" w:cs="宋体"/>
                <w:b/>
                <w:bCs/>
                <w:color w:val="auto"/>
                <w:kern w:val="16"/>
                <w:sz w:val="21"/>
                <w:szCs w:val="21"/>
                <w:highlight w:val="none"/>
                <w:lang w:val="en-US" w:eastAsia="zh-CN"/>
              </w:rPr>
            </w:pPr>
            <w:r>
              <w:rPr>
                <w:rFonts w:hint="eastAsia" w:ascii="宋体" w:hAnsi="宋体" w:eastAsia="宋体" w:cs="宋体"/>
                <w:b/>
                <w:bCs/>
                <w:color w:val="auto"/>
                <w:kern w:val="16"/>
                <w:sz w:val="21"/>
                <w:szCs w:val="21"/>
                <w:highlight w:val="none"/>
                <w:lang w:val="en-US" w:eastAsia="zh-CN"/>
              </w:rPr>
              <w:t>（1）首次在韶关市公共资源交易一体化平台“产权招标交易”招标投标活动的投标人，必须在平台系统上传企业相关资料办理企业入库事宜。投标人可登录全国公共资源交易平台（广东省·韶关市）（https://ygp.gdzwfw.gov.cn/#/440200/index）办理办理企业入库、数字证书及电子印章事宜，具体请在平台查阅相应的交易指引。已入库企业有关信息（如单位名称、基本账号、资质、人员等）发生变化的，须及时在交易系统进行相应变更。投标人未及时变更信息而造成的损失和后果，由投标人自行承担。（请及时办理相关电子印章）</w:t>
            </w:r>
          </w:p>
          <w:p w14:paraId="6945FA43">
            <w:pPr>
              <w:pStyle w:val="86"/>
              <w:keepNext w:val="0"/>
              <w:keepLines w:val="0"/>
              <w:pageBreakBefore w:val="0"/>
              <w:kinsoku/>
              <w:overflowPunct/>
              <w:topLinePunct w:val="0"/>
              <w:autoSpaceDE/>
              <w:autoSpaceDN/>
              <w:bidi w:val="0"/>
              <w:adjustRightInd/>
              <w:snapToGrid w:val="0"/>
              <w:spacing w:line="360" w:lineRule="auto"/>
              <w:ind w:firstLine="422" w:firstLineChars="200"/>
              <w:textAlignment w:val="auto"/>
              <w:outlineLvl w:val="9"/>
              <w:rPr>
                <w:rFonts w:hint="eastAsia" w:ascii="宋体" w:hAnsi="宋体" w:eastAsia="宋体" w:cs="宋体"/>
                <w:b/>
                <w:bCs/>
                <w:color w:val="auto"/>
                <w:kern w:val="16"/>
                <w:sz w:val="21"/>
                <w:szCs w:val="21"/>
                <w:highlight w:val="none"/>
                <w:lang w:val="en-US" w:eastAsia="zh-CN"/>
              </w:rPr>
            </w:pPr>
            <w:r>
              <w:rPr>
                <w:rFonts w:hint="eastAsia" w:ascii="宋体" w:hAnsi="宋体" w:eastAsia="宋体" w:cs="宋体"/>
                <w:b/>
                <w:bCs/>
                <w:color w:val="auto"/>
                <w:kern w:val="16"/>
                <w:sz w:val="21"/>
                <w:szCs w:val="21"/>
                <w:highlight w:val="none"/>
                <w:lang w:val="en-US" w:eastAsia="zh-CN"/>
              </w:rPr>
              <w:t>（2）在投标文件提交截止时间前，投标人须在产权招标交易系统按要求完成授权、保证金递交及在线投标（上传标书），相关操作流程可查看投标韶关市公共资源交易一体化平台的《韶关市公共资源交易一体化平台使用产权招标交易系统注意事项》的附件《韶关市公共资源交易一体化平台产权招标交易-投标人用户手册》）。如遇系统问题请联系系统</w:t>
            </w:r>
            <w:r>
              <w:rPr>
                <w:rFonts w:hint="eastAsia" w:ascii="宋体" w:hAnsi="宋体" w:eastAsia="宋体" w:cs="宋体"/>
                <w:b/>
                <w:bCs/>
                <w:color w:val="auto"/>
                <w:kern w:val="16"/>
                <w:sz w:val="21"/>
                <w:szCs w:val="21"/>
                <w:highlight w:val="none"/>
                <w:lang w:eastAsia="zh-CN"/>
              </w:rPr>
              <w:t>技术支持：</w:t>
            </w:r>
            <w:r>
              <w:rPr>
                <w:rFonts w:hint="eastAsia" w:ascii="宋体" w:hAnsi="宋体" w:eastAsia="宋体" w:cs="宋体"/>
                <w:b/>
                <w:bCs/>
                <w:color w:val="auto"/>
                <w:kern w:val="16"/>
                <w:sz w:val="21"/>
                <w:szCs w:val="21"/>
                <w:highlight w:val="none"/>
                <w:lang w:val="en-US" w:eastAsia="zh-CN"/>
              </w:rPr>
              <w:t>伍工 0751-8379671。</w:t>
            </w:r>
          </w:p>
          <w:p w14:paraId="5D68FD0F">
            <w:pPr>
              <w:pStyle w:val="16"/>
              <w:keepNext w:val="0"/>
              <w:keepLines w:val="0"/>
              <w:pageBreakBefore w:val="0"/>
              <w:widowControl/>
              <w:suppressLineNumbers w:val="0"/>
              <w:shd w:val="clear" w:color="auto" w:fill="FFFFFF"/>
              <w:kinsoku/>
              <w:wordWrap w:val="0"/>
              <w:overflowPunct/>
              <w:topLinePunct w:val="0"/>
              <w:autoSpaceDE/>
              <w:autoSpaceDN/>
              <w:bidi w:val="0"/>
              <w:adjustRightInd/>
              <w:snapToGrid/>
              <w:spacing w:before="0" w:beforeAutospacing="0" w:after="0" w:afterAutospacing="0" w:line="312" w:lineRule="auto"/>
              <w:ind w:firstLine="422" w:firstLineChars="200"/>
              <w:jc w:val="both"/>
              <w:textAlignment w:val="auto"/>
              <w:rPr>
                <w:rFonts w:hint="default" w:ascii="宋体" w:hAnsi="宋体" w:eastAsia="宋体" w:cs="Times New Roman"/>
                <w:b/>
                <w:bCs/>
                <w:color w:val="auto"/>
                <w:sz w:val="21"/>
                <w:szCs w:val="21"/>
                <w:highlight w:val="none"/>
                <w:lang w:val="en-US" w:eastAsia="zh-CN"/>
              </w:rPr>
            </w:pPr>
            <w:r>
              <w:rPr>
                <w:rFonts w:hint="eastAsia" w:ascii="宋体" w:hAnsi="宋体" w:eastAsia="宋体" w:cs="Times New Roman"/>
                <w:b/>
                <w:bCs/>
                <w:color w:val="auto"/>
                <w:sz w:val="21"/>
                <w:szCs w:val="21"/>
                <w:highlight w:val="none"/>
                <w:lang w:val="en-US" w:eastAsia="zh-CN"/>
              </w:rPr>
              <w:t>（3）</w:t>
            </w:r>
            <w:r>
              <w:rPr>
                <w:rFonts w:hint="default" w:ascii="宋体" w:hAnsi="宋体" w:eastAsia="宋体" w:cs="Times New Roman"/>
                <w:b/>
                <w:bCs/>
                <w:color w:val="auto"/>
                <w:sz w:val="21"/>
                <w:szCs w:val="21"/>
                <w:highlight w:val="none"/>
                <w:lang w:val="en-US" w:eastAsia="zh-CN"/>
              </w:rPr>
              <w:t>补救方案</w:t>
            </w:r>
            <w:r>
              <w:rPr>
                <w:rFonts w:hint="eastAsia" w:ascii="宋体" w:hAnsi="宋体" w:eastAsia="宋体" w:cs="Times New Roman"/>
                <w:b/>
                <w:bCs/>
                <w:color w:val="auto"/>
                <w:sz w:val="21"/>
                <w:szCs w:val="21"/>
                <w:highlight w:val="none"/>
                <w:lang w:val="en-US" w:eastAsia="zh-CN"/>
              </w:rPr>
              <w:t>：</w:t>
            </w:r>
          </w:p>
          <w:p w14:paraId="4C4DEC30">
            <w:pPr>
              <w:pStyle w:val="16"/>
              <w:keepNext w:val="0"/>
              <w:keepLines w:val="0"/>
              <w:pageBreakBefore w:val="0"/>
              <w:widowControl/>
              <w:suppressLineNumbers w:val="0"/>
              <w:shd w:val="clear" w:color="auto" w:fill="FFFFFF"/>
              <w:kinsoku/>
              <w:wordWrap w:val="0"/>
              <w:overflowPunct/>
              <w:topLinePunct w:val="0"/>
              <w:autoSpaceDE/>
              <w:autoSpaceDN/>
              <w:bidi w:val="0"/>
              <w:adjustRightInd/>
              <w:snapToGrid/>
              <w:spacing w:before="0" w:beforeAutospacing="0" w:after="0" w:afterAutospacing="0" w:line="312" w:lineRule="auto"/>
              <w:ind w:firstLine="422" w:firstLineChars="200"/>
              <w:jc w:val="both"/>
              <w:textAlignment w:val="auto"/>
              <w:rPr>
                <w:rFonts w:hint="default" w:ascii="宋体" w:hAnsi="宋体" w:eastAsia="宋体" w:cs="Times New Roman"/>
                <w:b/>
                <w:bCs/>
                <w:color w:val="auto"/>
                <w:sz w:val="21"/>
                <w:szCs w:val="21"/>
                <w:highlight w:val="none"/>
                <w:lang w:val="en-US" w:eastAsia="zh-CN"/>
              </w:rPr>
            </w:pPr>
            <w:r>
              <w:rPr>
                <w:rFonts w:hint="eastAsia" w:ascii="宋体" w:hAnsi="宋体" w:eastAsia="宋体" w:cs="宋体"/>
                <w:b/>
                <w:bCs/>
                <w:color w:val="auto"/>
                <w:kern w:val="0"/>
                <w:sz w:val="21"/>
                <w:szCs w:val="21"/>
                <w:highlight w:val="none"/>
                <w:lang w:val="en-US" w:eastAsia="zh-CN" w:bidi="ar-SA"/>
              </w:rPr>
              <w:t>①</w:t>
            </w:r>
            <w:r>
              <w:rPr>
                <w:rFonts w:hint="eastAsia" w:ascii="宋体" w:hAnsi="宋体" w:eastAsia="宋体" w:cs="Times New Roman"/>
                <w:b/>
                <w:bCs/>
                <w:color w:val="auto"/>
                <w:sz w:val="21"/>
                <w:szCs w:val="21"/>
                <w:highlight w:val="none"/>
                <w:lang w:val="en-US" w:eastAsia="zh-CN"/>
              </w:rPr>
              <w:t>开</w:t>
            </w:r>
            <w:r>
              <w:rPr>
                <w:rFonts w:hint="default" w:ascii="宋体" w:hAnsi="宋体" w:eastAsia="宋体" w:cs="Times New Roman"/>
                <w:b/>
                <w:bCs/>
                <w:color w:val="auto"/>
                <w:sz w:val="21"/>
                <w:szCs w:val="21"/>
                <w:highlight w:val="none"/>
                <w:lang w:val="en-US" w:eastAsia="zh-CN"/>
              </w:rPr>
              <w:t>评标时突发情况的补救方案</w:t>
            </w:r>
          </w:p>
          <w:p w14:paraId="289FB39D">
            <w:pPr>
              <w:pStyle w:val="16"/>
              <w:keepNext w:val="0"/>
              <w:keepLines w:val="0"/>
              <w:pageBreakBefore w:val="0"/>
              <w:widowControl/>
              <w:suppressLineNumbers w:val="0"/>
              <w:shd w:val="clear" w:color="auto" w:fill="FFFFFF"/>
              <w:kinsoku/>
              <w:wordWrap w:val="0"/>
              <w:overflowPunct/>
              <w:topLinePunct w:val="0"/>
              <w:autoSpaceDE/>
              <w:autoSpaceDN/>
              <w:bidi w:val="0"/>
              <w:adjustRightInd/>
              <w:snapToGrid/>
              <w:spacing w:before="0" w:beforeAutospacing="0" w:after="0" w:afterAutospacing="0" w:line="312" w:lineRule="auto"/>
              <w:ind w:firstLine="422" w:firstLineChars="200"/>
              <w:jc w:val="both"/>
              <w:textAlignment w:val="auto"/>
              <w:rPr>
                <w:rFonts w:hint="default" w:ascii="宋体" w:hAnsi="宋体" w:eastAsia="宋体" w:cs="Times New Roman"/>
                <w:b/>
                <w:bCs/>
                <w:color w:val="auto"/>
                <w:sz w:val="21"/>
                <w:szCs w:val="21"/>
                <w:highlight w:val="none"/>
                <w:lang w:val="en-US" w:eastAsia="zh-CN"/>
              </w:rPr>
            </w:pPr>
            <w:r>
              <w:rPr>
                <w:rFonts w:hint="default" w:ascii="宋体" w:hAnsi="宋体" w:eastAsia="宋体" w:cs="Times New Roman"/>
                <w:b/>
                <w:bCs/>
                <w:color w:val="auto"/>
                <w:sz w:val="21"/>
                <w:szCs w:val="21"/>
                <w:highlight w:val="none"/>
                <w:lang w:val="en-US" w:eastAsia="zh-CN"/>
              </w:rPr>
              <w:t>在</w:t>
            </w:r>
            <w:r>
              <w:rPr>
                <w:rFonts w:hint="eastAsia" w:ascii="宋体" w:hAnsi="宋体" w:eastAsia="宋体" w:cs="Times New Roman"/>
                <w:b/>
                <w:bCs/>
                <w:color w:val="auto"/>
                <w:sz w:val="21"/>
                <w:szCs w:val="21"/>
                <w:highlight w:val="none"/>
                <w:lang w:val="en-US" w:eastAsia="zh-CN"/>
              </w:rPr>
              <w:t>开</w:t>
            </w:r>
            <w:r>
              <w:rPr>
                <w:rFonts w:hint="default" w:ascii="宋体" w:hAnsi="宋体" w:eastAsia="宋体" w:cs="Times New Roman"/>
                <w:b/>
                <w:bCs/>
                <w:color w:val="auto"/>
                <w:sz w:val="21"/>
                <w:szCs w:val="21"/>
                <w:highlight w:val="none"/>
                <w:lang w:val="en-US" w:eastAsia="zh-CN"/>
              </w:rPr>
              <w:t>评标过程中，因主场或副场网络故障、电子设备或者评标系统故障，以及其他原因导致无法继续进行</w:t>
            </w:r>
            <w:r>
              <w:rPr>
                <w:rFonts w:hint="eastAsia" w:ascii="宋体" w:hAnsi="宋体" w:eastAsia="宋体" w:cs="Times New Roman"/>
                <w:b/>
                <w:bCs/>
                <w:color w:val="auto"/>
                <w:sz w:val="21"/>
                <w:szCs w:val="21"/>
                <w:highlight w:val="none"/>
                <w:lang w:val="en-US" w:eastAsia="zh-CN"/>
              </w:rPr>
              <w:t>开</w:t>
            </w:r>
            <w:r>
              <w:rPr>
                <w:rFonts w:hint="default" w:ascii="宋体" w:hAnsi="宋体" w:eastAsia="宋体" w:cs="Times New Roman"/>
                <w:b/>
                <w:bCs/>
                <w:color w:val="auto"/>
                <w:sz w:val="21"/>
                <w:szCs w:val="21"/>
                <w:highlight w:val="none"/>
                <w:lang w:val="en-US" w:eastAsia="zh-CN"/>
              </w:rPr>
              <w:t>评标</w:t>
            </w:r>
            <w:r>
              <w:rPr>
                <w:rFonts w:hint="eastAsia" w:ascii="宋体" w:hAnsi="宋体" w:eastAsia="宋体" w:cs="Times New Roman"/>
                <w:b/>
                <w:bCs/>
                <w:color w:val="auto"/>
                <w:sz w:val="21"/>
                <w:szCs w:val="21"/>
                <w:highlight w:val="none"/>
                <w:lang w:val="en-US" w:eastAsia="zh-CN"/>
              </w:rPr>
              <w:t>活动</w:t>
            </w:r>
            <w:r>
              <w:rPr>
                <w:rFonts w:hint="default" w:ascii="宋体" w:hAnsi="宋体" w:eastAsia="宋体" w:cs="Times New Roman"/>
                <w:b/>
                <w:bCs/>
                <w:color w:val="auto"/>
                <w:sz w:val="21"/>
                <w:szCs w:val="21"/>
                <w:highlight w:val="none"/>
                <w:lang w:val="en-US" w:eastAsia="zh-CN"/>
              </w:rPr>
              <w:t>时，在</w:t>
            </w:r>
            <w:r>
              <w:rPr>
                <w:rFonts w:hint="eastAsia" w:ascii="宋体" w:hAnsi="宋体" w:eastAsia="宋体" w:cs="Times New Roman"/>
                <w:b/>
                <w:bCs/>
                <w:color w:val="auto"/>
                <w:sz w:val="21"/>
                <w:szCs w:val="21"/>
                <w:highlight w:val="none"/>
                <w:lang w:val="en-US" w:eastAsia="zh-CN"/>
              </w:rPr>
              <w:t>短时间</w:t>
            </w:r>
            <w:r>
              <w:rPr>
                <w:rFonts w:hint="default" w:ascii="宋体" w:hAnsi="宋体" w:eastAsia="宋体" w:cs="Times New Roman"/>
                <w:b/>
                <w:bCs/>
                <w:color w:val="auto"/>
                <w:sz w:val="21"/>
                <w:szCs w:val="21"/>
                <w:highlight w:val="none"/>
                <w:lang w:val="en-US" w:eastAsia="zh-CN"/>
              </w:rPr>
              <w:t>内无法解除故障的，</w:t>
            </w:r>
            <w:r>
              <w:rPr>
                <w:rFonts w:hint="eastAsia" w:ascii="宋体" w:hAnsi="宋体" w:eastAsia="宋体" w:cs="Times New Roman"/>
                <w:b/>
                <w:bCs/>
                <w:color w:val="auto"/>
                <w:sz w:val="21"/>
                <w:szCs w:val="21"/>
                <w:highlight w:val="none"/>
                <w:lang w:val="en-US" w:eastAsia="zh-CN"/>
              </w:rPr>
              <w:t>则转为线下评审</w:t>
            </w:r>
            <w:r>
              <w:rPr>
                <w:rFonts w:hint="default" w:ascii="宋体" w:hAnsi="宋体" w:eastAsia="宋体" w:cs="Times New Roman"/>
                <w:b/>
                <w:bCs/>
                <w:color w:val="auto"/>
                <w:sz w:val="21"/>
                <w:szCs w:val="21"/>
                <w:highlight w:val="none"/>
                <w:lang w:val="en-US" w:eastAsia="zh-CN"/>
              </w:rPr>
              <w:t>。</w:t>
            </w:r>
          </w:p>
          <w:p w14:paraId="047EA307">
            <w:pPr>
              <w:pStyle w:val="16"/>
              <w:keepNext w:val="0"/>
              <w:keepLines w:val="0"/>
              <w:pageBreakBefore w:val="0"/>
              <w:widowControl/>
              <w:suppressLineNumbers w:val="0"/>
              <w:shd w:val="clear" w:color="auto" w:fill="FFFFFF"/>
              <w:kinsoku/>
              <w:wordWrap w:val="0"/>
              <w:overflowPunct/>
              <w:topLinePunct w:val="0"/>
              <w:autoSpaceDE/>
              <w:autoSpaceDN/>
              <w:bidi w:val="0"/>
              <w:adjustRightInd/>
              <w:snapToGrid/>
              <w:spacing w:before="0" w:beforeAutospacing="0" w:after="0" w:afterAutospacing="0" w:line="312" w:lineRule="auto"/>
              <w:ind w:firstLine="422" w:firstLineChars="200"/>
              <w:jc w:val="both"/>
              <w:textAlignment w:val="auto"/>
              <w:rPr>
                <w:rFonts w:hint="eastAsia" w:ascii="宋体" w:hAnsi="宋体" w:eastAsia="宋体" w:cs="宋体"/>
                <w:b/>
                <w:bCs/>
                <w:color w:val="auto"/>
                <w:kern w:val="16"/>
                <w:sz w:val="21"/>
                <w:szCs w:val="21"/>
                <w:highlight w:val="none"/>
                <w:lang w:val="en-US" w:eastAsia="zh-CN"/>
              </w:rPr>
            </w:pPr>
            <w:r>
              <w:rPr>
                <w:rFonts w:hint="default" w:ascii="宋体" w:hAnsi="宋体" w:eastAsia="宋体" w:cs="宋体"/>
                <w:b/>
                <w:bCs/>
                <w:color w:val="auto"/>
                <w:kern w:val="0"/>
                <w:sz w:val="21"/>
                <w:szCs w:val="21"/>
                <w:highlight w:val="none"/>
                <w:lang w:val="en-US" w:eastAsia="zh-CN" w:bidi="ar-SA"/>
              </w:rPr>
              <w:t>②</w:t>
            </w:r>
            <w:r>
              <w:rPr>
                <w:rFonts w:hint="default" w:ascii="宋体" w:hAnsi="宋体" w:eastAsia="宋体" w:cs="Times New Roman"/>
                <w:b/>
                <w:bCs/>
                <w:color w:val="auto"/>
                <w:sz w:val="21"/>
                <w:szCs w:val="21"/>
                <w:highlight w:val="none"/>
                <w:lang w:val="en-US" w:eastAsia="zh-CN"/>
              </w:rPr>
              <w:t>本次招标实行电子投标，开标评标均以投标人通过交易平台</w:t>
            </w:r>
            <w:r>
              <w:rPr>
                <w:rFonts w:hint="eastAsia" w:ascii="宋体" w:hAnsi="宋体" w:eastAsia="宋体" w:cs="Times New Roman"/>
                <w:b/>
                <w:bCs/>
                <w:color w:val="auto"/>
                <w:sz w:val="21"/>
                <w:szCs w:val="21"/>
                <w:highlight w:val="none"/>
                <w:lang w:val="en-US" w:eastAsia="zh-CN"/>
              </w:rPr>
              <w:t>上传的</w:t>
            </w:r>
            <w:r>
              <w:rPr>
                <w:rFonts w:hint="default" w:ascii="宋体" w:hAnsi="宋体" w:eastAsia="宋体" w:cs="Times New Roman"/>
                <w:b/>
                <w:bCs/>
                <w:color w:val="auto"/>
                <w:sz w:val="21"/>
                <w:szCs w:val="21"/>
                <w:highlight w:val="none"/>
                <w:lang w:val="en-US" w:eastAsia="zh-CN"/>
              </w:rPr>
              <w:t>电子投标文件为准</w:t>
            </w:r>
            <w:r>
              <w:rPr>
                <w:rFonts w:hint="eastAsia" w:ascii="宋体" w:hAnsi="宋体" w:eastAsia="宋体" w:cs="Times New Roman"/>
                <w:b/>
                <w:bCs/>
                <w:color w:val="auto"/>
                <w:sz w:val="21"/>
                <w:szCs w:val="21"/>
                <w:highlight w:val="none"/>
                <w:lang w:val="en-US" w:eastAsia="zh-CN"/>
              </w:rPr>
              <w:t>，若因系统故障转为线下评审，则以递交的纸质投标文件为准</w:t>
            </w:r>
            <w:r>
              <w:rPr>
                <w:rFonts w:hint="default" w:ascii="宋体" w:hAnsi="宋体" w:eastAsia="宋体" w:cs="Times New Roman"/>
                <w:color w:val="auto"/>
                <w:sz w:val="21"/>
                <w:szCs w:val="21"/>
                <w:highlight w:val="none"/>
                <w:lang w:val="en-US" w:eastAsia="zh-CN"/>
              </w:rPr>
              <w:t>。</w:t>
            </w:r>
          </w:p>
          <w:p w14:paraId="25D3B7EF">
            <w:pPr>
              <w:pStyle w:val="16"/>
              <w:keepNext w:val="0"/>
              <w:keepLines w:val="0"/>
              <w:pageBreakBefore w:val="0"/>
              <w:widowControl/>
              <w:numPr>
                <w:ilvl w:val="0"/>
                <w:numId w:val="0"/>
              </w:numPr>
              <w:suppressLineNumbers w:val="0"/>
              <w:shd w:val="clear" w:color="auto" w:fill="FFFFFF"/>
              <w:kinsoku/>
              <w:wordWrap w:val="0"/>
              <w:overflowPunct/>
              <w:topLinePunct w:val="0"/>
              <w:autoSpaceDE/>
              <w:autoSpaceDN/>
              <w:bidi w:val="0"/>
              <w:adjustRightInd/>
              <w:snapToGrid/>
              <w:spacing w:before="0" w:beforeAutospacing="0" w:after="0" w:afterAutospacing="0" w:line="360" w:lineRule="auto"/>
              <w:ind w:firstLine="420" w:firstLineChars="200"/>
              <w:jc w:val="both"/>
              <w:textAlignment w:val="auto"/>
              <w:outlineLvl w:val="9"/>
              <w:rPr>
                <w:rFonts w:hint="eastAsia" w:ascii="宋体" w:hAnsi="宋体" w:eastAsia="宋体" w:cs="宋体"/>
                <w:color w:val="auto"/>
                <w:kern w:val="0"/>
                <w:sz w:val="21"/>
                <w:szCs w:val="21"/>
                <w:highlight w:val="none"/>
                <w:lang w:val="en-US" w:eastAsia="zh-CN" w:bidi="ar-SA"/>
              </w:rPr>
            </w:pPr>
            <w:r>
              <w:rPr>
                <w:rFonts w:hint="eastAsia" w:ascii="宋体" w:hAnsi="宋体" w:eastAsia="宋体" w:cs="宋体"/>
                <w:color w:val="auto"/>
                <w:kern w:val="16"/>
                <w:sz w:val="21"/>
                <w:szCs w:val="21"/>
                <w:highlight w:val="none"/>
                <w:lang w:eastAsia="zh-CN"/>
              </w:rPr>
              <w:t>（二）</w:t>
            </w:r>
            <w:r>
              <w:rPr>
                <w:rFonts w:hint="eastAsia" w:ascii="宋体" w:hAnsi="宋体" w:cs="宋体"/>
                <w:color w:val="auto"/>
                <w:kern w:val="16"/>
                <w:sz w:val="21"/>
                <w:szCs w:val="21"/>
                <w:highlight w:val="none"/>
                <w:lang w:eastAsia="zh-CN"/>
              </w:rPr>
              <w:t>投标人</w:t>
            </w:r>
            <w:r>
              <w:rPr>
                <w:rFonts w:hint="eastAsia" w:ascii="宋体" w:hAnsi="宋体" w:eastAsia="宋体" w:cs="宋体"/>
                <w:color w:val="auto"/>
                <w:kern w:val="16"/>
                <w:sz w:val="21"/>
                <w:szCs w:val="21"/>
                <w:highlight w:val="none"/>
                <w:lang w:eastAsia="zh-CN"/>
              </w:rPr>
              <w:t>应当在参与</w:t>
            </w:r>
            <w:r>
              <w:rPr>
                <w:rFonts w:hint="eastAsia" w:cs="宋体"/>
                <w:color w:val="auto"/>
                <w:kern w:val="16"/>
                <w:sz w:val="21"/>
                <w:szCs w:val="21"/>
                <w:highlight w:val="none"/>
                <w:lang w:val="en-US" w:eastAsia="zh-CN"/>
              </w:rPr>
              <w:t>招标</w:t>
            </w:r>
            <w:r>
              <w:rPr>
                <w:rFonts w:hint="eastAsia" w:ascii="宋体" w:hAnsi="宋体" w:eastAsia="宋体" w:cs="宋体"/>
                <w:color w:val="auto"/>
                <w:kern w:val="16"/>
                <w:sz w:val="21"/>
                <w:szCs w:val="21"/>
                <w:highlight w:val="none"/>
                <w:lang w:eastAsia="zh-CN"/>
              </w:rPr>
              <w:t>活动前详细研究</w:t>
            </w:r>
            <w:r>
              <w:rPr>
                <w:rFonts w:hint="eastAsia" w:ascii="宋体" w:hAnsi="宋体" w:eastAsia="宋体" w:cs="宋体"/>
                <w:b/>
                <w:bCs/>
                <w:color w:val="auto"/>
                <w:kern w:val="16"/>
                <w:sz w:val="21"/>
                <w:szCs w:val="21"/>
                <w:highlight w:val="none"/>
                <w:lang w:val="en-US" w:eastAsia="zh-CN"/>
              </w:rPr>
              <w:t>《韶关市公共资源交易一体化平台产权招标交易-投标人用户手册》</w:t>
            </w:r>
            <w:r>
              <w:rPr>
                <w:rFonts w:hint="eastAsia" w:ascii="宋体" w:hAnsi="宋体" w:eastAsia="宋体" w:cs="宋体"/>
                <w:b w:val="0"/>
                <w:bCs w:val="0"/>
                <w:color w:val="auto"/>
                <w:kern w:val="16"/>
                <w:sz w:val="21"/>
                <w:szCs w:val="21"/>
                <w:highlight w:val="none"/>
                <w:lang w:val="en-US" w:eastAsia="zh-CN"/>
              </w:rPr>
              <w:t>，以及</w:t>
            </w:r>
            <w:r>
              <w:rPr>
                <w:rFonts w:hint="eastAsia" w:ascii="宋体" w:hAnsi="宋体" w:eastAsia="宋体" w:cs="宋体"/>
                <w:b/>
                <w:bCs/>
                <w:color w:val="auto"/>
                <w:kern w:val="16"/>
                <w:sz w:val="21"/>
                <w:szCs w:val="21"/>
                <w:highlight w:val="none"/>
                <w:lang w:eastAsia="zh-CN"/>
              </w:rPr>
              <w:t>招标文件</w:t>
            </w:r>
            <w:r>
              <w:rPr>
                <w:rFonts w:hint="eastAsia" w:ascii="宋体" w:hAnsi="宋体" w:eastAsia="宋体" w:cs="宋体"/>
                <w:color w:val="auto"/>
                <w:kern w:val="16"/>
                <w:sz w:val="21"/>
                <w:szCs w:val="21"/>
                <w:highlight w:val="none"/>
                <w:lang w:eastAsia="zh-CN"/>
              </w:rPr>
              <w:t>的所有内容，包括澄清、修改文件（如果有）和所有已提供的参考资料以及有关附件，且不存在任何含糊不清和误解之处，否则，由此产生的一切后果由</w:t>
            </w:r>
            <w:r>
              <w:rPr>
                <w:rFonts w:hint="eastAsia" w:ascii="宋体" w:hAnsi="宋体" w:cs="宋体"/>
                <w:color w:val="auto"/>
                <w:kern w:val="16"/>
                <w:sz w:val="21"/>
                <w:szCs w:val="21"/>
                <w:highlight w:val="none"/>
                <w:lang w:eastAsia="zh-CN"/>
              </w:rPr>
              <w:t>投标人</w:t>
            </w:r>
            <w:r>
              <w:rPr>
                <w:rFonts w:hint="eastAsia" w:ascii="宋体" w:hAnsi="宋体" w:eastAsia="宋体" w:cs="宋体"/>
                <w:color w:val="auto"/>
                <w:kern w:val="16"/>
                <w:sz w:val="21"/>
                <w:szCs w:val="21"/>
                <w:highlight w:val="none"/>
                <w:lang w:eastAsia="zh-CN"/>
              </w:rPr>
              <w:t>自行承担。</w:t>
            </w:r>
          </w:p>
        </w:tc>
      </w:tr>
    </w:tbl>
    <w:p w14:paraId="521656F5">
      <w:pPr>
        <w:keepNext/>
        <w:keepLines/>
        <w:pageBreakBefore w:val="0"/>
        <w:widowControl w:val="0"/>
        <w:kinsoku/>
        <w:wordWrap/>
        <w:overflowPunct/>
        <w:topLinePunct w:val="0"/>
        <w:autoSpaceDE/>
        <w:autoSpaceDN/>
        <w:bidi w:val="0"/>
        <w:adjustRightInd/>
        <w:snapToGrid/>
        <w:spacing w:after="0" w:line="360" w:lineRule="auto"/>
        <w:jc w:val="both"/>
        <w:textAlignment w:val="auto"/>
        <w:outlineLvl w:val="9"/>
        <w:rPr>
          <w:rFonts w:hint="eastAsia" w:ascii="宋体" w:hAnsi="宋体" w:eastAsia="宋体" w:cs="宋体"/>
          <w:b/>
          <w:bCs w:val="0"/>
          <w:color w:val="auto"/>
          <w:sz w:val="21"/>
          <w:szCs w:val="21"/>
          <w:highlight w:val="none"/>
        </w:rPr>
      </w:pPr>
      <w:bookmarkStart w:id="20" w:name="_Toc35393627"/>
      <w:bookmarkStart w:id="21" w:name="_Toc28359085"/>
      <w:bookmarkStart w:id="22" w:name="_Toc28359008"/>
      <w:bookmarkStart w:id="23" w:name="_Toc35393796"/>
    </w:p>
    <w:p w14:paraId="2E8208D8">
      <w:pPr>
        <w:keepNext/>
        <w:keepLines/>
        <w:pageBreakBefore w:val="0"/>
        <w:widowControl w:val="0"/>
        <w:kinsoku/>
        <w:wordWrap/>
        <w:overflowPunct/>
        <w:topLinePunct w:val="0"/>
        <w:autoSpaceDE/>
        <w:autoSpaceDN/>
        <w:bidi w:val="0"/>
        <w:adjustRightInd/>
        <w:snapToGrid/>
        <w:spacing w:after="0" w:line="360" w:lineRule="auto"/>
        <w:jc w:val="both"/>
        <w:textAlignment w:val="auto"/>
        <w:outlineLvl w:val="9"/>
        <w:rPr>
          <w:rFonts w:hint="eastAsia" w:ascii="宋体" w:hAnsi="宋体" w:eastAsia="宋体" w:cs="宋体"/>
          <w:b/>
          <w:bCs w:val="0"/>
          <w:color w:val="auto"/>
          <w:sz w:val="21"/>
          <w:szCs w:val="21"/>
          <w:highlight w:val="none"/>
        </w:rPr>
      </w:pPr>
      <w:r>
        <w:rPr>
          <w:rFonts w:hint="eastAsia" w:ascii="宋体" w:hAnsi="宋体" w:eastAsia="宋体" w:cs="宋体"/>
          <w:b/>
          <w:bCs w:val="0"/>
          <w:color w:val="auto"/>
          <w:sz w:val="21"/>
          <w:szCs w:val="21"/>
          <w:highlight w:val="none"/>
        </w:rPr>
        <w:t>七、对本次招标提出询问，请按以下方式联系。</w:t>
      </w:r>
      <w:bookmarkEnd w:id="20"/>
      <w:bookmarkEnd w:id="21"/>
      <w:bookmarkEnd w:id="22"/>
      <w:bookmarkEnd w:id="23"/>
    </w:p>
    <w:p w14:paraId="76F50E40">
      <w:pPr>
        <w:pStyle w:val="86"/>
        <w:snapToGrid w:val="0"/>
        <w:spacing w:line="360" w:lineRule="auto"/>
        <w:ind w:firstLine="210" w:firstLineChars="100"/>
        <w:rPr>
          <w:rFonts w:hint="eastAsia" w:ascii="宋体" w:hAnsi="宋体" w:eastAsia="宋体" w:cs="宋体"/>
          <w:color w:val="auto"/>
          <w:kern w:val="16"/>
          <w:sz w:val="21"/>
          <w:szCs w:val="21"/>
          <w:highlight w:val="none"/>
        </w:rPr>
      </w:pPr>
      <w:r>
        <w:rPr>
          <w:rFonts w:hint="eastAsia" w:ascii="宋体" w:hAnsi="宋体" w:eastAsia="宋体" w:cs="宋体"/>
          <w:color w:val="auto"/>
          <w:kern w:val="16"/>
          <w:sz w:val="21"/>
          <w:szCs w:val="21"/>
          <w:highlight w:val="none"/>
        </w:rPr>
        <w:t>1.</w:t>
      </w:r>
      <w:r>
        <w:rPr>
          <w:rFonts w:hint="eastAsia" w:ascii="宋体" w:hAnsi="宋体" w:cs="宋体"/>
          <w:color w:val="auto"/>
          <w:kern w:val="16"/>
          <w:sz w:val="21"/>
          <w:szCs w:val="21"/>
          <w:highlight w:val="none"/>
          <w:lang w:val="en-US" w:eastAsia="zh-CN"/>
        </w:rPr>
        <w:t>招标</w:t>
      </w:r>
      <w:r>
        <w:rPr>
          <w:rFonts w:hint="eastAsia" w:ascii="宋体" w:hAnsi="宋体" w:eastAsia="宋体" w:cs="宋体"/>
          <w:color w:val="auto"/>
          <w:kern w:val="16"/>
          <w:sz w:val="21"/>
          <w:szCs w:val="21"/>
          <w:highlight w:val="none"/>
        </w:rPr>
        <w:t>人信息</w:t>
      </w:r>
    </w:p>
    <w:p w14:paraId="3596E8F9">
      <w:pPr>
        <w:pStyle w:val="86"/>
        <w:snapToGrid w:val="0"/>
        <w:spacing w:line="360" w:lineRule="auto"/>
        <w:ind w:firstLine="420" w:firstLineChars="200"/>
        <w:rPr>
          <w:rFonts w:hint="eastAsia" w:ascii="宋体" w:hAnsi="宋体" w:eastAsia="宋体" w:cs="宋体"/>
          <w:color w:val="auto"/>
          <w:kern w:val="16"/>
          <w:sz w:val="21"/>
          <w:szCs w:val="21"/>
          <w:highlight w:val="none"/>
          <w:lang w:eastAsia="zh-CN"/>
        </w:rPr>
      </w:pPr>
      <w:bookmarkStart w:id="24" w:name="_Toc28359086"/>
      <w:bookmarkStart w:id="25" w:name="_Toc28359009"/>
      <w:r>
        <w:rPr>
          <w:rFonts w:hint="eastAsia" w:ascii="宋体" w:hAnsi="宋体" w:eastAsia="宋体" w:cs="宋体"/>
          <w:color w:val="auto"/>
          <w:kern w:val="16"/>
          <w:sz w:val="21"/>
          <w:szCs w:val="21"/>
          <w:highlight w:val="none"/>
        </w:rPr>
        <w:t>名 称：</w:t>
      </w:r>
      <w:r>
        <w:rPr>
          <w:rFonts w:hint="eastAsia" w:ascii="宋体" w:hAnsi="宋体" w:cs="宋体"/>
          <w:color w:val="auto"/>
          <w:kern w:val="16"/>
          <w:sz w:val="21"/>
          <w:szCs w:val="21"/>
          <w:highlight w:val="none"/>
          <w:lang w:eastAsia="zh-CN"/>
        </w:rPr>
        <w:t>韶关市武江区民政局</w:t>
      </w:r>
    </w:p>
    <w:p w14:paraId="57CDF140">
      <w:pPr>
        <w:pStyle w:val="86"/>
        <w:pageBreakBefore w:val="0"/>
        <w:kinsoku/>
        <w:overflowPunct/>
        <w:topLinePunct w:val="0"/>
        <w:autoSpaceDE/>
        <w:autoSpaceDN/>
        <w:bidi w:val="0"/>
        <w:snapToGrid w:val="0"/>
        <w:spacing w:line="360" w:lineRule="auto"/>
        <w:ind w:firstLine="420" w:firstLineChars="200"/>
        <w:outlineLvl w:val="9"/>
        <w:rPr>
          <w:rFonts w:hint="eastAsia" w:ascii="宋体" w:hAnsi="宋体" w:cs="宋体"/>
          <w:color w:val="auto"/>
          <w:kern w:val="16"/>
          <w:sz w:val="21"/>
          <w:szCs w:val="21"/>
          <w:highlight w:val="none"/>
          <w:lang w:val="en-US" w:eastAsia="zh-CN"/>
        </w:rPr>
      </w:pPr>
      <w:r>
        <w:rPr>
          <w:rFonts w:hint="eastAsia" w:ascii="宋体" w:hAnsi="宋体" w:eastAsia="宋体" w:cs="宋体"/>
          <w:color w:val="auto"/>
          <w:kern w:val="16"/>
          <w:sz w:val="21"/>
          <w:szCs w:val="21"/>
          <w:highlight w:val="none"/>
        </w:rPr>
        <w:t>地址：</w:t>
      </w:r>
      <w:r>
        <w:rPr>
          <w:rFonts w:hint="eastAsia" w:ascii="宋体" w:hAnsi="宋体" w:eastAsia="宋体" w:cs="宋体"/>
          <w:color w:val="auto"/>
          <w:kern w:val="16"/>
          <w:sz w:val="21"/>
          <w:szCs w:val="21"/>
          <w:highlight w:val="none"/>
          <w:lang w:eastAsia="zh-CN"/>
        </w:rPr>
        <w:t>韶关市武江区新民路21号</w:t>
      </w:r>
    </w:p>
    <w:p w14:paraId="1BF14288">
      <w:pPr>
        <w:pStyle w:val="86"/>
        <w:pageBreakBefore w:val="0"/>
        <w:kinsoku/>
        <w:overflowPunct/>
        <w:topLinePunct w:val="0"/>
        <w:autoSpaceDE/>
        <w:autoSpaceDN/>
        <w:bidi w:val="0"/>
        <w:snapToGrid w:val="0"/>
        <w:spacing w:line="360" w:lineRule="auto"/>
        <w:ind w:firstLine="420" w:firstLineChars="200"/>
        <w:outlineLvl w:val="9"/>
        <w:rPr>
          <w:rFonts w:hint="eastAsia" w:ascii="宋体" w:hAnsi="宋体" w:eastAsia="宋体" w:cs="宋体"/>
          <w:color w:val="auto"/>
          <w:kern w:val="16"/>
          <w:sz w:val="21"/>
          <w:szCs w:val="21"/>
          <w:highlight w:val="none"/>
        </w:rPr>
      </w:pPr>
    </w:p>
    <w:p w14:paraId="625866CF">
      <w:pPr>
        <w:pStyle w:val="86"/>
        <w:pageBreakBefore w:val="0"/>
        <w:kinsoku/>
        <w:overflowPunct/>
        <w:topLinePunct w:val="0"/>
        <w:autoSpaceDE/>
        <w:autoSpaceDN/>
        <w:bidi w:val="0"/>
        <w:snapToGrid w:val="0"/>
        <w:spacing w:line="360" w:lineRule="auto"/>
        <w:ind w:firstLine="420" w:firstLineChars="200"/>
        <w:outlineLvl w:val="9"/>
        <w:rPr>
          <w:rFonts w:hint="eastAsia" w:ascii="宋体" w:hAnsi="宋体" w:eastAsia="宋体" w:cs="宋体"/>
          <w:color w:val="auto"/>
          <w:kern w:val="16"/>
          <w:sz w:val="21"/>
          <w:szCs w:val="21"/>
          <w:highlight w:val="none"/>
        </w:rPr>
      </w:pPr>
    </w:p>
    <w:p w14:paraId="43E0B0C2">
      <w:pPr>
        <w:pStyle w:val="86"/>
        <w:pageBreakBefore w:val="0"/>
        <w:kinsoku/>
        <w:overflowPunct/>
        <w:topLinePunct w:val="0"/>
        <w:autoSpaceDE/>
        <w:autoSpaceDN/>
        <w:bidi w:val="0"/>
        <w:snapToGrid w:val="0"/>
        <w:spacing w:line="360" w:lineRule="auto"/>
        <w:ind w:firstLine="420" w:firstLineChars="200"/>
        <w:outlineLvl w:val="9"/>
        <w:rPr>
          <w:rFonts w:hint="default" w:ascii="宋体" w:hAnsi="宋体" w:eastAsia="宋体" w:cs="宋体"/>
          <w:color w:val="auto"/>
          <w:kern w:val="16"/>
          <w:sz w:val="21"/>
          <w:szCs w:val="21"/>
          <w:highlight w:val="yellow"/>
          <w:lang w:val="en-US"/>
        </w:rPr>
      </w:pPr>
      <w:r>
        <w:rPr>
          <w:rFonts w:hint="eastAsia" w:ascii="宋体" w:hAnsi="宋体" w:eastAsia="宋体" w:cs="宋体"/>
          <w:color w:val="auto"/>
          <w:kern w:val="16"/>
          <w:sz w:val="21"/>
          <w:szCs w:val="21"/>
          <w:highlight w:val="none"/>
        </w:rPr>
        <w:t>联系方式：0751-</w:t>
      </w:r>
      <w:r>
        <w:rPr>
          <w:rFonts w:hint="eastAsia" w:ascii="宋体" w:hAnsi="宋体" w:cs="宋体"/>
          <w:color w:val="auto"/>
          <w:kern w:val="16"/>
          <w:sz w:val="21"/>
          <w:szCs w:val="21"/>
          <w:highlight w:val="none"/>
          <w:lang w:val="en-US" w:eastAsia="zh-CN"/>
        </w:rPr>
        <w:t>8776245</w:t>
      </w:r>
    </w:p>
    <w:p w14:paraId="6BC93DE5">
      <w:pPr>
        <w:pStyle w:val="86"/>
        <w:snapToGrid w:val="0"/>
        <w:spacing w:line="360" w:lineRule="auto"/>
        <w:ind w:firstLine="210" w:firstLineChars="100"/>
        <w:rPr>
          <w:rFonts w:hint="eastAsia" w:ascii="宋体" w:hAnsi="宋体" w:eastAsia="宋体" w:cs="宋体"/>
          <w:color w:val="auto"/>
          <w:kern w:val="16"/>
          <w:sz w:val="21"/>
          <w:szCs w:val="21"/>
          <w:highlight w:val="none"/>
        </w:rPr>
      </w:pPr>
    </w:p>
    <w:p w14:paraId="0B3CF903">
      <w:pPr>
        <w:pStyle w:val="86"/>
        <w:snapToGrid w:val="0"/>
        <w:spacing w:line="360" w:lineRule="auto"/>
        <w:ind w:firstLine="210" w:firstLineChars="100"/>
        <w:rPr>
          <w:rFonts w:hint="eastAsia" w:ascii="宋体" w:hAnsi="宋体" w:eastAsia="宋体" w:cs="宋体"/>
          <w:color w:val="auto"/>
          <w:kern w:val="16"/>
          <w:sz w:val="21"/>
          <w:szCs w:val="21"/>
          <w:highlight w:val="none"/>
        </w:rPr>
      </w:pPr>
      <w:r>
        <w:rPr>
          <w:rFonts w:hint="eastAsia" w:ascii="宋体" w:hAnsi="宋体" w:eastAsia="宋体" w:cs="宋体"/>
          <w:color w:val="auto"/>
          <w:kern w:val="16"/>
          <w:sz w:val="21"/>
          <w:szCs w:val="21"/>
          <w:highlight w:val="none"/>
        </w:rPr>
        <w:t>2.</w:t>
      </w:r>
      <w:r>
        <w:rPr>
          <w:rFonts w:hint="eastAsia" w:ascii="宋体" w:hAnsi="宋体" w:cs="宋体"/>
          <w:color w:val="auto"/>
          <w:kern w:val="16"/>
          <w:sz w:val="21"/>
          <w:szCs w:val="21"/>
          <w:highlight w:val="none"/>
          <w:lang w:val="en-US" w:eastAsia="zh-CN"/>
        </w:rPr>
        <w:t>招标</w:t>
      </w:r>
      <w:r>
        <w:rPr>
          <w:rFonts w:hint="eastAsia" w:ascii="宋体" w:hAnsi="宋体" w:eastAsia="宋体" w:cs="宋体"/>
          <w:color w:val="auto"/>
          <w:kern w:val="16"/>
          <w:sz w:val="21"/>
          <w:szCs w:val="21"/>
          <w:highlight w:val="none"/>
        </w:rPr>
        <w:t>代理机构信息</w:t>
      </w:r>
      <w:bookmarkEnd w:id="24"/>
      <w:bookmarkEnd w:id="25"/>
    </w:p>
    <w:p w14:paraId="65B6560D">
      <w:pPr>
        <w:pStyle w:val="86"/>
        <w:snapToGrid w:val="0"/>
        <w:spacing w:line="360" w:lineRule="auto"/>
        <w:ind w:firstLine="420" w:firstLineChars="200"/>
        <w:rPr>
          <w:rFonts w:hint="eastAsia" w:ascii="宋体" w:hAnsi="宋体" w:cs="宋体"/>
          <w:color w:val="auto"/>
          <w:kern w:val="16"/>
          <w:sz w:val="21"/>
          <w:szCs w:val="21"/>
          <w:highlight w:val="none"/>
          <w:lang w:val="en-US" w:eastAsia="zh-CN"/>
        </w:rPr>
      </w:pPr>
      <w:bookmarkStart w:id="26" w:name="_Toc28359010"/>
      <w:bookmarkStart w:id="27" w:name="_Toc28359087"/>
      <w:r>
        <w:rPr>
          <w:rFonts w:hint="eastAsia" w:ascii="宋体" w:hAnsi="宋体" w:cs="宋体"/>
          <w:color w:val="auto"/>
          <w:kern w:val="16"/>
          <w:sz w:val="21"/>
          <w:szCs w:val="21"/>
          <w:highlight w:val="none"/>
          <w:lang w:val="en-US" w:eastAsia="zh-CN"/>
        </w:rPr>
        <w:t>名 称：广东合正项目管理有限公司</w:t>
      </w:r>
    </w:p>
    <w:p w14:paraId="3CA0A449">
      <w:pPr>
        <w:pStyle w:val="86"/>
        <w:snapToGrid w:val="0"/>
        <w:spacing w:line="360" w:lineRule="auto"/>
        <w:ind w:firstLine="420" w:firstLineChars="200"/>
        <w:rPr>
          <w:rFonts w:hint="eastAsia" w:ascii="宋体" w:hAnsi="宋体" w:cs="宋体"/>
          <w:color w:val="auto"/>
          <w:kern w:val="16"/>
          <w:sz w:val="21"/>
          <w:szCs w:val="21"/>
          <w:highlight w:val="none"/>
          <w:lang w:val="en-US" w:eastAsia="zh-CN"/>
        </w:rPr>
      </w:pPr>
      <w:r>
        <w:rPr>
          <w:rFonts w:hint="eastAsia" w:ascii="宋体" w:hAnsi="宋体" w:cs="宋体"/>
          <w:color w:val="auto"/>
          <w:kern w:val="16"/>
          <w:sz w:val="21"/>
          <w:szCs w:val="21"/>
          <w:highlight w:val="none"/>
          <w:lang w:val="en-US" w:eastAsia="zh-CN"/>
        </w:rPr>
        <w:t>地　址：广东省韶关市武江区百旺大道42号莞韶双创中心研发办公楼5楼3号</w:t>
      </w:r>
    </w:p>
    <w:p w14:paraId="634823D1">
      <w:pPr>
        <w:pStyle w:val="86"/>
        <w:snapToGrid w:val="0"/>
        <w:spacing w:line="360" w:lineRule="auto"/>
        <w:ind w:firstLine="420" w:firstLineChars="200"/>
        <w:rPr>
          <w:rFonts w:hint="eastAsia" w:ascii="宋体" w:hAnsi="宋体" w:cs="宋体"/>
          <w:color w:val="auto"/>
          <w:kern w:val="16"/>
          <w:sz w:val="21"/>
          <w:szCs w:val="21"/>
          <w:highlight w:val="none"/>
          <w:lang w:val="en-US" w:eastAsia="zh-CN"/>
        </w:rPr>
      </w:pPr>
      <w:r>
        <w:rPr>
          <w:rFonts w:hint="eastAsia" w:ascii="宋体" w:hAnsi="宋体" w:cs="宋体"/>
          <w:color w:val="auto"/>
          <w:kern w:val="16"/>
          <w:sz w:val="21"/>
          <w:szCs w:val="21"/>
          <w:highlight w:val="none"/>
          <w:lang w:val="en-US" w:eastAsia="zh-CN"/>
        </w:rPr>
        <w:t>联系方式：0751-8219991</w:t>
      </w:r>
    </w:p>
    <w:p w14:paraId="7F1A1D0C">
      <w:pPr>
        <w:pStyle w:val="86"/>
        <w:snapToGrid w:val="0"/>
        <w:spacing w:line="360" w:lineRule="auto"/>
        <w:ind w:firstLine="420" w:firstLineChars="200"/>
        <w:rPr>
          <w:rFonts w:hint="eastAsia" w:ascii="宋体" w:hAnsi="宋体" w:eastAsia="宋体" w:cs="宋体"/>
          <w:color w:val="auto"/>
          <w:kern w:val="16"/>
          <w:sz w:val="21"/>
          <w:szCs w:val="21"/>
          <w:highlight w:val="none"/>
          <w:lang w:eastAsia="zh-CN"/>
        </w:rPr>
      </w:pPr>
      <w:r>
        <w:rPr>
          <w:rFonts w:hint="eastAsia" w:ascii="宋体" w:hAnsi="宋体" w:cs="宋体"/>
          <w:color w:val="auto"/>
          <w:kern w:val="16"/>
          <w:sz w:val="21"/>
          <w:szCs w:val="21"/>
          <w:highlight w:val="none"/>
          <w:lang w:val="en-US" w:eastAsia="zh-CN"/>
        </w:rPr>
        <w:t xml:space="preserve"> </w:t>
      </w:r>
    </w:p>
    <w:p w14:paraId="29D4E323">
      <w:pPr>
        <w:pStyle w:val="86"/>
        <w:snapToGrid w:val="0"/>
        <w:spacing w:line="360" w:lineRule="auto"/>
        <w:ind w:firstLine="210" w:firstLineChars="100"/>
        <w:rPr>
          <w:rFonts w:hint="eastAsia" w:ascii="宋体" w:hAnsi="宋体" w:eastAsia="宋体" w:cs="宋体"/>
          <w:color w:val="auto"/>
          <w:kern w:val="16"/>
          <w:sz w:val="21"/>
          <w:szCs w:val="21"/>
          <w:highlight w:val="none"/>
        </w:rPr>
      </w:pPr>
    </w:p>
    <w:p w14:paraId="05FCCE94">
      <w:pPr>
        <w:pStyle w:val="86"/>
        <w:snapToGrid w:val="0"/>
        <w:spacing w:line="360" w:lineRule="auto"/>
        <w:ind w:firstLine="210" w:firstLineChars="100"/>
        <w:rPr>
          <w:rFonts w:hint="eastAsia" w:ascii="宋体" w:hAnsi="宋体" w:eastAsia="宋体" w:cs="宋体"/>
          <w:color w:val="auto"/>
          <w:kern w:val="16"/>
          <w:sz w:val="21"/>
          <w:szCs w:val="21"/>
          <w:highlight w:val="none"/>
        </w:rPr>
      </w:pPr>
      <w:r>
        <w:rPr>
          <w:rFonts w:hint="eastAsia" w:ascii="宋体" w:hAnsi="宋体" w:eastAsia="宋体" w:cs="宋体"/>
          <w:color w:val="auto"/>
          <w:kern w:val="16"/>
          <w:sz w:val="21"/>
          <w:szCs w:val="21"/>
          <w:highlight w:val="none"/>
        </w:rPr>
        <w:t>3.项目联系方式</w:t>
      </w:r>
      <w:bookmarkEnd w:id="26"/>
      <w:bookmarkEnd w:id="27"/>
    </w:p>
    <w:p w14:paraId="345276BE">
      <w:pPr>
        <w:pStyle w:val="86"/>
        <w:snapToGrid w:val="0"/>
        <w:spacing w:line="360" w:lineRule="auto"/>
        <w:ind w:firstLine="420" w:firstLineChars="200"/>
        <w:rPr>
          <w:rFonts w:hint="eastAsia" w:ascii="宋体" w:hAnsi="宋体" w:eastAsia="宋体" w:cs="宋体"/>
          <w:color w:val="auto"/>
          <w:kern w:val="16"/>
          <w:sz w:val="21"/>
          <w:szCs w:val="21"/>
          <w:highlight w:val="none"/>
          <w:lang w:val="en-US" w:eastAsia="zh-CN"/>
        </w:rPr>
      </w:pPr>
      <w:r>
        <w:rPr>
          <w:rFonts w:hint="eastAsia" w:ascii="宋体" w:hAnsi="宋体" w:eastAsia="宋体" w:cs="宋体"/>
          <w:color w:val="auto"/>
          <w:kern w:val="16"/>
          <w:sz w:val="21"/>
          <w:szCs w:val="21"/>
          <w:highlight w:val="none"/>
        </w:rPr>
        <w:t>项目联系人：</w:t>
      </w:r>
      <w:r>
        <w:rPr>
          <w:rFonts w:hint="eastAsia" w:ascii="宋体" w:hAnsi="宋体" w:cs="宋体"/>
          <w:color w:val="auto"/>
          <w:kern w:val="16"/>
          <w:sz w:val="21"/>
          <w:szCs w:val="21"/>
          <w:highlight w:val="none"/>
          <w:lang w:val="en-US" w:eastAsia="zh-CN"/>
        </w:rPr>
        <w:t xml:space="preserve">刘工 </w:t>
      </w:r>
    </w:p>
    <w:p w14:paraId="08F94A58">
      <w:pPr>
        <w:pStyle w:val="86"/>
        <w:snapToGrid w:val="0"/>
        <w:spacing w:line="360" w:lineRule="auto"/>
        <w:ind w:firstLine="420" w:firstLineChars="200"/>
        <w:rPr>
          <w:rFonts w:hint="eastAsia" w:ascii="宋体" w:hAnsi="宋体" w:eastAsia="宋体" w:cs="宋体"/>
          <w:color w:val="auto"/>
          <w:kern w:val="16"/>
          <w:sz w:val="21"/>
          <w:szCs w:val="21"/>
          <w:highlight w:val="none"/>
          <w:lang w:eastAsia="zh-CN"/>
        </w:rPr>
      </w:pPr>
      <w:r>
        <w:rPr>
          <w:rFonts w:hint="eastAsia" w:ascii="宋体" w:hAnsi="宋体" w:eastAsia="宋体" w:cs="宋体"/>
          <w:color w:val="auto"/>
          <w:kern w:val="16"/>
          <w:sz w:val="21"/>
          <w:szCs w:val="21"/>
          <w:highlight w:val="none"/>
        </w:rPr>
        <w:t>电　话：</w:t>
      </w:r>
      <w:r>
        <w:rPr>
          <w:rFonts w:hint="eastAsia" w:ascii="宋体" w:hAnsi="宋体" w:eastAsia="宋体" w:cs="宋体"/>
          <w:color w:val="auto"/>
          <w:kern w:val="16"/>
          <w:sz w:val="21"/>
          <w:szCs w:val="21"/>
          <w:highlight w:val="none"/>
          <w:lang w:val="en-US" w:eastAsia="zh-CN"/>
        </w:rPr>
        <w:t>0751-8219991</w:t>
      </w:r>
      <w:r>
        <w:rPr>
          <w:rFonts w:hint="eastAsia" w:ascii="宋体" w:hAnsi="宋体" w:cs="宋体"/>
          <w:color w:val="auto"/>
          <w:kern w:val="16"/>
          <w:sz w:val="21"/>
          <w:szCs w:val="21"/>
          <w:highlight w:val="none"/>
          <w:lang w:val="en-US" w:eastAsia="zh-CN"/>
        </w:rPr>
        <w:t xml:space="preserve"> </w:t>
      </w:r>
    </w:p>
    <w:p w14:paraId="2F08710E">
      <w:pPr>
        <w:pStyle w:val="86"/>
        <w:snapToGrid w:val="0"/>
        <w:spacing w:line="360" w:lineRule="auto"/>
        <w:ind w:firstLine="420" w:firstLineChars="200"/>
        <w:rPr>
          <w:rFonts w:hint="eastAsia" w:ascii="宋体" w:hAnsi="宋体" w:eastAsia="宋体" w:cs="宋体"/>
          <w:color w:val="auto"/>
          <w:kern w:val="16"/>
          <w:sz w:val="21"/>
          <w:szCs w:val="21"/>
          <w:highlight w:val="none"/>
        </w:rPr>
      </w:pPr>
    </w:p>
    <w:p w14:paraId="3767AA0E">
      <w:pPr>
        <w:pStyle w:val="86"/>
        <w:snapToGrid w:val="0"/>
        <w:spacing w:line="360" w:lineRule="auto"/>
        <w:ind w:firstLine="420" w:firstLineChars="200"/>
        <w:rPr>
          <w:rFonts w:hint="eastAsia" w:ascii="宋体" w:hAnsi="宋体" w:eastAsia="宋体" w:cs="宋体"/>
          <w:color w:val="auto"/>
          <w:kern w:val="16"/>
          <w:sz w:val="21"/>
          <w:szCs w:val="21"/>
          <w:highlight w:val="none"/>
        </w:rPr>
      </w:pPr>
    </w:p>
    <w:p w14:paraId="2795D6DD">
      <w:pPr>
        <w:pStyle w:val="86"/>
        <w:snapToGrid w:val="0"/>
        <w:spacing w:line="360" w:lineRule="auto"/>
        <w:rPr>
          <w:rFonts w:hint="eastAsia" w:ascii="宋体" w:hAnsi="宋体" w:eastAsia="宋体" w:cs="宋体"/>
          <w:color w:val="auto"/>
          <w:kern w:val="16"/>
          <w:sz w:val="21"/>
          <w:szCs w:val="21"/>
          <w:highlight w:val="none"/>
        </w:rPr>
      </w:pPr>
    </w:p>
    <w:p w14:paraId="261148EF">
      <w:pPr>
        <w:pStyle w:val="81"/>
        <w:wordWrap w:val="0"/>
        <w:snapToGrid w:val="0"/>
        <w:spacing w:before="0" w:after="0" w:line="360" w:lineRule="auto"/>
        <w:ind w:firstLine="420"/>
        <w:jc w:val="center"/>
        <w:rPr>
          <w:rFonts w:hint="eastAsia" w:ascii="宋体" w:hAnsi="宋体" w:eastAsia="宋体" w:cs="宋体"/>
          <w:color w:val="auto"/>
          <w:kern w:val="16"/>
          <w:sz w:val="21"/>
          <w:szCs w:val="21"/>
          <w:highlight w:val="none"/>
          <w:lang w:eastAsia="zh-CN"/>
        </w:rPr>
      </w:pPr>
      <w:r>
        <w:rPr>
          <w:rFonts w:hint="eastAsia" w:ascii="宋体" w:hAnsi="宋体" w:cs="宋体"/>
          <w:color w:val="auto"/>
          <w:kern w:val="16"/>
          <w:sz w:val="21"/>
          <w:szCs w:val="21"/>
          <w:highlight w:val="none"/>
          <w:lang w:val="en-US" w:eastAsia="zh-CN"/>
        </w:rPr>
        <w:t xml:space="preserve">                                                 </w:t>
      </w:r>
      <w:r>
        <w:rPr>
          <w:rFonts w:hint="eastAsia" w:ascii="宋体" w:hAnsi="宋体" w:eastAsia="宋体" w:cs="宋体"/>
          <w:color w:val="auto"/>
          <w:kern w:val="16"/>
          <w:sz w:val="21"/>
          <w:szCs w:val="21"/>
          <w:highlight w:val="none"/>
        </w:rPr>
        <w:t>发布人：</w:t>
      </w:r>
      <w:r>
        <w:rPr>
          <w:rFonts w:hint="eastAsia" w:ascii="宋体" w:hAnsi="宋体" w:cs="宋体"/>
          <w:color w:val="auto"/>
          <w:kern w:val="16"/>
          <w:sz w:val="21"/>
          <w:szCs w:val="21"/>
          <w:highlight w:val="none"/>
          <w:lang w:val="en-US" w:eastAsia="zh-CN"/>
        </w:rPr>
        <w:t>广东合正项目管理有限公司</w:t>
      </w:r>
    </w:p>
    <w:p w14:paraId="1838E22E">
      <w:pPr>
        <w:pStyle w:val="81"/>
        <w:snapToGrid w:val="0"/>
        <w:spacing w:before="0" w:after="0" w:line="360" w:lineRule="auto"/>
        <w:ind w:firstLine="420"/>
        <w:jc w:val="center"/>
        <w:rPr>
          <w:rFonts w:hint="eastAsia" w:ascii="宋体" w:hAnsi="宋体" w:eastAsia="宋体" w:cs="宋体"/>
          <w:color w:val="auto"/>
          <w:sz w:val="21"/>
          <w:szCs w:val="21"/>
          <w:highlight w:val="none"/>
        </w:rPr>
      </w:pPr>
      <w:r>
        <w:rPr>
          <w:rFonts w:hint="eastAsia" w:ascii="宋体" w:hAnsi="宋体" w:cs="宋体"/>
          <w:color w:val="auto"/>
          <w:kern w:val="16"/>
          <w:sz w:val="21"/>
          <w:szCs w:val="21"/>
          <w:highlight w:val="none"/>
          <w:lang w:val="en-US" w:eastAsia="zh-CN"/>
        </w:rPr>
        <w:t xml:space="preserve">                                                        </w:t>
      </w:r>
      <w:r>
        <w:rPr>
          <w:rFonts w:hint="eastAsia" w:ascii="宋体" w:hAnsi="宋体" w:eastAsia="宋体" w:cs="宋体"/>
          <w:color w:val="auto"/>
          <w:kern w:val="16"/>
          <w:sz w:val="21"/>
          <w:szCs w:val="21"/>
          <w:highlight w:val="none"/>
        </w:rPr>
        <w:t>发布时间：</w:t>
      </w:r>
      <w:r>
        <w:rPr>
          <w:rFonts w:hint="eastAsia" w:ascii="宋体" w:hAnsi="宋体" w:eastAsia="宋体" w:cs="宋体"/>
          <w:color w:val="auto"/>
          <w:sz w:val="21"/>
          <w:szCs w:val="21"/>
          <w:highlight w:val="none"/>
        </w:rPr>
        <w:t>202</w:t>
      </w:r>
      <w:r>
        <w:rPr>
          <w:rFonts w:hint="eastAsia" w:ascii="宋体" w:hAnsi="宋体" w:cs="宋体"/>
          <w:color w:val="auto"/>
          <w:sz w:val="21"/>
          <w:szCs w:val="21"/>
          <w:highlight w:val="none"/>
          <w:lang w:val="en-US" w:eastAsia="zh-CN"/>
        </w:rPr>
        <w:t>6</w:t>
      </w:r>
      <w:r>
        <w:rPr>
          <w:rFonts w:hint="eastAsia" w:ascii="宋体" w:hAnsi="宋体" w:eastAsia="宋体" w:cs="宋体"/>
          <w:color w:val="auto"/>
          <w:sz w:val="21"/>
          <w:szCs w:val="21"/>
          <w:highlight w:val="none"/>
        </w:rPr>
        <w:t>年</w:t>
      </w:r>
      <w:r>
        <w:rPr>
          <w:rFonts w:hint="eastAsia" w:ascii="宋体" w:hAnsi="宋体" w:cs="宋体"/>
          <w:color w:val="auto"/>
          <w:sz w:val="21"/>
          <w:szCs w:val="21"/>
          <w:highlight w:val="none"/>
          <w:lang w:val="en-US" w:eastAsia="zh-CN"/>
        </w:rPr>
        <w:t>06</w:t>
      </w:r>
      <w:r>
        <w:rPr>
          <w:rFonts w:hint="eastAsia" w:ascii="宋体" w:hAnsi="宋体" w:eastAsia="宋体" w:cs="宋体"/>
          <w:color w:val="auto"/>
          <w:sz w:val="21"/>
          <w:szCs w:val="21"/>
          <w:highlight w:val="none"/>
        </w:rPr>
        <w:t>月</w:t>
      </w:r>
      <w:r>
        <w:rPr>
          <w:rFonts w:hint="eastAsia" w:ascii="宋体" w:hAnsi="宋体" w:cs="宋体"/>
          <w:color w:val="auto"/>
          <w:sz w:val="21"/>
          <w:szCs w:val="21"/>
          <w:highlight w:val="none"/>
          <w:lang w:val="en-US" w:eastAsia="zh-CN"/>
        </w:rPr>
        <w:t>18</w:t>
      </w:r>
      <w:r>
        <w:rPr>
          <w:rFonts w:hint="eastAsia" w:ascii="宋体" w:hAnsi="宋体" w:eastAsia="宋体" w:cs="宋体"/>
          <w:color w:val="auto"/>
          <w:sz w:val="21"/>
          <w:szCs w:val="21"/>
          <w:highlight w:val="none"/>
        </w:rPr>
        <w:t>日</w:t>
      </w:r>
    </w:p>
    <w:p w14:paraId="2A076936">
      <w:pPr>
        <w:pStyle w:val="81"/>
        <w:snapToGrid w:val="0"/>
        <w:spacing w:before="0" w:after="0" w:line="360" w:lineRule="auto"/>
        <w:ind w:firstLine="420"/>
        <w:jc w:val="right"/>
        <w:rPr>
          <w:rFonts w:hint="eastAsia" w:ascii="宋体" w:hAnsi="宋体" w:eastAsia="宋体" w:cs="宋体"/>
          <w:color w:val="auto"/>
          <w:sz w:val="21"/>
          <w:szCs w:val="21"/>
          <w:highlight w:val="none"/>
        </w:rPr>
        <w:sectPr>
          <w:headerReference r:id="rId3" w:type="default"/>
          <w:footerReference r:id="rId4" w:type="default"/>
          <w:pgSz w:w="11906" w:h="16839"/>
          <w:pgMar w:top="1134" w:right="1336" w:bottom="1185" w:left="1330" w:header="964" w:footer="952" w:gutter="0"/>
          <w:pgBorders>
            <w:top w:val="none" w:sz="0" w:space="0"/>
            <w:left w:val="none" w:sz="0" w:space="0"/>
            <w:bottom w:val="none" w:sz="0" w:space="0"/>
            <w:right w:val="none" w:sz="0" w:space="0"/>
          </w:pgBorders>
          <w:pgNumType w:fmt="decimal" w:start="1"/>
          <w:cols w:space="720" w:num="1"/>
        </w:sectPr>
      </w:pPr>
    </w:p>
    <w:p w14:paraId="25CA5C3E">
      <w:pPr>
        <w:pStyle w:val="2"/>
        <w:jc w:val="center"/>
        <w:rPr>
          <w:rFonts w:hint="eastAsia" w:ascii="宋体" w:hAnsi="宋体" w:eastAsia="宋体" w:cs="宋体"/>
          <w:color w:val="auto"/>
          <w:highlight w:val="none"/>
        </w:rPr>
      </w:pPr>
      <w:r>
        <w:rPr>
          <w:rFonts w:hint="eastAsia" w:ascii="宋体" w:hAnsi="宋体" w:eastAsia="宋体" w:cs="宋体"/>
          <w:color w:val="auto"/>
          <w:highlight w:val="none"/>
        </w:rPr>
        <w:t>第一章 投标人须知</w:t>
      </w:r>
    </w:p>
    <w:p w14:paraId="284ABB35">
      <w:pPr>
        <w:pStyle w:val="3"/>
        <w:rPr>
          <w:rFonts w:hint="eastAsia" w:ascii="宋体" w:hAnsi="宋体" w:eastAsia="宋体" w:cs="宋体"/>
          <w:color w:val="auto"/>
          <w:highlight w:val="none"/>
        </w:rPr>
      </w:pPr>
      <w:r>
        <w:rPr>
          <w:rFonts w:hint="eastAsia" w:ascii="宋体" w:hAnsi="宋体" w:eastAsia="宋体" w:cs="宋体"/>
          <w:color w:val="auto"/>
          <w:highlight w:val="none"/>
        </w:rPr>
        <w:t>一 投标人须知表</w:t>
      </w:r>
    </w:p>
    <w:tbl>
      <w:tblPr>
        <w:tblStyle w:val="17"/>
        <w:tblW w:w="8656" w:type="dxa"/>
        <w:jc w:val="center"/>
        <w:tblLayout w:type="fixed"/>
        <w:tblCellMar>
          <w:top w:w="0" w:type="dxa"/>
          <w:left w:w="108" w:type="dxa"/>
          <w:bottom w:w="0" w:type="dxa"/>
          <w:right w:w="108" w:type="dxa"/>
        </w:tblCellMar>
      </w:tblPr>
      <w:tblGrid>
        <w:gridCol w:w="951"/>
        <w:gridCol w:w="1895"/>
        <w:gridCol w:w="5810"/>
      </w:tblGrid>
      <w:tr w14:paraId="24415681">
        <w:tblPrEx>
          <w:tblCellMar>
            <w:top w:w="0" w:type="dxa"/>
            <w:left w:w="108" w:type="dxa"/>
            <w:bottom w:w="0" w:type="dxa"/>
            <w:right w:w="108" w:type="dxa"/>
          </w:tblCellMar>
        </w:tblPrEx>
        <w:trPr>
          <w:trHeight w:val="23" w:hRule="atLeast"/>
          <w:jc w:val="center"/>
        </w:trPr>
        <w:tc>
          <w:tcPr>
            <w:tcW w:w="951" w:type="dxa"/>
            <w:tcBorders>
              <w:top w:val="single" w:color="auto" w:sz="4" w:space="0"/>
              <w:left w:val="single" w:color="auto" w:sz="4" w:space="0"/>
              <w:bottom w:val="single" w:color="auto" w:sz="4" w:space="0"/>
              <w:right w:val="single" w:color="auto" w:sz="4" w:space="0"/>
            </w:tcBorders>
            <w:noWrap w:val="0"/>
            <w:vAlign w:val="center"/>
          </w:tcPr>
          <w:p w14:paraId="05792E91">
            <w:pPr>
              <w:widowControl/>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条款号</w:t>
            </w:r>
          </w:p>
        </w:tc>
        <w:tc>
          <w:tcPr>
            <w:tcW w:w="1895" w:type="dxa"/>
            <w:tcBorders>
              <w:top w:val="single" w:color="auto" w:sz="4" w:space="0"/>
              <w:left w:val="single" w:color="auto" w:sz="4" w:space="0"/>
              <w:bottom w:val="single" w:color="auto" w:sz="4" w:space="0"/>
              <w:right w:val="single" w:color="auto" w:sz="4" w:space="0"/>
            </w:tcBorders>
            <w:noWrap w:val="0"/>
            <w:vAlign w:val="center"/>
          </w:tcPr>
          <w:p w14:paraId="6B88A908">
            <w:pPr>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项   目</w:t>
            </w:r>
          </w:p>
        </w:tc>
        <w:tc>
          <w:tcPr>
            <w:tcW w:w="5810" w:type="dxa"/>
            <w:tcBorders>
              <w:top w:val="single" w:color="auto" w:sz="4" w:space="0"/>
              <w:left w:val="single" w:color="auto" w:sz="4" w:space="0"/>
              <w:bottom w:val="single" w:color="auto" w:sz="4" w:space="0"/>
              <w:right w:val="single" w:color="auto" w:sz="4" w:space="0"/>
            </w:tcBorders>
            <w:noWrap w:val="0"/>
            <w:vAlign w:val="center"/>
          </w:tcPr>
          <w:p w14:paraId="0C506A24">
            <w:pPr>
              <w:widowControl/>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内     容</w:t>
            </w:r>
          </w:p>
        </w:tc>
      </w:tr>
      <w:tr w14:paraId="1E46BA5B">
        <w:tblPrEx>
          <w:tblCellMar>
            <w:top w:w="0" w:type="dxa"/>
            <w:left w:w="108" w:type="dxa"/>
            <w:bottom w:w="0" w:type="dxa"/>
            <w:right w:w="108" w:type="dxa"/>
          </w:tblCellMar>
        </w:tblPrEx>
        <w:trPr>
          <w:trHeight w:val="23" w:hRule="atLeast"/>
          <w:jc w:val="center"/>
        </w:trPr>
        <w:tc>
          <w:tcPr>
            <w:tcW w:w="951" w:type="dxa"/>
            <w:tcBorders>
              <w:top w:val="single" w:color="auto" w:sz="4" w:space="0"/>
              <w:left w:val="single" w:color="auto" w:sz="4" w:space="0"/>
              <w:bottom w:val="single" w:color="auto" w:sz="4" w:space="0"/>
              <w:right w:val="single" w:color="auto" w:sz="4" w:space="0"/>
            </w:tcBorders>
            <w:noWrap w:val="0"/>
            <w:vAlign w:val="center"/>
          </w:tcPr>
          <w:p w14:paraId="5657EB3B">
            <w:pPr>
              <w:widowControl/>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1.1</w:t>
            </w:r>
          </w:p>
        </w:tc>
        <w:tc>
          <w:tcPr>
            <w:tcW w:w="1895" w:type="dxa"/>
            <w:tcBorders>
              <w:top w:val="single" w:color="auto" w:sz="4" w:space="0"/>
              <w:left w:val="single" w:color="auto" w:sz="4" w:space="0"/>
              <w:bottom w:val="single" w:color="auto" w:sz="4" w:space="0"/>
              <w:right w:val="single" w:color="auto" w:sz="4" w:space="0"/>
            </w:tcBorders>
            <w:noWrap w:val="0"/>
            <w:vAlign w:val="center"/>
          </w:tcPr>
          <w:p w14:paraId="53274263">
            <w:pPr>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lang w:val="en-US" w:eastAsia="zh-CN"/>
              </w:rPr>
              <w:t>招标</w:t>
            </w:r>
            <w:r>
              <w:rPr>
                <w:rFonts w:hint="eastAsia" w:ascii="宋体" w:hAnsi="宋体" w:eastAsia="宋体" w:cs="宋体"/>
                <w:color w:val="auto"/>
                <w:kern w:val="0"/>
                <w:szCs w:val="21"/>
                <w:highlight w:val="none"/>
              </w:rPr>
              <w:t>人</w:t>
            </w:r>
          </w:p>
        </w:tc>
        <w:tc>
          <w:tcPr>
            <w:tcW w:w="5810" w:type="dxa"/>
            <w:tcBorders>
              <w:top w:val="single" w:color="auto" w:sz="4" w:space="0"/>
              <w:left w:val="single" w:color="auto" w:sz="4" w:space="0"/>
              <w:bottom w:val="single" w:color="auto" w:sz="4" w:space="0"/>
              <w:right w:val="single" w:color="auto" w:sz="4" w:space="0"/>
            </w:tcBorders>
            <w:noWrap w:val="0"/>
            <w:vAlign w:val="center"/>
          </w:tcPr>
          <w:p w14:paraId="165E8A7B">
            <w:pPr>
              <w:widowControl/>
              <w:jc w:val="left"/>
              <w:rPr>
                <w:rFonts w:hint="eastAsia" w:ascii="宋体" w:hAnsi="宋体" w:eastAsia="宋体" w:cs="宋体"/>
                <w:color w:val="auto"/>
                <w:kern w:val="0"/>
                <w:szCs w:val="21"/>
                <w:highlight w:val="none"/>
                <w:lang w:eastAsia="zh-CN"/>
              </w:rPr>
            </w:pPr>
            <w:r>
              <w:rPr>
                <w:rFonts w:hint="eastAsia" w:ascii="宋体" w:hAnsi="宋体" w:eastAsia="宋体" w:cs="宋体"/>
                <w:color w:val="auto"/>
                <w:kern w:val="0"/>
                <w:szCs w:val="21"/>
                <w:highlight w:val="none"/>
                <w:lang w:eastAsia="zh-CN"/>
              </w:rPr>
              <w:t>韶关市武江区民政局</w:t>
            </w:r>
          </w:p>
        </w:tc>
      </w:tr>
      <w:tr w14:paraId="17162268">
        <w:tblPrEx>
          <w:tblCellMar>
            <w:top w:w="0" w:type="dxa"/>
            <w:left w:w="108" w:type="dxa"/>
            <w:bottom w:w="0" w:type="dxa"/>
            <w:right w:w="108" w:type="dxa"/>
          </w:tblCellMar>
        </w:tblPrEx>
        <w:trPr>
          <w:trHeight w:val="90" w:hRule="atLeast"/>
          <w:jc w:val="center"/>
        </w:trPr>
        <w:tc>
          <w:tcPr>
            <w:tcW w:w="951" w:type="dxa"/>
            <w:tcBorders>
              <w:top w:val="single" w:color="auto" w:sz="4" w:space="0"/>
              <w:left w:val="single" w:color="auto" w:sz="4" w:space="0"/>
              <w:bottom w:val="single" w:color="auto" w:sz="4" w:space="0"/>
              <w:right w:val="single" w:color="auto" w:sz="4" w:space="0"/>
            </w:tcBorders>
            <w:noWrap w:val="0"/>
            <w:vAlign w:val="center"/>
          </w:tcPr>
          <w:p w14:paraId="37A1CA7A">
            <w:pPr>
              <w:widowControl/>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1.2</w:t>
            </w:r>
          </w:p>
        </w:tc>
        <w:tc>
          <w:tcPr>
            <w:tcW w:w="1895" w:type="dxa"/>
            <w:tcBorders>
              <w:top w:val="single" w:color="auto" w:sz="4" w:space="0"/>
              <w:left w:val="single" w:color="auto" w:sz="4" w:space="0"/>
              <w:bottom w:val="single" w:color="auto" w:sz="4" w:space="0"/>
              <w:right w:val="single" w:color="auto" w:sz="4" w:space="0"/>
            </w:tcBorders>
            <w:noWrap w:val="0"/>
            <w:vAlign w:val="center"/>
          </w:tcPr>
          <w:p w14:paraId="4E713913">
            <w:pPr>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lang w:val="en-US" w:eastAsia="zh-CN"/>
              </w:rPr>
              <w:t>招标</w:t>
            </w:r>
            <w:r>
              <w:rPr>
                <w:rFonts w:hint="eastAsia" w:ascii="宋体" w:hAnsi="宋体" w:eastAsia="宋体" w:cs="宋体"/>
                <w:color w:val="auto"/>
                <w:kern w:val="0"/>
                <w:szCs w:val="21"/>
                <w:highlight w:val="none"/>
              </w:rPr>
              <w:t>代理机构</w:t>
            </w:r>
          </w:p>
        </w:tc>
        <w:tc>
          <w:tcPr>
            <w:tcW w:w="5810" w:type="dxa"/>
            <w:tcBorders>
              <w:top w:val="single" w:color="auto" w:sz="4" w:space="0"/>
              <w:left w:val="single" w:color="auto" w:sz="4" w:space="0"/>
              <w:bottom w:val="single" w:color="auto" w:sz="4" w:space="0"/>
              <w:right w:val="single" w:color="auto" w:sz="4" w:space="0"/>
            </w:tcBorders>
            <w:noWrap w:val="0"/>
            <w:vAlign w:val="center"/>
          </w:tcPr>
          <w:p w14:paraId="48F4E970">
            <w:pPr>
              <w:widowControl/>
              <w:jc w:val="left"/>
              <w:rPr>
                <w:rFonts w:hint="eastAsia" w:ascii="宋体" w:hAnsi="宋体" w:eastAsia="宋体" w:cs="宋体"/>
                <w:color w:val="auto"/>
                <w:kern w:val="0"/>
                <w:szCs w:val="21"/>
                <w:highlight w:val="none"/>
                <w:lang w:eastAsia="zh-CN"/>
              </w:rPr>
            </w:pPr>
            <w:r>
              <w:rPr>
                <w:rFonts w:hint="eastAsia" w:ascii="宋体" w:hAnsi="宋体" w:eastAsia="宋体" w:cs="宋体"/>
                <w:color w:val="auto"/>
                <w:kern w:val="0"/>
                <w:szCs w:val="21"/>
                <w:highlight w:val="none"/>
                <w:lang w:eastAsia="zh-CN"/>
              </w:rPr>
              <w:t>广东合正项目管理有限公司</w:t>
            </w:r>
          </w:p>
        </w:tc>
      </w:tr>
      <w:tr w14:paraId="6439F741">
        <w:tblPrEx>
          <w:tblCellMar>
            <w:top w:w="0" w:type="dxa"/>
            <w:left w:w="108" w:type="dxa"/>
            <w:bottom w:w="0" w:type="dxa"/>
            <w:right w:w="108" w:type="dxa"/>
          </w:tblCellMar>
        </w:tblPrEx>
        <w:trPr>
          <w:trHeight w:val="23" w:hRule="atLeast"/>
          <w:jc w:val="center"/>
        </w:trPr>
        <w:tc>
          <w:tcPr>
            <w:tcW w:w="951" w:type="dxa"/>
            <w:tcBorders>
              <w:top w:val="single" w:color="auto" w:sz="4" w:space="0"/>
              <w:left w:val="single" w:color="auto" w:sz="4" w:space="0"/>
              <w:bottom w:val="single" w:color="auto" w:sz="4" w:space="0"/>
              <w:right w:val="single" w:color="auto" w:sz="4" w:space="0"/>
            </w:tcBorders>
            <w:noWrap w:val="0"/>
            <w:vAlign w:val="center"/>
          </w:tcPr>
          <w:p w14:paraId="5F444611">
            <w:pPr>
              <w:widowControl/>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4</w:t>
            </w:r>
          </w:p>
        </w:tc>
        <w:tc>
          <w:tcPr>
            <w:tcW w:w="1895" w:type="dxa"/>
            <w:tcBorders>
              <w:top w:val="single" w:color="auto" w:sz="4" w:space="0"/>
              <w:left w:val="single" w:color="auto" w:sz="4" w:space="0"/>
              <w:bottom w:val="single" w:color="auto" w:sz="4" w:space="0"/>
              <w:right w:val="single" w:color="auto" w:sz="4" w:space="0"/>
            </w:tcBorders>
            <w:noWrap w:val="0"/>
            <w:vAlign w:val="center"/>
          </w:tcPr>
          <w:p w14:paraId="2A3BCCF8">
            <w:pPr>
              <w:tabs>
                <w:tab w:val="left" w:pos="1425"/>
              </w:tabs>
              <w:jc w:val="center"/>
              <w:rPr>
                <w:rFonts w:hint="eastAsia" w:ascii="宋体" w:hAnsi="宋体" w:eastAsia="宋体" w:cs="宋体"/>
                <w:bCs/>
                <w:color w:val="auto"/>
                <w:kern w:val="0"/>
                <w:szCs w:val="21"/>
                <w:highlight w:val="none"/>
              </w:rPr>
            </w:pPr>
            <w:r>
              <w:rPr>
                <w:rFonts w:hint="eastAsia" w:ascii="宋体" w:hAnsi="宋体" w:eastAsia="宋体" w:cs="宋体"/>
                <w:bCs/>
                <w:color w:val="auto"/>
                <w:kern w:val="0"/>
                <w:szCs w:val="21"/>
                <w:highlight w:val="none"/>
              </w:rPr>
              <w:t>计量单位</w:t>
            </w:r>
          </w:p>
        </w:tc>
        <w:tc>
          <w:tcPr>
            <w:tcW w:w="5810" w:type="dxa"/>
            <w:tcBorders>
              <w:top w:val="single" w:color="auto" w:sz="4" w:space="0"/>
              <w:left w:val="single" w:color="auto" w:sz="4" w:space="0"/>
              <w:bottom w:val="single" w:color="auto" w:sz="4" w:space="0"/>
              <w:right w:val="single" w:color="auto" w:sz="4" w:space="0"/>
            </w:tcBorders>
            <w:noWrap w:val="0"/>
            <w:vAlign w:val="center"/>
          </w:tcPr>
          <w:p w14:paraId="024801D6">
            <w:pPr>
              <w:rPr>
                <w:rFonts w:hint="eastAsia" w:ascii="宋体" w:hAnsi="宋体" w:eastAsia="宋体" w:cs="宋体"/>
                <w:bCs/>
                <w:color w:val="auto"/>
                <w:kern w:val="0"/>
                <w:szCs w:val="21"/>
                <w:highlight w:val="none"/>
              </w:rPr>
            </w:pPr>
            <w:r>
              <w:rPr>
                <w:rFonts w:hint="eastAsia" w:ascii="宋体" w:hAnsi="宋体" w:eastAsia="宋体" w:cs="宋体"/>
                <w:color w:val="auto"/>
                <w:highlight w:val="none"/>
              </w:rPr>
              <w:t>■</w:t>
            </w:r>
            <w:r>
              <w:rPr>
                <w:rFonts w:hint="eastAsia" w:ascii="宋体" w:hAnsi="宋体" w:eastAsia="宋体" w:cs="宋体"/>
                <w:bCs/>
                <w:color w:val="auto"/>
                <w:kern w:val="0"/>
                <w:szCs w:val="21"/>
                <w:highlight w:val="none"/>
              </w:rPr>
              <w:t>中华人民共和国法定计量单位</w:t>
            </w:r>
          </w:p>
        </w:tc>
      </w:tr>
      <w:tr w14:paraId="7C28A750">
        <w:tblPrEx>
          <w:tblCellMar>
            <w:top w:w="0" w:type="dxa"/>
            <w:left w:w="108" w:type="dxa"/>
            <w:bottom w:w="0" w:type="dxa"/>
            <w:right w:w="108" w:type="dxa"/>
          </w:tblCellMar>
        </w:tblPrEx>
        <w:trPr>
          <w:trHeight w:val="23" w:hRule="atLeast"/>
          <w:jc w:val="center"/>
        </w:trPr>
        <w:tc>
          <w:tcPr>
            <w:tcW w:w="951" w:type="dxa"/>
            <w:tcBorders>
              <w:top w:val="single" w:color="auto" w:sz="4" w:space="0"/>
              <w:left w:val="single" w:color="auto" w:sz="4" w:space="0"/>
              <w:bottom w:val="single" w:color="auto" w:sz="4" w:space="0"/>
              <w:right w:val="single" w:color="auto" w:sz="4" w:space="0"/>
            </w:tcBorders>
            <w:noWrap w:val="0"/>
            <w:vAlign w:val="center"/>
          </w:tcPr>
          <w:p w14:paraId="6EEFBBCB">
            <w:pPr>
              <w:widowControl/>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6.1</w:t>
            </w:r>
          </w:p>
        </w:tc>
        <w:tc>
          <w:tcPr>
            <w:tcW w:w="1895" w:type="dxa"/>
            <w:tcBorders>
              <w:top w:val="single" w:color="auto" w:sz="4" w:space="0"/>
              <w:left w:val="single" w:color="auto" w:sz="4" w:space="0"/>
              <w:bottom w:val="single" w:color="auto" w:sz="4" w:space="0"/>
              <w:right w:val="single" w:color="auto" w:sz="4" w:space="0"/>
            </w:tcBorders>
            <w:noWrap w:val="0"/>
            <w:vAlign w:val="center"/>
          </w:tcPr>
          <w:p w14:paraId="354739A0">
            <w:pPr>
              <w:shd w:val="clear" w:color="auto" w:fill="FFFFFF"/>
              <w:jc w:val="center"/>
              <w:rPr>
                <w:rFonts w:hint="eastAsia" w:ascii="宋体" w:hAnsi="宋体" w:eastAsia="宋体" w:cs="宋体"/>
                <w:color w:val="auto"/>
                <w:szCs w:val="21"/>
                <w:highlight w:val="none"/>
              </w:rPr>
            </w:pPr>
            <w:r>
              <w:rPr>
                <w:rFonts w:hint="eastAsia" w:ascii="宋体" w:hAnsi="宋体" w:eastAsia="宋体" w:cs="宋体"/>
                <w:color w:val="auto"/>
                <w:kern w:val="0"/>
                <w:szCs w:val="21"/>
                <w:highlight w:val="none"/>
              </w:rPr>
              <w:t>现场考察、开标前答疑会</w:t>
            </w:r>
          </w:p>
        </w:tc>
        <w:tc>
          <w:tcPr>
            <w:tcW w:w="5810" w:type="dxa"/>
            <w:tcBorders>
              <w:top w:val="single" w:color="auto" w:sz="4" w:space="0"/>
              <w:left w:val="single" w:color="auto" w:sz="4" w:space="0"/>
              <w:bottom w:val="single" w:color="auto" w:sz="4" w:space="0"/>
              <w:right w:val="single" w:color="auto" w:sz="4" w:space="0"/>
            </w:tcBorders>
            <w:noWrap w:val="0"/>
            <w:vAlign w:val="center"/>
          </w:tcPr>
          <w:p w14:paraId="43175AA7">
            <w:pPr>
              <w:rPr>
                <w:rFonts w:hint="eastAsia" w:ascii="宋体" w:hAnsi="宋体" w:eastAsia="宋体" w:cs="宋体"/>
                <w:color w:val="auto"/>
                <w:kern w:val="0"/>
                <w:szCs w:val="21"/>
                <w:highlight w:val="none"/>
              </w:rPr>
            </w:pPr>
            <w:r>
              <w:rPr>
                <w:rFonts w:hint="eastAsia" w:ascii="宋体" w:hAnsi="宋体" w:eastAsia="宋体" w:cs="宋体"/>
                <w:color w:val="auto"/>
                <w:highlight w:val="none"/>
              </w:rPr>
              <w:t>■</w:t>
            </w:r>
            <w:r>
              <w:rPr>
                <w:rFonts w:hint="eastAsia" w:ascii="宋体" w:hAnsi="宋体" w:eastAsia="宋体" w:cs="宋体"/>
                <w:color w:val="auto"/>
                <w:kern w:val="0"/>
                <w:szCs w:val="21"/>
                <w:highlight w:val="none"/>
              </w:rPr>
              <w:t>组织</w:t>
            </w:r>
          </w:p>
          <w:p w14:paraId="34CE4C9F">
            <w:pPr>
              <w:pStyle w:val="8"/>
              <w:rPr>
                <w:rFonts w:hint="eastAsia" w:ascii="宋体" w:hAnsi="宋体" w:eastAsia="宋体" w:cs="宋体"/>
                <w:color w:val="auto"/>
                <w:kern w:val="0"/>
                <w:sz w:val="21"/>
                <w:szCs w:val="21"/>
                <w:highlight w:val="none"/>
                <w:lang w:val="en-US" w:eastAsia="zh-CN" w:bidi="ar-SA"/>
              </w:rPr>
            </w:pPr>
            <w:r>
              <w:rPr>
                <w:rFonts w:hint="eastAsia" w:ascii="宋体" w:hAnsi="宋体" w:eastAsia="宋体" w:cs="宋体"/>
                <w:color w:val="auto"/>
                <w:kern w:val="0"/>
                <w:sz w:val="21"/>
                <w:szCs w:val="21"/>
                <w:highlight w:val="none"/>
                <w:lang w:val="en-US" w:eastAsia="zh-CN" w:bidi="ar-SA"/>
              </w:rPr>
              <w:t>本项目不统一组织集体现场勘察，投标人如需到现场勘查的，须提前与招标代理机构联系报备场地进入相关事宜（联系人：刘工/谭工，联系电话：0751-8219991）；招标人再根据实际情况进行安排。</w:t>
            </w:r>
          </w:p>
          <w:p w14:paraId="4645E063">
            <w:pPr>
              <w:pStyle w:val="8"/>
              <w:rPr>
                <w:rFonts w:hint="eastAsia" w:ascii="宋体" w:hAnsi="宋体" w:eastAsia="宋体" w:cs="宋体"/>
                <w:color w:val="auto"/>
                <w:kern w:val="0"/>
                <w:sz w:val="21"/>
                <w:szCs w:val="21"/>
                <w:highlight w:val="none"/>
                <w:lang w:val="en-US" w:eastAsia="zh-CN" w:bidi="ar-SA"/>
              </w:rPr>
            </w:pPr>
            <w:r>
              <w:rPr>
                <w:rFonts w:hint="eastAsia" w:ascii="宋体" w:hAnsi="宋体" w:eastAsia="宋体" w:cs="宋体"/>
                <w:color w:val="auto"/>
                <w:kern w:val="0"/>
                <w:sz w:val="21"/>
                <w:szCs w:val="21"/>
                <w:highlight w:val="none"/>
                <w:lang w:val="en-US" w:eastAsia="zh-CN" w:bidi="ar-SA"/>
              </w:rPr>
              <w:t>踏勘时间：具体时间由双方联系协商确定（现场勘查时间为：投标截止时间前工作日上午9:30-11:30，下午15:00-17:00）。</w:t>
            </w:r>
          </w:p>
          <w:p w14:paraId="0F3D4204">
            <w:pPr>
              <w:pStyle w:val="8"/>
              <w:rPr>
                <w:rFonts w:hint="eastAsia" w:ascii="宋体" w:hAnsi="宋体" w:eastAsia="宋体" w:cs="宋体"/>
                <w:color w:val="auto"/>
                <w:kern w:val="0"/>
                <w:sz w:val="21"/>
                <w:szCs w:val="21"/>
                <w:highlight w:val="none"/>
                <w:lang w:val="en-US" w:eastAsia="zh-CN" w:bidi="ar-SA"/>
              </w:rPr>
            </w:pPr>
            <w:r>
              <w:rPr>
                <w:rFonts w:hint="eastAsia" w:ascii="宋体" w:hAnsi="宋体" w:eastAsia="宋体" w:cs="宋体"/>
                <w:color w:val="auto"/>
                <w:kern w:val="0"/>
                <w:sz w:val="21"/>
                <w:szCs w:val="21"/>
                <w:highlight w:val="none"/>
                <w:lang w:val="en-US" w:eastAsia="zh-CN" w:bidi="ar-SA"/>
              </w:rPr>
              <w:t>集合地点：招标人指定地点。</w:t>
            </w:r>
          </w:p>
          <w:p w14:paraId="37D9D8F6">
            <w:pPr>
              <w:pStyle w:val="8"/>
              <w:rPr>
                <w:rFonts w:hint="eastAsia" w:ascii="宋体" w:hAnsi="宋体" w:eastAsia="宋体" w:cs="宋体"/>
                <w:color w:val="auto"/>
                <w:kern w:val="0"/>
                <w:sz w:val="21"/>
                <w:szCs w:val="21"/>
                <w:highlight w:val="none"/>
                <w:lang w:val="en-US" w:eastAsia="zh-CN" w:bidi="ar-SA"/>
              </w:rPr>
            </w:pPr>
            <w:r>
              <w:rPr>
                <w:rFonts w:hint="eastAsia" w:ascii="宋体" w:hAnsi="宋体" w:eastAsia="宋体" w:cs="宋体"/>
                <w:color w:val="auto"/>
                <w:kern w:val="0"/>
                <w:sz w:val="21"/>
                <w:szCs w:val="21"/>
                <w:highlight w:val="none"/>
                <w:lang w:val="en-US" w:eastAsia="zh-CN" w:bidi="ar-SA"/>
              </w:rPr>
              <w:t>补充说明：</w:t>
            </w:r>
          </w:p>
          <w:p w14:paraId="5E7B457F">
            <w:pPr>
              <w:pStyle w:val="8"/>
              <w:rPr>
                <w:rFonts w:hint="eastAsia" w:ascii="宋体" w:hAnsi="宋体" w:eastAsia="宋体" w:cs="宋体"/>
                <w:color w:val="auto"/>
                <w:kern w:val="0"/>
                <w:sz w:val="21"/>
                <w:szCs w:val="21"/>
                <w:highlight w:val="none"/>
                <w:lang w:val="en-US" w:eastAsia="zh-CN" w:bidi="ar-SA"/>
              </w:rPr>
            </w:pPr>
            <w:r>
              <w:rPr>
                <w:rFonts w:hint="eastAsia" w:ascii="宋体" w:hAnsi="宋体" w:eastAsia="宋体" w:cs="宋体"/>
                <w:color w:val="auto"/>
                <w:kern w:val="0"/>
                <w:sz w:val="21"/>
                <w:szCs w:val="21"/>
                <w:highlight w:val="none"/>
                <w:lang w:val="en-US" w:eastAsia="zh-CN" w:bidi="ar-SA"/>
              </w:rPr>
              <w:t>①仅面向已成功报名并获取本项目招标文件的潜在投标人开放；</w:t>
            </w:r>
          </w:p>
          <w:p w14:paraId="7DC10D49">
            <w:pPr>
              <w:pStyle w:val="8"/>
              <w:rPr>
                <w:rFonts w:hint="eastAsia" w:ascii="宋体" w:hAnsi="宋体" w:eastAsia="宋体" w:cs="宋体"/>
                <w:color w:val="auto"/>
                <w:kern w:val="0"/>
                <w:sz w:val="21"/>
                <w:szCs w:val="21"/>
                <w:highlight w:val="none"/>
                <w:lang w:val="en-US" w:eastAsia="zh-CN" w:bidi="ar-SA"/>
              </w:rPr>
            </w:pPr>
            <w:r>
              <w:rPr>
                <w:rFonts w:hint="eastAsia" w:ascii="宋体" w:hAnsi="宋体" w:eastAsia="宋体" w:cs="宋体"/>
                <w:color w:val="auto"/>
                <w:kern w:val="0"/>
                <w:sz w:val="21"/>
                <w:szCs w:val="21"/>
                <w:highlight w:val="none"/>
                <w:lang w:val="en-US" w:eastAsia="zh-CN" w:bidi="ar-SA"/>
              </w:rPr>
              <w:t>②各投标人委派人员仅限1-2名，需携带授权委托书、本人身份证原件备查；</w:t>
            </w:r>
          </w:p>
          <w:p w14:paraId="5DED40A9">
            <w:pPr>
              <w:pStyle w:val="8"/>
              <w:rPr>
                <w:rFonts w:hint="eastAsia" w:ascii="宋体" w:hAnsi="宋体" w:eastAsia="宋体" w:cs="宋体"/>
                <w:color w:val="auto"/>
                <w:kern w:val="0"/>
                <w:sz w:val="21"/>
                <w:szCs w:val="21"/>
                <w:highlight w:val="none"/>
                <w:lang w:val="en-US" w:eastAsia="zh-CN" w:bidi="ar-SA"/>
              </w:rPr>
            </w:pPr>
            <w:r>
              <w:rPr>
                <w:rFonts w:hint="eastAsia" w:ascii="宋体" w:hAnsi="宋体" w:eastAsia="宋体" w:cs="宋体"/>
                <w:color w:val="auto"/>
                <w:kern w:val="0"/>
                <w:sz w:val="21"/>
                <w:szCs w:val="21"/>
                <w:highlight w:val="none"/>
                <w:lang w:val="en-US" w:eastAsia="zh-CN" w:bidi="ar-SA"/>
              </w:rPr>
              <w:t>③场地规范：本项目为养老服务场所，踏勘人员严禁擅自进入非公共区域、拍摄隐私区域，不得喧哗、损毁设施、干扰场地正常秩序；</w:t>
            </w:r>
          </w:p>
          <w:p w14:paraId="2E3C5EF4">
            <w:pPr>
              <w:pStyle w:val="8"/>
              <w:rPr>
                <w:rFonts w:hint="eastAsia" w:ascii="宋体" w:hAnsi="宋体" w:eastAsia="宋体" w:cs="宋体"/>
                <w:color w:val="auto"/>
                <w:kern w:val="0"/>
                <w:sz w:val="21"/>
                <w:szCs w:val="21"/>
                <w:highlight w:val="none"/>
                <w:lang w:val="en-US" w:eastAsia="zh-CN" w:bidi="ar-SA"/>
              </w:rPr>
            </w:pPr>
            <w:r>
              <w:rPr>
                <w:rFonts w:hint="eastAsia" w:ascii="宋体" w:hAnsi="宋体" w:eastAsia="宋体" w:cs="宋体"/>
                <w:color w:val="auto"/>
                <w:kern w:val="0"/>
                <w:sz w:val="21"/>
                <w:szCs w:val="21"/>
                <w:highlight w:val="none"/>
                <w:lang w:val="en-US" w:eastAsia="zh-CN" w:bidi="ar-SA"/>
              </w:rPr>
              <w:t>④踏勘产生的交通、食宿、人工等所有费用，以及人身、财产风险均由投标人自行承担；</w:t>
            </w:r>
          </w:p>
          <w:p w14:paraId="13040AC6">
            <w:pPr>
              <w:pStyle w:val="8"/>
              <w:rPr>
                <w:rFonts w:hint="eastAsia" w:ascii="宋体" w:hAnsi="宋体" w:eastAsia="宋体" w:cs="宋体"/>
                <w:color w:val="auto"/>
                <w:kern w:val="0"/>
                <w:sz w:val="21"/>
                <w:szCs w:val="21"/>
                <w:highlight w:val="none"/>
                <w:lang w:val="en-US" w:eastAsia="zh-CN" w:bidi="ar-SA"/>
              </w:rPr>
            </w:pPr>
            <w:r>
              <w:rPr>
                <w:rFonts w:hint="eastAsia" w:ascii="宋体" w:hAnsi="宋体" w:eastAsia="宋体" w:cs="宋体"/>
                <w:color w:val="auto"/>
                <w:kern w:val="0"/>
                <w:sz w:val="21"/>
                <w:szCs w:val="21"/>
                <w:highlight w:val="none"/>
                <w:lang w:val="en-US" w:eastAsia="zh-CN" w:bidi="ar-SA"/>
              </w:rPr>
              <w:t>⑤招标人现场工作人员仅对场地客观情况作基本介绍，现场口头介绍仅供参考，不接受现场口头答疑。所有关于招标文件、项目需求的疑问，均须按招标文件要求以书面形式（加盖公章 + 电子版）提交，一切以招标文件书面内容为准；</w:t>
            </w:r>
          </w:p>
          <w:p w14:paraId="717535C5">
            <w:pPr>
              <w:pStyle w:val="8"/>
              <w:rPr>
                <w:rFonts w:hint="eastAsia"/>
                <w:color w:val="auto"/>
              </w:rPr>
            </w:pPr>
            <w:r>
              <w:rPr>
                <w:rFonts w:hint="eastAsia" w:ascii="宋体" w:hAnsi="宋体" w:eastAsia="宋体" w:cs="宋体"/>
                <w:color w:val="auto"/>
                <w:kern w:val="0"/>
                <w:sz w:val="21"/>
                <w:szCs w:val="21"/>
                <w:highlight w:val="none"/>
                <w:lang w:val="en-US" w:eastAsia="zh-CN" w:bidi="ar-SA"/>
              </w:rPr>
              <w:t>⑥未参加现场踏勘的投标人，视同已完全了解项目现场全部情况，不得以此为由提出异议、变更报价或放弃投标。</w:t>
            </w:r>
          </w:p>
        </w:tc>
      </w:tr>
      <w:tr w14:paraId="084EE85E">
        <w:tblPrEx>
          <w:tblCellMar>
            <w:top w:w="0" w:type="dxa"/>
            <w:left w:w="108" w:type="dxa"/>
            <w:bottom w:w="0" w:type="dxa"/>
            <w:right w:w="108" w:type="dxa"/>
          </w:tblCellMar>
        </w:tblPrEx>
        <w:trPr>
          <w:trHeight w:val="23" w:hRule="atLeast"/>
          <w:jc w:val="center"/>
        </w:trPr>
        <w:tc>
          <w:tcPr>
            <w:tcW w:w="951" w:type="dxa"/>
            <w:tcBorders>
              <w:top w:val="single" w:color="auto" w:sz="4" w:space="0"/>
              <w:left w:val="single" w:color="auto" w:sz="4" w:space="0"/>
              <w:bottom w:val="single" w:color="auto" w:sz="4" w:space="0"/>
              <w:right w:val="single" w:color="auto" w:sz="4" w:space="0"/>
            </w:tcBorders>
            <w:noWrap w:val="0"/>
            <w:vAlign w:val="center"/>
          </w:tcPr>
          <w:p w14:paraId="7A03C77F">
            <w:pPr>
              <w:widowControl/>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8</w:t>
            </w:r>
            <w:r>
              <w:rPr>
                <w:rFonts w:ascii="宋体" w:hAnsi="宋体" w:eastAsia="宋体" w:cs="宋体"/>
                <w:color w:val="auto"/>
                <w:kern w:val="0"/>
                <w:szCs w:val="21"/>
                <w:highlight w:val="none"/>
              </w:rPr>
              <w:t>.3</w:t>
            </w:r>
          </w:p>
        </w:tc>
        <w:tc>
          <w:tcPr>
            <w:tcW w:w="1895" w:type="dxa"/>
            <w:tcBorders>
              <w:top w:val="single" w:color="auto" w:sz="4" w:space="0"/>
              <w:left w:val="single" w:color="auto" w:sz="4" w:space="0"/>
              <w:bottom w:val="single" w:color="auto" w:sz="4" w:space="0"/>
              <w:right w:val="single" w:color="auto" w:sz="4" w:space="0"/>
            </w:tcBorders>
            <w:noWrap w:val="0"/>
            <w:vAlign w:val="center"/>
          </w:tcPr>
          <w:p w14:paraId="370B9CC9">
            <w:pPr>
              <w:shd w:val="clear" w:color="auto" w:fill="FFFFFF"/>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招标公告发布媒体</w:t>
            </w:r>
          </w:p>
        </w:tc>
        <w:tc>
          <w:tcPr>
            <w:tcW w:w="5810" w:type="dxa"/>
            <w:tcBorders>
              <w:top w:val="single" w:color="auto" w:sz="4" w:space="0"/>
              <w:left w:val="single" w:color="auto" w:sz="4" w:space="0"/>
              <w:bottom w:val="single" w:color="auto" w:sz="4" w:space="0"/>
              <w:right w:val="single" w:color="auto" w:sz="4" w:space="0"/>
            </w:tcBorders>
            <w:noWrap w:val="0"/>
            <w:vAlign w:val="center"/>
          </w:tcPr>
          <w:p w14:paraId="53E247BA">
            <w:pPr>
              <w:rPr>
                <w:rFonts w:hint="default" w:ascii="宋体" w:hAnsi="宋体" w:eastAsia="宋体" w:cs="宋体"/>
                <w:color w:val="auto"/>
                <w:highlight w:val="none"/>
                <w:lang w:val="en-US" w:eastAsia="zh-CN"/>
              </w:rPr>
            </w:pPr>
            <w:r>
              <w:rPr>
                <w:rFonts w:hint="eastAsia" w:ascii="宋体" w:hAnsi="宋体" w:eastAsia="宋体" w:cs="宋体"/>
                <w:color w:val="auto"/>
                <w:highlight w:val="none"/>
              </w:rPr>
              <w:t>■韶关市公共资源交易一体化平台</w:t>
            </w:r>
            <w:r>
              <w:rPr>
                <w:rFonts w:hint="eastAsia" w:ascii="宋体" w:hAnsi="宋体" w:eastAsia="宋体" w:cs="宋体"/>
                <w:color w:val="auto"/>
                <w:highlight w:val="none"/>
                <w:lang w:val="en-US" w:eastAsia="zh-CN"/>
              </w:rPr>
              <w:t xml:space="preserve">    </w:t>
            </w:r>
          </w:p>
          <w:p w14:paraId="4C3CE796">
            <w:pPr>
              <w:rPr>
                <w:rFonts w:hint="eastAsia" w:ascii="宋体" w:hAnsi="宋体" w:eastAsia="宋体" w:cs="宋体"/>
                <w:color w:val="auto"/>
                <w:kern w:val="2"/>
                <w:sz w:val="21"/>
                <w:szCs w:val="24"/>
                <w:highlight w:val="none"/>
                <w:lang w:val="en-US" w:eastAsia="zh-CN" w:bidi="ar-SA"/>
              </w:rPr>
            </w:pPr>
            <w:r>
              <w:rPr>
                <w:rFonts w:hint="eastAsia" w:ascii="宋体" w:hAnsi="宋体" w:eastAsia="宋体" w:cs="宋体"/>
                <w:color w:val="auto"/>
                <w:kern w:val="2"/>
                <w:sz w:val="21"/>
                <w:szCs w:val="24"/>
                <w:highlight w:val="none"/>
                <w:lang w:val="en-US" w:eastAsia="zh-CN" w:bidi="ar-SA"/>
              </w:rPr>
              <w:t xml:space="preserve">■广东省公共资源交易平台（韶关）  </w:t>
            </w:r>
          </w:p>
          <w:p w14:paraId="6906E6E6">
            <w:pPr>
              <w:rPr>
                <w:rFonts w:hint="eastAsia" w:ascii="宋体" w:hAnsi="宋体" w:eastAsia="宋体" w:cs="宋体"/>
                <w:color w:val="auto"/>
                <w:kern w:val="0"/>
                <w:szCs w:val="21"/>
                <w:highlight w:val="none"/>
              </w:rPr>
            </w:pPr>
            <w:r>
              <w:rPr>
                <w:rFonts w:hint="eastAsia" w:ascii="宋体" w:hAnsi="宋体" w:eastAsia="宋体" w:cs="宋体"/>
                <w:color w:val="auto"/>
                <w:kern w:val="2"/>
                <w:sz w:val="21"/>
                <w:szCs w:val="24"/>
                <w:highlight w:val="none"/>
                <w:lang w:val="en-US" w:eastAsia="zh-CN" w:bidi="ar-SA"/>
              </w:rPr>
              <w:t>■招标代理机构官网</w:t>
            </w:r>
          </w:p>
        </w:tc>
      </w:tr>
      <w:tr w14:paraId="69F10A10">
        <w:tblPrEx>
          <w:tblCellMar>
            <w:top w:w="0" w:type="dxa"/>
            <w:left w:w="108" w:type="dxa"/>
            <w:bottom w:w="0" w:type="dxa"/>
            <w:right w:w="108" w:type="dxa"/>
          </w:tblCellMar>
        </w:tblPrEx>
        <w:trPr>
          <w:trHeight w:val="23" w:hRule="atLeast"/>
          <w:jc w:val="center"/>
        </w:trPr>
        <w:tc>
          <w:tcPr>
            <w:tcW w:w="951" w:type="dxa"/>
            <w:tcBorders>
              <w:top w:val="single" w:color="auto" w:sz="4" w:space="0"/>
              <w:left w:val="single" w:color="auto" w:sz="4" w:space="0"/>
              <w:bottom w:val="single" w:color="auto" w:sz="4" w:space="0"/>
              <w:right w:val="single" w:color="auto" w:sz="4" w:space="0"/>
            </w:tcBorders>
            <w:noWrap w:val="0"/>
            <w:vAlign w:val="center"/>
          </w:tcPr>
          <w:p w14:paraId="7E38351F">
            <w:pPr>
              <w:widowControl/>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10.3</w:t>
            </w:r>
          </w:p>
        </w:tc>
        <w:tc>
          <w:tcPr>
            <w:tcW w:w="1895" w:type="dxa"/>
            <w:tcBorders>
              <w:top w:val="single" w:color="auto" w:sz="4" w:space="0"/>
              <w:left w:val="single" w:color="auto" w:sz="4" w:space="0"/>
              <w:bottom w:val="single" w:color="auto" w:sz="4" w:space="0"/>
              <w:right w:val="single" w:color="auto" w:sz="4" w:space="0"/>
            </w:tcBorders>
            <w:noWrap w:val="0"/>
            <w:vAlign w:val="center"/>
          </w:tcPr>
          <w:p w14:paraId="306EDDDA">
            <w:pPr>
              <w:widowControl/>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核心产品</w:t>
            </w:r>
          </w:p>
        </w:tc>
        <w:tc>
          <w:tcPr>
            <w:tcW w:w="5810" w:type="dxa"/>
            <w:tcBorders>
              <w:top w:val="single" w:color="auto" w:sz="4" w:space="0"/>
              <w:left w:val="single" w:color="auto" w:sz="4" w:space="0"/>
              <w:bottom w:val="single" w:color="auto" w:sz="4" w:space="0"/>
              <w:right w:val="single" w:color="auto" w:sz="4" w:space="0"/>
            </w:tcBorders>
            <w:noWrap w:val="0"/>
            <w:vAlign w:val="center"/>
          </w:tcPr>
          <w:p w14:paraId="7C7D0959">
            <w:pPr>
              <w:widowControl/>
              <w:rPr>
                <w:rFonts w:hint="eastAsia" w:ascii="宋体" w:hAnsi="宋体" w:eastAsia="宋体" w:cs="宋体"/>
                <w:color w:val="auto"/>
                <w:kern w:val="0"/>
                <w:szCs w:val="21"/>
                <w:highlight w:val="none"/>
                <w:lang w:eastAsia="zh-CN"/>
              </w:rPr>
            </w:pPr>
            <w:r>
              <w:rPr>
                <w:rFonts w:hint="eastAsia" w:ascii="宋体" w:hAnsi="宋体" w:eastAsia="宋体" w:cs="宋体"/>
                <w:color w:val="auto"/>
                <w:kern w:val="0"/>
                <w:szCs w:val="21"/>
                <w:highlight w:val="none"/>
                <w:lang w:val="en-US" w:eastAsia="zh-CN"/>
              </w:rPr>
              <w:t>无</w:t>
            </w:r>
          </w:p>
        </w:tc>
      </w:tr>
      <w:tr w14:paraId="09E7CD3E">
        <w:tblPrEx>
          <w:tblCellMar>
            <w:top w:w="0" w:type="dxa"/>
            <w:left w:w="108" w:type="dxa"/>
            <w:bottom w:w="0" w:type="dxa"/>
            <w:right w:w="108" w:type="dxa"/>
          </w:tblCellMar>
        </w:tblPrEx>
        <w:trPr>
          <w:trHeight w:val="23" w:hRule="atLeast"/>
          <w:jc w:val="center"/>
        </w:trPr>
        <w:tc>
          <w:tcPr>
            <w:tcW w:w="951" w:type="dxa"/>
            <w:vMerge w:val="restart"/>
            <w:tcBorders>
              <w:top w:val="single" w:color="auto" w:sz="4" w:space="0"/>
              <w:left w:val="single" w:color="auto" w:sz="4" w:space="0"/>
              <w:right w:val="single" w:color="auto" w:sz="4" w:space="0"/>
            </w:tcBorders>
            <w:noWrap w:val="0"/>
            <w:vAlign w:val="center"/>
          </w:tcPr>
          <w:p w14:paraId="7B4EA455">
            <w:pPr>
              <w:widowControl/>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11.3</w:t>
            </w:r>
          </w:p>
        </w:tc>
        <w:tc>
          <w:tcPr>
            <w:tcW w:w="1895" w:type="dxa"/>
            <w:vMerge w:val="restart"/>
            <w:tcBorders>
              <w:top w:val="single" w:color="auto" w:sz="4" w:space="0"/>
              <w:left w:val="single" w:color="auto" w:sz="4" w:space="0"/>
              <w:right w:val="single" w:color="auto" w:sz="4" w:space="0"/>
            </w:tcBorders>
            <w:noWrap w:val="0"/>
            <w:vAlign w:val="center"/>
          </w:tcPr>
          <w:p w14:paraId="2EAB9AFC">
            <w:pPr>
              <w:shd w:val="clear" w:color="auto" w:fill="FFFFFF"/>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样品或演示</w:t>
            </w:r>
          </w:p>
        </w:tc>
        <w:tc>
          <w:tcPr>
            <w:tcW w:w="5810" w:type="dxa"/>
            <w:tcBorders>
              <w:top w:val="single" w:color="auto" w:sz="4" w:space="0"/>
              <w:left w:val="single" w:color="auto" w:sz="4" w:space="0"/>
              <w:bottom w:val="single" w:color="auto" w:sz="4" w:space="0"/>
              <w:right w:val="single" w:color="auto" w:sz="4" w:space="0"/>
            </w:tcBorders>
            <w:noWrap w:val="0"/>
            <w:vAlign w:val="center"/>
          </w:tcPr>
          <w:p w14:paraId="59D2708A">
            <w:pPr>
              <w:rPr>
                <w:rFonts w:hint="eastAsia" w:ascii="宋体" w:hAnsi="宋体" w:eastAsia="宋体" w:cs="宋体"/>
                <w:color w:val="auto"/>
                <w:kern w:val="0"/>
                <w:szCs w:val="21"/>
                <w:highlight w:val="none"/>
              </w:rPr>
            </w:pPr>
            <w:r>
              <w:rPr>
                <w:rFonts w:hint="eastAsia" w:ascii="宋体" w:hAnsi="宋体" w:eastAsia="宋体" w:cs="宋体"/>
                <w:color w:val="auto"/>
                <w:highlight w:val="none"/>
              </w:rPr>
              <w:t>■</w:t>
            </w:r>
            <w:r>
              <w:rPr>
                <w:rFonts w:hint="eastAsia" w:ascii="宋体" w:hAnsi="宋体" w:eastAsia="宋体" w:cs="宋体"/>
                <w:color w:val="auto"/>
                <w:kern w:val="0"/>
                <w:szCs w:val="21"/>
                <w:highlight w:val="none"/>
              </w:rPr>
              <w:t>不需要</w:t>
            </w:r>
            <w:r>
              <w:rPr>
                <w:rFonts w:hint="eastAsia" w:ascii="宋体" w:hAnsi="宋体" w:eastAsia="宋体" w:cs="宋体"/>
                <w:bCs/>
                <w:color w:val="auto"/>
                <w:kern w:val="0"/>
                <w:szCs w:val="21"/>
                <w:highlight w:val="none"/>
              </w:rPr>
              <w:t>提供样品</w:t>
            </w:r>
          </w:p>
        </w:tc>
      </w:tr>
      <w:tr w14:paraId="4F0BCAFD">
        <w:tblPrEx>
          <w:tblCellMar>
            <w:top w:w="0" w:type="dxa"/>
            <w:left w:w="108" w:type="dxa"/>
            <w:bottom w:w="0" w:type="dxa"/>
            <w:right w:w="108" w:type="dxa"/>
          </w:tblCellMar>
        </w:tblPrEx>
        <w:trPr>
          <w:trHeight w:val="23" w:hRule="atLeast"/>
          <w:jc w:val="center"/>
        </w:trPr>
        <w:tc>
          <w:tcPr>
            <w:tcW w:w="951" w:type="dxa"/>
            <w:vMerge w:val="continue"/>
            <w:tcBorders>
              <w:left w:val="single" w:color="auto" w:sz="4" w:space="0"/>
              <w:bottom w:val="single" w:color="auto" w:sz="4" w:space="0"/>
              <w:right w:val="single" w:color="auto" w:sz="4" w:space="0"/>
            </w:tcBorders>
            <w:noWrap w:val="0"/>
            <w:vAlign w:val="center"/>
          </w:tcPr>
          <w:p w14:paraId="295222B4">
            <w:pPr>
              <w:widowControl/>
              <w:jc w:val="center"/>
              <w:rPr>
                <w:rFonts w:hint="eastAsia" w:ascii="宋体" w:hAnsi="宋体" w:eastAsia="宋体" w:cs="宋体"/>
                <w:color w:val="auto"/>
                <w:kern w:val="0"/>
                <w:szCs w:val="21"/>
                <w:highlight w:val="none"/>
              </w:rPr>
            </w:pPr>
          </w:p>
        </w:tc>
        <w:tc>
          <w:tcPr>
            <w:tcW w:w="1895" w:type="dxa"/>
            <w:vMerge w:val="continue"/>
            <w:tcBorders>
              <w:left w:val="single" w:color="auto" w:sz="4" w:space="0"/>
              <w:bottom w:val="single" w:color="auto" w:sz="4" w:space="0"/>
              <w:right w:val="single" w:color="auto" w:sz="4" w:space="0"/>
            </w:tcBorders>
            <w:noWrap w:val="0"/>
            <w:vAlign w:val="center"/>
          </w:tcPr>
          <w:p w14:paraId="5A270307">
            <w:pPr>
              <w:shd w:val="clear" w:color="auto" w:fill="FFFFFF"/>
              <w:jc w:val="center"/>
              <w:rPr>
                <w:rFonts w:hint="eastAsia" w:ascii="宋体" w:hAnsi="宋体" w:eastAsia="宋体" w:cs="宋体"/>
                <w:color w:val="auto"/>
                <w:kern w:val="0"/>
                <w:szCs w:val="21"/>
                <w:highlight w:val="none"/>
              </w:rPr>
            </w:pPr>
          </w:p>
        </w:tc>
        <w:tc>
          <w:tcPr>
            <w:tcW w:w="5810" w:type="dxa"/>
            <w:tcBorders>
              <w:top w:val="single" w:color="auto" w:sz="4" w:space="0"/>
              <w:left w:val="single" w:color="auto" w:sz="4" w:space="0"/>
              <w:bottom w:val="single" w:color="auto" w:sz="4" w:space="0"/>
              <w:right w:val="single" w:color="auto" w:sz="4" w:space="0"/>
            </w:tcBorders>
            <w:noWrap w:val="0"/>
            <w:vAlign w:val="center"/>
          </w:tcPr>
          <w:p w14:paraId="0938E681">
            <w:pPr>
              <w:rPr>
                <w:rFonts w:hint="eastAsia" w:ascii="宋体" w:hAnsi="宋体" w:eastAsia="宋体" w:cs="宋体"/>
                <w:color w:val="auto"/>
                <w:kern w:val="0"/>
                <w:szCs w:val="21"/>
                <w:highlight w:val="none"/>
                <w:lang w:val="en-US" w:eastAsia="zh-CN"/>
              </w:rPr>
            </w:pPr>
            <w:r>
              <w:rPr>
                <w:rFonts w:hint="eastAsia" w:ascii="宋体" w:hAnsi="宋体" w:eastAsia="宋体" w:cs="宋体"/>
                <w:color w:val="auto"/>
                <w:highlight w:val="none"/>
              </w:rPr>
              <w:t>■</w:t>
            </w:r>
            <w:r>
              <w:rPr>
                <w:rFonts w:hint="eastAsia" w:ascii="宋体" w:hAnsi="宋体" w:eastAsia="宋体" w:cs="宋体"/>
                <w:color w:val="auto"/>
                <w:kern w:val="0"/>
                <w:szCs w:val="21"/>
                <w:highlight w:val="none"/>
              </w:rPr>
              <w:t>不</w:t>
            </w:r>
            <w:r>
              <w:rPr>
                <w:rFonts w:hint="eastAsia" w:ascii="宋体" w:hAnsi="宋体" w:eastAsia="宋体" w:cs="宋体"/>
                <w:bCs/>
                <w:color w:val="auto"/>
                <w:kern w:val="0"/>
                <w:szCs w:val="21"/>
                <w:highlight w:val="none"/>
              </w:rPr>
              <w:t>需要提供演示</w:t>
            </w:r>
          </w:p>
        </w:tc>
      </w:tr>
      <w:tr w14:paraId="2040FF70">
        <w:tblPrEx>
          <w:tblCellMar>
            <w:top w:w="0" w:type="dxa"/>
            <w:left w:w="108" w:type="dxa"/>
            <w:bottom w:w="0" w:type="dxa"/>
            <w:right w:w="108" w:type="dxa"/>
          </w:tblCellMar>
        </w:tblPrEx>
        <w:trPr>
          <w:trHeight w:val="23" w:hRule="atLeast"/>
          <w:jc w:val="center"/>
        </w:trPr>
        <w:tc>
          <w:tcPr>
            <w:tcW w:w="951" w:type="dxa"/>
            <w:tcBorders>
              <w:top w:val="single" w:color="auto" w:sz="4" w:space="0"/>
              <w:left w:val="single" w:color="auto" w:sz="8" w:space="0"/>
              <w:bottom w:val="single" w:color="auto" w:sz="8" w:space="0"/>
              <w:right w:val="single" w:color="auto" w:sz="4" w:space="0"/>
            </w:tcBorders>
            <w:noWrap w:val="0"/>
            <w:vAlign w:val="center"/>
          </w:tcPr>
          <w:p w14:paraId="19BFAF8F">
            <w:pPr>
              <w:widowControl/>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13.1</w:t>
            </w:r>
          </w:p>
        </w:tc>
        <w:tc>
          <w:tcPr>
            <w:tcW w:w="1895" w:type="dxa"/>
            <w:tcBorders>
              <w:top w:val="single" w:color="auto" w:sz="4" w:space="0"/>
              <w:left w:val="single" w:color="auto" w:sz="4" w:space="0"/>
              <w:bottom w:val="single" w:color="auto" w:sz="8" w:space="0"/>
              <w:right w:val="single" w:color="auto" w:sz="8" w:space="0"/>
            </w:tcBorders>
            <w:noWrap w:val="0"/>
            <w:vAlign w:val="center"/>
          </w:tcPr>
          <w:p w14:paraId="209B509A">
            <w:pPr>
              <w:jc w:val="center"/>
              <w:rPr>
                <w:rFonts w:hint="eastAsia" w:ascii="宋体" w:hAnsi="宋体" w:eastAsia="宋体" w:cs="宋体"/>
                <w:bCs/>
                <w:color w:val="auto"/>
                <w:kern w:val="0"/>
                <w:szCs w:val="21"/>
                <w:highlight w:val="none"/>
              </w:rPr>
            </w:pPr>
            <w:r>
              <w:rPr>
                <w:rFonts w:hint="eastAsia" w:ascii="宋体" w:hAnsi="宋体" w:eastAsia="宋体" w:cs="宋体"/>
                <w:bCs/>
                <w:color w:val="auto"/>
                <w:kern w:val="0"/>
                <w:szCs w:val="21"/>
                <w:highlight w:val="none"/>
              </w:rPr>
              <w:t>投标保证金</w:t>
            </w:r>
          </w:p>
        </w:tc>
        <w:tc>
          <w:tcPr>
            <w:tcW w:w="5810" w:type="dxa"/>
            <w:tcBorders>
              <w:top w:val="single" w:color="auto" w:sz="4" w:space="0"/>
              <w:left w:val="nil"/>
              <w:bottom w:val="single" w:color="auto" w:sz="8" w:space="0"/>
              <w:right w:val="single" w:color="auto" w:sz="8" w:space="0"/>
            </w:tcBorders>
            <w:noWrap w:val="0"/>
            <w:vAlign w:val="center"/>
          </w:tcPr>
          <w:p w14:paraId="771BF060">
            <w:pPr>
              <w:rPr>
                <w:rFonts w:hint="eastAsia" w:ascii="宋体" w:hAnsi="宋体" w:eastAsia="宋体" w:cs="宋体"/>
                <w:bCs/>
                <w:color w:val="auto"/>
                <w:kern w:val="0"/>
                <w:szCs w:val="21"/>
                <w:highlight w:val="none"/>
              </w:rPr>
            </w:pPr>
            <w:r>
              <w:rPr>
                <w:rFonts w:hint="eastAsia" w:ascii="宋体" w:hAnsi="宋体" w:eastAsia="宋体" w:cs="宋体"/>
                <w:bCs/>
                <w:color w:val="auto"/>
                <w:kern w:val="0"/>
                <w:szCs w:val="21"/>
                <w:highlight w:val="none"/>
                <w:lang w:val="en-US" w:eastAsia="zh-CN"/>
              </w:rPr>
              <w:t>1.</w:t>
            </w:r>
            <w:r>
              <w:rPr>
                <w:rFonts w:hint="eastAsia" w:ascii="宋体" w:hAnsi="宋体" w:eastAsia="宋体" w:cs="宋体"/>
                <w:bCs/>
                <w:color w:val="auto"/>
                <w:kern w:val="0"/>
                <w:szCs w:val="21"/>
                <w:highlight w:val="none"/>
              </w:rPr>
              <w:t xml:space="preserve">投标保证金金额： </w:t>
            </w:r>
            <w:r>
              <w:rPr>
                <w:rFonts w:hint="eastAsia" w:ascii="宋体" w:hAnsi="宋体" w:eastAsia="宋体" w:cs="宋体"/>
                <w:bCs/>
                <w:color w:val="auto"/>
                <w:kern w:val="0"/>
                <w:szCs w:val="21"/>
                <w:highlight w:val="none"/>
                <w:lang w:val="en-US" w:eastAsia="zh-CN"/>
              </w:rPr>
              <w:t>¥100,000.00元</w:t>
            </w:r>
            <w:r>
              <w:rPr>
                <w:rFonts w:hint="eastAsia" w:ascii="宋体" w:hAnsi="宋体" w:eastAsia="宋体" w:cs="宋体"/>
                <w:bCs/>
                <w:color w:val="auto"/>
                <w:kern w:val="0"/>
                <w:szCs w:val="21"/>
                <w:highlight w:val="none"/>
              </w:rPr>
              <w:t xml:space="preserve">  </w:t>
            </w:r>
          </w:p>
          <w:p w14:paraId="0EE7BBB9">
            <w:pPr>
              <w:rPr>
                <w:rFonts w:hint="default" w:ascii="宋体" w:hAnsi="宋体" w:eastAsia="宋体" w:cs="宋体"/>
                <w:bCs/>
                <w:color w:val="auto"/>
                <w:kern w:val="0"/>
                <w:szCs w:val="21"/>
                <w:highlight w:val="none"/>
                <w:lang w:val="en-US" w:eastAsia="zh-CN"/>
              </w:rPr>
            </w:pPr>
            <w:r>
              <w:rPr>
                <w:rFonts w:hint="eastAsia" w:ascii="宋体" w:hAnsi="宋体" w:eastAsia="宋体" w:cs="宋体"/>
                <w:bCs/>
                <w:color w:val="auto"/>
                <w:kern w:val="0"/>
                <w:szCs w:val="21"/>
                <w:highlight w:val="none"/>
                <w:lang w:val="en-US" w:eastAsia="zh-CN"/>
              </w:rPr>
              <w:t>2.</w:t>
            </w:r>
            <w:r>
              <w:rPr>
                <w:rFonts w:hint="eastAsia" w:ascii="宋体" w:hAnsi="宋体" w:eastAsia="宋体" w:cs="宋体"/>
                <w:bCs/>
                <w:color w:val="auto"/>
                <w:kern w:val="0"/>
                <w:szCs w:val="21"/>
                <w:highlight w:val="none"/>
              </w:rPr>
              <w:t>采用投标保证金的，</w:t>
            </w:r>
            <w:r>
              <w:rPr>
                <w:rFonts w:hint="eastAsia" w:ascii="宋体" w:hAnsi="宋体" w:eastAsia="宋体" w:cs="宋体"/>
                <w:bCs/>
                <w:color w:val="auto"/>
                <w:kern w:val="0"/>
                <w:szCs w:val="21"/>
                <w:highlight w:val="none"/>
                <w:lang w:val="en-US" w:eastAsia="zh-CN"/>
              </w:rPr>
              <w:t>详见招标公告 “六、其他补充事宜”。</w:t>
            </w:r>
          </w:p>
          <w:p w14:paraId="2D7DD232">
            <w:pPr>
              <w:rPr>
                <w:rFonts w:hint="eastAsia" w:ascii="宋体" w:hAnsi="宋体" w:eastAsia="宋体" w:cs="宋体"/>
                <w:bCs/>
                <w:color w:val="auto"/>
                <w:kern w:val="0"/>
                <w:szCs w:val="21"/>
                <w:highlight w:val="none"/>
              </w:rPr>
            </w:pPr>
            <w:r>
              <w:rPr>
                <w:rFonts w:hint="eastAsia" w:ascii="宋体" w:hAnsi="宋体" w:eastAsia="宋体" w:cs="宋体"/>
                <w:bCs/>
                <w:color w:val="auto"/>
                <w:kern w:val="0"/>
                <w:szCs w:val="21"/>
                <w:highlight w:val="none"/>
                <w:lang w:val="en-US" w:eastAsia="zh-CN"/>
              </w:rPr>
              <w:t>3.</w:t>
            </w:r>
            <w:r>
              <w:rPr>
                <w:rFonts w:hint="eastAsia" w:ascii="宋体" w:hAnsi="宋体" w:eastAsia="宋体" w:cs="宋体"/>
                <w:bCs/>
                <w:color w:val="auto"/>
                <w:kern w:val="0"/>
                <w:szCs w:val="21"/>
                <w:highlight w:val="none"/>
              </w:rPr>
              <w:t>采用投标</w:t>
            </w:r>
            <w:r>
              <w:rPr>
                <w:rFonts w:hint="eastAsia" w:ascii="宋体" w:hAnsi="宋体" w:eastAsia="宋体" w:cs="宋体"/>
                <w:bCs/>
                <w:color w:val="auto"/>
                <w:kern w:val="0"/>
                <w:szCs w:val="21"/>
                <w:highlight w:val="none"/>
                <w:lang w:eastAsia="zh-CN"/>
              </w:rPr>
              <w:t>保函</w:t>
            </w:r>
            <w:r>
              <w:rPr>
                <w:rFonts w:hint="eastAsia" w:ascii="宋体" w:hAnsi="宋体" w:eastAsia="宋体" w:cs="宋体"/>
                <w:bCs/>
                <w:color w:val="auto"/>
                <w:kern w:val="0"/>
                <w:szCs w:val="21"/>
                <w:highlight w:val="none"/>
              </w:rPr>
              <w:t>的，投标人应提交有效的保函，保函的有效期不得短于投标有效期。投标人必须</w:t>
            </w:r>
            <w:r>
              <w:rPr>
                <w:rFonts w:hint="eastAsia" w:ascii="宋体" w:hAnsi="宋体" w:eastAsia="宋体" w:cs="宋体"/>
                <w:bCs/>
                <w:color w:val="auto"/>
                <w:kern w:val="0"/>
                <w:szCs w:val="21"/>
                <w:highlight w:val="none"/>
                <w:lang w:eastAsia="zh-CN"/>
              </w:rPr>
              <w:t>将</w:t>
            </w:r>
            <w:r>
              <w:rPr>
                <w:rFonts w:hint="eastAsia" w:ascii="宋体" w:hAnsi="宋体" w:eastAsia="宋体" w:cs="宋体"/>
                <w:bCs/>
                <w:color w:val="auto"/>
                <w:kern w:val="0"/>
                <w:szCs w:val="21"/>
                <w:highlight w:val="none"/>
              </w:rPr>
              <w:t>投标保</w:t>
            </w:r>
            <w:r>
              <w:rPr>
                <w:rFonts w:hint="eastAsia" w:ascii="宋体" w:hAnsi="宋体" w:eastAsia="宋体" w:cs="宋体"/>
                <w:bCs/>
                <w:color w:val="auto"/>
                <w:kern w:val="0"/>
                <w:szCs w:val="21"/>
                <w:highlight w:val="none"/>
                <w:lang w:eastAsia="zh-CN"/>
              </w:rPr>
              <w:t>函</w:t>
            </w:r>
            <w:r>
              <w:rPr>
                <w:rFonts w:hint="eastAsia" w:ascii="宋体" w:hAnsi="宋体" w:eastAsia="宋体" w:cs="宋体"/>
                <w:bCs/>
                <w:color w:val="auto"/>
                <w:kern w:val="0"/>
                <w:szCs w:val="21"/>
                <w:highlight w:val="none"/>
              </w:rPr>
              <w:t>上传截止时间（见</w:t>
            </w:r>
            <w:r>
              <w:rPr>
                <w:rFonts w:hint="eastAsia" w:ascii="宋体" w:hAnsi="宋体" w:eastAsia="宋体" w:cs="宋体"/>
                <w:bCs/>
                <w:color w:val="auto"/>
                <w:kern w:val="0"/>
                <w:szCs w:val="21"/>
                <w:highlight w:val="none"/>
                <w:lang w:eastAsia="zh-CN"/>
              </w:rPr>
              <w:t>招标</w:t>
            </w:r>
            <w:r>
              <w:rPr>
                <w:rFonts w:hint="eastAsia" w:ascii="宋体" w:hAnsi="宋体" w:eastAsia="宋体" w:cs="宋体"/>
                <w:bCs/>
                <w:color w:val="auto"/>
                <w:kern w:val="0"/>
                <w:szCs w:val="21"/>
                <w:highlight w:val="none"/>
              </w:rPr>
              <w:t>公告“四、提交投标文件截止时间、开标时间和地点”）前，按照</w:t>
            </w:r>
            <w:r>
              <w:rPr>
                <w:rFonts w:hint="eastAsia" w:ascii="宋体" w:hAnsi="宋体" w:eastAsia="宋体" w:cs="宋体"/>
                <w:bCs/>
                <w:color w:val="auto"/>
                <w:kern w:val="0"/>
                <w:szCs w:val="21"/>
                <w:highlight w:val="none"/>
                <w:lang w:eastAsia="zh-CN"/>
              </w:rPr>
              <w:t>产权</w:t>
            </w:r>
            <w:r>
              <w:rPr>
                <w:rFonts w:hint="eastAsia" w:ascii="宋体" w:hAnsi="宋体" w:eastAsia="宋体" w:cs="宋体"/>
                <w:bCs/>
                <w:color w:val="auto"/>
                <w:kern w:val="0"/>
                <w:szCs w:val="21"/>
                <w:highlight w:val="none"/>
              </w:rPr>
              <w:t>交易系统的要求制作和上传保函电子文件。保函原件连同投标文件一并现场递交。逾期上传的、未递交原件的，其投标无效。</w:t>
            </w:r>
          </w:p>
          <w:p w14:paraId="7099A6A5">
            <w:pPr>
              <w:rPr>
                <w:rFonts w:hint="eastAsia" w:ascii="宋体" w:hAnsi="宋体" w:eastAsia="宋体" w:cs="宋体"/>
                <w:bCs/>
                <w:color w:val="auto"/>
                <w:kern w:val="0"/>
                <w:szCs w:val="21"/>
                <w:highlight w:val="none"/>
              </w:rPr>
            </w:pPr>
            <w:r>
              <w:rPr>
                <w:rFonts w:hint="eastAsia" w:ascii="宋体" w:hAnsi="宋体" w:eastAsia="宋体" w:cs="宋体"/>
                <w:b/>
                <w:bCs w:val="0"/>
                <w:color w:val="auto"/>
                <w:kern w:val="0"/>
                <w:szCs w:val="21"/>
                <w:highlight w:val="none"/>
              </w:rPr>
              <w:t>温馨提醒：1.投标人采用投标保</w:t>
            </w:r>
            <w:r>
              <w:rPr>
                <w:rFonts w:hint="eastAsia" w:ascii="宋体" w:hAnsi="宋体" w:eastAsia="宋体" w:cs="宋体"/>
                <w:b/>
                <w:bCs w:val="0"/>
                <w:color w:val="auto"/>
                <w:kern w:val="0"/>
                <w:szCs w:val="21"/>
                <w:highlight w:val="none"/>
                <w:lang w:eastAsia="zh-CN"/>
              </w:rPr>
              <w:t>函</w:t>
            </w:r>
            <w:r>
              <w:rPr>
                <w:rFonts w:hint="eastAsia" w:ascii="宋体" w:hAnsi="宋体" w:eastAsia="宋体" w:cs="宋体"/>
                <w:b/>
                <w:bCs w:val="0"/>
                <w:color w:val="auto"/>
                <w:kern w:val="0"/>
                <w:szCs w:val="21"/>
                <w:highlight w:val="none"/>
              </w:rPr>
              <w:t>的，为避免在评标过程中因有效期发生争议，建议投标人将保函有效期设置为较招标文件规定的投标有效期延长不少于20个日历天。</w:t>
            </w:r>
          </w:p>
        </w:tc>
      </w:tr>
      <w:tr w14:paraId="1E89D204">
        <w:tblPrEx>
          <w:tblCellMar>
            <w:top w:w="0" w:type="dxa"/>
            <w:left w:w="108" w:type="dxa"/>
            <w:bottom w:w="0" w:type="dxa"/>
            <w:right w:w="108" w:type="dxa"/>
          </w:tblCellMar>
        </w:tblPrEx>
        <w:trPr>
          <w:trHeight w:val="23" w:hRule="atLeast"/>
          <w:jc w:val="center"/>
        </w:trPr>
        <w:tc>
          <w:tcPr>
            <w:tcW w:w="951" w:type="dxa"/>
            <w:tcBorders>
              <w:top w:val="single" w:color="auto" w:sz="4" w:space="0"/>
              <w:left w:val="single" w:color="auto" w:sz="8" w:space="0"/>
              <w:bottom w:val="single" w:color="auto" w:sz="8" w:space="0"/>
              <w:right w:val="single" w:color="auto" w:sz="4" w:space="0"/>
            </w:tcBorders>
            <w:noWrap w:val="0"/>
            <w:vAlign w:val="center"/>
          </w:tcPr>
          <w:p w14:paraId="69399F9B">
            <w:pPr>
              <w:widowControl/>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15.1</w:t>
            </w:r>
          </w:p>
        </w:tc>
        <w:tc>
          <w:tcPr>
            <w:tcW w:w="1895" w:type="dxa"/>
            <w:tcBorders>
              <w:top w:val="single" w:color="auto" w:sz="4" w:space="0"/>
              <w:left w:val="single" w:color="auto" w:sz="4" w:space="0"/>
              <w:bottom w:val="single" w:color="auto" w:sz="8" w:space="0"/>
              <w:right w:val="single" w:color="auto" w:sz="8" w:space="0"/>
            </w:tcBorders>
            <w:noWrap w:val="0"/>
            <w:vAlign w:val="center"/>
          </w:tcPr>
          <w:p w14:paraId="23E1A7E9">
            <w:pPr>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rPr>
              <w:t>投标有效期</w:t>
            </w:r>
          </w:p>
        </w:tc>
        <w:tc>
          <w:tcPr>
            <w:tcW w:w="5810" w:type="dxa"/>
            <w:tcBorders>
              <w:top w:val="single" w:color="auto" w:sz="4" w:space="0"/>
              <w:left w:val="nil"/>
              <w:bottom w:val="single" w:color="auto" w:sz="8" w:space="0"/>
              <w:right w:val="single" w:color="auto" w:sz="8" w:space="0"/>
            </w:tcBorders>
            <w:noWrap w:val="0"/>
            <w:vAlign w:val="center"/>
          </w:tcPr>
          <w:p w14:paraId="44D9CEBF">
            <w:pPr>
              <w:pStyle w:val="8"/>
              <w:rPr>
                <w:rFonts w:hint="eastAsia" w:ascii="宋体" w:hAnsi="宋体" w:eastAsia="宋体" w:cs="宋体"/>
                <w:color w:val="auto"/>
                <w:kern w:val="0"/>
                <w:szCs w:val="21"/>
                <w:highlight w:val="none"/>
                <w:lang w:eastAsia="zh-CN"/>
              </w:rPr>
            </w:pPr>
            <w:r>
              <w:rPr>
                <w:rFonts w:hint="eastAsia" w:ascii="宋体" w:hAnsi="宋体" w:eastAsia="宋体" w:cs="宋体"/>
                <w:color w:val="auto"/>
                <w:kern w:val="0"/>
                <w:szCs w:val="21"/>
                <w:highlight w:val="none"/>
                <w:u w:val="single"/>
              </w:rPr>
              <w:t xml:space="preserve">  90  </w:t>
            </w:r>
            <w:r>
              <w:rPr>
                <w:rFonts w:hint="eastAsia" w:ascii="宋体" w:hAnsi="宋体" w:eastAsia="宋体" w:cs="宋体"/>
                <w:color w:val="auto"/>
                <w:kern w:val="0"/>
                <w:szCs w:val="21"/>
                <w:highlight w:val="none"/>
                <w:lang w:eastAsia="zh-CN"/>
              </w:rPr>
              <w:t>日</w:t>
            </w:r>
          </w:p>
        </w:tc>
      </w:tr>
      <w:tr w14:paraId="7A188CD3">
        <w:tblPrEx>
          <w:tblCellMar>
            <w:top w:w="0" w:type="dxa"/>
            <w:left w:w="108" w:type="dxa"/>
            <w:bottom w:w="0" w:type="dxa"/>
            <w:right w:w="108" w:type="dxa"/>
          </w:tblCellMar>
        </w:tblPrEx>
        <w:trPr>
          <w:trHeight w:val="23" w:hRule="atLeast"/>
          <w:jc w:val="center"/>
        </w:trPr>
        <w:tc>
          <w:tcPr>
            <w:tcW w:w="951" w:type="dxa"/>
            <w:vMerge w:val="restart"/>
            <w:tcBorders>
              <w:top w:val="nil"/>
              <w:left w:val="single" w:color="auto" w:sz="8" w:space="0"/>
              <w:right w:val="single" w:color="auto" w:sz="4" w:space="0"/>
            </w:tcBorders>
            <w:noWrap w:val="0"/>
            <w:vAlign w:val="center"/>
          </w:tcPr>
          <w:p w14:paraId="55A99E01">
            <w:pPr>
              <w:widowControl/>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16.1</w:t>
            </w:r>
          </w:p>
        </w:tc>
        <w:tc>
          <w:tcPr>
            <w:tcW w:w="1895" w:type="dxa"/>
            <w:tcBorders>
              <w:top w:val="nil"/>
              <w:left w:val="single" w:color="auto" w:sz="4" w:space="0"/>
              <w:bottom w:val="single" w:color="auto" w:sz="4" w:space="0"/>
              <w:right w:val="single" w:color="auto" w:sz="8" w:space="0"/>
            </w:tcBorders>
            <w:noWrap w:val="0"/>
            <w:vAlign w:val="center"/>
          </w:tcPr>
          <w:p w14:paraId="60B5A76A">
            <w:pPr>
              <w:widowControl/>
              <w:jc w:val="center"/>
              <w:rPr>
                <w:rFonts w:hint="eastAsia" w:ascii="宋体" w:hAnsi="宋体" w:eastAsia="宋体" w:cs="宋体"/>
                <w:color w:val="auto"/>
                <w:kern w:val="0"/>
                <w:szCs w:val="21"/>
                <w:highlight w:val="none"/>
              </w:rPr>
            </w:pPr>
            <w:r>
              <w:rPr>
                <w:rFonts w:hint="eastAsia" w:ascii="宋体" w:hAnsi="宋体" w:eastAsia="宋体" w:cs="宋体"/>
                <w:color w:val="auto"/>
                <w:szCs w:val="21"/>
                <w:highlight w:val="none"/>
              </w:rPr>
              <w:t>投标文件</w:t>
            </w:r>
            <w:r>
              <w:rPr>
                <w:rFonts w:hint="eastAsia" w:ascii="宋体" w:hAnsi="宋体" w:eastAsia="宋体" w:cs="宋体"/>
                <w:color w:val="auto"/>
                <w:szCs w:val="21"/>
                <w:highlight w:val="none"/>
                <w:lang w:val="en-US" w:eastAsia="zh-CN"/>
              </w:rPr>
              <w:t>纸质文档</w:t>
            </w:r>
            <w:r>
              <w:rPr>
                <w:rFonts w:hint="eastAsia" w:ascii="宋体" w:hAnsi="宋体" w:eastAsia="宋体" w:cs="宋体"/>
                <w:color w:val="auto"/>
                <w:szCs w:val="21"/>
                <w:highlight w:val="none"/>
              </w:rPr>
              <w:t>份数</w:t>
            </w:r>
          </w:p>
        </w:tc>
        <w:tc>
          <w:tcPr>
            <w:tcW w:w="5810" w:type="dxa"/>
            <w:tcBorders>
              <w:top w:val="nil"/>
              <w:left w:val="nil"/>
              <w:bottom w:val="single" w:color="auto" w:sz="4" w:space="0"/>
              <w:right w:val="single" w:color="auto" w:sz="8" w:space="0"/>
            </w:tcBorders>
            <w:noWrap w:val="0"/>
            <w:vAlign w:val="center"/>
          </w:tcPr>
          <w:p w14:paraId="14AC9E45">
            <w:pPr>
              <w:widowControl/>
              <w:rPr>
                <w:rFonts w:hint="eastAsia" w:ascii="宋体" w:hAnsi="宋体" w:eastAsia="宋体" w:cs="宋体"/>
                <w:b/>
                <w:bCs/>
                <w:color w:val="auto"/>
                <w:kern w:val="0"/>
                <w:szCs w:val="21"/>
                <w:highlight w:val="none"/>
              </w:rPr>
            </w:pPr>
            <w:r>
              <w:rPr>
                <w:rFonts w:hint="eastAsia" w:ascii="宋体" w:hAnsi="宋体" w:eastAsia="宋体" w:cs="宋体"/>
                <w:b/>
                <w:bCs/>
                <w:color w:val="auto"/>
                <w:szCs w:val="21"/>
                <w:highlight w:val="none"/>
                <w:lang w:val="en-US" w:eastAsia="zh-CN"/>
              </w:rPr>
              <w:t>现场须递交</w:t>
            </w:r>
            <w:r>
              <w:rPr>
                <w:rFonts w:hint="eastAsia" w:ascii="宋体" w:hAnsi="宋体" w:eastAsia="宋体" w:cs="宋体"/>
                <w:b/>
                <w:bCs/>
                <w:color w:val="auto"/>
                <w:szCs w:val="21"/>
                <w:highlight w:val="none"/>
              </w:rPr>
              <w:t>投标文件正本</w:t>
            </w:r>
            <w:r>
              <w:rPr>
                <w:rFonts w:hint="eastAsia" w:ascii="宋体" w:hAnsi="宋体" w:eastAsia="宋体" w:cs="宋体"/>
                <w:b/>
                <w:bCs/>
                <w:color w:val="auto"/>
                <w:szCs w:val="21"/>
                <w:highlight w:val="none"/>
                <w:u w:val="single"/>
              </w:rPr>
              <w:t xml:space="preserve">  1  </w:t>
            </w:r>
            <w:r>
              <w:rPr>
                <w:rFonts w:hint="eastAsia" w:ascii="宋体" w:hAnsi="宋体" w:eastAsia="宋体" w:cs="宋体"/>
                <w:b/>
                <w:bCs/>
                <w:color w:val="auto"/>
                <w:szCs w:val="21"/>
                <w:highlight w:val="none"/>
              </w:rPr>
              <w:t>份,副本</w:t>
            </w:r>
            <w:r>
              <w:rPr>
                <w:rFonts w:hint="eastAsia" w:ascii="宋体" w:hAnsi="宋体" w:eastAsia="宋体" w:cs="宋体"/>
                <w:b/>
                <w:bCs/>
                <w:color w:val="auto"/>
                <w:szCs w:val="21"/>
                <w:highlight w:val="none"/>
                <w:u w:val="single"/>
              </w:rPr>
              <w:t xml:space="preserve">  </w:t>
            </w:r>
            <w:r>
              <w:rPr>
                <w:rFonts w:hint="eastAsia" w:ascii="宋体" w:hAnsi="宋体" w:eastAsia="宋体" w:cs="宋体"/>
                <w:b/>
                <w:bCs/>
                <w:color w:val="auto"/>
                <w:szCs w:val="21"/>
                <w:highlight w:val="none"/>
                <w:u w:val="single"/>
                <w:lang w:val="en-US" w:eastAsia="zh-CN"/>
              </w:rPr>
              <w:t>4</w:t>
            </w:r>
            <w:r>
              <w:rPr>
                <w:rFonts w:hint="eastAsia" w:ascii="宋体" w:hAnsi="宋体" w:eastAsia="宋体" w:cs="宋体"/>
                <w:b/>
                <w:bCs/>
                <w:color w:val="auto"/>
                <w:szCs w:val="21"/>
                <w:highlight w:val="none"/>
                <w:u w:val="single"/>
              </w:rPr>
              <w:t xml:space="preserve">  </w:t>
            </w:r>
            <w:r>
              <w:rPr>
                <w:rFonts w:hint="eastAsia" w:ascii="宋体" w:hAnsi="宋体" w:eastAsia="宋体" w:cs="宋体"/>
                <w:b/>
                <w:bCs/>
                <w:color w:val="auto"/>
                <w:szCs w:val="21"/>
                <w:highlight w:val="none"/>
              </w:rPr>
              <w:t>份</w:t>
            </w:r>
            <w:r>
              <w:rPr>
                <w:rFonts w:hint="eastAsia" w:ascii="宋体" w:hAnsi="宋体" w:eastAsia="宋体" w:cs="宋体"/>
                <w:b/>
                <w:bCs/>
                <w:color w:val="auto"/>
                <w:szCs w:val="21"/>
                <w:highlight w:val="none"/>
                <w:lang w:eastAsia="zh-CN"/>
              </w:rPr>
              <w:t>，</w:t>
            </w:r>
          </w:p>
        </w:tc>
      </w:tr>
      <w:tr w14:paraId="55C83087">
        <w:tblPrEx>
          <w:tblCellMar>
            <w:top w:w="0" w:type="dxa"/>
            <w:left w:w="108" w:type="dxa"/>
            <w:bottom w:w="0" w:type="dxa"/>
            <w:right w:w="108" w:type="dxa"/>
          </w:tblCellMar>
        </w:tblPrEx>
        <w:trPr>
          <w:trHeight w:val="23" w:hRule="atLeast"/>
          <w:jc w:val="center"/>
        </w:trPr>
        <w:tc>
          <w:tcPr>
            <w:tcW w:w="951" w:type="dxa"/>
            <w:vMerge w:val="continue"/>
            <w:tcBorders>
              <w:left w:val="single" w:color="auto" w:sz="8" w:space="0"/>
              <w:right w:val="single" w:color="auto" w:sz="4" w:space="0"/>
            </w:tcBorders>
            <w:noWrap w:val="0"/>
            <w:vAlign w:val="center"/>
          </w:tcPr>
          <w:p w14:paraId="7CF4BD48">
            <w:pPr>
              <w:widowControl/>
              <w:jc w:val="center"/>
              <w:rPr>
                <w:rFonts w:hint="eastAsia" w:ascii="宋体" w:hAnsi="宋体" w:eastAsia="宋体" w:cs="宋体"/>
                <w:color w:val="auto"/>
                <w:kern w:val="0"/>
                <w:szCs w:val="21"/>
                <w:highlight w:val="none"/>
              </w:rPr>
            </w:pPr>
          </w:p>
        </w:tc>
        <w:tc>
          <w:tcPr>
            <w:tcW w:w="1895" w:type="dxa"/>
            <w:vMerge w:val="restart"/>
            <w:tcBorders>
              <w:top w:val="nil"/>
              <w:left w:val="single" w:color="auto" w:sz="4" w:space="0"/>
              <w:right w:val="single" w:color="auto" w:sz="8" w:space="0"/>
            </w:tcBorders>
            <w:noWrap w:val="0"/>
            <w:vAlign w:val="center"/>
          </w:tcPr>
          <w:p w14:paraId="0A6976ED">
            <w:pPr>
              <w:widowControl/>
              <w:jc w:val="center"/>
              <w:rPr>
                <w:rFonts w:hint="default" w:ascii="宋体" w:hAnsi="宋体" w:eastAsia="宋体" w:cs="宋体"/>
                <w:color w:val="auto"/>
                <w:szCs w:val="21"/>
                <w:highlight w:val="none"/>
                <w:lang w:val="en-US" w:eastAsia="zh-CN"/>
              </w:rPr>
            </w:pPr>
            <w:r>
              <w:rPr>
                <w:rFonts w:hint="eastAsia" w:ascii="宋体" w:hAnsi="宋体" w:eastAsia="宋体" w:cs="宋体"/>
                <w:color w:val="auto"/>
                <w:szCs w:val="21"/>
                <w:highlight w:val="none"/>
                <w:lang w:val="en-US" w:eastAsia="zh-CN"/>
              </w:rPr>
              <w:t>投标文件电子文档份数</w:t>
            </w:r>
          </w:p>
        </w:tc>
        <w:tc>
          <w:tcPr>
            <w:tcW w:w="5810" w:type="dxa"/>
            <w:tcBorders>
              <w:top w:val="nil"/>
              <w:left w:val="nil"/>
              <w:bottom w:val="single" w:color="auto" w:sz="4" w:space="0"/>
              <w:right w:val="single" w:color="auto" w:sz="8" w:space="0"/>
            </w:tcBorders>
            <w:noWrap w:val="0"/>
            <w:vAlign w:val="center"/>
          </w:tcPr>
          <w:p w14:paraId="265D3B1F">
            <w:pPr>
              <w:widowControl/>
              <w:rPr>
                <w:rFonts w:hint="eastAsia" w:ascii="宋体" w:hAnsi="宋体" w:eastAsia="宋体" w:cs="宋体"/>
                <w:b/>
                <w:bCs/>
                <w:color w:val="auto"/>
                <w:highlight w:val="none"/>
              </w:rPr>
            </w:pPr>
            <w:r>
              <w:rPr>
                <w:rFonts w:hint="eastAsia" w:ascii="宋体" w:hAnsi="宋体" w:eastAsia="宋体" w:cs="宋体"/>
                <w:b/>
                <w:bCs/>
                <w:color w:val="auto"/>
                <w:highlight w:val="none"/>
              </w:rPr>
              <w:t>■</w:t>
            </w:r>
            <w:r>
              <w:rPr>
                <w:rFonts w:hint="eastAsia" w:ascii="宋体" w:hAnsi="宋体" w:eastAsia="宋体" w:cs="宋体"/>
                <w:b/>
                <w:bCs/>
                <w:color w:val="auto"/>
                <w:szCs w:val="21"/>
                <w:highlight w:val="none"/>
                <w:lang w:val="en-US" w:eastAsia="zh-CN"/>
              </w:rPr>
              <w:t>需要提供：</w:t>
            </w:r>
            <w:r>
              <w:rPr>
                <w:rFonts w:hint="eastAsia" w:ascii="宋体" w:hAnsi="宋体" w:eastAsia="宋体" w:cs="宋体"/>
                <w:b/>
                <w:bCs/>
                <w:color w:val="auto"/>
                <w:szCs w:val="21"/>
                <w:highlight w:val="none"/>
                <w:u w:val="single"/>
                <w:lang w:val="en-US" w:eastAsia="zh-CN"/>
              </w:rPr>
              <w:t xml:space="preserve">  1  </w:t>
            </w:r>
            <w:r>
              <w:rPr>
                <w:rFonts w:hint="eastAsia" w:ascii="宋体" w:hAnsi="宋体" w:eastAsia="宋体" w:cs="宋体"/>
                <w:b/>
                <w:bCs/>
                <w:color w:val="auto"/>
                <w:szCs w:val="21"/>
                <w:highlight w:val="none"/>
                <w:lang w:val="en-US" w:eastAsia="zh-CN"/>
              </w:rPr>
              <w:t>份，</w:t>
            </w:r>
            <w:r>
              <w:rPr>
                <w:rFonts w:hint="eastAsia" w:ascii="宋体" w:hAnsi="宋体" w:eastAsia="宋体" w:cs="宋体"/>
                <w:b/>
                <w:bCs/>
                <w:color w:val="auto"/>
                <w:kern w:val="0"/>
                <w:szCs w:val="21"/>
                <w:highlight w:val="none"/>
                <w:lang w:val="en-US" w:eastAsia="zh-CN"/>
              </w:rPr>
              <w:t>电子文档必须是正本签署盖章后扫描后制作的PDF电子文档格式和WORD版，以U盘或光盘为载体随投标文件正副本一起提交</w:t>
            </w:r>
            <w:r>
              <w:rPr>
                <w:rFonts w:hint="eastAsia" w:ascii="宋体" w:hAnsi="宋体" w:eastAsia="宋体" w:cs="宋体"/>
                <w:b/>
                <w:bCs/>
                <w:color w:val="auto"/>
                <w:kern w:val="0"/>
                <w:szCs w:val="21"/>
                <w:highlight w:val="none"/>
                <w:lang w:eastAsia="zh-CN"/>
              </w:rPr>
              <w:t>。</w:t>
            </w:r>
          </w:p>
        </w:tc>
      </w:tr>
      <w:tr w14:paraId="7A8100D6">
        <w:tblPrEx>
          <w:tblCellMar>
            <w:top w:w="0" w:type="dxa"/>
            <w:left w:w="108" w:type="dxa"/>
            <w:bottom w:w="0" w:type="dxa"/>
            <w:right w:w="108" w:type="dxa"/>
          </w:tblCellMar>
        </w:tblPrEx>
        <w:trPr>
          <w:trHeight w:val="23" w:hRule="atLeast"/>
          <w:jc w:val="center"/>
        </w:trPr>
        <w:tc>
          <w:tcPr>
            <w:tcW w:w="951" w:type="dxa"/>
            <w:vMerge w:val="continue"/>
            <w:tcBorders>
              <w:left w:val="single" w:color="auto" w:sz="8" w:space="0"/>
              <w:bottom w:val="single" w:color="auto" w:sz="4" w:space="0"/>
              <w:right w:val="single" w:color="auto" w:sz="4" w:space="0"/>
            </w:tcBorders>
            <w:noWrap w:val="0"/>
            <w:vAlign w:val="center"/>
          </w:tcPr>
          <w:p w14:paraId="08872877">
            <w:pPr>
              <w:widowControl/>
              <w:jc w:val="center"/>
              <w:rPr>
                <w:rFonts w:hint="eastAsia" w:ascii="宋体" w:hAnsi="宋体" w:eastAsia="宋体" w:cs="宋体"/>
                <w:color w:val="auto"/>
                <w:kern w:val="0"/>
                <w:szCs w:val="21"/>
                <w:highlight w:val="none"/>
              </w:rPr>
            </w:pPr>
          </w:p>
        </w:tc>
        <w:tc>
          <w:tcPr>
            <w:tcW w:w="1895" w:type="dxa"/>
            <w:vMerge w:val="continue"/>
            <w:tcBorders>
              <w:left w:val="single" w:color="auto" w:sz="4" w:space="0"/>
              <w:bottom w:val="single" w:color="auto" w:sz="4" w:space="0"/>
              <w:right w:val="single" w:color="auto" w:sz="8" w:space="0"/>
            </w:tcBorders>
            <w:noWrap w:val="0"/>
            <w:vAlign w:val="center"/>
          </w:tcPr>
          <w:p w14:paraId="06588BAC">
            <w:pPr>
              <w:widowControl/>
              <w:jc w:val="center"/>
              <w:rPr>
                <w:rFonts w:hint="eastAsia" w:ascii="宋体" w:hAnsi="宋体" w:eastAsia="宋体" w:cs="宋体"/>
                <w:color w:val="auto"/>
                <w:szCs w:val="21"/>
                <w:highlight w:val="none"/>
                <w:lang w:val="en-US" w:eastAsia="zh-CN"/>
              </w:rPr>
            </w:pPr>
          </w:p>
        </w:tc>
        <w:tc>
          <w:tcPr>
            <w:tcW w:w="5810" w:type="dxa"/>
            <w:tcBorders>
              <w:top w:val="nil"/>
              <w:left w:val="nil"/>
              <w:bottom w:val="single" w:color="auto" w:sz="4" w:space="0"/>
              <w:right w:val="single" w:color="auto" w:sz="8" w:space="0"/>
            </w:tcBorders>
            <w:noWrap w:val="0"/>
            <w:vAlign w:val="center"/>
          </w:tcPr>
          <w:p w14:paraId="7E75C411">
            <w:pPr>
              <w:widowControl/>
              <w:rPr>
                <w:rFonts w:hint="default" w:ascii="宋体" w:hAnsi="宋体" w:eastAsia="宋体" w:cs="宋体"/>
                <w:color w:val="auto"/>
                <w:kern w:val="0"/>
                <w:szCs w:val="21"/>
                <w:highlight w:val="none"/>
                <w:lang w:val="en-US" w:eastAsia="zh-CN"/>
              </w:rPr>
            </w:pPr>
            <w:r>
              <w:rPr>
                <w:rFonts w:hint="eastAsia" w:ascii="宋体" w:hAnsi="宋体" w:eastAsia="宋体" w:cs="宋体"/>
                <w:color w:val="auto"/>
                <w:kern w:val="0"/>
                <w:szCs w:val="21"/>
                <w:highlight w:val="none"/>
                <w:lang w:val="en-US" w:eastAsia="zh-CN"/>
              </w:rPr>
              <w:t>口不需要</w:t>
            </w:r>
          </w:p>
        </w:tc>
      </w:tr>
      <w:tr w14:paraId="1A924FC6">
        <w:tblPrEx>
          <w:tblCellMar>
            <w:top w:w="0" w:type="dxa"/>
            <w:left w:w="108" w:type="dxa"/>
            <w:bottom w:w="0" w:type="dxa"/>
            <w:right w:w="108" w:type="dxa"/>
          </w:tblCellMar>
        </w:tblPrEx>
        <w:trPr>
          <w:trHeight w:val="23" w:hRule="atLeast"/>
          <w:jc w:val="center"/>
        </w:trPr>
        <w:tc>
          <w:tcPr>
            <w:tcW w:w="951" w:type="dxa"/>
            <w:tcBorders>
              <w:top w:val="nil"/>
              <w:left w:val="single" w:color="auto" w:sz="8" w:space="0"/>
              <w:bottom w:val="single" w:color="auto" w:sz="4" w:space="0"/>
              <w:right w:val="single" w:color="auto" w:sz="4" w:space="0"/>
            </w:tcBorders>
            <w:noWrap w:val="0"/>
            <w:vAlign w:val="center"/>
          </w:tcPr>
          <w:p w14:paraId="07843627">
            <w:pPr>
              <w:widowControl/>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21</w:t>
            </w:r>
          </w:p>
        </w:tc>
        <w:tc>
          <w:tcPr>
            <w:tcW w:w="1895" w:type="dxa"/>
            <w:tcBorders>
              <w:top w:val="nil"/>
              <w:left w:val="single" w:color="auto" w:sz="4" w:space="0"/>
              <w:bottom w:val="single" w:color="auto" w:sz="4" w:space="0"/>
              <w:right w:val="single" w:color="auto" w:sz="8" w:space="0"/>
            </w:tcBorders>
            <w:noWrap w:val="0"/>
            <w:vAlign w:val="center"/>
          </w:tcPr>
          <w:p w14:paraId="0F659209">
            <w:pPr>
              <w:widowControl/>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rPr>
              <w:t>评标委员会组成</w:t>
            </w:r>
          </w:p>
        </w:tc>
        <w:tc>
          <w:tcPr>
            <w:tcW w:w="5810" w:type="dxa"/>
            <w:tcBorders>
              <w:top w:val="nil"/>
              <w:left w:val="nil"/>
              <w:bottom w:val="single" w:color="auto" w:sz="4" w:space="0"/>
              <w:right w:val="single" w:color="auto" w:sz="8" w:space="0"/>
            </w:tcBorders>
            <w:noWrap w:val="0"/>
            <w:vAlign w:val="center"/>
          </w:tcPr>
          <w:p w14:paraId="5BD0C7C8">
            <w:pPr>
              <w:widowControl/>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评标委员会由</w:t>
            </w:r>
            <w:r>
              <w:rPr>
                <w:rFonts w:hint="eastAsia" w:ascii="宋体" w:hAnsi="宋体" w:eastAsia="宋体" w:cs="宋体"/>
                <w:color w:val="auto"/>
                <w:kern w:val="0"/>
                <w:szCs w:val="21"/>
                <w:highlight w:val="none"/>
                <w:lang w:val="en-US" w:eastAsia="zh-CN"/>
              </w:rPr>
              <w:t>7</w:t>
            </w:r>
            <w:r>
              <w:rPr>
                <w:rFonts w:hint="eastAsia" w:ascii="宋体" w:hAnsi="宋体" w:eastAsia="宋体" w:cs="宋体"/>
                <w:color w:val="auto"/>
                <w:kern w:val="0"/>
                <w:szCs w:val="21"/>
                <w:highlight w:val="none"/>
              </w:rPr>
              <w:t>名单数组成。</w:t>
            </w:r>
          </w:p>
        </w:tc>
      </w:tr>
      <w:tr w14:paraId="7A98FDF2">
        <w:tblPrEx>
          <w:tblCellMar>
            <w:top w:w="0" w:type="dxa"/>
            <w:left w:w="108" w:type="dxa"/>
            <w:bottom w:w="0" w:type="dxa"/>
            <w:right w:w="108" w:type="dxa"/>
          </w:tblCellMar>
        </w:tblPrEx>
        <w:trPr>
          <w:trHeight w:val="23" w:hRule="atLeast"/>
          <w:jc w:val="center"/>
        </w:trPr>
        <w:tc>
          <w:tcPr>
            <w:tcW w:w="951" w:type="dxa"/>
            <w:vMerge w:val="restart"/>
            <w:tcBorders>
              <w:top w:val="single" w:color="auto" w:sz="4" w:space="0"/>
              <w:left w:val="single" w:color="auto" w:sz="4" w:space="0"/>
              <w:bottom w:val="single" w:color="auto" w:sz="4" w:space="0"/>
              <w:right w:val="single" w:color="auto" w:sz="4" w:space="0"/>
            </w:tcBorders>
            <w:noWrap w:val="0"/>
            <w:vAlign w:val="center"/>
          </w:tcPr>
          <w:p w14:paraId="5D1E9274">
            <w:pPr>
              <w:widowControl/>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25.1</w:t>
            </w:r>
          </w:p>
        </w:tc>
        <w:tc>
          <w:tcPr>
            <w:tcW w:w="1895" w:type="dxa"/>
            <w:tcBorders>
              <w:top w:val="single" w:color="auto" w:sz="4" w:space="0"/>
              <w:left w:val="single" w:color="auto" w:sz="4" w:space="0"/>
              <w:bottom w:val="single" w:color="auto" w:sz="4" w:space="0"/>
              <w:right w:val="single" w:color="auto" w:sz="4" w:space="0"/>
            </w:tcBorders>
            <w:noWrap w:val="0"/>
            <w:vAlign w:val="center"/>
          </w:tcPr>
          <w:p w14:paraId="2D4E742E">
            <w:pPr>
              <w:shd w:val="clear" w:color="auto" w:fill="FFFFFF"/>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rPr>
              <w:t>样品的评审方法以及评审标准</w:t>
            </w:r>
          </w:p>
        </w:tc>
        <w:tc>
          <w:tcPr>
            <w:tcW w:w="5810" w:type="dxa"/>
            <w:tcBorders>
              <w:top w:val="single" w:color="auto" w:sz="4" w:space="0"/>
              <w:left w:val="single" w:color="auto" w:sz="4" w:space="0"/>
              <w:bottom w:val="single" w:color="auto" w:sz="4" w:space="0"/>
              <w:right w:val="single" w:color="auto" w:sz="4" w:space="0"/>
            </w:tcBorders>
            <w:noWrap w:val="0"/>
            <w:vAlign w:val="center"/>
          </w:tcPr>
          <w:p w14:paraId="7F7C86A1">
            <w:pPr>
              <w:shd w:val="clear" w:color="auto" w:fill="FFFFFF"/>
              <w:jc w:val="both"/>
              <w:rPr>
                <w:rFonts w:hint="eastAsia" w:ascii="宋体" w:hAnsi="宋体" w:eastAsia="宋体" w:cs="宋体"/>
                <w:color w:val="auto"/>
                <w:kern w:val="0"/>
                <w:szCs w:val="21"/>
                <w:highlight w:val="none"/>
                <w:u w:val="single"/>
              </w:rPr>
            </w:pPr>
            <w:r>
              <w:rPr>
                <w:rFonts w:hint="eastAsia" w:ascii="宋体" w:hAnsi="宋体" w:eastAsia="宋体" w:cs="宋体"/>
                <w:color w:val="auto"/>
                <w:szCs w:val="21"/>
                <w:highlight w:val="none"/>
              </w:rPr>
              <w:t>样品的评审方法以及评审标准</w:t>
            </w:r>
            <w:r>
              <w:rPr>
                <w:rFonts w:hint="eastAsia" w:ascii="宋体" w:hAnsi="宋体" w:eastAsia="宋体" w:cs="宋体"/>
                <w:bCs/>
                <w:color w:val="auto"/>
                <w:kern w:val="0"/>
                <w:szCs w:val="21"/>
                <w:highlight w:val="none"/>
                <w:lang w:eastAsia="zh-CN"/>
              </w:rPr>
              <w:t>：</w:t>
            </w:r>
            <w:r>
              <w:rPr>
                <w:rFonts w:hint="eastAsia" w:ascii="宋体" w:hAnsi="宋体" w:eastAsia="宋体" w:cs="宋体"/>
                <w:bCs/>
                <w:color w:val="auto"/>
                <w:kern w:val="0"/>
                <w:szCs w:val="21"/>
                <w:highlight w:val="none"/>
                <w:lang w:val="en-US" w:eastAsia="zh-CN"/>
              </w:rPr>
              <w:t>详见《招标需求》或《评标标准》</w:t>
            </w:r>
          </w:p>
        </w:tc>
      </w:tr>
      <w:tr w14:paraId="4CC9C212">
        <w:tblPrEx>
          <w:tblCellMar>
            <w:top w:w="0" w:type="dxa"/>
            <w:left w:w="108" w:type="dxa"/>
            <w:bottom w:w="0" w:type="dxa"/>
            <w:right w:w="108" w:type="dxa"/>
          </w:tblCellMar>
        </w:tblPrEx>
        <w:trPr>
          <w:trHeight w:val="23" w:hRule="atLeast"/>
          <w:jc w:val="center"/>
        </w:trPr>
        <w:tc>
          <w:tcPr>
            <w:tcW w:w="951" w:type="dxa"/>
            <w:vMerge w:val="continue"/>
            <w:tcBorders>
              <w:top w:val="single" w:color="auto" w:sz="4" w:space="0"/>
              <w:left w:val="single" w:color="auto" w:sz="4" w:space="0"/>
              <w:bottom w:val="single" w:color="auto" w:sz="4" w:space="0"/>
              <w:right w:val="single" w:color="auto" w:sz="4" w:space="0"/>
            </w:tcBorders>
            <w:noWrap w:val="0"/>
            <w:vAlign w:val="center"/>
          </w:tcPr>
          <w:p w14:paraId="083BCC87">
            <w:pPr>
              <w:widowControl/>
              <w:jc w:val="center"/>
              <w:rPr>
                <w:rFonts w:hint="eastAsia" w:ascii="宋体" w:hAnsi="宋体" w:eastAsia="宋体" w:cs="宋体"/>
                <w:color w:val="auto"/>
                <w:kern w:val="0"/>
                <w:szCs w:val="21"/>
                <w:highlight w:val="none"/>
              </w:rPr>
            </w:pPr>
          </w:p>
        </w:tc>
        <w:tc>
          <w:tcPr>
            <w:tcW w:w="1895" w:type="dxa"/>
            <w:tcBorders>
              <w:top w:val="single" w:color="auto" w:sz="4" w:space="0"/>
              <w:left w:val="single" w:color="auto" w:sz="4" w:space="0"/>
              <w:bottom w:val="single" w:color="auto" w:sz="4" w:space="0"/>
              <w:right w:val="single" w:color="auto" w:sz="4" w:space="0"/>
            </w:tcBorders>
            <w:noWrap w:val="0"/>
            <w:vAlign w:val="center"/>
          </w:tcPr>
          <w:p w14:paraId="4C439BAE">
            <w:pPr>
              <w:shd w:val="clear" w:color="auto" w:fill="FFFFFF"/>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rPr>
              <w:t>演示的评审方法及评审标准</w:t>
            </w:r>
          </w:p>
        </w:tc>
        <w:tc>
          <w:tcPr>
            <w:tcW w:w="5810" w:type="dxa"/>
            <w:tcBorders>
              <w:top w:val="single" w:color="auto" w:sz="4" w:space="0"/>
              <w:left w:val="single" w:color="auto" w:sz="4" w:space="0"/>
              <w:bottom w:val="single" w:color="auto" w:sz="4" w:space="0"/>
              <w:right w:val="single" w:color="auto" w:sz="4" w:space="0"/>
            </w:tcBorders>
            <w:noWrap w:val="0"/>
            <w:vAlign w:val="center"/>
          </w:tcPr>
          <w:p w14:paraId="253203FD">
            <w:pP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演示</w:t>
            </w:r>
            <w:r>
              <w:rPr>
                <w:rFonts w:hint="eastAsia" w:ascii="宋体" w:hAnsi="宋体" w:eastAsia="宋体" w:cs="宋体"/>
                <w:color w:val="auto"/>
                <w:szCs w:val="21"/>
                <w:highlight w:val="none"/>
              </w:rPr>
              <w:t>的评审方法以及评审标准</w:t>
            </w:r>
            <w:r>
              <w:rPr>
                <w:rFonts w:hint="eastAsia" w:ascii="宋体" w:hAnsi="宋体" w:eastAsia="宋体" w:cs="宋体"/>
                <w:bCs/>
                <w:color w:val="auto"/>
                <w:kern w:val="0"/>
                <w:szCs w:val="21"/>
                <w:highlight w:val="none"/>
                <w:lang w:eastAsia="zh-CN"/>
              </w:rPr>
              <w:t>：</w:t>
            </w:r>
            <w:r>
              <w:rPr>
                <w:rFonts w:hint="eastAsia" w:ascii="宋体" w:hAnsi="宋体" w:eastAsia="宋体" w:cs="宋体"/>
                <w:bCs/>
                <w:color w:val="auto"/>
                <w:kern w:val="0"/>
                <w:szCs w:val="21"/>
                <w:highlight w:val="none"/>
                <w:lang w:val="en-US" w:eastAsia="zh-CN"/>
              </w:rPr>
              <w:t>详见《招标需求》或《评标标准》</w:t>
            </w:r>
          </w:p>
        </w:tc>
      </w:tr>
      <w:tr w14:paraId="44A3ED5C">
        <w:tblPrEx>
          <w:tblCellMar>
            <w:top w:w="0" w:type="dxa"/>
            <w:left w:w="108" w:type="dxa"/>
            <w:bottom w:w="0" w:type="dxa"/>
            <w:right w:w="108" w:type="dxa"/>
          </w:tblCellMar>
        </w:tblPrEx>
        <w:trPr>
          <w:trHeight w:val="23" w:hRule="atLeast"/>
          <w:jc w:val="center"/>
        </w:trPr>
        <w:tc>
          <w:tcPr>
            <w:tcW w:w="951" w:type="dxa"/>
            <w:tcBorders>
              <w:top w:val="single" w:color="auto" w:sz="4" w:space="0"/>
              <w:left w:val="single" w:color="auto" w:sz="4" w:space="0"/>
              <w:bottom w:val="single" w:color="auto" w:sz="4" w:space="0"/>
              <w:right w:val="single" w:color="auto" w:sz="4" w:space="0"/>
            </w:tcBorders>
            <w:noWrap w:val="0"/>
            <w:vAlign w:val="center"/>
          </w:tcPr>
          <w:p w14:paraId="5629A369">
            <w:pPr>
              <w:widowControl/>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27.2</w:t>
            </w:r>
          </w:p>
        </w:tc>
        <w:tc>
          <w:tcPr>
            <w:tcW w:w="1895" w:type="dxa"/>
            <w:tcBorders>
              <w:top w:val="single" w:color="auto" w:sz="4" w:space="0"/>
              <w:left w:val="single" w:color="auto" w:sz="4" w:space="0"/>
              <w:bottom w:val="single" w:color="auto" w:sz="4" w:space="0"/>
              <w:right w:val="single" w:color="auto" w:sz="4" w:space="0"/>
            </w:tcBorders>
            <w:noWrap w:val="0"/>
            <w:vAlign w:val="center"/>
          </w:tcPr>
          <w:p w14:paraId="41115AA7">
            <w:pPr>
              <w:widowControl/>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rPr>
              <w:t>评标办法</w:t>
            </w:r>
          </w:p>
        </w:tc>
        <w:tc>
          <w:tcPr>
            <w:tcW w:w="5810" w:type="dxa"/>
            <w:tcBorders>
              <w:top w:val="single" w:color="auto" w:sz="4" w:space="0"/>
              <w:left w:val="single" w:color="auto" w:sz="4" w:space="0"/>
              <w:bottom w:val="single" w:color="auto" w:sz="4" w:space="0"/>
              <w:right w:val="single" w:color="auto" w:sz="4" w:space="0"/>
            </w:tcBorders>
            <w:noWrap w:val="0"/>
            <w:vAlign w:val="center"/>
          </w:tcPr>
          <w:p w14:paraId="36477F4E">
            <w:pPr>
              <w:widowControl/>
              <w:rPr>
                <w:rFonts w:hint="eastAsia" w:ascii="宋体" w:hAnsi="宋体" w:eastAsia="宋体" w:cs="宋体"/>
                <w:color w:val="auto"/>
                <w:szCs w:val="21"/>
                <w:highlight w:val="none"/>
              </w:rPr>
            </w:pPr>
            <w:r>
              <w:rPr>
                <w:rFonts w:hint="eastAsia" w:ascii="宋体" w:hAnsi="宋体" w:eastAsia="宋体" w:cs="宋体"/>
                <w:color w:val="auto"/>
                <w:highlight w:val="none"/>
              </w:rPr>
              <w:t>■</w:t>
            </w:r>
            <w:r>
              <w:rPr>
                <w:rFonts w:hint="eastAsia" w:ascii="宋体" w:hAnsi="宋体" w:eastAsia="宋体" w:cs="宋体"/>
                <w:color w:val="auto"/>
                <w:szCs w:val="21"/>
                <w:highlight w:val="none"/>
              </w:rPr>
              <w:t xml:space="preserve">综合评分法              </w:t>
            </w:r>
          </w:p>
        </w:tc>
      </w:tr>
      <w:tr w14:paraId="4F2B97C9">
        <w:tblPrEx>
          <w:tblCellMar>
            <w:top w:w="0" w:type="dxa"/>
            <w:left w:w="108" w:type="dxa"/>
            <w:bottom w:w="0" w:type="dxa"/>
            <w:right w:w="108" w:type="dxa"/>
          </w:tblCellMar>
        </w:tblPrEx>
        <w:trPr>
          <w:trHeight w:val="23" w:hRule="atLeast"/>
          <w:jc w:val="center"/>
        </w:trPr>
        <w:tc>
          <w:tcPr>
            <w:tcW w:w="951" w:type="dxa"/>
            <w:tcBorders>
              <w:top w:val="single" w:color="auto" w:sz="4" w:space="0"/>
              <w:left w:val="single" w:color="auto" w:sz="4" w:space="0"/>
              <w:bottom w:val="single" w:color="auto" w:sz="4" w:space="0"/>
              <w:right w:val="single" w:color="auto" w:sz="4" w:space="0"/>
            </w:tcBorders>
            <w:noWrap w:val="0"/>
            <w:vAlign w:val="center"/>
          </w:tcPr>
          <w:p w14:paraId="338215BD">
            <w:pPr>
              <w:widowControl/>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29.2</w:t>
            </w:r>
          </w:p>
        </w:tc>
        <w:tc>
          <w:tcPr>
            <w:tcW w:w="1895" w:type="dxa"/>
            <w:tcBorders>
              <w:top w:val="single" w:color="auto" w:sz="4" w:space="0"/>
              <w:left w:val="single" w:color="auto" w:sz="4" w:space="0"/>
              <w:bottom w:val="single" w:color="auto" w:sz="4" w:space="0"/>
              <w:right w:val="single" w:color="auto" w:sz="4" w:space="0"/>
            </w:tcBorders>
            <w:noWrap w:val="0"/>
            <w:vAlign w:val="center"/>
          </w:tcPr>
          <w:p w14:paraId="413BA22D">
            <w:pPr>
              <w:widowControl/>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推荐中标候选人的数量</w:t>
            </w:r>
          </w:p>
        </w:tc>
        <w:tc>
          <w:tcPr>
            <w:tcW w:w="5810" w:type="dxa"/>
            <w:tcBorders>
              <w:top w:val="single" w:color="auto" w:sz="4" w:space="0"/>
              <w:left w:val="single" w:color="auto" w:sz="4" w:space="0"/>
              <w:bottom w:val="single" w:color="auto" w:sz="4" w:space="0"/>
              <w:right w:val="single" w:color="auto" w:sz="4" w:space="0"/>
            </w:tcBorders>
            <w:noWrap w:val="0"/>
            <w:vAlign w:val="center"/>
          </w:tcPr>
          <w:p w14:paraId="0A31997D">
            <w:pPr>
              <w:widowControl/>
              <w:spacing w:line="240" w:lineRule="auto"/>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中标候选人的数量</w:t>
            </w:r>
            <w:r>
              <w:rPr>
                <w:rFonts w:hint="eastAsia" w:ascii="宋体" w:hAnsi="宋体" w:eastAsia="宋体" w:cs="宋体"/>
                <w:color w:val="auto"/>
                <w:kern w:val="0"/>
                <w:szCs w:val="21"/>
                <w:highlight w:val="none"/>
                <w:lang w:eastAsia="zh-CN"/>
              </w:rPr>
              <w:t>：</w:t>
            </w:r>
            <w:r>
              <w:rPr>
                <w:rFonts w:hint="eastAsia" w:ascii="宋体" w:hAnsi="宋体" w:eastAsia="宋体" w:cs="宋体"/>
                <w:color w:val="auto"/>
                <w:kern w:val="0"/>
                <w:szCs w:val="21"/>
                <w:highlight w:val="none"/>
              </w:rPr>
              <w:t>3</w:t>
            </w:r>
          </w:p>
        </w:tc>
      </w:tr>
      <w:tr w14:paraId="6CA54956">
        <w:tblPrEx>
          <w:tblCellMar>
            <w:top w:w="0" w:type="dxa"/>
            <w:left w:w="108" w:type="dxa"/>
            <w:bottom w:w="0" w:type="dxa"/>
            <w:right w:w="108" w:type="dxa"/>
          </w:tblCellMar>
        </w:tblPrEx>
        <w:trPr>
          <w:trHeight w:val="23" w:hRule="atLeast"/>
          <w:jc w:val="center"/>
        </w:trPr>
        <w:tc>
          <w:tcPr>
            <w:tcW w:w="951" w:type="dxa"/>
            <w:tcBorders>
              <w:top w:val="single" w:color="auto" w:sz="4" w:space="0"/>
              <w:left w:val="single" w:color="auto" w:sz="4" w:space="0"/>
              <w:bottom w:val="single" w:color="auto" w:sz="4" w:space="0"/>
              <w:right w:val="single" w:color="auto" w:sz="4" w:space="0"/>
            </w:tcBorders>
            <w:noWrap w:val="0"/>
            <w:vAlign w:val="center"/>
          </w:tcPr>
          <w:p w14:paraId="440E07E6">
            <w:pPr>
              <w:widowControl/>
              <w:jc w:val="center"/>
              <w:rPr>
                <w:rFonts w:hint="default" w:ascii="宋体" w:hAnsi="宋体" w:eastAsia="宋体" w:cs="宋体"/>
                <w:color w:val="auto"/>
                <w:kern w:val="0"/>
                <w:szCs w:val="21"/>
                <w:highlight w:val="none"/>
                <w:lang w:val="en-US" w:eastAsia="zh-CN"/>
              </w:rPr>
            </w:pPr>
            <w:r>
              <w:rPr>
                <w:rFonts w:hint="eastAsia" w:ascii="宋体" w:hAnsi="宋体" w:eastAsia="宋体" w:cs="宋体"/>
                <w:color w:val="auto"/>
                <w:kern w:val="0"/>
                <w:szCs w:val="21"/>
                <w:highlight w:val="none"/>
              </w:rPr>
              <w:t>31</w:t>
            </w:r>
            <w:r>
              <w:rPr>
                <w:rFonts w:hint="eastAsia" w:ascii="宋体" w:hAnsi="宋体" w:eastAsia="宋体" w:cs="宋体"/>
                <w:color w:val="auto"/>
                <w:kern w:val="0"/>
                <w:szCs w:val="21"/>
                <w:highlight w:val="none"/>
                <w:lang w:val="en-US" w:eastAsia="zh-CN"/>
              </w:rPr>
              <w:t>.1</w:t>
            </w:r>
          </w:p>
        </w:tc>
        <w:tc>
          <w:tcPr>
            <w:tcW w:w="1895" w:type="dxa"/>
            <w:tcBorders>
              <w:top w:val="single" w:color="auto" w:sz="4" w:space="0"/>
              <w:left w:val="single" w:color="auto" w:sz="4" w:space="0"/>
              <w:bottom w:val="single" w:color="auto" w:sz="4" w:space="0"/>
              <w:right w:val="single" w:color="auto" w:sz="4" w:space="0"/>
            </w:tcBorders>
            <w:noWrap w:val="0"/>
            <w:vAlign w:val="center"/>
          </w:tcPr>
          <w:p w14:paraId="02E0F10D">
            <w:pPr>
              <w:widowControl/>
              <w:jc w:val="center"/>
              <w:rPr>
                <w:rFonts w:hint="eastAsia" w:ascii="宋体" w:hAnsi="宋体" w:eastAsia="宋体" w:cs="宋体"/>
                <w:color w:val="auto"/>
                <w:kern w:val="0"/>
                <w:szCs w:val="21"/>
                <w:highlight w:val="none"/>
                <w:lang w:eastAsia="zh-CN"/>
              </w:rPr>
            </w:pPr>
            <w:r>
              <w:rPr>
                <w:rFonts w:hint="eastAsia" w:ascii="宋体" w:hAnsi="宋体" w:eastAsia="宋体" w:cs="宋体"/>
                <w:color w:val="auto"/>
                <w:kern w:val="0"/>
                <w:szCs w:val="21"/>
                <w:highlight w:val="none"/>
              </w:rPr>
              <w:t>确定中标人的</w:t>
            </w:r>
            <w:r>
              <w:rPr>
                <w:rFonts w:hint="eastAsia" w:ascii="宋体" w:hAnsi="宋体" w:eastAsia="宋体" w:cs="宋体"/>
                <w:color w:val="auto"/>
                <w:kern w:val="0"/>
                <w:szCs w:val="21"/>
                <w:highlight w:val="none"/>
                <w:lang w:val="en-US" w:eastAsia="zh-CN"/>
              </w:rPr>
              <w:t>数量</w:t>
            </w:r>
          </w:p>
        </w:tc>
        <w:tc>
          <w:tcPr>
            <w:tcW w:w="5810" w:type="dxa"/>
            <w:tcBorders>
              <w:top w:val="single" w:color="auto" w:sz="4" w:space="0"/>
              <w:left w:val="single" w:color="auto" w:sz="4" w:space="0"/>
              <w:bottom w:val="single" w:color="auto" w:sz="4" w:space="0"/>
              <w:right w:val="single" w:color="auto" w:sz="4" w:space="0"/>
            </w:tcBorders>
            <w:noWrap w:val="0"/>
            <w:vAlign w:val="center"/>
          </w:tcPr>
          <w:p w14:paraId="07FB2402">
            <w:pPr>
              <w:widowControl/>
              <w:spacing w:line="240" w:lineRule="auto"/>
              <w:rPr>
                <w:rFonts w:hint="eastAsia" w:ascii="宋体" w:hAnsi="宋体" w:eastAsia="宋体" w:cs="宋体"/>
                <w:color w:val="auto"/>
                <w:kern w:val="0"/>
                <w:szCs w:val="21"/>
                <w:highlight w:val="none"/>
                <w:lang w:val="en-US" w:eastAsia="zh-CN"/>
              </w:rPr>
            </w:pPr>
            <w:r>
              <w:rPr>
                <w:rFonts w:hint="eastAsia" w:ascii="宋体" w:hAnsi="宋体" w:eastAsia="宋体" w:cs="宋体"/>
                <w:color w:val="auto"/>
                <w:kern w:val="0"/>
                <w:szCs w:val="21"/>
                <w:highlight w:val="none"/>
              </w:rPr>
              <w:t>中标人</w:t>
            </w:r>
            <w:r>
              <w:rPr>
                <w:rFonts w:hint="eastAsia" w:ascii="宋体" w:hAnsi="宋体" w:eastAsia="宋体" w:cs="宋体"/>
                <w:color w:val="auto"/>
                <w:kern w:val="0"/>
                <w:szCs w:val="21"/>
                <w:highlight w:val="none"/>
                <w:lang w:val="en-US" w:eastAsia="zh-CN"/>
              </w:rPr>
              <w:t>的数量：1</w:t>
            </w:r>
          </w:p>
        </w:tc>
      </w:tr>
      <w:tr w14:paraId="34DACBDB">
        <w:tblPrEx>
          <w:tblCellMar>
            <w:top w:w="0" w:type="dxa"/>
            <w:left w:w="108" w:type="dxa"/>
            <w:bottom w:w="0" w:type="dxa"/>
            <w:right w:w="108" w:type="dxa"/>
          </w:tblCellMar>
        </w:tblPrEx>
        <w:trPr>
          <w:trHeight w:val="23" w:hRule="atLeast"/>
          <w:jc w:val="center"/>
        </w:trPr>
        <w:tc>
          <w:tcPr>
            <w:tcW w:w="951" w:type="dxa"/>
            <w:tcBorders>
              <w:top w:val="single" w:color="auto" w:sz="4" w:space="0"/>
              <w:left w:val="single" w:color="auto" w:sz="4" w:space="0"/>
              <w:bottom w:val="single" w:color="auto" w:sz="4" w:space="0"/>
              <w:right w:val="single" w:color="auto" w:sz="4" w:space="0"/>
            </w:tcBorders>
            <w:noWrap w:val="0"/>
            <w:vAlign w:val="center"/>
          </w:tcPr>
          <w:p w14:paraId="13D56445">
            <w:pPr>
              <w:widowControl/>
              <w:jc w:val="center"/>
              <w:rPr>
                <w:rFonts w:hint="default" w:ascii="宋体" w:hAnsi="宋体" w:eastAsia="宋体" w:cs="宋体"/>
                <w:color w:val="auto"/>
                <w:kern w:val="0"/>
                <w:szCs w:val="21"/>
                <w:highlight w:val="none"/>
                <w:lang w:val="en-US" w:eastAsia="zh-CN"/>
              </w:rPr>
            </w:pPr>
            <w:r>
              <w:rPr>
                <w:rFonts w:hint="eastAsia" w:ascii="宋体" w:hAnsi="宋体" w:eastAsia="宋体" w:cs="宋体"/>
                <w:color w:val="auto"/>
                <w:kern w:val="0"/>
                <w:szCs w:val="21"/>
                <w:highlight w:val="none"/>
                <w:lang w:val="en-US" w:eastAsia="zh-CN"/>
              </w:rPr>
              <w:t>31.2</w:t>
            </w:r>
          </w:p>
        </w:tc>
        <w:tc>
          <w:tcPr>
            <w:tcW w:w="1895" w:type="dxa"/>
            <w:tcBorders>
              <w:top w:val="single" w:color="auto" w:sz="4" w:space="0"/>
              <w:left w:val="single" w:color="auto" w:sz="4" w:space="0"/>
              <w:bottom w:val="single" w:color="auto" w:sz="4" w:space="0"/>
              <w:right w:val="single" w:color="auto" w:sz="4" w:space="0"/>
            </w:tcBorders>
            <w:noWrap w:val="0"/>
            <w:vAlign w:val="center"/>
          </w:tcPr>
          <w:p w14:paraId="671873D3">
            <w:pPr>
              <w:widowControl/>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确定中标人的方式</w:t>
            </w:r>
          </w:p>
        </w:tc>
        <w:tc>
          <w:tcPr>
            <w:tcW w:w="5810" w:type="dxa"/>
            <w:tcBorders>
              <w:top w:val="single" w:color="auto" w:sz="4" w:space="0"/>
              <w:left w:val="single" w:color="auto" w:sz="4" w:space="0"/>
              <w:bottom w:val="single" w:color="auto" w:sz="4" w:space="0"/>
              <w:right w:val="single" w:color="auto" w:sz="4" w:space="0"/>
            </w:tcBorders>
            <w:noWrap w:val="0"/>
            <w:vAlign w:val="center"/>
          </w:tcPr>
          <w:p w14:paraId="68E41030">
            <w:pPr>
              <w:widowControl/>
              <w:spacing w:line="240" w:lineRule="auto"/>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u w:val="none"/>
                <w:lang w:val="en-US" w:eastAsia="zh-CN"/>
              </w:rPr>
              <w:t>确定方式按本</w:t>
            </w:r>
            <w:r>
              <w:rPr>
                <w:rFonts w:hint="eastAsia" w:ascii="宋体" w:hAnsi="宋体" w:eastAsia="宋体" w:cs="宋体"/>
                <w:color w:val="auto"/>
                <w:kern w:val="0"/>
                <w:szCs w:val="21"/>
                <w:highlight w:val="none"/>
                <w:lang w:val="en-US" w:eastAsia="zh-CN"/>
              </w:rPr>
              <w:t>项目《委托代理协议》约定。</w:t>
            </w:r>
          </w:p>
        </w:tc>
      </w:tr>
      <w:tr w14:paraId="7FB61F60">
        <w:tblPrEx>
          <w:tblCellMar>
            <w:top w:w="0" w:type="dxa"/>
            <w:left w:w="108" w:type="dxa"/>
            <w:bottom w:w="0" w:type="dxa"/>
            <w:right w:w="108" w:type="dxa"/>
          </w:tblCellMar>
        </w:tblPrEx>
        <w:trPr>
          <w:trHeight w:val="23" w:hRule="atLeast"/>
          <w:jc w:val="center"/>
        </w:trPr>
        <w:tc>
          <w:tcPr>
            <w:tcW w:w="951" w:type="dxa"/>
            <w:tcBorders>
              <w:top w:val="single" w:color="auto" w:sz="4" w:space="0"/>
              <w:left w:val="single" w:color="auto" w:sz="4" w:space="0"/>
              <w:bottom w:val="single" w:color="auto" w:sz="4" w:space="0"/>
              <w:right w:val="single" w:color="auto" w:sz="4" w:space="0"/>
            </w:tcBorders>
            <w:noWrap w:val="0"/>
            <w:vAlign w:val="center"/>
          </w:tcPr>
          <w:p w14:paraId="3DBDA6BD">
            <w:pPr>
              <w:widowControl/>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35.1</w:t>
            </w:r>
          </w:p>
        </w:tc>
        <w:tc>
          <w:tcPr>
            <w:tcW w:w="1895" w:type="dxa"/>
            <w:tcBorders>
              <w:top w:val="single" w:color="auto" w:sz="4" w:space="0"/>
              <w:left w:val="single" w:color="auto" w:sz="4" w:space="0"/>
              <w:bottom w:val="single" w:color="auto" w:sz="4" w:space="0"/>
              <w:right w:val="single" w:color="auto" w:sz="4" w:space="0"/>
            </w:tcBorders>
            <w:noWrap w:val="0"/>
            <w:vAlign w:val="center"/>
          </w:tcPr>
          <w:p w14:paraId="0ACDFF81">
            <w:pPr>
              <w:shd w:val="clear" w:color="auto" w:fill="FFFFFF"/>
              <w:jc w:val="center"/>
              <w:rPr>
                <w:rFonts w:hint="eastAsia" w:ascii="宋体" w:hAnsi="宋体" w:eastAsia="宋体" w:cs="宋体"/>
                <w:color w:val="auto"/>
                <w:kern w:val="0"/>
                <w:szCs w:val="21"/>
                <w:highlight w:val="none"/>
              </w:rPr>
            </w:pPr>
            <w:r>
              <w:rPr>
                <w:rFonts w:hint="eastAsia" w:ascii="宋体" w:hAnsi="宋体" w:eastAsia="宋体" w:cs="宋体"/>
                <w:color w:val="auto"/>
                <w:szCs w:val="21"/>
                <w:highlight w:val="none"/>
              </w:rPr>
              <w:t>履约保证金</w:t>
            </w:r>
          </w:p>
        </w:tc>
        <w:tc>
          <w:tcPr>
            <w:tcW w:w="5810" w:type="dxa"/>
            <w:tcBorders>
              <w:top w:val="single" w:color="auto" w:sz="4" w:space="0"/>
              <w:left w:val="single" w:color="auto" w:sz="4" w:space="0"/>
              <w:bottom w:val="single" w:color="auto" w:sz="4" w:space="0"/>
              <w:right w:val="single" w:color="auto" w:sz="4" w:space="0"/>
            </w:tcBorders>
            <w:noWrap w:val="0"/>
            <w:vAlign w:val="center"/>
          </w:tcPr>
          <w:p w14:paraId="275976FA">
            <w:pPr>
              <w:spacing w:line="240" w:lineRule="auto"/>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■本项目收取履约保证金</w:t>
            </w:r>
          </w:p>
          <w:p w14:paraId="620D3A16">
            <w:pPr>
              <w:pStyle w:val="91"/>
              <w:spacing w:line="240" w:lineRule="auto"/>
              <w:ind w:left="0" w:leftChars="0" w:firstLine="0" w:firstLineChars="0"/>
              <w:rPr>
                <w:color w:val="auto"/>
                <w:highlight w:val="none"/>
              </w:rPr>
            </w:pPr>
            <w:r>
              <w:rPr>
                <w:rFonts w:hint="eastAsia" w:ascii="宋体" w:hAnsi="宋体" w:eastAsia="宋体" w:cs="宋体"/>
                <w:color w:val="auto"/>
                <w:kern w:val="0"/>
                <w:sz w:val="21"/>
                <w:szCs w:val="21"/>
                <w:highlight w:val="none"/>
                <w:lang w:val="en-US" w:eastAsia="zh-CN" w:bidi="ar-SA"/>
              </w:rPr>
              <w:t>履约保证金金额、递交时间、履约保证金递交方式、及履约保证金退还时间及规定按第三章 招标需求执行</w:t>
            </w:r>
          </w:p>
        </w:tc>
      </w:tr>
      <w:tr w14:paraId="463F0038">
        <w:tblPrEx>
          <w:tblCellMar>
            <w:top w:w="0" w:type="dxa"/>
            <w:left w:w="108" w:type="dxa"/>
            <w:bottom w:w="0" w:type="dxa"/>
            <w:right w:w="108" w:type="dxa"/>
          </w:tblCellMar>
        </w:tblPrEx>
        <w:trPr>
          <w:trHeight w:val="23" w:hRule="atLeast"/>
          <w:jc w:val="center"/>
        </w:trPr>
        <w:tc>
          <w:tcPr>
            <w:tcW w:w="951" w:type="dxa"/>
            <w:tcBorders>
              <w:top w:val="nil"/>
              <w:left w:val="single" w:color="auto" w:sz="8" w:space="0"/>
              <w:bottom w:val="single" w:color="auto" w:sz="8" w:space="0"/>
              <w:right w:val="single" w:color="auto" w:sz="4" w:space="0"/>
            </w:tcBorders>
            <w:noWrap w:val="0"/>
            <w:vAlign w:val="center"/>
          </w:tcPr>
          <w:p w14:paraId="538488D1">
            <w:pPr>
              <w:widowControl/>
              <w:jc w:val="center"/>
              <w:rPr>
                <w:rFonts w:hint="default" w:ascii="宋体" w:hAnsi="宋体" w:eastAsia="宋体" w:cs="宋体"/>
                <w:color w:val="auto"/>
                <w:kern w:val="0"/>
                <w:szCs w:val="21"/>
                <w:highlight w:val="none"/>
                <w:lang w:val="en-US" w:eastAsia="zh-CN"/>
              </w:rPr>
            </w:pPr>
            <w:r>
              <w:rPr>
                <w:rFonts w:hint="eastAsia" w:ascii="宋体" w:hAnsi="宋体" w:eastAsia="宋体" w:cs="宋体"/>
                <w:color w:val="auto"/>
                <w:kern w:val="0"/>
                <w:szCs w:val="21"/>
                <w:highlight w:val="none"/>
              </w:rPr>
              <w:t>36</w:t>
            </w:r>
            <w:r>
              <w:rPr>
                <w:rFonts w:hint="eastAsia" w:ascii="宋体" w:hAnsi="宋体" w:eastAsia="宋体" w:cs="宋体"/>
                <w:color w:val="auto"/>
                <w:kern w:val="0"/>
                <w:szCs w:val="21"/>
                <w:highlight w:val="none"/>
                <w:lang w:val="en-US" w:eastAsia="zh-CN"/>
              </w:rPr>
              <w:t>.1</w:t>
            </w:r>
          </w:p>
        </w:tc>
        <w:tc>
          <w:tcPr>
            <w:tcW w:w="1895" w:type="dxa"/>
            <w:tcBorders>
              <w:top w:val="nil"/>
              <w:left w:val="single" w:color="auto" w:sz="4" w:space="0"/>
              <w:bottom w:val="single" w:color="auto" w:sz="8" w:space="0"/>
              <w:right w:val="single" w:color="auto" w:sz="8" w:space="0"/>
            </w:tcBorders>
            <w:noWrap w:val="0"/>
            <w:vAlign w:val="center"/>
          </w:tcPr>
          <w:p w14:paraId="3487E676">
            <w:pPr>
              <w:widowControl/>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招标代理服务费</w:t>
            </w:r>
            <w:r>
              <w:rPr>
                <w:rFonts w:hint="eastAsia" w:ascii="宋体" w:hAnsi="宋体" w:eastAsia="宋体" w:cs="宋体"/>
                <w:color w:val="auto"/>
                <w:szCs w:val="21"/>
                <w:highlight w:val="none"/>
                <w:lang w:val="en-US" w:eastAsia="zh-CN"/>
              </w:rPr>
              <w:t>支付方</w:t>
            </w:r>
          </w:p>
        </w:tc>
        <w:tc>
          <w:tcPr>
            <w:tcW w:w="5810" w:type="dxa"/>
            <w:tcBorders>
              <w:top w:val="nil"/>
              <w:left w:val="nil"/>
              <w:bottom w:val="single" w:color="auto" w:sz="8" w:space="0"/>
              <w:right w:val="single" w:color="auto" w:sz="8" w:space="0"/>
            </w:tcBorders>
            <w:noWrap w:val="0"/>
            <w:vAlign w:val="center"/>
          </w:tcPr>
          <w:p w14:paraId="6FDD2A4A">
            <w:pPr>
              <w:widowControl/>
              <w:numPr>
                <w:ilvl w:val="0"/>
                <w:numId w:val="0"/>
              </w:numPr>
              <w:snapToGrid w:val="0"/>
              <w:rPr>
                <w:rFonts w:hint="default"/>
                <w:color w:val="auto"/>
                <w:highlight w:val="none"/>
                <w:lang w:val="en-US"/>
              </w:rPr>
            </w:pPr>
            <w:r>
              <w:rPr>
                <w:rFonts w:hint="eastAsia" w:ascii="宋体" w:hAnsi="宋体" w:eastAsia="宋体" w:cs="宋体"/>
                <w:color w:val="auto"/>
                <w:highlight w:val="none"/>
              </w:rPr>
              <w:t>■</w:t>
            </w:r>
            <w:r>
              <w:rPr>
                <w:rFonts w:hint="eastAsia" w:ascii="宋体" w:hAnsi="宋体" w:eastAsia="宋体" w:cs="宋体"/>
                <w:color w:val="auto"/>
                <w:szCs w:val="21"/>
                <w:highlight w:val="none"/>
                <w:lang w:val="en-US" w:eastAsia="zh-CN"/>
              </w:rPr>
              <w:t xml:space="preserve"> 中标人</w:t>
            </w:r>
          </w:p>
        </w:tc>
      </w:tr>
      <w:tr w14:paraId="67928B00">
        <w:tblPrEx>
          <w:tblCellMar>
            <w:top w:w="0" w:type="dxa"/>
            <w:left w:w="108" w:type="dxa"/>
            <w:bottom w:w="0" w:type="dxa"/>
            <w:right w:w="108" w:type="dxa"/>
          </w:tblCellMar>
        </w:tblPrEx>
        <w:trPr>
          <w:trHeight w:val="23" w:hRule="atLeast"/>
          <w:jc w:val="center"/>
        </w:trPr>
        <w:tc>
          <w:tcPr>
            <w:tcW w:w="951" w:type="dxa"/>
            <w:tcBorders>
              <w:top w:val="nil"/>
              <w:left w:val="single" w:color="auto" w:sz="8" w:space="0"/>
              <w:bottom w:val="single" w:color="auto" w:sz="8" w:space="0"/>
              <w:right w:val="single" w:color="auto" w:sz="4" w:space="0"/>
            </w:tcBorders>
            <w:noWrap w:val="0"/>
            <w:vAlign w:val="center"/>
          </w:tcPr>
          <w:p w14:paraId="2E7F3418">
            <w:pPr>
              <w:widowControl/>
              <w:jc w:val="center"/>
              <w:rPr>
                <w:rFonts w:hint="default" w:ascii="宋体" w:hAnsi="宋体" w:eastAsia="宋体" w:cs="宋体"/>
                <w:color w:val="auto"/>
                <w:kern w:val="0"/>
                <w:szCs w:val="21"/>
                <w:highlight w:val="none"/>
                <w:lang w:val="en-US" w:eastAsia="zh-CN"/>
              </w:rPr>
            </w:pPr>
            <w:r>
              <w:rPr>
                <w:rFonts w:hint="eastAsia" w:ascii="宋体" w:hAnsi="宋体" w:eastAsia="宋体" w:cs="宋体"/>
                <w:color w:val="auto"/>
                <w:kern w:val="0"/>
                <w:szCs w:val="21"/>
                <w:highlight w:val="none"/>
                <w:lang w:val="en-US" w:eastAsia="zh-CN"/>
              </w:rPr>
              <w:t>36.2</w:t>
            </w:r>
          </w:p>
        </w:tc>
        <w:tc>
          <w:tcPr>
            <w:tcW w:w="1895" w:type="dxa"/>
            <w:tcBorders>
              <w:top w:val="nil"/>
              <w:left w:val="single" w:color="auto" w:sz="4" w:space="0"/>
              <w:bottom w:val="single" w:color="auto" w:sz="8" w:space="0"/>
              <w:right w:val="single" w:color="auto" w:sz="8" w:space="0"/>
            </w:tcBorders>
            <w:noWrap w:val="0"/>
            <w:vAlign w:val="center"/>
          </w:tcPr>
          <w:p w14:paraId="5DE3DB3C">
            <w:pPr>
              <w:widowControl/>
              <w:jc w:val="center"/>
              <w:rPr>
                <w:rFonts w:hint="default" w:ascii="宋体" w:hAnsi="宋体" w:eastAsia="宋体" w:cs="宋体"/>
                <w:color w:val="auto"/>
                <w:kern w:val="0"/>
                <w:szCs w:val="21"/>
                <w:highlight w:val="none"/>
                <w:lang w:val="en-US" w:eastAsia="zh-CN"/>
              </w:rPr>
            </w:pPr>
            <w:r>
              <w:rPr>
                <w:rFonts w:hint="eastAsia" w:ascii="宋体" w:hAnsi="宋体" w:eastAsia="宋体" w:cs="宋体"/>
                <w:color w:val="auto"/>
                <w:kern w:val="0"/>
                <w:szCs w:val="21"/>
                <w:highlight w:val="none"/>
                <w:lang w:val="en-US" w:eastAsia="zh-CN"/>
              </w:rPr>
              <w:t>招标代理服务费收费标准</w:t>
            </w:r>
          </w:p>
        </w:tc>
        <w:tc>
          <w:tcPr>
            <w:tcW w:w="5810" w:type="dxa"/>
            <w:tcBorders>
              <w:top w:val="nil"/>
              <w:left w:val="nil"/>
              <w:bottom w:val="single" w:color="auto" w:sz="8" w:space="0"/>
              <w:right w:val="single" w:color="auto" w:sz="8" w:space="0"/>
            </w:tcBorders>
            <w:noWrap w:val="0"/>
            <w:vAlign w:val="center"/>
          </w:tcPr>
          <w:p w14:paraId="183E49FA">
            <w:pPr>
              <w:widowControl/>
              <w:snapToGrid w:val="0"/>
              <w:jc w:val="both"/>
              <w:rPr>
                <w:rFonts w:hint="default" w:ascii="宋体" w:hAnsi="宋体" w:eastAsia="宋体" w:cs="宋体"/>
                <w:color w:val="auto"/>
                <w:szCs w:val="21"/>
                <w:highlight w:val="none"/>
                <w:lang w:val="en-US" w:eastAsia="zh-CN"/>
              </w:rPr>
            </w:pPr>
            <w:r>
              <w:rPr>
                <w:rFonts w:hint="default" w:ascii="宋体" w:hAnsi="宋体" w:eastAsia="宋体" w:cs="宋体"/>
                <w:color w:val="auto"/>
                <w:szCs w:val="21"/>
                <w:highlight w:val="none"/>
                <w:lang w:val="en-US" w:eastAsia="zh-CN"/>
              </w:rPr>
              <w:t>详见《招标代理服务缴费通知书》。</w:t>
            </w:r>
          </w:p>
        </w:tc>
      </w:tr>
      <w:tr w14:paraId="62BE295A">
        <w:tblPrEx>
          <w:tblCellMar>
            <w:top w:w="0" w:type="dxa"/>
            <w:left w:w="108" w:type="dxa"/>
            <w:bottom w:w="0" w:type="dxa"/>
            <w:right w:w="108" w:type="dxa"/>
          </w:tblCellMar>
        </w:tblPrEx>
        <w:trPr>
          <w:trHeight w:val="23" w:hRule="atLeast"/>
          <w:jc w:val="center"/>
        </w:trPr>
        <w:tc>
          <w:tcPr>
            <w:tcW w:w="951" w:type="dxa"/>
            <w:tcBorders>
              <w:top w:val="nil"/>
              <w:left w:val="single" w:color="auto" w:sz="8" w:space="0"/>
              <w:bottom w:val="single" w:color="auto" w:sz="8" w:space="0"/>
              <w:right w:val="single" w:color="auto" w:sz="4" w:space="0"/>
            </w:tcBorders>
            <w:noWrap w:val="0"/>
            <w:vAlign w:val="center"/>
          </w:tcPr>
          <w:p w14:paraId="06ECDEC1">
            <w:pPr>
              <w:widowControl/>
              <w:jc w:val="center"/>
              <w:rPr>
                <w:rFonts w:hint="default" w:ascii="宋体" w:hAnsi="宋体" w:eastAsia="宋体" w:cs="宋体"/>
                <w:color w:val="auto"/>
                <w:kern w:val="0"/>
                <w:szCs w:val="21"/>
                <w:highlight w:val="none"/>
                <w:lang w:val="en-US" w:eastAsia="zh-CN"/>
              </w:rPr>
            </w:pPr>
            <w:r>
              <w:rPr>
                <w:rFonts w:hint="eastAsia" w:ascii="宋体" w:hAnsi="宋体" w:eastAsia="宋体" w:cs="宋体"/>
                <w:color w:val="auto"/>
                <w:kern w:val="0"/>
                <w:szCs w:val="21"/>
                <w:highlight w:val="none"/>
                <w:lang w:val="en-US" w:eastAsia="zh-CN"/>
              </w:rPr>
              <w:t>36.3</w:t>
            </w:r>
          </w:p>
        </w:tc>
        <w:tc>
          <w:tcPr>
            <w:tcW w:w="1895" w:type="dxa"/>
            <w:tcBorders>
              <w:top w:val="nil"/>
              <w:left w:val="single" w:color="auto" w:sz="4" w:space="0"/>
              <w:bottom w:val="single" w:color="auto" w:sz="8" w:space="0"/>
              <w:right w:val="single" w:color="auto" w:sz="8" w:space="0"/>
            </w:tcBorders>
            <w:noWrap w:val="0"/>
            <w:vAlign w:val="center"/>
          </w:tcPr>
          <w:p w14:paraId="2EAF0EBF">
            <w:pPr>
              <w:widowControl/>
              <w:jc w:val="center"/>
              <w:rPr>
                <w:rFonts w:hint="eastAsia" w:ascii="宋体" w:hAnsi="宋体" w:eastAsia="宋体" w:cs="宋体"/>
                <w:color w:val="auto"/>
                <w:kern w:val="0"/>
                <w:szCs w:val="21"/>
                <w:highlight w:val="none"/>
              </w:rPr>
            </w:pPr>
            <w:r>
              <w:rPr>
                <w:rFonts w:hint="eastAsia" w:ascii="宋体" w:hAnsi="宋体" w:eastAsia="宋体" w:cs="宋体"/>
                <w:color w:val="auto"/>
                <w:szCs w:val="21"/>
                <w:highlight w:val="none"/>
              </w:rPr>
              <w:t>招标代理服务费支付形式、支付时间</w:t>
            </w:r>
          </w:p>
        </w:tc>
        <w:tc>
          <w:tcPr>
            <w:tcW w:w="5810" w:type="dxa"/>
            <w:tcBorders>
              <w:top w:val="nil"/>
              <w:left w:val="nil"/>
              <w:bottom w:val="single" w:color="auto" w:sz="8" w:space="0"/>
              <w:right w:val="single" w:color="auto" w:sz="8" w:space="0"/>
            </w:tcBorders>
            <w:noWrap w:val="0"/>
            <w:vAlign w:val="center"/>
          </w:tcPr>
          <w:p w14:paraId="7EA454E1">
            <w:pPr>
              <w:widowControl/>
              <w:numPr>
                <w:ilvl w:val="0"/>
                <w:numId w:val="0"/>
              </w:numPr>
              <w:snapToGrid w:val="0"/>
              <w:rPr>
                <w:rFonts w:hint="eastAsia" w:ascii="宋体" w:hAnsi="宋体" w:eastAsia="宋体" w:cs="宋体"/>
                <w:color w:val="auto"/>
                <w:szCs w:val="21"/>
                <w:highlight w:val="none"/>
                <w:lang w:val="en-US" w:eastAsia="zh-CN"/>
              </w:rPr>
            </w:pPr>
            <w:r>
              <w:rPr>
                <w:rFonts w:hint="eastAsia" w:ascii="宋体" w:hAnsi="宋体" w:eastAsia="宋体" w:cs="宋体"/>
                <w:color w:val="auto"/>
                <w:szCs w:val="21"/>
                <w:highlight w:val="none"/>
              </w:rPr>
              <w:t>详见《</w:t>
            </w:r>
            <w:r>
              <w:rPr>
                <w:rFonts w:hint="eastAsia" w:ascii="宋体" w:hAnsi="宋体" w:eastAsia="宋体" w:cs="宋体"/>
                <w:color w:val="auto"/>
                <w:szCs w:val="21"/>
                <w:highlight w:val="none"/>
                <w:lang w:val="en-US" w:eastAsia="zh-CN"/>
              </w:rPr>
              <w:t>招标</w:t>
            </w:r>
            <w:r>
              <w:rPr>
                <w:rFonts w:hint="eastAsia" w:ascii="宋体" w:hAnsi="宋体" w:eastAsia="宋体" w:cs="宋体"/>
                <w:color w:val="auto"/>
                <w:szCs w:val="21"/>
                <w:highlight w:val="none"/>
              </w:rPr>
              <w:t>代理服务缴费通知书》。</w:t>
            </w:r>
          </w:p>
        </w:tc>
      </w:tr>
      <w:tr w14:paraId="211F4B91">
        <w:tblPrEx>
          <w:tblCellMar>
            <w:top w:w="0" w:type="dxa"/>
            <w:left w:w="108" w:type="dxa"/>
            <w:bottom w:w="0" w:type="dxa"/>
            <w:right w:w="108" w:type="dxa"/>
          </w:tblCellMar>
        </w:tblPrEx>
        <w:trPr>
          <w:trHeight w:val="23" w:hRule="atLeast"/>
          <w:jc w:val="center"/>
        </w:trPr>
        <w:tc>
          <w:tcPr>
            <w:tcW w:w="951" w:type="dxa"/>
            <w:tcBorders>
              <w:top w:val="single" w:color="auto" w:sz="4" w:space="0"/>
              <w:left w:val="single" w:color="auto" w:sz="8" w:space="0"/>
              <w:bottom w:val="single" w:color="auto" w:sz="4" w:space="0"/>
              <w:right w:val="single" w:color="auto" w:sz="4" w:space="0"/>
            </w:tcBorders>
            <w:noWrap w:val="0"/>
            <w:vAlign w:val="center"/>
          </w:tcPr>
          <w:p w14:paraId="1E74065E">
            <w:pPr>
              <w:widowControl/>
              <w:jc w:val="center"/>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39.3</w:t>
            </w:r>
          </w:p>
        </w:tc>
        <w:tc>
          <w:tcPr>
            <w:tcW w:w="1895" w:type="dxa"/>
            <w:tcBorders>
              <w:top w:val="single" w:color="auto" w:sz="4" w:space="0"/>
              <w:left w:val="single" w:color="auto" w:sz="4" w:space="0"/>
              <w:bottom w:val="single" w:color="auto" w:sz="4" w:space="0"/>
              <w:right w:val="single" w:color="auto" w:sz="8" w:space="0"/>
            </w:tcBorders>
            <w:noWrap w:val="0"/>
            <w:vAlign w:val="center"/>
          </w:tcPr>
          <w:p w14:paraId="0AF5436A">
            <w:pPr>
              <w:widowControl/>
              <w:jc w:val="center"/>
              <w:rPr>
                <w:rFonts w:hint="eastAsia" w:ascii="宋体" w:hAnsi="宋体" w:eastAsia="宋体" w:cs="宋体"/>
                <w:color w:val="auto"/>
                <w:kern w:val="0"/>
                <w:szCs w:val="21"/>
                <w:highlight w:val="none"/>
                <w:lang w:eastAsia="zh-CN"/>
              </w:rPr>
            </w:pPr>
            <w:r>
              <w:rPr>
                <w:rFonts w:hint="eastAsia" w:ascii="宋体" w:hAnsi="宋体" w:eastAsia="宋体" w:cs="宋体"/>
                <w:color w:val="auto"/>
                <w:kern w:val="0"/>
                <w:szCs w:val="21"/>
                <w:highlight w:val="none"/>
                <w:lang w:val="en-US" w:eastAsia="zh-CN"/>
              </w:rPr>
              <w:t>异议</w:t>
            </w:r>
          </w:p>
        </w:tc>
        <w:tc>
          <w:tcPr>
            <w:tcW w:w="5810" w:type="dxa"/>
            <w:tcBorders>
              <w:top w:val="single" w:color="auto" w:sz="4" w:space="0"/>
              <w:left w:val="nil"/>
              <w:bottom w:val="single" w:color="auto" w:sz="4" w:space="0"/>
              <w:right w:val="single" w:color="auto" w:sz="8" w:space="0"/>
            </w:tcBorders>
            <w:noWrap w:val="0"/>
            <w:vAlign w:val="center"/>
          </w:tcPr>
          <w:p w14:paraId="30A085AD">
            <w:pPr>
              <w:widowControl/>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一、投标人认为自己的权益受到损害的，可以在知道或者应知其权益受到损害之日起</w:t>
            </w:r>
            <w:r>
              <w:rPr>
                <w:rFonts w:hint="eastAsia" w:ascii="宋体" w:hAnsi="宋体" w:eastAsia="宋体" w:cs="宋体"/>
                <w:color w:val="auto"/>
                <w:szCs w:val="21"/>
                <w:highlight w:val="none"/>
                <w:lang w:val="en-US" w:eastAsia="zh-CN"/>
              </w:rPr>
              <w:t>10日</w:t>
            </w:r>
            <w:r>
              <w:rPr>
                <w:rFonts w:hint="eastAsia" w:ascii="宋体" w:hAnsi="宋体" w:eastAsia="宋体" w:cs="宋体"/>
                <w:color w:val="auto"/>
                <w:szCs w:val="21"/>
                <w:highlight w:val="none"/>
              </w:rPr>
              <w:t>内，向</w:t>
            </w:r>
            <w:r>
              <w:rPr>
                <w:rFonts w:hint="eastAsia" w:ascii="宋体" w:hAnsi="宋体" w:eastAsia="宋体" w:cs="宋体"/>
                <w:color w:val="auto"/>
                <w:szCs w:val="21"/>
                <w:highlight w:val="none"/>
                <w:lang w:val="en-US" w:eastAsia="zh-CN"/>
              </w:rPr>
              <w:t>招标人或招标</w:t>
            </w:r>
            <w:r>
              <w:rPr>
                <w:rFonts w:hint="eastAsia" w:ascii="宋体" w:hAnsi="宋体" w:eastAsia="宋体" w:cs="宋体"/>
                <w:color w:val="auto"/>
                <w:szCs w:val="21"/>
                <w:highlight w:val="none"/>
              </w:rPr>
              <w:t>代理机构提出</w:t>
            </w:r>
            <w:r>
              <w:rPr>
                <w:rFonts w:hint="eastAsia" w:ascii="宋体" w:hAnsi="宋体" w:eastAsia="宋体" w:cs="宋体"/>
                <w:color w:val="auto"/>
                <w:kern w:val="0"/>
                <w:szCs w:val="21"/>
                <w:highlight w:val="none"/>
                <w:lang w:val="en-US" w:eastAsia="zh-CN"/>
              </w:rPr>
              <w:t>异议</w:t>
            </w:r>
            <w:r>
              <w:rPr>
                <w:rFonts w:hint="eastAsia" w:ascii="宋体" w:hAnsi="宋体" w:eastAsia="宋体" w:cs="宋体"/>
                <w:color w:val="auto"/>
                <w:szCs w:val="21"/>
                <w:highlight w:val="none"/>
              </w:rPr>
              <w:t>。</w:t>
            </w:r>
          </w:p>
          <w:p w14:paraId="6E8A1522">
            <w:pPr>
              <w:widowControl/>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1.接收</w:t>
            </w:r>
            <w:r>
              <w:rPr>
                <w:rFonts w:hint="eastAsia" w:ascii="宋体" w:hAnsi="宋体" w:eastAsia="宋体" w:cs="宋体"/>
                <w:color w:val="auto"/>
                <w:kern w:val="0"/>
                <w:szCs w:val="21"/>
                <w:highlight w:val="none"/>
                <w:lang w:val="en-US" w:eastAsia="zh-CN"/>
              </w:rPr>
              <w:t>异议</w:t>
            </w:r>
            <w:r>
              <w:rPr>
                <w:rFonts w:hint="eastAsia" w:ascii="宋体" w:hAnsi="宋体" w:eastAsia="宋体" w:cs="宋体"/>
                <w:color w:val="auto"/>
                <w:szCs w:val="21"/>
                <w:highlight w:val="none"/>
              </w:rPr>
              <w:t>函的方式：接收加盖单位公章的书面纸</w:t>
            </w:r>
            <w:r>
              <w:rPr>
                <w:rFonts w:hint="eastAsia" w:ascii="宋体" w:hAnsi="宋体" w:eastAsia="宋体" w:cs="宋体"/>
                <w:color w:val="auto"/>
                <w:kern w:val="0"/>
                <w:szCs w:val="21"/>
                <w:highlight w:val="none"/>
                <w:lang w:val="en-US" w:eastAsia="zh-CN"/>
              </w:rPr>
              <w:t>异议</w:t>
            </w:r>
            <w:r>
              <w:rPr>
                <w:rFonts w:hint="eastAsia" w:ascii="宋体" w:hAnsi="宋体" w:eastAsia="宋体" w:cs="宋体"/>
                <w:color w:val="auto"/>
                <w:szCs w:val="21"/>
                <w:highlight w:val="none"/>
              </w:rPr>
              <w:t>函</w:t>
            </w:r>
          </w:p>
          <w:p w14:paraId="71656A29">
            <w:pPr>
              <w:widowControl/>
              <w:snapToGrid w:val="0"/>
              <w:ind w:firstLine="210" w:firstLineChars="100"/>
              <w:rPr>
                <w:rFonts w:hint="eastAsia" w:ascii="宋体" w:hAnsi="宋体" w:eastAsia="宋体" w:cs="宋体"/>
                <w:color w:val="auto"/>
                <w:szCs w:val="21"/>
                <w:highlight w:val="none"/>
              </w:rPr>
            </w:pPr>
            <w:r>
              <w:rPr>
                <w:rFonts w:hint="eastAsia" w:ascii="宋体" w:hAnsi="宋体" w:eastAsia="宋体" w:cs="宋体"/>
                <w:color w:val="auto"/>
                <w:szCs w:val="21"/>
                <w:highlight w:val="none"/>
              </w:rPr>
              <w:t xml:space="preserve">联系单位： </w:t>
            </w:r>
          </w:p>
          <w:p w14:paraId="750793F3">
            <w:pPr>
              <w:widowControl/>
              <w:snapToGrid w:val="0"/>
              <w:ind w:firstLine="210" w:firstLineChars="100"/>
              <w:rPr>
                <w:rFonts w:ascii="宋体" w:hAnsi="宋体" w:eastAsia="宋体" w:cs="宋体"/>
                <w:color w:val="auto"/>
                <w:szCs w:val="21"/>
                <w:highlight w:val="none"/>
              </w:rPr>
            </w:pPr>
            <w:r>
              <w:rPr>
                <w:rFonts w:hint="eastAsia" w:ascii="宋体" w:hAnsi="宋体" w:eastAsia="宋体" w:cs="宋体"/>
                <w:color w:val="auto"/>
                <w:szCs w:val="21"/>
                <w:highlight w:val="none"/>
              </w:rPr>
              <w:t xml:space="preserve">联系电话： </w:t>
            </w:r>
          </w:p>
          <w:p w14:paraId="78BFD20B">
            <w:pPr>
              <w:widowControl/>
              <w:snapToGrid w:val="0"/>
              <w:ind w:firstLine="210" w:firstLineChars="100"/>
              <w:rPr>
                <w:rFonts w:hint="eastAsia" w:ascii="宋体" w:hAnsi="宋体" w:eastAsia="宋体" w:cs="宋体"/>
                <w:color w:val="auto"/>
                <w:szCs w:val="21"/>
                <w:highlight w:val="none"/>
                <w:lang w:eastAsia="zh-CN"/>
              </w:rPr>
            </w:pPr>
            <w:r>
              <w:rPr>
                <w:rFonts w:hint="eastAsia" w:ascii="宋体" w:hAnsi="宋体" w:eastAsia="宋体" w:cs="宋体"/>
                <w:color w:val="auto"/>
                <w:szCs w:val="21"/>
                <w:highlight w:val="none"/>
              </w:rPr>
              <w:t>通讯地址：</w:t>
            </w:r>
          </w:p>
          <w:p w14:paraId="7364C9EA">
            <w:pPr>
              <w:widowControl/>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2.</w:t>
            </w:r>
            <w:r>
              <w:rPr>
                <w:rFonts w:hint="eastAsia" w:ascii="宋体" w:hAnsi="宋体" w:eastAsia="宋体" w:cs="宋体"/>
                <w:color w:val="auto"/>
                <w:szCs w:val="21"/>
                <w:highlight w:val="none"/>
                <w:lang w:eastAsia="zh-CN"/>
              </w:rPr>
              <w:t>异议</w:t>
            </w:r>
            <w:r>
              <w:rPr>
                <w:rFonts w:hint="eastAsia" w:ascii="宋体" w:hAnsi="宋体" w:eastAsia="宋体" w:cs="宋体"/>
                <w:color w:val="auto"/>
                <w:szCs w:val="21"/>
                <w:highlight w:val="none"/>
              </w:rPr>
              <w:t>函的内容、格式：应符合相关规定和</w:t>
            </w:r>
            <w:r>
              <w:rPr>
                <w:rFonts w:hint="eastAsia" w:ascii="宋体" w:hAnsi="宋体" w:eastAsia="宋体" w:cs="宋体"/>
                <w:color w:val="auto"/>
                <w:szCs w:val="21"/>
                <w:highlight w:val="none"/>
                <w:lang w:val="en-US" w:eastAsia="zh-CN"/>
              </w:rPr>
              <w:t>有关</w:t>
            </w:r>
            <w:r>
              <w:rPr>
                <w:rFonts w:hint="eastAsia" w:ascii="宋体" w:hAnsi="宋体" w:eastAsia="宋体" w:cs="宋体"/>
                <w:color w:val="auto"/>
                <w:szCs w:val="21"/>
                <w:highlight w:val="none"/>
              </w:rPr>
              <w:t>部门制定的《</w:t>
            </w:r>
            <w:r>
              <w:rPr>
                <w:rFonts w:hint="eastAsia" w:ascii="宋体" w:hAnsi="宋体" w:eastAsia="宋体" w:cs="宋体"/>
                <w:color w:val="auto"/>
                <w:szCs w:val="21"/>
                <w:highlight w:val="none"/>
                <w:lang w:eastAsia="zh-CN"/>
              </w:rPr>
              <w:t>异议</w:t>
            </w:r>
            <w:r>
              <w:rPr>
                <w:rFonts w:hint="eastAsia" w:ascii="宋体" w:hAnsi="宋体" w:eastAsia="宋体" w:cs="宋体"/>
                <w:color w:val="auto"/>
                <w:szCs w:val="21"/>
                <w:highlight w:val="none"/>
              </w:rPr>
              <w:t>函范本》格式。</w:t>
            </w:r>
          </w:p>
          <w:p w14:paraId="5B2C5F01">
            <w:pPr>
              <w:pStyle w:val="8"/>
              <w:rPr>
                <w:rFonts w:hint="eastAsia" w:ascii="宋体" w:hAnsi="宋体" w:eastAsia="宋体" w:cs="宋体"/>
                <w:color w:val="auto"/>
                <w:kern w:val="0"/>
                <w:szCs w:val="21"/>
                <w:highlight w:val="none"/>
              </w:rPr>
            </w:pPr>
            <w:r>
              <w:rPr>
                <w:rFonts w:hint="eastAsia" w:ascii="宋体" w:hAnsi="宋体" w:eastAsia="宋体" w:cs="宋体"/>
                <w:color w:val="auto"/>
                <w:szCs w:val="21"/>
                <w:highlight w:val="none"/>
              </w:rPr>
              <w:t>二、投标人应在法定</w:t>
            </w:r>
            <w:r>
              <w:rPr>
                <w:rFonts w:hint="eastAsia" w:ascii="宋体" w:hAnsi="宋体" w:eastAsia="宋体" w:cs="宋体"/>
                <w:color w:val="auto"/>
                <w:szCs w:val="21"/>
                <w:highlight w:val="none"/>
                <w:lang w:eastAsia="zh-CN"/>
              </w:rPr>
              <w:t>异议</w:t>
            </w:r>
            <w:r>
              <w:rPr>
                <w:rFonts w:hint="eastAsia" w:ascii="宋体" w:hAnsi="宋体" w:eastAsia="宋体" w:cs="宋体"/>
                <w:color w:val="auto"/>
                <w:szCs w:val="21"/>
                <w:highlight w:val="none"/>
              </w:rPr>
              <w:t>期内一次性针对同一</w:t>
            </w:r>
            <w:r>
              <w:rPr>
                <w:rFonts w:hint="eastAsia" w:ascii="宋体" w:hAnsi="宋体" w:eastAsia="宋体" w:cs="宋体"/>
                <w:color w:val="auto"/>
                <w:szCs w:val="21"/>
                <w:highlight w:val="none"/>
                <w:lang w:val="en-US" w:eastAsia="zh-CN"/>
              </w:rPr>
              <w:t>招标</w:t>
            </w:r>
            <w:r>
              <w:rPr>
                <w:rFonts w:hint="eastAsia" w:ascii="宋体" w:hAnsi="宋体" w:eastAsia="宋体" w:cs="宋体"/>
                <w:color w:val="auto"/>
                <w:szCs w:val="21"/>
                <w:highlight w:val="none"/>
              </w:rPr>
              <w:t>程序环节提出</w:t>
            </w:r>
            <w:r>
              <w:rPr>
                <w:rFonts w:hint="eastAsia" w:ascii="宋体" w:hAnsi="宋体" w:eastAsia="宋体" w:cs="宋体"/>
                <w:color w:val="auto"/>
                <w:szCs w:val="21"/>
                <w:highlight w:val="none"/>
                <w:lang w:eastAsia="zh-CN"/>
              </w:rPr>
              <w:t>异议</w:t>
            </w:r>
            <w:r>
              <w:rPr>
                <w:rFonts w:hint="eastAsia" w:ascii="宋体" w:hAnsi="宋体" w:eastAsia="宋体" w:cs="宋体"/>
                <w:color w:val="auto"/>
                <w:szCs w:val="21"/>
                <w:highlight w:val="none"/>
              </w:rPr>
              <w:t>，否则针对再次提出</w:t>
            </w:r>
            <w:r>
              <w:rPr>
                <w:rFonts w:hint="eastAsia" w:ascii="宋体" w:hAnsi="宋体" w:eastAsia="宋体" w:cs="宋体"/>
                <w:color w:val="auto"/>
                <w:szCs w:val="21"/>
                <w:highlight w:val="none"/>
                <w:lang w:eastAsia="zh-CN"/>
              </w:rPr>
              <w:t>异议</w:t>
            </w:r>
            <w:r>
              <w:rPr>
                <w:rFonts w:hint="eastAsia" w:ascii="宋体" w:hAnsi="宋体" w:eastAsia="宋体" w:cs="宋体"/>
                <w:color w:val="auto"/>
                <w:szCs w:val="21"/>
                <w:highlight w:val="none"/>
              </w:rPr>
              <w:t>将不予接收。（</w:t>
            </w:r>
            <w:r>
              <w:rPr>
                <w:rFonts w:hint="eastAsia" w:ascii="宋体" w:hAnsi="宋体" w:eastAsia="宋体" w:cs="宋体"/>
                <w:color w:val="auto"/>
                <w:szCs w:val="21"/>
                <w:highlight w:val="none"/>
                <w:lang w:val="en-US" w:eastAsia="zh-CN"/>
              </w:rPr>
              <w:t>招标</w:t>
            </w:r>
            <w:r>
              <w:rPr>
                <w:rFonts w:hint="eastAsia" w:ascii="宋体" w:hAnsi="宋体" w:eastAsia="宋体" w:cs="宋体"/>
                <w:color w:val="auto"/>
                <w:szCs w:val="21"/>
                <w:highlight w:val="none"/>
              </w:rPr>
              <w:t>程序环节分为：</w:t>
            </w:r>
            <w:r>
              <w:rPr>
                <w:rFonts w:hint="eastAsia" w:ascii="宋体" w:hAnsi="宋体" w:eastAsia="宋体" w:cs="宋体"/>
                <w:color w:val="auto"/>
                <w:szCs w:val="21"/>
                <w:highlight w:val="none"/>
                <w:lang w:val="en-US" w:eastAsia="zh-CN"/>
              </w:rPr>
              <w:t>招标</w:t>
            </w:r>
            <w:r>
              <w:rPr>
                <w:rFonts w:hint="eastAsia" w:ascii="宋体" w:hAnsi="宋体" w:eastAsia="宋体" w:cs="宋体"/>
                <w:color w:val="auto"/>
                <w:szCs w:val="21"/>
                <w:highlight w:val="none"/>
              </w:rPr>
              <w:t>公告、招标文件、招标过程、中标结果）</w:t>
            </w:r>
          </w:p>
        </w:tc>
      </w:tr>
    </w:tbl>
    <w:p w14:paraId="2A7719B2">
      <w:pPr>
        <w:rPr>
          <w:rFonts w:hint="eastAsia" w:ascii="宋体" w:hAnsi="宋体" w:eastAsia="宋体" w:cs="宋体"/>
          <w:color w:val="auto"/>
          <w:highlight w:val="none"/>
        </w:rPr>
      </w:pPr>
      <w:r>
        <w:rPr>
          <w:rFonts w:hint="eastAsia" w:ascii="宋体" w:hAnsi="宋体" w:eastAsia="宋体" w:cs="宋体"/>
          <w:color w:val="auto"/>
          <w:highlight w:val="none"/>
        </w:rPr>
        <w:t>注：表格中“</w:t>
      </w:r>
      <w:r>
        <w:rPr>
          <w:rFonts w:hint="eastAsia" w:ascii="宋体" w:hAnsi="宋体" w:eastAsia="宋体" w:cs="宋体"/>
          <w:color w:val="auto"/>
          <w:highlight w:val="none"/>
        </w:rPr>
        <w:sym w:font="Wingdings" w:char="00FE"/>
      </w:r>
      <w:r>
        <w:rPr>
          <w:rFonts w:hint="eastAsia" w:ascii="宋体" w:hAnsi="宋体" w:eastAsia="宋体" w:cs="宋体"/>
          <w:color w:val="auto"/>
          <w:highlight w:val="none"/>
        </w:rPr>
        <w:t>”项或“■”项为被选中项。</w:t>
      </w:r>
    </w:p>
    <w:p w14:paraId="46585EEF">
      <w:pPr>
        <w:pStyle w:val="3"/>
        <w:adjustRightInd w:val="0"/>
        <w:snapToGrid w:val="0"/>
        <w:spacing w:before="0" w:after="0" w:line="240" w:lineRule="auto"/>
        <w:rPr>
          <w:rFonts w:hint="eastAsia" w:ascii="宋体" w:hAnsi="宋体" w:eastAsia="宋体" w:cs="宋体"/>
          <w:color w:val="auto"/>
          <w:highlight w:val="none"/>
        </w:rPr>
        <w:sectPr>
          <w:pgSz w:w="11906" w:h="16839"/>
          <w:pgMar w:top="1134" w:right="1175" w:bottom="1185" w:left="1330" w:header="850" w:footer="970" w:gutter="0"/>
          <w:pgBorders>
            <w:top w:val="none" w:sz="0" w:space="0"/>
            <w:left w:val="none" w:sz="0" w:space="0"/>
            <w:bottom w:val="none" w:sz="0" w:space="0"/>
            <w:right w:val="none" w:sz="0" w:space="0"/>
          </w:pgBorders>
          <w:pgNumType w:fmt="decimal"/>
          <w:cols w:space="720" w:num="1"/>
        </w:sectPr>
      </w:pPr>
    </w:p>
    <w:p w14:paraId="45D7617F">
      <w:pPr>
        <w:pStyle w:val="3"/>
        <w:adjustRightInd w:val="0"/>
        <w:snapToGrid w:val="0"/>
        <w:spacing w:before="0" w:after="0" w:line="240" w:lineRule="auto"/>
        <w:jc w:val="center"/>
        <w:rPr>
          <w:rFonts w:hint="eastAsia" w:ascii="宋体" w:hAnsi="宋体" w:eastAsia="宋体" w:cs="宋体"/>
          <w:color w:val="auto"/>
          <w:highlight w:val="none"/>
        </w:rPr>
      </w:pPr>
      <w:r>
        <w:rPr>
          <w:rFonts w:hint="eastAsia" w:ascii="宋体" w:hAnsi="宋体" w:eastAsia="宋体" w:cs="宋体"/>
          <w:color w:val="auto"/>
          <w:highlight w:val="none"/>
        </w:rPr>
        <w:t>二 总则</w:t>
      </w:r>
    </w:p>
    <w:p w14:paraId="539C0EB4">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1.</w:t>
      </w:r>
      <w:r>
        <w:rPr>
          <w:rFonts w:hint="eastAsia" w:ascii="宋体" w:hAnsi="宋体" w:eastAsia="宋体" w:cs="宋体"/>
          <w:b/>
          <w:bCs/>
          <w:color w:val="auto"/>
          <w:szCs w:val="21"/>
          <w:highlight w:val="none"/>
          <w:lang w:eastAsia="zh-CN"/>
        </w:rPr>
        <w:t>招标人</w:t>
      </w:r>
      <w:r>
        <w:rPr>
          <w:rFonts w:hint="eastAsia" w:ascii="宋体" w:hAnsi="宋体" w:eastAsia="宋体" w:cs="宋体"/>
          <w:b/>
          <w:bCs/>
          <w:color w:val="auto"/>
          <w:szCs w:val="21"/>
          <w:highlight w:val="none"/>
        </w:rPr>
        <w:t>、</w:t>
      </w:r>
      <w:r>
        <w:rPr>
          <w:rFonts w:hint="eastAsia" w:ascii="宋体" w:hAnsi="宋体" w:eastAsia="宋体" w:cs="宋体"/>
          <w:b/>
          <w:bCs/>
          <w:color w:val="auto"/>
          <w:szCs w:val="21"/>
          <w:highlight w:val="none"/>
          <w:lang w:eastAsia="zh-CN"/>
        </w:rPr>
        <w:t>招标代理机构</w:t>
      </w:r>
      <w:r>
        <w:rPr>
          <w:rFonts w:hint="eastAsia" w:ascii="宋体" w:hAnsi="宋体" w:eastAsia="宋体" w:cs="宋体"/>
          <w:b/>
          <w:bCs/>
          <w:color w:val="auto"/>
          <w:szCs w:val="21"/>
          <w:highlight w:val="none"/>
        </w:rPr>
        <w:t>及投标人</w:t>
      </w:r>
    </w:p>
    <w:p w14:paraId="74C83661">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1.1</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：是指依法进行</w:t>
      </w:r>
      <w:r>
        <w:rPr>
          <w:rFonts w:hint="eastAsia" w:ascii="宋体" w:hAnsi="宋体" w:eastAsia="宋体" w:cs="宋体"/>
          <w:color w:val="auto"/>
          <w:szCs w:val="21"/>
          <w:highlight w:val="none"/>
          <w:lang w:val="en-US" w:eastAsia="zh-CN"/>
        </w:rPr>
        <w:t>招标</w:t>
      </w:r>
      <w:r>
        <w:rPr>
          <w:rFonts w:hint="eastAsia" w:ascii="宋体" w:hAnsi="宋体" w:eastAsia="宋体" w:cs="宋体"/>
          <w:color w:val="auto"/>
          <w:szCs w:val="21"/>
          <w:highlight w:val="none"/>
        </w:rPr>
        <w:t>的国家机关、事业单位、团体组织。本项目</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见投标人须知表1.1款。</w:t>
      </w:r>
    </w:p>
    <w:p w14:paraId="702A9950">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1.2</w:t>
      </w:r>
      <w:r>
        <w:rPr>
          <w:rFonts w:hint="eastAsia" w:ascii="宋体" w:hAnsi="宋体" w:eastAsia="宋体" w:cs="宋体"/>
          <w:color w:val="auto"/>
          <w:szCs w:val="21"/>
          <w:highlight w:val="none"/>
          <w:lang w:eastAsia="zh-CN"/>
        </w:rPr>
        <w:t>招标代理机构</w:t>
      </w:r>
      <w:r>
        <w:rPr>
          <w:rFonts w:hint="eastAsia" w:ascii="宋体" w:hAnsi="宋体" w:eastAsia="宋体" w:cs="宋体"/>
          <w:color w:val="auto"/>
          <w:szCs w:val="21"/>
          <w:highlight w:val="none"/>
        </w:rPr>
        <w:t>：是指集中</w:t>
      </w:r>
      <w:r>
        <w:rPr>
          <w:rFonts w:hint="eastAsia" w:ascii="宋体" w:hAnsi="宋体" w:eastAsia="宋体" w:cs="宋体"/>
          <w:color w:val="auto"/>
          <w:szCs w:val="21"/>
          <w:highlight w:val="none"/>
          <w:lang w:val="en-US" w:eastAsia="zh-CN"/>
        </w:rPr>
        <w:t>招标</w:t>
      </w:r>
      <w:r>
        <w:rPr>
          <w:rFonts w:hint="eastAsia" w:ascii="宋体" w:hAnsi="宋体" w:eastAsia="宋体" w:cs="宋体"/>
          <w:color w:val="auto"/>
          <w:szCs w:val="21"/>
          <w:highlight w:val="none"/>
        </w:rPr>
        <w:t>机构或从事</w:t>
      </w:r>
      <w:r>
        <w:rPr>
          <w:rFonts w:hint="eastAsia" w:ascii="宋体" w:hAnsi="宋体" w:eastAsia="宋体" w:cs="宋体"/>
          <w:color w:val="auto"/>
          <w:szCs w:val="21"/>
          <w:highlight w:val="none"/>
          <w:lang w:val="en-US" w:eastAsia="zh-CN"/>
        </w:rPr>
        <w:t>招标</w:t>
      </w:r>
      <w:r>
        <w:rPr>
          <w:rFonts w:hint="eastAsia" w:ascii="宋体" w:hAnsi="宋体" w:eastAsia="宋体" w:cs="宋体"/>
          <w:color w:val="auto"/>
          <w:szCs w:val="21"/>
          <w:highlight w:val="none"/>
        </w:rPr>
        <w:t>代理业务的社会中介机构，本项目的</w:t>
      </w:r>
      <w:r>
        <w:rPr>
          <w:rFonts w:hint="eastAsia" w:ascii="宋体" w:hAnsi="宋体" w:eastAsia="宋体" w:cs="宋体"/>
          <w:color w:val="auto"/>
          <w:szCs w:val="21"/>
          <w:highlight w:val="none"/>
          <w:lang w:eastAsia="zh-CN"/>
        </w:rPr>
        <w:t>招标代理机构</w:t>
      </w:r>
      <w:r>
        <w:rPr>
          <w:rFonts w:hint="eastAsia" w:ascii="宋体" w:hAnsi="宋体" w:eastAsia="宋体" w:cs="宋体"/>
          <w:color w:val="auto"/>
          <w:szCs w:val="21"/>
          <w:highlight w:val="none"/>
        </w:rPr>
        <w:t>见投标人须知表1.2款。</w:t>
      </w:r>
    </w:p>
    <w:p w14:paraId="11ED124C">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1.3 投标人：是指向</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提供货物、工程或者服务的法人、非法人组织或者自然人。本项目的投标人及其投标货物须满足以下条件：</w:t>
      </w:r>
    </w:p>
    <w:p w14:paraId="55411998">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1.3.1 在中华人民共和国境内注册，能够独立承担民事责任，有生产或供应能力的本国</w:t>
      </w:r>
      <w:r>
        <w:rPr>
          <w:rFonts w:hint="eastAsia" w:ascii="宋体" w:hAnsi="宋体" w:eastAsia="宋体" w:cs="宋体"/>
          <w:color w:val="auto"/>
          <w:szCs w:val="21"/>
          <w:highlight w:val="none"/>
          <w:lang w:eastAsia="zh-CN"/>
        </w:rPr>
        <w:t>投标人</w:t>
      </w:r>
      <w:r>
        <w:rPr>
          <w:rFonts w:hint="eastAsia" w:ascii="宋体" w:hAnsi="宋体" w:eastAsia="宋体" w:cs="宋体"/>
          <w:color w:val="auto"/>
          <w:szCs w:val="21"/>
          <w:highlight w:val="none"/>
        </w:rPr>
        <w:t>。</w:t>
      </w:r>
    </w:p>
    <w:p w14:paraId="33F0E83B">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1.3.2 具备关于</w:t>
      </w:r>
      <w:r>
        <w:rPr>
          <w:rFonts w:hint="eastAsia" w:ascii="宋体" w:hAnsi="宋体" w:eastAsia="宋体" w:cs="宋体"/>
          <w:color w:val="auto"/>
          <w:szCs w:val="21"/>
          <w:highlight w:val="none"/>
          <w:lang w:eastAsia="zh-CN"/>
        </w:rPr>
        <w:t>投标人</w:t>
      </w:r>
      <w:r>
        <w:rPr>
          <w:rFonts w:hint="eastAsia" w:ascii="宋体" w:hAnsi="宋体" w:eastAsia="宋体" w:cs="宋体"/>
          <w:color w:val="auto"/>
          <w:szCs w:val="21"/>
          <w:highlight w:val="none"/>
        </w:rPr>
        <w:t>条件的规定，遵守本项目</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本级和上级财政部门</w:t>
      </w:r>
      <w:r>
        <w:rPr>
          <w:rFonts w:hint="eastAsia" w:ascii="宋体" w:hAnsi="宋体" w:eastAsia="宋体" w:cs="宋体"/>
          <w:color w:val="auto"/>
          <w:szCs w:val="21"/>
          <w:highlight w:val="none"/>
          <w:lang w:val="en-US" w:eastAsia="zh-CN"/>
        </w:rPr>
        <w:t>招标</w:t>
      </w:r>
      <w:r>
        <w:rPr>
          <w:rFonts w:hint="eastAsia" w:ascii="宋体" w:hAnsi="宋体" w:eastAsia="宋体" w:cs="宋体"/>
          <w:color w:val="auto"/>
          <w:szCs w:val="21"/>
          <w:highlight w:val="none"/>
        </w:rPr>
        <w:t>采购的有关规定。</w:t>
      </w:r>
    </w:p>
    <w:p w14:paraId="733B849D">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1.3.3 以</w:t>
      </w:r>
      <w:r>
        <w:rPr>
          <w:rFonts w:hint="eastAsia" w:ascii="宋体" w:hAnsi="宋体" w:eastAsia="宋体" w:cs="宋体"/>
          <w:color w:val="auto"/>
          <w:szCs w:val="21"/>
          <w:highlight w:val="none"/>
          <w:lang w:eastAsia="zh-CN"/>
        </w:rPr>
        <w:t>招标代理机构</w:t>
      </w:r>
      <w:r>
        <w:rPr>
          <w:rFonts w:hint="eastAsia" w:ascii="宋体" w:hAnsi="宋体" w:eastAsia="宋体" w:cs="宋体"/>
          <w:color w:val="auto"/>
          <w:szCs w:val="21"/>
          <w:highlight w:val="none"/>
        </w:rPr>
        <w:t>认可的方式获得了本项目的招标文件。</w:t>
      </w:r>
    </w:p>
    <w:p w14:paraId="2F539942">
      <w:pPr>
        <w:adjustRightInd w:val="0"/>
        <w:snapToGrid w:val="0"/>
        <w:rPr>
          <w:rFonts w:hint="eastAsia" w:ascii="宋体" w:hAnsi="宋体" w:eastAsia="宋体" w:cs="宋体"/>
          <w:color w:val="auto"/>
          <w:szCs w:val="21"/>
          <w:highlight w:val="none"/>
          <w:lang w:val="en-US" w:eastAsia="zh-CN"/>
        </w:rPr>
      </w:pPr>
      <w:r>
        <w:rPr>
          <w:rFonts w:hint="eastAsia" w:ascii="宋体" w:hAnsi="宋体" w:eastAsia="宋体" w:cs="宋体"/>
          <w:color w:val="auto"/>
          <w:szCs w:val="21"/>
          <w:highlight w:val="none"/>
        </w:rPr>
        <w:t>1.3.4 符合投标人须知表1.3.4款中规定的资格条件。</w:t>
      </w:r>
    </w:p>
    <w:p w14:paraId="5A267D54">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1.4 如投标人须知表1.4款中允许联合体投标，对联合体规定如下：</w:t>
      </w:r>
    </w:p>
    <w:p w14:paraId="027247A8">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1.4.1 两个以上</w:t>
      </w:r>
      <w:r>
        <w:rPr>
          <w:rFonts w:hint="eastAsia" w:ascii="宋体" w:hAnsi="宋体" w:eastAsia="宋体" w:cs="宋体"/>
          <w:color w:val="auto"/>
          <w:szCs w:val="21"/>
          <w:highlight w:val="none"/>
          <w:lang w:eastAsia="zh-CN"/>
        </w:rPr>
        <w:t>投标人</w:t>
      </w:r>
      <w:r>
        <w:rPr>
          <w:rFonts w:hint="eastAsia" w:ascii="宋体" w:hAnsi="宋体" w:eastAsia="宋体" w:cs="宋体"/>
          <w:color w:val="auto"/>
          <w:szCs w:val="21"/>
          <w:highlight w:val="none"/>
        </w:rPr>
        <w:t>可以组成一个投标联合体，以一个投标人的身份投标。</w:t>
      </w:r>
    </w:p>
    <w:p w14:paraId="5017BCD0">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1.4.2 联合体各方均应符合</w:t>
      </w:r>
      <w:r>
        <w:rPr>
          <w:rFonts w:hint="eastAsia" w:ascii="宋体" w:hAnsi="宋体" w:eastAsia="宋体" w:cs="宋体"/>
          <w:b/>
          <w:bCs w:val="0"/>
          <w:color w:val="auto"/>
          <w:sz w:val="21"/>
          <w:szCs w:val="21"/>
          <w:highlight w:val="none"/>
        </w:rPr>
        <w:t>申请人的资格要求</w:t>
      </w:r>
      <w:r>
        <w:rPr>
          <w:rFonts w:hint="eastAsia" w:ascii="宋体" w:hAnsi="宋体" w:eastAsia="宋体" w:cs="宋体"/>
          <w:color w:val="auto"/>
          <w:szCs w:val="21"/>
          <w:highlight w:val="none"/>
        </w:rPr>
        <w:t>规定的条件。</w:t>
      </w:r>
    </w:p>
    <w:p w14:paraId="4330B432">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 xml:space="preserve">1.4.3 </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根据</w:t>
      </w:r>
      <w:r>
        <w:rPr>
          <w:rFonts w:hint="eastAsia" w:ascii="宋体" w:hAnsi="宋体" w:eastAsia="宋体" w:cs="宋体"/>
          <w:color w:val="auto"/>
          <w:szCs w:val="21"/>
          <w:highlight w:val="none"/>
          <w:lang w:val="en-US" w:eastAsia="zh-CN"/>
        </w:rPr>
        <w:t>招标</w:t>
      </w:r>
      <w:r>
        <w:rPr>
          <w:rFonts w:hint="eastAsia" w:ascii="宋体" w:hAnsi="宋体" w:eastAsia="宋体" w:cs="宋体"/>
          <w:color w:val="auto"/>
          <w:szCs w:val="21"/>
          <w:highlight w:val="none"/>
        </w:rPr>
        <w:t>项目对投标人的特殊要求，联合体中至少应当有一方符合相关规定。</w:t>
      </w:r>
    </w:p>
    <w:p w14:paraId="0CFAF385">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1.4.4 联合体各方应签订共同投标协议，明确约定联合体各方承担的工作和相应的责任。</w:t>
      </w:r>
    </w:p>
    <w:p w14:paraId="61CB977B">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1.4.5 大中型企业、其他自然人、法人或者非法人组织与小型、微型企业组成联合体共同参加投标，共同投标协议中应写明小型、微型企业的协议合同金额占到共同投标协议投标总金额的比例。</w:t>
      </w:r>
    </w:p>
    <w:p w14:paraId="512B2B24">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1.4.6 联合体中有同类资质的</w:t>
      </w:r>
      <w:r>
        <w:rPr>
          <w:rFonts w:hint="eastAsia" w:ascii="宋体" w:hAnsi="宋体" w:eastAsia="宋体" w:cs="宋体"/>
          <w:color w:val="auto"/>
          <w:szCs w:val="21"/>
          <w:highlight w:val="none"/>
          <w:lang w:eastAsia="zh-CN"/>
        </w:rPr>
        <w:t>投标人</w:t>
      </w:r>
      <w:r>
        <w:rPr>
          <w:rFonts w:hint="eastAsia" w:ascii="宋体" w:hAnsi="宋体" w:eastAsia="宋体" w:cs="宋体"/>
          <w:color w:val="auto"/>
          <w:szCs w:val="21"/>
          <w:highlight w:val="none"/>
        </w:rPr>
        <w:t>按照联合体分工承担相同工作的，按照较低的资质等级确定联合体的资质等级。</w:t>
      </w:r>
    </w:p>
    <w:p w14:paraId="332F17FD">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1.4.7 以联合体形式参加</w:t>
      </w:r>
      <w:r>
        <w:rPr>
          <w:rFonts w:hint="eastAsia" w:ascii="宋体" w:hAnsi="宋体" w:eastAsia="宋体" w:cs="宋体"/>
          <w:b/>
          <w:bCs/>
          <w:color w:val="auto"/>
          <w:szCs w:val="21"/>
          <w:highlight w:val="none"/>
          <w:lang w:val="en-US" w:eastAsia="zh-CN"/>
        </w:rPr>
        <w:t>招标</w:t>
      </w:r>
      <w:r>
        <w:rPr>
          <w:rFonts w:hint="eastAsia" w:ascii="宋体" w:hAnsi="宋体" w:eastAsia="宋体" w:cs="宋体"/>
          <w:b/>
          <w:bCs/>
          <w:color w:val="auto"/>
          <w:szCs w:val="21"/>
          <w:highlight w:val="none"/>
        </w:rPr>
        <w:t>活动的，联合体各方不得再单独参加或者与其他</w:t>
      </w:r>
      <w:r>
        <w:rPr>
          <w:rFonts w:hint="eastAsia" w:ascii="宋体" w:hAnsi="宋体" w:eastAsia="宋体" w:cs="宋体"/>
          <w:b/>
          <w:bCs/>
          <w:color w:val="auto"/>
          <w:szCs w:val="21"/>
          <w:highlight w:val="none"/>
          <w:lang w:eastAsia="zh-CN"/>
        </w:rPr>
        <w:t>投标人</w:t>
      </w:r>
      <w:r>
        <w:rPr>
          <w:rFonts w:hint="eastAsia" w:ascii="宋体" w:hAnsi="宋体" w:eastAsia="宋体" w:cs="宋体"/>
          <w:b/>
          <w:bCs/>
          <w:color w:val="auto"/>
          <w:szCs w:val="21"/>
          <w:highlight w:val="none"/>
        </w:rPr>
        <w:t>另外组成联合体参加本项目投标，否则相关投标将被认定为投标无效。</w:t>
      </w:r>
    </w:p>
    <w:p w14:paraId="15AD8E39">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（1）两个以上的自然人、法人或者其他组织可以组成一个联合体，以一个投标人的身份共同参加</w:t>
      </w:r>
      <w:r>
        <w:rPr>
          <w:rFonts w:hint="eastAsia" w:ascii="宋体" w:hAnsi="宋体" w:eastAsia="宋体" w:cs="宋体"/>
          <w:color w:val="auto"/>
          <w:szCs w:val="21"/>
          <w:highlight w:val="none"/>
          <w:lang w:val="en-US" w:eastAsia="zh-CN"/>
        </w:rPr>
        <w:t>招标</w:t>
      </w:r>
      <w:r>
        <w:rPr>
          <w:rFonts w:hint="eastAsia" w:ascii="宋体" w:hAnsi="宋体" w:eastAsia="宋体" w:cs="宋体"/>
          <w:color w:val="auto"/>
          <w:szCs w:val="21"/>
          <w:highlight w:val="none"/>
        </w:rPr>
        <w:t>采购活动。</w:t>
      </w:r>
    </w:p>
    <w:p w14:paraId="1CDF1C70">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（2）联合体中标的，联合体各方应共同与</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签订</w:t>
      </w:r>
      <w:r>
        <w:rPr>
          <w:rFonts w:hint="eastAsia" w:ascii="宋体" w:hAnsi="宋体" w:eastAsia="宋体" w:cs="宋体"/>
          <w:color w:val="auto"/>
          <w:szCs w:val="21"/>
          <w:highlight w:val="none"/>
          <w:lang w:val="en-US" w:eastAsia="zh-CN"/>
        </w:rPr>
        <w:t>招标</w:t>
      </w:r>
      <w:r>
        <w:rPr>
          <w:rFonts w:hint="eastAsia" w:ascii="宋体" w:hAnsi="宋体" w:eastAsia="宋体" w:cs="宋体"/>
          <w:color w:val="auto"/>
          <w:szCs w:val="21"/>
          <w:highlight w:val="none"/>
        </w:rPr>
        <w:t>合同，就</w:t>
      </w:r>
      <w:r>
        <w:rPr>
          <w:rFonts w:hint="eastAsia" w:ascii="宋体" w:hAnsi="宋体" w:eastAsia="宋体" w:cs="宋体"/>
          <w:color w:val="auto"/>
          <w:szCs w:val="21"/>
          <w:highlight w:val="none"/>
          <w:lang w:val="en-US" w:eastAsia="zh-CN"/>
        </w:rPr>
        <w:t>招标</w:t>
      </w:r>
      <w:r>
        <w:rPr>
          <w:rFonts w:hint="eastAsia" w:ascii="宋体" w:hAnsi="宋体" w:eastAsia="宋体" w:cs="宋体"/>
          <w:color w:val="auto"/>
          <w:szCs w:val="21"/>
          <w:highlight w:val="none"/>
        </w:rPr>
        <w:t>合同约定的事项对</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承担连带责任。</w:t>
      </w:r>
    </w:p>
    <w:p w14:paraId="3A7F9DC8">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1.4.8 对联合体投标的其他资格要求见投标人须知表1.4.8款。</w:t>
      </w:r>
    </w:p>
    <w:p w14:paraId="6AAF51D8">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1.5 单位负责人为同一人或者存在直接控股、管理关系的不同</w:t>
      </w:r>
      <w:r>
        <w:rPr>
          <w:rFonts w:hint="eastAsia" w:ascii="宋体" w:hAnsi="宋体" w:eastAsia="宋体" w:cs="宋体"/>
          <w:b/>
          <w:bCs/>
          <w:color w:val="auto"/>
          <w:szCs w:val="21"/>
          <w:highlight w:val="none"/>
          <w:lang w:eastAsia="zh-CN"/>
        </w:rPr>
        <w:t>投标人</w:t>
      </w:r>
      <w:r>
        <w:rPr>
          <w:rFonts w:hint="eastAsia" w:ascii="宋体" w:hAnsi="宋体" w:eastAsia="宋体" w:cs="宋体"/>
          <w:b/>
          <w:bCs/>
          <w:color w:val="auto"/>
          <w:szCs w:val="21"/>
          <w:highlight w:val="none"/>
        </w:rPr>
        <w:t>，其相关投标将被认定为投标无效。</w:t>
      </w:r>
    </w:p>
    <w:p w14:paraId="605B238B">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1.6 为本项目提供过整体设计、规范编制或者项目管理、监理、检测等服务的</w:t>
      </w:r>
      <w:r>
        <w:rPr>
          <w:rFonts w:hint="eastAsia" w:ascii="宋体" w:hAnsi="宋体" w:eastAsia="宋体" w:cs="宋体"/>
          <w:b/>
          <w:bCs/>
          <w:color w:val="auto"/>
          <w:szCs w:val="21"/>
          <w:highlight w:val="none"/>
          <w:lang w:eastAsia="zh-CN"/>
        </w:rPr>
        <w:t>投标人</w:t>
      </w:r>
      <w:r>
        <w:rPr>
          <w:rFonts w:hint="eastAsia" w:ascii="宋体" w:hAnsi="宋体" w:eastAsia="宋体" w:cs="宋体"/>
          <w:b/>
          <w:bCs/>
          <w:color w:val="auto"/>
          <w:szCs w:val="21"/>
          <w:highlight w:val="none"/>
        </w:rPr>
        <w:t>，不得再参加本项目上述服务以外的其他</w:t>
      </w:r>
      <w:r>
        <w:rPr>
          <w:rFonts w:hint="eastAsia" w:ascii="宋体" w:hAnsi="宋体" w:eastAsia="宋体" w:cs="宋体"/>
          <w:b/>
          <w:bCs/>
          <w:color w:val="auto"/>
          <w:szCs w:val="21"/>
          <w:highlight w:val="none"/>
          <w:lang w:val="en-US" w:eastAsia="zh-CN"/>
        </w:rPr>
        <w:t>招标</w:t>
      </w:r>
      <w:r>
        <w:rPr>
          <w:rFonts w:hint="eastAsia" w:ascii="宋体" w:hAnsi="宋体" w:eastAsia="宋体" w:cs="宋体"/>
          <w:b/>
          <w:bCs/>
          <w:color w:val="auto"/>
          <w:szCs w:val="21"/>
          <w:highlight w:val="none"/>
        </w:rPr>
        <w:t>活动。否则其投标将被认定为投标无效。</w:t>
      </w:r>
    </w:p>
    <w:p w14:paraId="3D45BB14">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1.7 投标人在投标过程中不得向</w:t>
      </w:r>
      <w:r>
        <w:rPr>
          <w:rFonts w:hint="eastAsia" w:ascii="宋体" w:hAnsi="宋体" w:eastAsia="宋体" w:cs="宋体"/>
          <w:b/>
          <w:bCs/>
          <w:color w:val="auto"/>
          <w:szCs w:val="21"/>
          <w:highlight w:val="none"/>
          <w:lang w:eastAsia="zh-CN"/>
        </w:rPr>
        <w:t>招标人</w:t>
      </w:r>
      <w:r>
        <w:rPr>
          <w:rFonts w:hint="eastAsia" w:ascii="宋体" w:hAnsi="宋体" w:eastAsia="宋体" w:cs="宋体"/>
          <w:b/>
          <w:bCs/>
          <w:color w:val="auto"/>
          <w:szCs w:val="21"/>
          <w:highlight w:val="none"/>
        </w:rPr>
        <w:t>提供、给予任何有价值的物品，影响其正常决策行为。一经发现，其将被认定为投标无效。</w:t>
      </w:r>
    </w:p>
    <w:p w14:paraId="57E5E706">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2.资金来源</w:t>
      </w:r>
    </w:p>
    <w:p w14:paraId="49ABEB12">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2.1  本项目的</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已获得足以支付本次招标后所签订的合同项下的资金（包括财政性资金和本项目</w:t>
      </w:r>
      <w:r>
        <w:rPr>
          <w:rFonts w:hint="eastAsia" w:ascii="宋体" w:hAnsi="宋体" w:eastAsia="宋体" w:cs="宋体"/>
          <w:color w:val="auto"/>
          <w:szCs w:val="21"/>
          <w:highlight w:val="none"/>
          <w:lang w:val="en-US" w:eastAsia="zh-CN"/>
        </w:rPr>
        <w:t>招标</w:t>
      </w:r>
      <w:r>
        <w:rPr>
          <w:rFonts w:hint="eastAsia" w:ascii="宋体" w:hAnsi="宋体" w:eastAsia="宋体" w:cs="宋体"/>
          <w:color w:val="auto"/>
          <w:szCs w:val="21"/>
          <w:highlight w:val="none"/>
        </w:rPr>
        <w:t>中无法与财政性资金分割的非财政性资金）。</w:t>
      </w:r>
    </w:p>
    <w:p w14:paraId="5B11B6CC">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2.2项目预算金额和分项或分包最高限价见投标人须知表2.2款。</w:t>
      </w:r>
    </w:p>
    <w:p w14:paraId="29FF1895">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2.3投标人报价超过招标文件规定的预算金额或者分项、分包最高限价的，其投标将被认定为投标无效。</w:t>
      </w:r>
    </w:p>
    <w:p w14:paraId="00FB76CE">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3.语言文字</w:t>
      </w:r>
    </w:p>
    <w:p w14:paraId="6FE01465">
      <w:p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除专用术语外，与投标有关的语言均使用中文。必要时专用术语应附有中文注释。对不同文字文本投标文件的解释发生异议的，以中文文本为准。</w:t>
      </w:r>
    </w:p>
    <w:p w14:paraId="7828CCE0">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4.计量单位</w:t>
      </w:r>
    </w:p>
    <w:p w14:paraId="08C2CE7C">
      <w:p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除投标人须知表4款中有特殊要求外，投标文件中所使用的计量单位，应采用中华人民共和国法定计量单位。</w:t>
      </w:r>
    </w:p>
    <w:p w14:paraId="1A6198F7">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5.投标费用</w:t>
      </w:r>
    </w:p>
    <w:p w14:paraId="30E47641">
      <w:p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不论投标的结果如何，投标人应承担所有与准备和参加投标有关的费用。</w:t>
      </w:r>
    </w:p>
    <w:p w14:paraId="67CC5171">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6.现场考察、开标前答疑会</w:t>
      </w:r>
    </w:p>
    <w:p w14:paraId="6F9A4985">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6.1</w:t>
      </w:r>
      <w:r>
        <w:rPr>
          <w:rFonts w:hint="eastAsia" w:ascii="宋体" w:hAnsi="宋体" w:eastAsia="宋体" w:cs="宋体"/>
          <w:color w:val="auto"/>
          <w:highlight w:val="none"/>
        </w:rPr>
        <w:fldChar w:fldCharType="begin"/>
      </w:r>
      <w:r>
        <w:rPr>
          <w:rFonts w:hint="eastAsia" w:ascii="宋体" w:hAnsi="宋体" w:eastAsia="宋体" w:cs="宋体"/>
          <w:color w:val="auto"/>
          <w:highlight w:val="none"/>
        </w:rPr>
        <w:instrText xml:space="preserve"> HYPERLINK \l "_踏勘现场" </w:instrText>
      </w:r>
      <w:r>
        <w:rPr>
          <w:rFonts w:hint="eastAsia" w:ascii="宋体" w:hAnsi="宋体" w:eastAsia="宋体" w:cs="宋体"/>
          <w:color w:val="auto"/>
          <w:highlight w:val="none"/>
        </w:rPr>
        <w:fldChar w:fldCharType="separate"/>
      </w:r>
      <w:r>
        <w:rPr>
          <w:rFonts w:hint="eastAsia" w:ascii="宋体" w:hAnsi="宋体" w:eastAsia="宋体" w:cs="宋体"/>
          <w:color w:val="auto"/>
          <w:szCs w:val="21"/>
          <w:highlight w:val="none"/>
        </w:rPr>
        <w:t>投标人须知表</w:t>
      </w:r>
      <w:r>
        <w:rPr>
          <w:rFonts w:hint="eastAsia" w:ascii="宋体" w:hAnsi="宋体" w:eastAsia="宋体" w:cs="宋体"/>
          <w:color w:val="auto"/>
          <w:szCs w:val="21"/>
          <w:highlight w:val="none"/>
        </w:rPr>
        <w:fldChar w:fldCharType="end"/>
      </w:r>
      <w:r>
        <w:rPr>
          <w:rFonts w:hint="eastAsia" w:ascii="宋体" w:hAnsi="宋体" w:eastAsia="宋体" w:cs="宋体"/>
          <w:color w:val="auto"/>
          <w:szCs w:val="21"/>
          <w:highlight w:val="none"/>
        </w:rPr>
        <w:t>6.1款规定组织现场考察或开标前答疑会的，</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按规定的时间、地点组织投标人现场考察或开标前答疑会，或者在领取招标文件期限截止后以书面形式通知所有获取招标文件的潜在投标人。</w:t>
      </w:r>
    </w:p>
    <w:p w14:paraId="386FEF61">
      <w:pPr>
        <w:adjustRightInd w:val="0"/>
        <w:snapToGrid w:val="0"/>
        <w:rPr>
          <w:rFonts w:hint="eastAsia" w:ascii="宋体" w:hAnsi="宋体" w:eastAsia="宋体" w:cs="宋体"/>
          <w:b/>
          <w:bCs/>
          <w:color w:val="auto"/>
          <w:szCs w:val="21"/>
          <w:highlight w:val="none"/>
        </w:rPr>
      </w:pPr>
      <w:r>
        <w:rPr>
          <w:rFonts w:hint="eastAsia" w:ascii="宋体" w:hAnsi="宋体" w:eastAsia="宋体" w:cs="宋体"/>
          <w:color w:val="auto"/>
          <w:szCs w:val="21"/>
          <w:highlight w:val="none"/>
        </w:rPr>
        <w:t>6.2</w:t>
      </w:r>
      <w:r>
        <w:rPr>
          <w:rFonts w:hint="eastAsia" w:ascii="宋体" w:hAnsi="宋体" w:eastAsia="宋体" w:cs="宋体"/>
          <w:color w:val="auto"/>
          <w:kern w:val="0"/>
          <w:szCs w:val="21"/>
          <w:highlight w:val="none"/>
        </w:rPr>
        <w:t>由于未参加现场踏勘或标前答疑而导致对项目实际情况不了解，影响技术文件编制、</w:t>
      </w:r>
      <w:r>
        <w:rPr>
          <w:rFonts w:hint="eastAsia" w:ascii="宋体" w:hAnsi="宋体" w:eastAsia="宋体" w:cs="宋体"/>
          <w:color w:val="auto"/>
          <w:highlight w:val="none"/>
        </w:rPr>
        <w:fldChar w:fldCharType="begin"/>
      </w:r>
      <w:r>
        <w:rPr>
          <w:rFonts w:hint="eastAsia" w:ascii="宋体" w:hAnsi="宋体" w:eastAsia="宋体" w:cs="宋体"/>
          <w:color w:val="auto"/>
          <w:highlight w:val="none"/>
        </w:rPr>
        <w:instrText xml:space="preserve"> HYPERLINK "https://www.baidu.com/s?wd=%E6%8A%95%E6%A0%87%E6%8A%A5%E4%BB%B7&amp;tn=44039180_cpr&amp;fenlei=mv6quAkxTZn0IZRqIHckPjm4nH00T1dWuyfdP1u9uyPBrjKhmvDv0ZwV5Hcvrjm3rH6sPfKWUMw85HfYnjn4nH6sgvPsT6KdThsqpZwYTjCEQLGCpyw9Uz4Bmy-bIi4WUvYETgN-TLwGUv3EPj63P1RkPH6Y" \t "_blank" </w:instrText>
      </w:r>
      <w:r>
        <w:rPr>
          <w:rFonts w:hint="eastAsia" w:ascii="宋体" w:hAnsi="宋体" w:eastAsia="宋体" w:cs="宋体"/>
          <w:color w:val="auto"/>
          <w:highlight w:val="none"/>
        </w:rPr>
        <w:fldChar w:fldCharType="separate"/>
      </w:r>
      <w:r>
        <w:rPr>
          <w:rFonts w:hint="eastAsia" w:ascii="宋体" w:hAnsi="宋体" w:eastAsia="宋体" w:cs="宋体"/>
          <w:color w:val="auto"/>
          <w:kern w:val="0"/>
          <w:szCs w:val="21"/>
          <w:highlight w:val="none"/>
        </w:rPr>
        <w:t>投标报价</w:t>
      </w:r>
      <w:r>
        <w:rPr>
          <w:rFonts w:hint="eastAsia" w:ascii="宋体" w:hAnsi="宋体" w:eastAsia="宋体" w:cs="宋体"/>
          <w:color w:val="auto"/>
          <w:kern w:val="0"/>
          <w:szCs w:val="21"/>
          <w:highlight w:val="none"/>
        </w:rPr>
        <w:fldChar w:fldCharType="end"/>
      </w:r>
      <w:r>
        <w:rPr>
          <w:rFonts w:hint="eastAsia" w:ascii="宋体" w:hAnsi="宋体" w:eastAsia="宋体" w:cs="宋体"/>
          <w:color w:val="auto"/>
          <w:kern w:val="0"/>
          <w:szCs w:val="21"/>
          <w:highlight w:val="none"/>
        </w:rPr>
        <w:t>准确性、综合因素响应不全面等问题的，由投标人自行承担相应后果。</w:t>
      </w:r>
    </w:p>
    <w:p w14:paraId="3F2A9E9B">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6.3现场考察及参加标前答疑会所发生的费用及一切责任由投标人自行承担。</w:t>
      </w:r>
    </w:p>
    <w:p w14:paraId="1DB13A4F">
      <w:pPr>
        <w:pStyle w:val="3"/>
        <w:spacing w:line="240" w:lineRule="auto"/>
        <w:rPr>
          <w:rFonts w:hint="eastAsia" w:ascii="宋体" w:hAnsi="宋体" w:eastAsia="宋体" w:cs="宋体"/>
          <w:color w:val="auto"/>
          <w:highlight w:val="none"/>
        </w:rPr>
      </w:pPr>
      <w:r>
        <w:rPr>
          <w:rFonts w:hint="eastAsia" w:ascii="宋体" w:hAnsi="宋体" w:eastAsia="宋体" w:cs="宋体"/>
          <w:color w:val="auto"/>
          <w:highlight w:val="none"/>
        </w:rPr>
        <w:t>三 招标文件</w:t>
      </w:r>
    </w:p>
    <w:p w14:paraId="2D73A6B4">
      <w:pPr>
        <w:numPr>
          <w:ilvl w:val="0"/>
          <w:numId w:val="4"/>
        </w:num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招标文件构成</w:t>
      </w:r>
    </w:p>
    <w:p w14:paraId="0C08A89A">
      <w:pPr>
        <w:numPr>
          <w:ilvl w:val="1"/>
          <w:numId w:val="4"/>
        </w:numPr>
        <w:adjustRightInd w:val="0"/>
        <w:snapToGrid w:val="0"/>
        <w:rPr>
          <w:rFonts w:hint="eastAsia" w:ascii="宋体" w:hAnsi="宋体" w:eastAsia="宋体" w:cs="宋体"/>
          <w:color w:val="auto"/>
          <w:highlight w:val="none"/>
        </w:rPr>
      </w:pPr>
      <w:r>
        <w:rPr>
          <w:rFonts w:hint="eastAsia" w:ascii="宋体" w:hAnsi="宋体" w:eastAsia="宋体" w:cs="宋体"/>
          <w:color w:val="auto"/>
          <w:szCs w:val="21"/>
          <w:highlight w:val="none"/>
        </w:rPr>
        <w:t>招标</w:t>
      </w:r>
      <w:r>
        <w:rPr>
          <w:rFonts w:hint="eastAsia" w:ascii="宋体" w:hAnsi="宋体" w:eastAsia="宋体" w:cs="宋体"/>
          <w:color w:val="auto"/>
          <w:highlight w:val="none"/>
        </w:rPr>
        <w:t>文件内容如下:</w:t>
      </w:r>
    </w:p>
    <w:p w14:paraId="12C30120">
      <w:pPr>
        <w:adjustRightInd w:val="0"/>
        <w:snapToGrid w:val="0"/>
        <w:ind w:firstLine="420" w:firstLineChars="200"/>
        <w:rPr>
          <w:rFonts w:hint="eastAsia" w:ascii="宋体" w:hAnsi="宋体" w:eastAsia="宋体" w:cs="宋体"/>
          <w:color w:val="auto"/>
          <w:highlight w:val="none"/>
        </w:rPr>
      </w:pPr>
      <w:r>
        <w:rPr>
          <w:rFonts w:hint="eastAsia" w:ascii="宋体" w:hAnsi="宋体" w:eastAsia="宋体" w:cs="宋体"/>
          <w:color w:val="auto"/>
          <w:highlight w:val="none"/>
        </w:rPr>
        <w:t>招标公告</w:t>
      </w:r>
    </w:p>
    <w:p w14:paraId="4A8E2EA0">
      <w:pPr>
        <w:numPr>
          <w:ilvl w:val="0"/>
          <w:numId w:val="5"/>
        </w:numPr>
        <w:adjustRightInd w:val="0"/>
        <w:snapToGrid w:val="0"/>
        <w:ind w:firstLine="420" w:firstLineChars="200"/>
        <w:rPr>
          <w:rFonts w:hint="eastAsia" w:ascii="宋体" w:hAnsi="宋体" w:eastAsia="宋体" w:cs="宋体"/>
          <w:color w:val="auto"/>
          <w:highlight w:val="none"/>
        </w:rPr>
      </w:pPr>
      <w:r>
        <w:rPr>
          <w:rFonts w:hint="eastAsia" w:ascii="宋体" w:hAnsi="宋体" w:eastAsia="宋体" w:cs="宋体"/>
          <w:color w:val="auto"/>
          <w:highlight w:val="none"/>
        </w:rPr>
        <w:t>投标人须知</w:t>
      </w:r>
    </w:p>
    <w:p w14:paraId="54287952">
      <w:pPr>
        <w:adjustRightInd w:val="0"/>
        <w:snapToGrid w:val="0"/>
        <w:ind w:firstLine="420" w:firstLineChars="200"/>
        <w:rPr>
          <w:rFonts w:hint="eastAsia" w:ascii="宋体" w:hAnsi="宋体" w:eastAsia="宋体" w:cs="宋体"/>
          <w:color w:val="auto"/>
          <w:highlight w:val="none"/>
        </w:rPr>
      </w:pPr>
      <w:r>
        <w:rPr>
          <w:rFonts w:hint="eastAsia" w:ascii="宋体" w:hAnsi="宋体" w:eastAsia="宋体" w:cs="宋体"/>
          <w:color w:val="auto"/>
          <w:highlight w:val="none"/>
        </w:rPr>
        <w:t>第二章 投标文件内容及格式</w:t>
      </w:r>
    </w:p>
    <w:p w14:paraId="4315069C">
      <w:pPr>
        <w:adjustRightInd w:val="0"/>
        <w:snapToGrid w:val="0"/>
        <w:ind w:firstLine="420" w:firstLineChars="200"/>
        <w:rPr>
          <w:rFonts w:hint="eastAsia" w:ascii="宋体" w:hAnsi="宋体" w:eastAsia="宋体" w:cs="宋体"/>
          <w:color w:val="auto"/>
          <w:highlight w:val="none"/>
          <w:lang w:eastAsia="zh-CN"/>
        </w:rPr>
      </w:pPr>
      <w:r>
        <w:rPr>
          <w:rFonts w:hint="eastAsia" w:ascii="宋体" w:hAnsi="宋体" w:eastAsia="宋体" w:cs="宋体"/>
          <w:color w:val="auto"/>
          <w:highlight w:val="none"/>
        </w:rPr>
        <w:t xml:space="preserve">第三章 </w:t>
      </w:r>
      <w:r>
        <w:rPr>
          <w:rFonts w:hint="eastAsia" w:ascii="宋体" w:hAnsi="宋体" w:eastAsia="宋体" w:cs="宋体"/>
          <w:color w:val="auto"/>
          <w:highlight w:val="none"/>
          <w:lang w:val="en-US" w:eastAsia="zh-CN"/>
        </w:rPr>
        <w:t>招标</w:t>
      </w:r>
      <w:r>
        <w:rPr>
          <w:rFonts w:hint="eastAsia" w:ascii="宋体" w:hAnsi="宋体" w:eastAsia="宋体" w:cs="宋体"/>
          <w:color w:val="auto"/>
          <w:highlight w:val="none"/>
          <w:lang w:eastAsia="zh-CN"/>
        </w:rPr>
        <w:t>需求</w:t>
      </w:r>
    </w:p>
    <w:p w14:paraId="636D6DBF">
      <w:pPr>
        <w:adjustRightInd w:val="0"/>
        <w:snapToGrid w:val="0"/>
        <w:ind w:firstLine="420" w:firstLineChars="200"/>
        <w:rPr>
          <w:rFonts w:hint="eastAsia" w:ascii="宋体" w:hAnsi="宋体" w:eastAsia="宋体" w:cs="宋体"/>
          <w:color w:val="auto"/>
          <w:highlight w:val="none"/>
        </w:rPr>
      </w:pPr>
      <w:r>
        <w:rPr>
          <w:rFonts w:hint="eastAsia" w:ascii="宋体" w:hAnsi="宋体" w:eastAsia="宋体" w:cs="宋体"/>
          <w:color w:val="auto"/>
          <w:highlight w:val="none"/>
        </w:rPr>
        <w:t>第四章 评标方法</w:t>
      </w:r>
    </w:p>
    <w:p w14:paraId="04B84CA3">
      <w:pPr>
        <w:adjustRightInd w:val="0"/>
        <w:snapToGrid w:val="0"/>
        <w:ind w:firstLine="420" w:firstLineChars="200"/>
        <w:rPr>
          <w:rFonts w:hint="eastAsia" w:ascii="宋体" w:hAnsi="宋体" w:eastAsia="宋体" w:cs="宋体"/>
          <w:color w:val="auto"/>
          <w:highlight w:val="none"/>
        </w:rPr>
      </w:pPr>
      <w:r>
        <w:rPr>
          <w:rFonts w:hint="eastAsia" w:ascii="宋体" w:hAnsi="宋体" w:eastAsia="宋体" w:cs="宋体"/>
          <w:color w:val="auto"/>
          <w:highlight w:val="none"/>
        </w:rPr>
        <w:t>第五章 合同条款及格式</w:t>
      </w:r>
    </w:p>
    <w:p w14:paraId="1B8BCA16">
      <w:pPr>
        <w:adjustRightInd w:val="0"/>
        <w:snapToGrid w:val="0"/>
        <w:rPr>
          <w:rFonts w:ascii="宋体" w:hAnsi="宋体" w:eastAsia="宋体" w:cs="宋体"/>
          <w:color w:val="auto"/>
          <w:szCs w:val="21"/>
          <w:highlight w:val="none"/>
        </w:rPr>
      </w:pPr>
      <w:r>
        <w:rPr>
          <w:rFonts w:hint="eastAsia" w:ascii="宋体" w:hAnsi="宋体" w:eastAsia="宋体" w:cs="宋体"/>
          <w:color w:val="auto"/>
          <w:szCs w:val="21"/>
          <w:highlight w:val="none"/>
        </w:rPr>
        <w:t>8.2 投标人应认真阅读招标文件所有的事项、格式、条款等。如投标人没有按照招标文件要求提交资料，或者投标文件没有对招标文件做出实质性响应，可能导致其投标被认定为投标无效。</w:t>
      </w:r>
    </w:p>
    <w:p w14:paraId="245A6D3C">
      <w:pPr>
        <w:adjustRightInd w:val="0"/>
        <w:snapToGrid w:val="0"/>
        <w:rPr>
          <w:rFonts w:hint="eastAsia" w:ascii="宋体" w:hAnsi="宋体" w:eastAsia="宋体" w:cs="宋体"/>
          <w:color w:val="auto"/>
          <w:szCs w:val="21"/>
          <w:highlight w:val="none"/>
          <w:lang w:eastAsia="zh-CN"/>
        </w:rPr>
      </w:pPr>
      <w:bookmarkStart w:id="28" w:name="_Hlk30060307"/>
      <w:r>
        <w:rPr>
          <w:rFonts w:ascii="宋体" w:hAnsi="宋体" w:eastAsia="宋体" w:cs="宋体"/>
          <w:color w:val="auto"/>
          <w:szCs w:val="21"/>
          <w:highlight w:val="none"/>
        </w:rPr>
        <w:t xml:space="preserve">8.3 </w:t>
      </w:r>
      <w:r>
        <w:rPr>
          <w:rFonts w:hint="eastAsia" w:ascii="宋体" w:hAnsi="宋体" w:eastAsia="宋体" w:cs="宋体"/>
          <w:color w:val="auto"/>
          <w:szCs w:val="21"/>
          <w:highlight w:val="none"/>
        </w:rPr>
        <w:t>本项目招标公告发布媒体见投标人须知表8.3款。</w:t>
      </w:r>
      <w:bookmarkEnd w:id="28"/>
    </w:p>
    <w:p w14:paraId="04E931FE">
      <w:pPr>
        <w:adjustRightInd w:val="0"/>
        <w:snapToGrid w:val="0"/>
        <w:rPr>
          <w:rFonts w:hint="eastAsia" w:ascii="宋体" w:hAnsi="宋体" w:eastAsia="宋体" w:cs="宋体"/>
          <w:b/>
          <w:bCs/>
          <w:color w:val="auto"/>
          <w:szCs w:val="21"/>
          <w:highlight w:val="none"/>
          <w:lang w:eastAsia="zh-CN"/>
        </w:rPr>
      </w:pPr>
      <w:r>
        <w:rPr>
          <w:rFonts w:hint="eastAsia" w:ascii="宋体" w:hAnsi="宋体" w:eastAsia="宋体" w:cs="宋体"/>
          <w:b/>
          <w:bCs/>
          <w:color w:val="auto"/>
          <w:szCs w:val="21"/>
          <w:highlight w:val="none"/>
        </w:rPr>
        <w:t>9.招标文件的澄清与修改</w:t>
      </w:r>
    </w:p>
    <w:p w14:paraId="1B46E1F5">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9.1 </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或者</w:t>
      </w:r>
      <w:r>
        <w:rPr>
          <w:rFonts w:hint="eastAsia" w:ascii="宋体" w:hAnsi="宋体" w:eastAsia="宋体" w:cs="宋体"/>
          <w:color w:val="auto"/>
          <w:szCs w:val="21"/>
          <w:highlight w:val="none"/>
          <w:lang w:eastAsia="zh-CN"/>
        </w:rPr>
        <w:t>招标代理机构</w:t>
      </w:r>
      <w:r>
        <w:rPr>
          <w:rFonts w:hint="eastAsia" w:ascii="宋体" w:hAnsi="宋体" w:eastAsia="宋体" w:cs="宋体"/>
          <w:color w:val="auto"/>
          <w:szCs w:val="21"/>
          <w:highlight w:val="none"/>
        </w:rPr>
        <w:t>可以对已发出的招标文件进行澄清或者修改。澄清或者修改的内容可能影响投标文件编制的，应当在投标截止时间至少15日前，在原公告发布媒体上发布变更公告，并以书面形式通知所有获取招标文件的潜在投标人；不足15日的，</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或者</w:t>
      </w:r>
      <w:r>
        <w:rPr>
          <w:rFonts w:hint="eastAsia" w:ascii="宋体" w:hAnsi="宋体" w:eastAsia="宋体" w:cs="宋体"/>
          <w:color w:val="auto"/>
          <w:szCs w:val="21"/>
          <w:highlight w:val="none"/>
          <w:lang w:eastAsia="zh-CN"/>
        </w:rPr>
        <w:t>招标代理机构</w:t>
      </w:r>
      <w:r>
        <w:rPr>
          <w:rFonts w:hint="eastAsia" w:ascii="宋体" w:hAnsi="宋体" w:eastAsia="宋体" w:cs="宋体"/>
          <w:color w:val="auto"/>
          <w:szCs w:val="21"/>
          <w:highlight w:val="none"/>
        </w:rPr>
        <w:t>应当顺延提交投标文件的截止时间。</w:t>
      </w:r>
    </w:p>
    <w:p w14:paraId="0BFA7D1E">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9.2澄清或者修改的内容为招标文件的组成部分，对所有招标文件的收受人具有约束力。投标人在收到上述通知后，应及时向</w:t>
      </w:r>
      <w:r>
        <w:rPr>
          <w:rFonts w:hint="eastAsia" w:ascii="宋体" w:hAnsi="宋体" w:eastAsia="宋体" w:cs="宋体"/>
          <w:color w:val="auto"/>
          <w:szCs w:val="21"/>
          <w:highlight w:val="none"/>
          <w:lang w:eastAsia="zh-CN"/>
        </w:rPr>
        <w:t>招标代理机构</w:t>
      </w:r>
      <w:r>
        <w:rPr>
          <w:rFonts w:hint="eastAsia" w:ascii="宋体" w:hAnsi="宋体" w:eastAsia="宋体" w:cs="宋体"/>
          <w:color w:val="auto"/>
          <w:szCs w:val="21"/>
          <w:highlight w:val="none"/>
        </w:rPr>
        <w:t>回函确认。</w:t>
      </w:r>
    </w:p>
    <w:p w14:paraId="412A6795">
      <w:pPr>
        <w:pStyle w:val="3"/>
        <w:spacing w:line="240" w:lineRule="auto"/>
        <w:rPr>
          <w:rFonts w:hint="eastAsia" w:ascii="宋体" w:hAnsi="宋体" w:eastAsia="宋体" w:cs="宋体"/>
          <w:color w:val="auto"/>
          <w:highlight w:val="none"/>
        </w:rPr>
      </w:pPr>
      <w:r>
        <w:rPr>
          <w:rFonts w:hint="eastAsia" w:ascii="宋体" w:hAnsi="宋体" w:eastAsia="宋体" w:cs="宋体"/>
          <w:color w:val="auto"/>
          <w:highlight w:val="none"/>
        </w:rPr>
        <w:t>四  投标文件的编制</w:t>
      </w:r>
    </w:p>
    <w:p w14:paraId="13A386F2">
      <w:pPr>
        <w:adjustRightInd w:val="0"/>
        <w:snapToGrid w:val="0"/>
        <w:rPr>
          <w:rFonts w:hint="eastAsia" w:ascii="宋体" w:hAnsi="宋体" w:eastAsia="宋体" w:cs="宋体"/>
          <w:b/>
          <w:bCs/>
          <w:color w:val="auto"/>
          <w:szCs w:val="21"/>
          <w:highlight w:val="none"/>
          <w:lang w:eastAsia="zh-CN"/>
        </w:rPr>
      </w:pPr>
      <w:r>
        <w:rPr>
          <w:rFonts w:hint="eastAsia" w:ascii="宋体" w:hAnsi="宋体" w:eastAsia="宋体" w:cs="宋体"/>
          <w:b/>
          <w:bCs/>
          <w:color w:val="auto"/>
          <w:szCs w:val="21"/>
          <w:highlight w:val="none"/>
        </w:rPr>
        <w:t>10. 投标范围</w:t>
      </w:r>
    </w:p>
    <w:p w14:paraId="40A7CF97">
      <w:pPr>
        <w:adjustRightInd w:val="0"/>
        <w:snapToGrid w:val="0"/>
        <w:rPr>
          <w:rFonts w:hint="eastAsia" w:ascii="宋体" w:hAnsi="宋体" w:eastAsia="宋体" w:cs="宋体"/>
          <w:color w:val="auto"/>
          <w:szCs w:val="21"/>
          <w:highlight w:val="none"/>
          <w:lang w:eastAsia="zh-CN"/>
        </w:rPr>
      </w:pPr>
      <w:r>
        <w:rPr>
          <w:rFonts w:hint="eastAsia" w:ascii="宋体" w:hAnsi="宋体" w:eastAsia="宋体" w:cs="宋体"/>
          <w:color w:val="auto"/>
          <w:szCs w:val="21"/>
          <w:highlight w:val="none"/>
        </w:rPr>
        <w:t>10.1 项目有分包的，投标人可对招标文件其中某一个分包或几个分包进行投标。</w:t>
      </w:r>
    </w:p>
    <w:p w14:paraId="7948CFEE">
      <w:pPr>
        <w:adjustRightInd w:val="0"/>
        <w:snapToGrid w:val="0"/>
        <w:rPr>
          <w:rFonts w:hint="eastAsia" w:ascii="宋体" w:hAnsi="宋体" w:eastAsia="宋体" w:cs="宋体"/>
          <w:color w:val="auto"/>
          <w:szCs w:val="21"/>
          <w:highlight w:val="none"/>
        </w:rPr>
      </w:pPr>
      <w:r>
        <w:rPr>
          <w:rFonts w:hint="eastAsia" w:ascii="宋体" w:hAnsi="宋体" w:eastAsia="宋体" w:cs="宋体"/>
          <w:b/>
          <w:bCs/>
          <w:color w:val="auto"/>
          <w:szCs w:val="21"/>
          <w:highlight w:val="none"/>
        </w:rPr>
        <w:t>10.2 投标人应当对所投分包在招标文件中“</w:t>
      </w:r>
      <w:r>
        <w:rPr>
          <w:rFonts w:hint="eastAsia" w:ascii="宋体" w:hAnsi="宋体" w:eastAsia="宋体" w:cs="宋体"/>
          <w:b/>
          <w:bCs/>
          <w:color w:val="auto"/>
          <w:szCs w:val="21"/>
          <w:highlight w:val="none"/>
          <w:lang w:val="en-US" w:eastAsia="zh-CN"/>
        </w:rPr>
        <w:t>招标</w:t>
      </w:r>
      <w:r>
        <w:rPr>
          <w:rFonts w:hint="eastAsia" w:ascii="宋体" w:hAnsi="宋体" w:eastAsia="宋体" w:cs="宋体"/>
          <w:b/>
          <w:bCs/>
          <w:color w:val="auto"/>
          <w:szCs w:val="21"/>
          <w:highlight w:val="none"/>
          <w:lang w:eastAsia="zh-CN"/>
        </w:rPr>
        <w:t>需求</w:t>
      </w:r>
      <w:r>
        <w:rPr>
          <w:rFonts w:hint="eastAsia" w:ascii="宋体" w:hAnsi="宋体" w:eastAsia="宋体" w:cs="宋体"/>
          <w:b/>
          <w:bCs/>
          <w:color w:val="auto"/>
          <w:szCs w:val="21"/>
          <w:highlight w:val="none"/>
        </w:rPr>
        <w:t>”所列的所有内容进行投标，如仅响应分包中某一部分内容，其该包投标将被认定为投标无效。</w:t>
      </w:r>
    </w:p>
    <w:p w14:paraId="4C6D3999">
      <w:pPr>
        <w:pStyle w:val="8"/>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10.3 如一个分包内包含多种产品的，</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或</w:t>
      </w:r>
      <w:r>
        <w:rPr>
          <w:rFonts w:hint="eastAsia" w:ascii="宋体" w:hAnsi="宋体" w:eastAsia="宋体" w:cs="宋体"/>
          <w:color w:val="auto"/>
          <w:szCs w:val="21"/>
          <w:highlight w:val="none"/>
          <w:lang w:eastAsia="zh-CN"/>
        </w:rPr>
        <w:t>招标代理机构</w:t>
      </w:r>
      <w:r>
        <w:rPr>
          <w:rFonts w:hint="eastAsia" w:ascii="宋体" w:hAnsi="宋体" w:eastAsia="宋体" w:cs="宋体"/>
          <w:color w:val="auto"/>
          <w:szCs w:val="21"/>
          <w:highlight w:val="none"/>
        </w:rPr>
        <w:t>将在投标人须知表10.3款中载明核心产品，多家投标人提供的核心产品品牌相同的，按照第四章“评标办法”第3款“同一品牌产品”规定处理。</w:t>
      </w:r>
    </w:p>
    <w:p w14:paraId="4DBDEA1C">
      <w:pPr>
        <w:adjustRightInd w:val="0"/>
        <w:snapToGrid w:val="0"/>
        <w:rPr>
          <w:rFonts w:hint="eastAsia" w:ascii="宋体" w:hAnsi="宋体" w:eastAsia="宋体" w:cs="宋体"/>
          <w:color w:val="auto"/>
          <w:szCs w:val="21"/>
          <w:highlight w:val="none"/>
          <w:lang w:eastAsia="zh-CN"/>
        </w:rPr>
      </w:pPr>
      <w:r>
        <w:rPr>
          <w:rFonts w:hint="eastAsia" w:ascii="宋体" w:hAnsi="宋体" w:eastAsia="宋体" w:cs="宋体"/>
          <w:color w:val="auto"/>
          <w:szCs w:val="21"/>
          <w:highlight w:val="none"/>
        </w:rPr>
        <w:t>10.4 无论招标文件第三章</w:t>
      </w:r>
      <w:r>
        <w:rPr>
          <w:rFonts w:hint="eastAsia" w:ascii="宋体" w:hAnsi="宋体" w:eastAsia="宋体" w:cs="宋体"/>
          <w:color w:val="auto"/>
          <w:szCs w:val="21"/>
          <w:highlight w:val="none"/>
          <w:lang w:val="en-US" w:eastAsia="zh-CN"/>
        </w:rPr>
        <w:t>招标</w:t>
      </w:r>
      <w:r>
        <w:rPr>
          <w:rFonts w:hint="eastAsia" w:ascii="宋体" w:hAnsi="宋体" w:eastAsia="宋体" w:cs="宋体"/>
          <w:color w:val="auto"/>
          <w:szCs w:val="21"/>
          <w:highlight w:val="none"/>
          <w:lang w:eastAsia="zh-CN"/>
        </w:rPr>
        <w:t>需求</w:t>
      </w:r>
      <w:r>
        <w:rPr>
          <w:rFonts w:hint="eastAsia" w:ascii="宋体" w:hAnsi="宋体" w:eastAsia="宋体" w:cs="宋体"/>
          <w:color w:val="auto"/>
          <w:szCs w:val="21"/>
          <w:highlight w:val="none"/>
        </w:rPr>
        <w:t>中是否要求，投标人所投货物均应符合国家强制性标准。</w:t>
      </w:r>
    </w:p>
    <w:p w14:paraId="068DACAA">
      <w:pPr>
        <w:adjustRightInd w:val="0"/>
        <w:snapToGrid w:val="0"/>
        <w:rPr>
          <w:rFonts w:hint="eastAsia" w:ascii="宋体" w:hAnsi="宋体" w:eastAsia="宋体" w:cs="宋体"/>
          <w:b/>
          <w:bCs/>
          <w:color w:val="auto"/>
          <w:szCs w:val="21"/>
          <w:highlight w:val="none"/>
          <w:lang w:eastAsia="zh-CN"/>
        </w:rPr>
      </w:pPr>
      <w:r>
        <w:rPr>
          <w:rFonts w:hint="eastAsia" w:ascii="宋体" w:hAnsi="宋体" w:eastAsia="宋体" w:cs="宋体"/>
          <w:b/>
          <w:bCs/>
          <w:color w:val="auto"/>
          <w:szCs w:val="21"/>
          <w:highlight w:val="none"/>
        </w:rPr>
        <w:t>11.投标文件构成</w:t>
      </w:r>
    </w:p>
    <w:p w14:paraId="08EF0218">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11.1 投标人应完整地按招标文件提供的投标文件格式及要求编写投标文件。投标文件应包括资格证明文件、符合性证明文件、其它材料。具体见第二章 投标文件内容及格式。</w:t>
      </w:r>
    </w:p>
    <w:p w14:paraId="3FC42048">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11.2 投标人应按招标文件提供的格式编写投标文件。招标文件提供标准格式的按标准格式填列，未提供标准格式的可自行拟定。</w:t>
      </w:r>
    </w:p>
    <w:p w14:paraId="3BEF75C4">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11.3 样品或演示要求详见投标人须知表11.3款。</w:t>
      </w:r>
    </w:p>
    <w:p w14:paraId="39534F6F">
      <w:pPr>
        <w:adjustRightInd w:val="0"/>
        <w:snapToGrid w:val="0"/>
        <w:rPr>
          <w:rFonts w:hint="eastAsia" w:ascii="宋体" w:hAnsi="宋体" w:eastAsia="宋体" w:cs="宋体"/>
          <w:b/>
          <w:bCs/>
          <w:color w:val="auto"/>
          <w:szCs w:val="21"/>
          <w:highlight w:val="none"/>
          <w:lang w:eastAsia="zh-CN"/>
        </w:rPr>
      </w:pPr>
      <w:r>
        <w:rPr>
          <w:rFonts w:hint="eastAsia" w:ascii="宋体" w:hAnsi="宋体" w:eastAsia="宋体" w:cs="宋体"/>
          <w:b/>
          <w:bCs/>
          <w:color w:val="auto"/>
          <w:szCs w:val="21"/>
          <w:highlight w:val="none"/>
        </w:rPr>
        <w:t>12.投标报价</w:t>
      </w:r>
    </w:p>
    <w:p w14:paraId="130E3635">
      <w:pPr>
        <w:adjustRightInd w:val="0"/>
        <w:snapToGrid w:val="0"/>
        <w:rPr>
          <w:rFonts w:hint="eastAsia" w:ascii="宋体" w:hAnsi="宋体" w:eastAsia="宋体" w:cs="宋体"/>
          <w:color w:val="auto"/>
          <w:szCs w:val="21"/>
          <w:highlight w:val="none"/>
        </w:rPr>
      </w:pPr>
      <w:r>
        <w:rPr>
          <w:rFonts w:hint="eastAsia" w:ascii="宋体" w:hAnsi="宋体" w:eastAsia="宋体" w:cs="宋体"/>
          <w:b/>
          <w:bCs/>
          <w:color w:val="auto"/>
          <w:szCs w:val="21"/>
          <w:highlight w:val="none"/>
        </w:rPr>
        <w:t>12.1 所有投标均按投标人须知表12.1款中要求货币进行报价。投标人的投标报价应遵守《中华人民共和国价格法》。同时，如有货物主体部分的赠与行为，其投标将被认定为投标无效。</w:t>
      </w:r>
    </w:p>
    <w:p w14:paraId="7FD94B87">
      <w:pPr>
        <w:adjustRightInd w:val="0"/>
        <w:snapToGrid w:val="0"/>
        <w:rPr>
          <w:rFonts w:hint="eastAsia" w:ascii="宋体" w:hAnsi="宋体" w:eastAsia="宋体" w:cs="宋体"/>
          <w:color w:val="auto"/>
          <w:szCs w:val="21"/>
          <w:highlight w:val="none"/>
          <w:lang w:eastAsia="zh-CN"/>
        </w:rPr>
      </w:pPr>
      <w:r>
        <w:rPr>
          <w:rFonts w:hint="eastAsia" w:ascii="宋体" w:hAnsi="宋体" w:eastAsia="宋体" w:cs="宋体"/>
          <w:color w:val="auto"/>
          <w:szCs w:val="21"/>
          <w:highlight w:val="none"/>
        </w:rPr>
        <w:t>12.2投标价格应为投标货物（包括备品备件、专用工具等）的出厂价格（包括已在中国国内的进口货物完税后的交货价）、购买货物和伴随服务需缴纳的所有税费、运输费、保险费、装卸费、安装及调试费、检验费、技术服务费和培训费等完成所需的一切费用。</w:t>
      </w:r>
    </w:p>
    <w:p w14:paraId="5AEBE25A">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12.3 投标人应按招标文件要求在相关表格中标明投标货物及伴随服务的单价和总价，并由法定代表人（非法人组织的负责人）或其委托代理人签署。</w:t>
      </w:r>
    </w:p>
    <w:p w14:paraId="353929D5">
      <w:pPr>
        <w:adjustRightInd w:val="0"/>
        <w:snapToGrid w:val="0"/>
        <w:rPr>
          <w:rFonts w:hint="eastAsia" w:ascii="宋体" w:hAnsi="宋体" w:eastAsia="宋体" w:cs="宋体"/>
          <w:b/>
          <w:bCs/>
          <w:color w:val="auto"/>
          <w:szCs w:val="21"/>
          <w:highlight w:val="none"/>
          <w:lang w:eastAsia="zh-CN"/>
        </w:rPr>
      </w:pPr>
      <w:r>
        <w:rPr>
          <w:rFonts w:hint="eastAsia" w:ascii="宋体" w:hAnsi="宋体" w:eastAsia="宋体" w:cs="宋体"/>
          <w:b/>
          <w:bCs/>
          <w:color w:val="auto"/>
          <w:szCs w:val="21"/>
          <w:highlight w:val="none"/>
        </w:rPr>
        <w:t>12.4  投标人所报的各分项投标单价在合同履行过程中是固定不变的，不得以任何理由予以变更。任何包含价格调整要求的投标，其投标将被认定为投标无效。</w:t>
      </w:r>
    </w:p>
    <w:p w14:paraId="28CB28F5">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12.5  每种货物只能有一个投标报价。</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不接受具有附加条件的报价。</w:t>
      </w:r>
    </w:p>
    <w:p w14:paraId="3DFDF11A">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12.6除非招标文件另有规定，报价原则上精确到小数点后两位。</w:t>
      </w:r>
    </w:p>
    <w:p w14:paraId="1285A066">
      <w:pPr>
        <w:adjustRightInd w:val="0"/>
        <w:snapToGrid w:val="0"/>
        <w:rPr>
          <w:rFonts w:hint="eastAsia" w:ascii="宋体" w:hAnsi="宋体" w:eastAsia="宋体" w:cs="宋体"/>
          <w:b/>
          <w:bCs/>
          <w:color w:val="auto"/>
          <w:szCs w:val="21"/>
          <w:highlight w:val="none"/>
          <w:lang w:eastAsia="zh-CN"/>
        </w:rPr>
      </w:pPr>
      <w:r>
        <w:rPr>
          <w:rFonts w:hint="eastAsia" w:ascii="宋体" w:hAnsi="宋体" w:eastAsia="宋体" w:cs="宋体"/>
          <w:b/>
          <w:bCs/>
          <w:color w:val="auto"/>
          <w:szCs w:val="21"/>
          <w:highlight w:val="none"/>
        </w:rPr>
        <w:t>13.投标保证金</w:t>
      </w:r>
    </w:p>
    <w:p w14:paraId="76A4F721">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13.1  投标人应提交投标人须知表13.1款中规定的投标保证金，并作为其投标的一部分。</w:t>
      </w:r>
    </w:p>
    <w:p w14:paraId="61E7A3DE">
      <w:pPr>
        <w:adjustRightInd w:val="0"/>
        <w:snapToGrid w:val="0"/>
        <w:jc w:val="left"/>
        <w:rPr>
          <w:rFonts w:hint="eastAsia" w:ascii="宋体" w:hAnsi="宋体" w:eastAsia="宋体" w:cs="宋体"/>
          <w:color w:val="auto"/>
          <w:szCs w:val="21"/>
          <w:highlight w:val="none"/>
          <w:lang w:eastAsia="zh-CN"/>
        </w:rPr>
      </w:pPr>
      <w:r>
        <w:rPr>
          <w:rFonts w:hint="eastAsia" w:ascii="宋体" w:hAnsi="宋体" w:eastAsia="宋体" w:cs="宋体"/>
          <w:color w:val="auto"/>
          <w:szCs w:val="21"/>
          <w:highlight w:val="none"/>
        </w:rPr>
        <w:t>13.2投标保证金缴纳人、招标文件领取人、投标登记人和投标人必须为同一组织机构或联合体内不同成员单位，否则将视同未按招标文件规定交纳投标保证金。</w:t>
      </w:r>
    </w:p>
    <w:p w14:paraId="73147FEF">
      <w:pPr>
        <w:adjustRightInd w:val="0"/>
        <w:snapToGrid w:val="0"/>
        <w:jc w:val="left"/>
        <w:rPr>
          <w:rFonts w:hint="eastAsia" w:ascii="宋体" w:hAnsi="宋体" w:eastAsia="宋体" w:cs="宋体"/>
          <w:color w:val="auto"/>
          <w:szCs w:val="21"/>
          <w:highlight w:val="none"/>
        </w:rPr>
      </w:pPr>
      <w:r>
        <w:rPr>
          <w:rFonts w:hint="eastAsia" w:ascii="宋体" w:hAnsi="宋体" w:eastAsia="宋体" w:cs="宋体"/>
          <w:color w:val="auto"/>
          <w:szCs w:val="21"/>
          <w:highlight w:val="none"/>
        </w:rPr>
        <w:t>13.3  投标人存在下列情形的，投标保证金不予退还:</w:t>
      </w:r>
    </w:p>
    <w:p w14:paraId="2843F7E8">
      <w:pPr>
        <w:adjustRightInd w:val="0"/>
        <w:snapToGrid w:val="0"/>
        <w:ind w:left="420" w:leftChars="200"/>
        <w:jc w:val="left"/>
        <w:rPr>
          <w:rFonts w:hint="eastAsia" w:ascii="宋体" w:hAnsi="宋体" w:eastAsia="宋体" w:cs="宋体"/>
          <w:color w:val="auto"/>
          <w:szCs w:val="21"/>
          <w:highlight w:val="none"/>
        </w:rPr>
      </w:pPr>
      <w:r>
        <w:rPr>
          <w:rFonts w:hint="eastAsia" w:ascii="宋体" w:hAnsi="宋体" w:eastAsia="宋体" w:cs="宋体"/>
          <w:color w:val="auto"/>
          <w:szCs w:val="21"/>
          <w:highlight w:val="none"/>
        </w:rPr>
        <w:t>(1)在投标有效期内，投标人撤销投标的;</w:t>
      </w:r>
    </w:p>
    <w:p w14:paraId="25C0D098">
      <w:pPr>
        <w:adjustRightInd w:val="0"/>
        <w:snapToGrid w:val="0"/>
        <w:ind w:firstLine="420" w:firstLineChars="200"/>
        <w:jc w:val="left"/>
        <w:rPr>
          <w:rFonts w:hint="eastAsia" w:ascii="宋体" w:hAnsi="宋体" w:eastAsia="宋体" w:cs="宋体"/>
          <w:color w:val="auto"/>
          <w:szCs w:val="21"/>
          <w:highlight w:val="none"/>
        </w:rPr>
      </w:pPr>
      <w:r>
        <w:rPr>
          <w:rFonts w:hint="eastAsia" w:ascii="宋体" w:hAnsi="宋体" w:eastAsia="宋体" w:cs="宋体"/>
          <w:color w:val="auto"/>
          <w:szCs w:val="21"/>
          <w:highlight w:val="none"/>
        </w:rPr>
        <w:t>(2)中标后不按本须知第34款的规定与</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签订合同的;</w:t>
      </w:r>
    </w:p>
    <w:p w14:paraId="01B5B241">
      <w:p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(3)中标后不按本须知第35款的规定提交履约保证金的;</w:t>
      </w:r>
    </w:p>
    <w:p w14:paraId="3D614D6B">
      <w:p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(4)中标后不按本须知第36款的规定缴纳招标代理服务费的;</w:t>
      </w:r>
    </w:p>
    <w:p w14:paraId="7E72F6CC">
      <w:p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(5)存在其他违法违规行为的。</w:t>
      </w:r>
    </w:p>
    <w:p w14:paraId="4A667AA0">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13.4  联合体投标的，可以由联合体中的一方或者共同提交投标保证金。以一方名义提交投标保证金的，对联合体各方均具有约束力。</w:t>
      </w:r>
    </w:p>
    <w:p w14:paraId="5E1C6595">
      <w:pPr>
        <w:adjustRightInd w:val="0"/>
        <w:snapToGrid w:val="0"/>
        <w:rPr>
          <w:rFonts w:hint="eastAsia" w:ascii="宋体" w:hAnsi="宋体" w:eastAsia="宋体" w:cs="宋体"/>
          <w:color w:val="auto"/>
          <w:szCs w:val="21"/>
          <w:highlight w:val="none"/>
          <w:lang w:eastAsia="zh-CN"/>
        </w:rPr>
      </w:pPr>
      <w:r>
        <w:rPr>
          <w:rFonts w:hint="eastAsia" w:ascii="宋体" w:hAnsi="宋体" w:eastAsia="宋体" w:cs="宋体"/>
          <w:color w:val="auto"/>
          <w:szCs w:val="21"/>
          <w:highlight w:val="none"/>
        </w:rPr>
        <w:t>13.5  投标保证金的退还</w:t>
      </w:r>
    </w:p>
    <w:p w14:paraId="25934F28">
      <w:pPr>
        <w:adjustRightInd w:val="0"/>
        <w:snapToGrid w:val="0"/>
        <w:rPr>
          <w:rFonts w:hint="eastAsia" w:ascii="宋体" w:hAnsi="宋体" w:eastAsia="宋体" w:cs="宋体"/>
          <w:color w:val="auto"/>
          <w:szCs w:val="21"/>
          <w:highlight w:val="none"/>
          <w:lang w:eastAsia="zh-CN"/>
        </w:rPr>
      </w:pPr>
      <w:r>
        <w:rPr>
          <w:rFonts w:hint="eastAsia" w:ascii="宋体" w:hAnsi="宋体" w:eastAsia="宋体" w:cs="宋体"/>
          <w:color w:val="auto"/>
          <w:szCs w:val="21"/>
          <w:highlight w:val="none"/>
        </w:rPr>
        <w:t>13.5.1  中标人应在与</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签订合同之日起5个工作日内，及时联系保证金收受机构办理投标保证金退还手续。</w:t>
      </w:r>
    </w:p>
    <w:p w14:paraId="031B9C7D">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13.5.2 未中标投标人的投标保证金将在中标通知书发出之日暨中标结果公告公布之日起5个工作日内无息退还。投标人应及时联系保证金收受机构办理退还投标保证金手续。</w:t>
      </w:r>
    </w:p>
    <w:p w14:paraId="4B4404CC">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13.5.3投标人在投标截止时间前撤回已提交的投标文件的，投标人应自</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或者</w:t>
      </w:r>
      <w:r>
        <w:rPr>
          <w:rFonts w:hint="eastAsia" w:ascii="宋体" w:hAnsi="宋体" w:eastAsia="宋体" w:cs="宋体"/>
          <w:color w:val="auto"/>
          <w:szCs w:val="21"/>
          <w:highlight w:val="none"/>
          <w:lang w:eastAsia="zh-CN"/>
        </w:rPr>
        <w:t>招标代理机构</w:t>
      </w:r>
      <w:r>
        <w:rPr>
          <w:rFonts w:hint="eastAsia" w:ascii="宋体" w:hAnsi="宋体" w:eastAsia="宋体" w:cs="宋体"/>
          <w:color w:val="auto"/>
          <w:szCs w:val="21"/>
          <w:highlight w:val="none"/>
        </w:rPr>
        <w:t>收到投标人书面撤回通知之日起５个工作日内，及时联系保证金收受机构办理投标保证金退还手续。</w:t>
      </w:r>
    </w:p>
    <w:p w14:paraId="3046EFBB">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13.5.4 采购投标担保函不予退回。</w:t>
      </w:r>
    </w:p>
    <w:p w14:paraId="4A2C5D93">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13.6 因投标人自身原因导致无法及时退还的，</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或</w:t>
      </w:r>
      <w:r>
        <w:rPr>
          <w:rFonts w:hint="eastAsia" w:ascii="宋体" w:hAnsi="宋体" w:eastAsia="宋体" w:cs="宋体"/>
          <w:color w:val="auto"/>
          <w:szCs w:val="21"/>
          <w:highlight w:val="none"/>
          <w:lang w:eastAsia="zh-CN"/>
        </w:rPr>
        <w:t>招标代理机构</w:t>
      </w:r>
      <w:r>
        <w:rPr>
          <w:rFonts w:hint="eastAsia" w:ascii="宋体" w:hAnsi="宋体" w:eastAsia="宋体" w:cs="宋体"/>
          <w:color w:val="auto"/>
          <w:szCs w:val="21"/>
          <w:highlight w:val="none"/>
        </w:rPr>
        <w:t>将不承担相应责任。</w:t>
      </w:r>
    </w:p>
    <w:p w14:paraId="246AEC08">
      <w:pPr>
        <w:adjustRightInd w:val="0"/>
        <w:snapToGrid w:val="0"/>
        <w:rPr>
          <w:rFonts w:hint="eastAsia" w:ascii="宋体" w:hAnsi="宋体" w:eastAsia="宋体" w:cs="宋体"/>
          <w:b/>
          <w:bCs/>
          <w:color w:val="auto"/>
          <w:szCs w:val="21"/>
          <w:highlight w:val="none"/>
          <w:lang w:eastAsia="zh-CN"/>
        </w:rPr>
      </w:pPr>
      <w:r>
        <w:rPr>
          <w:rFonts w:hint="eastAsia" w:ascii="宋体" w:hAnsi="宋体" w:eastAsia="宋体" w:cs="宋体"/>
          <w:b/>
          <w:bCs/>
          <w:color w:val="auto"/>
          <w:szCs w:val="21"/>
          <w:highlight w:val="none"/>
        </w:rPr>
        <w:t>14. 证明投标标的的合格性和符合招标文件规定的技术文件</w:t>
      </w:r>
    </w:p>
    <w:p w14:paraId="0F321D5E">
      <w:pPr>
        <w:adjustRightInd w:val="0"/>
        <w:snapToGrid w:val="0"/>
        <w:rPr>
          <w:rFonts w:hint="eastAsia" w:ascii="宋体" w:hAnsi="宋体" w:eastAsia="宋体" w:cs="宋体"/>
          <w:color w:val="auto"/>
          <w:szCs w:val="21"/>
          <w:highlight w:val="none"/>
          <w:lang w:eastAsia="zh-CN"/>
        </w:rPr>
      </w:pPr>
      <w:r>
        <w:rPr>
          <w:rFonts w:hint="eastAsia" w:ascii="宋体" w:hAnsi="宋体" w:eastAsia="宋体" w:cs="宋体"/>
          <w:color w:val="auto"/>
          <w:szCs w:val="21"/>
          <w:highlight w:val="none"/>
        </w:rPr>
        <w:t>14.1  投标人应提交证明文件，证明其投标内容符合招标文件规定。该证明文件是投标文件的一部分。</w:t>
      </w:r>
    </w:p>
    <w:p w14:paraId="661BD6E9">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14.2 上款所述的证明文件，可以是文字资料、图纸和数据，它包括：</w:t>
      </w:r>
    </w:p>
    <w:p w14:paraId="1465DEF6">
      <w:pPr>
        <w:adjustRightInd w:val="0"/>
        <w:snapToGrid w:val="0"/>
        <w:rPr>
          <w:rFonts w:hint="eastAsia" w:ascii="宋体" w:hAnsi="宋体" w:eastAsia="宋体" w:cs="宋体"/>
          <w:color w:val="auto"/>
          <w:szCs w:val="21"/>
          <w:highlight w:val="none"/>
          <w:lang w:eastAsia="zh-CN"/>
        </w:rPr>
      </w:pPr>
      <w:r>
        <w:rPr>
          <w:rFonts w:hint="eastAsia" w:ascii="宋体" w:hAnsi="宋体" w:eastAsia="宋体" w:cs="宋体"/>
          <w:color w:val="auto"/>
          <w:szCs w:val="21"/>
          <w:highlight w:val="none"/>
        </w:rPr>
        <w:t>14.2.1货物主要技术指标和性能的详细说明；</w:t>
      </w:r>
    </w:p>
    <w:p w14:paraId="3C1943A8">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14.2.2 货物从</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开始使用至招标文件规定的保质期内正常、连续地使用所必须的备件和专用工具清单，包括备件和专用工具的货源及现行价格;</w:t>
      </w:r>
    </w:p>
    <w:p w14:paraId="3A2C9437">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14.2.3 对照招标文件技术规格，逐条说明所提供货物及伴随的工程和服务已对招标文件的技术规格做出了实质性的响应，或申明与技术规格条文的偏差和例外。</w:t>
      </w:r>
    </w:p>
    <w:p w14:paraId="191B7287">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15.投标有效期</w:t>
      </w:r>
    </w:p>
    <w:p w14:paraId="644E9347">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15.1 投标应在投标人须知表15.1款中规定的投标有效期内保持有效。投标有效期不满足要求的投标，其投标将被认定为投标无效。</w:t>
      </w:r>
    </w:p>
    <w:p w14:paraId="4DE820FB">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15.2 在特殊情况下，</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或</w:t>
      </w:r>
      <w:r>
        <w:rPr>
          <w:rFonts w:hint="eastAsia" w:ascii="宋体" w:hAnsi="宋体" w:eastAsia="宋体" w:cs="宋体"/>
          <w:color w:val="auto"/>
          <w:szCs w:val="21"/>
          <w:highlight w:val="none"/>
          <w:lang w:eastAsia="zh-CN"/>
        </w:rPr>
        <w:t>招标代理机构</w:t>
      </w:r>
      <w:r>
        <w:rPr>
          <w:rFonts w:hint="eastAsia" w:ascii="宋体" w:hAnsi="宋体" w:eastAsia="宋体" w:cs="宋体"/>
          <w:color w:val="auto"/>
          <w:szCs w:val="21"/>
          <w:highlight w:val="none"/>
        </w:rPr>
        <w:t>可根据实际情况，在原投标有效期截止之前，要求投标人延长投标文件的有效期。接受该要求的投标人将不会被要求和允许修正其投标，且本须知中有关投标保证金的要求须在延长的有效期内继续有效。投标人可以拒绝延长投标有效期的要求，其投标保证金将及时无息退还。上述要求和答复都应以书面形式提交。</w:t>
      </w:r>
    </w:p>
    <w:p w14:paraId="7C6D7453">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16.</w:t>
      </w:r>
      <w:r>
        <w:rPr>
          <w:rFonts w:hint="eastAsia" w:ascii="宋体" w:hAnsi="宋体" w:eastAsia="宋体" w:cs="宋体"/>
          <w:b/>
          <w:bCs/>
          <w:color w:val="auto"/>
          <w:szCs w:val="21"/>
          <w:highlight w:val="none"/>
          <w:lang w:val="en-US" w:eastAsia="zh-CN"/>
        </w:rPr>
        <w:t xml:space="preserve"> </w:t>
      </w:r>
      <w:r>
        <w:rPr>
          <w:rFonts w:hint="eastAsia" w:ascii="宋体" w:hAnsi="宋体" w:eastAsia="宋体" w:cs="宋体"/>
          <w:b/>
          <w:bCs/>
          <w:color w:val="auto"/>
          <w:szCs w:val="21"/>
          <w:highlight w:val="none"/>
        </w:rPr>
        <w:t>投标文件的签署及规定</w:t>
      </w:r>
    </w:p>
    <w:p w14:paraId="2B228164">
      <w:pPr>
        <w:adjustRightInd w:val="0"/>
        <w:snapToGrid w:val="0"/>
        <w:rPr>
          <w:rFonts w:hint="default" w:ascii="宋体" w:hAnsi="宋体" w:eastAsia="宋体" w:cs="宋体"/>
          <w:color w:val="auto"/>
          <w:szCs w:val="21"/>
          <w:highlight w:val="none"/>
          <w:lang w:val="en-US" w:eastAsia="zh-CN"/>
        </w:rPr>
      </w:pPr>
      <w:r>
        <w:rPr>
          <w:rFonts w:hint="eastAsia" w:ascii="宋体" w:hAnsi="宋体" w:eastAsia="宋体" w:cs="宋体"/>
          <w:color w:val="auto"/>
          <w:szCs w:val="21"/>
          <w:highlight w:val="none"/>
        </w:rPr>
        <w:t>16.1 投标人应按投标人须知表16.1款中的规定，准备和递交投标文件正本、副本</w:t>
      </w:r>
      <w:r>
        <w:rPr>
          <w:rFonts w:hint="eastAsia" w:ascii="宋体" w:hAnsi="宋体" w:eastAsia="宋体" w:cs="宋体"/>
          <w:color w:val="auto"/>
          <w:szCs w:val="21"/>
          <w:highlight w:val="none"/>
          <w:lang w:val="en-US" w:eastAsia="zh-CN"/>
        </w:rPr>
        <w:t>和电子文档</w:t>
      </w:r>
      <w:r>
        <w:rPr>
          <w:rFonts w:hint="eastAsia" w:ascii="宋体" w:hAnsi="宋体" w:eastAsia="宋体" w:cs="宋体"/>
          <w:color w:val="auto"/>
          <w:szCs w:val="21"/>
          <w:highlight w:val="none"/>
        </w:rPr>
        <w:t>，每份投标文件封皮须清楚地标明“正本”或“副本”。若正本和副本不符，以正本为准。</w:t>
      </w:r>
    </w:p>
    <w:p w14:paraId="0DA9CDEC">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16.2 投标文件的正本需打印或用不褪色墨水书写，并由投标人的法定代表人（非法人组织负责人）或经其正式委托代理人按招标文件规定在投标文件上签字或盖章，并加盖单位印章。委托代理人须持有书面的“法定代表人（非法人组织负责人）授权委托书”，并将其附在投标文件中。如对投标文件进行了修改，则应由投标人的法定代表人（非法人组织负责人）或其委托代理人在每一修改处签字。投标文件的副本可采用正本的复印件。</w:t>
      </w:r>
    </w:p>
    <w:p w14:paraId="41285BBC">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16.3 所有投标文件采用不可拆装的胶订方式装订，否则其投标将被认定为投标无效。</w:t>
      </w:r>
    </w:p>
    <w:p w14:paraId="14275898">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16.4 投标文件因字迹潦草无法辨认、表达不清或装订不当所引起的后果由投标人负责。</w:t>
      </w:r>
    </w:p>
    <w:p w14:paraId="2FD9D556">
      <w:pPr>
        <w:pStyle w:val="3"/>
        <w:spacing w:line="240" w:lineRule="auto"/>
        <w:rPr>
          <w:rFonts w:hint="eastAsia" w:ascii="宋体" w:hAnsi="宋体" w:eastAsia="宋体" w:cs="宋体"/>
          <w:color w:val="auto"/>
          <w:highlight w:val="none"/>
        </w:rPr>
      </w:pPr>
      <w:r>
        <w:rPr>
          <w:rFonts w:hint="eastAsia" w:ascii="宋体" w:hAnsi="宋体" w:eastAsia="宋体" w:cs="宋体"/>
          <w:color w:val="auto"/>
          <w:highlight w:val="none"/>
        </w:rPr>
        <w:t>五 投标文件的递交</w:t>
      </w:r>
    </w:p>
    <w:p w14:paraId="4FBD5439">
      <w:pPr>
        <w:numPr>
          <w:ilvl w:val="0"/>
          <w:numId w:val="6"/>
        </w:numPr>
        <w:adjustRightInd w:val="0"/>
        <w:snapToGrid w:val="0"/>
        <w:rPr>
          <w:rFonts w:hint="default" w:ascii="宋体" w:hAnsi="宋体" w:eastAsia="宋体" w:cs="宋体"/>
          <w:b/>
          <w:bCs/>
          <w:color w:val="auto"/>
          <w:szCs w:val="21"/>
          <w:highlight w:val="none"/>
          <w:lang w:val="en-US" w:eastAsia="zh-CN"/>
        </w:rPr>
      </w:pPr>
      <w:r>
        <w:rPr>
          <w:rFonts w:hint="eastAsia" w:ascii="宋体" w:hAnsi="宋体" w:eastAsia="宋体" w:cs="宋体"/>
          <w:b/>
          <w:bCs/>
          <w:color w:val="auto"/>
          <w:szCs w:val="21"/>
          <w:highlight w:val="none"/>
        </w:rPr>
        <w:t>投标文件的密封</w:t>
      </w:r>
      <w:r>
        <w:rPr>
          <w:rFonts w:hint="eastAsia" w:ascii="宋体" w:hAnsi="宋体" w:eastAsia="宋体" w:cs="宋体"/>
          <w:b/>
          <w:bCs/>
          <w:color w:val="auto"/>
          <w:szCs w:val="21"/>
          <w:highlight w:val="none"/>
          <w:lang w:eastAsia="zh-CN"/>
        </w:rPr>
        <w:t>、</w:t>
      </w:r>
      <w:r>
        <w:rPr>
          <w:rFonts w:hint="eastAsia" w:ascii="宋体" w:hAnsi="宋体" w:eastAsia="宋体" w:cs="宋体"/>
          <w:b/>
          <w:bCs/>
          <w:color w:val="auto"/>
          <w:szCs w:val="21"/>
          <w:highlight w:val="none"/>
        </w:rPr>
        <w:t>标记</w:t>
      </w:r>
      <w:r>
        <w:rPr>
          <w:rFonts w:hint="eastAsia" w:ascii="宋体" w:hAnsi="宋体" w:eastAsia="宋体" w:cs="宋体"/>
          <w:b/>
          <w:bCs/>
          <w:color w:val="auto"/>
          <w:szCs w:val="21"/>
          <w:highlight w:val="none"/>
          <w:lang w:val="en-US" w:eastAsia="zh-CN"/>
        </w:rPr>
        <w:t>及递交</w:t>
      </w:r>
    </w:p>
    <w:p w14:paraId="1A2CCF5A">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17.1 投标人应将投标文件装订成册、密封，将正本和所有的副本密封，并进行包封。</w:t>
      </w:r>
    </w:p>
    <w:p w14:paraId="614930BA">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17.2 所有包装封皮上均应：</w:t>
      </w:r>
    </w:p>
    <w:p w14:paraId="289E0AEE">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（1）注明项目名称、</w:t>
      </w:r>
      <w:r>
        <w:rPr>
          <w:rFonts w:hint="eastAsia" w:ascii="宋体" w:hAnsi="宋体" w:eastAsia="宋体" w:cs="宋体"/>
          <w:color w:val="auto"/>
          <w:szCs w:val="21"/>
          <w:highlight w:val="none"/>
          <w:lang w:eastAsia="zh-CN"/>
        </w:rPr>
        <w:t>计划编号</w:t>
      </w:r>
      <w:r>
        <w:rPr>
          <w:rFonts w:hint="eastAsia" w:ascii="宋体" w:hAnsi="宋体" w:eastAsia="宋体" w:cs="宋体"/>
          <w:color w:val="auto"/>
          <w:szCs w:val="21"/>
          <w:highlight w:val="none"/>
        </w:rPr>
        <w:t>、包组号、投标人名称和“在（开标时间）之前不得启封”的字样。</w:t>
      </w:r>
    </w:p>
    <w:p w14:paraId="1B7766C8">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（2）在封口处加盖投标人单位公章。</w:t>
      </w:r>
    </w:p>
    <w:p w14:paraId="2722D9B8">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17.3 如果投标人未按上述要求密封，其投标文件将被</w:t>
      </w:r>
      <w:r>
        <w:rPr>
          <w:rFonts w:hint="eastAsia" w:ascii="宋体" w:hAnsi="宋体" w:eastAsia="宋体" w:cs="宋体"/>
          <w:b/>
          <w:bCs/>
          <w:color w:val="auto"/>
          <w:szCs w:val="21"/>
          <w:highlight w:val="none"/>
        </w:rPr>
        <w:t>拒绝接收</w:t>
      </w:r>
      <w:r>
        <w:rPr>
          <w:rFonts w:hint="eastAsia" w:ascii="宋体" w:hAnsi="宋体" w:eastAsia="宋体" w:cs="宋体"/>
          <w:color w:val="auto"/>
          <w:szCs w:val="21"/>
          <w:highlight w:val="none"/>
        </w:rPr>
        <w:t>。</w:t>
      </w:r>
    </w:p>
    <w:p w14:paraId="400C7233">
      <w:pPr>
        <w:numPr>
          <w:ilvl w:val="0"/>
          <w:numId w:val="0"/>
        </w:numPr>
        <w:adjustRightInd w:val="0"/>
        <w:snapToGrid w:val="0"/>
        <w:ind w:leftChars="0"/>
        <w:rPr>
          <w:rFonts w:hint="eastAsia" w:ascii="宋体" w:hAnsi="宋体" w:eastAsia="宋体" w:cs="宋体"/>
          <w:color w:val="auto"/>
          <w:szCs w:val="21"/>
          <w:highlight w:val="none"/>
        </w:rPr>
      </w:pPr>
      <w:r>
        <w:rPr>
          <w:rFonts w:hint="eastAsia" w:ascii="宋体" w:hAnsi="宋体" w:eastAsia="宋体" w:cs="宋体"/>
          <w:b/>
          <w:bCs/>
          <w:color w:val="auto"/>
          <w:szCs w:val="21"/>
          <w:highlight w:val="none"/>
          <w:lang w:val="en-US" w:eastAsia="zh-CN"/>
        </w:rPr>
        <w:t xml:space="preserve">17.4 </w:t>
      </w:r>
      <w:r>
        <w:rPr>
          <w:rFonts w:hint="eastAsia" w:ascii="宋体" w:hAnsi="宋体" w:eastAsia="宋体" w:cs="宋体"/>
          <w:b/>
          <w:bCs/>
          <w:color w:val="auto"/>
          <w:szCs w:val="21"/>
          <w:highlight w:val="none"/>
        </w:rPr>
        <w:t>投标人须于投标截止时间前将电子投标文件上传到产权招标交易系统并完成在线投标。</w:t>
      </w:r>
    </w:p>
    <w:p w14:paraId="099F04A8">
      <w:pPr>
        <w:numPr>
          <w:ilvl w:val="0"/>
          <w:numId w:val="7"/>
        </w:num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投标截止</w:t>
      </w:r>
    </w:p>
    <w:p w14:paraId="3DBFDBA8">
      <w:pPr>
        <w:pStyle w:val="5"/>
        <w:rPr>
          <w:rFonts w:hint="eastAsia" w:ascii="宋体" w:hAnsi="宋体" w:eastAsia="宋体" w:cs="宋体"/>
          <w:b w:val="0"/>
          <w:bCs w:val="0"/>
          <w:color w:val="auto"/>
          <w:szCs w:val="21"/>
          <w:highlight w:val="none"/>
        </w:rPr>
      </w:pPr>
      <w:r>
        <w:rPr>
          <w:rFonts w:hint="eastAsia" w:ascii="宋体" w:hAnsi="宋体" w:eastAsia="宋体" w:cs="宋体"/>
          <w:b w:val="0"/>
          <w:bCs w:val="0"/>
          <w:color w:val="auto"/>
          <w:kern w:val="2"/>
          <w:sz w:val="21"/>
          <w:szCs w:val="21"/>
          <w:highlight w:val="none"/>
          <w:lang w:val="en-US" w:eastAsia="zh-CN" w:bidi="ar-SA"/>
        </w:rPr>
        <w:t>18.1 投标人应在招标公告中规定的递交投标文件截止时间前，将投标文件递交到招标公告中规定的地点。</w:t>
      </w:r>
    </w:p>
    <w:p w14:paraId="4F577D6E">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18.</w:t>
      </w:r>
      <w:r>
        <w:rPr>
          <w:rFonts w:hint="eastAsia" w:ascii="宋体" w:hAnsi="宋体" w:eastAsia="宋体" w:cs="宋体"/>
          <w:color w:val="auto"/>
          <w:szCs w:val="21"/>
          <w:highlight w:val="none"/>
          <w:lang w:val="en-US" w:eastAsia="zh-CN"/>
        </w:rPr>
        <w:t>2</w:t>
      </w:r>
      <w:r>
        <w:rPr>
          <w:rFonts w:hint="eastAsia" w:ascii="宋体" w:hAnsi="宋体" w:eastAsia="宋体" w:cs="宋体"/>
          <w:color w:val="auto"/>
          <w:szCs w:val="21"/>
          <w:highlight w:val="none"/>
        </w:rPr>
        <w:t xml:space="preserve"> </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和</w:t>
      </w:r>
      <w:r>
        <w:rPr>
          <w:rFonts w:hint="eastAsia" w:ascii="宋体" w:hAnsi="宋体" w:eastAsia="宋体" w:cs="宋体"/>
          <w:color w:val="auto"/>
          <w:szCs w:val="21"/>
          <w:highlight w:val="none"/>
          <w:lang w:eastAsia="zh-CN"/>
        </w:rPr>
        <w:t>招标代理机构</w:t>
      </w:r>
      <w:r>
        <w:rPr>
          <w:rFonts w:hint="eastAsia" w:ascii="宋体" w:hAnsi="宋体" w:eastAsia="宋体" w:cs="宋体"/>
          <w:color w:val="auto"/>
          <w:szCs w:val="21"/>
          <w:highlight w:val="none"/>
        </w:rPr>
        <w:t>有权按本须知的规定，延迟投标截止时间。在此情况下，</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w:t>
      </w:r>
      <w:r>
        <w:rPr>
          <w:rFonts w:hint="eastAsia" w:ascii="宋体" w:hAnsi="宋体" w:eastAsia="宋体" w:cs="宋体"/>
          <w:color w:val="auto"/>
          <w:szCs w:val="21"/>
          <w:highlight w:val="none"/>
          <w:lang w:eastAsia="zh-CN"/>
        </w:rPr>
        <w:t>招标代理机构</w:t>
      </w:r>
      <w:r>
        <w:rPr>
          <w:rFonts w:hint="eastAsia" w:ascii="宋体" w:hAnsi="宋体" w:eastAsia="宋体" w:cs="宋体"/>
          <w:color w:val="auto"/>
          <w:szCs w:val="21"/>
          <w:highlight w:val="none"/>
        </w:rPr>
        <w:t>和投标人受投标截止时间制约的所有权利和义务均应延长至新的截止时间。</w:t>
      </w:r>
    </w:p>
    <w:p w14:paraId="2BC169B4">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19. 投标文件的接收、修改与撤回</w:t>
      </w:r>
    </w:p>
    <w:p w14:paraId="455AF2BC">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19.1 投标人在韶关市公共资源交易一体化平台“产权招标交易系统”成功上传投标文件后，在电子投标截止时间前</w:t>
      </w:r>
      <w:r>
        <w:rPr>
          <w:rFonts w:hint="eastAsia" w:ascii="宋体" w:hAnsi="宋体" w:eastAsia="宋体" w:cs="宋体"/>
          <w:b/>
          <w:bCs/>
          <w:color w:val="auto"/>
          <w:szCs w:val="21"/>
          <w:highlight w:val="none"/>
          <w:u w:val="none"/>
        </w:rPr>
        <w:t>可以撤回其投标</w:t>
      </w:r>
      <w:r>
        <w:rPr>
          <w:rFonts w:hint="eastAsia" w:ascii="宋体" w:hAnsi="宋体" w:eastAsia="宋体" w:cs="宋体"/>
          <w:color w:val="auto"/>
          <w:szCs w:val="21"/>
          <w:highlight w:val="none"/>
        </w:rPr>
        <w:t>。</w:t>
      </w:r>
    </w:p>
    <w:p w14:paraId="2D462002">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19.2 纸质投标文件在投标截止时间后送达的，</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和</w:t>
      </w:r>
      <w:r>
        <w:rPr>
          <w:rFonts w:hint="eastAsia" w:ascii="宋体" w:hAnsi="宋体" w:eastAsia="宋体" w:cs="宋体"/>
          <w:color w:val="auto"/>
          <w:szCs w:val="21"/>
          <w:highlight w:val="none"/>
          <w:lang w:eastAsia="zh-CN"/>
        </w:rPr>
        <w:t>招标代理机构</w:t>
      </w:r>
      <w:r>
        <w:rPr>
          <w:rFonts w:hint="eastAsia" w:ascii="宋体" w:hAnsi="宋体" w:eastAsia="宋体" w:cs="宋体"/>
          <w:color w:val="auto"/>
          <w:szCs w:val="21"/>
          <w:highlight w:val="none"/>
        </w:rPr>
        <w:t>将</w:t>
      </w:r>
      <w:r>
        <w:rPr>
          <w:rFonts w:hint="eastAsia" w:ascii="宋体" w:hAnsi="宋体" w:eastAsia="宋体" w:cs="宋体"/>
          <w:b/>
          <w:bCs/>
          <w:color w:val="auto"/>
          <w:szCs w:val="21"/>
          <w:highlight w:val="none"/>
        </w:rPr>
        <w:t>拒绝接收</w:t>
      </w:r>
      <w:r>
        <w:rPr>
          <w:rFonts w:hint="eastAsia" w:ascii="宋体" w:hAnsi="宋体" w:eastAsia="宋体" w:cs="宋体"/>
          <w:color w:val="auto"/>
          <w:szCs w:val="21"/>
          <w:highlight w:val="none"/>
        </w:rPr>
        <w:t>。</w:t>
      </w:r>
    </w:p>
    <w:p w14:paraId="4D947FA3">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lang w:val="en-US" w:eastAsia="zh-CN"/>
        </w:rPr>
        <w:t>19.3</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或者</w:t>
      </w:r>
      <w:r>
        <w:rPr>
          <w:rFonts w:hint="eastAsia" w:ascii="宋体" w:hAnsi="宋体" w:eastAsia="宋体" w:cs="宋体"/>
          <w:color w:val="auto"/>
          <w:szCs w:val="21"/>
          <w:highlight w:val="none"/>
          <w:lang w:eastAsia="zh-CN"/>
        </w:rPr>
        <w:t>招标代理机构</w:t>
      </w:r>
      <w:r>
        <w:rPr>
          <w:rFonts w:hint="eastAsia" w:ascii="宋体" w:hAnsi="宋体" w:eastAsia="宋体" w:cs="宋体"/>
          <w:color w:val="auto"/>
          <w:szCs w:val="21"/>
          <w:highlight w:val="none"/>
        </w:rPr>
        <w:t>收到</w:t>
      </w:r>
      <w:r>
        <w:rPr>
          <w:rFonts w:hint="eastAsia" w:ascii="宋体" w:hAnsi="宋体" w:eastAsia="宋体" w:cs="宋体"/>
          <w:color w:val="auto"/>
          <w:szCs w:val="21"/>
          <w:highlight w:val="none"/>
          <w:lang w:val="en-US" w:eastAsia="zh-CN"/>
        </w:rPr>
        <w:t>纸质</w:t>
      </w:r>
      <w:r>
        <w:rPr>
          <w:rFonts w:hint="eastAsia" w:ascii="宋体" w:hAnsi="宋体" w:eastAsia="宋体" w:cs="宋体"/>
          <w:color w:val="auto"/>
          <w:szCs w:val="21"/>
          <w:highlight w:val="none"/>
        </w:rPr>
        <w:t>投标文件后，应当如实记载投标文件的送达时间和密封情况，并向投标人出具以下签收回执。</w:t>
      </w:r>
    </w:p>
    <w:p w14:paraId="54660696">
      <w:pPr>
        <w:adjustRightInd w:val="0"/>
        <w:snapToGrid w:val="0"/>
        <w:jc w:val="center"/>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接收投标文件回执单</w:t>
      </w:r>
    </w:p>
    <w:tbl>
      <w:tblPr>
        <w:tblStyle w:val="17"/>
        <w:tblW w:w="70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44"/>
        <w:gridCol w:w="5396"/>
      </w:tblGrid>
      <w:tr w14:paraId="110404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644" w:type="dxa"/>
            <w:noWrap w:val="0"/>
            <w:vAlign w:val="center"/>
          </w:tcPr>
          <w:p w14:paraId="520762C5">
            <w:pPr>
              <w:adjustRightInd w:val="0"/>
              <w:snapToGrid w:val="0"/>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rPr>
              <w:t>项目名称</w:t>
            </w:r>
          </w:p>
        </w:tc>
        <w:tc>
          <w:tcPr>
            <w:tcW w:w="5396" w:type="dxa"/>
            <w:noWrap w:val="0"/>
            <w:vAlign w:val="center"/>
          </w:tcPr>
          <w:p w14:paraId="52EEC4D9">
            <w:pPr>
              <w:adjustRightInd w:val="0"/>
              <w:snapToGrid w:val="0"/>
              <w:jc w:val="center"/>
              <w:rPr>
                <w:rFonts w:hint="eastAsia" w:ascii="宋体" w:hAnsi="宋体" w:eastAsia="宋体" w:cs="宋体"/>
                <w:color w:val="auto"/>
                <w:szCs w:val="21"/>
                <w:highlight w:val="none"/>
              </w:rPr>
            </w:pPr>
          </w:p>
        </w:tc>
      </w:tr>
      <w:tr w14:paraId="64E21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644" w:type="dxa"/>
            <w:noWrap w:val="0"/>
            <w:vAlign w:val="center"/>
          </w:tcPr>
          <w:p w14:paraId="06809592">
            <w:pPr>
              <w:adjustRightInd w:val="0"/>
              <w:snapToGrid w:val="0"/>
              <w:jc w:val="center"/>
              <w:rPr>
                <w:rFonts w:hint="eastAsia" w:ascii="宋体" w:hAnsi="宋体" w:eastAsia="宋体" w:cs="宋体"/>
                <w:color w:val="auto"/>
                <w:szCs w:val="21"/>
                <w:highlight w:val="none"/>
                <w:lang w:eastAsia="zh-CN"/>
              </w:rPr>
            </w:pPr>
            <w:r>
              <w:rPr>
                <w:rFonts w:hint="eastAsia" w:ascii="宋体" w:hAnsi="宋体" w:eastAsia="宋体" w:cs="宋体"/>
                <w:color w:val="auto"/>
                <w:szCs w:val="21"/>
                <w:highlight w:val="none"/>
                <w:lang w:eastAsia="zh-CN"/>
              </w:rPr>
              <w:t>计划编号</w:t>
            </w:r>
          </w:p>
        </w:tc>
        <w:tc>
          <w:tcPr>
            <w:tcW w:w="5396" w:type="dxa"/>
            <w:noWrap w:val="0"/>
            <w:vAlign w:val="center"/>
          </w:tcPr>
          <w:p w14:paraId="582863CA">
            <w:pPr>
              <w:adjustRightInd w:val="0"/>
              <w:snapToGrid w:val="0"/>
              <w:jc w:val="center"/>
              <w:rPr>
                <w:rFonts w:hint="eastAsia" w:ascii="宋体" w:hAnsi="宋体" w:eastAsia="宋体" w:cs="宋体"/>
                <w:color w:val="auto"/>
                <w:szCs w:val="21"/>
                <w:highlight w:val="none"/>
              </w:rPr>
            </w:pPr>
          </w:p>
        </w:tc>
      </w:tr>
      <w:tr w14:paraId="228B0BA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644" w:type="dxa"/>
            <w:noWrap w:val="0"/>
            <w:vAlign w:val="center"/>
          </w:tcPr>
          <w:p w14:paraId="703F5973">
            <w:pPr>
              <w:adjustRightInd w:val="0"/>
              <w:snapToGrid w:val="0"/>
              <w:jc w:val="center"/>
              <w:rPr>
                <w:rFonts w:hint="eastAsia" w:ascii="宋体" w:hAnsi="宋体" w:eastAsia="宋体" w:cs="宋体"/>
                <w:color w:val="auto"/>
                <w:szCs w:val="21"/>
                <w:highlight w:val="none"/>
                <w:lang w:eastAsia="zh-CN"/>
              </w:rPr>
            </w:pPr>
            <w:r>
              <w:rPr>
                <w:rFonts w:hint="eastAsia" w:ascii="宋体" w:hAnsi="宋体" w:eastAsia="宋体" w:cs="宋体"/>
                <w:color w:val="auto"/>
                <w:szCs w:val="21"/>
                <w:highlight w:val="none"/>
                <w:lang w:eastAsia="zh-CN"/>
              </w:rPr>
              <w:t>项目编号</w:t>
            </w:r>
          </w:p>
        </w:tc>
        <w:tc>
          <w:tcPr>
            <w:tcW w:w="5396" w:type="dxa"/>
            <w:noWrap w:val="0"/>
            <w:vAlign w:val="center"/>
          </w:tcPr>
          <w:p w14:paraId="7566E972">
            <w:pPr>
              <w:adjustRightInd w:val="0"/>
              <w:snapToGrid w:val="0"/>
              <w:jc w:val="center"/>
              <w:rPr>
                <w:rFonts w:hint="eastAsia" w:ascii="宋体" w:hAnsi="宋体" w:eastAsia="宋体" w:cs="宋体"/>
                <w:color w:val="auto"/>
                <w:szCs w:val="21"/>
                <w:highlight w:val="none"/>
              </w:rPr>
            </w:pPr>
          </w:p>
        </w:tc>
      </w:tr>
      <w:tr w14:paraId="34FB68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644" w:type="dxa"/>
            <w:noWrap w:val="0"/>
            <w:vAlign w:val="center"/>
          </w:tcPr>
          <w:p w14:paraId="3A3781F1">
            <w:pPr>
              <w:adjustRightInd w:val="0"/>
              <w:snapToGrid w:val="0"/>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rPr>
              <w:t>投标人名称</w:t>
            </w:r>
          </w:p>
        </w:tc>
        <w:tc>
          <w:tcPr>
            <w:tcW w:w="5396" w:type="dxa"/>
            <w:noWrap w:val="0"/>
            <w:vAlign w:val="center"/>
          </w:tcPr>
          <w:p w14:paraId="26B74879">
            <w:pPr>
              <w:adjustRightInd w:val="0"/>
              <w:snapToGrid w:val="0"/>
              <w:jc w:val="center"/>
              <w:rPr>
                <w:rFonts w:hint="eastAsia" w:ascii="宋体" w:hAnsi="宋体" w:eastAsia="宋体" w:cs="宋体"/>
                <w:color w:val="auto"/>
                <w:szCs w:val="21"/>
                <w:highlight w:val="none"/>
              </w:rPr>
            </w:pPr>
          </w:p>
        </w:tc>
      </w:tr>
      <w:tr w14:paraId="3158EC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644" w:type="dxa"/>
            <w:noWrap w:val="0"/>
            <w:vAlign w:val="center"/>
          </w:tcPr>
          <w:p w14:paraId="4D51FD89">
            <w:pPr>
              <w:adjustRightInd w:val="0"/>
              <w:snapToGrid w:val="0"/>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rPr>
              <w:t>递交时间</w:t>
            </w:r>
          </w:p>
        </w:tc>
        <w:tc>
          <w:tcPr>
            <w:tcW w:w="5396" w:type="dxa"/>
            <w:noWrap w:val="0"/>
            <w:vAlign w:val="center"/>
          </w:tcPr>
          <w:p w14:paraId="27582541">
            <w:pPr>
              <w:adjustRightInd w:val="0"/>
              <w:snapToGrid w:val="0"/>
              <w:jc w:val="center"/>
              <w:rPr>
                <w:rFonts w:hint="eastAsia" w:ascii="宋体" w:hAnsi="宋体" w:eastAsia="宋体" w:cs="宋体"/>
                <w:color w:val="auto"/>
                <w:szCs w:val="21"/>
                <w:highlight w:val="none"/>
              </w:rPr>
            </w:pPr>
          </w:p>
        </w:tc>
      </w:tr>
      <w:tr w14:paraId="05B5E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644" w:type="dxa"/>
            <w:noWrap w:val="0"/>
            <w:vAlign w:val="center"/>
          </w:tcPr>
          <w:p w14:paraId="29F00CCF">
            <w:pPr>
              <w:adjustRightInd w:val="0"/>
              <w:snapToGrid w:val="0"/>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rPr>
              <w:t>接收单位</w:t>
            </w:r>
          </w:p>
        </w:tc>
        <w:tc>
          <w:tcPr>
            <w:tcW w:w="5396" w:type="dxa"/>
            <w:noWrap w:val="0"/>
            <w:vAlign w:val="center"/>
          </w:tcPr>
          <w:p w14:paraId="1A279C35">
            <w:pPr>
              <w:adjustRightInd w:val="0"/>
              <w:snapToGrid w:val="0"/>
              <w:jc w:val="center"/>
              <w:rPr>
                <w:rFonts w:hint="eastAsia" w:ascii="宋体" w:hAnsi="宋体" w:eastAsia="宋体" w:cs="宋体"/>
                <w:color w:val="auto"/>
                <w:szCs w:val="21"/>
                <w:highlight w:val="none"/>
              </w:rPr>
            </w:pPr>
          </w:p>
        </w:tc>
      </w:tr>
      <w:tr w14:paraId="483D7A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644" w:type="dxa"/>
            <w:noWrap w:val="0"/>
            <w:vAlign w:val="center"/>
          </w:tcPr>
          <w:p w14:paraId="23FCF6E5">
            <w:pPr>
              <w:adjustRightInd w:val="0"/>
              <w:snapToGrid w:val="0"/>
              <w:jc w:val="center"/>
              <w:rPr>
                <w:rFonts w:hint="eastAsia" w:ascii="宋体" w:hAnsi="宋体" w:eastAsia="宋体" w:cs="宋体"/>
                <w:color w:val="auto"/>
                <w:szCs w:val="21"/>
                <w:highlight w:val="none"/>
              </w:rPr>
            </w:pPr>
            <w:r>
              <w:rPr>
                <w:rFonts w:hint="eastAsia" w:ascii="宋体" w:hAnsi="宋体" w:eastAsia="宋体" w:cs="宋体"/>
                <w:color w:val="auto"/>
                <w:szCs w:val="21"/>
                <w:highlight w:val="none"/>
              </w:rPr>
              <w:t>接收人签字</w:t>
            </w:r>
          </w:p>
        </w:tc>
        <w:tc>
          <w:tcPr>
            <w:tcW w:w="5396" w:type="dxa"/>
            <w:noWrap w:val="0"/>
            <w:vAlign w:val="center"/>
          </w:tcPr>
          <w:p w14:paraId="5A0F0139">
            <w:pPr>
              <w:adjustRightInd w:val="0"/>
              <w:snapToGrid w:val="0"/>
              <w:jc w:val="center"/>
              <w:rPr>
                <w:rFonts w:hint="eastAsia" w:ascii="宋体" w:hAnsi="宋体" w:eastAsia="宋体" w:cs="宋体"/>
                <w:color w:val="auto"/>
                <w:szCs w:val="21"/>
                <w:highlight w:val="none"/>
              </w:rPr>
            </w:pPr>
          </w:p>
        </w:tc>
      </w:tr>
    </w:tbl>
    <w:p w14:paraId="234346B3">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19.</w:t>
      </w:r>
      <w:r>
        <w:rPr>
          <w:rFonts w:hint="eastAsia" w:ascii="宋体" w:hAnsi="宋体" w:eastAsia="宋体" w:cs="宋体"/>
          <w:color w:val="auto"/>
          <w:szCs w:val="21"/>
          <w:highlight w:val="none"/>
          <w:lang w:val="en-US" w:eastAsia="zh-CN"/>
        </w:rPr>
        <w:t>4</w:t>
      </w:r>
      <w:r>
        <w:rPr>
          <w:rFonts w:hint="eastAsia" w:ascii="宋体" w:hAnsi="宋体" w:eastAsia="宋体" w:cs="宋体"/>
          <w:color w:val="auto"/>
          <w:szCs w:val="21"/>
          <w:highlight w:val="none"/>
        </w:rPr>
        <w:t xml:space="preserve"> 递交投标文件以后，如果投标人要进行修改或撤回投标，须提出书面申请并在投标截止时间前送达开标地点，投标人对投标文件的修改或撤回通知应按本须知规定编制、密封、标记。</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和</w:t>
      </w:r>
      <w:r>
        <w:rPr>
          <w:rFonts w:hint="eastAsia" w:ascii="宋体" w:hAnsi="宋体" w:eastAsia="宋体" w:cs="宋体"/>
          <w:color w:val="auto"/>
          <w:szCs w:val="21"/>
          <w:highlight w:val="none"/>
          <w:lang w:eastAsia="zh-CN"/>
        </w:rPr>
        <w:t>招标代理机构</w:t>
      </w:r>
      <w:r>
        <w:rPr>
          <w:rFonts w:hint="eastAsia" w:ascii="宋体" w:hAnsi="宋体" w:eastAsia="宋体" w:cs="宋体"/>
          <w:color w:val="auto"/>
          <w:szCs w:val="21"/>
          <w:highlight w:val="none"/>
        </w:rPr>
        <w:t>将予以接收，并视为投标文件的组成部分。否则，修改后的投标文件或撤回行为无效。</w:t>
      </w:r>
    </w:p>
    <w:p w14:paraId="27017D2F">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19.</w:t>
      </w:r>
      <w:r>
        <w:rPr>
          <w:rFonts w:hint="eastAsia" w:ascii="宋体" w:hAnsi="宋体" w:eastAsia="宋体" w:cs="宋体"/>
          <w:color w:val="auto"/>
          <w:szCs w:val="21"/>
          <w:highlight w:val="none"/>
          <w:lang w:val="en-US" w:eastAsia="zh-CN"/>
        </w:rPr>
        <w:t>5</w:t>
      </w:r>
      <w:r>
        <w:rPr>
          <w:rFonts w:hint="eastAsia" w:ascii="宋体" w:hAnsi="宋体" w:eastAsia="宋体" w:cs="宋体"/>
          <w:color w:val="auto"/>
          <w:szCs w:val="21"/>
          <w:highlight w:val="none"/>
        </w:rPr>
        <w:t xml:space="preserve"> 在投标截止时间之后，投标人不得对其</w:t>
      </w:r>
      <w:r>
        <w:rPr>
          <w:rFonts w:hint="eastAsia" w:ascii="宋体" w:hAnsi="宋体" w:eastAsia="宋体" w:cs="宋体"/>
          <w:color w:val="auto"/>
          <w:szCs w:val="21"/>
          <w:highlight w:val="none"/>
          <w:lang w:val="en-US" w:eastAsia="zh-CN"/>
        </w:rPr>
        <w:t>纸质</w:t>
      </w:r>
      <w:r>
        <w:rPr>
          <w:rFonts w:hint="eastAsia" w:ascii="宋体" w:hAnsi="宋体" w:eastAsia="宋体" w:cs="宋体"/>
          <w:color w:val="auto"/>
          <w:szCs w:val="21"/>
          <w:highlight w:val="none"/>
        </w:rPr>
        <w:t>投标文件做任何修改。</w:t>
      </w:r>
    </w:p>
    <w:p w14:paraId="07F3F0B4">
      <w:pPr>
        <w:adjustRightInd w:val="0"/>
        <w:snapToGrid w:val="0"/>
        <w:rPr>
          <w:rFonts w:hint="eastAsia"/>
          <w:color w:val="auto"/>
          <w:highlight w:val="none"/>
        </w:rPr>
      </w:pPr>
      <w:r>
        <w:rPr>
          <w:rFonts w:hint="eastAsia" w:ascii="宋体" w:hAnsi="宋体" w:eastAsia="宋体" w:cs="宋体"/>
          <w:color w:val="auto"/>
          <w:szCs w:val="21"/>
          <w:highlight w:val="none"/>
        </w:rPr>
        <w:t>19.</w:t>
      </w:r>
      <w:r>
        <w:rPr>
          <w:rFonts w:hint="eastAsia" w:ascii="宋体" w:hAnsi="宋体" w:eastAsia="宋体" w:cs="宋体"/>
          <w:color w:val="auto"/>
          <w:szCs w:val="21"/>
          <w:highlight w:val="none"/>
          <w:lang w:val="en-US" w:eastAsia="zh-CN"/>
        </w:rPr>
        <w:t>6</w:t>
      </w:r>
      <w:r>
        <w:rPr>
          <w:rFonts w:hint="eastAsia" w:ascii="宋体" w:hAnsi="宋体" w:eastAsia="宋体" w:cs="宋体"/>
          <w:color w:val="auto"/>
          <w:szCs w:val="21"/>
          <w:highlight w:val="none"/>
        </w:rPr>
        <w:t xml:space="preserve"> </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和</w:t>
      </w:r>
      <w:r>
        <w:rPr>
          <w:rFonts w:hint="eastAsia" w:ascii="宋体" w:hAnsi="宋体" w:eastAsia="宋体" w:cs="宋体"/>
          <w:color w:val="auto"/>
          <w:szCs w:val="21"/>
          <w:highlight w:val="none"/>
          <w:lang w:eastAsia="zh-CN"/>
        </w:rPr>
        <w:t>招标代理机构</w:t>
      </w:r>
      <w:r>
        <w:rPr>
          <w:rFonts w:hint="eastAsia" w:ascii="宋体" w:hAnsi="宋体" w:eastAsia="宋体" w:cs="宋体"/>
          <w:color w:val="auto"/>
          <w:szCs w:val="21"/>
          <w:highlight w:val="none"/>
        </w:rPr>
        <w:t>对所接收并当众宣读投标内容的投标文件概不退回。</w:t>
      </w:r>
    </w:p>
    <w:p w14:paraId="3A15C0D4">
      <w:pPr>
        <w:pStyle w:val="3"/>
        <w:spacing w:line="240" w:lineRule="auto"/>
        <w:rPr>
          <w:rFonts w:hint="eastAsia" w:ascii="宋体" w:hAnsi="宋体" w:eastAsia="宋体" w:cs="宋体"/>
          <w:color w:val="auto"/>
          <w:highlight w:val="none"/>
        </w:rPr>
      </w:pPr>
      <w:r>
        <w:rPr>
          <w:rFonts w:hint="eastAsia" w:ascii="宋体" w:hAnsi="宋体" w:eastAsia="宋体" w:cs="宋体"/>
          <w:color w:val="auto"/>
          <w:highlight w:val="none"/>
        </w:rPr>
        <w:t>六 开标及评标</w:t>
      </w:r>
    </w:p>
    <w:p w14:paraId="1D09130D">
      <w:pPr>
        <w:pStyle w:val="10"/>
        <w:adjustRightInd w:val="0"/>
        <w:snapToGrid w:val="0"/>
        <w:spacing w:line="360" w:lineRule="auto"/>
        <w:ind w:left="420" w:hanging="422" w:hangingChars="200"/>
        <w:rPr>
          <w:rFonts w:hint="eastAsia" w:ascii="宋体" w:hAnsi="宋体" w:eastAsia="宋体" w:cs="宋体"/>
          <w:b/>
          <w:bCs/>
          <w:color w:val="auto"/>
          <w:kern w:val="2"/>
          <w:sz w:val="21"/>
          <w:szCs w:val="21"/>
          <w:highlight w:val="none"/>
          <w:lang w:val="en-US" w:eastAsia="zh-CN" w:bidi="ar-SA"/>
        </w:rPr>
      </w:pPr>
      <w:r>
        <w:rPr>
          <w:rFonts w:hint="eastAsia" w:ascii="宋体" w:hAnsi="宋体" w:eastAsia="宋体" w:cs="宋体"/>
          <w:b/>
          <w:bCs/>
          <w:color w:val="auto"/>
          <w:kern w:val="2"/>
          <w:sz w:val="21"/>
          <w:szCs w:val="21"/>
          <w:highlight w:val="none"/>
          <w:lang w:val="en-US" w:eastAsia="zh-CN" w:bidi="ar-SA"/>
        </w:rPr>
        <w:t>20. 开标（电子开标）</w:t>
      </w:r>
    </w:p>
    <w:p w14:paraId="5ECF3C92">
      <w:pPr>
        <w:adjustRightInd w:val="0"/>
        <w:snapToGrid w:val="0"/>
        <w:rPr>
          <w:rFonts w:hint="eastAsia" w:ascii="宋体" w:hAnsi="宋体" w:eastAsia="宋体" w:cs="宋体"/>
          <w:color w:val="auto"/>
          <w:szCs w:val="21"/>
          <w:highlight w:val="none"/>
          <w:lang w:val="en-US" w:eastAsia="zh-CN"/>
        </w:rPr>
      </w:pPr>
      <w:r>
        <w:rPr>
          <w:rFonts w:hint="eastAsia" w:ascii="宋体" w:hAnsi="宋体" w:eastAsia="宋体" w:cs="宋体"/>
          <w:color w:val="auto"/>
          <w:szCs w:val="21"/>
          <w:highlight w:val="none"/>
          <w:lang w:val="en-US" w:eastAsia="zh-CN"/>
        </w:rPr>
        <w:t>20.1 招标代理机构在《招标公告》中规定的日期、时间和地点组织公开开标。开标时原则上应当有招标人代表和投标人代表参加。参加开标的代表应签到以证明其出席。</w:t>
      </w:r>
    </w:p>
    <w:p w14:paraId="6A265823">
      <w:pPr>
        <w:adjustRightInd w:val="0"/>
        <w:snapToGrid w:val="0"/>
        <w:rPr>
          <w:rFonts w:hint="eastAsia" w:ascii="宋体" w:hAnsi="宋体" w:eastAsia="宋体" w:cs="宋体"/>
          <w:color w:val="auto"/>
          <w:szCs w:val="21"/>
          <w:highlight w:val="none"/>
          <w:lang w:val="en-US" w:eastAsia="zh-CN"/>
        </w:rPr>
      </w:pPr>
      <w:r>
        <w:rPr>
          <w:rFonts w:hint="eastAsia" w:ascii="宋体" w:hAnsi="宋体" w:eastAsia="宋体" w:cs="宋体"/>
          <w:color w:val="auto"/>
          <w:szCs w:val="21"/>
          <w:highlight w:val="none"/>
          <w:lang w:val="en-US" w:eastAsia="zh-CN"/>
        </w:rPr>
        <w:t>20.2 开标时，主持人进入开标会议后，页面上将进行开标倒计时。到达开标时间后，主持人宣读“开标会议议程”，议程宣读完成后进行开标，点击“开始开标，下一步”，显示投标企业公司名，授权代表名称等信息，下一步进入“文件解密”环节。主持人点击“主持人解密”环节，并插入 CA 进行认证后，对投标电子标书进行解密操作。文件解密完成后，参会人员确认内容和电子投标书的有效性。点击“文件解密完成，进入评标环节”，进入评标环节。纸质标书由投标人或其推选的代表检查投标文件的密封情况，或由招标人委托的机构检查并见证，经确认无误后由招标代理机构保管，在电子评标过程无异常时，不需要拆封使用。</w:t>
      </w:r>
    </w:p>
    <w:p w14:paraId="3FE1B8B3">
      <w:pPr>
        <w:adjustRightInd w:val="0"/>
        <w:snapToGrid w:val="0"/>
        <w:rPr>
          <w:rFonts w:hint="eastAsia" w:ascii="宋体" w:hAnsi="宋体" w:eastAsia="宋体" w:cs="宋体"/>
          <w:color w:val="auto"/>
          <w:szCs w:val="21"/>
          <w:highlight w:val="none"/>
          <w:lang w:val="en-US" w:eastAsia="zh-CN"/>
        </w:rPr>
      </w:pPr>
      <w:r>
        <w:rPr>
          <w:rFonts w:hint="eastAsia" w:ascii="宋体" w:hAnsi="宋体" w:eastAsia="宋体" w:cs="宋体"/>
          <w:color w:val="auto"/>
          <w:szCs w:val="21"/>
          <w:highlight w:val="none"/>
          <w:lang w:val="en-US" w:eastAsia="zh-CN"/>
        </w:rPr>
        <w:t>20.3 招标人或招标代理机构将对开标过程进行记录，由参加开标的各投标人代表和相关工作人员签字确认，并存档备查。投标人未参加开标或未签字确认的，视同认可开标结果。</w:t>
      </w:r>
    </w:p>
    <w:p w14:paraId="5E214411">
      <w:pPr>
        <w:adjustRightInd w:val="0"/>
        <w:snapToGrid w:val="0"/>
        <w:rPr>
          <w:rFonts w:hint="eastAsia" w:ascii="宋体" w:hAnsi="宋体" w:eastAsia="宋体" w:cs="宋体"/>
          <w:color w:val="auto"/>
          <w:szCs w:val="21"/>
          <w:highlight w:val="none"/>
          <w:lang w:val="en-US" w:eastAsia="zh-CN"/>
        </w:rPr>
      </w:pPr>
      <w:r>
        <w:rPr>
          <w:rFonts w:hint="eastAsia" w:ascii="宋体" w:hAnsi="宋体" w:eastAsia="宋体" w:cs="宋体"/>
          <w:color w:val="auto"/>
          <w:szCs w:val="21"/>
          <w:highlight w:val="none"/>
          <w:lang w:val="en-US" w:eastAsia="zh-CN"/>
        </w:rPr>
        <w:t>20.4 投标人代表对开标过程和开标记录有疑义，以及认为招标人、招标代理机构相关工作人员有需要回避的情形的，应当场提出询问或者回避申请。</w:t>
      </w:r>
    </w:p>
    <w:p w14:paraId="4FDBB3C3">
      <w:pPr>
        <w:adjustRightInd w:val="0"/>
        <w:snapToGrid w:val="0"/>
        <w:rPr>
          <w:rFonts w:hint="eastAsia" w:ascii="宋体" w:hAnsi="宋体" w:eastAsia="宋体" w:cs="宋体"/>
          <w:color w:val="auto"/>
          <w:szCs w:val="21"/>
          <w:highlight w:val="none"/>
          <w:lang w:val="en-US" w:eastAsia="zh-CN"/>
        </w:rPr>
      </w:pPr>
      <w:r>
        <w:rPr>
          <w:rFonts w:hint="eastAsia" w:ascii="宋体" w:hAnsi="宋体" w:eastAsia="宋体" w:cs="宋体"/>
          <w:color w:val="auto"/>
          <w:szCs w:val="21"/>
          <w:highlight w:val="none"/>
          <w:lang w:val="en-US" w:eastAsia="zh-CN"/>
        </w:rPr>
        <w:t>20.5 开标结束后，招标人或者招标代理机构或评标委员会依法对投标人的资格进行审查。</w:t>
      </w:r>
    </w:p>
    <w:p w14:paraId="5FD92A1A">
      <w:pPr>
        <w:adjustRightInd w:val="0"/>
        <w:snapToGrid w:val="0"/>
        <w:rPr>
          <w:rFonts w:hint="eastAsia" w:ascii="宋体" w:hAnsi="宋体" w:eastAsia="宋体" w:cs="宋体"/>
          <w:color w:val="auto"/>
          <w:szCs w:val="21"/>
          <w:highlight w:val="none"/>
          <w:lang w:val="en-US" w:eastAsia="zh-CN"/>
        </w:rPr>
      </w:pPr>
      <w:r>
        <w:rPr>
          <w:rFonts w:hint="eastAsia" w:ascii="宋体" w:hAnsi="宋体" w:eastAsia="宋体" w:cs="宋体"/>
          <w:color w:val="auto"/>
          <w:szCs w:val="21"/>
          <w:highlight w:val="none"/>
          <w:lang w:val="en-US" w:eastAsia="zh-CN"/>
        </w:rPr>
        <w:t>20.6 开标截止后发现投标人不足三家或通过符合性审查的投标人少于三家时，作废标处理。</w:t>
      </w:r>
    </w:p>
    <w:p w14:paraId="2D2F975B">
      <w:pPr>
        <w:adjustRightInd w:val="0"/>
        <w:snapToGrid w:val="0"/>
        <w:rPr>
          <w:rFonts w:hint="eastAsia" w:ascii="宋体" w:hAnsi="宋体" w:eastAsia="宋体" w:cs="宋体"/>
          <w:b/>
          <w:bCs/>
          <w:color w:val="auto"/>
          <w:szCs w:val="21"/>
          <w:highlight w:val="none"/>
        </w:rPr>
      </w:pPr>
    </w:p>
    <w:p w14:paraId="6817EE36">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21. 组建评标委员会</w:t>
      </w:r>
    </w:p>
    <w:p w14:paraId="6E713DD2">
      <w:pPr>
        <w:adjustRightInd w:val="0"/>
        <w:snapToGrid w:val="0"/>
        <w:rPr>
          <w:rFonts w:hint="eastAsia" w:ascii="宋体" w:hAnsi="宋体" w:eastAsia="宋体" w:cs="宋体"/>
          <w:color w:val="auto"/>
          <w:szCs w:val="21"/>
          <w:highlight w:val="none"/>
          <w:lang w:val="en-US" w:eastAsia="zh-CN"/>
        </w:rPr>
      </w:pPr>
      <w:r>
        <w:rPr>
          <w:rFonts w:hint="eastAsia" w:ascii="宋体" w:hAnsi="宋体" w:eastAsia="宋体" w:cs="宋体"/>
          <w:color w:val="auto"/>
          <w:szCs w:val="21"/>
          <w:highlight w:val="none"/>
        </w:rPr>
        <w:t>按照有关规定依法组建评标委员会，负责本项目评标工作。</w:t>
      </w:r>
      <w:r>
        <w:rPr>
          <w:rFonts w:hint="eastAsia" w:ascii="宋体" w:hAnsi="宋体" w:eastAsia="宋体" w:cs="宋体"/>
          <w:b/>
          <w:bCs/>
          <w:color w:val="auto"/>
          <w:szCs w:val="21"/>
          <w:highlight w:val="none"/>
          <w:lang w:val="en-US" w:eastAsia="zh-CN"/>
        </w:rPr>
        <w:t>评标委员会成员由</w:t>
      </w:r>
      <w:r>
        <w:rPr>
          <w:rFonts w:hint="eastAsia" w:ascii="宋体" w:hAnsi="宋体" w:eastAsia="宋体" w:cs="宋体"/>
          <w:b/>
          <w:bCs/>
          <w:color w:val="auto"/>
          <w:szCs w:val="21"/>
          <w:highlight w:val="none"/>
          <w:u w:val="single"/>
          <w:lang w:val="en-US" w:eastAsia="zh-CN"/>
        </w:rPr>
        <w:t xml:space="preserve"> 7 </w:t>
      </w:r>
      <w:r>
        <w:rPr>
          <w:rFonts w:hint="eastAsia" w:ascii="宋体" w:hAnsi="宋体" w:eastAsia="宋体" w:cs="宋体"/>
          <w:b/>
          <w:bCs/>
          <w:color w:val="auto"/>
          <w:szCs w:val="21"/>
          <w:highlight w:val="none"/>
        </w:rPr>
        <w:t>名</w:t>
      </w:r>
      <w:r>
        <w:rPr>
          <w:rFonts w:hint="eastAsia" w:ascii="宋体" w:hAnsi="宋体" w:eastAsia="宋体" w:cs="宋体"/>
          <w:b/>
          <w:bCs/>
          <w:color w:val="auto"/>
          <w:szCs w:val="21"/>
          <w:highlight w:val="none"/>
          <w:lang w:eastAsia="zh-CN"/>
        </w:rPr>
        <w:t>单数成员组成</w:t>
      </w:r>
      <w:r>
        <w:rPr>
          <w:rFonts w:hint="eastAsia" w:ascii="宋体" w:hAnsi="宋体" w:eastAsia="宋体" w:cs="宋体"/>
          <w:b/>
          <w:bCs/>
          <w:color w:val="auto"/>
          <w:szCs w:val="21"/>
          <w:highlight w:val="none"/>
          <w:lang w:val="en-US" w:eastAsia="zh-CN"/>
        </w:rPr>
        <w:t>。</w:t>
      </w:r>
    </w:p>
    <w:p w14:paraId="22B31524">
      <w:pPr>
        <w:adjustRightInd w:val="0"/>
        <w:snapToGrid w:val="0"/>
        <w:rPr>
          <w:rFonts w:hint="eastAsia" w:ascii="宋体" w:hAnsi="宋体" w:eastAsia="宋体" w:cs="宋体"/>
          <w:color w:val="auto"/>
          <w:szCs w:val="21"/>
          <w:highlight w:val="none"/>
        </w:rPr>
      </w:pPr>
      <w:r>
        <w:rPr>
          <w:rFonts w:hint="eastAsia" w:ascii="宋体" w:hAnsi="宋体" w:eastAsia="宋体" w:cs="宋体"/>
          <w:b/>
          <w:bCs/>
          <w:color w:val="auto"/>
          <w:szCs w:val="21"/>
          <w:highlight w:val="none"/>
        </w:rPr>
        <w:t xml:space="preserve">22. </w:t>
      </w:r>
      <w:r>
        <w:rPr>
          <w:rFonts w:hint="eastAsia" w:ascii="宋体" w:hAnsi="宋体" w:eastAsia="宋体" w:cs="宋体"/>
          <w:b/>
          <w:bCs/>
          <w:color w:val="auto"/>
          <w:szCs w:val="21"/>
          <w:highlight w:val="none"/>
          <w:lang w:val="en-US" w:eastAsia="zh-CN"/>
        </w:rPr>
        <w:t xml:space="preserve"> </w:t>
      </w:r>
      <w:r>
        <w:rPr>
          <w:rFonts w:hint="eastAsia" w:ascii="宋体" w:hAnsi="宋体" w:eastAsia="宋体" w:cs="宋体"/>
          <w:b/>
          <w:bCs/>
          <w:color w:val="auto"/>
          <w:szCs w:val="21"/>
          <w:highlight w:val="none"/>
        </w:rPr>
        <w:t>资格审查</w:t>
      </w:r>
    </w:p>
    <w:p w14:paraId="60CC6B06">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 xml:space="preserve">22.1 </w:t>
      </w:r>
      <w:r>
        <w:rPr>
          <w:rFonts w:hint="eastAsia" w:ascii="宋体" w:hAnsi="宋体" w:eastAsia="宋体" w:cs="宋体"/>
          <w:b/>
          <w:bCs/>
          <w:color w:val="auto"/>
          <w:szCs w:val="21"/>
          <w:highlight w:val="none"/>
          <w:lang w:val="en-US" w:eastAsia="zh-CN"/>
        </w:rPr>
        <w:t xml:space="preserve"> </w:t>
      </w:r>
      <w:r>
        <w:rPr>
          <w:rFonts w:hint="eastAsia" w:ascii="宋体" w:hAnsi="宋体" w:eastAsia="宋体" w:cs="宋体"/>
          <w:b/>
          <w:bCs/>
          <w:color w:val="auto"/>
          <w:szCs w:val="21"/>
          <w:highlight w:val="none"/>
          <w:lang w:eastAsia="zh-CN"/>
        </w:rPr>
        <w:t>招标人</w:t>
      </w:r>
      <w:r>
        <w:rPr>
          <w:rFonts w:hint="eastAsia" w:ascii="宋体" w:hAnsi="宋体" w:eastAsia="宋体" w:cs="宋体"/>
          <w:b/>
          <w:bCs/>
          <w:color w:val="auto"/>
          <w:szCs w:val="21"/>
          <w:highlight w:val="none"/>
        </w:rPr>
        <w:t>或</w:t>
      </w:r>
      <w:r>
        <w:rPr>
          <w:rFonts w:hint="eastAsia" w:ascii="宋体" w:hAnsi="宋体" w:eastAsia="宋体" w:cs="宋体"/>
          <w:b/>
          <w:bCs/>
          <w:color w:val="auto"/>
          <w:szCs w:val="21"/>
          <w:highlight w:val="none"/>
          <w:lang w:eastAsia="zh-CN"/>
        </w:rPr>
        <w:t>招标代理机构</w:t>
      </w:r>
      <w:r>
        <w:rPr>
          <w:rFonts w:hint="eastAsia" w:ascii="宋体" w:hAnsi="宋体" w:eastAsia="宋体" w:cs="宋体"/>
          <w:b/>
          <w:bCs/>
          <w:color w:val="auto"/>
          <w:szCs w:val="21"/>
          <w:highlight w:val="none"/>
        </w:rPr>
        <w:t>依据法律法规和招标文件中规定的内容，对投标人的资格进行审查，投标人应按照第二章《投标文件内容及格式》中的相应要求提交资格证明材料。未通过资格审查的投标人不能进入评标，其投标将被认定为投标无效；通过资格审查的投标人不足3家的，不得评标。</w:t>
      </w:r>
    </w:p>
    <w:p w14:paraId="06610419">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 xml:space="preserve">22.2 </w:t>
      </w:r>
      <w:r>
        <w:rPr>
          <w:rFonts w:hint="eastAsia" w:ascii="宋体" w:hAnsi="宋体" w:eastAsia="宋体" w:cs="宋体"/>
          <w:b/>
          <w:bCs/>
          <w:color w:val="auto"/>
          <w:szCs w:val="21"/>
          <w:highlight w:val="none"/>
          <w:lang w:val="en-US" w:eastAsia="zh-CN"/>
        </w:rPr>
        <w:t xml:space="preserve"> </w:t>
      </w:r>
      <w:r>
        <w:rPr>
          <w:rFonts w:hint="eastAsia" w:ascii="宋体" w:hAnsi="宋体" w:eastAsia="宋体" w:cs="宋体"/>
          <w:b/>
          <w:bCs/>
          <w:color w:val="auto"/>
          <w:szCs w:val="21"/>
          <w:highlight w:val="none"/>
          <w:lang w:eastAsia="zh-CN"/>
        </w:rPr>
        <w:t>招标人</w:t>
      </w:r>
      <w:r>
        <w:rPr>
          <w:rFonts w:hint="eastAsia" w:ascii="宋体" w:hAnsi="宋体" w:eastAsia="宋体" w:cs="宋体"/>
          <w:b/>
          <w:bCs/>
          <w:color w:val="auto"/>
          <w:szCs w:val="21"/>
          <w:highlight w:val="none"/>
        </w:rPr>
        <w:t>或</w:t>
      </w:r>
      <w:r>
        <w:rPr>
          <w:rFonts w:hint="eastAsia" w:ascii="宋体" w:hAnsi="宋体" w:eastAsia="宋体" w:cs="宋体"/>
          <w:b/>
          <w:bCs/>
          <w:color w:val="auto"/>
          <w:szCs w:val="21"/>
          <w:highlight w:val="none"/>
          <w:lang w:eastAsia="zh-CN"/>
        </w:rPr>
        <w:t>招标代理机构</w:t>
      </w:r>
      <w:r>
        <w:rPr>
          <w:rFonts w:hint="eastAsia" w:ascii="宋体" w:hAnsi="宋体" w:eastAsia="宋体" w:cs="宋体"/>
          <w:b/>
          <w:bCs/>
          <w:color w:val="auto"/>
          <w:szCs w:val="21"/>
          <w:highlight w:val="none"/>
        </w:rPr>
        <w:t>将在投标截止日当天查询投标人的信用记录。投标人存在不良信用记录的，其投标将被认定为投标无效。</w:t>
      </w:r>
    </w:p>
    <w:p w14:paraId="74F0CA80">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22.2.1 不良信用记录指：投标人在中国政府采购网（www.ccgp.gov.cn）被列入政府采购严重违法失信行为记录名单，或在“信用中国”网站（www.creditchina.gov.cn）被列入失信被执行人、重大税收违法</w:t>
      </w:r>
      <w:r>
        <w:rPr>
          <w:rFonts w:hint="eastAsia" w:ascii="宋体" w:hAnsi="宋体" w:eastAsia="宋体" w:cs="宋体"/>
          <w:color w:val="auto"/>
          <w:szCs w:val="21"/>
          <w:highlight w:val="none"/>
          <w:lang w:val="en-US" w:eastAsia="zh-CN"/>
        </w:rPr>
        <w:t>失信主体</w:t>
      </w:r>
      <w:r>
        <w:rPr>
          <w:rFonts w:hint="eastAsia" w:ascii="宋体" w:hAnsi="宋体" w:eastAsia="宋体" w:cs="宋体"/>
          <w:color w:val="auto"/>
          <w:szCs w:val="21"/>
          <w:highlight w:val="none"/>
        </w:rPr>
        <w:t>，以及存在《中华人民共和国政府采购法实施条例》第十九条规定的行政处罚记录。</w:t>
      </w:r>
    </w:p>
    <w:p w14:paraId="0591CECA">
      <w:p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以联合体形式参加投标的，联合体任何成员存在以上不良信用记录的，联合体投标将被认定为</w:t>
      </w:r>
      <w:r>
        <w:rPr>
          <w:rFonts w:hint="eastAsia" w:ascii="宋体" w:hAnsi="宋体" w:eastAsia="宋体" w:cs="宋体"/>
          <w:b/>
          <w:bCs/>
          <w:color w:val="auto"/>
          <w:szCs w:val="21"/>
          <w:highlight w:val="none"/>
        </w:rPr>
        <w:t>投标无效</w:t>
      </w:r>
      <w:r>
        <w:rPr>
          <w:rFonts w:hint="eastAsia" w:ascii="宋体" w:hAnsi="宋体" w:eastAsia="宋体" w:cs="宋体"/>
          <w:color w:val="auto"/>
          <w:szCs w:val="21"/>
          <w:highlight w:val="none"/>
        </w:rPr>
        <w:t>。</w:t>
      </w:r>
    </w:p>
    <w:p w14:paraId="10FDCFA5">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22.2.2 查询及记录方式：</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或</w:t>
      </w:r>
      <w:r>
        <w:rPr>
          <w:rFonts w:hint="eastAsia" w:ascii="宋体" w:hAnsi="宋体" w:eastAsia="宋体" w:cs="宋体"/>
          <w:color w:val="auto"/>
          <w:szCs w:val="21"/>
          <w:highlight w:val="none"/>
          <w:lang w:eastAsia="zh-CN"/>
        </w:rPr>
        <w:t>招标代理机构</w:t>
      </w:r>
      <w:r>
        <w:rPr>
          <w:rFonts w:hint="eastAsia" w:ascii="宋体" w:hAnsi="宋体" w:eastAsia="宋体" w:cs="宋体"/>
          <w:color w:val="auto"/>
          <w:szCs w:val="21"/>
          <w:highlight w:val="none"/>
        </w:rPr>
        <w:t>经办人将查询网页打印并存档备查。投标人不良信用记录以</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或</w:t>
      </w:r>
      <w:r>
        <w:rPr>
          <w:rFonts w:hint="eastAsia" w:ascii="宋体" w:hAnsi="宋体" w:eastAsia="宋体" w:cs="宋体"/>
          <w:color w:val="auto"/>
          <w:szCs w:val="21"/>
          <w:highlight w:val="none"/>
          <w:lang w:eastAsia="zh-CN"/>
        </w:rPr>
        <w:t>招标代理机构</w:t>
      </w:r>
      <w:r>
        <w:rPr>
          <w:rFonts w:hint="eastAsia" w:ascii="宋体" w:hAnsi="宋体" w:eastAsia="宋体" w:cs="宋体"/>
          <w:color w:val="auto"/>
          <w:szCs w:val="21"/>
          <w:highlight w:val="none"/>
        </w:rPr>
        <w:t>查询结果为准。</w:t>
      </w:r>
    </w:p>
    <w:p w14:paraId="30740E9B">
      <w:p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在本招标文件规定的查询时间之后，网站信息发生的任何变更均不再作为评标依据。</w:t>
      </w:r>
    </w:p>
    <w:p w14:paraId="4C4C5EBD">
      <w:p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投标人自行提供的与网站信息不一致的其他证明材料亦不作为资格审查依据。</w:t>
      </w:r>
    </w:p>
    <w:p w14:paraId="7E946C99">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23.符合性审查</w:t>
      </w:r>
    </w:p>
    <w:p w14:paraId="1327DBA1">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 xml:space="preserve">    符合性检查是指依据招标文件的规定，从投标文件的有效性和完整性对招标文件的响应程度进行审查，以确定是否对招标文件的实质性要求做出响应。投标人应按照第二章《投标文件内容及格式》中的相应要求，提交符合性证明材料。未通过符合性审查的投标人不能进入下一阶段评审，其投标将被认定为投标无效；通过符合性审查的投标人数量不足3家的，不得作进一步的比较和评价。</w:t>
      </w:r>
    </w:p>
    <w:p w14:paraId="0DF3793D">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24 投标文件的澄清</w:t>
      </w:r>
    </w:p>
    <w:p w14:paraId="22E6AF15">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24.1 在评标期间，评标委员会将以书面方式要求投标人对其投标文件中含义不明确、对同类问题表述不一致或者有明显文字和计算错误的内容作必要的澄清、说明或补正。投标人的澄清、说明或补正应在评标委员会规定的时间内以书面方式进行，并不得超出投标文件范围或者改变投标文件的实质性内容。</w:t>
      </w:r>
      <w:r>
        <w:rPr>
          <w:rFonts w:hint="eastAsia" w:ascii="宋体" w:hAnsi="宋体" w:eastAsia="宋体" w:cs="宋体"/>
          <w:b/>
          <w:bCs/>
          <w:color w:val="auto"/>
          <w:szCs w:val="21"/>
          <w:highlight w:val="none"/>
        </w:rPr>
        <w:t>投标人拒不进行澄清、说明、补正的，或者不能在规定时间内作出书面澄清、说明、补正的，其投标将被作为无效投标处理。</w:t>
      </w:r>
    </w:p>
    <w:p w14:paraId="3CFA9651">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24.2 投标人的澄清、说明或补正将作为投标文件的一部分。</w:t>
      </w:r>
    </w:p>
    <w:p w14:paraId="4C905731">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24.3 投标文件报价出现前后不一致的，按照下列规定修正：</w:t>
      </w:r>
    </w:p>
    <w:p w14:paraId="691B711A">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（1）投标文件中开标一览表内容与投标文件中相应内容不一致的，以开标一览表为准；</w:t>
      </w:r>
    </w:p>
    <w:p w14:paraId="65074103">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（2）大写金额和小写金额不一致的，以大写金额为准；</w:t>
      </w:r>
    </w:p>
    <w:p w14:paraId="236FA259">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（3）单价金额小数点或者百分比有明显错位的，以开标一览表的总价为准，并修改单价；</w:t>
      </w:r>
    </w:p>
    <w:p w14:paraId="4CF486BC">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（4）总价金额与按单价汇总金额不一致的，以单价金额计算结果为准。</w:t>
      </w:r>
    </w:p>
    <w:p w14:paraId="15ACF09E">
      <w:pPr>
        <w:adjustRightInd w:val="0"/>
        <w:snapToGrid w:val="0"/>
        <w:ind w:firstLine="422" w:firstLineChars="20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同时出现两种以上不一致的，按照前款规定的顺序修正。修正后的报价经投标人确认后产生约束力，投标人不确认的，其投标将被认定为投标无效。</w:t>
      </w:r>
    </w:p>
    <w:p w14:paraId="5C207FE4">
      <w:pPr>
        <w:adjustRightInd w:val="0"/>
        <w:snapToGrid w:val="0"/>
        <w:rPr>
          <w:rFonts w:hint="eastAsia" w:ascii="宋体" w:hAnsi="宋体" w:eastAsia="宋体" w:cs="宋体"/>
          <w:color w:val="auto"/>
          <w:highlight w:val="none"/>
        </w:rPr>
      </w:pPr>
      <w:r>
        <w:rPr>
          <w:rFonts w:hint="eastAsia" w:ascii="宋体" w:hAnsi="宋体" w:eastAsia="宋体" w:cs="宋体"/>
          <w:color w:val="auto"/>
          <w:szCs w:val="21"/>
          <w:highlight w:val="none"/>
        </w:rPr>
        <w:t>24.4</w:t>
      </w:r>
      <w:r>
        <w:rPr>
          <w:rFonts w:hint="eastAsia" w:ascii="宋体" w:hAnsi="宋体" w:eastAsia="宋体" w:cs="宋体"/>
          <w:b/>
          <w:bCs/>
          <w:color w:val="auto"/>
          <w:szCs w:val="21"/>
          <w:highlight w:val="none"/>
        </w:rPr>
        <w:t>评标委员会认为</w:t>
      </w:r>
      <w:r>
        <w:rPr>
          <w:rFonts w:hint="eastAsia" w:ascii="宋体" w:hAnsi="宋体" w:eastAsia="宋体" w:cs="宋体"/>
          <w:color w:val="auto"/>
          <w:szCs w:val="21"/>
          <w:highlight w:val="none"/>
        </w:rPr>
        <w:t>投标人的报价明显低于其他通过符合性审查投标人的报价，有可能影响产品质量或者不能诚信履约的，应当要求其在评标现场合理的时间内提供书面说明，必要时提交相关证明材料；投标人在不能证明其报价合理性的，评标委员会应当将其作为</w:t>
      </w:r>
      <w:r>
        <w:rPr>
          <w:rFonts w:hint="eastAsia" w:ascii="宋体" w:hAnsi="宋体" w:eastAsia="宋体" w:cs="宋体"/>
          <w:b/>
          <w:bCs/>
          <w:color w:val="auto"/>
          <w:szCs w:val="21"/>
          <w:highlight w:val="none"/>
        </w:rPr>
        <w:t>无效投标</w:t>
      </w:r>
      <w:r>
        <w:rPr>
          <w:rFonts w:hint="eastAsia" w:ascii="宋体" w:hAnsi="宋体" w:eastAsia="宋体" w:cs="宋体"/>
          <w:color w:val="auto"/>
          <w:szCs w:val="21"/>
          <w:highlight w:val="none"/>
        </w:rPr>
        <w:t>处理。提交证明材料的合理时间按第四章 评标方法规定执行。</w:t>
      </w:r>
    </w:p>
    <w:p w14:paraId="08C51070">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25样品及演示</w:t>
      </w:r>
    </w:p>
    <w:p w14:paraId="183E302D">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25.1投标人须知表11.3款中要求投标人提供样品的，按照投标人须知表25.1款中样品的评审方法以及评审标准进行评审。</w:t>
      </w:r>
    </w:p>
    <w:p w14:paraId="6AE7DF3C">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25.2</w:t>
      </w:r>
      <w:r>
        <w:rPr>
          <w:rFonts w:hint="eastAsia" w:ascii="宋体" w:hAnsi="宋体" w:eastAsia="宋体" w:cs="宋体"/>
          <w:color w:val="auto"/>
          <w:szCs w:val="21"/>
          <w:highlight w:val="none"/>
          <w:lang w:val="en-US" w:eastAsia="zh-CN"/>
        </w:rPr>
        <w:t>招标</w:t>
      </w:r>
      <w:r>
        <w:rPr>
          <w:rFonts w:hint="eastAsia" w:ascii="宋体" w:hAnsi="宋体" w:eastAsia="宋体" w:cs="宋体"/>
          <w:color w:val="auto"/>
          <w:szCs w:val="21"/>
          <w:highlight w:val="none"/>
        </w:rPr>
        <w:t>活动结束后，对于未中标人提供的样品，应当及时退还或者经未中标人同意后自行处理；对于中标人提供的样品，应当按招标文件规定进行保管、封存，并作为履约验收的参考。</w:t>
      </w:r>
    </w:p>
    <w:p w14:paraId="247B02E8">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25.3演示的评审方法以及评审标准具体内容见投标人须知表25.1款。</w:t>
      </w:r>
    </w:p>
    <w:p w14:paraId="098297DA">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26.投标无效</w:t>
      </w:r>
    </w:p>
    <w:p w14:paraId="585CBF56">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26.1 在比较与评价之前，根据本须知的规定，评标委员会将审查每份投标文件是否实质上响应了招标文件的要求。</w:t>
      </w:r>
    </w:p>
    <w:p w14:paraId="1CCBA119">
      <w:pPr>
        <w:adjustRightInd w:val="0"/>
        <w:snapToGrid w:val="0"/>
        <w:ind w:firstLine="420" w:firstLineChars="200"/>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实质性要求是指招标文件中带有★号标识内容（包括本级及其下级编号中所有内容）等文字说明的要求。</w:t>
      </w:r>
    </w:p>
    <w:p w14:paraId="782858E4">
      <w:p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kern w:val="0"/>
          <w:szCs w:val="21"/>
          <w:highlight w:val="none"/>
        </w:rPr>
        <w:t>对招标文件的实质性要求进行响应是指与招标文件中带有★号标识内容的文字说明、条款、条件和规格等要求相符。</w:t>
      </w:r>
    </w:p>
    <w:p w14:paraId="7A683976">
      <w:pPr>
        <w:adjustRightInd w:val="0"/>
        <w:snapToGrid w:val="0"/>
        <w:ind w:firstLine="422" w:firstLineChars="20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如果投标文件没有对招标文件的实质性要求进行响应，将作为无效投标处理，投标人不得再对投标文件进行任何修正从而使其投标成为实质上响应的投标。</w:t>
      </w:r>
    </w:p>
    <w:p w14:paraId="3F6FB660">
      <w:p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评标委员会决定投标的响应性只根据招标文件要求、投标文件内容及财政主管部门指定媒体发布的相关信息。</w:t>
      </w:r>
    </w:p>
    <w:p w14:paraId="2B39A74A">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26.2 如发现下列情况之一的，其投标将被认定为投标无效：</w:t>
      </w:r>
    </w:p>
    <w:p w14:paraId="7BDEB7DE">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 未按招标文件的规定提交投标保证金的；</w:t>
      </w:r>
    </w:p>
    <w:p w14:paraId="68A035C2">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（2） 未按照招标文件规定要求签署、盖章的；</w:t>
      </w:r>
    </w:p>
    <w:p w14:paraId="1F2C7164">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（3） 投标人的报价超过了招标文件中规定的预算金额或者最高限价的；</w:t>
      </w:r>
    </w:p>
    <w:p w14:paraId="26BF2449">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（4） 不具备招标文件中规定的资格要求的；</w:t>
      </w:r>
    </w:p>
    <w:p w14:paraId="7DCDCD23">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（5） 不符合法规和招标文件中规定的其他实质性要求的。</w:t>
      </w:r>
    </w:p>
    <w:p w14:paraId="3AF0E985">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（6） 与其他投标人串通投标，或者与</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串通投标；</w:t>
      </w:r>
    </w:p>
    <w:p w14:paraId="3E5EB644">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（7） 评标委员会认为投标人的报价明显低于其他通过符合性检查投标人的报价，有可能影响履约的，且投标人未按照规定证明其报价合理性的；</w:t>
      </w:r>
    </w:p>
    <w:p w14:paraId="304006B8">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（8） 投标文件含有</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不能接受的附加条件的；</w:t>
      </w:r>
    </w:p>
    <w:p w14:paraId="7E2CCEEA">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（9） 属于法律、法规和招标文件规定的其他投标无效情形；</w:t>
      </w:r>
    </w:p>
    <w:p w14:paraId="64818736">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27.比较与评价</w:t>
      </w:r>
    </w:p>
    <w:p w14:paraId="4961BCAE">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27.1 经符合性审查合格的投标文件，评标委员会将根据招标文件确定的评标方法和标准，对其技术部分和商务部分作进一步的比较和评价。</w:t>
      </w:r>
    </w:p>
    <w:p w14:paraId="1DA58F89">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27.2 评标严格按照招标文件的要求和条件进行。根据实际情况，在投标人须知表27.2款中规定采用下列一种评标方法，详细评标标准见第四章 评标方法。</w:t>
      </w:r>
    </w:p>
    <w:p w14:paraId="212833C3">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（1） 最低评标价法，是指投标文件满足招标文件全部实质性要求，且投标报价最低的投标人为中标候选人的评标方法。</w:t>
      </w:r>
    </w:p>
    <w:p w14:paraId="1D4AFA9C">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（2） 综合评分法，是指投标文件满足招标文件全部实质性要求，且按照评审因素的量化指标评审得分最高的投标人为中标候选人的评标方法。</w:t>
      </w:r>
    </w:p>
    <w:p w14:paraId="7646FFE5">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28.废标</w:t>
      </w:r>
    </w:p>
    <w:p w14:paraId="31BF8830">
      <w:p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出现下列情形之一，将导致项目</w:t>
      </w:r>
      <w:r>
        <w:rPr>
          <w:rFonts w:hint="eastAsia" w:ascii="宋体" w:hAnsi="宋体" w:eastAsia="宋体" w:cs="宋体"/>
          <w:b/>
          <w:bCs/>
          <w:color w:val="auto"/>
          <w:szCs w:val="21"/>
          <w:highlight w:val="none"/>
        </w:rPr>
        <w:t>废标</w:t>
      </w:r>
      <w:r>
        <w:rPr>
          <w:rFonts w:hint="eastAsia" w:ascii="宋体" w:hAnsi="宋体" w:eastAsia="宋体" w:cs="宋体"/>
          <w:color w:val="auto"/>
          <w:szCs w:val="21"/>
          <w:highlight w:val="none"/>
        </w:rPr>
        <w:t>：</w:t>
      </w:r>
    </w:p>
    <w:p w14:paraId="02931E86">
      <w:pPr>
        <w:adjustRightInd w:val="0"/>
        <w:snapToGrid w:val="0"/>
        <w:ind w:firstLine="210" w:firstLineChars="100"/>
        <w:rPr>
          <w:rFonts w:hint="eastAsia" w:ascii="宋体" w:hAnsi="宋体" w:eastAsia="宋体" w:cs="宋体"/>
          <w:color w:val="auto"/>
          <w:szCs w:val="21"/>
          <w:highlight w:val="none"/>
        </w:rPr>
      </w:pPr>
      <w:r>
        <w:rPr>
          <w:rFonts w:hint="eastAsia" w:ascii="宋体" w:hAnsi="宋体" w:eastAsia="宋体" w:cs="宋体"/>
          <w:color w:val="auto"/>
          <w:szCs w:val="21"/>
          <w:highlight w:val="none"/>
        </w:rPr>
        <w:t>（1）符合专业条件的投标人或者对招标文件做实质性响应的投标人不足3家；</w:t>
      </w:r>
    </w:p>
    <w:p w14:paraId="0E0BB0B3">
      <w:pPr>
        <w:adjustRightInd w:val="0"/>
        <w:snapToGrid w:val="0"/>
        <w:ind w:firstLine="210" w:firstLineChars="100"/>
        <w:rPr>
          <w:rFonts w:hint="eastAsia" w:ascii="宋体" w:hAnsi="宋体" w:eastAsia="宋体" w:cs="宋体"/>
          <w:color w:val="auto"/>
          <w:szCs w:val="21"/>
          <w:highlight w:val="none"/>
        </w:rPr>
      </w:pPr>
      <w:r>
        <w:rPr>
          <w:rFonts w:hint="eastAsia" w:ascii="宋体" w:hAnsi="宋体" w:eastAsia="宋体" w:cs="宋体"/>
          <w:color w:val="auto"/>
          <w:szCs w:val="21"/>
          <w:highlight w:val="none"/>
        </w:rPr>
        <w:t>（2）出现影响</w:t>
      </w:r>
      <w:r>
        <w:rPr>
          <w:rFonts w:hint="eastAsia" w:ascii="宋体" w:hAnsi="宋体" w:eastAsia="宋体" w:cs="宋体"/>
          <w:color w:val="auto"/>
          <w:szCs w:val="21"/>
          <w:highlight w:val="none"/>
          <w:lang w:val="en-US" w:eastAsia="zh-CN"/>
        </w:rPr>
        <w:t>招标</w:t>
      </w:r>
      <w:r>
        <w:rPr>
          <w:rFonts w:hint="eastAsia" w:ascii="宋体" w:hAnsi="宋体" w:eastAsia="宋体" w:cs="宋体"/>
          <w:color w:val="auto"/>
          <w:szCs w:val="21"/>
          <w:highlight w:val="none"/>
        </w:rPr>
        <w:t>公正的违法、违规行为的；</w:t>
      </w:r>
    </w:p>
    <w:p w14:paraId="090CAEC4">
      <w:pPr>
        <w:adjustRightInd w:val="0"/>
        <w:snapToGrid w:val="0"/>
        <w:ind w:firstLine="210" w:firstLineChars="100"/>
        <w:rPr>
          <w:rFonts w:hint="eastAsia" w:ascii="宋体" w:hAnsi="宋体" w:eastAsia="宋体" w:cs="宋体"/>
          <w:color w:val="auto"/>
          <w:szCs w:val="21"/>
          <w:highlight w:val="none"/>
        </w:rPr>
      </w:pPr>
      <w:r>
        <w:rPr>
          <w:rFonts w:hint="eastAsia" w:ascii="宋体" w:hAnsi="宋体" w:eastAsia="宋体" w:cs="宋体"/>
          <w:color w:val="auto"/>
          <w:szCs w:val="21"/>
          <w:highlight w:val="none"/>
        </w:rPr>
        <w:t>（3）投标人的报价均</w:t>
      </w:r>
      <w:r>
        <w:rPr>
          <w:rFonts w:hint="eastAsia" w:ascii="宋体" w:hAnsi="宋体" w:eastAsia="宋体" w:cs="宋体"/>
          <w:color w:val="auto"/>
          <w:szCs w:val="21"/>
          <w:highlight w:val="none"/>
          <w:lang w:val="en-US" w:eastAsia="zh-CN"/>
        </w:rPr>
        <w:t>不符合报价要求</w:t>
      </w:r>
      <w:r>
        <w:rPr>
          <w:rFonts w:hint="eastAsia" w:ascii="宋体" w:hAnsi="宋体" w:eastAsia="宋体" w:cs="宋体"/>
          <w:color w:val="auto"/>
          <w:szCs w:val="21"/>
          <w:highlight w:val="none"/>
        </w:rPr>
        <w:t>的；</w:t>
      </w:r>
    </w:p>
    <w:p w14:paraId="686CA0EE">
      <w:pPr>
        <w:adjustRightInd w:val="0"/>
        <w:snapToGrid w:val="0"/>
        <w:ind w:firstLine="210" w:firstLineChars="100"/>
        <w:rPr>
          <w:rFonts w:hint="eastAsia" w:ascii="宋体" w:hAnsi="宋体" w:eastAsia="宋体" w:cs="宋体"/>
          <w:color w:val="auto"/>
          <w:szCs w:val="21"/>
          <w:highlight w:val="none"/>
        </w:rPr>
      </w:pPr>
      <w:r>
        <w:rPr>
          <w:rFonts w:hint="eastAsia" w:ascii="宋体" w:hAnsi="宋体" w:eastAsia="宋体" w:cs="宋体"/>
          <w:color w:val="auto"/>
          <w:szCs w:val="21"/>
          <w:highlight w:val="none"/>
        </w:rPr>
        <w:t>（4）因重大变故，</w:t>
      </w:r>
      <w:r>
        <w:rPr>
          <w:rFonts w:hint="eastAsia" w:ascii="宋体" w:hAnsi="宋体" w:eastAsia="宋体" w:cs="宋体"/>
          <w:color w:val="auto"/>
          <w:szCs w:val="21"/>
          <w:highlight w:val="none"/>
          <w:lang w:val="en-US" w:eastAsia="zh-CN"/>
        </w:rPr>
        <w:t>招标</w:t>
      </w:r>
      <w:r>
        <w:rPr>
          <w:rFonts w:hint="eastAsia" w:ascii="宋体" w:hAnsi="宋体" w:eastAsia="宋体" w:cs="宋体"/>
          <w:color w:val="auto"/>
          <w:szCs w:val="21"/>
          <w:highlight w:val="none"/>
        </w:rPr>
        <w:t>任务取消的。</w:t>
      </w:r>
    </w:p>
    <w:p w14:paraId="34727529">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29.中标候选人的推荐原则及标准</w:t>
      </w:r>
    </w:p>
    <w:p w14:paraId="1AE86EBD">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29.1除第32条规定外，评标委员会将根据评标标准，对实质上响应招标文件的投标人按下列方法进行排序，推荐中标候选人：</w:t>
      </w:r>
    </w:p>
    <w:p w14:paraId="13768DEF">
      <w:pPr>
        <w:adjustRightInd w:val="0"/>
        <w:snapToGrid w:val="0"/>
        <w:ind w:firstLine="210" w:firstLineChars="100"/>
        <w:rPr>
          <w:rFonts w:hint="eastAsia" w:ascii="宋体" w:hAnsi="宋体" w:eastAsia="宋体" w:cs="宋体"/>
          <w:color w:val="auto"/>
          <w:szCs w:val="21"/>
          <w:highlight w:val="none"/>
        </w:rPr>
      </w:pPr>
      <w:r>
        <w:rPr>
          <w:rFonts w:hint="eastAsia" w:ascii="宋体" w:hAnsi="宋体" w:eastAsia="宋体" w:cs="宋体"/>
          <w:color w:val="auto"/>
          <w:szCs w:val="21"/>
          <w:highlight w:val="none"/>
        </w:rPr>
        <w:t>（</w:t>
      </w:r>
      <w:r>
        <w:rPr>
          <w:rFonts w:hint="eastAsia" w:ascii="宋体" w:hAnsi="宋体" w:eastAsia="宋体" w:cs="宋体"/>
          <w:color w:val="auto"/>
          <w:szCs w:val="21"/>
          <w:highlight w:val="none"/>
          <w:lang w:val="en-US" w:eastAsia="zh-CN"/>
        </w:rPr>
        <w:t>1</w:t>
      </w:r>
      <w:r>
        <w:rPr>
          <w:rFonts w:hint="eastAsia" w:ascii="宋体" w:hAnsi="宋体" w:eastAsia="宋体" w:cs="宋体"/>
          <w:color w:val="auto"/>
          <w:szCs w:val="21"/>
          <w:highlight w:val="none"/>
        </w:rPr>
        <w:t>）采用综合评分法，评标结果按评审后得分由高到低顺序排列。得分相同的，按第四章评标办法规定执行。</w:t>
      </w:r>
    </w:p>
    <w:p w14:paraId="3D05814C">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29.2评标委员会将根据评标标准，按投标人须知表29.2款中规定的数量推荐中标候选人。</w:t>
      </w:r>
    </w:p>
    <w:p w14:paraId="67A91947">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29.3因推荐中标候选人名单产生其他问题，由评标委员会集体研究处理。</w:t>
      </w:r>
    </w:p>
    <w:p w14:paraId="07997A4B">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30.保密原则</w:t>
      </w:r>
    </w:p>
    <w:p w14:paraId="1B248BA5">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30.1 评标将在严格保密的情况下进行。</w:t>
      </w:r>
    </w:p>
    <w:p w14:paraId="6484B771">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30.2 有关人员应当遵守评标工作纪律，不得泄露评审文件、评标情况和评标过程中获悉的国家秘密、商业秘密。</w:t>
      </w:r>
    </w:p>
    <w:p w14:paraId="038F1022">
      <w:pPr>
        <w:pStyle w:val="3"/>
        <w:spacing w:line="240" w:lineRule="auto"/>
        <w:rPr>
          <w:rFonts w:hint="eastAsia" w:ascii="宋体" w:hAnsi="宋体" w:eastAsia="宋体" w:cs="宋体"/>
          <w:color w:val="auto"/>
          <w:highlight w:val="none"/>
        </w:rPr>
      </w:pPr>
      <w:r>
        <w:rPr>
          <w:rFonts w:hint="eastAsia" w:ascii="宋体" w:hAnsi="宋体" w:eastAsia="宋体" w:cs="宋体"/>
          <w:color w:val="auto"/>
          <w:highlight w:val="none"/>
        </w:rPr>
        <w:t>七 确定中标</w:t>
      </w:r>
    </w:p>
    <w:p w14:paraId="32FB415A">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31.确定中标人</w:t>
      </w:r>
    </w:p>
    <w:p w14:paraId="7AC5FA82">
      <w:p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由</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或者</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委托评标委员会按照投标人须知表31中规定的方式确定中标人。</w:t>
      </w:r>
    </w:p>
    <w:p w14:paraId="4BBF07D3">
      <w:p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在收到评标报告5个工作日内未按评标报告推荐的中标候选人顺序确定中标人，又不能说明合法理由的，视同按评标报告推荐的顺序确定排名第一的中标候选人为中标人。</w:t>
      </w:r>
    </w:p>
    <w:p w14:paraId="55C38C01">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32.</w:t>
      </w:r>
      <w:r>
        <w:rPr>
          <w:rFonts w:hint="eastAsia" w:ascii="宋体" w:hAnsi="宋体" w:eastAsia="宋体" w:cs="宋体"/>
          <w:b/>
          <w:bCs/>
          <w:color w:val="auto"/>
          <w:szCs w:val="21"/>
          <w:highlight w:val="none"/>
          <w:lang w:val="en-US" w:eastAsia="zh-CN"/>
        </w:rPr>
        <w:t>招标</w:t>
      </w:r>
      <w:r>
        <w:rPr>
          <w:rFonts w:hint="eastAsia" w:ascii="宋体" w:hAnsi="宋体" w:eastAsia="宋体" w:cs="宋体"/>
          <w:b/>
          <w:bCs/>
          <w:color w:val="auto"/>
          <w:szCs w:val="21"/>
          <w:highlight w:val="none"/>
        </w:rPr>
        <w:t>任务取消</w:t>
      </w:r>
    </w:p>
    <w:p w14:paraId="78E531BB">
      <w:p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因重大变故</w:t>
      </w:r>
      <w:r>
        <w:rPr>
          <w:rFonts w:hint="eastAsia" w:ascii="宋体" w:hAnsi="宋体" w:eastAsia="宋体" w:cs="宋体"/>
          <w:color w:val="auto"/>
          <w:szCs w:val="21"/>
          <w:highlight w:val="none"/>
          <w:lang w:val="en-US" w:eastAsia="zh-CN"/>
        </w:rPr>
        <w:t>招标</w:t>
      </w:r>
      <w:r>
        <w:rPr>
          <w:rFonts w:hint="eastAsia" w:ascii="宋体" w:hAnsi="宋体" w:eastAsia="宋体" w:cs="宋体"/>
          <w:color w:val="auto"/>
          <w:szCs w:val="21"/>
          <w:highlight w:val="none"/>
        </w:rPr>
        <w:t>任务取消时，</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有权拒绝任何</w:t>
      </w:r>
      <w:r>
        <w:rPr>
          <w:rFonts w:hint="eastAsia" w:ascii="宋体" w:hAnsi="宋体" w:eastAsia="宋体" w:cs="宋体"/>
          <w:color w:val="auto"/>
          <w:szCs w:val="21"/>
          <w:highlight w:val="none"/>
          <w:lang w:eastAsia="zh-CN"/>
        </w:rPr>
        <w:t>投标人</w:t>
      </w:r>
      <w:r>
        <w:rPr>
          <w:rFonts w:hint="eastAsia" w:ascii="宋体" w:hAnsi="宋体" w:eastAsia="宋体" w:cs="宋体"/>
          <w:color w:val="auto"/>
          <w:szCs w:val="21"/>
          <w:highlight w:val="none"/>
        </w:rPr>
        <w:t>中标，且对受影响的投标人不承担任何责任。</w:t>
      </w:r>
    </w:p>
    <w:p w14:paraId="53FDABCE">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33.中标通知书</w:t>
      </w:r>
    </w:p>
    <w:p w14:paraId="49A36CB2">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 xml:space="preserve">33.1 </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或者</w:t>
      </w:r>
      <w:r>
        <w:rPr>
          <w:rFonts w:hint="eastAsia" w:ascii="宋体" w:hAnsi="宋体" w:eastAsia="宋体" w:cs="宋体"/>
          <w:color w:val="auto"/>
          <w:szCs w:val="21"/>
          <w:highlight w:val="none"/>
          <w:lang w:eastAsia="zh-CN"/>
        </w:rPr>
        <w:t>招标代理机构</w:t>
      </w:r>
      <w:r>
        <w:rPr>
          <w:rFonts w:hint="eastAsia" w:ascii="宋体" w:hAnsi="宋体" w:eastAsia="宋体" w:cs="宋体"/>
          <w:color w:val="auto"/>
          <w:szCs w:val="21"/>
          <w:highlight w:val="none"/>
        </w:rPr>
        <w:t>应当自中标人确定之日起2个工作日内，在</w:t>
      </w:r>
      <w:r>
        <w:rPr>
          <w:rFonts w:hint="eastAsia" w:ascii="宋体" w:hAnsi="宋体" w:eastAsia="宋体" w:cs="宋体"/>
          <w:color w:val="auto"/>
          <w:szCs w:val="21"/>
          <w:highlight w:val="none"/>
          <w:lang w:val="en-US" w:eastAsia="zh-CN"/>
        </w:rPr>
        <w:t>相关</w:t>
      </w:r>
      <w:r>
        <w:rPr>
          <w:rFonts w:hint="eastAsia" w:ascii="宋体" w:hAnsi="宋体" w:eastAsia="宋体" w:cs="宋体"/>
          <w:color w:val="auto"/>
          <w:szCs w:val="21"/>
          <w:highlight w:val="none"/>
        </w:rPr>
        <w:t>媒体上公告中标结果。同时向中标人发出中标通知书。</w:t>
      </w:r>
    </w:p>
    <w:p w14:paraId="2E7C0D01">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33.2 中标通知书是合同的组成部分。</w:t>
      </w:r>
    </w:p>
    <w:p w14:paraId="3944EEC7">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34.签订合同</w:t>
      </w:r>
    </w:p>
    <w:p w14:paraId="387EB3A1">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 xml:space="preserve">34.1 中标人应当自发出中标通知书之日起 </w:t>
      </w:r>
      <w:r>
        <w:rPr>
          <w:rFonts w:hint="eastAsia" w:ascii="宋体" w:hAnsi="宋体" w:eastAsia="宋体" w:cs="宋体"/>
          <w:color w:val="auto"/>
          <w:szCs w:val="21"/>
          <w:highlight w:val="none"/>
          <w:lang w:val="en-US" w:eastAsia="zh-CN"/>
        </w:rPr>
        <w:t>15</w:t>
      </w:r>
      <w:r>
        <w:rPr>
          <w:rFonts w:hint="eastAsia" w:ascii="宋体" w:hAnsi="宋体" w:eastAsia="宋体" w:cs="宋体"/>
          <w:color w:val="auto"/>
          <w:szCs w:val="21"/>
          <w:highlight w:val="none"/>
        </w:rPr>
        <w:t xml:space="preserve"> 日内，与</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签订书面合同。</w:t>
      </w:r>
    </w:p>
    <w:p w14:paraId="32195ACA">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34.2 招标文件、中标人的投标文件及其澄清文件等，均为签订合同的依据。所签订的合同不得对招标文件确定的事项和中标人投标文件作实质性修改。</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不得向中标人提出任何不合理的要求，作为签订合同的条件。</w:t>
      </w:r>
    </w:p>
    <w:p w14:paraId="4628C929">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34.3 中标人拒绝与</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签订合同的，</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可以按照评审报告推荐的中标候选人名单排序，确定下一中标候选人为中标人，也可以重新开展政府</w:t>
      </w:r>
      <w:r>
        <w:rPr>
          <w:rFonts w:hint="eastAsia" w:ascii="宋体" w:hAnsi="宋体" w:eastAsia="宋体" w:cs="宋体"/>
          <w:color w:val="auto"/>
          <w:szCs w:val="21"/>
          <w:highlight w:val="none"/>
          <w:lang w:val="en-US" w:eastAsia="zh-CN"/>
        </w:rPr>
        <w:t>招标</w:t>
      </w:r>
      <w:r>
        <w:rPr>
          <w:rFonts w:hint="eastAsia" w:ascii="宋体" w:hAnsi="宋体" w:eastAsia="宋体" w:cs="宋体"/>
          <w:color w:val="auto"/>
          <w:szCs w:val="21"/>
          <w:highlight w:val="none"/>
        </w:rPr>
        <w:t>活动。</w:t>
      </w:r>
    </w:p>
    <w:p w14:paraId="2ADEEB93">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35.履约保证金</w:t>
      </w:r>
    </w:p>
    <w:p w14:paraId="7DDAE1FF">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35.1 中标人应按照投标人须知表35.1款规定向</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缴纳履约保证金。</w:t>
      </w:r>
    </w:p>
    <w:p w14:paraId="69B31BD9">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35.2 如果中标人没有按照上述履约保证金的规定执行，将视为拒绝签订放弃中标资格，中标人的投标保证金将不予退还。在此情况下，</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可确定下一中标候选人为中标人，也可以重新开展</w:t>
      </w:r>
      <w:r>
        <w:rPr>
          <w:rFonts w:hint="eastAsia" w:ascii="宋体" w:hAnsi="宋体" w:eastAsia="宋体" w:cs="宋体"/>
          <w:color w:val="auto"/>
          <w:szCs w:val="21"/>
          <w:highlight w:val="none"/>
          <w:lang w:val="en-US" w:eastAsia="zh-CN"/>
        </w:rPr>
        <w:t>招标</w:t>
      </w:r>
      <w:r>
        <w:rPr>
          <w:rFonts w:hint="eastAsia" w:ascii="宋体" w:hAnsi="宋体" w:eastAsia="宋体" w:cs="宋体"/>
          <w:color w:val="auto"/>
          <w:szCs w:val="21"/>
          <w:highlight w:val="none"/>
        </w:rPr>
        <w:t>活动。</w:t>
      </w:r>
    </w:p>
    <w:p w14:paraId="34D02B9D">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36.</w:t>
      </w:r>
      <w:r>
        <w:rPr>
          <w:rFonts w:hint="eastAsia" w:ascii="宋体" w:hAnsi="宋体" w:eastAsia="宋体" w:cs="宋体"/>
          <w:b/>
          <w:bCs/>
          <w:color w:val="auto"/>
          <w:szCs w:val="21"/>
          <w:highlight w:val="none"/>
          <w:lang w:val="en-US" w:eastAsia="zh-CN"/>
        </w:rPr>
        <w:t>招标</w:t>
      </w:r>
      <w:r>
        <w:rPr>
          <w:rFonts w:hint="eastAsia" w:ascii="宋体" w:hAnsi="宋体" w:eastAsia="宋体" w:cs="宋体"/>
          <w:b/>
          <w:bCs/>
          <w:color w:val="auto"/>
          <w:szCs w:val="21"/>
          <w:highlight w:val="none"/>
        </w:rPr>
        <w:t>代理服务费</w:t>
      </w:r>
    </w:p>
    <w:p w14:paraId="03E6F6CE">
      <w:pPr>
        <w:adjustRightInd w:val="0"/>
        <w:snapToGrid w:val="0"/>
        <w:ind w:firstLine="210" w:firstLineChars="100"/>
        <w:rPr>
          <w:rFonts w:hint="eastAsia" w:ascii="宋体" w:hAnsi="宋体" w:eastAsia="宋体" w:cs="宋体"/>
          <w:color w:val="auto"/>
          <w:szCs w:val="21"/>
          <w:highlight w:val="none"/>
        </w:rPr>
      </w:pPr>
      <w:r>
        <w:rPr>
          <w:rFonts w:hint="eastAsia" w:ascii="宋体" w:hAnsi="宋体" w:eastAsia="宋体" w:cs="宋体"/>
          <w:color w:val="auto"/>
          <w:szCs w:val="21"/>
          <w:highlight w:val="none"/>
        </w:rPr>
        <w:t>中标人须按照投标人须知表36款规定，向</w:t>
      </w:r>
      <w:r>
        <w:rPr>
          <w:rFonts w:hint="eastAsia" w:ascii="宋体" w:hAnsi="宋体" w:eastAsia="宋体" w:cs="宋体"/>
          <w:color w:val="auto"/>
          <w:szCs w:val="21"/>
          <w:highlight w:val="none"/>
          <w:lang w:eastAsia="zh-CN"/>
        </w:rPr>
        <w:t>招标代理机构</w:t>
      </w:r>
      <w:r>
        <w:rPr>
          <w:rFonts w:hint="eastAsia" w:ascii="宋体" w:hAnsi="宋体" w:eastAsia="宋体" w:cs="宋体"/>
          <w:color w:val="auto"/>
          <w:szCs w:val="21"/>
          <w:highlight w:val="none"/>
        </w:rPr>
        <w:t>支付招标代理服务费。</w:t>
      </w:r>
    </w:p>
    <w:p w14:paraId="7F8C6868">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37.廉洁自律规定</w:t>
      </w:r>
    </w:p>
    <w:p w14:paraId="57126F1D">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 xml:space="preserve">37.1 </w:t>
      </w:r>
      <w:r>
        <w:rPr>
          <w:rFonts w:hint="eastAsia" w:ascii="宋体" w:hAnsi="宋体" w:eastAsia="宋体" w:cs="宋体"/>
          <w:color w:val="auto"/>
          <w:szCs w:val="21"/>
          <w:highlight w:val="none"/>
          <w:lang w:eastAsia="zh-CN"/>
        </w:rPr>
        <w:t>招标代理机构</w:t>
      </w:r>
      <w:r>
        <w:rPr>
          <w:rFonts w:hint="eastAsia" w:ascii="宋体" w:hAnsi="宋体" w:eastAsia="宋体" w:cs="宋体"/>
          <w:color w:val="auto"/>
          <w:szCs w:val="21"/>
          <w:highlight w:val="none"/>
        </w:rPr>
        <w:t>工作人员不得以不正当手段获取</w:t>
      </w:r>
      <w:r>
        <w:rPr>
          <w:rFonts w:hint="eastAsia" w:ascii="宋体" w:hAnsi="宋体" w:eastAsia="宋体" w:cs="宋体"/>
          <w:color w:val="auto"/>
          <w:szCs w:val="21"/>
          <w:highlight w:val="none"/>
          <w:lang w:val="en-US" w:eastAsia="zh-CN"/>
        </w:rPr>
        <w:t>招标</w:t>
      </w:r>
      <w:r>
        <w:rPr>
          <w:rFonts w:hint="eastAsia" w:ascii="宋体" w:hAnsi="宋体" w:eastAsia="宋体" w:cs="宋体"/>
          <w:color w:val="auto"/>
          <w:szCs w:val="21"/>
          <w:highlight w:val="none"/>
        </w:rPr>
        <w:t>代理业务，不得与</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、投标人恶意串通操纵</w:t>
      </w:r>
      <w:r>
        <w:rPr>
          <w:rFonts w:hint="eastAsia" w:ascii="宋体" w:hAnsi="宋体" w:eastAsia="宋体" w:cs="宋体"/>
          <w:color w:val="auto"/>
          <w:szCs w:val="21"/>
          <w:highlight w:val="none"/>
          <w:lang w:val="en-US" w:eastAsia="zh-CN"/>
        </w:rPr>
        <w:t>招标</w:t>
      </w:r>
      <w:r>
        <w:rPr>
          <w:rFonts w:hint="eastAsia" w:ascii="宋体" w:hAnsi="宋体" w:eastAsia="宋体" w:cs="宋体"/>
          <w:color w:val="auto"/>
          <w:szCs w:val="21"/>
          <w:highlight w:val="none"/>
        </w:rPr>
        <w:t>采购活动。</w:t>
      </w:r>
    </w:p>
    <w:p w14:paraId="330238BF">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 xml:space="preserve">37.2 </w:t>
      </w:r>
      <w:r>
        <w:rPr>
          <w:rFonts w:hint="eastAsia" w:ascii="宋体" w:hAnsi="宋体" w:eastAsia="宋体" w:cs="宋体"/>
          <w:color w:val="auto"/>
          <w:szCs w:val="21"/>
          <w:highlight w:val="none"/>
          <w:lang w:eastAsia="zh-CN"/>
        </w:rPr>
        <w:t>招标代理机构</w:t>
      </w:r>
      <w:r>
        <w:rPr>
          <w:rFonts w:hint="eastAsia" w:ascii="宋体" w:hAnsi="宋体" w:eastAsia="宋体" w:cs="宋体"/>
          <w:color w:val="auto"/>
          <w:szCs w:val="21"/>
          <w:highlight w:val="none"/>
        </w:rPr>
        <w:t>工作人员不得接受</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或者投标人组织的宴请、旅游、娱乐，不得收受礼品、现金、有价证券等，不得向</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或者投标人报销应当由个人承担的费用。</w:t>
      </w:r>
    </w:p>
    <w:p w14:paraId="4D22D688">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38.人员回避</w:t>
      </w:r>
    </w:p>
    <w:p w14:paraId="42275F11">
      <w:p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投标人认为</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及其相关人员有法律法规所列与其他投标人有利害关系的，可以向</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或</w:t>
      </w:r>
      <w:r>
        <w:rPr>
          <w:rFonts w:hint="eastAsia" w:ascii="宋体" w:hAnsi="宋体" w:eastAsia="宋体" w:cs="宋体"/>
          <w:color w:val="auto"/>
          <w:szCs w:val="21"/>
          <w:highlight w:val="none"/>
          <w:lang w:eastAsia="zh-CN"/>
        </w:rPr>
        <w:t>招标代理机构</w:t>
      </w:r>
      <w:r>
        <w:rPr>
          <w:rFonts w:hint="eastAsia" w:ascii="宋体" w:hAnsi="宋体" w:eastAsia="宋体" w:cs="宋体"/>
          <w:color w:val="auto"/>
          <w:szCs w:val="21"/>
          <w:highlight w:val="none"/>
        </w:rPr>
        <w:t>书面提出回避申请，并说明理由。</w:t>
      </w:r>
    </w:p>
    <w:p w14:paraId="3F42A572">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39.</w:t>
      </w:r>
      <w:r>
        <w:rPr>
          <w:rFonts w:hint="eastAsia" w:ascii="宋体" w:hAnsi="宋体" w:eastAsia="宋体" w:cs="宋体"/>
          <w:b/>
          <w:bCs/>
          <w:color w:val="auto"/>
          <w:szCs w:val="21"/>
          <w:highlight w:val="none"/>
          <w:lang w:eastAsia="zh-CN"/>
        </w:rPr>
        <w:t>异议</w:t>
      </w:r>
      <w:r>
        <w:rPr>
          <w:rFonts w:hint="eastAsia" w:ascii="宋体" w:hAnsi="宋体" w:eastAsia="宋体" w:cs="宋体"/>
          <w:b/>
          <w:bCs/>
          <w:color w:val="auto"/>
          <w:szCs w:val="21"/>
          <w:highlight w:val="none"/>
        </w:rPr>
        <w:t>与接收</w:t>
      </w:r>
    </w:p>
    <w:p w14:paraId="43758607">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39.1 投标人认为招标文件、招标过程和中标结果使自己的权益受到损害的，可以根据有关规定，依法向</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或其委托的</w:t>
      </w:r>
      <w:r>
        <w:rPr>
          <w:rFonts w:hint="eastAsia" w:ascii="宋体" w:hAnsi="宋体" w:eastAsia="宋体" w:cs="宋体"/>
          <w:color w:val="auto"/>
          <w:szCs w:val="21"/>
          <w:highlight w:val="none"/>
          <w:lang w:eastAsia="zh-CN"/>
        </w:rPr>
        <w:t>招标代理机构</w:t>
      </w:r>
      <w:r>
        <w:rPr>
          <w:rFonts w:hint="eastAsia" w:ascii="宋体" w:hAnsi="宋体" w:eastAsia="宋体" w:cs="宋体"/>
          <w:color w:val="auto"/>
          <w:szCs w:val="21"/>
          <w:highlight w:val="none"/>
        </w:rPr>
        <w:t>提出</w:t>
      </w:r>
      <w:r>
        <w:rPr>
          <w:rFonts w:hint="eastAsia" w:ascii="宋体" w:hAnsi="宋体" w:eastAsia="宋体" w:cs="宋体"/>
          <w:color w:val="auto"/>
          <w:szCs w:val="21"/>
          <w:highlight w:val="none"/>
          <w:lang w:eastAsia="zh-CN"/>
        </w:rPr>
        <w:t>异议</w:t>
      </w:r>
      <w:r>
        <w:rPr>
          <w:rFonts w:hint="eastAsia" w:ascii="宋体" w:hAnsi="宋体" w:eastAsia="宋体" w:cs="宋体"/>
          <w:color w:val="auto"/>
          <w:szCs w:val="21"/>
          <w:highlight w:val="none"/>
        </w:rPr>
        <w:t>。</w:t>
      </w:r>
    </w:p>
    <w:p w14:paraId="4196CD5D">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 xml:space="preserve">39.2 </w:t>
      </w:r>
      <w:r>
        <w:rPr>
          <w:rFonts w:hint="eastAsia" w:ascii="宋体" w:hAnsi="宋体" w:eastAsia="宋体" w:cs="宋体"/>
          <w:color w:val="auto"/>
          <w:szCs w:val="21"/>
          <w:highlight w:val="none"/>
          <w:lang w:eastAsia="zh-CN"/>
        </w:rPr>
        <w:t>异议</w:t>
      </w:r>
      <w:r>
        <w:rPr>
          <w:rFonts w:hint="eastAsia" w:ascii="宋体" w:hAnsi="宋体" w:eastAsia="宋体" w:cs="宋体"/>
          <w:color w:val="auto"/>
          <w:szCs w:val="21"/>
          <w:highlight w:val="none"/>
        </w:rPr>
        <w:t>投标人应按照</w:t>
      </w:r>
      <w:r>
        <w:rPr>
          <w:rFonts w:hint="eastAsia" w:ascii="宋体" w:hAnsi="宋体" w:eastAsia="宋体" w:cs="宋体"/>
          <w:color w:val="auto"/>
          <w:szCs w:val="21"/>
          <w:highlight w:val="none"/>
          <w:lang w:val="en-US" w:eastAsia="zh-CN"/>
        </w:rPr>
        <w:t>有关</w:t>
      </w:r>
      <w:r>
        <w:rPr>
          <w:rFonts w:hint="eastAsia" w:ascii="宋体" w:hAnsi="宋体" w:eastAsia="宋体" w:cs="宋体"/>
          <w:color w:val="auto"/>
          <w:szCs w:val="21"/>
          <w:highlight w:val="none"/>
        </w:rPr>
        <w:t>部门制定的《</w:t>
      </w:r>
      <w:r>
        <w:rPr>
          <w:rFonts w:hint="eastAsia" w:ascii="宋体" w:hAnsi="宋体" w:eastAsia="宋体" w:cs="宋体"/>
          <w:color w:val="auto"/>
          <w:szCs w:val="21"/>
          <w:highlight w:val="none"/>
          <w:lang w:eastAsia="zh-CN"/>
        </w:rPr>
        <w:t>异议</w:t>
      </w:r>
      <w:r>
        <w:rPr>
          <w:rFonts w:hint="eastAsia" w:ascii="宋体" w:hAnsi="宋体" w:eastAsia="宋体" w:cs="宋体"/>
          <w:color w:val="auto"/>
          <w:szCs w:val="21"/>
          <w:highlight w:val="none"/>
        </w:rPr>
        <w:t>函范本》格式，在法定</w:t>
      </w:r>
      <w:r>
        <w:rPr>
          <w:rFonts w:hint="eastAsia" w:ascii="宋体" w:hAnsi="宋体" w:eastAsia="宋体" w:cs="宋体"/>
          <w:color w:val="auto"/>
          <w:szCs w:val="21"/>
          <w:highlight w:val="none"/>
          <w:lang w:eastAsia="zh-CN"/>
        </w:rPr>
        <w:t>异议</w:t>
      </w:r>
      <w:r>
        <w:rPr>
          <w:rFonts w:hint="eastAsia" w:ascii="宋体" w:hAnsi="宋体" w:eastAsia="宋体" w:cs="宋体"/>
          <w:color w:val="auto"/>
          <w:szCs w:val="21"/>
          <w:highlight w:val="none"/>
        </w:rPr>
        <w:t>期内以纸质形式提出</w:t>
      </w:r>
      <w:r>
        <w:rPr>
          <w:rFonts w:hint="eastAsia" w:ascii="宋体" w:hAnsi="宋体" w:eastAsia="宋体" w:cs="宋体"/>
          <w:color w:val="auto"/>
          <w:szCs w:val="21"/>
          <w:highlight w:val="none"/>
          <w:lang w:eastAsia="zh-CN"/>
        </w:rPr>
        <w:t>异议</w:t>
      </w:r>
      <w:r>
        <w:rPr>
          <w:rFonts w:hint="eastAsia" w:ascii="宋体" w:hAnsi="宋体" w:eastAsia="宋体" w:cs="宋体"/>
          <w:color w:val="auto"/>
          <w:szCs w:val="21"/>
          <w:highlight w:val="none"/>
        </w:rPr>
        <w:t>，针对同一</w:t>
      </w:r>
      <w:r>
        <w:rPr>
          <w:rFonts w:hint="eastAsia" w:ascii="宋体" w:hAnsi="宋体" w:eastAsia="宋体" w:cs="宋体"/>
          <w:color w:val="auto"/>
          <w:szCs w:val="21"/>
          <w:highlight w:val="none"/>
          <w:lang w:val="en-US" w:eastAsia="zh-CN"/>
        </w:rPr>
        <w:t>招标</w:t>
      </w:r>
      <w:r>
        <w:rPr>
          <w:rFonts w:hint="eastAsia" w:ascii="宋体" w:hAnsi="宋体" w:eastAsia="宋体" w:cs="宋体"/>
          <w:color w:val="auto"/>
          <w:szCs w:val="21"/>
          <w:highlight w:val="none"/>
        </w:rPr>
        <w:t>程序环节的</w:t>
      </w:r>
      <w:r>
        <w:rPr>
          <w:rFonts w:hint="eastAsia" w:ascii="宋体" w:hAnsi="宋体" w:eastAsia="宋体" w:cs="宋体"/>
          <w:color w:val="auto"/>
          <w:szCs w:val="21"/>
          <w:highlight w:val="none"/>
          <w:lang w:eastAsia="zh-CN"/>
        </w:rPr>
        <w:t>异议</w:t>
      </w:r>
      <w:r>
        <w:rPr>
          <w:rFonts w:hint="eastAsia" w:ascii="宋体" w:hAnsi="宋体" w:eastAsia="宋体" w:cs="宋体"/>
          <w:color w:val="auto"/>
          <w:szCs w:val="21"/>
          <w:highlight w:val="none"/>
        </w:rPr>
        <w:t>应一次性提出。</w:t>
      </w:r>
    </w:p>
    <w:p w14:paraId="54A76907">
      <w:pPr>
        <w:adjustRightInd w:val="0"/>
        <w:snapToGrid w:val="0"/>
        <w:rPr>
          <w:rFonts w:hint="eastAsia" w:ascii="宋体" w:hAnsi="宋体" w:eastAsia="宋体" w:cs="宋体"/>
          <w:color w:val="auto"/>
          <w:szCs w:val="21"/>
          <w:highlight w:val="none"/>
        </w:rPr>
      </w:pPr>
      <w:r>
        <w:rPr>
          <w:rFonts w:hint="eastAsia" w:ascii="宋体" w:hAnsi="宋体" w:eastAsia="宋体" w:cs="宋体"/>
          <w:color w:val="auto"/>
          <w:szCs w:val="21"/>
          <w:highlight w:val="none"/>
        </w:rPr>
        <w:t xml:space="preserve">39.3 </w:t>
      </w:r>
      <w:r>
        <w:rPr>
          <w:rFonts w:hint="eastAsia" w:ascii="宋体" w:hAnsi="宋体" w:eastAsia="宋体" w:cs="宋体"/>
          <w:color w:val="auto"/>
          <w:szCs w:val="21"/>
          <w:highlight w:val="none"/>
          <w:lang w:eastAsia="zh-CN"/>
        </w:rPr>
        <w:t>招标代理机构异议</w:t>
      </w:r>
      <w:r>
        <w:rPr>
          <w:rFonts w:hint="eastAsia" w:ascii="宋体" w:hAnsi="宋体" w:eastAsia="宋体" w:cs="宋体"/>
          <w:color w:val="auto"/>
          <w:szCs w:val="21"/>
          <w:highlight w:val="none"/>
        </w:rPr>
        <w:t>函接收部门、联系电话和通讯地址, 见投标人须知表39.3款。</w:t>
      </w:r>
    </w:p>
    <w:p w14:paraId="3B657A57">
      <w:pPr>
        <w:adjustRightInd w:val="0"/>
        <w:snapToGrid w:val="0"/>
        <w:rPr>
          <w:rFonts w:hint="eastAsia" w:ascii="宋体" w:hAnsi="宋体" w:eastAsia="宋体" w:cs="宋体"/>
          <w:b/>
          <w:bCs/>
          <w:color w:val="auto"/>
          <w:szCs w:val="21"/>
          <w:highlight w:val="none"/>
        </w:rPr>
      </w:pPr>
      <w:r>
        <w:rPr>
          <w:rFonts w:hint="eastAsia" w:ascii="宋体" w:hAnsi="宋体" w:eastAsia="宋体" w:cs="宋体"/>
          <w:b/>
          <w:bCs/>
          <w:color w:val="auto"/>
          <w:szCs w:val="21"/>
          <w:highlight w:val="none"/>
        </w:rPr>
        <w:t>40.履约验收</w:t>
      </w:r>
    </w:p>
    <w:p w14:paraId="4A8400A2">
      <w:pPr>
        <w:adjustRightInd w:val="0"/>
        <w:snapToGrid w:val="0"/>
        <w:jc w:val="left"/>
        <w:rPr>
          <w:rFonts w:hint="eastAsia" w:ascii="宋体" w:hAnsi="宋体" w:eastAsia="宋体" w:cs="宋体"/>
          <w:color w:val="auto"/>
          <w:szCs w:val="21"/>
          <w:highlight w:val="none"/>
        </w:rPr>
      </w:pPr>
      <w:r>
        <w:rPr>
          <w:rFonts w:hint="eastAsia" w:ascii="宋体" w:hAnsi="宋体" w:eastAsia="宋体" w:cs="宋体"/>
          <w:color w:val="auto"/>
          <w:szCs w:val="21"/>
          <w:highlight w:val="none"/>
        </w:rPr>
        <w:t>本项目</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及其委托的</w:t>
      </w:r>
      <w:r>
        <w:rPr>
          <w:rFonts w:hint="eastAsia" w:ascii="宋体" w:hAnsi="宋体" w:eastAsia="宋体" w:cs="宋体"/>
          <w:color w:val="auto"/>
          <w:szCs w:val="21"/>
          <w:highlight w:val="none"/>
          <w:lang w:eastAsia="zh-CN"/>
        </w:rPr>
        <w:t>招标代理机构</w:t>
      </w:r>
      <w:r>
        <w:rPr>
          <w:rFonts w:hint="eastAsia" w:ascii="宋体" w:hAnsi="宋体" w:eastAsia="宋体" w:cs="宋体"/>
          <w:color w:val="auto"/>
          <w:szCs w:val="21"/>
          <w:highlight w:val="none"/>
        </w:rPr>
        <w:t>将严格按照相关法律法规以及本项目招标文件的要求进行验收。</w:t>
      </w:r>
    </w:p>
    <w:p w14:paraId="35CD7DE3">
      <w:pPr>
        <w:pStyle w:val="2"/>
        <w:jc w:val="center"/>
        <w:rPr>
          <w:rFonts w:hint="eastAsia" w:ascii="宋体" w:hAnsi="宋体" w:eastAsia="宋体" w:cs="宋体"/>
          <w:color w:val="auto"/>
          <w:highlight w:val="none"/>
        </w:rPr>
      </w:pPr>
      <w:r>
        <w:rPr>
          <w:rFonts w:hint="eastAsia" w:ascii="宋体" w:hAnsi="宋体" w:eastAsia="宋体" w:cs="宋体"/>
          <w:color w:val="auto"/>
          <w:highlight w:val="none"/>
        </w:rPr>
        <w:br w:type="page"/>
      </w:r>
      <w:r>
        <w:rPr>
          <w:rFonts w:hint="eastAsia" w:ascii="宋体" w:hAnsi="宋体" w:eastAsia="宋体" w:cs="宋体"/>
          <w:color w:val="auto"/>
          <w:highlight w:val="none"/>
        </w:rPr>
        <w:t>第二章 投标文件内容及格式</w:t>
      </w:r>
    </w:p>
    <w:p w14:paraId="46D36BF3">
      <w:pPr>
        <w:pStyle w:val="2"/>
        <w:rPr>
          <w:rFonts w:hint="eastAsia" w:ascii="宋体" w:hAnsi="宋体" w:eastAsia="宋体" w:cs="宋体"/>
          <w:color w:val="auto"/>
          <w:highlight w:val="none"/>
        </w:rPr>
      </w:pPr>
    </w:p>
    <w:p w14:paraId="19B07C12">
      <w:pPr>
        <w:pStyle w:val="2"/>
        <w:rPr>
          <w:rFonts w:hint="eastAsia" w:ascii="宋体" w:hAnsi="宋体" w:eastAsia="宋体" w:cs="宋体"/>
          <w:color w:val="auto"/>
          <w:highlight w:val="none"/>
        </w:rPr>
      </w:pPr>
    </w:p>
    <w:p w14:paraId="1B4CE655">
      <w:pPr>
        <w:pStyle w:val="2"/>
        <w:rPr>
          <w:rFonts w:hint="eastAsia" w:ascii="宋体" w:hAnsi="宋体" w:eastAsia="宋体" w:cs="宋体"/>
          <w:color w:val="auto"/>
          <w:highlight w:val="none"/>
        </w:rPr>
      </w:pPr>
    </w:p>
    <w:p w14:paraId="13EA4BA9">
      <w:pPr>
        <w:pStyle w:val="2"/>
        <w:rPr>
          <w:rFonts w:hint="eastAsia" w:ascii="宋体" w:hAnsi="宋体" w:eastAsia="宋体" w:cs="宋体"/>
          <w:color w:val="auto"/>
          <w:highlight w:val="none"/>
        </w:rPr>
      </w:pPr>
    </w:p>
    <w:p w14:paraId="716AE5C2">
      <w:pPr>
        <w:pStyle w:val="2"/>
        <w:rPr>
          <w:rFonts w:hint="eastAsia" w:ascii="宋体" w:hAnsi="宋体" w:eastAsia="宋体" w:cs="宋体"/>
          <w:color w:val="auto"/>
          <w:highlight w:val="none"/>
        </w:rPr>
      </w:pPr>
    </w:p>
    <w:p w14:paraId="4095BDC6">
      <w:pPr>
        <w:pStyle w:val="2"/>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投标文件内容及格式详见：</w:t>
      </w:r>
    </w:p>
    <w:p w14:paraId="017E68CB">
      <w:pPr>
        <w:pStyle w:val="2"/>
        <w:rPr>
          <w:color w:val="auto"/>
          <w:sz w:val="32"/>
          <w:szCs w:val="32"/>
          <w:highlight w:val="none"/>
        </w:rPr>
      </w:pPr>
      <w:r>
        <w:rPr>
          <w:rFonts w:hint="eastAsia" w:ascii="宋体" w:hAnsi="宋体" w:eastAsia="宋体" w:cs="宋体"/>
          <w:color w:val="auto"/>
          <w:sz w:val="32"/>
          <w:szCs w:val="32"/>
          <w:highlight w:val="none"/>
        </w:rPr>
        <w:t>附件《投标文件格式范本》</w:t>
      </w:r>
    </w:p>
    <w:p w14:paraId="258E76DD">
      <w:pPr>
        <w:jc w:val="center"/>
        <w:rPr>
          <w:rFonts w:hint="eastAsia" w:ascii="宋体" w:hAnsi="宋体" w:eastAsia="宋体" w:cs="宋体"/>
          <w:color w:val="auto"/>
          <w:highlight w:val="none"/>
          <w:lang w:eastAsia="zh-CN"/>
        </w:rPr>
      </w:pPr>
      <w:r>
        <w:rPr>
          <w:rFonts w:hint="eastAsia" w:ascii="宋体" w:hAnsi="宋体" w:eastAsia="宋体" w:cs="宋体"/>
          <w:color w:val="auto"/>
          <w:szCs w:val="21"/>
          <w:highlight w:val="none"/>
          <w:u w:val="single"/>
        </w:rPr>
        <w:br w:type="page"/>
      </w:r>
      <w:bookmarkStart w:id="29" w:name="OLE_LINK37"/>
      <w:r>
        <w:rPr>
          <w:rFonts w:hint="eastAsia" w:ascii="宋体" w:hAnsi="宋体" w:eastAsia="宋体" w:cs="宋体"/>
          <w:b/>
          <w:color w:val="auto"/>
          <w:kern w:val="44"/>
          <w:sz w:val="44"/>
          <w:highlight w:val="none"/>
        </w:rPr>
        <w:t xml:space="preserve">第三章 </w:t>
      </w:r>
      <w:r>
        <w:rPr>
          <w:rFonts w:hint="eastAsia" w:ascii="宋体" w:hAnsi="宋体" w:eastAsia="宋体" w:cs="宋体"/>
          <w:b/>
          <w:color w:val="auto"/>
          <w:kern w:val="44"/>
          <w:sz w:val="44"/>
          <w:highlight w:val="none"/>
          <w:lang w:val="en-US" w:eastAsia="zh-CN"/>
        </w:rPr>
        <w:t>招标</w:t>
      </w:r>
      <w:r>
        <w:rPr>
          <w:rFonts w:hint="eastAsia" w:ascii="宋体" w:hAnsi="宋体" w:eastAsia="宋体" w:cs="宋体"/>
          <w:b/>
          <w:color w:val="auto"/>
          <w:kern w:val="44"/>
          <w:sz w:val="44"/>
          <w:highlight w:val="none"/>
          <w:lang w:eastAsia="zh-CN"/>
        </w:rPr>
        <w:t>需求</w:t>
      </w:r>
    </w:p>
    <w:p w14:paraId="3AC96565">
      <w:pPr>
        <w:spacing w:line="420" w:lineRule="exact"/>
        <w:rPr>
          <w:rFonts w:hint="eastAsia" w:ascii="宋体" w:hAnsi="宋体" w:eastAsia="宋体" w:cs="宋体"/>
          <w:color w:val="auto"/>
          <w:szCs w:val="21"/>
          <w:highlight w:val="none"/>
        </w:rPr>
      </w:pPr>
      <w:r>
        <w:rPr>
          <w:rFonts w:hint="eastAsia" w:ascii="宋体" w:hAnsi="宋体" w:eastAsia="宋体" w:cs="宋体"/>
          <w:color w:val="auto"/>
          <w:szCs w:val="21"/>
          <w:highlight w:val="none"/>
        </w:rPr>
        <w:t>编制说明：</w:t>
      </w:r>
    </w:p>
    <w:p w14:paraId="448DB94D">
      <w:pPr>
        <w:spacing w:line="420" w:lineRule="exact"/>
        <w:ind w:firstLine="420" w:firstLineChars="200"/>
        <w:rPr>
          <w:rFonts w:hint="eastAsia" w:ascii="宋体" w:hAnsi="宋体" w:eastAsia="宋体" w:cs="宋体"/>
          <w:color w:val="auto"/>
          <w:szCs w:val="21"/>
          <w:highlight w:val="none"/>
          <w:lang w:val="zh-CN"/>
        </w:rPr>
      </w:pPr>
      <w:r>
        <w:rPr>
          <w:rFonts w:hint="eastAsia" w:ascii="宋体" w:hAnsi="宋体" w:eastAsia="宋体" w:cs="宋体"/>
          <w:color w:val="auto"/>
          <w:szCs w:val="21"/>
          <w:highlight w:val="none"/>
          <w:lang w:val="zh-CN"/>
        </w:rPr>
        <w:t>《招标需求》中所涉及的设备品牌及型号，仅供参考，并无任何限制性。投标人可以选用其他替代标准、品牌或型号，但这些替代在质量和性能上不得低于《招标需求》的要求。</w:t>
      </w:r>
    </w:p>
    <w:p w14:paraId="5663E579">
      <w:pPr>
        <w:spacing w:line="420" w:lineRule="exact"/>
        <w:ind w:firstLine="420" w:firstLineChars="200"/>
        <w:rPr>
          <w:rFonts w:hint="eastAsia" w:ascii="宋体" w:hAnsi="宋体" w:eastAsia="宋体" w:cs="宋体"/>
          <w:color w:val="auto"/>
          <w:szCs w:val="21"/>
          <w:highlight w:val="none"/>
          <w:lang w:val="zh-CN"/>
        </w:rPr>
      </w:pPr>
      <w:r>
        <w:rPr>
          <w:rFonts w:hint="eastAsia" w:ascii="宋体" w:hAnsi="宋体" w:eastAsia="宋体" w:cs="宋体"/>
          <w:color w:val="auto"/>
          <w:szCs w:val="21"/>
          <w:highlight w:val="none"/>
          <w:lang w:val="zh-CN"/>
        </w:rPr>
        <w:t>《招标需求》中凡标注有“★”的地方为实质性响应条款，作为投标无效条款，请投标人注意，必须实质性点对点响应；否则将导致无效投标。</w:t>
      </w:r>
    </w:p>
    <w:p w14:paraId="0AFEBEB7">
      <w:pPr>
        <w:spacing w:line="420" w:lineRule="exact"/>
        <w:ind w:firstLine="420" w:firstLineChars="200"/>
        <w:rPr>
          <w:rFonts w:hint="eastAsia" w:ascii="宋体" w:hAnsi="宋体" w:eastAsia="宋体" w:cs="宋体"/>
          <w:color w:val="auto"/>
          <w:szCs w:val="21"/>
          <w:highlight w:val="none"/>
          <w:lang w:val="zh-CN"/>
        </w:rPr>
      </w:pPr>
      <w:r>
        <w:rPr>
          <w:rFonts w:hint="eastAsia" w:ascii="宋体" w:hAnsi="宋体" w:eastAsia="宋体" w:cs="宋体"/>
          <w:color w:val="auto"/>
          <w:szCs w:val="21"/>
          <w:highlight w:val="none"/>
          <w:lang w:val="zh-CN"/>
        </w:rPr>
        <w:t>《招标需求》中凡标注有“▲”的地方为重要条款，但不作为投标无效条款，请投标人注意，必须实质性点对点响应；否则将严重影响技术评分。</w:t>
      </w:r>
    </w:p>
    <w:p w14:paraId="1F301A24">
      <w:pPr>
        <w:spacing w:line="420" w:lineRule="exact"/>
        <w:ind w:firstLine="420" w:firstLineChars="200"/>
        <w:rPr>
          <w:rFonts w:hint="eastAsia" w:ascii="宋体" w:hAnsi="宋体" w:eastAsia="宋体" w:cs="宋体"/>
          <w:color w:val="auto"/>
          <w:szCs w:val="21"/>
          <w:highlight w:val="none"/>
          <w:lang w:val="zh-CN"/>
        </w:rPr>
      </w:pPr>
      <w:r>
        <w:rPr>
          <w:rFonts w:hint="eastAsia" w:ascii="宋体" w:hAnsi="宋体" w:eastAsia="宋体" w:cs="宋体"/>
          <w:color w:val="auto"/>
          <w:szCs w:val="21"/>
          <w:highlight w:val="none"/>
          <w:lang w:val="zh-CN"/>
        </w:rPr>
        <w:t>《招标需求》中凡标注有“◆”的地方为核心货物或服务，请投标人注意。</w:t>
      </w:r>
    </w:p>
    <w:p w14:paraId="608893DC">
      <w:pPr>
        <w:ind w:firstLine="420" w:firstLineChars="200"/>
        <w:rPr>
          <w:rFonts w:hint="eastAsia" w:ascii="宋体" w:hAnsi="宋体" w:eastAsia="宋体" w:cs="宋体"/>
          <w:color w:val="auto"/>
          <w:szCs w:val="21"/>
          <w:highlight w:val="none"/>
        </w:rPr>
      </w:pPr>
    </w:p>
    <w:p w14:paraId="7196BA38">
      <w:pPr>
        <w:numPr>
          <w:ilvl w:val="0"/>
          <w:numId w:val="0"/>
        </w:numPr>
        <w:spacing w:line="360" w:lineRule="auto"/>
        <w:rPr>
          <w:rFonts w:hint="eastAsia" w:ascii="宋体" w:hAnsi="宋体" w:eastAsia="宋体" w:cs="宋体"/>
          <w:b/>
          <w:color w:val="auto"/>
          <w:sz w:val="21"/>
          <w:szCs w:val="21"/>
          <w:highlight w:val="none"/>
          <w:lang w:val="en-US" w:eastAsia="zh-CN"/>
        </w:rPr>
      </w:pPr>
      <w:r>
        <w:rPr>
          <w:rFonts w:hint="eastAsia" w:ascii="宋体" w:hAnsi="宋体" w:eastAsia="宋体" w:cs="宋体"/>
          <w:b/>
          <w:color w:val="auto"/>
          <w:kern w:val="2"/>
          <w:sz w:val="21"/>
          <w:szCs w:val="21"/>
          <w:highlight w:val="none"/>
          <w:lang w:val="en-US" w:eastAsia="zh-CN" w:bidi="ar-SA"/>
        </w:rPr>
        <w:t>一、</w:t>
      </w:r>
      <w:r>
        <w:rPr>
          <w:rFonts w:hint="eastAsia" w:ascii="宋体" w:hAnsi="宋体" w:eastAsia="宋体" w:cs="宋体"/>
          <w:b/>
          <w:color w:val="auto"/>
          <w:sz w:val="21"/>
          <w:szCs w:val="21"/>
          <w:highlight w:val="none"/>
          <w:lang w:val="en-US" w:eastAsia="zh-CN"/>
        </w:rPr>
        <w:t>项目需求一览表</w:t>
      </w:r>
    </w:p>
    <w:tbl>
      <w:tblPr>
        <w:tblStyle w:val="17"/>
        <w:tblW w:w="55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1"/>
        <w:gridCol w:w="2909"/>
        <w:gridCol w:w="777"/>
        <w:gridCol w:w="1502"/>
        <w:gridCol w:w="1340"/>
        <w:gridCol w:w="1126"/>
        <w:gridCol w:w="1552"/>
      </w:tblGrid>
      <w:tr w14:paraId="1688F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2" w:hRule="atLeast"/>
          <w:jc w:val="center"/>
        </w:trPr>
        <w:tc>
          <w:tcPr>
            <w:tcW w:w="173" w:type="pct"/>
            <w:noWrap/>
            <w:vAlign w:val="center"/>
          </w:tcPr>
          <w:p w14:paraId="0332A28B">
            <w:pPr>
              <w:jc w:val="center"/>
              <w:rPr>
                <w:rFonts w:hint="eastAsia" w:ascii="宋体" w:hAnsi="宋体" w:eastAsia="宋体" w:cs="宋体"/>
                <w:b/>
                <w:bCs/>
                <w:color w:val="auto"/>
                <w:sz w:val="21"/>
                <w:szCs w:val="21"/>
                <w:highlight w:val="none"/>
              </w:rPr>
            </w:pPr>
            <w:bookmarkStart w:id="30" w:name="OLE_LINK47"/>
            <w:r>
              <w:rPr>
                <w:rFonts w:hint="eastAsia" w:ascii="宋体" w:hAnsi="宋体" w:eastAsia="宋体" w:cs="宋体"/>
                <w:b/>
                <w:bCs/>
                <w:color w:val="auto"/>
                <w:sz w:val="21"/>
                <w:szCs w:val="21"/>
                <w:highlight w:val="none"/>
              </w:rPr>
              <w:t>序号</w:t>
            </w:r>
          </w:p>
        </w:tc>
        <w:tc>
          <w:tcPr>
            <w:tcW w:w="1525" w:type="pct"/>
            <w:noWrap/>
            <w:vAlign w:val="center"/>
          </w:tcPr>
          <w:p w14:paraId="03321882">
            <w:pPr>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lang w:eastAsia="zh-CN"/>
              </w:rPr>
              <w:t>招标</w:t>
            </w:r>
            <w:r>
              <w:rPr>
                <w:rFonts w:hint="eastAsia" w:ascii="宋体" w:hAnsi="宋体" w:eastAsia="宋体" w:cs="宋体"/>
                <w:b/>
                <w:bCs/>
                <w:color w:val="auto"/>
                <w:sz w:val="21"/>
                <w:szCs w:val="21"/>
                <w:highlight w:val="none"/>
              </w:rPr>
              <w:t>标的</w:t>
            </w:r>
          </w:p>
        </w:tc>
        <w:tc>
          <w:tcPr>
            <w:tcW w:w="407" w:type="pct"/>
            <w:noWrap/>
            <w:vAlign w:val="center"/>
          </w:tcPr>
          <w:p w14:paraId="58B4C9D7">
            <w:pPr>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数量</w:t>
            </w:r>
          </w:p>
        </w:tc>
        <w:tc>
          <w:tcPr>
            <w:tcW w:w="787" w:type="pct"/>
            <w:noWrap/>
            <w:vAlign w:val="center"/>
          </w:tcPr>
          <w:p w14:paraId="341CCA3F">
            <w:pPr>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主要技术要求</w:t>
            </w:r>
          </w:p>
        </w:tc>
        <w:tc>
          <w:tcPr>
            <w:tcW w:w="702" w:type="pct"/>
            <w:noWrap/>
            <w:vAlign w:val="center"/>
          </w:tcPr>
          <w:p w14:paraId="3002EFCD">
            <w:pPr>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shd w:val="clear" w:color="auto" w:fill="auto"/>
              </w:rPr>
              <w:t>运营期限</w:t>
            </w:r>
          </w:p>
        </w:tc>
        <w:tc>
          <w:tcPr>
            <w:tcW w:w="590" w:type="pct"/>
            <w:noWrap/>
            <w:vAlign w:val="center"/>
          </w:tcPr>
          <w:p w14:paraId="54256CD1">
            <w:pPr>
              <w:jc w:val="center"/>
              <w:rPr>
                <w:rFonts w:hint="eastAsia" w:ascii="宋体" w:hAnsi="宋体" w:eastAsia="宋体" w:cs="宋体"/>
                <w:b/>
                <w:bCs/>
                <w:color w:val="auto"/>
                <w:sz w:val="21"/>
                <w:szCs w:val="21"/>
                <w:highlight w:val="none"/>
                <w:shd w:val="clear" w:color="auto" w:fill="auto"/>
              </w:rPr>
            </w:pPr>
            <w:r>
              <w:rPr>
                <w:rFonts w:hint="eastAsia" w:eastAsia="宋体" w:cs="宋体"/>
                <w:b/>
                <w:bCs/>
                <w:color w:val="auto"/>
                <w:szCs w:val="21"/>
                <w:lang w:val="en-US" w:eastAsia="zh-CN"/>
              </w:rPr>
              <w:t>运营</w:t>
            </w:r>
            <w:r>
              <w:rPr>
                <w:rFonts w:hint="eastAsia" w:eastAsia="宋体" w:cs="宋体"/>
                <w:b/>
                <w:bCs/>
                <w:color w:val="auto"/>
                <w:szCs w:val="21"/>
              </w:rPr>
              <w:t>面积</w:t>
            </w:r>
            <w:r>
              <w:rPr>
                <w:rFonts w:hint="eastAsia" w:ascii="宋体" w:hAnsi="宋体" w:eastAsia="宋体" w:cs="宋体"/>
                <w:b/>
                <w:bCs/>
                <w:color w:val="auto"/>
                <w:szCs w:val="21"/>
              </w:rPr>
              <w:t>M²</w:t>
            </w:r>
          </w:p>
        </w:tc>
        <w:tc>
          <w:tcPr>
            <w:tcW w:w="813" w:type="pct"/>
            <w:noWrap/>
            <w:vAlign w:val="center"/>
          </w:tcPr>
          <w:p w14:paraId="58CBFAD5">
            <w:pPr>
              <w:jc w:val="center"/>
              <w:rPr>
                <w:rFonts w:hint="eastAsia" w:ascii="宋体" w:hAnsi="宋体" w:eastAsia="宋体" w:cs="宋体"/>
                <w:b/>
                <w:bCs/>
                <w:color w:val="auto"/>
                <w:sz w:val="21"/>
                <w:szCs w:val="21"/>
                <w:highlight w:val="none"/>
                <w:shd w:val="clear" w:color="auto" w:fill="auto"/>
              </w:rPr>
            </w:pPr>
            <w:r>
              <w:rPr>
                <w:rFonts w:hint="eastAsia" w:eastAsia="宋体" w:cs="宋体"/>
                <w:b/>
                <w:bCs/>
                <w:color w:val="auto"/>
                <w:szCs w:val="21"/>
                <w:lang w:eastAsia="zh-CN"/>
              </w:rPr>
              <w:t>基础收益分成金额</w:t>
            </w:r>
            <w:r>
              <w:rPr>
                <w:rFonts w:hint="eastAsia" w:eastAsia="宋体" w:cs="宋体"/>
                <w:b/>
                <w:bCs/>
                <w:color w:val="auto"/>
                <w:szCs w:val="21"/>
              </w:rPr>
              <w:t>（元/</w:t>
            </w:r>
            <w:r>
              <w:rPr>
                <w:rFonts w:hint="eastAsia" w:ascii="宋体" w:hAnsi="宋体" w:eastAsia="宋体" w:cs="宋体"/>
                <w:b/>
                <w:bCs/>
                <w:color w:val="auto"/>
                <w:szCs w:val="21"/>
              </w:rPr>
              <w:t>M²/月</w:t>
            </w:r>
            <w:r>
              <w:rPr>
                <w:rFonts w:hint="eastAsia" w:eastAsia="宋体" w:cs="宋体"/>
                <w:b/>
                <w:bCs/>
                <w:color w:val="auto"/>
                <w:szCs w:val="21"/>
              </w:rPr>
              <w:t>）</w:t>
            </w:r>
          </w:p>
        </w:tc>
      </w:tr>
      <w:tr w14:paraId="217D44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7" w:hRule="atLeast"/>
          <w:jc w:val="center"/>
        </w:trPr>
        <w:tc>
          <w:tcPr>
            <w:tcW w:w="173" w:type="pct"/>
            <w:noWrap/>
            <w:vAlign w:val="center"/>
          </w:tcPr>
          <w:p w14:paraId="4544107B">
            <w:pPr>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1525" w:type="pct"/>
            <w:noWrap/>
            <w:vAlign w:val="center"/>
          </w:tcPr>
          <w:p w14:paraId="6ABC1311">
            <w:pPr>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韶关市武江区养老服务中心（一期）委托运营管理项目</w:t>
            </w:r>
          </w:p>
        </w:tc>
        <w:tc>
          <w:tcPr>
            <w:tcW w:w="407" w:type="pct"/>
            <w:noWrap/>
            <w:vAlign w:val="center"/>
          </w:tcPr>
          <w:p w14:paraId="10DB83FF">
            <w:pPr>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1项</w:t>
            </w:r>
          </w:p>
        </w:tc>
        <w:tc>
          <w:tcPr>
            <w:tcW w:w="787" w:type="pct"/>
            <w:noWrap/>
            <w:vAlign w:val="center"/>
          </w:tcPr>
          <w:p w14:paraId="5AEBB53E">
            <w:pPr>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详见具体招标要求</w:t>
            </w:r>
          </w:p>
        </w:tc>
        <w:tc>
          <w:tcPr>
            <w:tcW w:w="702" w:type="pct"/>
            <w:noWrap/>
            <w:vAlign w:val="center"/>
          </w:tcPr>
          <w:p w14:paraId="076C34D5">
            <w:pPr>
              <w:jc w:val="center"/>
              <w:rPr>
                <w:rFonts w:hint="eastAsia" w:ascii="宋体" w:hAnsi="宋体" w:eastAsia="宋体" w:cs="宋体"/>
                <w:color w:val="auto"/>
                <w:kern w:val="16"/>
                <w:sz w:val="21"/>
                <w:szCs w:val="21"/>
                <w:highlight w:val="none"/>
                <w:lang w:eastAsia="zh-CN"/>
              </w:rPr>
            </w:pPr>
            <w:r>
              <w:rPr>
                <w:rFonts w:hint="eastAsia" w:ascii="宋体" w:hAnsi="宋体" w:eastAsia="宋体" w:cs="宋体"/>
                <w:color w:val="auto"/>
                <w:kern w:val="16"/>
                <w:sz w:val="21"/>
                <w:szCs w:val="21"/>
                <w:highlight w:val="none"/>
                <w:shd w:val="clear" w:color="auto" w:fill="auto"/>
                <w:lang w:eastAsia="zh-CN"/>
              </w:rPr>
              <w:t>自</w:t>
            </w:r>
            <w:r>
              <w:rPr>
                <w:rFonts w:hint="eastAsia" w:ascii="宋体" w:hAnsi="宋体" w:eastAsia="宋体" w:cs="宋体"/>
                <w:color w:val="auto"/>
                <w:kern w:val="16"/>
                <w:sz w:val="21"/>
                <w:szCs w:val="21"/>
                <w:highlight w:val="none"/>
                <w:shd w:val="clear" w:color="auto" w:fill="auto"/>
                <w:lang w:val="en-US" w:eastAsia="zh-CN"/>
              </w:rPr>
              <w:t>合同签订之日起</w:t>
            </w:r>
            <w:r>
              <w:rPr>
                <w:rFonts w:hint="eastAsia" w:ascii="宋体" w:hAnsi="宋体" w:eastAsia="宋体" w:cs="宋体"/>
                <w:color w:val="auto"/>
                <w:kern w:val="16"/>
                <w:sz w:val="21"/>
                <w:szCs w:val="21"/>
                <w:highlight w:val="none"/>
                <w:shd w:val="clear" w:color="auto" w:fill="auto"/>
                <w:lang w:eastAsia="zh-CN"/>
              </w:rPr>
              <w:t>20年</w:t>
            </w:r>
          </w:p>
        </w:tc>
        <w:tc>
          <w:tcPr>
            <w:tcW w:w="590" w:type="pct"/>
            <w:noWrap/>
            <w:vAlign w:val="center"/>
          </w:tcPr>
          <w:p w14:paraId="23513B21">
            <w:pPr>
              <w:jc w:val="center"/>
              <w:rPr>
                <w:rFonts w:hint="default" w:ascii="宋体" w:hAnsi="宋体" w:eastAsia="宋体" w:cs="宋体"/>
                <w:color w:val="auto"/>
                <w:kern w:val="16"/>
                <w:sz w:val="21"/>
                <w:szCs w:val="21"/>
                <w:highlight w:val="none"/>
                <w:shd w:val="clear" w:color="auto" w:fill="auto"/>
                <w:lang w:val="en-US" w:eastAsia="zh-CN"/>
              </w:rPr>
            </w:pPr>
            <w:r>
              <w:rPr>
                <w:rFonts w:hint="eastAsia" w:ascii="宋体" w:hAnsi="宋体" w:eastAsia="宋体" w:cs="宋体"/>
                <w:color w:val="auto"/>
                <w:kern w:val="16"/>
                <w:sz w:val="21"/>
                <w:szCs w:val="21"/>
                <w:highlight w:val="none"/>
                <w:shd w:val="clear" w:color="auto" w:fill="auto"/>
                <w:lang w:val="en-US" w:eastAsia="zh-CN"/>
              </w:rPr>
              <w:t>20509.91</w:t>
            </w:r>
          </w:p>
        </w:tc>
        <w:tc>
          <w:tcPr>
            <w:tcW w:w="813" w:type="pct"/>
            <w:noWrap/>
            <w:vAlign w:val="center"/>
          </w:tcPr>
          <w:p w14:paraId="7EAD1BC7">
            <w:pPr>
              <w:jc w:val="center"/>
              <w:rPr>
                <w:rFonts w:hint="default" w:ascii="宋体" w:hAnsi="宋体" w:eastAsia="宋体" w:cs="宋体"/>
                <w:color w:val="auto"/>
                <w:kern w:val="16"/>
                <w:sz w:val="21"/>
                <w:szCs w:val="21"/>
                <w:highlight w:val="none"/>
                <w:shd w:val="clear" w:color="auto" w:fill="auto"/>
                <w:lang w:val="en-US" w:eastAsia="zh-CN"/>
              </w:rPr>
            </w:pPr>
            <w:r>
              <w:rPr>
                <w:rFonts w:hint="eastAsia" w:ascii="宋体" w:hAnsi="宋体" w:eastAsia="宋体" w:cs="宋体"/>
                <w:color w:val="auto"/>
                <w:kern w:val="16"/>
                <w:sz w:val="21"/>
                <w:szCs w:val="21"/>
                <w:highlight w:val="none"/>
                <w:shd w:val="clear" w:color="auto" w:fill="auto"/>
                <w:lang w:val="en-US" w:eastAsia="zh-CN"/>
              </w:rPr>
              <w:t>3.1</w:t>
            </w:r>
          </w:p>
        </w:tc>
      </w:tr>
    </w:tbl>
    <w:p w14:paraId="703E58F7">
      <w:pPr>
        <w:numPr>
          <w:ilvl w:val="0"/>
          <w:numId w:val="0"/>
        </w:numPr>
        <w:spacing w:line="360" w:lineRule="auto"/>
        <w:ind w:firstLine="420" w:firstLineChars="200"/>
        <w:rPr>
          <w:rFonts w:hint="eastAsia" w:ascii="宋体" w:hAnsi="宋体" w:eastAsia="宋体" w:cs="宋体"/>
          <w:b w:val="0"/>
          <w:bCs/>
          <w:color w:val="auto"/>
          <w:kern w:val="2"/>
          <w:sz w:val="21"/>
          <w:szCs w:val="21"/>
          <w:highlight w:val="none"/>
          <w:lang w:val="en-US" w:eastAsia="zh-CN" w:bidi="ar-SA"/>
        </w:rPr>
      </w:pPr>
      <w:r>
        <w:rPr>
          <w:rFonts w:hint="eastAsia" w:ascii="宋体" w:hAnsi="宋体" w:eastAsia="宋体" w:cs="宋体"/>
          <w:b w:val="0"/>
          <w:bCs/>
          <w:color w:val="auto"/>
          <w:kern w:val="2"/>
          <w:sz w:val="21"/>
          <w:szCs w:val="21"/>
          <w:highlight w:val="none"/>
          <w:lang w:val="en-US" w:eastAsia="zh-CN" w:bidi="ar-SA"/>
        </w:rPr>
        <w:t>注：1、</w:t>
      </w:r>
      <w:r>
        <w:rPr>
          <w:rFonts w:hint="eastAsia" w:ascii="宋体" w:hAnsi="宋体" w:eastAsia="宋体" w:cs="宋体"/>
          <w:b w:val="0"/>
          <w:bCs w:val="0"/>
          <w:color w:val="auto"/>
          <w:sz w:val="21"/>
          <w:szCs w:val="21"/>
          <w:highlight w:val="none"/>
          <w:u w:val="none"/>
          <w:shd w:val="clear" w:color="auto" w:fill="auto"/>
          <w:lang w:val="en-US" w:eastAsia="zh-CN"/>
        </w:rPr>
        <w:t>投标人必须满足</w:t>
      </w:r>
      <w:r>
        <w:rPr>
          <w:rFonts w:hint="eastAsia" w:eastAsia="宋体" w:cs="宋体"/>
          <w:b/>
          <w:bCs/>
          <w:color w:val="auto"/>
          <w:sz w:val="21"/>
          <w:szCs w:val="21"/>
          <w:highlight w:val="none"/>
          <w:lang w:val="en-US" w:eastAsia="zh-CN"/>
        </w:rPr>
        <w:t>合作收益分成标准的前提下，对</w:t>
      </w:r>
      <w:r>
        <w:rPr>
          <w:rFonts w:hint="eastAsia" w:eastAsia="宋体" w:cs="宋体"/>
          <w:b/>
          <w:bCs/>
          <w:color w:val="auto"/>
          <w:sz w:val="21"/>
          <w:szCs w:val="21"/>
          <w:highlight w:val="none"/>
          <w:lang w:eastAsia="zh-CN"/>
        </w:rPr>
        <w:t>基础收益分成</w:t>
      </w:r>
      <w:r>
        <w:rPr>
          <w:rFonts w:hint="eastAsia" w:eastAsia="宋体" w:cs="宋体"/>
          <w:b/>
          <w:bCs/>
          <w:color w:val="auto"/>
          <w:sz w:val="21"/>
          <w:szCs w:val="21"/>
          <w:highlight w:val="none"/>
          <w:lang w:val="en-US" w:eastAsia="zh-CN"/>
        </w:rPr>
        <w:t>进行报价，</w:t>
      </w:r>
      <w:r>
        <w:rPr>
          <w:rFonts w:hint="eastAsia" w:ascii="宋体" w:hAnsi="宋体" w:eastAsia="宋体" w:cs="宋体"/>
          <w:b w:val="0"/>
          <w:bCs/>
          <w:color w:val="auto"/>
          <w:kern w:val="2"/>
          <w:sz w:val="21"/>
          <w:szCs w:val="21"/>
          <w:highlight w:val="none"/>
          <w:lang w:val="en-US" w:eastAsia="zh-CN" w:bidi="ar-SA"/>
        </w:rPr>
        <w:t>报价低于金额3.1元/M²/月的列为无效报价处理，各有效投标人对报价自行评估风险。</w:t>
      </w:r>
    </w:p>
    <w:p w14:paraId="724FAEE8">
      <w:pPr>
        <w:numPr>
          <w:ilvl w:val="0"/>
          <w:numId w:val="0"/>
        </w:numPr>
        <w:spacing w:line="360" w:lineRule="auto"/>
        <w:ind w:firstLine="420" w:firstLineChars="200"/>
        <w:rPr>
          <w:rFonts w:hint="eastAsia" w:ascii="宋体" w:hAnsi="宋体" w:eastAsia="宋体" w:cs="宋体"/>
          <w:b w:val="0"/>
          <w:bCs/>
          <w:color w:val="auto"/>
          <w:kern w:val="2"/>
          <w:sz w:val="21"/>
          <w:szCs w:val="21"/>
          <w:highlight w:val="none"/>
          <w:lang w:val="en-US" w:eastAsia="zh-CN" w:bidi="ar-SA"/>
        </w:rPr>
      </w:pPr>
      <w:r>
        <w:rPr>
          <w:rFonts w:hint="eastAsia" w:ascii="宋体" w:hAnsi="宋体" w:eastAsia="宋体" w:cs="宋体"/>
          <w:b w:val="0"/>
          <w:bCs/>
          <w:color w:val="auto"/>
          <w:kern w:val="2"/>
          <w:sz w:val="21"/>
          <w:szCs w:val="21"/>
          <w:highlight w:val="none"/>
          <w:lang w:val="en-US" w:eastAsia="zh-CN" w:bidi="ar-SA"/>
        </w:rPr>
        <w:t>2、计算价格评分：各有效投标人的评标价中，取最高报价作为基准价；各有效投标人的价格评分统一按照下列公式计算：价格评分＝（综合评标价÷基准价）×价格分权重。</w:t>
      </w:r>
    </w:p>
    <w:p w14:paraId="70C965F2">
      <w:pPr>
        <w:numPr>
          <w:ilvl w:val="0"/>
          <w:numId w:val="0"/>
        </w:numPr>
        <w:spacing w:line="360" w:lineRule="auto"/>
        <w:ind w:firstLine="420" w:firstLineChars="200"/>
        <w:rPr>
          <w:rFonts w:hint="eastAsia" w:ascii="宋体" w:hAnsi="宋体" w:eastAsia="宋体" w:cs="宋体"/>
          <w:b w:val="0"/>
          <w:bCs/>
          <w:color w:val="auto"/>
          <w:kern w:val="2"/>
          <w:sz w:val="21"/>
          <w:szCs w:val="21"/>
          <w:highlight w:val="none"/>
          <w:lang w:val="en-US" w:eastAsia="zh-CN" w:bidi="ar-SA"/>
        </w:rPr>
      </w:pPr>
      <w:r>
        <w:rPr>
          <w:rFonts w:hint="eastAsia" w:ascii="宋体" w:hAnsi="宋体" w:eastAsia="宋体" w:cs="宋体"/>
          <w:b w:val="0"/>
          <w:bCs/>
          <w:color w:val="auto"/>
          <w:kern w:val="2"/>
          <w:sz w:val="21"/>
          <w:szCs w:val="21"/>
          <w:highlight w:val="none"/>
          <w:lang w:val="en-US" w:eastAsia="zh-CN" w:bidi="ar-SA"/>
        </w:rPr>
        <w:t>3、投标人必须对本项目的全部内容进行报价，如有缺漏，将导致报价无效。</w:t>
      </w:r>
    </w:p>
    <w:p w14:paraId="3C341837">
      <w:pPr>
        <w:numPr>
          <w:ilvl w:val="0"/>
          <w:numId w:val="0"/>
        </w:numPr>
        <w:spacing w:line="360" w:lineRule="auto"/>
        <w:ind w:firstLine="420" w:firstLineChars="200"/>
        <w:rPr>
          <w:rFonts w:hint="eastAsia" w:ascii="宋体" w:hAnsi="宋体" w:eastAsia="宋体" w:cs="宋体"/>
          <w:b w:val="0"/>
          <w:bCs/>
          <w:color w:val="auto"/>
          <w:kern w:val="2"/>
          <w:sz w:val="21"/>
          <w:szCs w:val="21"/>
          <w:highlight w:val="none"/>
          <w:lang w:val="en-US" w:eastAsia="zh-CN" w:bidi="ar-SA"/>
        </w:rPr>
      </w:pPr>
      <w:r>
        <w:rPr>
          <w:rFonts w:hint="eastAsia" w:ascii="宋体" w:hAnsi="宋体" w:eastAsia="宋体" w:cs="宋体"/>
          <w:b w:val="0"/>
          <w:bCs/>
          <w:color w:val="auto"/>
          <w:kern w:val="2"/>
          <w:sz w:val="21"/>
          <w:szCs w:val="21"/>
          <w:highlight w:val="none"/>
          <w:lang w:val="en-US" w:eastAsia="zh-CN" w:bidi="ar-SA"/>
        </w:rPr>
        <w:t>4、报价应为人民币含税全包价(包括设施设备使用费用、相关税费、其他包干费用及合同实施过程中的应预见和不可预见费用等）。</w:t>
      </w:r>
    </w:p>
    <w:p w14:paraId="473E2F1D">
      <w:pPr>
        <w:keepNext w:val="0"/>
        <w:keepLines w:val="0"/>
        <w:pageBreakBefore w:val="0"/>
        <w:numPr>
          <w:ilvl w:val="0"/>
          <w:numId w:val="0"/>
        </w:numPr>
        <w:kinsoku/>
        <w:wordWrap/>
        <w:overflowPunct/>
        <w:topLinePunct w:val="0"/>
        <w:autoSpaceDN/>
        <w:bidi w:val="0"/>
        <w:adjustRightInd/>
        <w:snapToGrid/>
        <w:spacing w:line="440" w:lineRule="exact"/>
        <w:rPr>
          <w:rFonts w:hint="eastAsia" w:ascii="宋体" w:hAnsi="宋体" w:eastAsia="宋体" w:cs="宋体"/>
          <w:b/>
          <w:color w:val="auto"/>
          <w:sz w:val="21"/>
          <w:szCs w:val="21"/>
          <w:highlight w:val="none"/>
          <w:lang w:val="en-US" w:eastAsia="zh-CN"/>
        </w:rPr>
      </w:pPr>
      <w:r>
        <w:rPr>
          <w:rFonts w:hint="eastAsia" w:ascii="宋体" w:hAnsi="宋体" w:eastAsia="宋体" w:cs="宋体"/>
          <w:b/>
          <w:color w:val="auto"/>
          <w:kern w:val="2"/>
          <w:sz w:val="21"/>
          <w:szCs w:val="21"/>
          <w:highlight w:val="none"/>
          <w:lang w:val="en-US" w:eastAsia="zh-CN" w:bidi="ar-SA"/>
        </w:rPr>
        <w:t>二、</w:t>
      </w:r>
      <w:r>
        <w:rPr>
          <w:rFonts w:hint="eastAsia" w:ascii="宋体" w:hAnsi="宋体" w:eastAsia="宋体" w:cs="宋体"/>
          <w:b/>
          <w:color w:val="auto"/>
          <w:sz w:val="21"/>
          <w:szCs w:val="21"/>
          <w:highlight w:val="none"/>
          <w:lang w:val="en-US" w:eastAsia="zh-CN"/>
        </w:rPr>
        <w:t>项目概述</w:t>
      </w:r>
    </w:p>
    <w:p w14:paraId="2E5EC6A5">
      <w:pPr>
        <w:keepNext w:val="0"/>
        <w:keepLines w:val="0"/>
        <w:pageBreakBefore w:val="0"/>
        <w:widowControl w:val="0"/>
        <w:numPr>
          <w:ilvl w:val="0"/>
          <w:numId w:val="0"/>
        </w:numPr>
        <w:kinsoku/>
        <w:wordWrap/>
        <w:overflowPunct/>
        <w:topLinePunct w:val="0"/>
        <w:autoSpaceDE w:val="0"/>
        <w:autoSpaceDN/>
        <w:bidi w:val="0"/>
        <w:adjustRightInd/>
        <w:snapToGrid/>
        <w:spacing w:line="360" w:lineRule="auto"/>
        <w:ind w:left="0" w:leftChars="0" w:firstLine="422" w:firstLineChars="200"/>
        <w:textAlignment w:val="auto"/>
        <w:rPr>
          <w:rFonts w:hint="eastAsia" w:ascii="宋体" w:hAnsi="宋体" w:eastAsia="宋体" w:cs="宋体"/>
          <w:b/>
          <w:bCs/>
          <w:color w:val="auto"/>
          <w:sz w:val="21"/>
          <w:szCs w:val="21"/>
          <w:highlight w:val="none"/>
          <w:u w:val="none"/>
          <w:shd w:val="clear" w:color="auto" w:fill="auto"/>
          <w:lang w:eastAsia="zh-CN"/>
        </w:rPr>
      </w:pPr>
      <w:r>
        <w:rPr>
          <w:rFonts w:hint="eastAsia" w:ascii="宋体" w:hAnsi="宋体" w:eastAsia="宋体" w:cs="宋体"/>
          <w:b/>
          <w:bCs/>
          <w:color w:val="auto"/>
          <w:sz w:val="21"/>
          <w:szCs w:val="21"/>
          <w:highlight w:val="none"/>
          <w:u w:val="none"/>
          <w:shd w:val="clear" w:color="auto" w:fill="auto"/>
          <w:lang w:val="en-US" w:eastAsia="zh-CN"/>
        </w:rPr>
        <w:t>（一）项目概况</w:t>
      </w:r>
    </w:p>
    <w:p w14:paraId="14D34C87">
      <w:pPr>
        <w:keepNext w:val="0"/>
        <w:keepLines w:val="0"/>
        <w:pageBreakBefore w:val="0"/>
        <w:widowControl w:val="0"/>
        <w:kinsoku/>
        <w:wordWrap/>
        <w:overflowPunct/>
        <w:topLinePunct w:val="0"/>
        <w:autoSpaceDE w:val="0"/>
        <w:autoSpaceDN/>
        <w:bidi w:val="0"/>
        <w:adjustRightInd/>
        <w:snapToGrid/>
        <w:spacing w:line="360" w:lineRule="auto"/>
        <w:ind w:left="0" w:leftChars="0" w:firstLine="420" w:firstLineChars="200"/>
        <w:textAlignment w:val="auto"/>
        <w:rPr>
          <w:rFonts w:hint="eastAsia" w:ascii="宋体" w:hAnsi="宋体" w:eastAsia="宋体" w:cs="宋体"/>
          <w:b w:val="0"/>
          <w:bCs w:val="0"/>
          <w:color w:val="auto"/>
          <w:sz w:val="21"/>
          <w:szCs w:val="21"/>
          <w:highlight w:val="none"/>
          <w:u w:val="none"/>
          <w:shd w:val="clear" w:color="auto" w:fill="auto"/>
          <w:lang w:val="en-US" w:eastAsia="zh-CN"/>
        </w:rPr>
      </w:pPr>
      <w:r>
        <w:rPr>
          <w:rFonts w:hint="eastAsia" w:ascii="宋体" w:hAnsi="宋体" w:eastAsia="宋体" w:cs="宋体"/>
          <w:b w:val="0"/>
          <w:bCs w:val="0"/>
          <w:color w:val="auto"/>
          <w:sz w:val="21"/>
          <w:szCs w:val="21"/>
          <w:highlight w:val="none"/>
          <w:u w:val="none"/>
          <w:shd w:val="clear" w:color="auto" w:fill="auto"/>
          <w:lang w:val="en-US" w:eastAsia="zh-CN"/>
        </w:rPr>
        <w:t>韶关市武江区养老服务中心（一期）概算总投资11290.79万元，总用地面积9814平方米（折合14.72亩），总建筑面积为20509.91平方米。主要建设为7栋建筑及连廊、一层地下室，1号楼建筑面积为1283.11平方米，2号楼建筑面积为8661.99平方米，3号楼建筑面积为5423.43平方米，5号楼建筑面积为24.84平方米，6号楼建筑面积为30.66平方米，7号楼建筑面积为148.50平方米，地下室建筑面积为3323.42㎡，旅居楼建筑面积为1613.96㎡。还包括附属工程：大院周围围墙、室外活动绿化、停车场等建设内容。</w:t>
      </w:r>
    </w:p>
    <w:p w14:paraId="37135036">
      <w:pPr>
        <w:keepNext w:val="0"/>
        <w:keepLines w:val="0"/>
        <w:pageBreakBefore w:val="0"/>
        <w:widowControl w:val="0"/>
        <w:kinsoku/>
        <w:wordWrap/>
        <w:overflowPunct/>
        <w:topLinePunct w:val="0"/>
        <w:autoSpaceDE w:val="0"/>
        <w:autoSpaceDN/>
        <w:bidi w:val="0"/>
        <w:adjustRightInd/>
        <w:snapToGrid/>
        <w:spacing w:line="360" w:lineRule="auto"/>
        <w:ind w:left="0" w:leftChars="0" w:firstLine="420" w:firstLineChars="200"/>
        <w:textAlignment w:val="auto"/>
        <w:rPr>
          <w:rFonts w:hint="eastAsia" w:ascii="宋体" w:hAnsi="宋体" w:eastAsia="宋体" w:cs="宋体"/>
          <w:b w:val="0"/>
          <w:bCs w:val="0"/>
          <w:color w:val="auto"/>
          <w:sz w:val="21"/>
          <w:szCs w:val="21"/>
          <w:highlight w:val="none"/>
          <w:u w:val="none"/>
          <w:shd w:val="clear" w:color="auto" w:fill="auto"/>
          <w:lang w:val="en-US" w:eastAsia="zh-CN"/>
        </w:rPr>
      </w:pPr>
      <w:r>
        <w:rPr>
          <w:rFonts w:hint="eastAsia" w:ascii="宋体" w:hAnsi="宋体" w:eastAsia="宋体" w:cs="宋体"/>
          <w:b w:val="0"/>
          <w:bCs w:val="0"/>
          <w:color w:val="auto"/>
          <w:sz w:val="21"/>
          <w:szCs w:val="21"/>
          <w:highlight w:val="none"/>
          <w:u w:val="none"/>
          <w:shd w:val="clear" w:color="auto" w:fill="auto"/>
          <w:lang w:val="en-US" w:eastAsia="zh-CN"/>
        </w:rPr>
        <w:t>韶关市武江区养老服务中心（一期）提供465个服务床位（不含医疗床位56张），其中养老床位435张、旅居床位30张。</w:t>
      </w:r>
    </w:p>
    <w:p w14:paraId="43122C8A">
      <w:pPr>
        <w:keepNext w:val="0"/>
        <w:keepLines w:val="0"/>
        <w:pageBreakBefore w:val="0"/>
        <w:widowControl w:val="0"/>
        <w:numPr>
          <w:ilvl w:val="0"/>
          <w:numId w:val="0"/>
        </w:numPr>
        <w:kinsoku/>
        <w:wordWrap/>
        <w:overflowPunct/>
        <w:topLinePunct w:val="0"/>
        <w:autoSpaceDE w:val="0"/>
        <w:autoSpaceDN/>
        <w:bidi w:val="0"/>
        <w:adjustRightInd/>
        <w:snapToGrid/>
        <w:spacing w:line="360" w:lineRule="auto"/>
        <w:ind w:firstLine="422" w:firstLineChars="200"/>
        <w:textAlignment w:val="auto"/>
        <w:rPr>
          <w:rFonts w:hint="eastAsia" w:ascii="宋体" w:hAnsi="宋体" w:eastAsia="宋体" w:cs="宋体"/>
          <w:b/>
          <w:bCs/>
          <w:color w:val="auto"/>
          <w:sz w:val="21"/>
          <w:szCs w:val="21"/>
          <w:highlight w:val="none"/>
          <w:u w:val="none"/>
          <w:shd w:val="clear" w:color="auto" w:fill="auto"/>
          <w:lang w:val="en-US" w:eastAsia="zh-CN"/>
        </w:rPr>
      </w:pPr>
      <w:r>
        <w:rPr>
          <w:rFonts w:hint="eastAsia" w:ascii="宋体" w:hAnsi="宋体" w:eastAsia="宋体" w:cs="宋体"/>
          <w:b/>
          <w:bCs/>
          <w:color w:val="auto"/>
          <w:sz w:val="21"/>
          <w:szCs w:val="21"/>
          <w:highlight w:val="none"/>
          <w:u w:val="none"/>
          <w:shd w:val="clear" w:color="auto" w:fill="auto"/>
          <w:lang w:val="en-US" w:eastAsia="zh-CN"/>
        </w:rPr>
        <w:t>（二）运营目标与定位</w:t>
      </w:r>
    </w:p>
    <w:p w14:paraId="C67DE683">
      <w:pPr>
        <w:pStyle w:val="105"/>
        <w:keepNext w:val="0"/>
        <w:keepLines w:val="0"/>
        <w:pageBreakBefore w:val="0"/>
        <w:widowControl/>
        <w:kinsoku/>
        <w:wordWrap/>
        <w:overflowPunct/>
        <w:topLinePunct w:val="0"/>
        <w:autoSpaceDE/>
        <w:autoSpaceDN/>
        <w:bidi w:val="0"/>
        <w:adjustRightInd/>
        <w:snapToGrid/>
        <w:spacing w:before="0" w:after="0" w:line="360" w:lineRule="auto"/>
        <w:ind w:firstLine="422" w:firstLineChars="200"/>
        <w:jc w:val="both"/>
        <w:textAlignment w:val="auto"/>
        <w:outlineLvl w:val="9"/>
        <w:rPr>
          <w:rFonts w:hint="eastAsia" w:ascii="宋体" w:hAnsi="宋体" w:eastAsia="宋体" w:cs="宋体"/>
          <w:b/>
          <w:bCs/>
          <w:color w:val="auto"/>
          <w:kern w:val="2"/>
          <w:sz w:val="21"/>
          <w:szCs w:val="21"/>
          <w:highlight w:val="none"/>
          <w:u w:val="none"/>
          <w:shd w:val="clear" w:color="auto" w:fill="auto"/>
          <w:lang w:val="en-US" w:eastAsia="zh-CN" w:bidi="ar-SA"/>
        </w:rPr>
      </w:pPr>
      <w:r>
        <w:rPr>
          <w:rFonts w:hint="eastAsia" w:ascii="宋体" w:hAnsi="宋体" w:eastAsia="宋体" w:cs="宋体"/>
          <w:b/>
          <w:bCs/>
          <w:color w:val="auto"/>
          <w:kern w:val="2"/>
          <w:sz w:val="21"/>
          <w:szCs w:val="21"/>
          <w:highlight w:val="none"/>
          <w:u w:val="none"/>
          <w:shd w:val="clear" w:color="auto" w:fill="auto"/>
          <w:lang w:val="en-US" w:eastAsia="zh-CN" w:bidi="ar-SA"/>
        </w:rPr>
        <w:t>1.运营目标</w:t>
      </w:r>
    </w:p>
    <w:p w14:paraId="859B728A">
      <w:pPr>
        <w:pStyle w:val="106"/>
        <w:keepNext w:val="0"/>
        <w:keepLines w:val="0"/>
        <w:pageBreakBefore w:val="0"/>
        <w:widowControl/>
        <w:kinsoku/>
        <w:wordWrap/>
        <w:overflowPunct/>
        <w:topLinePunct w:val="0"/>
        <w:autoSpaceDE/>
        <w:autoSpaceDN/>
        <w:bidi w:val="0"/>
        <w:adjustRightInd/>
        <w:snapToGrid/>
        <w:spacing w:before="0" w:after="0" w:line="360" w:lineRule="auto"/>
        <w:ind w:firstLine="420" w:firstLineChars="200"/>
        <w:jc w:val="both"/>
        <w:textAlignment w:val="auto"/>
        <w:outlineLvl w:val="9"/>
        <w:rPr>
          <w:rFonts w:hint="eastAsia" w:ascii="宋体" w:hAnsi="宋体" w:eastAsia="宋体" w:cs="宋体"/>
          <w:b w:val="0"/>
          <w:bCs w:val="0"/>
          <w:color w:val="auto"/>
          <w:kern w:val="2"/>
          <w:sz w:val="21"/>
          <w:szCs w:val="21"/>
          <w:highlight w:val="none"/>
          <w:u w:val="none"/>
          <w:shd w:val="clear" w:color="auto" w:fill="auto"/>
          <w:lang w:val="en-US" w:eastAsia="zh-CN" w:bidi="ar-SA"/>
        </w:rPr>
      </w:pPr>
      <w:r>
        <w:rPr>
          <w:rFonts w:hint="eastAsia" w:ascii="宋体" w:hAnsi="宋体" w:eastAsia="宋体" w:cs="宋体"/>
          <w:b w:val="0"/>
          <w:bCs w:val="0"/>
          <w:color w:val="auto"/>
          <w:kern w:val="2"/>
          <w:sz w:val="21"/>
          <w:szCs w:val="21"/>
          <w:highlight w:val="none"/>
          <w:u w:val="none"/>
          <w:shd w:val="clear" w:color="auto" w:fill="auto"/>
          <w:lang w:val="en-US" w:eastAsia="zh-CN" w:bidi="ar-SA"/>
        </w:rPr>
        <w:t>打造“医养深度融合、智慧科技赋能、文旅特色鲜明”的医康养旅智慧融合标杆，构建创新型康养服务中心，提供高品质、多层次养老服务，实现公益责任履行与运营可持续发展的动态平衡。</w:t>
      </w:r>
    </w:p>
    <w:p w14:paraId="21EADE16">
      <w:pPr>
        <w:pStyle w:val="105"/>
        <w:keepNext w:val="0"/>
        <w:keepLines w:val="0"/>
        <w:pageBreakBefore w:val="0"/>
        <w:widowControl/>
        <w:kinsoku/>
        <w:wordWrap/>
        <w:overflowPunct/>
        <w:topLinePunct w:val="0"/>
        <w:autoSpaceDE/>
        <w:autoSpaceDN/>
        <w:bidi w:val="0"/>
        <w:adjustRightInd/>
        <w:snapToGrid/>
        <w:spacing w:before="0" w:after="0" w:line="360" w:lineRule="auto"/>
        <w:ind w:firstLine="422" w:firstLineChars="200"/>
        <w:jc w:val="both"/>
        <w:textAlignment w:val="auto"/>
        <w:outlineLvl w:val="9"/>
        <w:rPr>
          <w:rFonts w:hint="eastAsia" w:ascii="宋体" w:hAnsi="宋体" w:eastAsia="宋体" w:cs="宋体"/>
          <w:b/>
          <w:bCs/>
          <w:color w:val="auto"/>
          <w:kern w:val="2"/>
          <w:sz w:val="21"/>
          <w:szCs w:val="21"/>
          <w:highlight w:val="none"/>
          <w:u w:val="none"/>
          <w:shd w:val="clear" w:color="auto" w:fill="auto"/>
          <w:lang w:val="en-US" w:eastAsia="zh-CN" w:bidi="ar-SA"/>
        </w:rPr>
      </w:pPr>
      <w:r>
        <w:rPr>
          <w:rFonts w:hint="eastAsia" w:ascii="宋体" w:hAnsi="宋体" w:eastAsia="宋体" w:cs="宋体"/>
          <w:b/>
          <w:bCs/>
          <w:color w:val="auto"/>
          <w:kern w:val="2"/>
          <w:sz w:val="21"/>
          <w:szCs w:val="21"/>
          <w:highlight w:val="none"/>
          <w:u w:val="none"/>
          <w:shd w:val="clear" w:color="auto" w:fill="auto"/>
          <w:lang w:val="en-US" w:eastAsia="zh-CN" w:bidi="ar-SA"/>
        </w:rPr>
        <w:t>2.核心定位</w:t>
      </w:r>
    </w:p>
    <w:p w14:paraId="2616C03A">
      <w:pPr>
        <w:pStyle w:val="106"/>
        <w:keepNext w:val="0"/>
        <w:keepLines w:val="0"/>
        <w:pageBreakBefore w:val="0"/>
        <w:widowControl/>
        <w:kinsoku/>
        <w:wordWrap/>
        <w:overflowPunct/>
        <w:topLinePunct w:val="0"/>
        <w:autoSpaceDE/>
        <w:autoSpaceDN/>
        <w:bidi w:val="0"/>
        <w:adjustRightInd/>
        <w:snapToGrid/>
        <w:spacing w:before="0" w:after="0" w:line="360" w:lineRule="auto"/>
        <w:ind w:firstLine="420" w:firstLineChars="200"/>
        <w:jc w:val="both"/>
        <w:textAlignment w:val="auto"/>
        <w:outlineLvl w:val="9"/>
        <w:rPr>
          <w:rFonts w:hint="eastAsia" w:ascii="宋体" w:hAnsi="宋体" w:eastAsia="宋体" w:cs="宋体"/>
          <w:b w:val="0"/>
          <w:bCs w:val="0"/>
          <w:color w:val="auto"/>
          <w:kern w:val="2"/>
          <w:sz w:val="21"/>
          <w:szCs w:val="21"/>
          <w:highlight w:val="none"/>
          <w:u w:val="none"/>
          <w:shd w:val="clear" w:color="auto" w:fill="auto"/>
          <w:lang w:val="en-US" w:eastAsia="zh-CN" w:bidi="ar-SA"/>
        </w:rPr>
      </w:pPr>
      <w:r>
        <w:rPr>
          <w:rFonts w:hint="eastAsia" w:ascii="宋体" w:hAnsi="宋体" w:eastAsia="宋体" w:cs="宋体"/>
          <w:b w:val="0"/>
          <w:bCs w:val="0"/>
          <w:color w:val="auto"/>
          <w:kern w:val="2"/>
          <w:sz w:val="21"/>
          <w:szCs w:val="21"/>
          <w:highlight w:val="none"/>
          <w:u w:val="none"/>
          <w:shd w:val="clear" w:color="auto" w:fill="auto"/>
          <w:lang w:val="en-US" w:eastAsia="zh-CN" w:bidi="ar-SA"/>
        </w:rPr>
        <w:t>（1）公益兜底定位：保障100张特困集中供养床位，满足武江区特困老人基本生活与医疗护理需求，落实政府民生保障责任。</w:t>
      </w:r>
    </w:p>
    <w:p w14:paraId="49C27708">
      <w:pPr>
        <w:pStyle w:val="106"/>
        <w:keepNext w:val="0"/>
        <w:keepLines w:val="0"/>
        <w:pageBreakBefore w:val="0"/>
        <w:widowControl/>
        <w:kinsoku/>
        <w:wordWrap/>
        <w:overflowPunct/>
        <w:topLinePunct w:val="0"/>
        <w:autoSpaceDE/>
        <w:autoSpaceDN/>
        <w:bidi w:val="0"/>
        <w:adjustRightInd/>
        <w:snapToGrid/>
        <w:spacing w:before="0" w:after="0" w:line="360" w:lineRule="auto"/>
        <w:ind w:firstLine="420" w:firstLineChars="200"/>
        <w:jc w:val="both"/>
        <w:textAlignment w:val="auto"/>
        <w:outlineLvl w:val="9"/>
        <w:rPr>
          <w:rFonts w:hint="eastAsia" w:ascii="宋体" w:hAnsi="宋体" w:eastAsia="宋体" w:cs="宋体"/>
          <w:b w:val="0"/>
          <w:bCs w:val="0"/>
          <w:color w:val="auto"/>
          <w:kern w:val="2"/>
          <w:sz w:val="21"/>
          <w:szCs w:val="21"/>
          <w:highlight w:val="none"/>
          <w:u w:val="none"/>
          <w:shd w:val="clear" w:color="auto" w:fill="auto"/>
          <w:lang w:val="en-US" w:eastAsia="zh-CN" w:bidi="ar-SA"/>
        </w:rPr>
      </w:pPr>
      <w:r>
        <w:rPr>
          <w:rFonts w:hint="eastAsia" w:ascii="宋体" w:hAnsi="宋体" w:eastAsia="宋体" w:cs="宋体"/>
          <w:b w:val="0"/>
          <w:bCs w:val="0"/>
          <w:color w:val="auto"/>
          <w:kern w:val="2"/>
          <w:sz w:val="21"/>
          <w:szCs w:val="21"/>
          <w:highlight w:val="none"/>
          <w:u w:val="none"/>
          <w:shd w:val="clear" w:color="auto" w:fill="auto"/>
          <w:lang w:val="en-US" w:eastAsia="zh-CN" w:bidi="ar-SA"/>
        </w:rPr>
        <w:t>（2）多元服务定位：面向本地及周边老年群体，提供普惠型、市场标准型、专业照护型（半失能/失能/失智）、旅居/活力长者型四类服务，覆盖不同年龄、健康状况与经济水平的养老需求。</w:t>
      </w:r>
    </w:p>
    <w:p w14:paraId="2E013180">
      <w:pPr>
        <w:pStyle w:val="106"/>
        <w:keepNext w:val="0"/>
        <w:keepLines w:val="0"/>
        <w:pageBreakBefore w:val="0"/>
        <w:widowControl/>
        <w:kinsoku/>
        <w:wordWrap/>
        <w:overflowPunct/>
        <w:topLinePunct w:val="0"/>
        <w:autoSpaceDE/>
        <w:autoSpaceDN/>
        <w:bidi w:val="0"/>
        <w:adjustRightInd/>
        <w:snapToGrid/>
        <w:spacing w:before="0" w:after="0" w:line="360" w:lineRule="auto"/>
        <w:ind w:firstLine="420" w:firstLineChars="200"/>
        <w:jc w:val="both"/>
        <w:textAlignment w:val="auto"/>
        <w:outlineLvl w:val="9"/>
        <w:rPr>
          <w:rFonts w:hint="eastAsia" w:ascii="宋体" w:hAnsi="宋体" w:eastAsia="宋体" w:cs="宋体"/>
          <w:b w:val="0"/>
          <w:bCs w:val="0"/>
          <w:color w:val="auto"/>
          <w:kern w:val="2"/>
          <w:sz w:val="21"/>
          <w:szCs w:val="21"/>
          <w:highlight w:val="none"/>
          <w:u w:val="none"/>
          <w:shd w:val="clear" w:color="auto" w:fill="auto"/>
          <w:lang w:val="en-US" w:eastAsia="zh-CN" w:bidi="ar-SA"/>
        </w:rPr>
      </w:pPr>
      <w:r>
        <w:rPr>
          <w:rFonts w:hint="eastAsia" w:ascii="宋体" w:hAnsi="宋体" w:eastAsia="宋体" w:cs="宋体"/>
          <w:b w:val="0"/>
          <w:bCs w:val="0"/>
          <w:color w:val="auto"/>
          <w:kern w:val="2"/>
          <w:sz w:val="21"/>
          <w:szCs w:val="21"/>
          <w:highlight w:val="none"/>
          <w:u w:val="none"/>
          <w:shd w:val="clear" w:color="auto" w:fill="auto"/>
          <w:lang w:val="en-US" w:eastAsia="zh-CN" w:bidi="ar-SA"/>
        </w:rPr>
        <w:t>（3）融合发展定位：依托本地大中型医院构建“基础诊疗+康复护理+智慧管理”三位一体健康服务体系；结合韶关丹霞山地貌、瑶族风情等地域文化，打造“医中有康、养中有游”的特色体验。</w:t>
      </w:r>
    </w:p>
    <w:p w14:paraId="4A4196FF">
      <w:pPr>
        <w:pStyle w:val="106"/>
        <w:keepNext w:val="0"/>
        <w:keepLines w:val="0"/>
        <w:pageBreakBefore w:val="0"/>
        <w:widowControl/>
        <w:kinsoku/>
        <w:wordWrap/>
        <w:overflowPunct/>
        <w:topLinePunct w:val="0"/>
        <w:autoSpaceDE/>
        <w:autoSpaceDN/>
        <w:bidi w:val="0"/>
        <w:adjustRightInd/>
        <w:snapToGrid/>
        <w:spacing w:before="0" w:after="0" w:line="360" w:lineRule="auto"/>
        <w:ind w:firstLine="420" w:firstLineChars="200"/>
        <w:jc w:val="both"/>
        <w:textAlignment w:val="auto"/>
        <w:outlineLvl w:val="9"/>
        <w:rPr>
          <w:rFonts w:hint="eastAsia" w:ascii="宋体" w:hAnsi="宋体" w:eastAsia="宋体" w:cs="宋体"/>
          <w:b/>
          <w:bCs/>
          <w:color w:val="auto"/>
          <w:sz w:val="21"/>
          <w:szCs w:val="21"/>
          <w:highlight w:val="none"/>
          <w:u w:val="none"/>
          <w:shd w:val="clear" w:color="auto" w:fill="auto"/>
          <w:lang w:val="en-US" w:eastAsia="zh-CN"/>
        </w:rPr>
      </w:pPr>
      <w:r>
        <w:rPr>
          <w:rFonts w:hint="eastAsia" w:ascii="宋体" w:hAnsi="宋体" w:eastAsia="宋体" w:cs="宋体"/>
          <w:b w:val="0"/>
          <w:bCs w:val="0"/>
          <w:color w:val="auto"/>
          <w:kern w:val="2"/>
          <w:sz w:val="21"/>
          <w:szCs w:val="21"/>
          <w:highlight w:val="none"/>
          <w:u w:val="none"/>
          <w:shd w:val="clear" w:color="auto" w:fill="auto"/>
          <w:lang w:val="en-US" w:eastAsia="zh-CN" w:bidi="ar-SA"/>
        </w:rPr>
        <w:t>（4）专业示范定位：将1号楼改造为失智老人照护专区，推行“非药物疗法+个性化记忆照护”，打造区域专业照护样板。</w:t>
      </w:r>
    </w:p>
    <w:p w14:paraId="36D5D1BD">
      <w:pPr>
        <w:keepNext w:val="0"/>
        <w:keepLines w:val="0"/>
        <w:pageBreakBefore w:val="0"/>
        <w:widowControl w:val="0"/>
        <w:numPr>
          <w:ilvl w:val="0"/>
          <w:numId w:val="0"/>
        </w:numPr>
        <w:kinsoku/>
        <w:wordWrap/>
        <w:overflowPunct/>
        <w:topLinePunct w:val="0"/>
        <w:autoSpaceDN/>
        <w:bidi w:val="0"/>
        <w:adjustRightInd/>
        <w:snapToGrid/>
        <w:spacing w:line="440" w:lineRule="exact"/>
        <w:ind w:firstLine="422" w:firstLineChars="200"/>
        <w:textAlignment w:val="auto"/>
        <w:rPr>
          <w:rFonts w:hint="default" w:ascii="宋体" w:hAnsi="宋体" w:eastAsia="宋体" w:cs="宋体"/>
          <w:b/>
          <w:bCs/>
          <w:color w:val="auto"/>
          <w:sz w:val="21"/>
          <w:szCs w:val="21"/>
          <w:highlight w:val="none"/>
          <w:u w:val="none"/>
          <w:shd w:val="clear" w:color="auto" w:fill="auto"/>
          <w:lang w:val="en-US" w:eastAsia="zh-CN"/>
        </w:rPr>
      </w:pPr>
      <w:r>
        <w:rPr>
          <w:rFonts w:hint="eastAsia" w:ascii="宋体" w:hAnsi="宋体" w:eastAsia="宋体" w:cs="宋体"/>
          <w:b/>
          <w:bCs/>
          <w:color w:val="auto"/>
          <w:sz w:val="21"/>
          <w:szCs w:val="21"/>
          <w:highlight w:val="none"/>
          <w:u w:val="none"/>
          <w:shd w:val="clear" w:color="auto" w:fill="auto"/>
          <w:lang w:val="en-US" w:eastAsia="zh-CN"/>
        </w:rPr>
        <w:t>三、</w:t>
      </w:r>
      <w:r>
        <w:rPr>
          <w:rFonts w:hint="eastAsia" w:ascii="宋体" w:hAnsi="宋体" w:eastAsia="宋体" w:cs="宋体"/>
          <w:b/>
          <w:bCs/>
          <w:color w:val="auto"/>
          <w:sz w:val="21"/>
          <w:szCs w:val="21"/>
          <w:highlight w:val="none"/>
          <w:u w:val="none"/>
          <w:shd w:val="clear" w:color="auto" w:fill="auto"/>
        </w:rPr>
        <w:t>服务范围</w:t>
      </w:r>
      <w:r>
        <w:rPr>
          <w:rFonts w:hint="eastAsia" w:ascii="宋体" w:hAnsi="宋体" w:eastAsia="宋体" w:cs="宋体"/>
          <w:b/>
          <w:bCs/>
          <w:color w:val="auto"/>
          <w:sz w:val="21"/>
          <w:szCs w:val="21"/>
          <w:highlight w:val="none"/>
          <w:u w:val="none"/>
          <w:shd w:val="clear" w:color="auto" w:fill="auto"/>
          <w:lang w:eastAsia="zh-CN"/>
        </w:rPr>
        <w:t>、</w:t>
      </w:r>
      <w:r>
        <w:rPr>
          <w:rFonts w:hint="eastAsia" w:ascii="宋体" w:hAnsi="宋体" w:eastAsia="宋体" w:cs="宋体"/>
          <w:b/>
          <w:bCs/>
          <w:color w:val="auto"/>
          <w:sz w:val="21"/>
          <w:szCs w:val="21"/>
          <w:highlight w:val="none"/>
          <w:u w:val="none"/>
          <w:shd w:val="clear" w:color="auto" w:fill="auto"/>
        </w:rPr>
        <w:t>目标</w:t>
      </w:r>
      <w:r>
        <w:rPr>
          <w:rFonts w:hint="eastAsia" w:ascii="宋体" w:hAnsi="宋体" w:eastAsia="宋体" w:cs="宋体"/>
          <w:b/>
          <w:bCs/>
          <w:color w:val="auto"/>
          <w:sz w:val="21"/>
          <w:szCs w:val="21"/>
          <w:highlight w:val="none"/>
          <w:u w:val="none"/>
          <w:shd w:val="clear" w:color="auto" w:fill="auto"/>
          <w:lang w:val="en-US" w:eastAsia="zh-CN"/>
        </w:rPr>
        <w:t>及运营规范</w:t>
      </w:r>
    </w:p>
    <w:p w14:paraId="2273A729">
      <w:pPr>
        <w:pStyle w:val="91"/>
        <w:keepNext w:val="0"/>
        <w:keepLines w:val="0"/>
        <w:pageBreakBefore w:val="0"/>
        <w:kinsoku/>
        <w:wordWrap/>
        <w:overflowPunct/>
        <w:topLinePunct w:val="0"/>
        <w:autoSpaceDE/>
        <w:autoSpaceDN/>
        <w:bidi w:val="0"/>
        <w:adjustRightInd/>
        <w:snapToGrid/>
        <w:spacing w:beforeAutospacing="0" w:afterAutospacing="0" w:line="440" w:lineRule="exact"/>
        <w:ind w:firstLine="420" w:firstLineChars="200"/>
        <w:textAlignment w:val="auto"/>
        <w:outlineLvl w:val="9"/>
        <w:rPr>
          <w:rFonts w:hint="eastAsia" w:ascii="宋体" w:hAnsi="宋体" w:eastAsia="宋体" w:cs="宋体"/>
          <w:color w:val="auto"/>
          <w:sz w:val="21"/>
          <w:szCs w:val="21"/>
          <w:highlight w:val="none"/>
        </w:rPr>
      </w:pPr>
      <w:bookmarkStart w:id="31" w:name="_Toc16587"/>
      <w:r>
        <w:rPr>
          <w:rFonts w:hint="eastAsia" w:ascii="宋体" w:hAnsi="宋体" w:eastAsia="宋体" w:cs="宋体"/>
          <w:color w:val="auto"/>
          <w:sz w:val="21"/>
          <w:szCs w:val="21"/>
          <w:highlight w:val="none"/>
          <w:lang w:eastAsia="zh-CN"/>
        </w:rPr>
        <w:t>韶关市武江区养老服务中心（一期）</w:t>
      </w:r>
      <w:r>
        <w:rPr>
          <w:rFonts w:hint="eastAsia" w:ascii="宋体" w:hAnsi="宋体" w:eastAsia="宋体" w:cs="宋体"/>
          <w:color w:val="auto"/>
          <w:sz w:val="21"/>
          <w:szCs w:val="21"/>
          <w:highlight w:val="none"/>
        </w:rPr>
        <w:t>所有权与运营权分离，所有权为</w:t>
      </w:r>
      <w:r>
        <w:rPr>
          <w:rFonts w:hint="eastAsia" w:ascii="宋体" w:hAnsi="宋体" w:eastAsia="宋体" w:cs="宋体"/>
          <w:color w:val="auto"/>
          <w:sz w:val="21"/>
          <w:szCs w:val="21"/>
          <w:highlight w:val="none"/>
          <w:lang w:val="en-US" w:eastAsia="zh-CN"/>
        </w:rPr>
        <w:t>武江区</w:t>
      </w:r>
      <w:r>
        <w:rPr>
          <w:rFonts w:hint="eastAsia" w:ascii="宋体" w:hAnsi="宋体" w:eastAsia="宋体" w:cs="宋体"/>
          <w:color w:val="auto"/>
          <w:sz w:val="21"/>
          <w:szCs w:val="21"/>
          <w:highlight w:val="none"/>
        </w:rPr>
        <w:t>人民政府所有（由</w:t>
      </w:r>
      <w:r>
        <w:rPr>
          <w:rFonts w:hint="eastAsia" w:ascii="宋体" w:hAnsi="宋体" w:eastAsia="宋体" w:cs="宋体"/>
          <w:color w:val="auto"/>
          <w:sz w:val="21"/>
          <w:szCs w:val="21"/>
          <w:highlight w:val="none"/>
          <w:lang w:val="en-US" w:eastAsia="zh-CN"/>
        </w:rPr>
        <w:t>招标人</w:t>
      </w:r>
      <w:r>
        <w:rPr>
          <w:rFonts w:hint="eastAsia" w:ascii="宋体" w:hAnsi="宋体" w:eastAsia="宋体" w:cs="宋体"/>
          <w:color w:val="auto"/>
          <w:sz w:val="21"/>
          <w:szCs w:val="21"/>
          <w:highlight w:val="none"/>
        </w:rPr>
        <w:t>代为持有权属并作为合同主体），</w:t>
      </w:r>
      <w:r>
        <w:rPr>
          <w:rFonts w:hint="eastAsia" w:ascii="宋体" w:hAnsi="宋体" w:eastAsia="宋体" w:cs="宋体"/>
          <w:color w:val="auto"/>
          <w:sz w:val="21"/>
          <w:szCs w:val="21"/>
          <w:highlight w:val="none"/>
          <w:lang w:eastAsia="zh-CN"/>
        </w:rPr>
        <w:t>中标人</w:t>
      </w:r>
      <w:r>
        <w:rPr>
          <w:rFonts w:hint="eastAsia" w:ascii="宋体" w:hAnsi="宋体" w:eastAsia="宋体" w:cs="宋体"/>
          <w:color w:val="auto"/>
          <w:sz w:val="21"/>
          <w:szCs w:val="21"/>
          <w:highlight w:val="none"/>
        </w:rPr>
        <w:t>承接</w:t>
      </w:r>
      <w:r>
        <w:rPr>
          <w:rFonts w:hint="eastAsia" w:ascii="宋体" w:hAnsi="宋体" w:eastAsia="宋体" w:cs="宋体"/>
          <w:color w:val="auto"/>
          <w:sz w:val="21"/>
          <w:szCs w:val="21"/>
          <w:highlight w:val="none"/>
          <w:lang w:eastAsia="zh-CN"/>
        </w:rPr>
        <w:t>韶关市武江区养老服务中心（一期）</w:t>
      </w:r>
      <w:r>
        <w:rPr>
          <w:rFonts w:hint="eastAsia" w:ascii="宋体" w:hAnsi="宋体" w:eastAsia="宋体" w:cs="宋体"/>
          <w:color w:val="auto"/>
          <w:sz w:val="21"/>
          <w:szCs w:val="21"/>
          <w:highlight w:val="none"/>
        </w:rPr>
        <w:t>的运营管理权，通过本合同明确</w:t>
      </w:r>
      <w:r>
        <w:rPr>
          <w:rFonts w:hint="eastAsia" w:ascii="宋体" w:hAnsi="宋体" w:eastAsia="宋体" w:cs="宋体"/>
          <w:color w:val="auto"/>
          <w:sz w:val="21"/>
          <w:szCs w:val="21"/>
          <w:highlight w:val="none"/>
          <w:lang w:val="en-US" w:eastAsia="zh-CN"/>
        </w:rPr>
        <w:t>招标人</w:t>
      </w: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lang w:val="en-US" w:eastAsia="zh-CN"/>
        </w:rPr>
        <w:t>中标人</w:t>
      </w:r>
      <w:r>
        <w:rPr>
          <w:rFonts w:hint="eastAsia" w:ascii="宋体" w:hAnsi="宋体" w:eastAsia="宋体" w:cs="宋体"/>
          <w:color w:val="auto"/>
          <w:sz w:val="21"/>
          <w:szCs w:val="21"/>
          <w:highlight w:val="none"/>
        </w:rPr>
        <w:t>双方的权利与义务，为政府供养人员以及社会有需求的老人提供养老、托老、医疗康复、介入护理等优质服务，努力实现</w:t>
      </w:r>
      <w:r>
        <w:rPr>
          <w:rFonts w:hint="eastAsia" w:ascii="宋体" w:hAnsi="宋体" w:eastAsia="宋体" w:cs="宋体"/>
          <w:color w:val="auto"/>
          <w:sz w:val="21"/>
          <w:szCs w:val="21"/>
          <w:highlight w:val="none"/>
          <w:lang w:eastAsia="zh-CN"/>
        </w:rPr>
        <w:t>韶关市武江区养老服务中心（一期）</w:t>
      </w:r>
      <w:r>
        <w:rPr>
          <w:rFonts w:hint="eastAsia" w:ascii="宋体" w:hAnsi="宋体" w:eastAsia="宋体" w:cs="宋体"/>
          <w:color w:val="auto"/>
          <w:sz w:val="21"/>
          <w:szCs w:val="21"/>
          <w:highlight w:val="none"/>
        </w:rPr>
        <w:t>的长期健康稳定发展，不断满足入住老年人多层次、多样化的服务需求。</w:t>
      </w:r>
    </w:p>
    <w:p w14:paraId="56923AD1">
      <w:pPr>
        <w:pStyle w:val="91"/>
        <w:keepNext w:val="0"/>
        <w:keepLines w:val="0"/>
        <w:pageBreakBefore w:val="0"/>
        <w:kinsoku/>
        <w:wordWrap/>
        <w:overflowPunct/>
        <w:topLinePunct w:val="0"/>
        <w:autoSpaceDE/>
        <w:autoSpaceDN/>
        <w:bidi w:val="0"/>
        <w:adjustRightInd/>
        <w:snapToGrid/>
        <w:spacing w:beforeAutospacing="0" w:afterAutospacing="0" w:line="440" w:lineRule="exact"/>
        <w:ind w:firstLine="420" w:firstLineChars="200"/>
        <w:textAlignment w:val="auto"/>
        <w:outlineLvl w:val="9"/>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eastAsia="zh-CN"/>
        </w:rPr>
        <w:t>韶关市武江区养老服务中心（一期）</w:t>
      </w:r>
      <w:r>
        <w:rPr>
          <w:rFonts w:hint="eastAsia" w:ascii="宋体" w:hAnsi="宋体" w:eastAsia="宋体" w:cs="宋体"/>
          <w:color w:val="auto"/>
          <w:sz w:val="21"/>
          <w:szCs w:val="21"/>
          <w:highlight w:val="none"/>
        </w:rPr>
        <w:t>提供</w:t>
      </w:r>
      <w:r>
        <w:rPr>
          <w:rFonts w:hint="eastAsia" w:ascii="宋体" w:hAnsi="宋体" w:eastAsia="宋体" w:cs="宋体"/>
          <w:color w:val="auto"/>
          <w:sz w:val="21"/>
          <w:szCs w:val="21"/>
          <w:highlight w:val="none"/>
          <w:lang w:val="en-US" w:eastAsia="zh-CN"/>
        </w:rPr>
        <w:t>465</w:t>
      </w:r>
      <w:r>
        <w:rPr>
          <w:rFonts w:hint="eastAsia" w:ascii="宋体" w:hAnsi="宋体" w:eastAsia="宋体" w:cs="宋体"/>
          <w:color w:val="auto"/>
          <w:sz w:val="21"/>
          <w:szCs w:val="21"/>
          <w:highlight w:val="none"/>
        </w:rPr>
        <w:t>个服务床位</w:t>
      </w:r>
      <w:r>
        <w:rPr>
          <w:rFonts w:hint="eastAsia" w:ascii="宋体" w:hAnsi="宋体" w:eastAsia="宋体" w:cs="宋体"/>
          <w:b w:val="0"/>
          <w:bCs w:val="0"/>
          <w:color w:val="auto"/>
          <w:sz w:val="21"/>
          <w:szCs w:val="21"/>
          <w:highlight w:val="none"/>
          <w:u w:val="none"/>
          <w:shd w:val="clear" w:color="auto" w:fill="auto"/>
          <w:lang w:val="en-US" w:eastAsia="zh-CN"/>
        </w:rPr>
        <w:t>（不含医疗床位56张）</w:t>
      </w:r>
      <w:r>
        <w:rPr>
          <w:rFonts w:hint="eastAsia" w:ascii="宋体" w:hAnsi="宋体" w:eastAsia="宋体" w:cs="宋体"/>
          <w:color w:val="auto"/>
          <w:sz w:val="21"/>
          <w:szCs w:val="21"/>
          <w:highlight w:val="none"/>
        </w:rPr>
        <w:t>，其中</w:t>
      </w:r>
      <w:r>
        <w:rPr>
          <w:rFonts w:hint="eastAsia" w:ascii="宋体" w:hAnsi="宋体" w:eastAsia="宋体" w:cs="宋体"/>
          <w:color w:val="auto"/>
          <w:sz w:val="21"/>
          <w:szCs w:val="21"/>
          <w:highlight w:val="none"/>
          <w:lang w:val="en-US" w:eastAsia="zh-CN"/>
        </w:rPr>
        <w:t>21</w:t>
      </w:r>
      <w:r>
        <w:rPr>
          <w:rFonts w:hint="eastAsia" w:ascii="宋体" w:hAnsi="宋体" w:eastAsia="宋体" w:cs="宋体"/>
          <w:color w:val="auto"/>
          <w:sz w:val="21"/>
          <w:szCs w:val="21"/>
          <w:highlight w:val="none"/>
        </w:rPr>
        <w:t>%为政府兜底床位（</w:t>
      </w:r>
      <w:r>
        <w:rPr>
          <w:rFonts w:hint="eastAsia" w:ascii="宋体" w:hAnsi="宋体" w:eastAsia="宋体" w:cs="宋体"/>
          <w:color w:val="auto"/>
          <w:sz w:val="21"/>
          <w:szCs w:val="21"/>
          <w:highlight w:val="none"/>
          <w:lang w:val="en-US" w:eastAsia="zh-CN"/>
        </w:rPr>
        <w:t>约100</w:t>
      </w:r>
      <w:r>
        <w:rPr>
          <w:rFonts w:hint="eastAsia" w:ascii="宋体" w:hAnsi="宋体" w:eastAsia="宋体" w:cs="宋体"/>
          <w:color w:val="auto"/>
          <w:sz w:val="21"/>
          <w:szCs w:val="21"/>
          <w:highlight w:val="none"/>
        </w:rPr>
        <w:t>个床位）</w:t>
      </w:r>
      <w:r>
        <w:rPr>
          <w:rFonts w:hint="eastAsia" w:ascii="宋体" w:hAnsi="宋体" w:eastAsia="宋体" w:cs="宋体"/>
          <w:color w:val="auto"/>
          <w:sz w:val="21"/>
          <w:szCs w:val="21"/>
          <w:highlight w:val="none"/>
          <w:lang w:val="en-US" w:eastAsia="zh-CN"/>
        </w:rPr>
        <w:t>用于收住需要政府兜底保障的特困老人，此部分床位收住的特困老人，除政府支付给中标人的韶关市特困人员基本生活供养金和照料护理标准费外，政府不再额外支付任何服务费用</w:t>
      </w: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lang w:val="en-US" w:eastAsia="zh-CN"/>
        </w:rPr>
        <w:t>32</w:t>
      </w:r>
      <w:r>
        <w:rPr>
          <w:rFonts w:hint="eastAsia" w:ascii="宋体" w:hAnsi="宋体" w:eastAsia="宋体" w:cs="宋体"/>
          <w:color w:val="auto"/>
          <w:sz w:val="21"/>
          <w:szCs w:val="21"/>
          <w:highlight w:val="none"/>
        </w:rPr>
        <w:t>%为</w:t>
      </w:r>
      <w:r>
        <w:rPr>
          <w:rFonts w:hint="eastAsia" w:ascii="宋体" w:hAnsi="宋体" w:eastAsia="宋体" w:cs="宋体"/>
          <w:color w:val="auto"/>
          <w:sz w:val="21"/>
          <w:szCs w:val="21"/>
          <w:highlight w:val="none"/>
          <w:lang w:val="en-US" w:eastAsia="zh-CN"/>
        </w:rPr>
        <w:t>普惠性</w:t>
      </w:r>
      <w:r>
        <w:rPr>
          <w:rFonts w:hint="eastAsia" w:ascii="宋体" w:hAnsi="宋体" w:eastAsia="宋体" w:cs="宋体"/>
          <w:color w:val="auto"/>
          <w:sz w:val="21"/>
          <w:szCs w:val="21"/>
          <w:highlight w:val="none"/>
        </w:rPr>
        <w:t>床位（</w:t>
      </w:r>
      <w:r>
        <w:rPr>
          <w:rFonts w:hint="eastAsia" w:ascii="宋体" w:hAnsi="宋体" w:eastAsia="宋体" w:cs="宋体"/>
          <w:color w:val="auto"/>
          <w:sz w:val="21"/>
          <w:szCs w:val="21"/>
          <w:highlight w:val="none"/>
          <w:lang w:val="en-US" w:eastAsia="zh-CN"/>
        </w:rPr>
        <w:t>约150</w:t>
      </w:r>
      <w:r>
        <w:rPr>
          <w:rFonts w:hint="eastAsia" w:ascii="宋体" w:hAnsi="宋体" w:eastAsia="宋体" w:cs="宋体"/>
          <w:color w:val="auto"/>
          <w:sz w:val="21"/>
          <w:szCs w:val="21"/>
          <w:highlight w:val="none"/>
        </w:rPr>
        <w:t>个床位）</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面向武江区户籍老人，优惠入住</w:t>
      </w: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lang w:val="en-US" w:eastAsia="zh-CN"/>
        </w:rPr>
        <w:t>41</w:t>
      </w:r>
      <w:r>
        <w:rPr>
          <w:rFonts w:hint="eastAsia" w:ascii="宋体" w:hAnsi="宋体" w:eastAsia="宋体" w:cs="宋体"/>
          <w:color w:val="auto"/>
          <w:sz w:val="21"/>
          <w:szCs w:val="21"/>
          <w:highlight w:val="none"/>
        </w:rPr>
        <w:t>%为社会化运营单位自营床位（</w:t>
      </w:r>
      <w:r>
        <w:rPr>
          <w:rFonts w:hint="eastAsia" w:ascii="宋体" w:hAnsi="宋体" w:eastAsia="宋体" w:cs="宋体"/>
          <w:color w:val="auto"/>
          <w:sz w:val="21"/>
          <w:szCs w:val="21"/>
          <w:highlight w:val="none"/>
          <w:lang w:val="en-US" w:eastAsia="zh-CN"/>
        </w:rPr>
        <w:t>约185</w:t>
      </w:r>
      <w:r>
        <w:rPr>
          <w:rFonts w:hint="eastAsia" w:ascii="宋体" w:hAnsi="宋体" w:eastAsia="宋体" w:cs="宋体"/>
          <w:color w:val="auto"/>
          <w:sz w:val="21"/>
          <w:szCs w:val="21"/>
          <w:highlight w:val="none"/>
        </w:rPr>
        <w:t>个床位）可面向社会有需求的老人提供服务，优先为失能、失智、独居、留守、计划生育特殊家庭老人等提供照护服务</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6%为旅居床位（约30个床位）面向社会有旅居养老需求的老人，以短期休养、休闲旅居相结合的模式提供服务，兼顾养老照料与休闲体验。根据实际情况，允许合理合规增加床位。</w:t>
      </w:r>
    </w:p>
    <w:p w14:paraId="3707F603">
      <w:pPr>
        <w:pStyle w:val="91"/>
        <w:keepNext w:val="0"/>
        <w:keepLines w:val="0"/>
        <w:pageBreakBefore w:val="0"/>
        <w:kinsoku/>
        <w:wordWrap/>
        <w:overflowPunct/>
        <w:topLinePunct w:val="0"/>
        <w:autoSpaceDE/>
        <w:autoSpaceDN/>
        <w:bidi w:val="0"/>
        <w:adjustRightInd/>
        <w:snapToGrid/>
        <w:spacing w:beforeAutospacing="0" w:afterAutospacing="0" w:line="440" w:lineRule="exact"/>
        <w:ind w:firstLine="420" w:firstLineChars="200"/>
        <w:textAlignment w:val="auto"/>
        <w:outlineLvl w:val="9"/>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若政府兜底对象增加，需要使用社会化床位时，则超出兜底性床位的部分，</w:t>
      </w:r>
      <w:r>
        <w:rPr>
          <w:rFonts w:hint="eastAsia" w:ascii="宋体" w:hAnsi="宋体" w:eastAsia="宋体" w:cs="宋体"/>
          <w:color w:val="auto"/>
          <w:sz w:val="21"/>
          <w:szCs w:val="21"/>
          <w:highlight w:val="none"/>
          <w:lang w:val="en-US" w:eastAsia="zh-CN"/>
        </w:rPr>
        <w:t>区</w:t>
      </w:r>
      <w:r>
        <w:rPr>
          <w:rFonts w:hint="eastAsia" w:ascii="宋体" w:hAnsi="宋体" w:eastAsia="宋体" w:cs="宋体"/>
          <w:color w:val="auto"/>
          <w:sz w:val="21"/>
          <w:szCs w:val="21"/>
          <w:highlight w:val="none"/>
        </w:rPr>
        <w:t>财政局需按普惠性床位的收费标准补给</w:t>
      </w:r>
      <w:r>
        <w:rPr>
          <w:rFonts w:hint="eastAsia" w:ascii="宋体" w:hAnsi="宋体" w:eastAsia="宋体" w:cs="宋体"/>
          <w:color w:val="auto"/>
          <w:sz w:val="21"/>
          <w:szCs w:val="21"/>
          <w:highlight w:val="none"/>
          <w:lang w:eastAsia="zh-CN"/>
        </w:rPr>
        <w:t>中标人</w:t>
      </w:r>
      <w:r>
        <w:rPr>
          <w:rFonts w:hint="eastAsia" w:ascii="宋体" w:hAnsi="宋体" w:eastAsia="宋体" w:cs="宋体"/>
          <w:color w:val="auto"/>
          <w:sz w:val="21"/>
          <w:szCs w:val="21"/>
          <w:highlight w:val="none"/>
        </w:rPr>
        <w:t>差额，普惠性收费标准原则上不高于上一年度我</w:t>
      </w:r>
      <w:r>
        <w:rPr>
          <w:rFonts w:hint="eastAsia" w:ascii="宋体" w:hAnsi="宋体" w:eastAsia="宋体" w:cs="宋体"/>
          <w:color w:val="auto"/>
          <w:sz w:val="21"/>
          <w:szCs w:val="21"/>
          <w:highlight w:val="none"/>
          <w:lang w:val="en-US" w:eastAsia="zh-CN"/>
        </w:rPr>
        <w:t>区</w:t>
      </w:r>
      <w:r>
        <w:rPr>
          <w:rFonts w:hint="eastAsia" w:ascii="宋体" w:hAnsi="宋体" w:eastAsia="宋体" w:cs="宋体"/>
          <w:color w:val="auto"/>
          <w:sz w:val="21"/>
          <w:szCs w:val="21"/>
          <w:highlight w:val="none"/>
        </w:rPr>
        <w:t>城镇人均可支配收入的1.3倍。</w:t>
      </w:r>
    </w:p>
    <w:p w14:paraId="7BC50680">
      <w:pPr>
        <w:pStyle w:val="91"/>
        <w:keepNext w:val="0"/>
        <w:keepLines w:val="0"/>
        <w:pageBreakBefore w:val="0"/>
        <w:kinsoku/>
        <w:wordWrap/>
        <w:overflowPunct/>
        <w:topLinePunct w:val="0"/>
        <w:autoSpaceDE/>
        <w:autoSpaceDN/>
        <w:bidi w:val="0"/>
        <w:adjustRightInd/>
        <w:snapToGrid/>
        <w:spacing w:beforeAutospacing="0" w:afterAutospacing="0" w:line="440" w:lineRule="exact"/>
        <w:ind w:firstLine="420" w:firstLineChars="200"/>
        <w:textAlignment w:val="auto"/>
        <w:outlineLvl w:val="9"/>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eastAsia="zh-CN"/>
        </w:rPr>
        <w:t>韶关市武江区养老服务中心（一期）</w:t>
      </w:r>
      <w:r>
        <w:rPr>
          <w:rFonts w:hint="eastAsia" w:ascii="宋体" w:hAnsi="宋体" w:eastAsia="宋体" w:cs="宋体"/>
          <w:color w:val="auto"/>
          <w:sz w:val="21"/>
          <w:szCs w:val="21"/>
          <w:highlight w:val="none"/>
        </w:rPr>
        <w:t>双方投资建设和购置设施设备及用品，应定期进行清产核资，确认双方资产，并造册登记建档。</w:t>
      </w:r>
    </w:p>
    <w:p w14:paraId="614FDFC0">
      <w:pPr>
        <w:pStyle w:val="91"/>
        <w:keepNext w:val="0"/>
        <w:keepLines w:val="0"/>
        <w:pageBreakBefore w:val="0"/>
        <w:kinsoku/>
        <w:wordWrap/>
        <w:overflowPunct/>
        <w:topLinePunct w:val="0"/>
        <w:autoSpaceDE/>
        <w:autoSpaceDN/>
        <w:bidi w:val="0"/>
        <w:adjustRightInd/>
        <w:snapToGrid/>
        <w:spacing w:beforeAutospacing="0" w:afterAutospacing="0" w:line="440" w:lineRule="exact"/>
        <w:ind w:firstLine="422" w:firstLineChars="200"/>
        <w:textAlignment w:val="auto"/>
        <w:outlineLvl w:val="9"/>
        <w:rPr>
          <w:rFonts w:hint="eastAsia" w:ascii="宋体" w:hAnsi="宋体" w:eastAsia="宋体" w:cs="宋体"/>
          <w:color w:val="auto"/>
          <w:sz w:val="21"/>
          <w:szCs w:val="21"/>
          <w:highlight w:val="none"/>
          <w:lang w:eastAsia="zh-CN"/>
        </w:rPr>
      </w:pPr>
      <w:r>
        <w:rPr>
          <w:rFonts w:hint="eastAsia" w:ascii="宋体" w:hAnsi="宋体" w:eastAsia="宋体" w:cs="宋体"/>
          <w:b/>
          <w:bCs/>
          <w:color w:val="auto"/>
          <w:sz w:val="21"/>
          <w:szCs w:val="21"/>
          <w:highlight w:val="none"/>
          <w:lang w:eastAsia="zh-CN"/>
        </w:rPr>
        <w:t>（一）服务分类与内容</w:t>
      </w:r>
    </w:p>
    <w:p w14:paraId="2ED5DDFD">
      <w:pPr>
        <w:pStyle w:val="91"/>
        <w:keepNext w:val="0"/>
        <w:keepLines w:val="0"/>
        <w:pageBreakBefore w:val="0"/>
        <w:kinsoku/>
        <w:wordWrap/>
        <w:overflowPunct/>
        <w:topLinePunct w:val="0"/>
        <w:autoSpaceDE/>
        <w:autoSpaceDN/>
        <w:bidi w:val="0"/>
        <w:adjustRightInd/>
        <w:snapToGrid/>
        <w:spacing w:beforeAutospacing="0" w:afterAutospacing="0" w:line="440" w:lineRule="exact"/>
        <w:ind w:firstLine="420" w:firstLineChars="200"/>
        <w:textAlignment w:val="auto"/>
        <w:outlineLvl w:val="9"/>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1.</w:t>
      </w:r>
      <w:r>
        <w:rPr>
          <w:rFonts w:hint="eastAsia" w:ascii="宋体" w:hAnsi="宋体" w:eastAsia="宋体" w:cs="宋体"/>
          <w:color w:val="auto"/>
          <w:sz w:val="21"/>
          <w:szCs w:val="21"/>
          <w:highlight w:val="none"/>
          <w:lang w:eastAsia="zh-CN"/>
        </w:rPr>
        <w:t>政府兜底保障层：服务对象为特困集中供养老人，提供基本生活照料（起居、清洁）、医疗看护（慢性病管理、紧急救援）、膳食保障（适老化餐食）、精神慰藉（心理疏导、文娱活动）等服务。</w:t>
      </w:r>
    </w:p>
    <w:p w14:paraId="5973957A">
      <w:pPr>
        <w:pStyle w:val="91"/>
        <w:keepNext w:val="0"/>
        <w:keepLines w:val="0"/>
        <w:pageBreakBefore w:val="0"/>
        <w:kinsoku/>
        <w:wordWrap/>
        <w:overflowPunct/>
        <w:topLinePunct w:val="0"/>
        <w:autoSpaceDE/>
        <w:autoSpaceDN/>
        <w:bidi w:val="0"/>
        <w:adjustRightInd/>
        <w:snapToGrid/>
        <w:spacing w:beforeAutospacing="0" w:afterAutospacing="0" w:line="440" w:lineRule="exact"/>
        <w:ind w:firstLine="420" w:firstLineChars="200"/>
        <w:textAlignment w:val="auto"/>
        <w:outlineLvl w:val="9"/>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2.</w:t>
      </w:r>
      <w:r>
        <w:rPr>
          <w:rFonts w:hint="eastAsia" w:ascii="宋体" w:hAnsi="宋体" w:eastAsia="宋体" w:cs="宋体"/>
          <w:color w:val="auto"/>
          <w:sz w:val="21"/>
          <w:szCs w:val="21"/>
          <w:highlight w:val="none"/>
          <w:lang w:eastAsia="zh-CN"/>
        </w:rPr>
        <w:t>市场化服务层：</w:t>
      </w:r>
    </w:p>
    <w:p w14:paraId="6EA77FE2">
      <w:pPr>
        <w:pStyle w:val="91"/>
        <w:keepNext w:val="0"/>
        <w:keepLines w:val="0"/>
        <w:pageBreakBefore w:val="0"/>
        <w:kinsoku/>
        <w:wordWrap/>
        <w:overflowPunct/>
        <w:topLinePunct w:val="0"/>
        <w:autoSpaceDE/>
        <w:autoSpaceDN/>
        <w:bidi w:val="0"/>
        <w:adjustRightInd/>
        <w:snapToGrid/>
        <w:spacing w:beforeAutospacing="0" w:afterAutospacing="0" w:line="440" w:lineRule="exact"/>
        <w:ind w:firstLine="420" w:firstLineChars="200"/>
        <w:textAlignment w:val="auto"/>
        <w:outlineLvl w:val="9"/>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1</w:t>
      </w:r>
      <w:r>
        <w:rPr>
          <w:rFonts w:hint="eastAsia" w:ascii="宋体" w:hAnsi="宋体" w:eastAsia="宋体" w:cs="宋体"/>
          <w:color w:val="auto"/>
          <w:sz w:val="21"/>
          <w:szCs w:val="21"/>
          <w:highlight w:val="none"/>
          <w:lang w:eastAsia="zh-CN"/>
        </w:rPr>
        <w:t>）普惠型（武江户籍8折）：面向本地普通老人，提供基础生活照料、健康监测（智能手环）、文娱活动（兴趣社团）、营养餐（个性化订餐）；</w:t>
      </w:r>
    </w:p>
    <w:p w14:paraId="375FCD4F">
      <w:pPr>
        <w:pStyle w:val="91"/>
        <w:keepNext w:val="0"/>
        <w:keepLines w:val="0"/>
        <w:pageBreakBefore w:val="0"/>
        <w:kinsoku/>
        <w:wordWrap/>
        <w:overflowPunct/>
        <w:topLinePunct w:val="0"/>
        <w:autoSpaceDE/>
        <w:autoSpaceDN/>
        <w:bidi w:val="0"/>
        <w:adjustRightInd/>
        <w:snapToGrid/>
        <w:spacing w:beforeAutospacing="0" w:afterAutospacing="0" w:line="440" w:lineRule="exact"/>
        <w:ind w:firstLine="420" w:firstLineChars="200"/>
        <w:textAlignment w:val="auto"/>
        <w:outlineLvl w:val="9"/>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2</w:t>
      </w:r>
      <w:r>
        <w:rPr>
          <w:rFonts w:hint="eastAsia" w:ascii="宋体" w:hAnsi="宋体" w:eastAsia="宋体" w:cs="宋体"/>
          <w:color w:val="auto"/>
          <w:sz w:val="21"/>
          <w:szCs w:val="21"/>
          <w:highlight w:val="none"/>
          <w:lang w:eastAsia="zh-CN"/>
        </w:rPr>
        <w:t>）市场标准型：面向社会老人，提供优质生活照料、健康管理（定制化健康套餐）、文娱社工（节日活动、志愿者陪伴）、个性化餐饮（药膳、特色餐）；</w:t>
      </w:r>
    </w:p>
    <w:p w14:paraId="1703E0DB">
      <w:pPr>
        <w:pStyle w:val="91"/>
        <w:keepNext w:val="0"/>
        <w:keepLines w:val="0"/>
        <w:pageBreakBefore w:val="0"/>
        <w:kinsoku/>
        <w:wordWrap/>
        <w:overflowPunct/>
        <w:topLinePunct w:val="0"/>
        <w:autoSpaceDE/>
        <w:autoSpaceDN/>
        <w:bidi w:val="0"/>
        <w:adjustRightInd/>
        <w:snapToGrid/>
        <w:spacing w:beforeAutospacing="0" w:afterAutospacing="0" w:line="440" w:lineRule="exact"/>
        <w:ind w:firstLine="420" w:firstLineChars="200"/>
        <w:textAlignment w:val="auto"/>
        <w:outlineLvl w:val="9"/>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3</w:t>
      </w:r>
      <w:r>
        <w:rPr>
          <w:rFonts w:hint="eastAsia" w:ascii="宋体" w:hAnsi="宋体" w:eastAsia="宋体" w:cs="宋体"/>
          <w:color w:val="auto"/>
          <w:sz w:val="21"/>
          <w:szCs w:val="21"/>
          <w:highlight w:val="none"/>
          <w:lang w:eastAsia="zh-CN"/>
        </w:rPr>
        <w:t>）专业照护型：服务半失能/失能/失智老人，提供医疗护理（伤口护理、用药指导）、认知干预（非药物疗法、记忆照护）、康复训练（物理治疗、作业治疗）；</w:t>
      </w:r>
    </w:p>
    <w:p w14:paraId="00EF41E2">
      <w:pPr>
        <w:pStyle w:val="91"/>
        <w:keepNext w:val="0"/>
        <w:keepLines w:val="0"/>
        <w:pageBreakBefore w:val="0"/>
        <w:kinsoku/>
        <w:wordWrap/>
        <w:overflowPunct/>
        <w:topLinePunct w:val="0"/>
        <w:autoSpaceDE/>
        <w:autoSpaceDN/>
        <w:bidi w:val="0"/>
        <w:adjustRightInd/>
        <w:snapToGrid/>
        <w:spacing w:beforeAutospacing="0" w:afterAutospacing="0" w:line="440" w:lineRule="exact"/>
        <w:ind w:firstLine="422" w:firstLineChars="200"/>
        <w:textAlignment w:val="auto"/>
        <w:outlineLvl w:val="9"/>
        <w:rPr>
          <w:rFonts w:hint="eastAsia" w:ascii="宋体" w:hAnsi="宋体" w:eastAsia="宋体" w:cs="宋体"/>
          <w:b/>
          <w:bCs/>
          <w:color w:val="auto"/>
          <w:sz w:val="21"/>
          <w:szCs w:val="21"/>
          <w:highlight w:val="none"/>
          <w:lang w:eastAsia="zh-CN"/>
        </w:rPr>
      </w:pPr>
      <w:r>
        <w:rPr>
          <w:rFonts w:hint="eastAsia" w:ascii="宋体" w:hAnsi="宋体" w:eastAsia="宋体" w:cs="宋体"/>
          <w:b/>
          <w:bCs/>
          <w:color w:val="auto"/>
          <w:sz w:val="21"/>
          <w:szCs w:val="21"/>
          <w:highlight w:val="none"/>
          <w:lang w:eastAsia="zh-CN"/>
        </w:rPr>
        <w:t>（</w:t>
      </w:r>
      <w:r>
        <w:rPr>
          <w:rFonts w:hint="eastAsia" w:ascii="宋体" w:hAnsi="宋体" w:eastAsia="宋体" w:cs="宋体"/>
          <w:b/>
          <w:bCs/>
          <w:color w:val="auto"/>
          <w:sz w:val="21"/>
          <w:szCs w:val="21"/>
          <w:highlight w:val="none"/>
          <w:lang w:val="en-US" w:eastAsia="zh-CN"/>
        </w:rPr>
        <w:t>二</w:t>
      </w:r>
      <w:r>
        <w:rPr>
          <w:rFonts w:hint="eastAsia" w:ascii="宋体" w:hAnsi="宋体" w:eastAsia="宋体" w:cs="宋体"/>
          <w:b/>
          <w:bCs/>
          <w:color w:val="auto"/>
          <w:sz w:val="21"/>
          <w:szCs w:val="21"/>
          <w:highlight w:val="none"/>
          <w:lang w:eastAsia="zh-CN"/>
        </w:rPr>
        <w:t>）服务标准</w:t>
      </w:r>
    </w:p>
    <w:p w14:paraId="6F218CEF">
      <w:pPr>
        <w:pStyle w:val="91"/>
        <w:keepNext w:val="0"/>
        <w:keepLines w:val="0"/>
        <w:pageBreakBefore w:val="0"/>
        <w:kinsoku/>
        <w:wordWrap/>
        <w:overflowPunct/>
        <w:topLinePunct w:val="0"/>
        <w:autoSpaceDE/>
        <w:autoSpaceDN/>
        <w:bidi w:val="0"/>
        <w:adjustRightInd/>
        <w:snapToGrid/>
        <w:spacing w:beforeAutospacing="0" w:afterAutospacing="0" w:line="440" w:lineRule="exact"/>
        <w:ind w:firstLine="420" w:firstLineChars="200"/>
        <w:textAlignment w:val="auto"/>
        <w:outlineLvl w:val="9"/>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val="en-US" w:eastAsia="zh-CN"/>
        </w:rPr>
        <w:t>1.</w:t>
      </w:r>
      <w:r>
        <w:rPr>
          <w:rFonts w:hint="eastAsia" w:ascii="宋体" w:hAnsi="宋体" w:eastAsia="宋体" w:cs="宋体"/>
          <w:color w:val="auto"/>
          <w:sz w:val="21"/>
          <w:szCs w:val="21"/>
          <w:highlight w:val="none"/>
        </w:rPr>
        <w:t>护理等级划分：参照《老年人能力评估》（GB/T 42000-2022），明确自理、半失能、失能、失智老人的护理等级判定标准；其中失能老人每2小时巡房1次、每日记录护理情况不少于3次，半失能老人每4小时巡房1次、每日记录护理情况不少于2次，自理老人每日巡房1次。</w:t>
      </w:r>
    </w:p>
    <w:p w14:paraId="562A0094">
      <w:pPr>
        <w:pStyle w:val="91"/>
        <w:keepNext w:val="0"/>
        <w:keepLines w:val="0"/>
        <w:pageBreakBefore w:val="0"/>
        <w:kinsoku/>
        <w:wordWrap/>
        <w:overflowPunct/>
        <w:topLinePunct w:val="0"/>
        <w:autoSpaceDE/>
        <w:autoSpaceDN/>
        <w:bidi w:val="0"/>
        <w:adjustRightInd/>
        <w:snapToGrid/>
        <w:spacing w:beforeAutospacing="0" w:afterAutospacing="0" w:line="440" w:lineRule="exact"/>
        <w:ind w:firstLine="420" w:firstLineChars="200"/>
        <w:textAlignment w:val="auto"/>
        <w:outlineLvl w:val="9"/>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val="en-US" w:eastAsia="zh-CN"/>
        </w:rPr>
        <w:t>2.</w:t>
      </w:r>
      <w:r>
        <w:rPr>
          <w:rFonts w:hint="eastAsia" w:ascii="宋体" w:hAnsi="宋体" w:eastAsia="宋体" w:cs="宋体"/>
          <w:color w:val="auto"/>
          <w:sz w:val="21"/>
          <w:szCs w:val="21"/>
          <w:highlight w:val="none"/>
        </w:rPr>
        <w:t>餐饮服务标准：每日膳食需满足老年人蛋白质、膳食纤维等营养配比要求（蛋白质摄入量≥1.2g/kg体重，膳食纤维摄入量≥25g/人）；每周食谱需提前3天公示，支持糖尿病、素食等特殊饮食定制，定制流程需在72小时内响应并落实。</w:t>
      </w:r>
    </w:p>
    <w:p w14:paraId="672633F2">
      <w:pPr>
        <w:pStyle w:val="91"/>
        <w:keepNext w:val="0"/>
        <w:keepLines w:val="0"/>
        <w:pageBreakBefore w:val="0"/>
        <w:kinsoku/>
        <w:wordWrap/>
        <w:overflowPunct/>
        <w:topLinePunct w:val="0"/>
        <w:autoSpaceDE/>
        <w:autoSpaceDN/>
        <w:bidi w:val="0"/>
        <w:adjustRightInd/>
        <w:snapToGrid/>
        <w:spacing w:beforeAutospacing="0" w:afterAutospacing="0" w:line="440" w:lineRule="exact"/>
        <w:ind w:firstLine="420" w:firstLineChars="200"/>
        <w:textAlignment w:val="auto"/>
        <w:outlineLvl w:val="9"/>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val="en-US" w:eastAsia="zh-CN"/>
        </w:rPr>
        <w:t>3.</w:t>
      </w:r>
      <w:r>
        <w:rPr>
          <w:rFonts w:hint="eastAsia" w:ascii="宋体" w:hAnsi="宋体" w:eastAsia="宋体" w:cs="宋体"/>
          <w:color w:val="auto"/>
          <w:sz w:val="21"/>
          <w:szCs w:val="21"/>
          <w:highlight w:val="none"/>
        </w:rPr>
        <w:t>活动服务要求：每月组织不少于4次文化娱乐活动、</w:t>
      </w:r>
      <w:r>
        <w:rPr>
          <w:rFonts w:hint="eastAsia" w:ascii="宋体" w:hAnsi="宋体" w:eastAsia="宋体" w:cs="宋体"/>
          <w:color w:val="auto"/>
          <w:sz w:val="21"/>
          <w:szCs w:val="21"/>
          <w:highlight w:val="none"/>
          <w:lang w:val="en-US" w:eastAsia="zh-CN"/>
        </w:rPr>
        <w:t>1-2</w:t>
      </w:r>
      <w:r>
        <w:rPr>
          <w:rFonts w:hint="eastAsia" w:ascii="宋体" w:hAnsi="宋体" w:eastAsia="宋体" w:cs="宋体"/>
          <w:color w:val="auto"/>
          <w:sz w:val="21"/>
          <w:szCs w:val="21"/>
          <w:highlight w:val="none"/>
        </w:rPr>
        <w:t>次健康讲座，确保入住老人日均户外活动时间≥1小时（特殊天气除外），活动记录及老人参与情况需建档备查。</w:t>
      </w:r>
    </w:p>
    <w:p w14:paraId="32E65B5C">
      <w:pPr>
        <w:pStyle w:val="91"/>
        <w:keepNext w:val="0"/>
        <w:keepLines w:val="0"/>
        <w:pageBreakBefore w:val="0"/>
        <w:kinsoku/>
        <w:wordWrap/>
        <w:overflowPunct/>
        <w:topLinePunct w:val="0"/>
        <w:autoSpaceDE/>
        <w:autoSpaceDN/>
        <w:bidi w:val="0"/>
        <w:adjustRightInd/>
        <w:snapToGrid/>
        <w:spacing w:beforeAutospacing="0" w:afterAutospacing="0" w:line="440" w:lineRule="exact"/>
        <w:ind w:firstLine="420" w:firstLineChars="200"/>
        <w:textAlignment w:val="auto"/>
        <w:outlineLvl w:val="9"/>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入住与退出流程：</w:t>
      </w:r>
    </w:p>
    <w:p w14:paraId="608A934A">
      <w:pPr>
        <w:pStyle w:val="91"/>
        <w:keepNext w:val="0"/>
        <w:keepLines w:val="0"/>
        <w:pageBreakBefore w:val="0"/>
        <w:kinsoku/>
        <w:wordWrap/>
        <w:overflowPunct/>
        <w:topLinePunct w:val="0"/>
        <w:autoSpaceDE/>
        <w:autoSpaceDN/>
        <w:bidi w:val="0"/>
        <w:adjustRightInd/>
        <w:snapToGrid/>
        <w:spacing w:beforeAutospacing="0" w:afterAutospacing="0" w:line="440" w:lineRule="exact"/>
        <w:ind w:firstLine="420" w:firstLineChars="200"/>
        <w:textAlignment w:val="auto"/>
        <w:outlineLvl w:val="9"/>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（1）入住评估：</w:t>
      </w:r>
      <w:r>
        <w:rPr>
          <w:rFonts w:hint="eastAsia" w:ascii="宋体" w:hAnsi="宋体" w:eastAsia="宋体" w:cs="宋体"/>
          <w:color w:val="auto"/>
          <w:sz w:val="21"/>
          <w:szCs w:val="21"/>
          <w:highlight w:val="none"/>
          <w:lang w:eastAsia="zh-CN"/>
        </w:rPr>
        <w:t>中标人</w:t>
      </w:r>
      <w:r>
        <w:rPr>
          <w:rFonts w:hint="eastAsia" w:ascii="宋体" w:hAnsi="宋体" w:eastAsia="宋体" w:cs="宋体"/>
          <w:color w:val="auto"/>
          <w:sz w:val="21"/>
          <w:szCs w:val="21"/>
          <w:highlight w:val="none"/>
        </w:rPr>
        <w:t>需对申请入住老人进行能力评估，评估结果需经</w:t>
      </w:r>
      <w:r>
        <w:rPr>
          <w:rFonts w:hint="eastAsia" w:ascii="宋体" w:hAnsi="宋体" w:eastAsia="宋体" w:cs="宋体"/>
          <w:color w:val="auto"/>
          <w:sz w:val="21"/>
          <w:szCs w:val="21"/>
          <w:highlight w:val="none"/>
          <w:lang w:eastAsia="zh-CN"/>
        </w:rPr>
        <w:t>招标人</w:t>
      </w:r>
      <w:r>
        <w:rPr>
          <w:rFonts w:hint="eastAsia" w:ascii="宋体" w:hAnsi="宋体" w:eastAsia="宋体" w:cs="宋体"/>
          <w:color w:val="auto"/>
          <w:sz w:val="21"/>
          <w:szCs w:val="21"/>
          <w:highlight w:val="none"/>
        </w:rPr>
        <w:t>备案；政府兜底床位入住对象严格按</w:t>
      </w:r>
      <w:r>
        <w:rPr>
          <w:rFonts w:hint="eastAsia" w:ascii="宋体" w:hAnsi="宋体" w:eastAsia="宋体" w:cs="宋体"/>
          <w:color w:val="auto"/>
          <w:sz w:val="21"/>
          <w:szCs w:val="21"/>
          <w:highlight w:val="none"/>
          <w:lang w:eastAsia="zh-CN"/>
        </w:rPr>
        <w:t>招标人</w:t>
      </w:r>
      <w:r>
        <w:rPr>
          <w:rFonts w:hint="eastAsia" w:ascii="宋体" w:hAnsi="宋体" w:eastAsia="宋体" w:cs="宋体"/>
          <w:color w:val="auto"/>
          <w:sz w:val="21"/>
          <w:szCs w:val="21"/>
          <w:highlight w:val="none"/>
        </w:rPr>
        <w:t>出具的审批手续执行，不得擅自替换。</w:t>
      </w:r>
    </w:p>
    <w:p w14:paraId="0BD964E2">
      <w:pPr>
        <w:pStyle w:val="91"/>
        <w:keepNext w:val="0"/>
        <w:keepLines w:val="0"/>
        <w:pageBreakBefore w:val="0"/>
        <w:kinsoku/>
        <w:wordWrap/>
        <w:overflowPunct/>
        <w:topLinePunct w:val="0"/>
        <w:autoSpaceDE/>
        <w:autoSpaceDN/>
        <w:bidi w:val="0"/>
        <w:adjustRightInd/>
        <w:snapToGrid/>
        <w:spacing w:beforeAutospacing="0" w:afterAutospacing="0" w:line="440" w:lineRule="exact"/>
        <w:ind w:firstLine="420" w:firstLineChars="200"/>
        <w:textAlignment w:val="auto"/>
        <w:outlineLvl w:val="9"/>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（2）退出机制：老人因健康状况不再适合入住、违反机构管理规定且拒不整改的，</w:t>
      </w:r>
      <w:r>
        <w:rPr>
          <w:rFonts w:hint="eastAsia" w:ascii="宋体" w:hAnsi="宋体" w:eastAsia="宋体" w:cs="宋体"/>
          <w:color w:val="auto"/>
          <w:sz w:val="21"/>
          <w:szCs w:val="21"/>
          <w:highlight w:val="none"/>
          <w:lang w:eastAsia="zh-CN"/>
        </w:rPr>
        <w:t>中标人</w:t>
      </w:r>
      <w:r>
        <w:rPr>
          <w:rFonts w:hint="eastAsia" w:ascii="宋体" w:hAnsi="宋体" w:eastAsia="宋体" w:cs="宋体"/>
          <w:color w:val="auto"/>
          <w:sz w:val="21"/>
          <w:szCs w:val="21"/>
          <w:highlight w:val="none"/>
        </w:rPr>
        <w:t>需提前15日书面告知</w:t>
      </w:r>
      <w:r>
        <w:rPr>
          <w:rFonts w:hint="eastAsia" w:ascii="宋体" w:hAnsi="宋体" w:eastAsia="宋体" w:cs="宋体"/>
          <w:color w:val="auto"/>
          <w:sz w:val="21"/>
          <w:szCs w:val="21"/>
          <w:highlight w:val="none"/>
          <w:lang w:eastAsia="zh-CN"/>
        </w:rPr>
        <w:t>招标人</w:t>
      </w:r>
      <w:r>
        <w:rPr>
          <w:rFonts w:hint="eastAsia" w:ascii="宋体" w:hAnsi="宋体" w:eastAsia="宋体" w:cs="宋体"/>
          <w:color w:val="auto"/>
          <w:sz w:val="21"/>
          <w:szCs w:val="21"/>
          <w:highlight w:val="none"/>
        </w:rPr>
        <w:t>及家属，共同制定安置方案，不得擅自驱离。</w:t>
      </w:r>
    </w:p>
    <w:bookmarkEnd w:id="31"/>
    <w:p w14:paraId="68BC8DFF">
      <w:pPr>
        <w:pStyle w:val="91"/>
        <w:keepNext w:val="0"/>
        <w:keepLines w:val="0"/>
        <w:pageBreakBefore w:val="0"/>
        <w:kinsoku/>
        <w:wordWrap/>
        <w:overflowPunct/>
        <w:topLinePunct w:val="0"/>
        <w:autoSpaceDE/>
        <w:autoSpaceDN/>
        <w:bidi w:val="0"/>
        <w:adjustRightInd/>
        <w:snapToGrid/>
        <w:spacing w:beforeAutospacing="0" w:afterAutospacing="0" w:line="440" w:lineRule="exact"/>
        <w:ind w:firstLine="422" w:firstLineChars="200"/>
        <w:textAlignment w:val="auto"/>
        <w:outlineLvl w:val="9"/>
        <w:rPr>
          <w:rFonts w:hint="eastAsia" w:ascii="宋体" w:hAnsi="宋体" w:eastAsia="宋体" w:cs="宋体"/>
          <w:b/>
          <w:bCs/>
          <w:color w:val="auto"/>
          <w:sz w:val="21"/>
          <w:szCs w:val="21"/>
          <w:highlight w:val="none"/>
          <w:lang w:eastAsia="zh-CN"/>
        </w:rPr>
      </w:pPr>
      <w:r>
        <w:rPr>
          <w:rFonts w:hint="eastAsia" w:ascii="宋体" w:hAnsi="宋体" w:eastAsia="宋体" w:cs="宋体"/>
          <w:b/>
          <w:bCs/>
          <w:color w:val="auto"/>
          <w:sz w:val="21"/>
          <w:szCs w:val="21"/>
          <w:highlight w:val="none"/>
          <w:lang w:eastAsia="zh-CN"/>
        </w:rPr>
        <w:t>（</w:t>
      </w:r>
      <w:r>
        <w:rPr>
          <w:rFonts w:hint="eastAsia" w:ascii="宋体" w:hAnsi="宋体" w:eastAsia="宋体" w:cs="宋体"/>
          <w:b/>
          <w:bCs/>
          <w:color w:val="auto"/>
          <w:sz w:val="21"/>
          <w:szCs w:val="21"/>
          <w:highlight w:val="none"/>
          <w:lang w:val="en-US" w:eastAsia="zh-CN"/>
        </w:rPr>
        <w:t>三</w:t>
      </w:r>
      <w:r>
        <w:rPr>
          <w:rFonts w:hint="eastAsia" w:ascii="宋体" w:hAnsi="宋体" w:eastAsia="宋体" w:cs="宋体"/>
          <w:b/>
          <w:bCs/>
          <w:color w:val="auto"/>
          <w:sz w:val="21"/>
          <w:szCs w:val="21"/>
          <w:highlight w:val="none"/>
          <w:lang w:eastAsia="zh-CN"/>
        </w:rPr>
        <w:t>）合规运营要求</w:t>
      </w:r>
    </w:p>
    <w:p w14:paraId="690B83F2">
      <w:pPr>
        <w:pStyle w:val="106"/>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firstLine="420" w:firstLineChars="200"/>
        <w:jc w:val="both"/>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1.资产与财务：建立资产台账，定期清产核资，不得出租、出借、处置项目资产或用于抵押贷款；按规定报送季度（季度终了后15日内）及年度（年度终了后2个月内）财务报表，专项资金专款专用并设立台账。</w:t>
      </w:r>
    </w:p>
    <w:p w14:paraId="F7383A3B">
      <w:pPr>
        <w:pStyle w:val="106"/>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firstLine="420" w:firstLineChars="200"/>
        <w:jc w:val="both"/>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2.保险配置：合同生效后30日内投保养老机构责任险（每次保额≥200万、年度累计≥500万）、入住老人意外险（保额≥50万/人）、雇主责任险（保额≥80万/人），保险期限与运营期一致，到期前30日完成续保。</w:t>
      </w:r>
    </w:p>
    <w:p w14:paraId="31F5E653">
      <w:pPr>
        <w:pStyle w:val="106"/>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firstLine="420" w:firstLineChars="200"/>
        <w:jc w:val="both"/>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3.安全与隐私：制定自然灾害、公共卫生事件等6类应急预案，每季度组织1次演练；公共区域安装监控（隐私区域除外），保存时长≥90天；遵守《中华人民共和国个人信息保护法》，禁止泄露老人个人信息，合同终止时返还或销毁相关资料。</w:t>
      </w:r>
    </w:p>
    <w:p w14:paraId="681EAA5D">
      <w:pPr>
        <w:pStyle w:val="106"/>
        <w:keepNext w:val="0"/>
        <w:keepLines w:val="0"/>
        <w:pageBreakBefore w:val="0"/>
        <w:widowControl/>
        <w:numPr>
          <w:ilvl w:val="0"/>
          <w:numId w:val="0"/>
        </w:numPr>
        <w:kinsoku/>
        <w:wordWrap/>
        <w:overflowPunct/>
        <w:topLinePunct w:val="0"/>
        <w:autoSpaceDE/>
        <w:autoSpaceDN/>
        <w:bidi w:val="0"/>
        <w:adjustRightInd/>
        <w:snapToGrid/>
        <w:spacing w:before="0" w:after="0" w:line="360" w:lineRule="auto"/>
        <w:ind w:firstLine="420" w:firstLineChars="200"/>
        <w:jc w:val="both"/>
        <w:textAlignment w:val="auto"/>
        <w:rPr>
          <w:rFonts w:hint="eastAsia" w:ascii="宋体" w:hAnsi="宋体" w:eastAsia="宋体" w:cs="宋体"/>
          <w:b/>
          <w:bCs/>
          <w:color w:val="auto"/>
          <w:sz w:val="21"/>
          <w:szCs w:val="21"/>
          <w:highlight w:val="none"/>
          <w:u w:val="none"/>
          <w:shd w:val="clear" w:color="auto" w:fill="auto"/>
          <w:lang w:val="en-US" w:eastAsia="zh-CN"/>
        </w:rPr>
      </w:pPr>
      <w:r>
        <w:rPr>
          <w:rFonts w:hint="eastAsia" w:ascii="宋体" w:hAnsi="宋体" w:eastAsia="宋体" w:cs="宋体"/>
          <w:color w:val="auto"/>
          <w:kern w:val="2"/>
          <w:sz w:val="21"/>
          <w:szCs w:val="21"/>
          <w:highlight w:val="none"/>
          <w:lang w:val="en-US" w:eastAsia="zh-CN" w:bidi="ar-SA"/>
        </w:rPr>
        <w:t>4.专项要求：建立反欺老虐老长效机制，杜绝相关行为；遵守《反食品浪费法》，接受招标人定期核查。</w:t>
      </w:r>
    </w:p>
    <w:p w14:paraId="10A1C3FC">
      <w:pPr>
        <w:keepNext w:val="0"/>
        <w:keepLines w:val="0"/>
        <w:pageBreakBefore w:val="0"/>
        <w:widowControl w:val="0"/>
        <w:kinsoku/>
        <w:wordWrap/>
        <w:overflowPunct/>
        <w:topLinePunct w:val="0"/>
        <w:autoSpaceDN/>
        <w:bidi w:val="0"/>
        <w:adjustRightInd/>
        <w:snapToGrid/>
        <w:spacing w:line="560" w:lineRule="exact"/>
        <w:ind w:left="0" w:leftChars="0" w:firstLine="422" w:firstLineChars="200"/>
        <w:textAlignment w:val="auto"/>
        <w:rPr>
          <w:rFonts w:hint="eastAsia" w:ascii="宋体" w:hAnsi="宋体" w:eastAsia="宋体" w:cs="宋体"/>
          <w:b/>
          <w:bCs/>
          <w:color w:val="auto"/>
          <w:sz w:val="21"/>
          <w:szCs w:val="21"/>
          <w:highlight w:val="none"/>
          <w:u w:val="none"/>
          <w:shd w:val="clear" w:color="auto" w:fill="auto"/>
          <w:lang w:eastAsia="zh-CN"/>
        </w:rPr>
      </w:pPr>
      <w:r>
        <w:rPr>
          <w:rFonts w:hint="eastAsia" w:ascii="宋体" w:hAnsi="宋体" w:eastAsia="宋体" w:cs="宋体"/>
          <w:b/>
          <w:bCs/>
          <w:color w:val="auto"/>
          <w:sz w:val="21"/>
          <w:szCs w:val="21"/>
          <w:highlight w:val="none"/>
          <w:u w:val="none"/>
          <w:shd w:val="clear" w:color="auto" w:fill="auto"/>
          <w:lang w:val="en-US" w:eastAsia="zh-CN"/>
        </w:rPr>
        <w:t>四</w:t>
      </w:r>
      <w:r>
        <w:rPr>
          <w:rFonts w:hint="eastAsia" w:ascii="宋体" w:hAnsi="宋体" w:eastAsia="宋体" w:cs="宋体"/>
          <w:b/>
          <w:bCs/>
          <w:color w:val="auto"/>
          <w:sz w:val="21"/>
          <w:szCs w:val="21"/>
          <w:highlight w:val="none"/>
          <w:u w:val="none"/>
          <w:shd w:val="clear" w:color="auto" w:fill="auto"/>
          <w:lang w:eastAsia="zh-CN"/>
        </w:rPr>
        <w:t>、</w:t>
      </w:r>
      <w:r>
        <w:rPr>
          <w:rFonts w:hint="eastAsia" w:ascii="宋体" w:hAnsi="宋体" w:eastAsia="宋体" w:cs="宋体"/>
          <w:b/>
          <w:bCs/>
          <w:color w:val="auto"/>
          <w:sz w:val="21"/>
          <w:szCs w:val="21"/>
          <w:highlight w:val="none"/>
          <w:u w:val="none"/>
          <w:shd w:val="clear" w:color="auto" w:fill="auto"/>
          <w:lang w:val="en-US" w:eastAsia="zh-CN"/>
        </w:rPr>
        <w:t>权利和义务</w:t>
      </w:r>
    </w:p>
    <w:p w14:paraId="600E6F07">
      <w:pPr>
        <w:keepNext w:val="0"/>
        <w:keepLines w:val="0"/>
        <w:pageBreakBefore w:val="0"/>
        <w:widowControl w:val="0"/>
        <w:kinsoku/>
        <w:wordWrap/>
        <w:overflowPunct/>
        <w:topLinePunct w:val="0"/>
        <w:autoSpaceDE/>
        <w:autoSpaceDN/>
        <w:bidi w:val="0"/>
        <w:adjustRightInd/>
        <w:snapToGrid/>
        <w:spacing w:line="360" w:lineRule="auto"/>
        <w:ind w:left="0" w:leftChars="0" w:firstLine="422" w:firstLineChars="200"/>
        <w:textAlignment w:val="auto"/>
        <w:rPr>
          <w:rFonts w:hint="eastAsia" w:ascii="宋体" w:hAnsi="宋体" w:eastAsia="宋体" w:cs="宋体"/>
          <w:b/>
          <w:bCs/>
          <w:color w:val="auto"/>
          <w:kern w:val="2"/>
          <w:sz w:val="21"/>
          <w:szCs w:val="21"/>
          <w:highlight w:val="none"/>
          <w:lang w:val="en-US" w:eastAsia="zh-CN" w:bidi="ar-SA"/>
        </w:rPr>
      </w:pPr>
      <w:r>
        <w:rPr>
          <w:rFonts w:hint="eastAsia" w:ascii="宋体" w:hAnsi="宋体" w:eastAsia="宋体" w:cs="宋体"/>
          <w:b/>
          <w:bCs/>
          <w:color w:val="auto"/>
          <w:kern w:val="2"/>
          <w:sz w:val="21"/>
          <w:szCs w:val="21"/>
          <w:highlight w:val="none"/>
          <w:lang w:val="en-US" w:eastAsia="zh-CN" w:bidi="ar-SA"/>
        </w:rPr>
        <w:t>（一）招标人的权利和义务</w:t>
      </w:r>
    </w:p>
    <w:p w14:paraId="2B00D9FD">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1.招标人承诺其拥有签订并履行本合同的全部、充分的权利与授权，并依据法律具有签订本合同的行为能力。</w:t>
      </w:r>
    </w:p>
    <w:p w14:paraId="22810DAF">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2.在本项目运营期限内，招标人全力支持中标人独立自主、自负盈亏运营韶关市武江区养老服务中心（一期），积极帮助中标人协调各种关系，促进韶关市武江区养老服务中心（一期）的长期健康稳定发展。</w:t>
      </w:r>
    </w:p>
    <w:p w14:paraId="31814979">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3.在本项目运营期限内，招标人有权依照本项目约定监督中标人对韶关市武江区养老服务中心（一期）的运营管理行为，并在本项目约定的情形下行使临时接管权，但除本项目约定的情形外，招标人不干预中标人对韶关市武江区养老服务中心（一期）的正常运营管理活动。</w:t>
      </w:r>
    </w:p>
    <w:p w14:paraId="48E3990B">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4.招标人向中标人移交的建筑物必须取得工程竣工验收报告（包括但不限于规划、建设、消防、环保、水、电等验收报告），移交前对已有资产（含土地）进行登记，制定固定资产清单，由双方确认后移交。</w:t>
      </w:r>
    </w:p>
    <w:p w14:paraId="30F41EB9">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5.招标人需帮助中标人积极争取各级政府及组织的专项资金和优惠政策。</w:t>
      </w:r>
    </w:p>
    <w:p w14:paraId="1790FF67">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6.招标人负责的政府供养人员的费用，按照提供服务当年的政府供养标准由招标人按入住实际人数向中标人支付。招标人供养人员入住的对象包括武江区有入住意愿的特困供养人员和招标人确定的其他人员，优先安排入住上述特困供养人员中的失能、半失能、失智老人。招标人供养人员入住的对象身份由招标人确定，中标人凭招标人出具的集中供养审批手续办理入住手续。</w:t>
      </w:r>
    </w:p>
    <w:p w14:paraId="73CFC459">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7.招标人保证在本项目期限内，招标人享有韶关市武江区养老服务中心（一期）所在区域土地及土地上建筑物的所有权，并保证中标人享有韶关市武江区养老服务中心（一期）的土地和建筑物的充分使用权。</w:t>
      </w:r>
    </w:p>
    <w:p w14:paraId="29ABD3FE">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8.在本项目有效期内，招标人不得因人员的变动单方面调整本项目约定。</w:t>
      </w:r>
    </w:p>
    <w:p w14:paraId="5FC159D9">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9.在本项目期内，招标人积极帮助中标人处理与韶关市武江区养老服务中心（一期）周边居民之间的关系。</w:t>
      </w:r>
    </w:p>
    <w:p w14:paraId="6DC359F5">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10.为了能够更好地了解韶关市武江区养老服务中心（一期）运营管理情况，确保韶关市武江区养老服务中心（一期）运营管理能够按照本项目约定履行，招标人依照有关法律法规和本项目约定行使监督权利。招标人可以根据情况每年单独委托有法定资质的第三方评估机构对中标人的日常管理运营和服务质量进行监督和综合评估，根据评估情况加强监督管理。</w:t>
      </w:r>
    </w:p>
    <w:p w14:paraId="7726AA3B">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11.招标人可以根据情况每年单独委托有资质的第三方机构对中标人的运营财务状况进行定期审计，制定中标人异常退出时的风险防控应急预案。招标人会定期组织资产核验，委托有资质的第三方机构对国有资产及中标人投入资产进行阶段性评估，清点核对资产造册情况。重点核查中标人在合同期内是否独立运营、独立核算、自负盈亏，是否对机构日常消耗性设施、设备加以维护和修缮，是否有擅自出租、出借、处置国有资产或以国有资产进行抵押、贷款行为。对国有资产造成损失的，依法追究中标人赔偿责任；构成犯罪的，依法追究中标人刑事责任。</w:t>
      </w:r>
    </w:p>
    <w:p w14:paraId="1694E704">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12.定期开展服务质量监督评估，对服务投诉进行调查处理，保障在院老人的合法权益。招标人有权组织或委托第三方评估机构对中标人维护老年人权益情况进行检查及每年或不定期对入住对象满意度开展调查。定期核查运营方是否严格按照《养老机构管理办法》（民政部令第66号）等有关法规规定进行运营管理，重点对运营期间存在的安全隐患、服务质量等问题有无进行整改；发现问题，要限期整改，拒不整改或整改不力、情节严重的，可启动退出机制。</w:t>
      </w:r>
    </w:p>
    <w:p w14:paraId="4E3F06A9">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招标人的监督权须在不影响韶关市武江区养老服务中心（一期）正常运营的前提下行使（特殊时期严重情况除外）。</w:t>
      </w:r>
    </w:p>
    <w:p w14:paraId="2DC025F7">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13.招标人设立监督管理机构，负责对韶关市武江区养老服务中心（一期）运营管理实行监督，并督导中标人及时向招标人及监管机构报告重大事项，提交年度情况报告。在特定情形下（如发生中标人无法掌控的紧急情况或者中标人严重违约）招标人有直接介入韶关市武江区养老服务中心（一期）运营管理的权利。</w:t>
      </w:r>
    </w:p>
    <w:p w14:paraId="3DCB535E">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14.招标人有权对中标人经营情况进行随机检查，重点检查兜底床位占用情况，兜底床位使用与供养人员是否相符等。</w:t>
      </w:r>
    </w:p>
    <w:p w14:paraId="77BB8469">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15.政策变更告知义务：若国家、省、市出台养老服务相关新政策（如收费标准、安全规范），招标人需在政策生效前30日书面告知中标人，双方协商调整合同相关条款。</w:t>
      </w:r>
    </w:p>
    <w:p w14:paraId="1927AA4A">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16.专项资金拨付时限：政府供养人员的供养费、护理补贴等经费，招标人需在次月15日前足额拨付至中标人账户。</w:t>
      </w:r>
    </w:p>
    <w:p w14:paraId="4D01327A">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17.投诉处理机制：招标人设立24小时投诉热线，负责接收入住老人及家属的投诉，中标人需在接到招标人转办的投诉后48小时内提交处理方案，7日内办结并反馈，投诉处理结果纳入年度考核。</w:t>
      </w:r>
    </w:p>
    <w:p w14:paraId="78BF38CA">
      <w:pPr>
        <w:keepNext w:val="0"/>
        <w:keepLines w:val="0"/>
        <w:pageBreakBefore w:val="0"/>
        <w:widowControl w:val="0"/>
        <w:kinsoku/>
        <w:wordWrap/>
        <w:overflowPunct/>
        <w:topLinePunct w:val="0"/>
        <w:autoSpaceDE/>
        <w:autoSpaceDN/>
        <w:bidi w:val="0"/>
        <w:adjustRightInd/>
        <w:snapToGrid/>
        <w:spacing w:line="360" w:lineRule="auto"/>
        <w:ind w:left="0" w:leftChars="0" w:firstLine="422" w:firstLineChars="200"/>
        <w:textAlignment w:val="auto"/>
        <w:rPr>
          <w:rFonts w:hint="eastAsia" w:ascii="宋体" w:hAnsi="宋体" w:eastAsia="宋体" w:cs="宋体"/>
          <w:b/>
          <w:bCs/>
          <w:color w:val="auto"/>
          <w:kern w:val="2"/>
          <w:sz w:val="21"/>
          <w:szCs w:val="21"/>
          <w:highlight w:val="none"/>
          <w:lang w:val="en-US" w:eastAsia="zh-CN" w:bidi="ar-SA"/>
        </w:rPr>
      </w:pPr>
      <w:r>
        <w:rPr>
          <w:rFonts w:hint="eastAsia" w:ascii="宋体" w:hAnsi="宋体" w:eastAsia="宋体" w:cs="宋体"/>
          <w:b/>
          <w:bCs/>
          <w:color w:val="auto"/>
          <w:kern w:val="2"/>
          <w:sz w:val="21"/>
          <w:szCs w:val="21"/>
          <w:highlight w:val="none"/>
          <w:lang w:val="en-US" w:eastAsia="zh-CN" w:bidi="ar-SA"/>
        </w:rPr>
        <w:t>（二）中标人的权利和义务</w:t>
      </w:r>
    </w:p>
    <w:p w14:paraId="7CA7DB35">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1.中标人为依据法律正式成立并有效存续的法人，并具有完全民事行为能力。</w:t>
      </w:r>
    </w:p>
    <w:p w14:paraId="666A66FB">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2.中标人拥有签订并履行本项目的全部、充分的权利与授权，并依据法律具有签订本项目的行为能力。</w:t>
      </w:r>
    </w:p>
    <w:p w14:paraId="7A9486D4">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3.在本项目运营期限内，中标人应遵守国家法律法规和政策文件有关规定保障入住老人权益，自觉接受和配合招标人对韶关市武江区养老服务中心（一期）老年人权益保障和运营管理的监督，但中标人有权拒绝招标人违反法律法规的要求。</w:t>
      </w:r>
    </w:p>
    <w:p w14:paraId="2D815B61">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4.在本项目有效期限内，中标人对本项目范围内的建筑物、设施设备拥有使用权，拥有韶关市武江区养老服务中心（一期）自主运营管理权和收益权，自负盈亏，独立承担运营过程中产生的费用和债权债务。</w:t>
      </w:r>
    </w:p>
    <w:p w14:paraId="5ED4A1AD">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5.中标人必须按规定建立财务账目，规范财务管理，并向招标人提供财务报表，季度财务报表在季度终了之日起15日内报送，年度财务报表在年度终了之日起2个月内报送。每年提交工作报告，内容主要包括韶关市武江区养老服务中心（一期）的服务范围、服务对象、服务质量、运营管理、运营收支等相关情况。运营期内，中标人应针对兜底对象的人员护理照料费用使用明细账进行登记，便于招标人对本项目兜底对象救助供养金和护理照料费明细进行监管及财务审计进行核查。</w:t>
      </w:r>
    </w:p>
    <w:p w14:paraId="381E0B85">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6.在本项目运营期内，凡以韶关市武江区养老服务中心（一期）名义向各级政府和组织申请的专项资金，应专款专用，并设立台账，便于招标人财务审计核查。专项资金的投入作为政府国有资产，中标人要按当年区财政与银行协定的利率计算利息并上缴给区财政。缴交利息时间为每年的12月31日前，否则按合同违约处理。</w:t>
      </w:r>
    </w:p>
    <w:p w14:paraId="03AB5187">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7.韶关市武江区养老服务中心（一期）面向社会入住老人的收费标准，由中标人依照韶关市武江区养老服务中心（一期）机构设施设备条件、管理水平、服务质量、护理等级、市场物价等因素确定提出方案，按规定程序报招标人审核同意，按规定程序报发改物价部门备案。</w:t>
      </w:r>
    </w:p>
    <w:p w14:paraId="028AC33B">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8.中标人应根据服务需求，建立健全的机构内部信息管理系统，实现机构内部信息化管理，并能不断完善各项管理规章制度、人力资源管理、具体的日常岗位工作安排和应急管理方案，招标人有权要求其修订相关制度并监督其执行。</w:t>
      </w:r>
    </w:p>
    <w:p w14:paraId="1C1DB64D">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9.中标人对入住的特困供养人员和面向社会入住人员，应按法律法规、政策规定及供养费用水平、收费标准等，提供适当水平档次的饮食、生活起居、照料护理、医养健康等服务，不得克扣钱物、降低服务水平和档次。对入住的特困供养人员，中标人每月应按照不低于约5%供养费计算发放零用钱。</w:t>
      </w:r>
    </w:p>
    <w:p w14:paraId="67E47E60">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10.中标人负责按照国家相关标准和规范对韶关市武江区养老服务中心（一期）机构进行运营管理，并对固定资产进行日常管理维护（消防、燃气、电梯等设施应聘请有资质的第三方进行年检，定期维护），不得从事与养老服务无关的运营活动，不得出租、出借、处置韶关市武江区养老服务中心（一期）的资产，不得以韶关市武江区养老服务中心（一期）的资产进行抵押、贷款等活动。</w:t>
      </w:r>
    </w:p>
    <w:p w14:paraId="7B053630">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11.中标人应按上级对区级公办养老机构的统一政策规定和部署安排，达到相应的养老机构等级和标准。</w:t>
      </w:r>
    </w:p>
    <w:p w14:paraId="45F7A4E3">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12.中标人应保证韶关市武江区养老服务中心（一期）正式运营时的设施设备、床位设置、护理及服务人员配置等符合相关法律法规和规范的要求。上述设施设备的维护、</w:t>
      </w:r>
      <w:r>
        <w:rPr>
          <w:rFonts w:hint="eastAsia" w:ascii="宋体" w:hAnsi="宋体" w:eastAsia="宋体" w:cs="宋体"/>
          <w:color w:val="auto"/>
          <w:sz w:val="21"/>
          <w:szCs w:val="21"/>
          <w:highlight w:val="none"/>
          <w:lang w:val="en-US" w:eastAsia="zh-CN"/>
        </w:rPr>
        <w:t>维保、</w:t>
      </w:r>
      <w:r>
        <w:rPr>
          <w:rFonts w:hint="eastAsia" w:ascii="宋体" w:hAnsi="宋体" w:eastAsia="宋体" w:cs="宋体"/>
          <w:color w:val="auto"/>
          <w:kern w:val="2"/>
          <w:sz w:val="21"/>
          <w:szCs w:val="21"/>
          <w:highlight w:val="none"/>
          <w:lang w:val="en-US" w:eastAsia="zh-CN" w:bidi="ar-SA"/>
        </w:rPr>
        <w:t>更新、添置等费用由中标人负责。</w:t>
      </w:r>
    </w:p>
    <w:p w14:paraId="6EB8CCF7">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13.中标人应保证充足的开业资金和维持韶关市武江区养老服务中心（一期）正常运营的资金。</w:t>
      </w:r>
    </w:p>
    <w:p w14:paraId="3F281434">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14.中标人在经营过程中，设备及固定资产需要更换或维修，须向招标人报备，并经招标人同意，确认资产，并造册登记。合同期满后，资产移交给招标人。</w:t>
      </w:r>
    </w:p>
    <w:p w14:paraId="47AF154D">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15.中标人建设期间因安全、劳资纠纷等产生的问题，中标人负全责并妥善处理，招标人保留追究相关经济和法律责任的权利。</w:t>
      </w:r>
    </w:p>
    <w:p w14:paraId="15875818">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16.运营期间如存在安全隐患、服务质量等问题，要限时进行整改，中标人应无条件配合招标人进行整改并承担相应责任。</w:t>
      </w:r>
    </w:p>
    <w:p w14:paraId="6DA8955C">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strike w:val="0"/>
          <w:dstrike w:val="0"/>
          <w:color w:val="auto"/>
          <w:kern w:val="2"/>
          <w:sz w:val="21"/>
          <w:szCs w:val="21"/>
          <w:highlight w:val="none"/>
          <w:lang w:val="en-US" w:eastAsia="zh-CN" w:bidi="ar-SA"/>
        </w:rPr>
      </w:pPr>
      <w:r>
        <w:rPr>
          <w:rFonts w:hint="eastAsia" w:ascii="宋体" w:hAnsi="宋体" w:eastAsia="宋体" w:cs="宋体"/>
          <w:strike w:val="0"/>
          <w:dstrike w:val="0"/>
          <w:color w:val="auto"/>
          <w:kern w:val="2"/>
          <w:sz w:val="21"/>
          <w:szCs w:val="21"/>
          <w:highlight w:val="none"/>
          <w:lang w:val="en-US" w:eastAsia="zh-CN" w:bidi="ar-SA"/>
        </w:rPr>
        <w:t>17.中标人在运营期期间内达到广东省养老机构星级机构评定，招标人协助中标人向相关部门申请相应的奖补。具体的奖补标准如下：中标人在运营期前五年达到广东省养老机构星级评定标准中四星级标准，则自评定后的下一年起奖补当年合作收益分成20%。中标人在运营期前五年达到广东省养老机构星级评定标准五星级标准，则自评定后的下一年起奖补当年合作收益分成30%，奖补合作收益分成累计不超过三年。中标人在运营期前五年未能达到广东省养老机构星级评定标准中四星级及以上养老机构标准，则合作收益分成没有任何奖补。最终奖补标准以及期限以相关部门核定为准。</w:t>
      </w:r>
    </w:p>
    <w:p w14:paraId="38017A35">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18.人员配置标准：护理人员与床位配比需满足：失能床位1:3、半失能床位1:6、自理床位1:10；所有护理人员需持有效职业资格证书上岗，每年参加专业培训时长≥40小时，培训记录报招标人备案。</w:t>
      </w:r>
    </w:p>
    <w:p w14:paraId="40509EE0">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19.资产维护责任划分：</w:t>
      </w:r>
    </w:p>
    <w:p w14:paraId="72B936B6">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1）日常小额维修（单次费用≤5000元）：中标人72小时内响应并完成；</w:t>
      </w:r>
    </w:p>
    <w:p w14:paraId="333604E5">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2）中大额维修（5000元＜单次费用≤5万元）：中标人3日内提交维修方案，经招标人同意后15日内完成；</w:t>
      </w:r>
    </w:p>
    <w:p w14:paraId="3589F6E0">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3）建筑物本体结构性维修：中标人发现后24小时内上报招标人，由招标人牵头组织维修，费用按本项目第六条第（五）项执行。</w:t>
      </w:r>
    </w:p>
    <w:p w14:paraId="383D2D10">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20.中标人需制定自然灾害、公共卫生事件、老人突发疾病等6类应急预案，每季度组织1次演练，演练记录报招标人备案；发生重大事件（如老人意外伤亡、较大安全事故），中标人需在2小时内上报招标人及相关部门。</w:t>
      </w:r>
    </w:p>
    <w:p w14:paraId="44CEA4FE">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b/>
          <w:bCs/>
          <w:color w:val="auto"/>
          <w:sz w:val="21"/>
          <w:szCs w:val="21"/>
          <w:highlight w:val="none"/>
          <w:u w:val="none"/>
          <w:shd w:val="clear" w:color="auto" w:fill="auto"/>
          <w:lang w:eastAsia="zh-CN"/>
        </w:rPr>
      </w:pPr>
      <w:r>
        <w:rPr>
          <w:rFonts w:hint="eastAsia" w:ascii="宋体" w:hAnsi="宋体" w:eastAsia="宋体" w:cs="宋体"/>
          <w:color w:val="auto"/>
          <w:kern w:val="2"/>
          <w:sz w:val="21"/>
          <w:szCs w:val="21"/>
          <w:highlight w:val="none"/>
          <w:lang w:val="en-US" w:eastAsia="zh-CN" w:bidi="ar-SA"/>
        </w:rPr>
        <w:t>21.若中标人运营期间需向用户收取养老押金的，须建立养老押金三方监管机制，开立专用存款账户，对押金的收取、存储、支取、退回全流程闭环管控，严格依据《养老机构预收费存管工作指引》等政策执行，确保资金专款专用、安全可追溯。</w:t>
      </w:r>
    </w:p>
    <w:p w14:paraId="6CEE35D5">
      <w:pPr>
        <w:keepNext w:val="0"/>
        <w:keepLines w:val="0"/>
        <w:pageBreakBefore w:val="0"/>
        <w:widowControl w:val="0"/>
        <w:kinsoku/>
        <w:wordWrap/>
        <w:overflowPunct/>
        <w:topLinePunct w:val="0"/>
        <w:autoSpaceDN/>
        <w:bidi w:val="0"/>
        <w:adjustRightInd/>
        <w:snapToGrid/>
        <w:spacing w:line="560" w:lineRule="exact"/>
        <w:ind w:left="0" w:leftChars="0" w:firstLine="422" w:firstLineChars="200"/>
        <w:textAlignment w:val="auto"/>
        <w:rPr>
          <w:rFonts w:hint="eastAsia" w:ascii="宋体" w:hAnsi="宋体" w:eastAsia="宋体" w:cs="宋体"/>
          <w:b/>
          <w:bCs/>
          <w:color w:val="auto"/>
          <w:sz w:val="21"/>
          <w:szCs w:val="21"/>
          <w:highlight w:val="none"/>
          <w:u w:val="none"/>
          <w:shd w:val="clear" w:color="auto" w:fill="auto"/>
          <w:lang w:eastAsia="zh-CN"/>
        </w:rPr>
      </w:pPr>
      <w:r>
        <w:rPr>
          <w:rFonts w:hint="eastAsia" w:ascii="宋体" w:hAnsi="宋体" w:eastAsia="宋体" w:cs="宋体"/>
          <w:b/>
          <w:bCs/>
          <w:color w:val="auto"/>
          <w:sz w:val="21"/>
          <w:szCs w:val="21"/>
          <w:highlight w:val="none"/>
          <w:u w:val="none"/>
          <w:shd w:val="clear" w:color="auto" w:fill="auto"/>
          <w:lang w:val="en-US" w:eastAsia="zh-CN"/>
        </w:rPr>
        <w:t>五、合作收益分成、支付</w:t>
      </w:r>
      <w:r>
        <w:rPr>
          <w:rFonts w:hint="eastAsia" w:ascii="宋体" w:hAnsi="宋体" w:eastAsia="宋体" w:cs="宋体"/>
          <w:b/>
          <w:bCs/>
          <w:color w:val="auto"/>
          <w:sz w:val="21"/>
          <w:szCs w:val="21"/>
          <w:highlight w:val="none"/>
          <w:u w:val="none"/>
          <w:shd w:val="clear" w:color="auto" w:fill="auto"/>
          <w:lang w:eastAsia="zh-CN"/>
        </w:rPr>
        <w:t>方式</w:t>
      </w:r>
    </w:p>
    <w:p w14:paraId="4763B0A8">
      <w:pPr>
        <w:keepNext w:val="0"/>
        <w:keepLines w:val="0"/>
        <w:pageBreakBefore w:val="0"/>
        <w:widowControl w:val="0"/>
        <w:kinsoku/>
        <w:wordWrap/>
        <w:overflowPunct/>
        <w:topLinePunct w:val="0"/>
        <w:autoSpaceDN/>
        <w:bidi w:val="0"/>
        <w:adjustRightInd/>
        <w:snapToGrid/>
        <w:spacing w:line="560" w:lineRule="exact"/>
        <w:ind w:left="0" w:leftChars="0" w:firstLine="422" w:firstLineChars="200"/>
        <w:textAlignment w:val="auto"/>
        <w:rPr>
          <w:rFonts w:hint="default" w:ascii="宋体" w:hAnsi="宋体" w:eastAsia="宋体" w:cs="宋体"/>
          <w:b/>
          <w:bCs/>
          <w:color w:val="auto"/>
          <w:sz w:val="21"/>
          <w:szCs w:val="21"/>
          <w:highlight w:val="none"/>
          <w:u w:val="none"/>
          <w:shd w:val="clear" w:color="auto" w:fill="auto"/>
          <w:lang w:val="en-US" w:eastAsia="zh-CN"/>
        </w:rPr>
      </w:pPr>
      <w:r>
        <w:rPr>
          <w:rFonts w:hint="eastAsia" w:ascii="宋体" w:hAnsi="宋体" w:eastAsia="宋体" w:cs="宋体"/>
          <w:b/>
          <w:bCs/>
          <w:color w:val="auto"/>
          <w:sz w:val="21"/>
          <w:szCs w:val="21"/>
          <w:highlight w:val="none"/>
          <w:u w:val="none"/>
          <w:shd w:val="clear" w:color="auto" w:fill="auto"/>
          <w:lang w:val="en-US" w:eastAsia="zh-CN"/>
        </w:rPr>
        <w:t>1.合作收益分成标准</w:t>
      </w:r>
    </w:p>
    <w:tbl>
      <w:tblPr>
        <w:tblStyle w:val="17"/>
        <w:tblW w:w="55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1"/>
        <w:gridCol w:w="2909"/>
        <w:gridCol w:w="777"/>
        <w:gridCol w:w="1502"/>
        <w:gridCol w:w="1095"/>
        <w:gridCol w:w="1477"/>
        <w:gridCol w:w="1446"/>
      </w:tblGrid>
      <w:tr w14:paraId="0C995F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2" w:hRule="atLeast"/>
          <w:jc w:val="center"/>
        </w:trPr>
        <w:tc>
          <w:tcPr>
            <w:tcW w:w="173" w:type="pct"/>
            <w:noWrap/>
            <w:vAlign w:val="center"/>
          </w:tcPr>
          <w:p w14:paraId="26005530">
            <w:pPr>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序号</w:t>
            </w:r>
          </w:p>
        </w:tc>
        <w:tc>
          <w:tcPr>
            <w:tcW w:w="1525" w:type="pct"/>
            <w:noWrap/>
            <w:vAlign w:val="center"/>
          </w:tcPr>
          <w:p w14:paraId="274A92F3">
            <w:pPr>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lang w:eastAsia="zh-CN"/>
              </w:rPr>
              <w:t>招标</w:t>
            </w:r>
            <w:r>
              <w:rPr>
                <w:rFonts w:hint="eastAsia" w:ascii="宋体" w:hAnsi="宋体" w:eastAsia="宋体" w:cs="宋体"/>
                <w:b/>
                <w:bCs/>
                <w:color w:val="auto"/>
                <w:sz w:val="21"/>
                <w:szCs w:val="21"/>
                <w:highlight w:val="none"/>
              </w:rPr>
              <w:t>标的</w:t>
            </w:r>
          </w:p>
        </w:tc>
        <w:tc>
          <w:tcPr>
            <w:tcW w:w="407" w:type="pct"/>
            <w:noWrap/>
            <w:vAlign w:val="center"/>
          </w:tcPr>
          <w:p w14:paraId="0D30A8B3">
            <w:pPr>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数量</w:t>
            </w:r>
          </w:p>
        </w:tc>
        <w:tc>
          <w:tcPr>
            <w:tcW w:w="787" w:type="pct"/>
            <w:noWrap/>
            <w:vAlign w:val="center"/>
          </w:tcPr>
          <w:p w14:paraId="4839B463">
            <w:pPr>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shd w:val="clear" w:color="auto" w:fill="auto"/>
              </w:rPr>
              <w:t>运营期限</w:t>
            </w:r>
          </w:p>
        </w:tc>
        <w:tc>
          <w:tcPr>
            <w:tcW w:w="574" w:type="pct"/>
            <w:noWrap/>
            <w:vAlign w:val="center"/>
          </w:tcPr>
          <w:p w14:paraId="30251080">
            <w:pPr>
              <w:spacing w:line="360" w:lineRule="auto"/>
              <w:jc w:val="center"/>
              <w:rPr>
                <w:rFonts w:hint="default" w:ascii="宋体" w:hAnsi="宋体" w:eastAsia="宋体" w:cs="宋体"/>
                <w:b/>
                <w:bCs/>
                <w:color w:val="auto"/>
                <w:sz w:val="21"/>
                <w:szCs w:val="21"/>
                <w:highlight w:val="none"/>
                <w:lang w:val="en-US" w:eastAsia="zh-CN"/>
              </w:rPr>
            </w:pPr>
            <w:r>
              <w:rPr>
                <w:rFonts w:hint="eastAsia" w:ascii="宋体" w:hAnsi="宋体" w:eastAsia="宋体" w:cs="宋体"/>
                <w:b/>
                <w:bCs/>
                <w:color w:val="auto"/>
                <w:sz w:val="21"/>
                <w:szCs w:val="21"/>
                <w:highlight w:val="none"/>
                <w:shd w:val="clear" w:color="auto" w:fill="auto"/>
                <w:lang w:val="en-US" w:eastAsia="zh-CN"/>
              </w:rPr>
              <w:t>免收益分成期限</w:t>
            </w:r>
          </w:p>
        </w:tc>
        <w:tc>
          <w:tcPr>
            <w:tcW w:w="774" w:type="pct"/>
            <w:noWrap/>
            <w:vAlign w:val="center"/>
          </w:tcPr>
          <w:p w14:paraId="2323B1CC">
            <w:pPr>
              <w:spacing w:line="360" w:lineRule="auto"/>
              <w:jc w:val="center"/>
              <w:rPr>
                <w:rFonts w:hint="eastAsia" w:ascii="宋体" w:hAnsi="宋体" w:eastAsia="宋体" w:cs="宋体"/>
                <w:b/>
                <w:bCs/>
                <w:color w:val="auto"/>
                <w:sz w:val="21"/>
                <w:szCs w:val="21"/>
                <w:highlight w:val="none"/>
                <w:shd w:val="clear" w:color="auto" w:fill="auto"/>
              </w:rPr>
            </w:pPr>
            <w:r>
              <w:rPr>
                <w:rFonts w:hint="eastAsia" w:eastAsia="宋体" w:cs="宋体"/>
                <w:b/>
                <w:bCs/>
                <w:color w:val="auto"/>
                <w:sz w:val="21"/>
                <w:szCs w:val="21"/>
                <w:highlight w:val="none"/>
              </w:rPr>
              <w:t>面积</w:t>
            </w:r>
            <w:r>
              <w:rPr>
                <w:rFonts w:hint="eastAsia" w:ascii="宋体" w:hAnsi="宋体" w:eastAsia="宋体" w:cs="宋体"/>
                <w:b/>
                <w:bCs/>
                <w:color w:val="auto"/>
                <w:sz w:val="21"/>
                <w:szCs w:val="21"/>
                <w:highlight w:val="none"/>
              </w:rPr>
              <w:t>M²</w:t>
            </w:r>
          </w:p>
        </w:tc>
        <w:tc>
          <w:tcPr>
            <w:tcW w:w="758" w:type="pct"/>
            <w:noWrap/>
            <w:vAlign w:val="center"/>
          </w:tcPr>
          <w:p w14:paraId="2D2A7F0C">
            <w:pPr>
              <w:spacing w:line="360" w:lineRule="auto"/>
              <w:jc w:val="center"/>
              <w:rPr>
                <w:rFonts w:hint="eastAsia" w:ascii="宋体" w:hAnsi="宋体" w:eastAsia="宋体" w:cs="宋体"/>
                <w:b/>
                <w:bCs/>
                <w:color w:val="auto"/>
                <w:sz w:val="21"/>
                <w:szCs w:val="21"/>
                <w:highlight w:val="none"/>
                <w:shd w:val="clear" w:color="auto" w:fill="auto"/>
              </w:rPr>
            </w:pPr>
            <w:r>
              <w:rPr>
                <w:rFonts w:hint="eastAsia" w:eastAsia="宋体" w:cs="宋体"/>
                <w:b/>
                <w:bCs/>
                <w:color w:val="auto"/>
                <w:sz w:val="21"/>
                <w:szCs w:val="21"/>
                <w:highlight w:val="none"/>
                <w:lang w:eastAsia="zh-CN"/>
              </w:rPr>
              <w:t>基础收益分成金额</w:t>
            </w:r>
            <w:r>
              <w:rPr>
                <w:rFonts w:hint="eastAsia" w:eastAsia="宋体" w:cs="宋体"/>
                <w:b/>
                <w:bCs/>
                <w:color w:val="auto"/>
                <w:sz w:val="21"/>
                <w:szCs w:val="21"/>
                <w:highlight w:val="none"/>
              </w:rPr>
              <w:t>（元/</w:t>
            </w:r>
            <w:r>
              <w:rPr>
                <w:rFonts w:hint="eastAsia" w:ascii="宋体" w:hAnsi="宋体" w:eastAsia="宋体" w:cs="宋体"/>
                <w:b/>
                <w:bCs/>
                <w:color w:val="auto"/>
                <w:sz w:val="21"/>
                <w:szCs w:val="21"/>
                <w:highlight w:val="none"/>
              </w:rPr>
              <w:t>M²/月</w:t>
            </w:r>
            <w:r>
              <w:rPr>
                <w:rFonts w:hint="eastAsia" w:eastAsia="宋体" w:cs="宋体"/>
                <w:b/>
                <w:bCs/>
                <w:color w:val="auto"/>
                <w:sz w:val="21"/>
                <w:szCs w:val="21"/>
                <w:highlight w:val="none"/>
              </w:rPr>
              <w:t>）</w:t>
            </w:r>
          </w:p>
        </w:tc>
      </w:tr>
      <w:tr w14:paraId="05D302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7" w:hRule="atLeast"/>
          <w:jc w:val="center"/>
        </w:trPr>
        <w:tc>
          <w:tcPr>
            <w:tcW w:w="173" w:type="pct"/>
            <w:noWrap/>
            <w:vAlign w:val="center"/>
          </w:tcPr>
          <w:p w14:paraId="6CFED5BF">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1525" w:type="pct"/>
            <w:noWrap/>
            <w:vAlign w:val="center"/>
          </w:tcPr>
          <w:p w14:paraId="40BCDB63">
            <w:pPr>
              <w:spacing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韶关市武江区养老服务中心（一期）委托运营管理项目</w:t>
            </w:r>
          </w:p>
        </w:tc>
        <w:tc>
          <w:tcPr>
            <w:tcW w:w="407" w:type="pct"/>
            <w:noWrap/>
            <w:vAlign w:val="center"/>
          </w:tcPr>
          <w:p w14:paraId="5F069A0F">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1项</w:t>
            </w:r>
          </w:p>
        </w:tc>
        <w:tc>
          <w:tcPr>
            <w:tcW w:w="787" w:type="pct"/>
            <w:noWrap/>
            <w:vAlign w:val="center"/>
          </w:tcPr>
          <w:p w14:paraId="3CE8A651">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kern w:val="16"/>
                <w:sz w:val="21"/>
                <w:szCs w:val="21"/>
                <w:highlight w:val="none"/>
                <w:shd w:val="clear" w:color="auto" w:fill="auto"/>
                <w:lang w:eastAsia="zh-CN"/>
              </w:rPr>
              <w:t>自</w:t>
            </w:r>
            <w:r>
              <w:rPr>
                <w:rFonts w:hint="eastAsia" w:ascii="宋体" w:hAnsi="宋体" w:eastAsia="宋体" w:cs="宋体"/>
                <w:color w:val="auto"/>
                <w:kern w:val="16"/>
                <w:sz w:val="21"/>
                <w:szCs w:val="21"/>
                <w:highlight w:val="none"/>
                <w:shd w:val="clear" w:color="auto" w:fill="auto"/>
                <w:lang w:val="en-US" w:eastAsia="zh-CN"/>
              </w:rPr>
              <w:t>合同签订之日起</w:t>
            </w:r>
            <w:r>
              <w:rPr>
                <w:rFonts w:hint="eastAsia" w:ascii="宋体" w:hAnsi="宋体" w:eastAsia="宋体" w:cs="宋体"/>
                <w:color w:val="auto"/>
                <w:kern w:val="16"/>
                <w:sz w:val="21"/>
                <w:szCs w:val="21"/>
                <w:highlight w:val="none"/>
                <w:shd w:val="clear" w:color="auto" w:fill="auto"/>
                <w:lang w:eastAsia="zh-CN"/>
              </w:rPr>
              <w:t>20年</w:t>
            </w:r>
          </w:p>
        </w:tc>
        <w:tc>
          <w:tcPr>
            <w:tcW w:w="574" w:type="pct"/>
            <w:noWrap/>
            <w:vAlign w:val="center"/>
          </w:tcPr>
          <w:p w14:paraId="0C1CA74E">
            <w:pPr>
              <w:spacing w:line="360" w:lineRule="auto"/>
              <w:jc w:val="center"/>
              <w:rPr>
                <w:rFonts w:hint="eastAsia" w:ascii="宋体" w:hAnsi="宋体" w:eastAsia="宋体" w:cs="宋体"/>
                <w:color w:val="auto"/>
                <w:kern w:val="16"/>
                <w:sz w:val="21"/>
                <w:szCs w:val="21"/>
                <w:highlight w:val="none"/>
                <w:lang w:eastAsia="zh-CN"/>
              </w:rPr>
            </w:pPr>
            <w:r>
              <w:rPr>
                <w:rFonts w:hint="eastAsia" w:ascii="宋体" w:hAnsi="宋体" w:eastAsia="宋体" w:cs="宋体"/>
                <w:color w:val="auto"/>
                <w:kern w:val="16"/>
                <w:sz w:val="21"/>
                <w:szCs w:val="21"/>
                <w:highlight w:val="none"/>
                <w:shd w:val="clear" w:color="auto" w:fill="auto"/>
                <w:lang w:val="en-US" w:eastAsia="zh-CN"/>
              </w:rPr>
              <w:t>半年</w:t>
            </w:r>
          </w:p>
        </w:tc>
        <w:tc>
          <w:tcPr>
            <w:tcW w:w="774" w:type="pct"/>
            <w:noWrap/>
            <w:vAlign w:val="center"/>
          </w:tcPr>
          <w:p w14:paraId="3F354EBC">
            <w:pPr>
              <w:spacing w:line="360" w:lineRule="auto"/>
              <w:jc w:val="center"/>
              <w:rPr>
                <w:rFonts w:hint="default" w:ascii="宋体" w:hAnsi="宋体" w:eastAsia="宋体" w:cs="宋体"/>
                <w:color w:val="auto"/>
                <w:kern w:val="16"/>
                <w:sz w:val="21"/>
                <w:szCs w:val="21"/>
                <w:highlight w:val="none"/>
                <w:shd w:val="clear" w:color="auto" w:fill="auto"/>
                <w:lang w:val="en-US" w:eastAsia="zh-CN"/>
              </w:rPr>
            </w:pPr>
            <w:r>
              <w:rPr>
                <w:rFonts w:hint="eastAsia" w:ascii="宋体" w:hAnsi="宋体" w:eastAsia="宋体" w:cs="宋体"/>
                <w:b w:val="0"/>
                <w:bCs/>
                <w:color w:val="auto"/>
                <w:sz w:val="21"/>
                <w:szCs w:val="21"/>
                <w:highlight w:val="none"/>
                <w:lang w:val="en-US" w:eastAsia="zh-CN"/>
              </w:rPr>
              <w:t>20509.91</w:t>
            </w:r>
          </w:p>
        </w:tc>
        <w:tc>
          <w:tcPr>
            <w:tcW w:w="758" w:type="pct"/>
            <w:noWrap/>
            <w:vAlign w:val="center"/>
          </w:tcPr>
          <w:p w14:paraId="7E7F2C46">
            <w:pPr>
              <w:spacing w:line="360" w:lineRule="auto"/>
              <w:jc w:val="center"/>
              <w:rPr>
                <w:rFonts w:hint="default" w:ascii="宋体" w:hAnsi="宋体" w:eastAsia="宋体" w:cs="宋体"/>
                <w:color w:val="auto"/>
                <w:kern w:val="16"/>
                <w:sz w:val="21"/>
                <w:szCs w:val="21"/>
                <w:highlight w:val="none"/>
                <w:shd w:val="clear" w:color="auto" w:fill="auto"/>
                <w:lang w:val="en-US" w:eastAsia="zh-CN"/>
              </w:rPr>
            </w:pPr>
            <w:r>
              <w:rPr>
                <w:rFonts w:hint="eastAsia" w:ascii="宋体" w:hAnsi="宋体" w:eastAsia="宋体" w:cs="宋体"/>
                <w:color w:val="auto"/>
                <w:kern w:val="16"/>
                <w:sz w:val="21"/>
                <w:szCs w:val="21"/>
                <w:highlight w:val="none"/>
                <w:shd w:val="clear" w:color="auto" w:fill="auto"/>
                <w:lang w:val="en-US" w:eastAsia="zh-CN"/>
              </w:rPr>
              <w:t>3.1</w:t>
            </w:r>
          </w:p>
        </w:tc>
      </w:tr>
    </w:tbl>
    <w:p w14:paraId="41843CE7">
      <w:pPr>
        <w:keepNext w:val="0"/>
        <w:keepLines w:val="0"/>
        <w:pageBreakBefore w:val="0"/>
        <w:widowControl w:val="0"/>
        <w:numPr>
          <w:ilvl w:val="0"/>
          <w:numId w:val="0"/>
        </w:numP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宋体"/>
          <w:bCs/>
          <w:color w:val="auto"/>
          <w:sz w:val="21"/>
          <w:szCs w:val="21"/>
          <w:highlight w:val="none"/>
          <w:lang w:val="en-US" w:eastAsia="zh-CN"/>
        </w:rPr>
      </w:pPr>
      <w:r>
        <w:rPr>
          <w:rFonts w:hint="eastAsia" w:eastAsia="宋体" w:cs="宋体"/>
          <w:b w:val="0"/>
          <w:bCs w:val="0"/>
          <w:color w:val="auto"/>
          <w:sz w:val="21"/>
          <w:szCs w:val="21"/>
          <w:highlight w:val="none"/>
          <w:lang w:val="en-US" w:eastAsia="zh-CN"/>
        </w:rPr>
        <w:t>1.</w:t>
      </w:r>
      <w:r>
        <w:rPr>
          <w:rFonts w:hint="eastAsia" w:eastAsia="宋体" w:cs="宋体"/>
          <w:b/>
          <w:bCs/>
          <w:color w:val="auto"/>
          <w:sz w:val="21"/>
          <w:szCs w:val="21"/>
          <w:highlight w:val="none"/>
          <w:lang w:val="en-US" w:eastAsia="zh-CN"/>
        </w:rPr>
        <w:t>合作收益分成标准：</w:t>
      </w:r>
      <w:r>
        <w:rPr>
          <w:rFonts w:hint="eastAsia" w:asciiTheme="minorEastAsia" w:hAnsiTheme="minorEastAsia" w:eastAsiaTheme="minorEastAsia" w:cstheme="minorEastAsia"/>
          <w:b/>
          <w:bCs/>
          <w:color w:val="auto"/>
          <w:kern w:val="2"/>
          <w:sz w:val="21"/>
          <w:szCs w:val="21"/>
          <w:highlight w:val="none"/>
          <w:lang w:val="en-US" w:eastAsia="zh-CN" w:bidi="ar-SA"/>
        </w:rPr>
        <w:t>免</w:t>
      </w:r>
      <w:r>
        <w:rPr>
          <w:rFonts w:hint="eastAsia" w:ascii="宋体" w:hAnsi="宋体" w:eastAsia="宋体" w:cs="宋体"/>
          <w:b/>
          <w:bCs/>
          <w:color w:val="auto"/>
          <w:sz w:val="21"/>
          <w:szCs w:val="21"/>
          <w:highlight w:val="none"/>
          <w:shd w:val="clear" w:color="auto" w:fill="auto"/>
          <w:lang w:val="en-US" w:eastAsia="zh-CN"/>
        </w:rPr>
        <w:t>收益分成</w:t>
      </w:r>
      <w:r>
        <w:rPr>
          <w:rFonts w:hint="eastAsia" w:asciiTheme="minorEastAsia" w:hAnsiTheme="minorEastAsia" w:eastAsiaTheme="minorEastAsia" w:cstheme="minorEastAsia"/>
          <w:color w:val="auto"/>
          <w:kern w:val="2"/>
          <w:sz w:val="21"/>
          <w:szCs w:val="21"/>
          <w:highlight w:val="none"/>
          <w:lang w:val="en-US" w:eastAsia="zh-CN" w:bidi="ar-SA"/>
        </w:rPr>
        <w:t>半年。</w:t>
      </w:r>
      <w:r>
        <w:rPr>
          <w:rFonts w:hint="eastAsia" w:eastAsia="宋体" w:cs="宋体"/>
          <w:b/>
          <w:bCs/>
          <w:color w:val="auto"/>
          <w:sz w:val="21"/>
          <w:szCs w:val="21"/>
          <w:highlight w:val="none"/>
          <w:lang w:eastAsia="zh-CN"/>
        </w:rPr>
        <w:t>基础收益分成</w:t>
      </w:r>
      <w:r>
        <w:rPr>
          <w:rFonts w:hint="eastAsia" w:ascii="宋体" w:hAnsi="宋体" w:eastAsia="宋体" w:cs="宋体"/>
          <w:b w:val="0"/>
          <w:bCs/>
          <w:color w:val="auto"/>
          <w:sz w:val="21"/>
          <w:szCs w:val="21"/>
          <w:highlight w:val="none"/>
          <w:lang w:val="en-US" w:eastAsia="zh-CN"/>
        </w:rPr>
        <w:t>标准为3.1元/㎡/月起（含3.1）。</w:t>
      </w:r>
      <w:r>
        <w:rPr>
          <w:rFonts w:hint="eastAsia" w:ascii="宋体" w:hAnsi="宋体" w:eastAsia="宋体" w:cs="宋体"/>
          <w:bCs/>
          <w:color w:val="auto"/>
          <w:sz w:val="21"/>
          <w:szCs w:val="21"/>
          <w:highlight w:val="none"/>
          <w:lang w:val="en-US" w:eastAsia="zh-CN"/>
        </w:rPr>
        <w:t>第0.5-2年：按标准的20%收取；第3-4年：按标准的40%收取；第5-6年：按标准的60%收取；第7-8年：按标准的80%收取；第 9-10 年：按标准的100%收取；第 11-12 年：按标准的120%收取；第 13-14 年：按标准的140%收取；第 15-16 年：按标准的160%收取；第 17-18 年：按标准的180%收取；第19- 20 年：按标准的200%收取。具体基础收益分成表详见下表：</w:t>
      </w:r>
    </w:p>
    <w:tbl>
      <w:tblPr>
        <w:tblStyle w:val="17"/>
        <w:tblW w:w="4905"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423"/>
        <w:gridCol w:w="518"/>
        <w:gridCol w:w="760"/>
        <w:gridCol w:w="916"/>
        <w:gridCol w:w="726"/>
        <w:gridCol w:w="795"/>
        <w:gridCol w:w="953"/>
        <w:gridCol w:w="1035"/>
        <w:gridCol w:w="1071"/>
        <w:gridCol w:w="1158"/>
      </w:tblGrid>
      <w:tr w14:paraId="5E493E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85" w:hRule="atLeast"/>
        </w:trPr>
        <w:tc>
          <w:tcPr>
            <w:tcW w:w="2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6DA1B9">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序号</w:t>
            </w: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959561">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Theme="minorEastAsia" w:hAnsiTheme="minorEastAsia" w:eastAsiaTheme="minorEastAsia" w:cstheme="minorEastAsia"/>
                <w:b/>
                <w:bCs/>
                <w:i w:val="0"/>
                <w:iCs w:val="0"/>
                <w:color w:val="auto"/>
                <w:sz w:val="21"/>
                <w:szCs w:val="21"/>
                <w:u w:val="none"/>
              </w:rPr>
            </w:pPr>
            <w:r>
              <w:rPr>
                <w:rStyle w:val="108"/>
                <w:rFonts w:hint="eastAsia" w:asciiTheme="minorEastAsia" w:hAnsiTheme="minorEastAsia" w:eastAsiaTheme="minorEastAsia" w:cstheme="minorEastAsia"/>
                <w:color w:val="auto"/>
                <w:sz w:val="21"/>
                <w:szCs w:val="21"/>
                <w:lang w:val="en-US" w:eastAsia="zh-CN" w:bidi="ar"/>
              </w:rPr>
              <w:t>年份</w:t>
            </w:r>
          </w:p>
        </w:tc>
        <w:tc>
          <w:tcPr>
            <w:tcW w:w="4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39518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运营面积（㎡）</w:t>
            </w:r>
          </w:p>
        </w:tc>
        <w:tc>
          <w:tcPr>
            <w:tcW w:w="5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A018D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基础收益分成标准（元/㎡/月）</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7718F3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合作收益缴交比例</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3B278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月收益分成（元）</w:t>
            </w:r>
          </w:p>
        </w:tc>
        <w:tc>
          <w:tcPr>
            <w:tcW w:w="5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446B06">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Style w:val="108"/>
                <w:rFonts w:hint="eastAsia" w:asciiTheme="minorEastAsia" w:hAnsiTheme="minorEastAsia" w:eastAsiaTheme="minorEastAsia" w:cstheme="minorEastAsia"/>
                <w:i w:val="0"/>
                <w:iCs w:val="0"/>
                <w:color w:val="auto"/>
                <w:sz w:val="21"/>
                <w:szCs w:val="21"/>
                <w:lang w:val="en-US" w:eastAsia="zh-CN" w:bidi="ar"/>
              </w:rPr>
            </w:pPr>
            <w:r>
              <w:rPr>
                <w:rStyle w:val="108"/>
                <w:rFonts w:hint="eastAsia" w:asciiTheme="minorEastAsia" w:hAnsiTheme="minorEastAsia" w:eastAsiaTheme="minorEastAsia" w:cstheme="minorEastAsia"/>
                <w:i w:val="0"/>
                <w:iCs w:val="0"/>
                <w:color w:val="auto"/>
                <w:sz w:val="21"/>
                <w:szCs w:val="21"/>
                <w:lang w:val="en-US" w:eastAsia="zh-CN" w:bidi="ar"/>
              </w:rPr>
              <w:t>年收益分成（元）</w:t>
            </w:r>
          </w:p>
        </w:tc>
        <w:tc>
          <w:tcPr>
            <w:tcW w:w="6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8781EA">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Style w:val="108"/>
                <w:rFonts w:hint="eastAsia" w:asciiTheme="minorEastAsia" w:hAnsiTheme="minorEastAsia" w:eastAsiaTheme="minorEastAsia" w:cstheme="minorEastAsia"/>
                <w:i w:val="0"/>
                <w:iCs w:val="0"/>
                <w:color w:val="auto"/>
                <w:sz w:val="21"/>
                <w:szCs w:val="21"/>
                <w:lang w:val="en-US" w:eastAsia="zh-CN" w:bidi="ar"/>
              </w:rPr>
            </w:pPr>
            <w:r>
              <w:rPr>
                <w:rStyle w:val="108"/>
                <w:rFonts w:hint="eastAsia" w:asciiTheme="minorEastAsia" w:hAnsiTheme="minorEastAsia" w:eastAsiaTheme="minorEastAsia" w:cstheme="minorEastAsia"/>
                <w:i w:val="0"/>
                <w:iCs w:val="0"/>
                <w:color w:val="auto"/>
                <w:sz w:val="21"/>
                <w:szCs w:val="21"/>
                <w:lang w:val="en-US" w:eastAsia="zh-CN" w:bidi="ar"/>
              </w:rPr>
              <w:t>期间收益分成</w:t>
            </w:r>
            <w:r>
              <w:rPr>
                <w:rStyle w:val="108"/>
                <w:rFonts w:hint="eastAsia" w:asciiTheme="minorEastAsia" w:hAnsiTheme="minorEastAsia" w:eastAsiaTheme="minorEastAsia" w:cstheme="minorEastAsia"/>
                <w:i w:val="0"/>
                <w:iCs w:val="0"/>
                <w:color w:val="auto"/>
                <w:sz w:val="21"/>
                <w:szCs w:val="21"/>
                <w:lang w:val="en-US" w:eastAsia="zh-CN" w:bidi="ar"/>
              </w:rPr>
              <w:br w:type="textWrapping"/>
            </w:r>
            <w:r>
              <w:rPr>
                <w:rStyle w:val="108"/>
                <w:rFonts w:hint="eastAsia" w:asciiTheme="minorEastAsia" w:hAnsiTheme="minorEastAsia" w:eastAsiaTheme="minorEastAsia" w:cstheme="minorEastAsia"/>
                <w:i w:val="0"/>
                <w:iCs w:val="0"/>
                <w:color w:val="auto"/>
                <w:sz w:val="21"/>
                <w:szCs w:val="21"/>
                <w:lang w:val="en-US" w:eastAsia="zh-CN" w:bidi="ar"/>
              </w:rPr>
              <w:t>（每2年一期）</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EB1FE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Style w:val="108"/>
                <w:rFonts w:hint="eastAsia" w:asciiTheme="minorEastAsia" w:hAnsiTheme="minorEastAsia" w:eastAsiaTheme="minorEastAsia" w:cstheme="minorEastAsia"/>
                <w:i w:val="0"/>
                <w:iCs w:val="0"/>
                <w:color w:val="auto"/>
                <w:sz w:val="21"/>
                <w:szCs w:val="21"/>
                <w:lang w:val="en-US" w:eastAsia="zh-CN" w:bidi="ar"/>
              </w:rPr>
            </w:pPr>
            <w:r>
              <w:rPr>
                <w:rStyle w:val="108"/>
                <w:rFonts w:hint="eastAsia" w:asciiTheme="minorEastAsia" w:hAnsiTheme="minorEastAsia" w:eastAsiaTheme="minorEastAsia" w:cstheme="minorEastAsia"/>
                <w:i w:val="0"/>
                <w:iCs w:val="0"/>
                <w:color w:val="auto"/>
                <w:sz w:val="21"/>
                <w:szCs w:val="21"/>
                <w:lang w:val="en-US" w:eastAsia="zh-CN" w:bidi="ar"/>
              </w:rPr>
              <w:t>累计总收益（元）</w:t>
            </w:r>
          </w:p>
        </w:tc>
        <w:tc>
          <w:tcPr>
            <w:tcW w:w="6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30C7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Style w:val="108"/>
                <w:rFonts w:hint="eastAsia" w:asciiTheme="minorEastAsia" w:hAnsiTheme="minorEastAsia" w:eastAsiaTheme="minorEastAsia" w:cstheme="minorEastAsia"/>
                <w:i w:val="0"/>
                <w:iCs w:val="0"/>
                <w:color w:val="auto"/>
                <w:sz w:val="21"/>
                <w:szCs w:val="21"/>
                <w:lang w:val="en-US" w:eastAsia="zh-CN" w:bidi="ar"/>
              </w:rPr>
            </w:pPr>
            <w:r>
              <w:rPr>
                <w:rStyle w:val="108"/>
                <w:rFonts w:hint="eastAsia" w:asciiTheme="minorEastAsia" w:hAnsiTheme="minorEastAsia" w:eastAsiaTheme="minorEastAsia" w:cstheme="minorEastAsia"/>
                <w:i w:val="0"/>
                <w:iCs w:val="0"/>
                <w:color w:val="auto"/>
                <w:sz w:val="21"/>
                <w:szCs w:val="21"/>
                <w:lang w:val="en-US" w:eastAsia="zh-CN" w:bidi="ar"/>
              </w:rPr>
              <w:t>备注</w:t>
            </w:r>
          </w:p>
        </w:tc>
      </w:tr>
      <w:tr w14:paraId="526D6B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3" w:hRule="atLeast"/>
        </w:trPr>
        <w:tc>
          <w:tcPr>
            <w:tcW w:w="2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E3FB7A">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w:t>
            </w: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7078BF">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1-2</w:t>
            </w:r>
          </w:p>
        </w:tc>
        <w:tc>
          <w:tcPr>
            <w:tcW w:w="4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AACADD">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20,509.91</w:t>
            </w:r>
          </w:p>
        </w:tc>
        <w:tc>
          <w:tcPr>
            <w:tcW w:w="5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F30BDF">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3.1</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D0CA6A">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20%</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E4753A">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12716.1442</w:t>
            </w:r>
          </w:p>
        </w:tc>
        <w:tc>
          <w:tcPr>
            <w:tcW w:w="5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9C8360">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152593.7304</w:t>
            </w:r>
          </w:p>
        </w:tc>
        <w:tc>
          <w:tcPr>
            <w:tcW w:w="6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4929B7">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228890.5956</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0CBB00">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228,890.60</w:t>
            </w:r>
          </w:p>
        </w:tc>
        <w:tc>
          <w:tcPr>
            <w:tcW w:w="6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CA15BB">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免收益分成6个月</w:t>
            </w:r>
          </w:p>
        </w:tc>
      </w:tr>
      <w:tr w14:paraId="76BBA8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3" w:hRule="atLeast"/>
        </w:trPr>
        <w:tc>
          <w:tcPr>
            <w:tcW w:w="2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05E2BE">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w:t>
            </w: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4DCB75">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3-4</w:t>
            </w:r>
          </w:p>
        </w:tc>
        <w:tc>
          <w:tcPr>
            <w:tcW w:w="4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BB5E8E">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20,509.91</w:t>
            </w:r>
          </w:p>
        </w:tc>
        <w:tc>
          <w:tcPr>
            <w:tcW w:w="5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7F7E6E">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3.1</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254830">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40%</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6A719A">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25432.2884</w:t>
            </w:r>
          </w:p>
        </w:tc>
        <w:tc>
          <w:tcPr>
            <w:tcW w:w="5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300D90">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305187.4608</w:t>
            </w:r>
          </w:p>
        </w:tc>
        <w:tc>
          <w:tcPr>
            <w:tcW w:w="6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D26A85">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610374.9216</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484802">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839265.5172</w:t>
            </w:r>
          </w:p>
        </w:tc>
        <w:tc>
          <w:tcPr>
            <w:tcW w:w="6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160C00">
            <w:pPr>
              <w:spacing w:line="240" w:lineRule="auto"/>
              <w:jc w:val="center"/>
              <w:rPr>
                <w:rFonts w:hint="eastAsia" w:asciiTheme="minorEastAsia" w:hAnsiTheme="minorEastAsia" w:eastAsiaTheme="minorEastAsia" w:cstheme="minorEastAsia"/>
                <w:i w:val="0"/>
                <w:iCs w:val="0"/>
                <w:color w:val="auto"/>
                <w:sz w:val="21"/>
                <w:szCs w:val="21"/>
                <w:u w:val="none"/>
              </w:rPr>
            </w:pPr>
          </w:p>
        </w:tc>
      </w:tr>
      <w:tr w14:paraId="27FF32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3" w:hRule="atLeast"/>
        </w:trPr>
        <w:tc>
          <w:tcPr>
            <w:tcW w:w="2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E35A0B">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w:t>
            </w: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7785F4">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5-6</w:t>
            </w:r>
          </w:p>
        </w:tc>
        <w:tc>
          <w:tcPr>
            <w:tcW w:w="4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379863">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20,509.91</w:t>
            </w:r>
          </w:p>
        </w:tc>
        <w:tc>
          <w:tcPr>
            <w:tcW w:w="5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4854BF">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3.1</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6D5EB9">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60%</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B92BA1">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38148.4326</w:t>
            </w:r>
          </w:p>
        </w:tc>
        <w:tc>
          <w:tcPr>
            <w:tcW w:w="5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025D8F">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457781.1912</w:t>
            </w:r>
          </w:p>
        </w:tc>
        <w:tc>
          <w:tcPr>
            <w:tcW w:w="6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81C392">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915562.3824</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1422D7">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1754827.9</w:t>
            </w:r>
          </w:p>
        </w:tc>
        <w:tc>
          <w:tcPr>
            <w:tcW w:w="6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619DED">
            <w:pPr>
              <w:spacing w:line="240" w:lineRule="auto"/>
              <w:jc w:val="center"/>
              <w:rPr>
                <w:rFonts w:hint="eastAsia" w:asciiTheme="minorEastAsia" w:hAnsiTheme="minorEastAsia" w:eastAsiaTheme="minorEastAsia" w:cstheme="minorEastAsia"/>
                <w:i w:val="0"/>
                <w:iCs w:val="0"/>
                <w:color w:val="auto"/>
                <w:sz w:val="21"/>
                <w:szCs w:val="21"/>
                <w:u w:val="none"/>
              </w:rPr>
            </w:pPr>
          </w:p>
        </w:tc>
      </w:tr>
      <w:tr w14:paraId="2F8101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3" w:hRule="atLeast"/>
        </w:trPr>
        <w:tc>
          <w:tcPr>
            <w:tcW w:w="2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91092D">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4</w:t>
            </w: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45CCA8">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7-8</w:t>
            </w:r>
          </w:p>
        </w:tc>
        <w:tc>
          <w:tcPr>
            <w:tcW w:w="4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19CE8A">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20,509.91</w:t>
            </w:r>
          </w:p>
        </w:tc>
        <w:tc>
          <w:tcPr>
            <w:tcW w:w="5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0A9FB0">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3.1</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B460A8">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80%</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55B91F">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50864.5768</w:t>
            </w:r>
          </w:p>
        </w:tc>
        <w:tc>
          <w:tcPr>
            <w:tcW w:w="5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AC2D5F">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610374.9216</w:t>
            </w:r>
          </w:p>
        </w:tc>
        <w:tc>
          <w:tcPr>
            <w:tcW w:w="6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D8C4D5">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1220749.843</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D888D5">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2975577.743</w:t>
            </w:r>
          </w:p>
        </w:tc>
        <w:tc>
          <w:tcPr>
            <w:tcW w:w="6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0D47D6">
            <w:pPr>
              <w:spacing w:line="240" w:lineRule="auto"/>
              <w:jc w:val="center"/>
              <w:rPr>
                <w:rFonts w:hint="eastAsia" w:asciiTheme="minorEastAsia" w:hAnsiTheme="minorEastAsia" w:eastAsiaTheme="minorEastAsia" w:cstheme="minorEastAsia"/>
                <w:i w:val="0"/>
                <w:iCs w:val="0"/>
                <w:color w:val="auto"/>
                <w:sz w:val="21"/>
                <w:szCs w:val="21"/>
                <w:u w:val="none"/>
              </w:rPr>
            </w:pPr>
          </w:p>
        </w:tc>
      </w:tr>
      <w:tr w14:paraId="25FFB6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3" w:hRule="atLeast"/>
        </w:trPr>
        <w:tc>
          <w:tcPr>
            <w:tcW w:w="2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B46DC4">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5</w:t>
            </w: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828D1C">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9-10</w:t>
            </w:r>
          </w:p>
        </w:tc>
        <w:tc>
          <w:tcPr>
            <w:tcW w:w="4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614923">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20,509.91</w:t>
            </w:r>
          </w:p>
        </w:tc>
        <w:tc>
          <w:tcPr>
            <w:tcW w:w="5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9A4B77">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3.1</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4121D3">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100%</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6DA2D9">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63580.721</w:t>
            </w:r>
          </w:p>
        </w:tc>
        <w:tc>
          <w:tcPr>
            <w:tcW w:w="5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E4D732">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762968.652</w:t>
            </w:r>
          </w:p>
        </w:tc>
        <w:tc>
          <w:tcPr>
            <w:tcW w:w="6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016751">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1525937.304</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84009B">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4501515.047</w:t>
            </w:r>
          </w:p>
        </w:tc>
        <w:tc>
          <w:tcPr>
            <w:tcW w:w="6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443D8A">
            <w:pPr>
              <w:spacing w:line="240" w:lineRule="auto"/>
              <w:jc w:val="center"/>
              <w:rPr>
                <w:rFonts w:hint="eastAsia" w:asciiTheme="minorEastAsia" w:hAnsiTheme="minorEastAsia" w:eastAsiaTheme="minorEastAsia" w:cstheme="minorEastAsia"/>
                <w:i w:val="0"/>
                <w:iCs w:val="0"/>
                <w:color w:val="auto"/>
                <w:sz w:val="21"/>
                <w:szCs w:val="21"/>
                <w:u w:val="none"/>
              </w:rPr>
            </w:pPr>
          </w:p>
        </w:tc>
      </w:tr>
      <w:tr w14:paraId="7C66BB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3" w:hRule="atLeast"/>
        </w:trPr>
        <w:tc>
          <w:tcPr>
            <w:tcW w:w="2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6C09CB">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6</w:t>
            </w: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9AD071">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11-12</w:t>
            </w:r>
          </w:p>
        </w:tc>
        <w:tc>
          <w:tcPr>
            <w:tcW w:w="4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30A5BB">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20,509.91</w:t>
            </w:r>
          </w:p>
        </w:tc>
        <w:tc>
          <w:tcPr>
            <w:tcW w:w="5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6ECC37">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3.1</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01E10B">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120%</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0FC92D">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76296.8652</w:t>
            </w:r>
          </w:p>
        </w:tc>
        <w:tc>
          <w:tcPr>
            <w:tcW w:w="5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BDA594">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915562.3824</w:t>
            </w:r>
          </w:p>
        </w:tc>
        <w:tc>
          <w:tcPr>
            <w:tcW w:w="6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75D0E2">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1831124.765</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EC37CB">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6332639.812</w:t>
            </w:r>
          </w:p>
        </w:tc>
        <w:tc>
          <w:tcPr>
            <w:tcW w:w="6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BF708E">
            <w:pPr>
              <w:spacing w:line="240" w:lineRule="auto"/>
              <w:jc w:val="center"/>
              <w:rPr>
                <w:rFonts w:hint="eastAsia" w:asciiTheme="minorEastAsia" w:hAnsiTheme="minorEastAsia" w:eastAsiaTheme="minorEastAsia" w:cstheme="minorEastAsia"/>
                <w:i w:val="0"/>
                <w:iCs w:val="0"/>
                <w:color w:val="auto"/>
                <w:sz w:val="21"/>
                <w:szCs w:val="21"/>
                <w:u w:val="none"/>
              </w:rPr>
            </w:pPr>
          </w:p>
        </w:tc>
      </w:tr>
      <w:tr w14:paraId="21F05B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3" w:hRule="atLeast"/>
        </w:trPr>
        <w:tc>
          <w:tcPr>
            <w:tcW w:w="2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9624A">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7</w:t>
            </w: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BDD8FA">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13-14</w:t>
            </w:r>
          </w:p>
        </w:tc>
        <w:tc>
          <w:tcPr>
            <w:tcW w:w="4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AF9765">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20,509.91</w:t>
            </w:r>
          </w:p>
        </w:tc>
        <w:tc>
          <w:tcPr>
            <w:tcW w:w="5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FE5238">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3.1</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85A7E7">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140%</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DF10DE">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89013.0094</w:t>
            </w:r>
          </w:p>
        </w:tc>
        <w:tc>
          <w:tcPr>
            <w:tcW w:w="5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D24AAD">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1068156.113</w:t>
            </w:r>
          </w:p>
        </w:tc>
        <w:tc>
          <w:tcPr>
            <w:tcW w:w="6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6A462D">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2136312.226</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3F8D21">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8468952.037</w:t>
            </w:r>
          </w:p>
        </w:tc>
        <w:tc>
          <w:tcPr>
            <w:tcW w:w="6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0803DA">
            <w:pPr>
              <w:spacing w:line="240" w:lineRule="auto"/>
              <w:jc w:val="center"/>
              <w:rPr>
                <w:rFonts w:hint="eastAsia" w:asciiTheme="minorEastAsia" w:hAnsiTheme="minorEastAsia" w:eastAsiaTheme="minorEastAsia" w:cstheme="minorEastAsia"/>
                <w:i w:val="0"/>
                <w:iCs w:val="0"/>
                <w:color w:val="auto"/>
                <w:sz w:val="21"/>
                <w:szCs w:val="21"/>
                <w:u w:val="none"/>
              </w:rPr>
            </w:pPr>
          </w:p>
        </w:tc>
      </w:tr>
      <w:tr w14:paraId="17C9AE3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3" w:hRule="atLeast"/>
        </w:trPr>
        <w:tc>
          <w:tcPr>
            <w:tcW w:w="2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EE961">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8</w:t>
            </w: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B47881">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15-16</w:t>
            </w:r>
          </w:p>
        </w:tc>
        <w:tc>
          <w:tcPr>
            <w:tcW w:w="4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914C10">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20,509.91</w:t>
            </w:r>
          </w:p>
        </w:tc>
        <w:tc>
          <w:tcPr>
            <w:tcW w:w="5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DFE107">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3.1</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3FC136">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160%</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B52603">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101729.1536</w:t>
            </w:r>
          </w:p>
        </w:tc>
        <w:tc>
          <w:tcPr>
            <w:tcW w:w="5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265FD3">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1220749.843</w:t>
            </w:r>
          </w:p>
        </w:tc>
        <w:tc>
          <w:tcPr>
            <w:tcW w:w="6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E22616">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2441499.686</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B9D6B0">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10910451.72</w:t>
            </w:r>
          </w:p>
        </w:tc>
        <w:tc>
          <w:tcPr>
            <w:tcW w:w="6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7980E4">
            <w:pPr>
              <w:spacing w:line="240" w:lineRule="auto"/>
              <w:jc w:val="center"/>
              <w:rPr>
                <w:rFonts w:hint="eastAsia" w:asciiTheme="minorEastAsia" w:hAnsiTheme="minorEastAsia" w:eastAsiaTheme="minorEastAsia" w:cstheme="minorEastAsia"/>
                <w:i w:val="0"/>
                <w:iCs w:val="0"/>
                <w:color w:val="auto"/>
                <w:sz w:val="21"/>
                <w:szCs w:val="21"/>
                <w:u w:val="none"/>
              </w:rPr>
            </w:pPr>
          </w:p>
        </w:tc>
      </w:tr>
      <w:tr w14:paraId="4465D6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3" w:hRule="atLeast"/>
        </w:trPr>
        <w:tc>
          <w:tcPr>
            <w:tcW w:w="2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0B9BD6">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9</w:t>
            </w: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3F625D">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17-18</w:t>
            </w:r>
          </w:p>
        </w:tc>
        <w:tc>
          <w:tcPr>
            <w:tcW w:w="4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8481F">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20,509.91</w:t>
            </w:r>
          </w:p>
        </w:tc>
        <w:tc>
          <w:tcPr>
            <w:tcW w:w="5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31C88F">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3.1</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2049BE">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180%</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8D14B2">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114445.2978</w:t>
            </w:r>
          </w:p>
        </w:tc>
        <w:tc>
          <w:tcPr>
            <w:tcW w:w="5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FFF453">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1373343.574</w:t>
            </w:r>
          </w:p>
        </w:tc>
        <w:tc>
          <w:tcPr>
            <w:tcW w:w="6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67C0D7">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2746687.147</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C6B7FE">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13657138.87</w:t>
            </w:r>
          </w:p>
        </w:tc>
        <w:tc>
          <w:tcPr>
            <w:tcW w:w="6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33E54F">
            <w:pPr>
              <w:spacing w:line="240" w:lineRule="auto"/>
              <w:jc w:val="center"/>
              <w:rPr>
                <w:rFonts w:hint="eastAsia" w:asciiTheme="minorEastAsia" w:hAnsiTheme="minorEastAsia" w:eastAsiaTheme="minorEastAsia" w:cstheme="minorEastAsia"/>
                <w:i w:val="0"/>
                <w:iCs w:val="0"/>
                <w:color w:val="auto"/>
                <w:sz w:val="21"/>
                <w:szCs w:val="21"/>
                <w:u w:val="none"/>
              </w:rPr>
            </w:pPr>
          </w:p>
        </w:tc>
      </w:tr>
      <w:tr w14:paraId="034BB7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83" w:hRule="atLeast"/>
        </w:trPr>
        <w:tc>
          <w:tcPr>
            <w:tcW w:w="2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2FD2FE">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10</w:t>
            </w: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3E0518">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19-20</w:t>
            </w:r>
          </w:p>
        </w:tc>
        <w:tc>
          <w:tcPr>
            <w:tcW w:w="4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530599">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20,509.91</w:t>
            </w:r>
          </w:p>
        </w:tc>
        <w:tc>
          <w:tcPr>
            <w:tcW w:w="5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084528">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3.1</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81A406">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200%</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B5479B">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127161.442</w:t>
            </w:r>
          </w:p>
        </w:tc>
        <w:tc>
          <w:tcPr>
            <w:tcW w:w="5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1C15A0">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1525937.304</w:t>
            </w:r>
          </w:p>
        </w:tc>
        <w:tc>
          <w:tcPr>
            <w:tcW w:w="6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763A49">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3051874.608</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A1A80B">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16709013.48</w:t>
            </w:r>
          </w:p>
        </w:tc>
        <w:tc>
          <w:tcPr>
            <w:tcW w:w="6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4FC438">
            <w:pPr>
              <w:spacing w:line="240" w:lineRule="auto"/>
              <w:jc w:val="center"/>
              <w:rPr>
                <w:rFonts w:hint="eastAsia" w:asciiTheme="minorEastAsia" w:hAnsiTheme="minorEastAsia" w:eastAsiaTheme="minorEastAsia" w:cstheme="minorEastAsia"/>
                <w:i w:val="0"/>
                <w:iCs w:val="0"/>
                <w:color w:val="auto"/>
                <w:sz w:val="21"/>
                <w:szCs w:val="21"/>
                <w:u w:val="none"/>
              </w:rPr>
            </w:pPr>
          </w:p>
        </w:tc>
      </w:tr>
      <w:tr w14:paraId="228A488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3" w:hRule="atLeast"/>
        </w:trPr>
        <w:tc>
          <w:tcPr>
            <w:tcW w:w="56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CE68A6C">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合计：</w:t>
            </w:r>
          </w:p>
        </w:tc>
        <w:tc>
          <w:tcPr>
            <w:tcW w:w="45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1F622E">
            <w:pPr>
              <w:spacing w:line="240" w:lineRule="auto"/>
              <w:jc w:val="center"/>
              <w:rPr>
                <w:rFonts w:hint="eastAsia" w:asciiTheme="minorEastAsia" w:hAnsiTheme="minorEastAsia" w:eastAsiaTheme="minorEastAsia" w:cstheme="minorEastAsia"/>
                <w:i w:val="0"/>
                <w:iCs w:val="0"/>
                <w:color w:val="auto"/>
                <w:sz w:val="21"/>
                <w:szCs w:val="21"/>
                <w:u w:val="none"/>
              </w:rPr>
            </w:pPr>
          </w:p>
        </w:tc>
        <w:tc>
          <w:tcPr>
            <w:tcW w:w="5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A0D7D5">
            <w:pPr>
              <w:spacing w:line="240" w:lineRule="auto"/>
              <w:jc w:val="center"/>
              <w:rPr>
                <w:rFonts w:hint="eastAsia" w:asciiTheme="minorEastAsia" w:hAnsiTheme="minorEastAsia" w:eastAsiaTheme="minorEastAsia" w:cstheme="minorEastAsia"/>
                <w:i w:val="0"/>
                <w:iCs w:val="0"/>
                <w:color w:val="auto"/>
                <w:sz w:val="21"/>
                <w:szCs w:val="21"/>
                <w:u w:val="none"/>
              </w:rPr>
            </w:pPr>
          </w:p>
        </w:tc>
        <w:tc>
          <w:tcPr>
            <w:tcW w:w="4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E64DA7">
            <w:pPr>
              <w:spacing w:line="240" w:lineRule="auto"/>
              <w:jc w:val="center"/>
              <w:rPr>
                <w:rFonts w:hint="eastAsia" w:asciiTheme="minorEastAsia" w:hAnsiTheme="minorEastAsia" w:eastAsiaTheme="minorEastAsia" w:cstheme="minorEastAsia"/>
                <w:i w:val="0"/>
                <w:iCs w:val="0"/>
                <w:color w:val="auto"/>
                <w:sz w:val="21"/>
                <w:szCs w:val="21"/>
                <w:u w:val="none"/>
              </w:rPr>
            </w:pPr>
          </w:p>
        </w:tc>
        <w:tc>
          <w:tcPr>
            <w:tcW w:w="4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AFD6D9">
            <w:pPr>
              <w:spacing w:line="240" w:lineRule="auto"/>
              <w:jc w:val="center"/>
              <w:rPr>
                <w:rFonts w:hint="eastAsia" w:asciiTheme="minorEastAsia" w:hAnsiTheme="minorEastAsia" w:eastAsiaTheme="minorEastAsia" w:cstheme="minorEastAsia"/>
                <w:i w:val="0"/>
                <w:iCs w:val="0"/>
                <w:color w:val="auto"/>
                <w:sz w:val="21"/>
                <w:szCs w:val="21"/>
                <w:u w:val="none"/>
              </w:rPr>
            </w:pPr>
          </w:p>
        </w:tc>
        <w:tc>
          <w:tcPr>
            <w:tcW w:w="5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DEF4DE">
            <w:pPr>
              <w:spacing w:line="240" w:lineRule="auto"/>
              <w:jc w:val="center"/>
              <w:rPr>
                <w:rFonts w:hint="eastAsia" w:asciiTheme="minorEastAsia" w:hAnsiTheme="minorEastAsia" w:eastAsiaTheme="minorEastAsia" w:cstheme="minorEastAsia"/>
                <w:i w:val="0"/>
                <w:iCs w:val="0"/>
                <w:color w:val="auto"/>
                <w:sz w:val="21"/>
                <w:szCs w:val="21"/>
                <w:u w:val="none"/>
              </w:rPr>
            </w:pPr>
          </w:p>
        </w:tc>
        <w:tc>
          <w:tcPr>
            <w:tcW w:w="6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CAF3E">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16709013.48</w:t>
            </w:r>
          </w:p>
        </w:tc>
        <w:tc>
          <w:tcPr>
            <w:tcW w:w="6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43D5A8">
            <w:pPr>
              <w:spacing w:line="240" w:lineRule="auto"/>
              <w:jc w:val="center"/>
              <w:rPr>
                <w:rFonts w:hint="eastAsia" w:asciiTheme="minorEastAsia" w:hAnsiTheme="minorEastAsia" w:eastAsiaTheme="minorEastAsia" w:cstheme="minorEastAsia"/>
                <w:i w:val="0"/>
                <w:iCs w:val="0"/>
                <w:color w:val="auto"/>
                <w:sz w:val="21"/>
                <w:szCs w:val="21"/>
                <w:u w:val="none"/>
              </w:rPr>
            </w:pPr>
          </w:p>
        </w:tc>
        <w:tc>
          <w:tcPr>
            <w:tcW w:w="6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53178D">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sz w:val="21"/>
                <w:szCs w:val="21"/>
                <w:u w:val="none"/>
                <w:lang w:val="en-US" w:eastAsia="zh-CN"/>
              </w:rPr>
              <w:t>20年平均收益分成为3.3945元/㎡/月</w:t>
            </w:r>
          </w:p>
        </w:tc>
      </w:tr>
    </w:tbl>
    <w:p w14:paraId="38EA38A3">
      <w:pPr>
        <w:keepNext w:val="0"/>
        <w:keepLines w:val="0"/>
        <w:pageBreakBefore w:val="0"/>
        <w:widowControl w:val="0"/>
        <w:kinsoku/>
        <w:wordWrap/>
        <w:overflowPunct/>
        <w:topLinePunct w:val="0"/>
        <w:autoSpaceDE/>
        <w:autoSpaceDN/>
        <w:bidi w:val="0"/>
        <w:adjustRightInd/>
        <w:snapToGrid/>
        <w:spacing w:line="360" w:lineRule="auto"/>
        <w:ind w:firstLine="420" w:firstLineChars="200"/>
        <w:textAlignment w:val="auto"/>
        <w:rPr>
          <w:rFonts w:hint="default" w:asciiTheme="minorEastAsia" w:hAnsiTheme="minorEastAsia" w:eastAsiaTheme="minorEastAsia" w:cstheme="minorEastAsia"/>
          <w:color w:val="auto"/>
          <w:kern w:val="2"/>
          <w:sz w:val="21"/>
          <w:szCs w:val="21"/>
          <w:highlight w:val="yellow"/>
          <w:lang w:val="en-US" w:eastAsia="zh-CN" w:bidi="ar-SA"/>
        </w:rPr>
      </w:pPr>
      <w:r>
        <w:rPr>
          <w:rFonts w:hint="eastAsia" w:ascii="宋体" w:hAnsi="宋体" w:eastAsia="宋体" w:cs="宋体"/>
          <w:b w:val="0"/>
          <w:bCs w:val="0"/>
          <w:color w:val="auto"/>
          <w:sz w:val="21"/>
          <w:szCs w:val="21"/>
          <w:highlight w:val="none"/>
          <w:u w:val="none"/>
          <w:shd w:val="clear" w:color="auto" w:fill="auto"/>
          <w:lang w:val="en-US" w:eastAsia="zh-CN"/>
        </w:rPr>
        <w:t>注:乙方必须满足以上</w:t>
      </w:r>
      <w:r>
        <w:rPr>
          <w:rFonts w:hint="eastAsia" w:eastAsia="宋体" w:cs="宋体"/>
          <w:b/>
          <w:bCs/>
          <w:color w:val="auto"/>
          <w:sz w:val="21"/>
          <w:szCs w:val="21"/>
          <w:highlight w:val="none"/>
          <w:lang w:val="en-US" w:eastAsia="zh-CN"/>
        </w:rPr>
        <w:t>合作收益分成标准的前提下，对</w:t>
      </w:r>
      <w:r>
        <w:rPr>
          <w:rFonts w:hint="eastAsia" w:eastAsia="宋体" w:cs="宋体"/>
          <w:b/>
          <w:bCs/>
          <w:color w:val="auto"/>
          <w:sz w:val="21"/>
          <w:szCs w:val="21"/>
          <w:highlight w:val="none"/>
          <w:lang w:eastAsia="zh-CN"/>
        </w:rPr>
        <w:t>基础收益分成</w:t>
      </w:r>
      <w:r>
        <w:rPr>
          <w:rFonts w:hint="eastAsia" w:eastAsia="宋体" w:cs="宋体"/>
          <w:b/>
          <w:bCs/>
          <w:color w:val="auto"/>
          <w:sz w:val="21"/>
          <w:szCs w:val="21"/>
          <w:highlight w:val="none"/>
          <w:lang w:val="en-US" w:eastAsia="zh-CN"/>
        </w:rPr>
        <w:t>进行报价，</w:t>
      </w:r>
      <w:r>
        <w:rPr>
          <w:rFonts w:hint="eastAsia" w:ascii="宋体" w:hAnsi="宋体" w:eastAsia="宋体" w:cs="宋体"/>
          <w:b w:val="0"/>
          <w:bCs/>
          <w:color w:val="auto"/>
          <w:kern w:val="2"/>
          <w:sz w:val="21"/>
          <w:szCs w:val="21"/>
          <w:highlight w:val="none"/>
          <w:lang w:val="en-US" w:eastAsia="zh-CN" w:bidi="ar-SA"/>
        </w:rPr>
        <w:t>报价低于金额3.1元/M²/月的列为无效报价处理，各有效投标人对报价自行评估风险。</w:t>
      </w:r>
    </w:p>
    <w:p w14:paraId="5966C75F">
      <w:pPr>
        <w:pStyle w:val="106"/>
        <w:keepNext w:val="0"/>
        <w:keepLines w:val="0"/>
        <w:pageBreakBefore w:val="0"/>
        <w:numPr>
          <w:ilvl w:val="0"/>
          <w:numId w:val="0"/>
        </w:numPr>
        <w:kinsoku/>
        <w:wordWrap/>
        <w:overflowPunct/>
        <w:topLinePunct w:val="0"/>
        <w:autoSpaceDE/>
        <w:autoSpaceDN/>
        <w:bidi w:val="0"/>
        <w:adjustRightInd/>
        <w:snapToGrid/>
        <w:spacing w:before="0" w:after="0" w:line="360" w:lineRule="auto"/>
        <w:ind w:firstLine="422" w:firstLineChars="200"/>
        <w:textAlignment w:val="auto"/>
        <w:rPr>
          <w:rFonts w:hint="eastAsia" w:asciiTheme="minorEastAsia" w:hAnsiTheme="minorEastAsia" w:eastAsiaTheme="minorEastAsia" w:cstheme="minorEastAsia"/>
          <w:color w:val="auto"/>
          <w:kern w:val="2"/>
          <w:sz w:val="21"/>
          <w:szCs w:val="21"/>
          <w:highlight w:val="none"/>
          <w:lang w:val="en-US" w:eastAsia="zh-CN" w:bidi="ar-SA"/>
        </w:rPr>
      </w:pPr>
      <w:r>
        <w:rPr>
          <w:rFonts w:hint="eastAsia" w:ascii="宋体" w:hAnsi="宋体" w:eastAsia="宋体" w:cs="宋体"/>
          <w:b/>
          <w:bCs/>
          <w:color w:val="auto"/>
          <w:kern w:val="2"/>
          <w:sz w:val="21"/>
          <w:szCs w:val="21"/>
          <w:highlight w:val="none"/>
          <w:u w:val="none"/>
          <w:shd w:val="clear" w:color="auto" w:fill="auto"/>
          <w:lang w:val="en-US" w:eastAsia="zh-CN" w:bidi="ar-SA"/>
        </w:rPr>
        <w:t>2</w:t>
      </w:r>
      <w:r>
        <w:rPr>
          <w:rFonts w:hint="default" w:ascii="宋体" w:hAnsi="宋体" w:eastAsia="宋体" w:cs="宋体"/>
          <w:b/>
          <w:bCs/>
          <w:color w:val="auto"/>
          <w:kern w:val="2"/>
          <w:sz w:val="21"/>
          <w:szCs w:val="21"/>
          <w:highlight w:val="none"/>
          <w:u w:val="none"/>
          <w:shd w:val="clear" w:color="auto" w:fill="auto"/>
          <w:lang w:val="en-US" w:eastAsia="zh-CN" w:bidi="ar-SA"/>
        </w:rPr>
        <w:t>.</w:t>
      </w:r>
      <w:r>
        <w:rPr>
          <w:rFonts w:hint="eastAsia" w:ascii="宋体" w:hAnsi="宋体" w:eastAsia="宋体" w:cs="宋体"/>
          <w:b/>
          <w:bCs/>
          <w:color w:val="auto"/>
          <w:kern w:val="2"/>
          <w:sz w:val="21"/>
          <w:szCs w:val="21"/>
          <w:highlight w:val="none"/>
          <w:u w:val="none"/>
          <w:shd w:val="clear" w:color="auto" w:fill="auto"/>
          <w:lang w:val="en-US" w:eastAsia="zh-CN" w:bidi="ar-SA"/>
        </w:rPr>
        <w:t>免收益分成与支付起始：</w:t>
      </w:r>
      <w:r>
        <w:rPr>
          <w:rFonts w:hint="eastAsia" w:asciiTheme="minorEastAsia" w:hAnsiTheme="minorEastAsia" w:eastAsiaTheme="minorEastAsia" w:cstheme="minorEastAsia"/>
          <w:color w:val="auto"/>
          <w:kern w:val="2"/>
          <w:sz w:val="21"/>
          <w:szCs w:val="21"/>
          <w:highlight w:val="none"/>
          <w:lang w:val="en-US" w:eastAsia="zh-CN" w:bidi="ar-SA"/>
        </w:rPr>
        <w:t>首半年免收益分成，合作收益分成自本项目生效后第7个月起计提。</w:t>
      </w:r>
    </w:p>
    <w:p w14:paraId="553EA292">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b/>
          <w:bCs/>
          <w:color w:val="auto"/>
          <w:kern w:val="2"/>
          <w:sz w:val="21"/>
          <w:szCs w:val="21"/>
          <w:highlight w:val="none"/>
          <w:u w:val="none"/>
          <w:shd w:val="clear" w:color="auto" w:fill="auto"/>
          <w:lang w:val="en-US" w:eastAsia="zh-CN" w:bidi="ar-SA"/>
        </w:rPr>
      </w:pPr>
      <w:r>
        <w:rPr>
          <w:rFonts w:hint="eastAsia" w:ascii="宋体" w:hAnsi="宋体" w:eastAsia="宋体" w:cs="宋体"/>
          <w:b/>
          <w:bCs/>
          <w:color w:val="auto"/>
          <w:kern w:val="2"/>
          <w:sz w:val="21"/>
          <w:szCs w:val="21"/>
          <w:highlight w:val="none"/>
          <w:u w:val="none"/>
          <w:shd w:val="clear" w:color="auto" w:fill="auto"/>
          <w:lang w:val="en-US" w:eastAsia="zh-CN" w:bidi="ar-SA"/>
        </w:rPr>
        <w:t>3.付款方式：</w:t>
      </w:r>
    </w:p>
    <w:p w14:paraId="45B4CBCF">
      <w:pPr>
        <w:pStyle w:val="106"/>
        <w:keepNext w:val="0"/>
        <w:keepLines w:val="0"/>
        <w:pageBreakBefore w:val="0"/>
        <w:numPr>
          <w:ilvl w:val="0"/>
          <w:numId w:val="0"/>
        </w:numPr>
        <w:kinsoku/>
        <w:wordWrap/>
        <w:overflowPunct/>
        <w:topLinePunct w:val="0"/>
        <w:autoSpaceDE/>
        <w:autoSpaceDN/>
        <w:bidi w:val="0"/>
        <w:adjustRightInd/>
        <w:snapToGrid/>
        <w:spacing w:before="0" w:after="0" w:line="360" w:lineRule="auto"/>
        <w:ind w:leftChars="0" w:firstLine="420" w:firstLineChars="200"/>
        <w:textAlignment w:val="auto"/>
        <w:rPr>
          <w:rFonts w:hint="eastAsia" w:asciiTheme="minorEastAsia" w:hAnsiTheme="minorEastAsia" w:eastAsiaTheme="minorEastAsia" w:cstheme="minorEastAsia"/>
          <w:color w:val="auto"/>
          <w:kern w:val="2"/>
          <w:sz w:val="21"/>
          <w:szCs w:val="21"/>
          <w:highlight w:val="none"/>
          <w:lang w:val="en-US" w:eastAsia="zh-CN" w:bidi="ar-SA"/>
        </w:rPr>
      </w:pPr>
      <w:r>
        <w:rPr>
          <w:rFonts w:hint="eastAsia" w:asciiTheme="minorEastAsia" w:hAnsiTheme="minorEastAsia" w:eastAsiaTheme="minorEastAsia" w:cstheme="minorEastAsia"/>
          <w:color w:val="auto"/>
          <w:kern w:val="2"/>
          <w:sz w:val="21"/>
          <w:szCs w:val="21"/>
          <w:highlight w:val="none"/>
          <w:lang w:val="en-US" w:eastAsia="zh-CN" w:bidi="ar-SA"/>
        </w:rPr>
        <w:t>1）按“先付后使用”原则，每月10日前向招标人指定账户支付当月合作收益分成，支付方式为银行转账；</w:t>
      </w:r>
    </w:p>
    <w:p w14:paraId="4FA40D63">
      <w:pPr>
        <w:pStyle w:val="106"/>
        <w:keepNext w:val="0"/>
        <w:keepLines w:val="0"/>
        <w:pageBreakBefore w:val="0"/>
        <w:numPr>
          <w:ilvl w:val="0"/>
          <w:numId w:val="0"/>
        </w:numPr>
        <w:kinsoku/>
        <w:wordWrap/>
        <w:overflowPunct/>
        <w:topLinePunct w:val="0"/>
        <w:autoSpaceDE/>
        <w:autoSpaceDN/>
        <w:bidi w:val="0"/>
        <w:adjustRightInd/>
        <w:snapToGrid/>
        <w:spacing w:before="0" w:after="0" w:line="360" w:lineRule="auto"/>
        <w:ind w:firstLine="422" w:firstLineChars="200"/>
        <w:textAlignment w:val="auto"/>
        <w:rPr>
          <w:rFonts w:hint="eastAsia" w:ascii="宋体" w:hAnsi="宋体" w:eastAsia="宋体" w:cs="宋体"/>
          <w:b/>
          <w:bCs/>
          <w:color w:val="auto"/>
          <w:kern w:val="2"/>
          <w:sz w:val="21"/>
          <w:szCs w:val="21"/>
          <w:highlight w:val="none"/>
          <w:u w:val="none"/>
          <w:shd w:val="clear" w:color="auto" w:fill="auto"/>
          <w:lang w:val="en-US" w:eastAsia="zh-CN" w:bidi="ar-SA"/>
        </w:rPr>
      </w:pPr>
      <w:r>
        <w:rPr>
          <w:rFonts w:hint="eastAsia" w:ascii="宋体" w:hAnsi="宋体" w:eastAsia="宋体" w:cs="宋体"/>
          <w:b/>
          <w:bCs/>
          <w:color w:val="auto"/>
          <w:kern w:val="2"/>
          <w:sz w:val="21"/>
          <w:szCs w:val="21"/>
          <w:highlight w:val="none"/>
          <w:u w:val="none"/>
          <w:shd w:val="clear" w:color="auto" w:fill="auto"/>
          <w:lang w:val="en-US" w:eastAsia="zh-CN" w:bidi="ar-SA"/>
        </w:rPr>
        <w:t>4</w:t>
      </w:r>
      <w:r>
        <w:rPr>
          <w:rFonts w:hint="default" w:ascii="宋体" w:hAnsi="宋体" w:eastAsia="宋体" w:cs="宋体"/>
          <w:b/>
          <w:bCs/>
          <w:color w:val="auto"/>
          <w:kern w:val="2"/>
          <w:sz w:val="21"/>
          <w:szCs w:val="21"/>
          <w:highlight w:val="none"/>
          <w:u w:val="none"/>
          <w:shd w:val="clear" w:color="auto" w:fill="auto"/>
          <w:lang w:val="en-US" w:eastAsia="zh-CN" w:bidi="ar-SA"/>
        </w:rPr>
        <w:t>.</w:t>
      </w:r>
      <w:r>
        <w:rPr>
          <w:rFonts w:hint="eastAsia" w:ascii="宋体" w:hAnsi="宋体" w:eastAsia="宋体" w:cs="宋体"/>
          <w:b/>
          <w:bCs/>
          <w:color w:val="auto"/>
          <w:kern w:val="2"/>
          <w:sz w:val="21"/>
          <w:szCs w:val="21"/>
          <w:highlight w:val="none"/>
          <w:u w:val="none"/>
          <w:shd w:val="clear" w:color="auto" w:fill="auto"/>
          <w:lang w:val="en-US" w:eastAsia="zh-CN" w:bidi="ar-SA"/>
        </w:rPr>
        <w:t>兜底床位约定：</w:t>
      </w:r>
    </w:p>
    <w:p w14:paraId="4C44A1A7">
      <w:pPr>
        <w:pStyle w:val="106"/>
        <w:keepNext w:val="0"/>
        <w:keepLines w:val="0"/>
        <w:pageBreakBefore w:val="0"/>
        <w:numPr>
          <w:ilvl w:val="0"/>
          <w:numId w:val="0"/>
        </w:numPr>
        <w:kinsoku/>
        <w:wordWrap/>
        <w:overflowPunct/>
        <w:topLinePunct w:val="0"/>
        <w:autoSpaceDE/>
        <w:autoSpaceDN/>
        <w:bidi w:val="0"/>
        <w:adjustRightInd/>
        <w:snapToGrid/>
        <w:spacing w:before="0" w:after="0" w:line="360" w:lineRule="auto"/>
        <w:ind w:leftChars="0" w:firstLine="420" w:firstLineChars="200"/>
        <w:textAlignment w:val="auto"/>
        <w:rPr>
          <w:rFonts w:hint="eastAsia" w:asciiTheme="minorEastAsia" w:hAnsiTheme="minorEastAsia" w:eastAsiaTheme="minorEastAsia" w:cstheme="minorEastAsia"/>
          <w:color w:val="auto"/>
          <w:kern w:val="2"/>
          <w:sz w:val="21"/>
          <w:szCs w:val="21"/>
          <w:highlight w:val="none"/>
          <w:lang w:val="en-US" w:eastAsia="zh-CN" w:bidi="ar-SA"/>
        </w:rPr>
      </w:pPr>
      <w:r>
        <w:rPr>
          <w:rFonts w:hint="eastAsia" w:asciiTheme="minorEastAsia" w:hAnsiTheme="minorEastAsia" w:eastAsiaTheme="minorEastAsia" w:cstheme="minorEastAsia"/>
          <w:color w:val="auto"/>
          <w:kern w:val="2"/>
          <w:sz w:val="21"/>
          <w:szCs w:val="21"/>
          <w:highlight w:val="none"/>
          <w:lang w:val="en-US" w:eastAsia="zh-CN" w:bidi="ar-SA"/>
        </w:rPr>
        <w:t>1）兜底型床位收费标准按照国家对特困供养人员保障标准收取费用，并按</w:t>
      </w:r>
      <w:r>
        <w:rPr>
          <w:rFonts w:hint="eastAsia" w:ascii="宋体" w:hAnsi="宋体" w:eastAsia="宋体" w:cs="宋体"/>
          <w:color w:val="auto"/>
          <w:sz w:val="21"/>
          <w:szCs w:val="21"/>
          <w:highlight w:val="none"/>
        </w:rPr>
        <w:t>不低于</w:t>
      </w:r>
      <w:r>
        <w:rPr>
          <w:rFonts w:hint="eastAsia" w:ascii="宋体" w:hAnsi="宋体" w:eastAsia="宋体" w:cs="宋体"/>
          <w:color w:val="auto"/>
          <w:sz w:val="21"/>
          <w:szCs w:val="21"/>
          <w:highlight w:val="none"/>
          <w:lang w:val="en-US" w:eastAsia="zh-CN"/>
        </w:rPr>
        <w:t>约5%</w:t>
      </w:r>
      <w:r>
        <w:rPr>
          <w:rFonts w:hint="eastAsia" w:ascii="宋体" w:hAnsi="宋体" w:eastAsia="宋体" w:cs="宋体"/>
          <w:color w:val="auto"/>
          <w:sz w:val="21"/>
          <w:szCs w:val="21"/>
          <w:highlight w:val="none"/>
        </w:rPr>
        <w:t>供养费</w:t>
      </w:r>
      <w:r>
        <w:rPr>
          <w:rFonts w:hint="eastAsia" w:ascii="宋体" w:hAnsi="宋体" w:eastAsia="宋体" w:cs="宋体"/>
          <w:color w:val="auto"/>
          <w:sz w:val="21"/>
          <w:szCs w:val="21"/>
          <w:highlight w:val="none"/>
          <w:lang w:val="en-US" w:eastAsia="zh-CN"/>
        </w:rPr>
        <w:t>比例</w:t>
      </w:r>
      <w:r>
        <w:rPr>
          <w:rFonts w:hint="eastAsia" w:asciiTheme="minorEastAsia" w:hAnsiTheme="minorEastAsia" w:eastAsiaTheme="minorEastAsia" w:cstheme="minorEastAsia"/>
          <w:color w:val="auto"/>
          <w:kern w:val="2"/>
          <w:sz w:val="21"/>
          <w:szCs w:val="21"/>
          <w:highlight w:val="none"/>
          <w:lang w:val="en-US" w:eastAsia="zh-CN" w:bidi="ar-SA"/>
        </w:rPr>
        <w:t>每月付特困供养人零用钱，特困人员入住费用差额部分由运营机构负担。</w:t>
      </w:r>
    </w:p>
    <w:p w14:paraId="6E81F8E9">
      <w:pPr>
        <w:keepNext w:val="0"/>
        <w:keepLines w:val="0"/>
        <w:pageBreakBefore w:val="0"/>
        <w:widowControl w:val="0"/>
        <w:kinsoku/>
        <w:wordWrap/>
        <w:overflowPunct/>
        <w:topLinePunct w:val="0"/>
        <w:autoSpaceDN/>
        <w:bidi w:val="0"/>
        <w:adjustRightInd/>
        <w:snapToGrid/>
        <w:spacing w:line="560" w:lineRule="exact"/>
        <w:ind w:left="0" w:leftChars="0" w:firstLine="422" w:firstLineChars="200"/>
        <w:textAlignment w:val="auto"/>
        <w:rPr>
          <w:rFonts w:hint="eastAsia" w:ascii="宋体" w:hAnsi="宋体" w:eastAsia="宋体" w:cs="宋体"/>
          <w:b/>
          <w:bCs/>
          <w:color w:val="auto"/>
          <w:sz w:val="21"/>
          <w:szCs w:val="21"/>
          <w:highlight w:val="none"/>
          <w:u w:val="none"/>
          <w:shd w:val="clear" w:color="auto" w:fill="auto"/>
          <w:lang w:val="en-US" w:eastAsia="zh-CN"/>
        </w:rPr>
      </w:pPr>
      <w:r>
        <w:rPr>
          <w:rFonts w:hint="eastAsia" w:ascii="宋体" w:hAnsi="宋体" w:eastAsia="宋体" w:cs="宋体"/>
          <w:b/>
          <w:bCs/>
          <w:color w:val="auto"/>
          <w:sz w:val="21"/>
          <w:szCs w:val="21"/>
          <w:highlight w:val="none"/>
          <w:u w:val="none"/>
          <w:shd w:val="clear" w:color="auto" w:fill="auto"/>
          <w:lang w:val="en-US" w:eastAsia="zh-CN"/>
        </w:rPr>
        <w:t>5.特别约定：</w:t>
      </w:r>
    </w:p>
    <w:p w14:paraId="72FAC177">
      <w:pPr>
        <w:keepNext w:val="0"/>
        <w:keepLines w:val="0"/>
        <w:pageBreakBefore w:val="0"/>
        <w:widowControl w:val="0"/>
        <w:kinsoku/>
        <w:wordWrap/>
        <w:overflowPunct/>
        <w:topLinePunct w:val="0"/>
        <w:autoSpaceDN/>
        <w:bidi w:val="0"/>
        <w:adjustRightInd/>
        <w:snapToGrid/>
        <w:spacing w:line="560" w:lineRule="exact"/>
        <w:ind w:left="0" w:leftChars="0" w:firstLine="420" w:firstLineChars="200"/>
        <w:textAlignment w:val="auto"/>
        <w:rPr>
          <w:rFonts w:hint="default" w:asciiTheme="minorEastAsia" w:hAnsiTheme="minorEastAsia" w:eastAsiaTheme="minorEastAsia" w:cstheme="minorEastAsia"/>
          <w:color w:val="auto"/>
          <w:kern w:val="2"/>
          <w:sz w:val="21"/>
          <w:szCs w:val="21"/>
          <w:highlight w:val="none"/>
          <w:lang w:val="en-US" w:eastAsia="zh-CN" w:bidi="ar-SA"/>
        </w:rPr>
      </w:pPr>
      <w:r>
        <w:rPr>
          <w:rFonts w:hint="eastAsia" w:asciiTheme="minorEastAsia" w:hAnsiTheme="minorEastAsia" w:eastAsiaTheme="minorEastAsia" w:cstheme="minorEastAsia"/>
          <w:color w:val="auto"/>
          <w:kern w:val="2"/>
          <w:sz w:val="21"/>
          <w:szCs w:val="21"/>
          <w:highlight w:val="none"/>
          <w:lang w:val="en-US" w:eastAsia="zh-CN" w:bidi="ar-SA"/>
        </w:rPr>
        <w:t>1）中标人向招标人支付合作收益分成,并全权负责养老服务中心日常运营管理，自负盈亏。</w:t>
      </w:r>
    </w:p>
    <w:p w14:paraId="050EA513">
      <w:pPr>
        <w:keepNext w:val="0"/>
        <w:keepLines w:val="0"/>
        <w:pageBreakBefore w:val="0"/>
        <w:widowControl w:val="0"/>
        <w:kinsoku/>
        <w:wordWrap/>
        <w:overflowPunct/>
        <w:topLinePunct w:val="0"/>
        <w:autoSpaceDN/>
        <w:bidi w:val="0"/>
        <w:adjustRightInd/>
        <w:snapToGrid/>
        <w:spacing w:line="560" w:lineRule="exact"/>
        <w:ind w:left="0" w:leftChars="0" w:firstLine="422" w:firstLineChars="200"/>
        <w:textAlignment w:val="auto"/>
        <w:rPr>
          <w:rFonts w:hint="default" w:ascii="宋体" w:hAnsi="宋体" w:eastAsia="宋体" w:cs="宋体"/>
          <w:b/>
          <w:bCs/>
          <w:color w:val="auto"/>
          <w:sz w:val="21"/>
          <w:szCs w:val="21"/>
          <w:highlight w:val="none"/>
          <w:u w:val="none"/>
          <w:shd w:val="clear" w:color="auto" w:fill="auto"/>
          <w:lang w:val="en-US" w:eastAsia="zh-CN"/>
        </w:rPr>
      </w:pPr>
      <w:r>
        <w:rPr>
          <w:rFonts w:hint="eastAsia" w:ascii="宋体" w:hAnsi="宋体" w:eastAsia="宋体" w:cs="宋体"/>
          <w:b/>
          <w:bCs/>
          <w:color w:val="auto"/>
          <w:sz w:val="21"/>
          <w:szCs w:val="21"/>
          <w:highlight w:val="none"/>
          <w:u w:val="none"/>
          <w:shd w:val="clear" w:color="auto" w:fill="auto"/>
          <w:lang w:val="en-US" w:eastAsia="zh-CN"/>
        </w:rPr>
        <w:t>六、其他要求</w:t>
      </w:r>
    </w:p>
    <w:p w14:paraId="74A004A7">
      <w:pPr>
        <w:keepNext w:val="0"/>
        <w:keepLines w:val="0"/>
        <w:pageBreakBefore w:val="0"/>
        <w:widowControl w:val="0"/>
        <w:kinsoku/>
        <w:wordWrap/>
        <w:overflowPunct/>
        <w:topLinePunct w:val="0"/>
        <w:autoSpaceDE/>
        <w:autoSpaceDN/>
        <w:bidi w:val="0"/>
        <w:adjustRightInd/>
        <w:snapToGrid/>
        <w:spacing w:line="360" w:lineRule="auto"/>
        <w:ind w:left="0" w:leftChars="0" w:firstLine="422" w:firstLineChars="200"/>
        <w:textAlignment w:val="auto"/>
        <w:rPr>
          <w:rFonts w:hint="eastAsia" w:ascii="宋体" w:hAnsi="宋体" w:eastAsia="宋体" w:cs="宋体"/>
          <w:b/>
          <w:bCs/>
          <w:color w:val="auto"/>
          <w:kern w:val="2"/>
          <w:sz w:val="21"/>
          <w:szCs w:val="21"/>
          <w:highlight w:val="none"/>
          <w:lang w:val="en-US" w:eastAsia="zh-CN" w:bidi="ar-SA"/>
        </w:rPr>
      </w:pPr>
      <w:r>
        <w:rPr>
          <w:rFonts w:hint="eastAsia" w:ascii="宋体" w:hAnsi="宋体" w:eastAsia="宋体" w:cs="宋体"/>
          <w:b/>
          <w:bCs/>
          <w:color w:val="auto"/>
          <w:kern w:val="2"/>
          <w:sz w:val="21"/>
          <w:szCs w:val="21"/>
          <w:highlight w:val="none"/>
          <w:lang w:val="en-US" w:eastAsia="zh-CN" w:bidi="ar-SA"/>
        </w:rPr>
        <w:t>（一）中标人应遵循的相关法律法规及政策文件</w:t>
      </w:r>
    </w:p>
    <w:p w14:paraId="78B006D1">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1.《中华人民共和国老年人权益保障法》</w:t>
      </w:r>
    </w:p>
    <w:p w14:paraId="60550479">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2.《广东省老年人权益保障条例》</w:t>
      </w:r>
    </w:p>
    <w:p w14:paraId="7DE159E7">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3.《广东省养老机构规范化建设指引》</w:t>
      </w:r>
    </w:p>
    <w:p w14:paraId="1FAFE653">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4.《广东省民办社会福利机构管理规定》（广东省人民政府令第 275 号（2020 年 5 月 12 日修订））</w:t>
      </w:r>
    </w:p>
    <w:p w14:paraId="20B8CEEB">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5.《养老机构消防安全管理规定》（民政部 国家消防救援局 民发〔2023〕37 号）</w:t>
      </w:r>
    </w:p>
    <w:p w14:paraId="20DE5459">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6.《养老机构管理办法》（中华人民共和国民政部令第66号）</w:t>
      </w:r>
    </w:p>
    <w:p w14:paraId="265DB2AD">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7.《养老机构护理站基本标准（试行）》</w:t>
      </w:r>
    </w:p>
    <w:p w14:paraId="6D8B5995">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8.《养老机构医务室基本标准（试行）》</w:t>
      </w:r>
    </w:p>
    <w:p w14:paraId="177E2CE1">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9.《广东省民政厅关于印发广东省特困人员供养服务机构公建民营社会化改革实施方案的通知》（粤民发〔2016〕77号）</w:t>
      </w:r>
    </w:p>
    <w:p w14:paraId="74E9285D">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10.《广东省民政厅关于进一步加强养老机构公建民营社会化改革监督指导的通知》（粤民函〔2020〕265号）</w:t>
      </w:r>
    </w:p>
    <w:p w14:paraId="701B3B6E">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①《老年人照料设施建筑设计标准》（JGJ450-2018）</w:t>
      </w:r>
    </w:p>
    <w:p w14:paraId="06905E18">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②《养老机构服务安全基本规范》（GB38600-2019）</w:t>
      </w:r>
    </w:p>
    <w:p w14:paraId="1693B4E9">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③《养老机构服务质量基本规范》（GB/T35796-2017）</w:t>
      </w:r>
    </w:p>
    <w:p w14:paraId="79B08E69">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④《农村特困人员供养服务机构运营规范》（DB44/T2200-2019）</w:t>
      </w:r>
    </w:p>
    <w:p w14:paraId="2A898B1F">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11.其他相关的法律法规和政策文件</w:t>
      </w:r>
    </w:p>
    <w:p w14:paraId="11A8C9C8">
      <w:pPr>
        <w:keepNext w:val="0"/>
        <w:keepLines w:val="0"/>
        <w:pageBreakBefore w:val="0"/>
        <w:widowControl w:val="0"/>
        <w:kinsoku/>
        <w:wordWrap/>
        <w:overflowPunct/>
        <w:topLinePunct w:val="0"/>
        <w:autoSpaceDE/>
        <w:autoSpaceDN/>
        <w:bidi w:val="0"/>
        <w:adjustRightInd/>
        <w:snapToGrid/>
        <w:spacing w:line="360" w:lineRule="auto"/>
        <w:ind w:left="0" w:leftChars="0" w:firstLine="422" w:firstLineChars="200"/>
        <w:textAlignment w:val="auto"/>
        <w:rPr>
          <w:rFonts w:hint="eastAsia" w:ascii="宋体" w:hAnsi="宋体" w:eastAsia="宋体" w:cs="宋体"/>
          <w:b/>
          <w:bCs/>
          <w:color w:val="auto"/>
          <w:kern w:val="2"/>
          <w:sz w:val="21"/>
          <w:szCs w:val="21"/>
          <w:highlight w:val="none"/>
          <w:lang w:val="en-US" w:eastAsia="zh-CN" w:bidi="ar-SA"/>
        </w:rPr>
      </w:pPr>
      <w:r>
        <w:rPr>
          <w:rFonts w:hint="eastAsia" w:ascii="宋体" w:hAnsi="宋体" w:eastAsia="宋体" w:cs="宋体"/>
          <w:b/>
          <w:bCs/>
          <w:color w:val="auto"/>
          <w:kern w:val="2"/>
          <w:sz w:val="21"/>
          <w:szCs w:val="21"/>
          <w:highlight w:val="none"/>
          <w:lang w:val="en-US" w:eastAsia="zh-CN" w:bidi="ar-SA"/>
        </w:rPr>
        <w:t>（二）运营保障金</w:t>
      </w:r>
    </w:p>
    <w:p w14:paraId="1B982293">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中标人应于本项目签订之日起30个工作日内，按规定向招标人提交运营保障金为人民币壹佰万元整(￥1,000,000.00元)，缴纳现金不能少于人民币贰拾万元整(￥200,000.00元)，并划入招标人指定的银行账户，余下金额可以采取银行保函形式，保函失效前三个月中标人应做好保函续开手续或缴纳等额现金。中标人支付完成后，应将转账凭证复印件提交招标人备案，招标人在收到凭证并确认款项到账后，出具收款确认函。</w:t>
      </w:r>
    </w:p>
    <w:p w14:paraId="2A698B60">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2.中标人现金实缴运营保障金于合同期满，在中标人完全履行合同义务，结清所有费用（包括经营期间所有债务，产生的水电费用等）并经韶关市武江区养老服务中心（一期）交接验收合格后30个工作日内无息一次性退还。如经营期间，中标人自行终止合同或违反合同有关规定被招标人终止合同的，运营保障金将全部归招标人所有，运营保障金金额不足以弥补中标人违约行为导致的损失的，招标人可继续追偿。</w:t>
      </w:r>
    </w:p>
    <w:p w14:paraId="224ED49F">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3.如中标人未能在规定的时间内将运营保障金划入招标人指定的账户，视同自动放弃中标资格。在此情况下，招标人有权把合同授予排名在中标人之后的第二中标候选人或采用重新招标的方式重新确定承包经营商，由此带来的一切损失由中标人自行承担。</w:t>
      </w:r>
    </w:p>
    <w:p w14:paraId="664EC3E3">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b/>
          <w:bCs/>
          <w:color w:val="auto"/>
          <w:kern w:val="2"/>
          <w:sz w:val="21"/>
          <w:szCs w:val="21"/>
          <w:highlight w:val="none"/>
          <w:lang w:val="en-US" w:eastAsia="zh-CN" w:bidi="ar-SA"/>
        </w:rPr>
      </w:pPr>
      <w:r>
        <w:rPr>
          <w:rFonts w:hint="eastAsia" w:ascii="宋体" w:hAnsi="宋体" w:eastAsia="宋体" w:cs="宋体"/>
          <w:color w:val="auto"/>
          <w:sz w:val="21"/>
          <w:szCs w:val="21"/>
          <w:highlight w:val="none"/>
        </w:rPr>
        <w:t>★</w:t>
      </w:r>
      <w:r>
        <w:rPr>
          <w:rFonts w:hint="eastAsia" w:ascii="宋体" w:hAnsi="宋体" w:eastAsia="宋体" w:cs="宋体"/>
          <w:b/>
          <w:bCs/>
          <w:color w:val="auto"/>
          <w:kern w:val="2"/>
          <w:sz w:val="21"/>
          <w:szCs w:val="21"/>
          <w:highlight w:val="none"/>
          <w:lang w:val="en-US" w:eastAsia="zh-CN" w:bidi="ar-SA"/>
        </w:rPr>
        <w:t>（三）中标人需在签订合同30天内在武江区注册成立项目管理公司。（须提供承诺函，格式自拟）</w:t>
      </w:r>
    </w:p>
    <w:p w14:paraId="5338138E">
      <w:pPr>
        <w:keepNext w:val="0"/>
        <w:keepLines w:val="0"/>
        <w:pageBreakBefore w:val="0"/>
        <w:widowControl w:val="0"/>
        <w:kinsoku/>
        <w:wordWrap/>
        <w:overflowPunct/>
        <w:topLinePunct w:val="0"/>
        <w:autoSpaceDE/>
        <w:autoSpaceDN/>
        <w:bidi w:val="0"/>
        <w:adjustRightInd/>
        <w:snapToGrid/>
        <w:spacing w:line="360" w:lineRule="auto"/>
        <w:ind w:left="0" w:leftChars="0" w:firstLine="422" w:firstLineChars="200"/>
        <w:textAlignment w:val="auto"/>
        <w:rPr>
          <w:rFonts w:hint="eastAsia" w:ascii="宋体" w:hAnsi="宋体" w:eastAsia="宋体" w:cs="宋体"/>
          <w:b/>
          <w:bCs/>
          <w:color w:val="auto"/>
          <w:kern w:val="2"/>
          <w:sz w:val="21"/>
          <w:szCs w:val="21"/>
          <w:highlight w:val="none"/>
          <w:lang w:val="en-US" w:eastAsia="zh-CN" w:bidi="ar-SA"/>
        </w:rPr>
      </w:pPr>
      <w:r>
        <w:rPr>
          <w:rFonts w:hint="eastAsia" w:ascii="宋体" w:hAnsi="宋体" w:eastAsia="宋体" w:cs="宋体"/>
          <w:b/>
          <w:bCs/>
          <w:color w:val="auto"/>
          <w:kern w:val="2"/>
          <w:sz w:val="21"/>
          <w:szCs w:val="21"/>
          <w:highlight w:val="none"/>
          <w:lang w:val="en-US" w:eastAsia="zh-CN" w:bidi="ar-SA"/>
        </w:rPr>
        <w:t>（四）政府补贴</w:t>
      </w:r>
    </w:p>
    <w:p w14:paraId="7A363754">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1.招标人每月应向区财政申请拨付政府供养人员的供养费、护理补贴等经费。</w:t>
      </w:r>
    </w:p>
    <w:p w14:paraId="12321734">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2.如招标人需购买除本项目约定外的其他服务的，双方须另行协商签约。</w:t>
      </w:r>
    </w:p>
    <w:p w14:paraId="199BED4C">
      <w:pPr>
        <w:keepNext w:val="0"/>
        <w:keepLines w:val="0"/>
        <w:pageBreakBefore w:val="0"/>
        <w:widowControl w:val="0"/>
        <w:kinsoku/>
        <w:wordWrap/>
        <w:overflowPunct/>
        <w:topLinePunct w:val="0"/>
        <w:autoSpaceDE/>
        <w:autoSpaceDN/>
        <w:bidi w:val="0"/>
        <w:adjustRightInd/>
        <w:snapToGrid/>
        <w:spacing w:line="360" w:lineRule="auto"/>
        <w:ind w:left="0" w:leftChars="0" w:firstLine="422" w:firstLineChars="200"/>
        <w:textAlignment w:val="auto"/>
        <w:rPr>
          <w:rFonts w:hint="eastAsia" w:ascii="宋体" w:hAnsi="宋体" w:eastAsia="宋体" w:cs="宋体"/>
          <w:b/>
          <w:bCs/>
          <w:color w:val="auto"/>
          <w:kern w:val="2"/>
          <w:sz w:val="21"/>
          <w:szCs w:val="21"/>
          <w:highlight w:val="none"/>
          <w:lang w:val="en-US" w:eastAsia="zh-CN" w:bidi="ar-SA"/>
        </w:rPr>
      </w:pPr>
      <w:r>
        <w:rPr>
          <w:rFonts w:hint="eastAsia" w:ascii="宋体" w:hAnsi="宋体" w:eastAsia="宋体" w:cs="宋体"/>
          <w:b/>
          <w:bCs/>
          <w:color w:val="auto"/>
          <w:kern w:val="2"/>
          <w:sz w:val="21"/>
          <w:szCs w:val="21"/>
          <w:highlight w:val="none"/>
          <w:lang w:val="en-US" w:eastAsia="zh-CN" w:bidi="ar-SA"/>
        </w:rPr>
        <w:t>（五）维修费用</w:t>
      </w:r>
    </w:p>
    <w:p w14:paraId="01DD082A">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中标人应从社会养老每年营业总额中安排3%的资金作为韶关市武江区养老服务中心（一期）的维修费用（主要用于韶关市武江区养老服务中心（一期）的日常设施维护及升级改造），留存到由招标人和中标人共同设立的监管账户中，实行专户管理。维修及升级改造方案和资金使用需由招标人同意后方可实施。若需进行结构性大修时，优先使用维修监管账户的资金，不足部分由双方共同协商解决。</w:t>
      </w:r>
    </w:p>
    <w:p w14:paraId="69781F6F">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双方就不足部分费用分担协商不一致的，应在争议发生之日起 15 日内，共同选定具备资质的第三方工程造价咨询机构对大修工程合理造价进行审核确认，审核结果对双方具有约束力；双方对第三方选定无法达成一致的，由项目所在地住建部门推荐资质机构进行审核，审核费用由提出异议一方先行垫付，最终由双方按责任比例承担；审核后仍无法协商一致的，任何一方均有权向项目所在地人民法院提起诉讼解决，大修工程期间不得影响项目正常养老服务运营。</w:t>
      </w:r>
    </w:p>
    <w:p w14:paraId="2EDD94DA">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六）经营期内中标人对韶关市武江区养老服务中心（一期）自行管理及使用，自负盈亏、自担风险。因此产生的债务、损害赔偿、工伤赔偿、追偿、追诉等争议纠纷、民事责任、行政责任及刑事责任，由中标人自行承担，因各种纠纷影响韶关市武江区养老服务中心（一期）声誉和工作秩序，招标人有权解除合同，收回经营权并没收全额运营保障金。引起韶关市武江区养老服务中心（一期）遭受损失的，招标人有权对中标人提出索赔。</w:t>
      </w:r>
    </w:p>
    <w:p w14:paraId="2B756B7C">
      <w:pPr>
        <w:keepNext w:val="0"/>
        <w:keepLines w:val="0"/>
        <w:pageBreakBefore w:val="0"/>
        <w:widowControl w:val="0"/>
        <w:kinsoku/>
        <w:wordWrap/>
        <w:overflowPunct/>
        <w:topLinePunct w:val="0"/>
        <w:autoSpaceDE/>
        <w:autoSpaceDN/>
        <w:bidi w:val="0"/>
        <w:adjustRightInd/>
        <w:snapToGrid/>
        <w:spacing w:line="360" w:lineRule="auto"/>
        <w:ind w:left="0" w:leftChars="0" w:firstLine="422" w:firstLineChars="200"/>
        <w:textAlignment w:val="auto"/>
        <w:rPr>
          <w:rFonts w:hint="eastAsia" w:ascii="宋体" w:hAnsi="宋体" w:eastAsia="宋体" w:cs="宋体"/>
          <w:b/>
          <w:bCs/>
          <w:color w:val="auto"/>
          <w:kern w:val="2"/>
          <w:sz w:val="21"/>
          <w:szCs w:val="21"/>
          <w:highlight w:val="none"/>
          <w:lang w:val="en-US" w:eastAsia="zh-CN" w:bidi="ar-SA"/>
        </w:rPr>
      </w:pPr>
      <w:r>
        <w:rPr>
          <w:rFonts w:hint="eastAsia" w:ascii="宋体" w:hAnsi="宋体" w:eastAsia="宋体" w:cs="宋体"/>
          <w:b/>
          <w:bCs/>
          <w:color w:val="auto"/>
          <w:kern w:val="2"/>
          <w:sz w:val="21"/>
          <w:szCs w:val="21"/>
          <w:highlight w:val="none"/>
          <w:lang w:val="en-US" w:eastAsia="zh-CN" w:bidi="ar-SA"/>
        </w:rPr>
        <w:t>（七）保险与风险转移</w:t>
      </w:r>
    </w:p>
    <w:p w14:paraId="2D97444D">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中标人需在合同生效后30日内，投保以下保险并将保单副本提交招标人备案：</w:t>
      </w:r>
    </w:p>
    <w:p w14:paraId="656E3FA1">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（1）养老机构责任险（保额≥200万元/每次事故，年度累计保额≥500万元）；</w:t>
      </w:r>
    </w:p>
    <w:p w14:paraId="6AC23B28">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（2）入住老人意外险（保额≥50万元/人）；</w:t>
      </w:r>
    </w:p>
    <w:p w14:paraId="30AE52FF">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（3）雇主责任险（覆盖所有员工，保额≥80万元/人）。</w:t>
      </w:r>
    </w:p>
    <w:p w14:paraId="4A5C9193">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保险期限需与本项目运营期一致，中标人需在保险到期前30日完成续保，未按时续保视为违约。</w:t>
      </w:r>
    </w:p>
    <w:p w14:paraId="00984DB0">
      <w:pPr>
        <w:keepNext w:val="0"/>
        <w:keepLines w:val="0"/>
        <w:pageBreakBefore w:val="0"/>
        <w:widowControl w:val="0"/>
        <w:kinsoku/>
        <w:wordWrap/>
        <w:overflowPunct/>
        <w:topLinePunct w:val="0"/>
        <w:autoSpaceDE/>
        <w:autoSpaceDN/>
        <w:bidi w:val="0"/>
        <w:adjustRightInd/>
        <w:snapToGrid/>
        <w:spacing w:line="360" w:lineRule="auto"/>
        <w:ind w:left="0" w:leftChars="0" w:firstLine="422" w:firstLineChars="200"/>
        <w:textAlignment w:val="auto"/>
        <w:rPr>
          <w:rFonts w:hint="eastAsia" w:ascii="宋体" w:hAnsi="宋体" w:eastAsia="宋体" w:cs="宋体"/>
          <w:b/>
          <w:bCs/>
          <w:color w:val="auto"/>
          <w:kern w:val="2"/>
          <w:sz w:val="21"/>
          <w:szCs w:val="21"/>
          <w:highlight w:val="none"/>
          <w:lang w:val="en-US" w:eastAsia="zh-CN" w:bidi="ar-SA"/>
        </w:rPr>
      </w:pPr>
      <w:r>
        <w:rPr>
          <w:rFonts w:hint="eastAsia" w:ascii="宋体" w:hAnsi="宋体" w:eastAsia="宋体" w:cs="宋体"/>
          <w:b/>
          <w:bCs/>
          <w:color w:val="auto"/>
          <w:kern w:val="2"/>
          <w:sz w:val="21"/>
          <w:szCs w:val="21"/>
          <w:highlight w:val="none"/>
          <w:lang w:val="en-US" w:eastAsia="zh-CN" w:bidi="ar-SA"/>
        </w:rPr>
        <w:t xml:space="preserve"> （八）个人信息与隐私保护</w:t>
      </w:r>
    </w:p>
    <w:p w14:paraId="29A70EFA">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中标人需遵守《中华人民共和国个人信息保护法》，建立老人个人信息（含健康数据、身份信息）的收集、存储、使用管理制度。</w:t>
      </w:r>
    </w:p>
    <w:p w14:paraId="38BAA7A1">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禁止向第三方泄露老人信息（法律法规要求除外），合同终止时需全额返还或销毁老人信息资料，招标人有权监督核查。</w:t>
      </w:r>
    </w:p>
    <w:p w14:paraId="5A4F1893">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 xml:space="preserve"> </w:t>
      </w:r>
      <w:r>
        <w:rPr>
          <w:rFonts w:hint="eastAsia" w:ascii="宋体" w:hAnsi="宋体" w:eastAsia="宋体" w:cs="宋体"/>
          <w:b/>
          <w:bCs/>
          <w:color w:val="auto"/>
          <w:kern w:val="2"/>
          <w:sz w:val="21"/>
          <w:szCs w:val="21"/>
          <w:highlight w:val="none"/>
          <w:lang w:val="en-US" w:eastAsia="zh-CN" w:bidi="ar-SA"/>
        </w:rPr>
        <w:t>（九）合规性补充要求</w:t>
      </w:r>
    </w:p>
    <w:p w14:paraId="6F64FB07">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中标人需遵守《反食品浪费法》，餐饮浪费率控制在5%以内，招标人定期核查，超标一次从当期应付合作收益分成中额外支付当月合作收益分成的1%。</w:t>
      </w:r>
    </w:p>
    <w:p w14:paraId="096249A7">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中标人需建立反欺老虐老长效机制，在公共区域安装监控（隐私区域除外），监控保存时长≥90天，招标人有权调阅核查。</w:t>
      </w:r>
    </w:p>
    <w:p w14:paraId="1B8452C9">
      <w:pPr>
        <w:keepNext w:val="0"/>
        <w:keepLines w:val="0"/>
        <w:pageBreakBefore w:val="0"/>
        <w:widowControl w:val="0"/>
        <w:kinsoku/>
        <w:wordWrap/>
        <w:overflowPunct/>
        <w:topLinePunct w:val="0"/>
        <w:autoSpaceDN/>
        <w:bidi w:val="0"/>
        <w:adjustRightInd/>
        <w:snapToGrid/>
        <w:spacing w:line="560" w:lineRule="exact"/>
        <w:ind w:left="0" w:leftChars="0" w:firstLine="422" w:firstLineChars="200"/>
        <w:textAlignment w:val="auto"/>
        <w:rPr>
          <w:rFonts w:hint="eastAsia" w:ascii="宋体" w:hAnsi="宋体" w:eastAsia="宋体" w:cs="宋体"/>
          <w:b/>
          <w:bCs/>
          <w:color w:val="auto"/>
          <w:sz w:val="21"/>
          <w:szCs w:val="21"/>
          <w:highlight w:val="none"/>
          <w:u w:val="none"/>
          <w:shd w:val="clear" w:color="auto" w:fill="auto"/>
          <w:lang w:val="en-US" w:eastAsia="zh-CN"/>
        </w:rPr>
      </w:pPr>
      <w:r>
        <w:rPr>
          <w:rFonts w:hint="eastAsia" w:ascii="宋体" w:hAnsi="宋体" w:eastAsia="宋体" w:cs="宋体"/>
          <w:b/>
          <w:bCs/>
          <w:color w:val="auto"/>
          <w:sz w:val="21"/>
          <w:szCs w:val="21"/>
          <w:highlight w:val="none"/>
          <w:u w:val="none"/>
          <w:shd w:val="clear" w:color="auto" w:fill="auto"/>
          <w:lang w:val="en-US" w:eastAsia="zh-CN"/>
        </w:rPr>
        <w:t>七、临时接管预案</w:t>
      </w:r>
    </w:p>
    <w:p w14:paraId="27D7FAAD">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本项目运营期内，如中标人出现以下情况，招标人有权实施临时接管：</w:t>
      </w:r>
    </w:p>
    <w:p w14:paraId="2B1EC0DF">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（一）因经营管理不善，发生较大安全生产责任事故且不做善后处理或善后处置不及时不合理的；</w:t>
      </w:r>
    </w:p>
    <w:p w14:paraId="3BFD032B">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（二）严重违约、不尽管理职责或运营管理不善严重影响社会公共利益和安全的；</w:t>
      </w:r>
    </w:p>
    <w:p w14:paraId="4749A234">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（三）擅自停业、歇业的；</w:t>
      </w:r>
    </w:p>
    <w:p w14:paraId="6BB82A2D">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（四）擅自将韶关市武江区养老服务中心（一期）转包给第三方经营的；</w:t>
      </w:r>
    </w:p>
    <w:p w14:paraId="18E7D876">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（五）擅自将韶关市武江区养老服务中心（一期）财产转让、抵押给第三方的；</w:t>
      </w:r>
    </w:p>
    <w:p w14:paraId="2D969485">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（六）一年内发生3次以上（含3次）欺老虐老事件的；</w:t>
      </w:r>
    </w:p>
    <w:p w14:paraId="70AEF6D2">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（七）法律法规禁止的其他相关行为。</w:t>
      </w:r>
    </w:p>
    <w:p w14:paraId="6B2F1519">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以上情况直到中标人采取整改措施并达到符合合同约定及有关韶关市武江区养老服务中心（一期）运营规范，中标人可以正常运营时，招标人终止接管。接管期不超过半年，半年后若中标人整改效果还不满足运营条件，招标人有权解除合同，临时接管期间所产生的相关费用，由中标人承担。</w:t>
      </w:r>
    </w:p>
    <w:p w14:paraId="489ADB9E">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（八）续约流程</w:t>
      </w:r>
    </w:p>
    <w:p w14:paraId="45341492">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中标人需在合同期满前12个月提交续约申请及运营情况报告，招标人6个月内组织第三方评估，评估合格且无违约记录的，中标人享有优先续约权；</w:t>
      </w:r>
    </w:p>
    <w:p w14:paraId="7D9C1DD4">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续约谈判期限为3个月，未达成一致的，中标人按本条款约定执行移交。</w:t>
      </w:r>
    </w:p>
    <w:bookmarkEnd w:id="30"/>
    <w:p w14:paraId="2077C4A6">
      <w:pPr>
        <w:keepNext w:val="0"/>
        <w:keepLines w:val="0"/>
        <w:pageBreakBefore w:val="0"/>
        <w:widowControl w:val="0"/>
        <w:kinsoku/>
        <w:wordWrap/>
        <w:overflowPunct/>
        <w:topLinePunct w:val="0"/>
        <w:autoSpaceDN/>
        <w:bidi w:val="0"/>
        <w:adjustRightInd/>
        <w:snapToGrid/>
        <w:spacing w:line="560" w:lineRule="exact"/>
        <w:ind w:left="0" w:leftChars="0" w:firstLine="422" w:firstLineChars="200"/>
        <w:textAlignment w:val="auto"/>
        <w:rPr>
          <w:rFonts w:hint="eastAsia" w:ascii="宋体" w:hAnsi="宋体" w:eastAsia="宋体" w:cs="宋体"/>
          <w:b/>
          <w:bCs/>
          <w:color w:val="auto"/>
          <w:sz w:val="21"/>
          <w:szCs w:val="21"/>
          <w:highlight w:val="none"/>
          <w:u w:val="none"/>
          <w:shd w:val="clear" w:color="auto" w:fill="auto"/>
          <w:lang w:val="en-US" w:eastAsia="zh-CN"/>
        </w:rPr>
      </w:pPr>
      <w:r>
        <w:rPr>
          <w:rFonts w:hint="eastAsia" w:ascii="宋体" w:hAnsi="宋体" w:eastAsia="宋体" w:cs="宋体"/>
          <w:b/>
          <w:bCs/>
          <w:color w:val="auto"/>
          <w:sz w:val="21"/>
          <w:szCs w:val="21"/>
          <w:highlight w:val="none"/>
          <w:u w:val="none"/>
          <w:shd w:val="clear" w:color="auto" w:fill="auto"/>
          <w:lang w:val="en-US" w:eastAsia="zh-CN"/>
        </w:rPr>
        <w:t>八、合同期满</w:t>
      </w:r>
    </w:p>
    <w:p w14:paraId="779E7182">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合同期满或中标人提前退出等情况需终止合同的，中标人应在合同终止前6个月向招标人提交终止合同情况报告及入住对象安置方案，经批准后实施。双方为此共同委托专业会计师事务所进行资产清算，妥善做好资产和账目交接。运营期限届满移交政府，移交前产生的一切债务或纠纷由中标人负责。</w:t>
      </w:r>
    </w:p>
    <w:p w14:paraId="0F3EFA19">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运营期限届满后，在同等条件下，中标人享有优先继续运营的权利。如中标人不再运营，或第三方以更有利条件取得运营权，双方按以下方式进行移交：</w:t>
      </w:r>
    </w:p>
    <w:p w14:paraId="2FB4A41C">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（一）由招标人所在地人民政府成立由财政、审计、发改、住建等主管部门及甲乙双方参与的移交委员会，负责确定移交清单，办理资产移交事宜。</w:t>
      </w:r>
    </w:p>
    <w:p w14:paraId="4EBD4212">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二）在运营期满中标人不再运营管理时，中标人应确保韶关市武江区养老服务中心（一期）设施设备正常使用。若不能满足正常使用，中标人应及时修复（但建筑物本体缺陷除外），如中标人拒不修复，则相应扣除运营保障金或修复到正常使用所需的费用。办理移交手续后，中标人不再负责任何维修费用。</w:t>
      </w:r>
    </w:p>
    <w:p w14:paraId="579AB1BB">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（三）中标人在运营管理期间对韶关市武江区养老服务中心（一期）所形成的资产无偿向招标人移交，移交后产权归招标人所有。</w:t>
      </w:r>
    </w:p>
    <w:p w14:paraId="00EE887F">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四）中标人应确保移交的韶关市武江区养老服务中心（一期）物业不存在任何抵押、质押和索赔权，并在合同期限届满之日将韶关市武江区养老服务中心（一期）的资产及相关的文件、资料、经营权移交给招标人或由招标人指定的经营管理者。</w:t>
      </w:r>
    </w:p>
    <w:p w14:paraId="544B6B49">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（五）合同期限及相关事宜</w:t>
      </w:r>
    </w:p>
    <w:p w14:paraId="0C998E65">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中标人在与第三方签订管理养护合同、设备维护合同及其他合同时，应使合同的有效期不超过韶关市武江区养老服务中心（一期）运营期限届满日，否则因此产生的延期服务费用由中标人承担。</w:t>
      </w:r>
    </w:p>
    <w:p w14:paraId="62F9FD84">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如在移交日前，中标人需签订维护合同、设备合同及其他合同的，且合同在韶关市武江区养老服务中心（一期）运营期届满后仍有效的，则中标人应在该合同签订前报经招标人同意。未经招标人同意的，运营期满后合同无效，由中标人承担相应责任。</w:t>
      </w:r>
    </w:p>
    <w:p w14:paraId="200BB6A6">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（六）移走中标人相关的物品</w:t>
      </w:r>
    </w:p>
    <w:p w14:paraId="77D53B0F">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除非双方另有合同，中标人应于移交日期之后15日内，自费移走中标人员工个人物品。如果中标人在上述时间内没有移走这些物品，招标人在通知中标人之后，可以移走并将物品转运至适当的地点安全保管，中标人应承担搬移、运输和保管的合理费用和风险，中标人未通知的，招标人可自行处理相应物品。</w:t>
      </w:r>
    </w:p>
    <w:p w14:paraId="7AE57B40">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（七）本项目移交后的效力</w:t>
      </w:r>
    </w:p>
    <w:p w14:paraId="23124EC5">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方正仿宋_GB2312" w:hAnsi="方正仿宋_GB2312" w:eastAsia="方正仿宋_GB2312" w:cs="方正仿宋_GB2312"/>
          <w:color w:val="auto"/>
          <w:sz w:val="28"/>
          <w:szCs w:val="28"/>
          <w:highlight w:val="none"/>
        </w:rPr>
      </w:pPr>
      <w:r>
        <w:rPr>
          <w:rFonts w:hint="eastAsia" w:ascii="宋体" w:hAnsi="宋体" w:eastAsia="宋体" w:cs="宋体"/>
          <w:color w:val="auto"/>
          <w:kern w:val="2"/>
          <w:sz w:val="21"/>
          <w:szCs w:val="21"/>
          <w:highlight w:val="none"/>
          <w:lang w:val="en-US" w:eastAsia="zh-CN" w:bidi="ar-SA"/>
        </w:rPr>
        <w:t>中标人在本项目到期，其权利和义务即应终止，本项目另有规定的除外。移交日之前发生的债权债务或纠纷由中标人承担，与招标人无关。</w:t>
      </w:r>
    </w:p>
    <w:p w14:paraId="61F94822">
      <w:pPr>
        <w:keepNext w:val="0"/>
        <w:keepLines w:val="0"/>
        <w:pageBreakBefore w:val="0"/>
        <w:widowControl w:val="0"/>
        <w:kinsoku/>
        <w:wordWrap/>
        <w:overflowPunct/>
        <w:topLinePunct w:val="0"/>
        <w:autoSpaceDN/>
        <w:bidi w:val="0"/>
        <w:adjustRightInd/>
        <w:snapToGrid/>
        <w:spacing w:line="560" w:lineRule="exact"/>
        <w:ind w:left="0" w:leftChars="0" w:firstLine="422" w:firstLineChars="200"/>
        <w:textAlignment w:val="auto"/>
        <w:rPr>
          <w:rFonts w:hint="eastAsia" w:ascii="宋体" w:hAnsi="宋体" w:eastAsia="宋体" w:cs="宋体"/>
          <w:b/>
          <w:bCs/>
          <w:color w:val="auto"/>
          <w:sz w:val="21"/>
          <w:szCs w:val="21"/>
          <w:highlight w:val="none"/>
          <w:u w:val="none"/>
          <w:shd w:val="clear" w:color="auto" w:fill="auto"/>
          <w:lang w:val="en-US" w:eastAsia="zh-CN"/>
        </w:rPr>
      </w:pPr>
      <w:r>
        <w:rPr>
          <w:rFonts w:hint="eastAsia" w:ascii="宋体" w:hAnsi="宋体" w:eastAsia="宋体" w:cs="宋体"/>
          <w:b/>
          <w:bCs/>
          <w:color w:val="auto"/>
          <w:sz w:val="21"/>
          <w:szCs w:val="21"/>
          <w:highlight w:val="none"/>
          <w:u w:val="none"/>
          <w:shd w:val="clear" w:color="auto" w:fill="auto"/>
          <w:lang w:val="en-US" w:eastAsia="zh-CN"/>
        </w:rPr>
        <w:t>九、考核机制</w:t>
      </w:r>
    </w:p>
    <w:p w14:paraId="7EC71AB6">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招标人负责对中标人的运营服务质量实施定期考核与不定期抽查，考核方式采用现场查验、资料审核、满意度测评相结合。</w:t>
      </w:r>
    </w:p>
    <w:p w14:paraId="52FC9A5D">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1.考核频次：日常考核（</w:t>
      </w:r>
      <w:r>
        <w:rPr>
          <w:rFonts w:hint="default" w:asciiTheme="minorEastAsia" w:hAnsiTheme="minorEastAsia" w:eastAsiaTheme="minorEastAsia" w:cstheme="minorEastAsia"/>
          <w:color w:val="auto"/>
          <w:sz w:val="21"/>
          <w:szCs w:val="21"/>
          <w:highlight w:val="none"/>
          <w:lang w:val="en-US" w:eastAsia="zh-CN"/>
        </w:rPr>
        <w:t>由运营方内部监督小组负责</w:t>
      </w:r>
      <w:r>
        <w:rPr>
          <w:rFonts w:hint="eastAsia" w:ascii="宋体" w:hAnsi="宋体" w:eastAsia="宋体" w:cs="宋体"/>
          <w:color w:val="auto"/>
          <w:kern w:val="2"/>
          <w:sz w:val="21"/>
          <w:szCs w:val="21"/>
          <w:highlight w:val="none"/>
          <w:lang w:val="en-US" w:eastAsia="zh-CN" w:bidi="ar-SA"/>
        </w:rPr>
        <w:t>，根据落实情况进行评分占季度考核权重30%）、每季度一次综合评估（占年度考核权重40%）、每年一次年度考核（占总权重30%）、半年度专项抽查（重点核查安全管理与服务质量）</w:t>
      </w:r>
    </w:p>
    <w:p w14:paraId="052D3034">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2.奖惩措施：</w:t>
      </w:r>
    </w:p>
    <w:p w14:paraId="15AD09C6">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季度不合格需15日内整改，整改后仍不合格予以通报；连续两次年度不合格或累计三次季度不合格，招标人启动退出机制。不定期抽查发现严重违规（如擅自停业、降低特困人员待遇）的，直接判定不合格并责令立即整改。</w:t>
      </w:r>
    </w:p>
    <w:p w14:paraId="4FE96643">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年度优秀（90 分及以上）：优先推荐申报省级养老服务示范项目；</w:t>
      </w:r>
    </w:p>
    <w:p w14:paraId="53C82664">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季度不合格（69分及以下）：15日内提交整改报告，逾期未整改或整改不合格的，扣运营保障金总额的3%；累计2次季度不合格，通报批评并扣除运营保障金总额的5%。</w:t>
      </w:r>
    </w:p>
    <w:p w14:paraId="3ED2265E">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年度不合格（69分及以下）：扣除运营保障金总额的10%，限期3个月整改；连续2次年度不合格或累计3次季度不合格，启动退出机制。</w:t>
      </w:r>
    </w:p>
    <w:p w14:paraId="45A4BB67">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重大违规奖惩：发生欺老虐老事件1次扣20分，年内累计2次直接判定年度不合格；</w:t>
      </w:r>
    </w:p>
    <w:p w14:paraId="5ECB43B7">
      <w:pPr>
        <w:pStyle w:val="9"/>
        <w:ind w:firstLine="420" w:firstLineChars="200"/>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3.星级评定奖励</w:t>
      </w:r>
    </w:p>
    <w:p w14:paraId="1ABCC542">
      <w:pPr>
        <w:pStyle w:val="9"/>
        <w:ind w:firstLine="420" w:firstLineChars="200"/>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运营期前五年获评广东省四星级养老机构：自评定下一年起，政府返还当年</w:t>
      </w:r>
      <w:r>
        <w:rPr>
          <w:rFonts w:hint="eastAsia" w:eastAsia="宋体" w:cs="宋体"/>
          <w:color w:val="auto"/>
          <w:sz w:val="21"/>
          <w:szCs w:val="21"/>
          <w:highlight w:val="none"/>
          <w:lang w:val="en-US" w:eastAsia="zh-CN"/>
        </w:rPr>
        <w:t>合作收益分成</w:t>
      </w:r>
      <w:r>
        <w:rPr>
          <w:rFonts w:hint="eastAsia" w:ascii="宋体" w:hAnsi="宋体" w:eastAsia="宋体" w:cs="宋体"/>
          <w:color w:val="auto"/>
          <w:sz w:val="21"/>
          <w:szCs w:val="21"/>
          <w:highlight w:val="none"/>
          <w:lang w:val="en-US" w:eastAsia="zh-CN"/>
        </w:rPr>
        <w:t xml:space="preserve"> 20%，返还累计不超过 3 年；</w:t>
      </w:r>
    </w:p>
    <w:p w14:paraId="3429C1D4">
      <w:pPr>
        <w:pStyle w:val="9"/>
        <w:ind w:firstLine="420" w:firstLineChars="200"/>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运营期前五年获评广东省五星级养老机构：自评定下一年起，政府返还当年</w:t>
      </w:r>
      <w:r>
        <w:rPr>
          <w:rFonts w:hint="eastAsia" w:eastAsia="宋体" w:cs="宋体"/>
          <w:color w:val="auto"/>
          <w:sz w:val="21"/>
          <w:szCs w:val="21"/>
          <w:highlight w:val="none"/>
          <w:lang w:val="en-US" w:eastAsia="zh-CN"/>
        </w:rPr>
        <w:t>合作收益分成</w:t>
      </w:r>
      <w:r>
        <w:rPr>
          <w:rFonts w:hint="eastAsia" w:ascii="宋体" w:hAnsi="宋体" w:eastAsia="宋体" w:cs="宋体"/>
          <w:color w:val="auto"/>
          <w:sz w:val="21"/>
          <w:szCs w:val="21"/>
          <w:highlight w:val="none"/>
          <w:lang w:val="en-US" w:eastAsia="zh-CN"/>
        </w:rPr>
        <w:t xml:space="preserve"> 30%，返还累计不超过 3 年；</w:t>
      </w:r>
    </w:p>
    <w:p w14:paraId="64A58D78">
      <w:pPr>
        <w:pStyle w:val="9"/>
        <w:ind w:firstLine="420" w:firstLineChars="200"/>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运营期前五年未达四星级标准：无</w:t>
      </w:r>
      <w:r>
        <w:rPr>
          <w:rFonts w:hint="eastAsia" w:eastAsia="宋体" w:cs="宋体"/>
          <w:color w:val="auto"/>
          <w:sz w:val="21"/>
          <w:szCs w:val="21"/>
          <w:highlight w:val="none"/>
          <w:lang w:val="en-US" w:eastAsia="zh-CN"/>
        </w:rPr>
        <w:t>合作收益分成</w:t>
      </w:r>
      <w:r>
        <w:rPr>
          <w:rFonts w:hint="eastAsia" w:ascii="宋体" w:hAnsi="宋体" w:eastAsia="宋体" w:cs="宋体"/>
          <w:color w:val="auto"/>
          <w:sz w:val="21"/>
          <w:szCs w:val="21"/>
          <w:highlight w:val="none"/>
          <w:lang w:val="en-US" w:eastAsia="zh-CN"/>
        </w:rPr>
        <w:t>返还。</w:t>
      </w:r>
    </w:p>
    <w:p w14:paraId="30A33BF9">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4.考核组织与监督</w:t>
      </w:r>
    </w:p>
    <w:p w14:paraId="6DFE8F7F">
      <w:pPr>
        <w:keepNext w:val="0"/>
        <w:keepLines w:val="0"/>
        <w:pageBreakBefore w:val="0"/>
        <w:kinsoku/>
        <w:wordWrap w:val="0"/>
        <w:overflowPunct/>
        <w:topLinePunct w:val="0"/>
        <w:autoSpaceDE/>
        <w:autoSpaceDN/>
        <w:bidi w:val="0"/>
        <w:adjustRightInd w:val="0"/>
        <w:snapToGrid w:val="0"/>
        <w:spacing w:line="360" w:lineRule="auto"/>
        <w:ind w:firstLine="422" w:firstLineChars="200"/>
        <w:textAlignment w:val="auto"/>
        <w:rPr>
          <w:rFonts w:hint="default" w:asciiTheme="minorEastAsia" w:hAnsiTheme="minorEastAsia" w:eastAsiaTheme="minorEastAsia" w:cstheme="minorEastAsia"/>
          <w:color w:val="auto"/>
          <w:sz w:val="21"/>
          <w:szCs w:val="21"/>
          <w:highlight w:val="none"/>
          <w:lang w:val="en-US" w:eastAsia="zh-CN"/>
        </w:rPr>
      </w:pPr>
      <w:r>
        <w:rPr>
          <w:rFonts w:hint="default" w:asciiTheme="minorEastAsia" w:hAnsiTheme="minorEastAsia" w:eastAsiaTheme="minorEastAsia" w:cstheme="minorEastAsia"/>
          <w:b/>
          <w:bCs/>
          <w:color w:val="auto"/>
          <w:sz w:val="21"/>
          <w:szCs w:val="21"/>
          <w:highlight w:val="none"/>
          <w:lang w:val="en-US" w:eastAsia="zh-CN"/>
        </w:rPr>
        <w:t>政府监督：</w:t>
      </w:r>
      <w:r>
        <w:rPr>
          <w:rFonts w:hint="default" w:asciiTheme="minorEastAsia" w:hAnsiTheme="minorEastAsia" w:eastAsiaTheme="minorEastAsia" w:cstheme="minorEastAsia"/>
          <w:color w:val="auto"/>
          <w:sz w:val="21"/>
          <w:szCs w:val="21"/>
          <w:highlight w:val="none"/>
          <w:lang w:val="en-US" w:eastAsia="zh-CN"/>
        </w:rPr>
        <w:t>由武江区民政局牵头，联合财政局、卫健委、发改委、应急管理局、市场监管局等相关部门，组成政府监督小组，负责对项目运营情况进行常态化监督、专项检查及年度考核；</w:t>
      </w:r>
    </w:p>
    <w:p w14:paraId="679594BC">
      <w:pPr>
        <w:keepNext w:val="0"/>
        <w:keepLines w:val="0"/>
        <w:pageBreakBefore w:val="0"/>
        <w:kinsoku/>
        <w:wordWrap w:val="0"/>
        <w:overflowPunct/>
        <w:topLinePunct w:val="0"/>
        <w:autoSpaceDE/>
        <w:autoSpaceDN/>
        <w:bidi w:val="0"/>
        <w:adjustRightInd w:val="0"/>
        <w:snapToGrid w:val="0"/>
        <w:spacing w:line="360" w:lineRule="auto"/>
        <w:ind w:firstLine="422" w:firstLineChars="200"/>
        <w:textAlignment w:val="auto"/>
        <w:rPr>
          <w:rFonts w:hint="eastAsia" w:ascii="宋体" w:hAnsi="宋体" w:eastAsia="宋体" w:cs="宋体"/>
          <w:color w:val="auto"/>
          <w:sz w:val="21"/>
          <w:szCs w:val="21"/>
          <w:highlight w:val="none"/>
          <w:lang w:eastAsia="zh-CN"/>
        </w:rPr>
      </w:pPr>
      <w:r>
        <w:rPr>
          <w:rFonts w:hint="default" w:asciiTheme="minorEastAsia" w:hAnsiTheme="minorEastAsia" w:eastAsiaTheme="minorEastAsia" w:cstheme="minorEastAsia"/>
          <w:b/>
          <w:bCs/>
          <w:color w:val="auto"/>
          <w:sz w:val="21"/>
          <w:szCs w:val="21"/>
          <w:lang w:val="en-US" w:eastAsia="zh-CN"/>
        </w:rPr>
        <w:t>运营方自律监督：</w:t>
      </w:r>
      <w:r>
        <w:rPr>
          <w:rFonts w:hint="default" w:asciiTheme="minorEastAsia" w:hAnsiTheme="minorEastAsia" w:eastAsiaTheme="minorEastAsia" w:cstheme="minorEastAsia"/>
          <w:color w:val="auto"/>
          <w:sz w:val="21"/>
          <w:szCs w:val="21"/>
          <w:lang w:val="en-US" w:eastAsia="zh-CN"/>
        </w:rPr>
        <w:t>运营方建立内部监督机制，成立内部监督小组（由院长牵头，各部门负责人、员工代表、老人代表组成），负责对内部运营管理、服务质量、安全管理、财务收支等情况进行日常监督、自查自纠；</w:t>
      </w:r>
    </w:p>
    <w:p w14:paraId="03EFD845">
      <w:pPr>
        <w:keepNext w:val="0"/>
        <w:keepLines w:val="0"/>
        <w:pageBreakBefore w:val="0"/>
        <w:widowControl w:val="0"/>
        <w:kinsoku/>
        <w:wordWrap/>
        <w:overflowPunct/>
        <w:topLinePunct w:val="0"/>
        <w:autoSpaceDE/>
        <w:autoSpaceDN/>
        <w:bidi w:val="0"/>
        <w:adjustRightInd/>
        <w:snapToGrid/>
        <w:spacing w:line="360" w:lineRule="auto"/>
        <w:ind w:left="0" w:leftChars="0" w:firstLine="422"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b/>
          <w:bCs/>
          <w:color w:val="auto"/>
          <w:kern w:val="2"/>
          <w:sz w:val="21"/>
          <w:szCs w:val="21"/>
          <w:highlight w:val="none"/>
          <w:lang w:val="en-US" w:eastAsia="zh-CN" w:bidi="ar-SA"/>
        </w:rPr>
        <w:t>结果公示与申诉：</w:t>
      </w:r>
      <w:r>
        <w:rPr>
          <w:rFonts w:hint="eastAsia" w:ascii="宋体" w:hAnsi="宋体" w:eastAsia="宋体" w:cs="宋体"/>
          <w:color w:val="auto"/>
          <w:kern w:val="2"/>
          <w:sz w:val="21"/>
          <w:szCs w:val="21"/>
          <w:highlight w:val="none"/>
          <w:lang w:val="en-US" w:eastAsia="zh-CN" w:bidi="ar-SA"/>
        </w:rPr>
        <w:t>考核结果在5个工作日内书面告知中标人，中标人有异议的可在7个工作日内提交申诉材料，考核小组15日内复核并反馈结果。</w:t>
      </w:r>
    </w:p>
    <w:p w14:paraId="00DB6A90">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5.考核内容涵盖以下核心维度：</w:t>
      </w:r>
    </w:p>
    <w:p w14:paraId="7F247012">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服务质量：入住老人及家属对饮食、生活起居、照料护理、医养健康服务的满意度（通过问卷调查、访谈等方式，满意度需达85%以上）；特困供养人员零用钱按月足额发放情况（核查发放记录及老人签收凭证）；是否存在克扣钱物、降低服务档次等违规行为。</w:t>
      </w:r>
    </w:p>
    <w:p w14:paraId="3EA13674">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（2）运营合规：固定资产（消防、燃气、电梯等）第三方年检及维护记录完整性；是否从事养老服务无关活动或违规出租、出借资产；养老机构等级标准（如四星级）达标情况。</w:t>
      </w:r>
    </w:p>
    <w:p w14:paraId="07DD7ADC">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（3）安全管理：是否存在安全隐患及整改闭环情况；是否发生欺老虐老事件、安全生产责任事故；应急预案的制定与演练效果。</w:t>
      </w:r>
    </w:p>
    <w:p w14:paraId="1AE452DD">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社会责任</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公益性服务开展情况</w:t>
      </w:r>
      <w:r>
        <w:rPr>
          <w:rFonts w:hint="eastAsia" w:ascii="宋体" w:hAnsi="宋体" w:eastAsia="宋体" w:cs="宋体"/>
          <w:color w:val="auto"/>
          <w:sz w:val="21"/>
          <w:szCs w:val="21"/>
          <w:highlight w:val="none"/>
          <w:lang w:eastAsia="zh-CN"/>
        </w:rPr>
        <w:t>。</w:t>
      </w:r>
    </w:p>
    <w:p w14:paraId="56804572">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6.考核指标与评分标准：</w:t>
      </w:r>
    </w:p>
    <w:tbl>
      <w:tblPr>
        <w:tblStyle w:val="18"/>
        <w:tblW w:w="906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11"/>
        <w:gridCol w:w="2307"/>
        <w:gridCol w:w="3933"/>
        <w:gridCol w:w="1010"/>
      </w:tblGrid>
      <w:tr w14:paraId="60470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1" w:type="dxa"/>
            <w:vAlign w:val="center"/>
          </w:tcPr>
          <w:p w14:paraId="5D6A0511">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考核维度</w:t>
            </w:r>
          </w:p>
        </w:tc>
        <w:tc>
          <w:tcPr>
            <w:tcW w:w="2307" w:type="dxa"/>
            <w:vAlign w:val="center"/>
          </w:tcPr>
          <w:p w14:paraId="04605F3A">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细分指标</w:t>
            </w:r>
          </w:p>
        </w:tc>
        <w:tc>
          <w:tcPr>
            <w:tcW w:w="3933" w:type="dxa"/>
            <w:vAlign w:val="center"/>
          </w:tcPr>
          <w:p w14:paraId="1AE244D8">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评分标准（量化）</w:t>
            </w:r>
          </w:p>
        </w:tc>
        <w:tc>
          <w:tcPr>
            <w:tcW w:w="1010" w:type="dxa"/>
            <w:vAlign w:val="center"/>
          </w:tcPr>
          <w:p w14:paraId="3AE4EC16">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权重</w:t>
            </w:r>
          </w:p>
        </w:tc>
      </w:tr>
      <w:tr w14:paraId="26D586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1" w:type="dxa"/>
            <w:vMerge w:val="restart"/>
            <w:vAlign w:val="center"/>
          </w:tcPr>
          <w:p w14:paraId="1FA2B18B">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服务质量（40分）</w:t>
            </w:r>
          </w:p>
        </w:tc>
        <w:tc>
          <w:tcPr>
            <w:tcW w:w="2307" w:type="dxa"/>
            <w:vAlign w:val="center"/>
          </w:tcPr>
          <w:p w14:paraId="2138001D">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老人满意度</w:t>
            </w:r>
          </w:p>
        </w:tc>
        <w:tc>
          <w:tcPr>
            <w:tcW w:w="3933" w:type="dxa"/>
            <w:vAlign w:val="center"/>
          </w:tcPr>
          <w:p w14:paraId="2EECB234">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满意度≥90分得10分，85%-89分得8分，80%-84分得5分，＜80分不得分（抽样比例≥30%）</w:t>
            </w:r>
          </w:p>
        </w:tc>
        <w:tc>
          <w:tcPr>
            <w:tcW w:w="1010" w:type="dxa"/>
            <w:vAlign w:val="center"/>
          </w:tcPr>
          <w:p w14:paraId="7208409F">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10分</w:t>
            </w:r>
          </w:p>
        </w:tc>
      </w:tr>
      <w:tr w14:paraId="46C4EC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1" w:type="dxa"/>
            <w:vMerge w:val="continue"/>
            <w:vAlign w:val="center"/>
          </w:tcPr>
          <w:p w14:paraId="27A781D4">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color w:val="auto"/>
                <w:sz w:val="21"/>
                <w:szCs w:val="21"/>
                <w:lang w:eastAsia="zh-CN"/>
              </w:rPr>
            </w:pPr>
          </w:p>
        </w:tc>
        <w:tc>
          <w:tcPr>
            <w:tcW w:w="2307" w:type="dxa"/>
            <w:vAlign w:val="center"/>
          </w:tcPr>
          <w:p w14:paraId="1E193714">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特困人员零用钱发放</w:t>
            </w:r>
          </w:p>
        </w:tc>
        <w:tc>
          <w:tcPr>
            <w:tcW w:w="3933" w:type="dxa"/>
            <w:vAlign w:val="center"/>
          </w:tcPr>
          <w:p w14:paraId="33F27454">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按月足额发放得8分，漏发1次扣4分，扣完为止（核查发放记录与老人签收凭证）</w:t>
            </w:r>
          </w:p>
        </w:tc>
        <w:tc>
          <w:tcPr>
            <w:tcW w:w="1010" w:type="dxa"/>
            <w:vAlign w:val="center"/>
          </w:tcPr>
          <w:p w14:paraId="29282656">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8分</w:t>
            </w:r>
          </w:p>
        </w:tc>
      </w:tr>
      <w:tr w14:paraId="4D16A6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1" w:type="dxa"/>
            <w:vMerge w:val="continue"/>
            <w:vAlign w:val="center"/>
          </w:tcPr>
          <w:p w14:paraId="09E24BBB">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color w:val="auto"/>
                <w:sz w:val="21"/>
                <w:szCs w:val="21"/>
                <w:lang w:eastAsia="zh-CN"/>
              </w:rPr>
            </w:pPr>
          </w:p>
        </w:tc>
        <w:tc>
          <w:tcPr>
            <w:tcW w:w="2307" w:type="dxa"/>
            <w:vAlign w:val="center"/>
          </w:tcPr>
          <w:p w14:paraId="3F614E38">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护理服务合规性</w:t>
            </w:r>
          </w:p>
        </w:tc>
        <w:tc>
          <w:tcPr>
            <w:tcW w:w="3933" w:type="dxa"/>
            <w:vAlign w:val="center"/>
          </w:tcPr>
          <w:p w14:paraId="58721395">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无违规操作得12分，发现1次操作不合规扣3分（随机抽查护理记录、现场实操考核）</w:t>
            </w:r>
          </w:p>
        </w:tc>
        <w:tc>
          <w:tcPr>
            <w:tcW w:w="1010" w:type="dxa"/>
            <w:vAlign w:val="center"/>
          </w:tcPr>
          <w:p w14:paraId="175AE3F3">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12分</w:t>
            </w:r>
          </w:p>
        </w:tc>
      </w:tr>
      <w:tr w14:paraId="3996D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1" w:type="dxa"/>
            <w:vMerge w:val="continue"/>
            <w:vAlign w:val="center"/>
          </w:tcPr>
          <w:p w14:paraId="5B0A9207">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color w:val="auto"/>
                <w:sz w:val="21"/>
                <w:szCs w:val="21"/>
                <w:lang w:eastAsia="zh-CN"/>
              </w:rPr>
            </w:pPr>
          </w:p>
        </w:tc>
        <w:tc>
          <w:tcPr>
            <w:tcW w:w="2307" w:type="dxa"/>
            <w:vAlign w:val="center"/>
          </w:tcPr>
          <w:p w14:paraId="70ED9227">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饮食与生活服务</w:t>
            </w:r>
          </w:p>
        </w:tc>
        <w:tc>
          <w:tcPr>
            <w:tcW w:w="3933" w:type="dxa"/>
            <w:vAlign w:val="center"/>
          </w:tcPr>
          <w:p w14:paraId="34CC5964">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食谱公示及时、营养达标得10分，未公示扣5分，营养不达标扣3分</w:t>
            </w:r>
          </w:p>
        </w:tc>
        <w:tc>
          <w:tcPr>
            <w:tcW w:w="1010" w:type="dxa"/>
            <w:vAlign w:val="center"/>
          </w:tcPr>
          <w:p w14:paraId="000E823A">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10分</w:t>
            </w:r>
          </w:p>
        </w:tc>
      </w:tr>
      <w:tr w14:paraId="3F6AA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1" w:type="dxa"/>
            <w:vMerge w:val="restart"/>
            <w:vAlign w:val="center"/>
          </w:tcPr>
          <w:p w14:paraId="63DE3691">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运营合规（30分）</w:t>
            </w:r>
          </w:p>
        </w:tc>
        <w:tc>
          <w:tcPr>
            <w:tcW w:w="2307" w:type="dxa"/>
            <w:vAlign w:val="center"/>
          </w:tcPr>
          <w:p w14:paraId="5741CB4C">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资产合规管理</w:t>
            </w:r>
          </w:p>
        </w:tc>
        <w:tc>
          <w:tcPr>
            <w:tcW w:w="3933" w:type="dxa"/>
            <w:vAlign w:val="center"/>
          </w:tcPr>
          <w:p w14:paraId="48449663">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无违规处置资产得8分，违规1次扣8分（核查资产台账与现场核验）</w:t>
            </w:r>
          </w:p>
        </w:tc>
        <w:tc>
          <w:tcPr>
            <w:tcW w:w="1010" w:type="dxa"/>
            <w:vAlign w:val="center"/>
          </w:tcPr>
          <w:p w14:paraId="1C3FD367">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10分</w:t>
            </w:r>
          </w:p>
        </w:tc>
      </w:tr>
      <w:tr w14:paraId="1D9F83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1" w:type="dxa"/>
            <w:vMerge w:val="continue"/>
            <w:vAlign w:val="center"/>
          </w:tcPr>
          <w:p w14:paraId="07DDD3BF">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color w:val="auto"/>
                <w:sz w:val="21"/>
                <w:szCs w:val="21"/>
                <w:lang w:eastAsia="zh-CN"/>
              </w:rPr>
            </w:pPr>
          </w:p>
        </w:tc>
        <w:tc>
          <w:tcPr>
            <w:tcW w:w="2307" w:type="dxa"/>
            <w:vAlign w:val="center"/>
          </w:tcPr>
          <w:p w14:paraId="67A04233">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固定资产维护</w:t>
            </w:r>
          </w:p>
        </w:tc>
        <w:tc>
          <w:tcPr>
            <w:tcW w:w="3933" w:type="dxa"/>
            <w:vAlign w:val="center"/>
          </w:tcPr>
          <w:p w14:paraId="60844F20">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年检记录完整、无安全隐患得7分，1项未年检扣2分（核查消防、电梯等年检报告）</w:t>
            </w:r>
          </w:p>
        </w:tc>
        <w:tc>
          <w:tcPr>
            <w:tcW w:w="1010" w:type="dxa"/>
            <w:vAlign w:val="center"/>
          </w:tcPr>
          <w:p w14:paraId="63C9C87F">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10分</w:t>
            </w:r>
          </w:p>
        </w:tc>
      </w:tr>
      <w:tr w14:paraId="6297B1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1" w:type="dxa"/>
            <w:vMerge w:val="continue"/>
            <w:vAlign w:val="center"/>
          </w:tcPr>
          <w:p w14:paraId="4C4B6743">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color w:val="auto"/>
                <w:sz w:val="21"/>
                <w:szCs w:val="21"/>
                <w:lang w:eastAsia="zh-CN"/>
              </w:rPr>
            </w:pPr>
          </w:p>
        </w:tc>
        <w:tc>
          <w:tcPr>
            <w:tcW w:w="2307" w:type="dxa"/>
            <w:vAlign w:val="center"/>
          </w:tcPr>
          <w:p w14:paraId="19753061">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财务规范</w:t>
            </w:r>
          </w:p>
        </w:tc>
        <w:tc>
          <w:tcPr>
            <w:tcW w:w="3933" w:type="dxa"/>
            <w:vAlign w:val="center"/>
          </w:tcPr>
          <w:p w14:paraId="349063CB">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报表按时报送、维修资金足额计提得8分，迟报1次扣2分，未足额计提扣5分</w:t>
            </w:r>
          </w:p>
        </w:tc>
        <w:tc>
          <w:tcPr>
            <w:tcW w:w="1010" w:type="dxa"/>
            <w:vAlign w:val="center"/>
          </w:tcPr>
          <w:p w14:paraId="09C6473E">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10分</w:t>
            </w:r>
          </w:p>
        </w:tc>
      </w:tr>
      <w:tr w14:paraId="1D0E5A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1" w:type="dxa"/>
            <w:vMerge w:val="restart"/>
            <w:vAlign w:val="center"/>
          </w:tcPr>
          <w:p w14:paraId="56A3A77A">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安全管理（20分）</w:t>
            </w:r>
          </w:p>
        </w:tc>
        <w:tc>
          <w:tcPr>
            <w:tcW w:w="2307" w:type="dxa"/>
            <w:vAlign w:val="center"/>
          </w:tcPr>
          <w:p w14:paraId="57B05324">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安全隐患整改</w:t>
            </w:r>
          </w:p>
        </w:tc>
        <w:tc>
          <w:tcPr>
            <w:tcW w:w="3933" w:type="dxa"/>
            <w:vAlign w:val="center"/>
          </w:tcPr>
          <w:p w14:paraId="46FC17EC">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无重大隐患得8分，发现1项未整改扣4分（现场查验与整改台账）</w:t>
            </w:r>
          </w:p>
        </w:tc>
        <w:tc>
          <w:tcPr>
            <w:tcW w:w="1010" w:type="dxa"/>
            <w:vAlign w:val="center"/>
          </w:tcPr>
          <w:p w14:paraId="2C75DCD8">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8分</w:t>
            </w:r>
          </w:p>
        </w:tc>
      </w:tr>
      <w:tr w14:paraId="367628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1" w:type="dxa"/>
            <w:vMerge w:val="continue"/>
            <w:vAlign w:val="center"/>
          </w:tcPr>
          <w:p w14:paraId="2CB3A558">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color w:val="auto"/>
                <w:sz w:val="21"/>
                <w:szCs w:val="21"/>
                <w:lang w:eastAsia="zh-CN"/>
              </w:rPr>
            </w:pPr>
          </w:p>
        </w:tc>
        <w:tc>
          <w:tcPr>
            <w:tcW w:w="2307" w:type="dxa"/>
            <w:vAlign w:val="center"/>
          </w:tcPr>
          <w:p w14:paraId="3C6E744A">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事故发生率</w:t>
            </w:r>
          </w:p>
        </w:tc>
        <w:tc>
          <w:tcPr>
            <w:tcW w:w="3933" w:type="dxa"/>
            <w:vAlign w:val="center"/>
          </w:tcPr>
          <w:p w14:paraId="1433785B">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无安全事故得6分，一般事故1次扣3分，较大事故不得分</w:t>
            </w:r>
          </w:p>
        </w:tc>
        <w:tc>
          <w:tcPr>
            <w:tcW w:w="1010" w:type="dxa"/>
            <w:vAlign w:val="center"/>
          </w:tcPr>
          <w:p w14:paraId="44B712A5">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6分</w:t>
            </w:r>
          </w:p>
        </w:tc>
      </w:tr>
      <w:tr w14:paraId="315C8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1" w:type="dxa"/>
            <w:vMerge w:val="continue"/>
            <w:vAlign w:val="center"/>
          </w:tcPr>
          <w:p w14:paraId="721FCF8F">
            <w:pPr>
              <w:keepNext w:val="0"/>
              <w:keepLines w:val="0"/>
              <w:pageBreakBefore w:val="0"/>
              <w:widowControl w:val="0"/>
              <w:kinsoku/>
              <w:wordWrap/>
              <w:overflowPunct/>
              <w:topLinePunct w:val="0"/>
              <w:autoSpaceDE/>
              <w:autoSpaceDN/>
              <w:bidi w:val="0"/>
              <w:adjustRightInd/>
              <w:snapToGrid/>
              <w:spacing w:line="400" w:lineRule="exact"/>
              <w:jc w:val="center"/>
              <w:textAlignment w:val="auto"/>
              <w:rPr>
                <w:rFonts w:hint="eastAsia" w:ascii="宋体" w:hAnsi="宋体" w:eastAsia="宋体" w:cs="宋体"/>
                <w:color w:val="auto"/>
                <w:sz w:val="21"/>
                <w:szCs w:val="21"/>
                <w:lang w:eastAsia="zh-CN"/>
              </w:rPr>
            </w:pPr>
          </w:p>
        </w:tc>
        <w:tc>
          <w:tcPr>
            <w:tcW w:w="2307" w:type="dxa"/>
            <w:vAlign w:val="center"/>
          </w:tcPr>
          <w:p w14:paraId="273763CF">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应急演练与预案</w:t>
            </w:r>
          </w:p>
        </w:tc>
        <w:tc>
          <w:tcPr>
            <w:tcW w:w="3933" w:type="dxa"/>
            <w:vAlign w:val="center"/>
          </w:tcPr>
          <w:p w14:paraId="646351C6">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每季度演练1次且预案完善得6分，少1次演练扣2分</w:t>
            </w:r>
          </w:p>
        </w:tc>
        <w:tc>
          <w:tcPr>
            <w:tcW w:w="1010" w:type="dxa"/>
            <w:vAlign w:val="center"/>
          </w:tcPr>
          <w:p w14:paraId="66450CEA">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6分</w:t>
            </w:r>
          </w:p>
        </w:tc>
      </w:tr>
      <w:tr w14:paraId="6A290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0" w:hRule="atLeast"/>
        </w:trPr>
        <w:tc>
          <w:tcPr>
            <w:tcW w:w="1811" w:type="dxa"/>
            <w:vAlign w:val="center"/>
          </w:tcPr>
          <w:p w14:paraId="0803A2AE">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社会责任（10分）</w:t>
            </w:r>
          </w:p>
        </w:tc>
        <w:tc>
          <w:tcPr>
            <w:tcW w:w="2307" w:type="dxa"/>
            <w:vAlign w:val="center"/>
          </w:tcPr>
          <w:p w14:paraId="22B87979">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公益服务开展</w:t>
            </w:r>
          </w:p>
        </w:tc>
        <w:tc>
          <w:tcPr>
            <w:tcW w:w="3933" w:type="dxa"/>
            <w:vAlign w:val="center"/>
          </w:tcPr>
          <w:p w14:paraId="03F40E0B">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每年开展≥2次公益养老讲座/义诊得5分，未开展不得分</w:t>
            </w:r>
          </w:p>
        </w:tc>
        <w:tc>
          <w:tcPr>
            <w:tcW w:w="1010" w:type="dxa"/>
            <w:vAlign w:val="center"/>
          </w:tcPr>
          <w:p w14:paraId="0CF1003F">
            <w:pPr>
              <w:keepNext w:val="0"/>
              <w:keepLines w:val="0"/>
              <w:pageBreakBefore w:val="0"/>
              <w:widowControl w:val="0"/>
              <w:kinsoku/>
              <w:wordWrap/>
              <w:overflowPunct/>
              <w:topLinePunct w:val="0"/>
              <w:autoSpaceDE/>
              <w:autoSpaceDN/>
              <w:bidi w:val="0"/>
              <w:adjustRightInd/>
              <w:snapToGrid/>
              <w:spacing w:line="400" w:lineRule="exact"/>
              <w:ind w:left="0" w:leftChars="0" w:firstLine="0" w:firstLineChars="0"/>
              <w:jc w:val="center"/>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10分</w:t>
            </w:r>
          </w:p>
        </w:tc>
      </w:tr>
    </w:tbl>
    <w:p w14:paraId="65CADE25">
      <w:pPr>
        <w:keepNext w:val="0"/>
        <w:keepLines w:val="0"/>
        <w:pageBreakBefore w:val="0"/>
        <w:widowControl w:val="0"/>
        <w:kinsoku/>
        <w:wordWrap/>
        <w:overflowPunct/>
        <w:topLinePunct w:val="0"/>
        <w:autoSpaceDN/>
        <w:bidi w:val="0"/>
        <w:adjustRightInd/>
        <w:snapToGrid/>
        <w:spacing w:line="560" w:lineRule="exact"/>
        <w:ind w:firstLine="422" w:firstLineChars="200"/>
        <w:textAlignment w:val="auto"/>
        <w:rPr>
          <w:rFonts w:hint="eastAsia" w:ascii="宋体" w:hAnsi="宋体" w:eastAsia="宋体" w:cs="宋体"/>
          <w:b/>
          <w:bCs/>
          <w:color w:val="auto"/>
          <w:sz w:val="21"/>
          <w:szCs w:val="21"/>
          <w:highlight w:val="none"/>
          <w:u w:val="none"/>
          <w:shd w:val="clear" w:color="auto" w:fill="auto"/>
          <w:lang w:val="en-US" w:eastAsia="zh-CN"/>
        </w:rPr>
      </w:pPr>
      <w:r>
        <w:rPr>
          <w:rFonts w:hint="eastAsia" w:ascii="宋体" w:hAnsi="宋体" w:eastAsia="宋体" w:cs="宋体"/>
          <w:b/>
          <w:bCs/>
          <w:color w:val="auto"/>
          <w:sz w:val="21"/>
          <w:szCs w:val="21"/>
          <w:highlight w:val="none"/>
          <w:u w:val="none"/>
          <w:shd w:val="clear" w:color="auto" w:fill="auto"/>
          <w:lang w:val="en-US" w:eastAsia="zh-CN"/>
        </w:rPr>
        <w:t>十、退出机制</w:t>
      </w:r>
    </w:p>
    <w:p w14:paraId="154B4E16">
      <w:pPr>
        <w:keepNext w:val="0"/>
        <w:keepLines w:val="0"/>
        <w:pageBreakBefore w:val="0"/>
        <w:widowControl/>
        <w:numPr>
          <w:ilvl w:val="-1"/>
          <w:numId w:val="0"/>
        </w:numPr>
        <w:kinsoku/>
        <w:wordWrap/>
        <w:overflowPunct/>
        <w:topLinePunct w:val="0"/>
        <w:autoSpaceDE/>
        <w:autoSpaceDN/>
        <w:bidi w:val="0"/>
        <w:adjustRightInd w:val="0"/>
        <w:snapToGrid w:val="0"/>
        <w:spacing w:line="360" w:lineRule="auto"/>
        <w:ind w:firstLine="420" w:firstLineChars="200"/>
        <w:jc w:val="both"/>
        <w:textAlignment w:val="baseline"/>
        <w:outlineLvl w:val="9"/>
        <w:rPr>
          <w:rFonts w:hint="eastAsia" w:ascii="宋体" w:hAnsi="宋体" w:eastAsia="宋体" w:cs="宋体"/>
          <w:b w:val="0"/>
          <w:bCs w:val="0"/>
          <w:color w:val="auto"/>
          <w:kern w:val="0"/>
          <w:sz w:val="21"/>
          <w:szCs w:val="24"/>
          <w:highlight w:val="none"/>
          <w:lang w:val="en-US" w:eastAsia="zh-CN"/>
        </w:rPr>
      </w:pPr>
      <w:r>
        <w:rPr>
          <w:rFonts w:hint="eastAsia" w:ascii="宋体" w:hAnsi="宋体" w:eastAsia="宋体" w:cs="宋体"/>
          <w:b w:val="0"/>
          <w:bCs w:val="0"/>
          <w:color w:val="auto"/>
          <w:kern w:val="0"/>
          <w:sz w:val="21"/>
          <w:szCs w:val="24"/>
          <w:highlight w:val="none"/>
          <w:lang w:val="en-US" w:eastAsia="zh-CN"/>
        </w:rPr>
        <w:t>（一）合同期满的退出</w:t>
      </w:r>
    </w:p>
    <w:p w14:paraId="713FF31B">
      <w:pPr>
        <w:keepNext w:val="0"/>
        <w:keepLines w:val="0"/>
        <w:pageBreakBefore w:val="0"/>
        <w:wordWrap/>
        <w:overflowPunct/>
        <w:topLinePunct w:val="0"/>
        <w:bidi w:val="0"/>
        <w:adjustRightInd w:val="0"/>
        <w:snapToGrid w:val="0"/>
        <w:spacing w:beforeAutospacing="0" w:afterAutospacing="0" w:line="360" w:lineRule="auto"/>
        <w:ind w:left="0" w:right="0" w:firstLine="420" w:firstLineChars="200"/>
        <w:jc w:val="both"/>
        <w:textAlignment w:val="baseline"/>
        <w:outlineLvl w:val="9"/>
        <w:rPr>
          <w:rFonts w:hint="eastAsia" w:ascii="宋体" w:hAnsi="宋体" w:eastAsia="宋体" w:cs="宋体"/>
          <w:color w:val="auto"/>
          <w:kern w:val="0"/>
          <w:sz w:val="21"/>
          <w:szCs w:val="24"/>
          <w:highlight w:val="none"/>
          <w:lang w:val="en-US" w:eastAsia="zh-CN"/>
        </w:rPr>
      </w:pPr>
      <w:r>
        <w:rPr>
          <w:rFonts w:hint="eastAsia" w:ascii="宋体" w:hAnsi="宋体" w:eastAsia="宋体" w:cs="宋体"/>
          <w:color w:val="auto"/>
          <w:kern w:val="0"/>
          <w:sz w:val="21"/>
          <w:szCs w:val="24"/>
          <w:highlight w:val="none"/>
          <w:lang w:val="en-US" w:eastAsia="zh-CN"/>
        </w:rPr>
        <w:t>在合同期满时，社会化运营单位在无违约记录、考核合格的前提下享有优先续约权，若社会化运营单位选择不续约或未取得优先续约权，则按照合同约定办理移交手续并退出本项目。在经营期结束 6 个月前，由社会化运营单位和实施机构共同组成移交委员会，具体负责办理资产清算、老人安置、资料移交等工作，由社会化运营单位向实施机构无偿移交全部资产及运营资料。至此，社会化运营单位完全退出该项目，项目所有权益全部归属政府，项目回归其公共服务设施性质。</w:t>
      </w:r>
    </w:p>
    <w:p w14:paraId="41D471F9">
      <w:pPr>
        <w:keepNext w:val="0"/>
        <w:keepLines w:val="0"/>
        <w:pageBreakBefore w:val="0"/>
        <w:widowControl/>
        <w:numPr>
          <w:ilvl w:val="-1"/>
          <w:numId w:val="0"/>
        </w:numPr>
        <w:kinsoku/>
        <w:wordWrap/>
        <w:overflowPunct/>
        <w:topLinePunct w:val="0"/>
        <w:autoSpaceDE/>
        <w:autoSpaceDN/>
        <w:bidi w:val="0"/>
        <w:adjustRightInd w:val="0"/>
        <w:snapToGrid w:val="0"/>
        <w:spacing w:line="360" w:lineRule="auto"/>
        <w:ind w:firstLine="420" w:firstLineChars="200"/>
        <w:jc w:val="both"/>
        <w:textAlignment w:val="baseline"/>
        <w:outlineLvl w:val="9"/>
        <w:rPr>
          <w:rFonts w:hint="eastAsia" w:ascii="宋体" w:hAnsi="宋体" w:eastAsia="宋体" w:cs="宋体"/>
          <w:b w:val="0"/>
          <w:bCs w:val="0"/>
          <w:color w:val="auto"/>
          <w:kern w:val="0"/>
          <w:sz w:val="21"/>
          <w:szCs w:val="24"/>
          <w:highlight w:val="none"/>
          <w:lang w:val="en-US" w:eastAsia="zh-CN"/>
        </w:rPr>
      </w:pPr>
      <w:bookmarkStart w:id="32" w:name="_Toc1466"/>
      <w:r>
        <w:rPr>
          <w:rFonts w:hint="eastAsia" w:ascii="宋体" w:hAnsi="宋体" w:eastAsia="宋体" w:cs="宋体"/>
          <w:b w:val="0"/>
          <w:bCs w:val="0"/>
          <w:color w:val="auto"/>
          <w:kern w:val="0"/>
          <w:sz w:val="21"/>
          <w:szCs w:val="24"/>
          <w:highlight w:val="none"/>
          <w:lang w:val="en-US" w:eastAsia="zh-CN"/>
        </w:rPr>
        <w:t>（二）合同提前终止的退出</w:t>
      </w:r>
      <w:bookmarkEnd w:id="32"/>
    </w:p>
    <w:p w14:paraId="28421214">
      <w:pPr>
        <w:keepNext w:val="0"/>
        <w:keepLines w:val="0"/>
        <w:pageBreakBefore w:val="0"/>
        <w:wordWrap/>
        <w:overflowPunct/>
        <w:topLinePunct w:val="0"/>
        <w:bidi w:val="0"/>
        <w:adjustRightInd w:val="0"/>
        <w:snapToGrid w:val="0"/>
        <w:spacing w:beforeAutospacing="0" w:afterAutospacing="0" w:line="360" w:lineRule="auto"/>
        <w:ind w:left="0" w:right="0" w:firstLine="420" w:firstLineChars="200"/>
        <w:jc w:val="both"/>
        <w:textAlignment w:val="baseline"/>
        <w:outlineLvl w:val="9"/>
        <w:rPr>
          <w:rFonts w:hint="eastAsia" w:ascii="宋体" w:hAnsi="宋体" w:eastAsia="宋体" w:cs="宋体"/>
          <w:color w:val="auto"/>
          <w:kern w:val="0"/>
          <w:sz w:val="21"/>
          <w:szCs w:val="24"/>
          <w:highlight w:val="none"/>
          <w:lang w:val="en-US" w:eastAsia="zh-CN"/>
        </w:rPr>
      </w:pPr>
      <w:r>
        <w:rPr>
          <w:rFonts w:hint="eastAsia" w:ascii="宋体" w:hAnsi="宋体" w:eastAsia="宋体" w:cs="宋体"/>
          <w:color w:val="auto"/>
          <w:kern w:val="0"/>
          <w:sz w:val="21"/>
          <w:szCs w:val="24"/>
          <w:highlight w:val="none"/>
          <w:lang w:val="en-US" w:eastAsia="zh-CN"/>
        </w:rPr>
        <w:t>在以下情形下，项目可提前终止：社会资本方违约导致的提前终止、政府方违约导致的提前终止、不可抗力导致的提前终止，不同情形按合同约定分别处理，并依据项目合同计算合理的费用或赔偿金额。</w:t>
      </w:r>
    </w:p>
    <w:p w14:paraId="7F8D1B5D">
      <w:pPr>
        <w:keepNext w:val="0"/>
        <w:keepLines w:val="0"/>
        <w:pageBreakBefore w:val="0"/>
        <w:wordWrap/>
        <w:overflowPunct/>
        <w:topLinePunct w:val="0"/>
        <w:bidi w:val="0"/>
        <w:adjustRightInd w:val="0"/>
        <w:snapToGrid w:val="0"/>
        <w:spacing w:beforeAutospacing="0" w:afterAutospacing="0" w:line="360" w:lineRule="auto"/>
        <w:ind w:left="0" w:right="0" w:firstLine="420" w:firstLineChars="200"/>
        <w:jc w:val="both"/>
        <w:textAlignment w:val="baseline"/>
        <w:outlineLvl w:val="9"/>
        <w:rPr>
          <w:rFonts w:hint="eastAsia" w:ascii="宋体" w:hAnsi="宋体" w:eastAsia="宋体" w:cs="宋体"/>
          <w:b w:val="0"/>
          <w:bCs w:val="0"/>
          <w:color w:val="auto"/>
          <w:kern w:val="0"/>
          <w:sz w:val="21"/>
          <w:szCs w:val="24"/>
          <w:highlight w:val="none"/>
          <w:lang w:val="en-US" w:eastAsia="zh-CN"/>
        </w:rPr>
      </w:pPr>
      <w:r>
        <w:rPr>
          <w:rFonts w:hint="eastAsia" w:ascii="宋体" w:hAnsi="宋体" w:eastAsia="宋体" w:cs="宋体"/>
          <w:b w:val="0"/>
          <w:bCs w:val="0"/>
          <w:color w:val="auto"/>
          <w:kern w:val="0"/>
          <w:sz w:val="21"/>
          <w:szCs w:val="24"/>
          <w:highlight w:val="none"/>
          <w:lang w:val="en-US" w:eastAsia="zh-CN"/>
        </w:rPr>
        <w:t>1.社会化运营单位违约</w:t>
      </w:r>
    </w:p>
    <w:p w14:paraId="3BD88184">
      <w:pPr>
        <w:keepNext w:val="0"/>
        <w:keepLines w:val="0"/>
        <w:pageBreakBefore w:val="0"/>
        <w:wordWrap/>
        <w:overflowPunct/>
        <w:topLinePunct w:val="0"/>
        <w:bidi w:val="0"/>
        <w:adjustRightInd w:val="0"/>
        <w:snapToGrid w:val="0"/>
        <w:spacing w:beforeAutospacing="0" w:afterAutospacing="0" w:line="360" w:lineRule="auto"/>
        <w:ind w:left="0" w:right="0" w:firstLine="420" w:firstLineChars="200"/>
        <w:jc w:val="both"/>
        <w:textAlignment w:val="baseline"/>
        <w:outlineLvl w:val="9"/>
        <w:rPr>
          <w:rFonts w:hint="eastAsia" w:ascii="宋体" w:hAnsi="宋体" w:eastAsia="宋体" w:cs="宋体"/>
          <w:color w:val="auto"/>
          <w:kern w:val="0"/>
          <w:sz w:val="21"/>
          <w:szCs w:val="24"/>
          <w:highlight w:val="none"/>
          <w:lang w:val="en-US" w:eastAsia="zh-CN"/>
        </w:rPr>
      </w:pPr>
      <w:r>
        <w:rPr>
          <w:rFonts w:hint="eastAsia" w:ascii="宋体" w:hAnsi="宋体" w:eastAsia="宋体" w:cs="宋体"/>
          <w:color w:val="auto"/>
          <w:kern w:val="0"/>
          <w:sz w:val="21"/>
          <w:szCs w:val="24"/>
          <w:highlight w:val="none"/>
          <w:lang w:val="en-US" w:eastAsia="zh-CN"/>
        </w:rPr>
        <w:t>存在如下社会化运营单位违约事件时，政府方有权立即发出终止意向通知，兑取运营保障金，并要求社会资本方承担全部赔偿责任，情节严重的强制清退并没收场内所有固定投资：</w:t>
      </w:r>
    </w:p>
    <w:p w14:paraId="3F345DB9">
      <w:pPr>
        <w:keepNext w:val="0"/>
        <w:keepLines w:val="0"/>
        <w:pageBreakBefore w:val="0"/>
        <w:wordWrap/>
        <w:overflowPunct/>
        <w:topLinePunct w:val="0"/>
        <w:bidi w:val="0"/>
        <w:adjustRightInd w:val="0"/>
        <w:snapToGrid w:val="0"/>
        <w:spacing w:beforeAutospacing="0" w:afterAutospacing="0" w:line="360" w:lineRule="auto"/>
        <w:ind w:left="0" w:right="0" w:firstLine="420" w:firstLineChars="200"/>
        <w:jc w:val="both"/>
        <w:textAlignment w:val="baseline"/>
        <w:outlineLvl w:val="9"/>
        <w:rPr>
          <w:rFonts w:hint="eastAsia" w:ascii="宋体" w:hAnsi="宋体" w:eastAsia="宋体" w:cs="宋体"/>
          <w:color w:val="auto"/>
          <w:kern w:val="0"/>
          <w:sz w:val="21"/>
          <w:szCs w:val="24"/>
          <w:highlight w:val="none"/>
          <w:lang w:val="en-US" w:eastAsia="zh-CN"/>
        </w:rPr>
      </w:pPr>
      <w:r>
        <w:rPr>
          <w:rFonts w:hint="eastAsia" w:ascii="宋体" w:hAnsi="宋体" w:eastAsia="宋体" w:cs="宋体"/>
          <w:color w:val="auto"/>
          <w:kern w:val="0"/>
          <w:sz w:val="21"/>
          <w:szCs w:val="24"/>
          <w:highlight w:val="none"/>
          <w:lang w:val="en-US" w:eastAsia="zh-CN"/>
        </w:rPr>
        <w:t>① 社会化运营单位擅自转让、出租、变相转包项目经营权；</w:t>
      </w:r>
    </w:p>
    <w:p w14:paraId="3FB3E523">
      <w:pPr>
        <w:keepNext w:val="0"/>
        <w:keepLines w:val="0"/>
        <w:pageBreakBefore w:val="0"/>
        <w:wordWrap/>
        <w:overflowPunct/>
        <w:topLinePunct w:val="0"/>
        <w:bidi w:val="0"/>
        <w:adjustRightInd w:val="0"/>
        <w:snapToGrid w:val="0"/>
        <w:spacing w:beforeAutospacing="0" w:afterAutospacing="0" w:line="360" w:lineRule="auto"/>
        <w:ind w:left="0" w:right="0" w:firstLine="420" w:firstLineChars="200"/>
        <w:jc w:val="both"/>
        <w:textAlignment w:val="baseline"/>
        <w:outlineLvl w:val="9"/>
        <w:rPr>
          <w:rFonts w:hint="eastAsia" w:ascii="宋体" w:hAnsi="宋体" w:eastAsia="宋体" w:cs="宋体"/>
          <w:color w:val="auto"/>
          <w:kern w:val="0"/>
          <w:sz w:val="21"/>
          <w:szCs w:val="24"/>
          <w:highlight w:val="none"/>
          <w:lang w:val="en-US" w:eastAsia="zh-CN"/>
        </w:rPr>
      </w:pPr>
      <w:r>
        <w:rPr>
          <w:rFonts w:hint="eastAsia" w:ascii="宋体" w:hAnsi="宋体" w:eastAsia="宋体" w:cs="宋体"/>
          <w:color w:val="auto"/>
          <w:kern w:val="0"/>
          <w:sz w:val="21"/>
          <w:szCs w:val="24"/>
          <w:highlight w:val="none"/>
          <w:lang w:val="en-US" w:eastAsia="zh-CN"/>
        </w:rPr>
        <w:t>② 社会化运营单位擅自将所经营的项目财产进行处置、抵押、出借，或从事与养老服务无关的运营活动；</w:t>
      </w:r>
    </w:p>
    <w:p w14:paraId="011D8948">
      <w:pPr>
        <w:keepNext w:val="0"/>
        <w:keepLines w:val="0"/>
        <w:pageBreakBefore w:val="0"/>
        <w:wordWrap/>
        <w:overflowPunct/>
        <w:topLinePunct w:val="0"/>
        <w:bidi w:val="0"/>
        <w:adjustRightInd w:val="0"/>
        <w:snapToGrid w:val="0"/>
        <w:spacing w:beforeAutospacing="0" w:afterAutospacing="0" w:line="360" w:lineRule="auto"/>
        <w:ind w:left="0" w:right="0" w:firstLine="420" w:firstLineChars="200"/>
        <w:jc w:val="both"/>
        <w:textAlignment w:val="baseline"/>
        <w:outlineLvl w:val="9"/>
        <w:rPr>
          <w:rFonts w:hint="eastAsia" w:ascii="宋体" w:hAnsi="宋体" w:eastAsia="宋体" w:cs="宋体"/>
          <w:color w:val="auto"/>
          <w:kern w:val="0"/>
          <w:sz w:val="21"/>
          <w:szCs w:val="24"/>
          <w:highlight w:val="none"/>
          <w:lang w:val="en-US" w:eastAsia="zh-CN"/>
        </w:rPr>
      </w:pPr>
      <w:r>
        <w:rPr>
          <w:rFonts w:hint="eastAsia" w:ascii="宋体" w:hAnsi="宋体" w:eastAsia="宋体" w:cs="宋体"/>
          <w:color w:val="auto"/>
          <w:kern w:val="0"/>
          <w:sz w:val="21"/>
          <w:szCs w:val="24"/>
          <w:highlight w:val="none"/>
          <w:lang w:val="en-US" w:eastAsia="zh-CN"/>
        </w:rPr>
        <w:t>③ 社会化运营单位因管理不善，发生较大及以上安全生产责任事故、医疗事故、消防安全事故、食品安全事故，或一年内发生 3 次及以上欺老虐老事件，且未妥善处理或拒不赔偿的；</w:t>
      </w:r>
    </w:p>
    <w:p w14:paraId="5DDA6685">
      <w:pPr>
        <w:keepNext w:val="0"/>
        <w:keepLines w:val="0"/>
        <w:pageBreakBefore w:val="0"/>
        <w:wordWrap/>
        <w:overflowPunct/>
        <w:topLinePunct w:val="0"/>
        <w:bidi w:val="0"/>
        <w:adjustRightInd w:val="0"/>
        <w:snapToGrid w:val="0"/>
        <w:spacing w:beforeAutospacing="0" w:afterAutospacing="0" w:line="360" w:lineRule="auto"/>
        <w:ind w:left="0" w:right="0" w:firstLine="420" w:firstLineChars="200"/>
        <w:jc w:val="both"/>
        <w:textAlignment w:val="baseline"/>
        <w:outlineLvl w:val="9"/>
        <w:rPr>
          <w:rFonts w:hint="eastAsia" w:ascii="宋体" w:hAnsi="宋体" w:eastAsia="宋体" w:cs="宋体"/>
          <w:color w:val="auto"/>
          <w:kern w:val="0"/>
          <w:sz w:val="21"/>
          <w:szCs w:val="24"/>
          <w:highlight w:val="none"/>
          <w:lang w:val="en-US" w:eastAsia="zh-CN"/>
        </w:rPr>
      </w:pPr>
      <w:r>
        <w:rPr>
          <w:rFonts w:hint="eastAsia" w:ascii="宋体" w:hAnsi="宋体" w:eastAsia="宋体" w:cs="宋体"/>
          <w:color w:val="auto"/>
          <w:kern w:val="0"/>
          <w:sz w:val="21"/>
          <w:szCs w:val="24"/>
          <w:highlight w:val="none"/>
          <w:lang w:val="en-US" w:eastAsia="zh-CN"/>
        </w:rPr>
        <w:t>④ 社会化运营单位擅自停业、歇业，严重影响到社会公共利益和安全；</w:t>
      </w:r>
    </w:p>
    <w:p w14:paraId="7EB736A6">
      <w:pPr>
        <w:keepNext w:val="0"/>
        <w:keepLines w:val="0"/>
        <w:pageBreakBefore w:val="0"/>
        <w:wordWrap/>
        <w:overflowPunct/>
        <w:topLinePunct w:val="0"/>
        <w:bidi w:val="0"/>
        <w:adjustRightInd w:val="0"/>
        <w:snapToGrid w:val="0"/>
        <w:spacing w:beforeAutospacing="0" w:afterAutospacing="0" w:line="360" w:lineRule="auto"/>
        <w:ind w:left="0" w:right="0" w:firstLine="420" w:firstLineChars="200"/>
        <w:jc w:val="both"/>
        <w:textAlignment w:val="baseline"/>
        <w:outlineLvl w:val="9"/>
        <w:rPr>
          <w:rFonts w:hint="eastAsia" w:ascii="宋体" w:hAnsi="宋体" w:eastAsia="宋体" w:cs="宋体"/>
          <w:color w:val="auto"/>
          <w:kern w:val="0"/>
          <w:sz w:val="21"/>
          <w:szCs w:val="24"/>
          <w:highlight w:val="none"/>
          <w:lang w:val="en-US" w:eastAsia="zh-CN"/>
        </w:rPr>
      </w:pPr>
      <w:r>
        <w:rPr>
          <w:rFonts w:hint="eastAsia" w:ascii="宋体" w:hAnsi="宋体" w:eastAsia="宋体" w:cs="宋体"/>
          <w:color w:val="auto"/>
          <w:kern w:val="0"/>
          <w:sz w:val="21"/>
          <w:szCs w:val="24"/>
          <w:highlight w:val="none"/>
          <w:lang w:val="en-US" w:eastAsia="zh-CN"/>
        </w:rPr>
        <w:t>⑤ 根据中国法律社会化运营单位进行清算或资不抵债；</w:t>
      </w:r>
    </w:p>
    <w:p w14:paraId="106B3775">
      <w:pPr>
        <w:keepNext w:val="0"/>
        <w:keepLines w:val="0"/>
        <w:pageBreakBefore w:val="0"/>
        <w:wordWrap/>
        <w:overflowPunct/>
        <w:topLinePunct w:val="0"/>
        <w:bidi w:val="0"/>
        <w:adjustRightInd w:val="0"/>
        <w:snapToGrid w:val="0"/>
        <w:spacing w:beforeAutospacing="0" w:afterAutospacing="0" w:line="360" w:lineRule="auto"/>
        <w:ind w:left="0" w:right="0" w:firstLine="420" w:firstLineChars="200"/>
        <w:jc w:val="both"/>
        <w:textAlignment w:val="baseline"/>
        <w:outlineLvl w:val="9"/>
        <w:rPr>
          <w:rFonts w:hint="eastAsia" w:ascii="宋体" w:hAnsi="宋体" w:eastAsia="宋体" w:cs="宋体"/>
          <w:color w:val="auto"/>
          <w:kern w:val="0"/>
          <w:sz w:val="21"/>
          <w:szCs w:val="24"/>
          <w:highlight w:val="none"/>
          <w:lang w:val="en-US" w:eastAsia="zh-CN"/>
        </w:rPr>
      </w:pPr>
      <w:r>
        <w:rPr>
          <w:rFonts w:hint="eastAsia" w:ascii="宋体" w:hAnsi="宋体" w:eastAsia="宋体" w:cs="宋体"/>
          <w:color w:val="auto"/>
          <w:kern w:val="0"/>
          <w:sz w:val="21"/>
          <w:szCs w:val="24"/>
          <w:highlight w:val="none"/>
          <w:lang w:val="en-US" w:eastAsia="zh-CN"/>
        </w:rPr>
        <w:t>⑥ 社会化运营单位在签订合同时的任何声明被证明在做出时即有严重错误，使社会化运营单位履行合同的能力受到严重的不利影响；</w:t>
      </w:r>
    </w:p>
    <w:p w14:paraId="4829BBC8">
      <w:pPr>
        <w:keepNext w:val="0"/>
        <w:keepLines w:val="0"/>
        <w:pageBreakBefore w:val="0"/>
        <w:wordWrap/>
        <w:overflowPunct/>
        <w:topLinePunct w:val="0"/>
        <w:bidi w:val="0"/>
        <w:adjustRightInd w:val="0"/>
        <w:snapToGrid w:val="0"/>
        <w:spacing w:beforeAutospacing="0" w:afterAutospacing="0" w:line="360" w:lineRule="auto"/>
        <w:ind w:left="0" w:right="0" w:firstLine="420" w:firstLineChars="200"/>
        <w:jc w:val="both"/>
        <w:textAlignment w:val="baseline"/>
        <w:outlineLvl w:val="9"/>
        <w:rPr>
          <w:rFonts w:hint="eastAsia" w:ascii="宋体" w:hAnsi="宋体" w:eastAsia="宋体" w:cs="宋体"/>
          <w:color w:val="auto"/>
          <w:kern w:val="0"/>
          <w:sz w:val="21"/>
          <w:szCs w:val="24"/>
          <w:highlight w:val="none"/>
          <w:lang w:val="en-US" w:eastAsia="zh-CN"/>
        </w:rPr>
      </w:pPr>
      <w:r>
        <w:rPr>
          <w:rFonts w:hint="eastAsia" w:ascii="宋体" w:hAnsi="宋体" w:eastAsia="宋体" w:cs="宋体"/>
          <w:color w:val="auto"/>
          <w:kern w:val="0"/>
          <w:sz w:val="21"/>
          <w:szCs w:val="24"/>
          <w:highlight w:val="none"/>
          <w:lang w:val="en-US" w:eastAsia="zh-CN"/>
        </w:rPr>
        <w:t>⑦ 社会化运营单位未能根据合同规定提交并保持运营保障金足额有效，逾期 7 个工作日未补足的；</w:t>
      </w:r>
    </w:p>
    <w:p w14:paraId="069E1C17">
      <w:pPr>
        <w:keepNext w:val="0"/>
        <w:keepLines w:val="0"/>
        <w:pageBreakBefore w:val="0"/>
        <w:wordWrap/>
        <w:overflowPunct/>
        <w:topLinePunct w:val="0"/>
        <w:bidi w:val="0"/>
        <w:adjustRightInd w:val="0"/>
        <w:snapToGrid w:val="0"/>
        <w:spacing w:beforeAutospacing="0" w:afterAutospacing="0" w:line="360" w:lineRule="auto"/>
        <w:ind w:left="0" w:right="0" w:firstLine="420" w:firstLineChars="200"/>
        <w:jc w:val="both"/>
        <w:textAlignment w:val="baseline"/>
        <w:outlineLvl w:val="9"/>
        <w:rPr>
          <w:rFonts w:hint="eastAsia" w:ascii="宋体" w:hAnsi="宋体" w:eastAsia="宋体" w:cs="宋体"/>
          <w:color w:val="auto"/>
          <w:kern w:val="0"/>
          <w:sz w:val="21"/>
          <w:szCs w:val="24"/>
          <w:highlight w:val="none"/>
          <w:lang w:val="en-US" w:eastAsia="zh-CN"/>
        </w:rPr>
      </w:pPr>
      <w:r>
        <w:rPr>
          <w:rFonts w:hint="eastAsia" w:ascii="宋体" w:hAnsi="宋体" w:eastAsia="宋体" w:cs="宋体"/>
          <w:color w:val="auto"/>
          <w:kern w:val="0"/>
          <w:sz w:val="21"/>
          <w:szCs w:val="24"/>
          <w:highlight w:val="none"/>
          <w:lang w:val="en-US" w:eastAsia="zh-CN"/>
        </w:rPr>
        <w:t>⑧ 绩效考核连续 2 次年度不合格或累计 3 次季度不合格，或重大违规经整改仍不到位的；</w:t>
      </w:r>
    </w:p>
    <w:p w14:paraId="56BD297F">
      <w:pPr>
        <w:keepNext w:val="0"/>
        <w:keepLines w:val="0"/>
        <w:pageBreakBefore w:val="0"/>
        <w:wordWrap/>
        <w:overflowPunct/>
        <w:topLinePunct w:val="0"/>
        <w:bidi w:val="0"/>
        <w:adjustRightInd w:val="0"/>
        <w:snapToGrid w:val="0"/>
        <w:spacing w:beforeAutospacing="0" w:afterAutospacing="0" w:line="360" w:lineRule="auto"/>
        <w:ind w:left="0" w:right="0" w:firstLine="420" w:firstLineChars="200"/>
        <w:jc w:val="both"/>
        <w:textAlignment w:val="baseline"/>
        <w:outlineLvl w:val="9"/>
        <w:rPr>
          <w:rFonts w:hint="eastAsia" w:ascii="宋体" w:hAnsi="宋体" w:eastAsia="宋体" w:cs="宋体"/>
          <w:color w:val="auto"/>
          <w:kern w:val="0"/>
          <w:sz w:val="21"/>
          <w:szCs w:val="24"/>
          <w:highlight w:val="none"/>
          <w:lang w:val="en-US" w:eastAsia="zh-CN"/>
        </w:rPr>
      </w:pPr>
      <w:r>
        <w:rPr>
          <w:rFonts w:hint="eastAsia" w:ascii="宋体" w:hAnsi="宋体" w:eastAsia="宋体" w:cs="宋体"/>
          <w:color w:val="auto"/>
          <w:kern w:val="0"/>
          <w:sz w:val="21"/>
          <w:szCs w:val="24"/>
          <w:highlight w:val="none"/>
          <w:lang w:val="en-US" w:eastAsia="zh-CN"/>
        </w:rPr>
        <w:t>⑨ 社会化运营单位未按约定在武江区注册成立项目管理公司、未按要求投保相关保险、未足额计提维修资金等，经书面催告后 30 日内仍未整改的；</w:t>
      </w:r>
    </w:p>
    <w:p w14:paraId="7DF34BE7">
      <w:pPr>
        <w:keepNext w:val="0"/>
        <w:keepLines w:val="0"/>
        <w:pageBreakBefore w:val="0"/>
        <w:wordWrap/>
        <w:overflowPunct/>
        <w:topLinePunct w:val="0"/>
        <w:bidi w:val="0"/>
        <w:adjustRightInd w:val="0"/>
        <w:snapToGrid w:val="0"/>
        <w:spacing w:beforeAutospacing="0" w:afterAutospacing="0" w:line="360" w:lineRule="auto"/>
        <w:ind w:left="0" w:right="0" w:firstLine="420" w:firstLineChars="200"/>
        <w:jc w:val="both"/>
        <w:textAlignment w:val="baseline"/>
        <w:outlineLvl w:val="9"/>
        <w:rPr>
          <w:rFonts w:hint="eastAsia" w:ascii="宋体" w:hAnsi="宋体" w:eastAsia="宋体" w:cs="宋体"/>
          <w:color w:val="auto"/>
          <w:kern w:val="0"/>
          <w:sz w:val="21"/>
          <w:szCs w:val="24"/>
          <w:highlight w:val="none"/>
          <w:lang w:val="en-US" w:eastAsia="zh-CN"/>
        </w:rPr>
      </w:pPr>
      <w:r>
        <w:rPr>
          <w:rFonts w:hint="eastAsia" w:ascii="宋体" w:hAnsi="宋体" w:eastAsia="宋体" w:cs="宋体"/>
          <w:color w:val="auto"/>
          <w:kern w:val="0"/>
          <w:sz w:val="21"/>
          <w:szCs w:val="24"/>
          <w:highlight w:val="none"/>
          <w:lang w:val="en-US" w:eastAsia="zh-CN"/>
        </w:rPr>
        <w:t>⑩ 拖欠合作收益分成累计达 6 个月、拖欠工人工资累计达 3 个月未整改的；</w:t>
      </w:r>
    </w:p>
    <w:p w14:paraId="26465C37">
      <w:pPr>
        <w:keepNext w:val="0"/>
        <w:keepLines w:val="0"/>
        <w:pageBreakBefore w:val="0"/>
        <w:wordWrap/>
        <w:overflowPunct/>
        <w:topLinePunct w:val="0"/>
        <w:bidi w:val="0"/>
        <w:adjustRightInd w:val="0"/>
        <w:snapToGrid w:val="0"/>
        <w:spacing w:beforeAutospacing="0" w:afterAutospacing="0" w:line="360" w:lineRule="auto"/>
        <w:ind w:left="0" w:right="0" w:firstLine="420" w:firstLineChars="200"/>
        <w:jc w:val="both"/>
        <w:textAlignment w:val="baseline"/>
        <w:outlineLvl w:val="9"/>
        <w:rPr>
          <w:rFonts w:hint="eastAsia" w:ascii="宋体" w:hAnsi="宋体" w:eastAsia="宋体" w:cs="宋体"/>
          <w:color w:val="auto"/>
          <w:kern w:val="0"/>
          <w:sz w:val="21"/>
          <w:szCs w:val="24"/>
          <w:highlight w:val="none"/>
          <w:lang w:val="en-US" w:eastAsia="zh-CN"/>
        </w:rPr>
      </w:pPr>
      <w:r>
        <w:rPr>
          <w:rFonts w:hint="eastAsia" w:ascii="宋体" w:hAnsi="宋体" w:eastAsia="宋体" w:cs="宋体"/>
          <w:color w:val="auto"/>
          <w:kern w:val="0"/>
          <w:sz w:val="21"/>
          <w:szCs w:val="24"/>
          <w:highlight w:val="none"/>
          <w:lang w:val="en-US" w:eastAsia="zh-CN"/>
        </w:rPr>
        <w:t>⑪ 项目运营至第五年年末，未评上四星级及以上养老机构且存在重大运营问题的。</w:t>
      </w:r>
    </w:p>
    <w:p w14:paraId="7711C580">
      <w:pPr>
        <w:keepNext w:val="0"/>
        <w:keepLines w:val="0"/>
        <w:pageBreakBefore w:val="0"/>
        <w:wordWrap/>
        <w:overflowPunct/>
        <w:topLinePunct w:val="0"/>
        <w:bidi w:val="0"/>
        <w:adjustRightInd w:val="0"/>
        <w:snapToGrid w:val="0"/>
        <w:spacing w:beforeAutospacing="0" w:afterAutospacing="0" w:line="360" w:lineRule="auto"/>
        <w:ind w:left="0" w:right="0" w:firstLine="420" w:firstLineChars="200"/>
        <w:jc w:val="both"/>
        <w:textAlignment w:val="baseline"/>
        <w:outlineLvl w:val="9"/>
        <w:rPr>
          <w:rFonts w:hint="eastAsia" w:ascii="宋体" w:hAnsi="宋体" w:eastAsia="宋体" w:cs="宋体"/>
          <w:b w:val="0"/>
          <w:bCs w:val="0"/>
          <w:color w:val="auto"/>
          <w:kern w:val="0"/>
          <w:sz w:val="21"/>
          <w:szCs w:val="24"/>
          <w:highlight w:val="none"/>
          <w:lang w:val="en-US" w:eastAsia="zh-CN"/>
        </w:rPr>
      </w:pPr>
      <w:r>
        <w:rPr>
          <w:rFonts w:hint="eastAsia" w:ascii="宋体" w:hAnsi="宋体" w:eastAsia="宋体" w:cs="宋体"/>
          <w:color w:val="auto"/>
          <w:kern w:val="0"/>
          <w:sz w:val="21"/>
          <w:szCs w:val="24"/>
          <w:highlight w:val="none"/>
          <w:lang w:val="en-US" w:eastAsia="zh-CN"/>
        </w:rPr>
        <w:t>2.</w:t>
      </w:r>
      <w:r>
        <w:rPr>
          <w:rFonts w:hint="eastAsia" w:ascii="宋体" w:hAnsi="宋体" w:eastAsia="宋体" w:cs="宋体"/>
          <w:b w:val="0"/>
          <w:bCs w:val="0"/>
          <w:color w:val="auto"/>
          <w:kern w:val="0"/>
          <w:sz w:val="21"/>
          <w:szCs w:val="24"/>
          <w:highlight w:val="none"/>
          <w:lang w:val="en-US" w:eastAsia="zh-CN"/>
        </w:rPr>
        <w:t>若因中标人单方面原因，发生擅自中止运营、无故解除合同、拒绝履约、严重违约且经招标人限期整改后仍未纠正等根本性违约行为，导致本项目合同无法继续履行、合同目的无法实现的，中标人应承担全部违约责任。</w:t>
      </w:r>
      <w:r>
        <w:rPr>
          <w:rFonts w:hint="eastAsia" w:ascii="宋体" w:hAnsi="宋体" w:eastAsia="宋体" w:cs="宋体"/>
          <w:color w:val="auto"/>
          <w:kern w:val="0"/>
          <w:sz w:val="21"/>
          <w:szCs w:val="24"/>
          <w:highlight w:val="none"/>
          <w:lang w:val="en-US" w:eastAsia="zh-CN"/>
        </w:rPr>
        <w:t>包括但不限于没收运营保障金以及经营性损失。</w:t>
      </w:r>
    </w:p>
    <w:p w14:paraId="65FDF359">
      <w:pPr>
        <w:keepNext w:val="0"/>
        <w:keepLines w:val="0"/>
        <w:pageBreakBefore w:val="0"/>
        <w:wordWrap/>
        <w:overflowPunct/>
        <w:topLinePunct w:val="0"/>
        <w:bidi w:val="0"/>
        <w:adjustRightInd w:val="0"/>
        <w:snapToGrid w:val="0"/>
        <w:spacing w:beforeAutospacing="0" w:afterAutospacing="0" w:line="360" w:lineRule="auto"/>
        <w:ind w:right="0"/>
        <w:jc w:val="both"/>
        <w:textAlignment w:val="baseline"/>
        <w:outlineLvl w:val="9"/>
        <w:rPr>
          <w:rFonts w:hint="eastAsia" w:ascii="宋体" w:hAnsi="宋体" w:eastAsia="宋体" w:cs="宋体"/>
          <w:color w:val="auto"/>
          <w:kern w:val="0"/>
          <w:sz w:val="21"/>
          <w:szCs w:val="24"/>
          <w:highlight w:val="none"/>
          <w:lang w:val="en-US" w:eastAsia="zh-CN"/>
        </w:rPr>
      </w:pPr>
      <w:r>
        <w:rPr>
          <w:rFonts w:hint="eastAsia" w:ascii="宋体" w:hAnsi="宋体" w:eastAsia="宋体" w:cs="宋体"/>
          <w:color w:val="auto"/>
          <w:kern w:val="0"/>
          <w:sz w:val="21"/>
          <w:szCs w:val="24"/>
          <w:highlight w:val="none"/>
          <w:lang w:val="en-US" w:eastAsia="zh-CN"/>
        </w:rPr>
        <w:t>经营性损失将参照基准收益模式（即基准收益标准不低于3.1元/平方米/月，每三年递增4%）进行违约赔偿，即可履约期间的合作收益分成与对标履约期间的收益总额之间的差额进行赔偿。具体以双方签订合同为准。</w:t>
      </w:r>
    </w:p>
    <w:p w14:paraId="1ECEC12B">
      <w:pPr>
        <w:keepNext w:val="0"/>
        <w:keepLines w:val="0"/>
        <w:pageBreakBefore w:val="0"/>
        <w:wordWrap/>
        <w:overflowPunct/>
        <w:topLinePunct w:val="0"/>
        <w:bidi w:val="0"/>
        <w:adjustRightInd w:val="0"/>
        <w:snapToGrid w:val="0"/>
        <w:spacing w:beforeAutospacing="0" w:afterAutospacing="0" w:line="360" w:lineRule="auto"/>
        <w:ind w:right="0"/>
        <w:jc w:val="both"/>
        <w:textAlignment w:val="baseline"/>
        <w:outlineLvl w:val="9"/>
        <w:rPr>
          <w:rFonts w:hint="eastAsia" w:ascii="宋体" w:hAnsi="宋体" w:eastAsia="宋体" w:cs="宋体"/>
          <w:color w:val="auto"/>
          <w:kern w:val="0"/>
          <w:sz w:val="21"/>
          <w:szCs w:val="24"/>
          <w:highlight w:val="none"/>
          <w:lang w:val="en-US" w:eastAsia="zh-CN"/>
        </w:rPr>
      </w:pPr>
      <w:r>
        <w:rPr>
          <w:rFonts w:hint="eastAsia" w:ascii="宋体" w:hAnsi="宋体" w:eastAsia="宋体" w:cs="宋体"/>
          <w:color w:val="auto"/>
          <w:kern w:val="0"/>
          <w:sz w:val="21"/>
          <w:szCs w:val="24"/>
          <w:highlight w:val="none"/>
          <w:lang w:val="en-US" w:eastAsia="zh-CN"/>
        </w:rPr>
        <w:t>赔偿金额参照如下标准：</w:t>
      </w:r>
    </w:p>
    <w:tbl>
      <w:tblPr>
        <w:tblStyle w:val="17"/>
        <w:tblpPr w:leftFromText="180" w:rightFromText="180" w:vertAnchor="text" w:horzAnchor="page" w:tblpX="1519" w:tblpY="92"/>
        <w:tblOverlap w:val="never"/>
        <w:tblW w:w="938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469"/>
        <w:gridCol w:w="644"/>
        <w:gridCol w:w="970"/>
        <w:gridCol w:w="1137"/>
        <w:gridCol w:w="546"/>
        <w:gridCol w:w="1164"/>
        <w:gridCol w:w="1164"/>
        <w:gridCol w:w="1164"/>
        <w:gridCol w:w="1236"/>
        <w:gridCol w:w="886"/>
      </w:tblGrid>
      <w:tr w14:paraId="23C586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50" w:hRule="atLeast"/>
          <w:tblHeader/>
        </w:trPr>
        <w:tc>
          <w:tcPr>
            <w:tcW w:w="9380" w:type="dxa"/>
            <w:gridSpan w:val="10"/>
            <w:tcBorders>
              <w:tl2br w:val="nil"/>
              <w:tr2bl w:val="nil"/>
            </w:tcBorders>
            <w:shd w:val="clear" w:color="auto" w:fill="auto"/>
            <w:noWrap/>
            <w:vAlign w:val="center"/>
          </w:tcPr>
          <w:p w14:paraId="63DE6E60">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基准收益模式</w:t>
            </w:r>
          </w:p>
        </w:tc>
      </w:tr>
      <w:tr w14:paraId="346AB5A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453" w:hRule="atLeast"/>
          <w:tblHeader/>
        </w:trPr>
        <w:tc>
          <w:tcPr>
            <w:tcW w:w="469" w:type="dxa"/>
            <w:tcBorders>
              <w:tl2br w:val="nil"/>
              <w:tr2bl w:val="nil"/>
            </w:tcBorders>
            <w:shd w:val="clear" w:color="auto" w:fill="auto"/>
            <w:noWrap/>
            <w:vAlign w:val="center"/>
          </w:tcPr>
          <w:p w14:paraId="03831E4B">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序号</w:t>
            </w:r>
          </w:p>
        </w:tc>
        <w:tc>
          <w:tcPr>
            <w:tcW w:w="644" w:type="dxa"/>
            <w:tcBorders>
              <w:tl2br w:val="nil"/>
              <w:tr2bl w:val="nil"/>
            </w:tcBorders>
            <w:shd w:val="clear" w:color="auto" w:fill="auto"/>
            <w:vAlign w:val="center"/>
          </w:tcPr>
          <w:p w14:paraId="1E0AC307">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年份</w:t>
            </w:r>
            <w:r>
              <w:rPr>
                <w:rStyle w:val="107"/>
                <w:rFonts w:hint="eastAsia" w:asciiTheme="minorEastAsia" w:hAnsiTheme="minorEastAsia" w:eastAsiaTheme="minorEastAsia" w:cstheme="minorEastAsia"/>
                <w:color w:val="auto"/>
                <w:sz w:val="21"/>
                <w:szCs w:val="21"/>
                <w:lang w:val="en-US" w:eastAsia="zh-CN" w:bidi="ar"/>
              </w:rPr>
              <w:t>​</w:t>
            </w:r>
          </w:p>
        </w:tc>
        <w:tc>
          <w:tcPr>
            <w:tcW w:w="970" w:type="dxa"/>
            <w:tcBorders>
              <w:tl2br w:val="nil"/>
              <w:tr2bl w:val="nil"/>
            </w:tcBorders>
            <w:shd w:val="clear" w:color="auto" w:fill="auto"/>
            <w:vAlign w:val="center"/>
          </w:tcPr>
          <w:p w14:paraId="17A12C2A">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运营面积（㎡）</w:t>
            </w:r>
          </w:p>
        </w:tc>
        <w:tc>
          <w:tcPr>
            <w:tcW w:w="1137" w:type="dxa"/>
            <w:tcBorders>
              <w:tl2br w:val="nil"/>
              <w:tr2bl w:val="nil"/>
            </w:tcBorders>
            <w:shd w:val="clear" w:color="auto" w:fill="auto"/>
            <w:vAlign w:val="center"/>
          </w:tcPr>
          <w:p w14:paraId="7A7F4B70">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宋体" w:hAnsi="宋体" w:eastAsia="宋体" w:cs="宋体"/>
                <w:b/>
                <w:bCs/>
                <w:color w:val="auto"/>
                <w:kern w:val="0"/>
                <w:sz w:val="21"/>
                <w:szCs w:val="24"/>
                <w:highlight w:val="none"/>
                <w:lang w:val="en-US" w:eastAsia="zh-CN"/>
              </w:rPr>
              <w:t>基准收益金</w:t>
            </w:r>
            <w:r>
              <w:rPr>
                <w:rFonts w:hint="eastAsia" w:asciiTheme="minorEastAsia" w:hAnsiTheme="minorEastAsia" w:eastAsiaTheme="minorEastAsia" w:cstheme="minorEastAsia"/>
                <w:b/>
                <w:bCs/>
                <w:i w:val="0"/>
                <w:iCs w:val="0"/>
                <w:color w:val="auto"/>
                <w:kern w:val="0"/>
                <w:sz w:val="21"/>
                <w:szCs w:val="21"/>
                <w:u w:val="none"/>
                <w:lang w:val="en-US" w:eastAsia="zh-CN" w:bidi="ar"/>
              </w:rPr>
              <w:t>（元/㎡/月）</w:t>
            </w:r>
            <w:r>
              <w:rPr>
                <w:rStyle w:val="107"/>
                <w:rFonts w:hint="eastAsia" w:asciiTheme="minorEastAsia" w:hAnsiTheme="minorEastAsia" w:eastAsiaTheme="minorEastAsia" w:cstheme="minorEastAsia"/>
                <w:color w:val="auto"/>
                <w:sz w:val="21"/>
                <w:szCs w:val="21"/>
                <w:lang w:val="en-US" w:eastAsia="zh-CN" w:bidi="ar"/>
              </w:rPr>
              <w:t>​</w:t>
            </w:r>
          </w:p>
        </w:tc>
        <w:tc>
          <w:tcPr>
            <w:tcW w:w="546" w:type="dxa"/>
            <w:tcBorders>
              <w:tl2br w:val="nil"/>
              <w:tr2bl w:val="nil"/>
            </w:tcBorders>
            <w:shd w:val="clear" w:color="auto" w:fill="auto"/>
            <w:vAlign w:val="center"/>
          </w:tcPr>
          <w:p w14:paraId="6C0E9F57">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递增</w:t>
            </w:r>
          </w:p>
        </w:tc>
        <w:tc>
          <w:tcPr>
            <w:tcW w:w="1164" w:type="dxa"/>
            <w:tcBorders>
              <w:tl2br w:val="nil"/>
              <w:tr2bl w:val="nil"/>
            </w:tcBorders>
            <w:shd w:val="clear" w:color="auto" w:fill="auto"/>
            <w:vAlign w:val="center"/>
          </w:tcPr>
          <w:p w14:paraId="28B284EC">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月收益（元）</w:t>
            </w:r>
          </w:p>
        </w:tc>
        <w:tc>
          <w:tcPr>
            <w:tcW w:w="1164" w:type="dxa"/>
            <w:tcBorders>
              <w:tl2br w:val="nil"/>
              <w:tr2bl w:val="nil"/>
            </w:tcBorders>
            <w:shd w:val="clear" w:color="auto" w:fill="auto"/>
            <w:vAlign w:val="center"/>
          </w:tcPr>
          <w:p w14:paraId="776E737E">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年收益（元）</w:t>
            </w:r>
            <w:r>
              <w:rPr>
                <w:rStyle w:val="107"/>
                <w:rFonts w:hint="eastAsia" w:asciiTheme="minorEastAsia" w:hAnsiTheme="minorEastAsia" w:eastAsiaTheme="minorEastAsia" w:cstheme="minorEastAsia"/>
                <w:color w:val="auto"/>
                <w:sz w:val="21"/>
                <w:szCs w:val="21"/>
                <w:lang w:val="en-US" w:eastAsia="zh-CN" w:bidi="ar"/>
              </w:rPr>
              <w:t>​</w:t>
            </w:r>
          </w:p>
        </w:tc>
        <w:tc>
          <w:tcPr>
            <w:tcW w:w="1164" w:type="dxa"/>
            <w:tcBorders>
              <w:tl2br w:val="nil"/>
              <w:tr2bl w:val="nil"/>
            </w:tcBorders>
            <w:shd w:val="clear" w:color="auto" w:fill="auto"/>
            <w:vAlign w:val="center"/>
          </w:tcPr>
          <w:p w14:paraId="1A1A2E29">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期间收益</w:t>
            </w:r>
          </w:p>
        </w:tc>
        <w:tc>
          <w:tcPr>
            <w:tcW w:w="1236" w:type="dxa"/>
            <w:tcBorders>
              <w:tl2br w:val="nil"/>
              <w:tr2bl w:val="nil"/>
            </w:tcBorders>
            <w:shd w:val="clear" w:color="auto" w:fill="auto"/>
            <w:vAlign w:val="center"/>
          </w:tcPr>
          <w:p w14:paraId="73A919CD">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累计总收益（元）</w:t>
            </w:r>
            <w:r>
              <w:rPr>
                <w:rStyle w:val="107"/>
                <w:rFonts w:hint="eastAsia" w:asciiTheme="minorEastAsia" w:hAnsiTheme="minorEastAsia" w:eastAsiaTheme="minorEastAsia" w:cstheme="minorEastAsia"/>
                <w:color w:val="auto"/>
                <w:sz w:val="21"/>
                <w:szCs w:val="21"/>
                <w:lang w:val="en-US" w:eastAsia="zh-CN" w:bidi="ar"/>
              </w:rPr>
              <w:t>​</w:t>
            </w:r>
          </w:p>
        </w:tc>
        <w:tc>
          <w:tcPr>
            <w:tcW w:w="886" w:type="dxa"/>
            <w:tcBorders>
              <w:tl2br w:val="nil"/>
              <w:tr2bl w:val="nil"/>
            </w:tcBorders>
            <w:shd w:val="clear" w:color="auto" w:fill="auto"/>
            <w:noWrap/>
            <w:vAlign w:val="center"/>
          </w:tcPr>
          <w:p w14:paraId="2DD2D3F3">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备注</w:t>
            </w:r>
          </w:p>
        </w:tc>
      </w:tr>
      <w:tr w14:paraId="1161B4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453" w:hRule="atLeast"/>
        </w:trPr>
        <w:tc>
          <w:tcPr>
            <w:tcW w:w="469" w:type="dxa"/>
            <w:tcBorders>
              <w:tl2br w:val="nil"/>
              <w:tr2bl w:val="nil"/>
            </w:tcBorders>
            <w:shd w:val="clear" w:color="auto" w:fill="auto"/>
            <w:noWrap/>
            <w:vAlign w:val="center"/>
          </w:tcPr>
          <w:p w14:paraId="76F69DD9">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w:t>
            </w:r>
          </w:p>
        </w:tc>
        <w:tc>
          <w:tcPr>
            <w:tcW w:w="644" w:type="dxa"/>
            <w:tcBorders>
              <w:tl2br w:val="nil"/>
              <w:tr2bl w:val="nil"/>
            </w:tcBorders>
            <w:shd w:val="clear" w:color="auto" w:fill="auto"/>
            <w:vAlign w:val="center"/>
          </w:tcPr>
          <w:p w14:paraId="6CB1B7F6">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1-3</w:t>
            </w:r>
          </w:p>
        </w:tc>
        <w:tc>
          <w:tcPr>
            <w:tcW w:w="970" w:type="dxa"/>
            <w:vMerge w:val="restart"/>
            <w:tcBorders>
              <w:tl2br w:val="nil"/>
              <w:tr2bl w:val="nil"/>
            </w:tcBorders>
            <w:shd w:val="clear" w:color="auto" w:fill="auto"/>
            <w:vAlign w:val="center"/>
          </w:tcPr>
          <w:p w14:paraId="2DEF994B">
            <w:pPr>
              <w:keepNext w:val="0"/>
              <w:keepLines w:val="0"/>
              <w:widowControl/>
              <w:suppressLineNumbers w:val="0"/>
              <w:snapToGrid w:val="0"/>
              <w:ind w:left="0" w:leftChars="0" w:right="0" w:rightChars="0" w:firstLine="0" w:firstLineChars="0"/>
              <w:jc w:val="right"/>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20,509.91</w:t>
            </w:r>
          </w:p>
        </w:tc>
        <w:tc>
          <w:tcPr>
            <w:tcW w:w="1137" w:type="dxa"/>
            <w:tcBorders>
              <w:tl2br w:val="nil"/>
              <w:tr2bl w:val="nil"/>
            </w:tcBorders>
            <w:shd w:val="clear" w:color="auto" w:fill="auto"/>
            <w:vAlign w:val="center"/>
          </w:tcPr>
          <w:p w14:paraId="35D96BE2">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3.1</w:t>
            </w:r>
          </w:p>
        </w:tc>
        <w:tc>
          <w:tcPr>
            <w:tcW w:w="546" w:type="dxa"/>
            <w:tcBorders>
              <w:tl2br w:val="nil"/>
              <w:tr2bl w:val="nil"/>
            </w:tcBorders>
            <w:shd w:val="clear" w:color="auto" w:fill="auto"/>
            <w:vAlign w:val="center"/>
          </w:tcPr>
          <w:p w14:paraId="03B340CD">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w:t>
            </w:r>
          </w:p>
        </w:tc>
        <w:tc>
          <w:tcPr>
            <w:tcW w:w="1164" w:type="dxa"/>
            <w:tcBorders>
              <w:tl2br w:val="nil"/>
              <w:tr2bl w:val="nil"/>
            </w:tcBorders>
            <w:shd w:val="clear" w:color="auto" w:fill="auto"/>
            <w:vAlign w:val="center"/>
          </w:tcPr>
          <w:p w14:paraId="5D7B2D23">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63580.721</w:t>
            </w:r>
          </w:p>
        </w:tc>
        <w:tc>
          <w:tcPr>
            <w:tcW w:w="1164" w:type="dxa"/>
            <w:tcBorders>
              <w:tl2br w:val="nil"/>
              <w:tr2bl w:val="nil"/>
            </w:tcBorders>
            <w:shd w:val="clear" w:color="auto" w:fill="auto"/>
            <w:vAlign w:val="center"/>
          </w:tcPr>
          <w:p w14:paraId="731642DA">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762968.652</w:t>
            </w:r>
          </w:p>
        </w:tc>
        <w:tc>
          <w:tcPr>
            <w:tcW w:w="1164" w:type="dxa"/>
            <w:tcBorders>
              <w:tl2br w:val="nil"/>
              <w:tr2bl w:val="nil"/>
            </w:tcBorders>
            <w:shd w:val="clear" w:color="auto" w:fill="auto"/>
            <w:vAlign w:val="center"/>
          </w:tcPr>
          <w:p w14:paraId="46F15317">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1907421.63</w:t>
            </w:r>
          </w:p>
        </w:tc>
        <w:tc>
          <w:tcPr>
            <w:tcW w:w="1236" w:type="dxa"/>
            <w:tcBorders>
              <w:tl2br w:val="nil"/>
              <w:tr2bl w:val="nil"/>
            </w:tcBorders>
            <w:shd w:val="clear" w:color="auto" w:fill="auto"/>
            <w:vAlign w:val="center"/>
          </w:tcPr>
          <w:p w14:paraId="38F8DFBF">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1,907,421.63</w:t>
            </w:r>
          </w:p>
        </w:tc>
        <w:tc>
          <w:tcPr>
            <w:tcW w:w="886" w:type="dxa"/>
            <w:tcBorders>
              <w:tl2br w:val="nil"/>
              <w:tr2bl w:val="nil"/>
            </w:tcBorders>
            <w:shd w:val="clear" w:color="auto" w:fill="auto"/>
            <w:noWrap/>
            <w:vAlign w:val="center"/>
          </w:tcPr>
          <w:p w14:paraId="3851B2A4">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免收益分成期6个月。</w:t>
            </w:r>
          </w:p>
        </w:tc>
      </w:tr>
      <w:tr w14:paraId="64B6480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402" w:hRule="atLeast"/>
        </w:trPr>
        <w:tc>
          <w:tcPr>
            <w:tcW w:w="469" w:type="dxa"/>
            <w:tcBorders>
              <w:tl2br w:val="nil"/>
              <w:tr2bl w:val="nil"/>
            </w:tcBorders>
            <w:shd w:val="clear" w:color="auto" w:fill="auto"/>
            <w:noWrap/>
            <w:vAlign w:val="center"/>
          </w:tcPr>
          <w:p w14:paraId="231385E5">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w:t>
            </w:r>
          </w:p>
        </w:tc>
        <w:tc>
          <w:tcPr>
            <w:tcW w:w="644" w:type="dxa"/>
            <w:tcBorders>
              <w:tl2br w:val="nil"/>
              <w:tr2bl w:val="nil"/>
            </w:tcBorders>
            <w:shd w:val="clear" w:color="auto" w:fill="auto"/>
            <w:vAlign w:val="center"/>
          </w:tcPr>
          <w:p w14:paraId="31ABC2CA">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4-6</w:t>
            </w:r>
          </w:p>
        </w:tc>
        <w:tc>
          <w:tcPr>
            <w:tcW w:w="970" w:type="dxa"/>
            <w:vMerge w:val="continue"/>
            <w:tcBorders>
              <w:tl2br w:val="nil"/>
              <w:tr2bl w:val="nil"/>
            </w:tcBorders>
            <w:shd w:val="clear" w:color="auto" w:fill="auto"/>
            <w:vAlign w:val="center"/>
          </w:tcPr>
          <w:p w14:paraId="60ED41E2">
            <w:pPr>
              <w:keepNext w:val="0"/>
              <w:keepLines w:val="0"/>
              <w:widowControl/>
              <w:suppressLineNumbers w:val="0"/>
              <w:snapToGrid w:val="0"/>
              <w:ind w:left="0" w:leftChars="0" w:right="0" w:rightChars="0" w:firstLine="0" w:firstLineChars="0"/>
              <w:jc w:val="right"/>
              <w:textAlignment w:val="center"/>
              <w:rPr>
                <w:rFonts w:hint="eastAsia" w:asciiTheme="minorEastAsia" w:hAnsiTheme="minorEastAsia" w:eastAsiaTheme="minorEastAsia" w:cstheme="minorEastAsia"/>
                <w:i w:val="0"/>
                <w:iCs w:val="0"/>
                <w:color w:val="auto"/>
                <w:sz w:val="21"/>
                <w:szCs w:val="21"/>
                <w:u w:val="none"/>
              </w:rPr>
            </w:pPr>
          </w:p>
        </w:tc>
        <w:tc>
          <w:tcPr>
            <w:tcW w:w="1137" w:type="dxa"/>
            <w:tcBorders>
              <w:tl2br w:val="nil"/>
              <w:tr2bl w:val="nil"/>
            </w:tcBorders>
            <w:shd w:val="clear" w:color="auto" w:fill="auto"/>
            <w:vAlign w:val="center"/>
          </w:tcPr>
          <w:p w14:paraId="6846624C">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3.224</w:t>
            </w:r>
          </w:p>
        </w:tc>
        <w:tc>
          <w:tcPr>
            <w:tcW w:w="546" w:type="dxa"/>
            <w:tcBorders>
              <w:tl2br w:val="nil"/>
              <w:tr2bl w:val="nil"/>
            </w:tcBorders>
            <w:shd w:val="clear" w:color="auto" w:fill="auto"/>
            <w:vAlign w:val="center"/>
          </w:tcPr>
          <w:p w14:paraId="312CFAD0">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0.04</w:t>
            </w:r>
          </w:p>
        </w:tc>
        <w:tc>
          <w:tcPr>
            <w:tcW w:w="1164" w:type="dxa"/>
            <w:tcBorders>
              <w:tl2br w:val="nil"/>
              <w:tr2bl w:val="nil"/>
            </w:tcBorders>
            <w:shd w:val="clear" w:color="auto" w:fill="auto"/>
            <w:vAlign w:val="center"/>
          </w:tcPr>
          <w:p w14:paraId="368E2F4F">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66123.94984</w:t>
            </w:r>
          </w:p>
        </w:tc>
        <w:tc>
          <w:tcPr>
            <w:tcW w:w="1164" w:type="dxa"/>
            <w:tcBorders>
              <w:tl2br w:val="nil"/>
              <w:tr2bl w:val="nil"/>
            </w:tcBorders>
            <w:shd w:val="clear" w:color="auto" w:fill="auto"/>
            <w:vAlign w:val="center"/>
          </w:tcPr>
          <w:p w14:paraId="1528B750">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793487.3981</w:t>
            </w:r>
          </w:p>
        </w:tc>
        <w:tc>
          <w:tcPr>
            <w:tcW w:w="1164" w:type="dxa"/>
            <w:tcBorders>
              <w:tl2br w:val="nil"/>
              <w:tr2bl w:val="nil"/>
            </w:tcBorders>
            <w:shd w:val="clear" w:color="auto" w:fill="auto"/>
            <w:vAlign w:val="center"/>
          </w:tcPr>
          <w:p w14:paraId="31179AA3">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2380462.194</w:t>
            </w:r>
          </w:p>
        </w:tc>
        <w:tc>
          <w:tcPr>
            <w:tcW w:w="1236" w:type="dxa"/>
            <w:tcBorders>
              <w:tl2br w:val="nil"/>
              <w:tr2bl w:val="nil"/>
            </w:tcBorders>
            <w:shd w:val="clear" w:color="auto" w:fill="auto"/>
            <w:vAlign w:val="center"/>
          </w:tcPr>
          <w:p w14:paraId="54792DFA">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4287883.824</w:t>
            </w:r>
          </w:p>
        </w:tc>
        <w:tc>
          <w:tcPr>
            <w:tcW w:w="886" w:type="dxa"/>
            <w:tcBorders>
              <w:tl2br w:val="nil"/>
              <w:tr2bl w:val="nil"/>
            </w:tcBorders>
            <w:shd w:val="clear" w:color="auto" w:fill="auto"/>
            <w:noWrap/>
            <w:vAlign w:val="center"/>
          </w:tcPr>
          <w:p w14:paraId="10CE44C9">
            <w:pPr>
              <w:snapToGrid w:val="0"/>
              <w:ind w:left="0" w:leftChars="0" w:right="0" w:rightChars="0" w:firstLine="0" w:firstLineChars="0"/>
              <w:jc w:val="center"/>
              <w:rPr>
                <w:rFonts w:hint="eastAsia" w:asciiTheme="minorEastAsia" w:hAnsiTheme="minorEastAsia" w:eastAsiaTheme="minorEastAsia" w:cstheme="minorEastAsia"/>
                <w:i w:val="0"/>
                <w:iCs w:val="0"/>
                <w:color w:val="auto"/>
                <w:sz w:val="21"/>
                <w:szCs w:val="21"/>
                <w:u w:val="none"/>
              </w:rPr>
            </w:pPr>
          </w:p>
        </w:tc>
      </w:tr>
      <w:tr w14:paraId="3B4F39A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402" w:hRule="atLeast"/>
        </w:trPr>
        <w:tc>
          <w:tcPr>
            <w:tcW w:w="469" w:type="dxa"/>
            <w:tcBorders>
              <w:tl2br w:val="nil"/>
              <w:tr2bl w:val="nil"/>
            </w:tcBorders>
            <w:shd w:val="clear" w:color="auto" w:fill="auto"/>
            <w:noWrap/>
            <w:vAlign w:val="center"/>
          </w:tcPr>
          <w:p w14:paraId="618EBC24">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w:t>
            </w:r>
          </w:p>
        </w:tc>
        <w:tc>
          <w:tcPr>
            <w:tcW w:w="644" w:type="dxa"/>
            <w:tcBorders>
              <w:tl2br w:val="nil"/>
              <w:tr2bl w:val="nil"/>
            </w:tcBorders>
            <w:shd w:val="clear" w:color="auto" w:fill="auto"/>
            <w:vAlign w:val="center"/>
          </w:tcPr>
          <w:p w14:paraId="2494D18A">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7-9</w:t>
            </w:r>
          </w:p>
        </w:tc>
        <w:tc>
          <w:tcPr>
            <w:tcW w:w="970" w:type="dxa"/>
            <w:vMerge w:val="continue"/>
            <w:tcBorders>
              <w:tl2br w:val="nil"/>
              <w:tr2bl w:val="nil"/>
            </w:tcBorders>
            <w:shd w:val="clear" w:color="auto" w:fill="auto"/>
            <w:vAlign w:val="center"/>
          </w:tcPr>
          <w:p w14:paraId="76A4DA30">
            <w:pPr>
              <w:keepNext w:val="0"/>
              <w:keepLines w:val="0"/>
              <w:widowControl/>
              <w:suppressLineNumbers w:val="0"/>
              <w:snapToGrid w:val="0"/>
              <w:ind w:left="0" w:leftChars="0" w:right="0" w:rightChars="0" w:firstLine="0" w:firstLineChars="0"/>
              <w:jc w:val="right"/>
              <w:textAlignment w:val="center"/>
              <w:rPr>
                <w:rFonts w:hint="eastAsia" w:asciiTheme="minorEastAsia" w:hAnsiTheme="minorEastAsia" w:eastAsiaTheme="minorEastAsia" w:cstheme="minorEastAsia"/>
                <w:i w:val="0"/>
                <w:iCs w:val="0"/>
                <w:color w:val="auto"/>
                <w:sz w:val="21"/>
                <w:szCs w:val="21"/>
                <w:u w:val="none"/>
              </w:rPr>
            </w:pPr>
          </w:p>
        </w:tc>
        <w:tc>
          <w:tcPr>
            <w:tcW w:w="1137" w:type="dxa"/>
            <w:tcBorders>
              <w:tl2br w:val="nil"/>
              <w:tr2bl w:val="nil"/>
            </w:tcBorders>
            <w:shd w:val="clear" w:color="auto" w:fill="auto"/>
            <w:vAlign w:val="center"/>
          </w:tcPr>
          <w:p w14:paraId="010BB4B8">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3.35296</w:t>
            </w:r>
          </w:p>
        </w:tc>
        <w:tc>
          <w:tcPr>
            <w:tcW w:w="546" w:type="dxa"/>
            <w:tcBorders>
              <w:tl2br w:val="nil"/>
              <w:tr2bl w:val="nil"/>
            </w:tcBorders>
            <w:shd w:val="clear" w:color="auto" w:fill="auto"/>
            <w:vAlign w:val="center"/>
          </w:tcPr>
          <w:p w14:paraId="16647E10">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0.04</w:t>
            </w:r>
          </w:p>
        </w:tc>
        <w:tc>
          <w:tcPr>
            <w:tcW w:w="1164" w:type="dxa"/>
            <w:tcBorders>
              <w:tl2br w:val="nil"/>
              <w:tr2bl w:val="nil"/>
            </w:tcBorders>
            <w:shd w:val="clear" w:color="auto" w:fill="auto"/>
            <w:vAlign w:val="center"/>
          </w:tcPr>
          <w:p w14:paraId="352EF037">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68768.90783</w:t>
            </w:r>
          </w:p>
        </w:tc>
        <w:tc>
          <w:tcPr>
            <w:tcW w:w="1164" w:type="dxa"/>
            <w:tcBorders>
              <w:tl2br w:val="nil"/>
              <w:tr2bl w:val="nil"/>
            </w:tcBorders>
            <w:shd w:val="clear" w:color="auto" w:fill="auto"/>
            <w:vAlign w:val="center"/>
          </w:tcPr>
          <w:p w14:paraId="222677B6">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825226.894</w:t>
            </w:r>
          </w:p>
        </w:tc>
        <w:tc>
          <w:tcPr>
            <w:tcW w:w="1164" w:type="dxa"/>
            <w:tcBorders>
              <w:tl2br w:val="nil"/>
              <w:tr2bl w:val="nil"/>
            </w:tcBorders>
            <w:shd w:val="clear" w:color="auto" w:fill="auto"/>
            <w:vAlign w:val="center"/>
          </w:tcPr>
          <w:p w14:paraId="4B931406">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2475680.682</w:t>
            </w:r>
          </w:p>
        </w:tc>
        <w:tc>
          <w:tcPr>
            <w:tcW w:w="1236" w:type="dxa"/>
            <w:tcBorders>
              <w:tl2br w:val="nil"/>
              <w:tr2bl w:val="nil"/>
            </w:tcBorders>
            <w:shd w:val="clear" w:color="auto" w:fill="auto"/>
            <w:vAlign w:val="center"/>
          </w:tcPr>
          <w:p w14:paraId="7B87D197">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6763564.506</w:t>
            </w:r>
          </w:p>
        </w:tc>
        <w:tc>
          <w:tcPr>
            <w:tcW w:w="886" w:type="dxa"/>
            <w:tcBorders>
              <w:tl2br w:val="nil"/>
              <w:tr2bl w:val="nil"/>
            </w:tcBorders>
            <w:shd w:val="clear" w:color="auto" w:fill="auto"/>
            <w:noWrap/>
            <w:vAlign w:val="center"/>
          </w:tcPr>
          <w:p w14:paraId="3E75CAC2">
            <w:pPr>
              <w:snapToGrid w:val="0"/>
              <w:ind w:left="0" w:leftChars="0" w:right="0" w:rightChars="0" w:firstLine="0" w:firstLineChars="0"/>
              <w:jc w:val="center"/>
              <w:rPr>
                <w:rFonts w:hint="eastAsia" w:asciiTheme="minorEastAsia" w:hAnsiTheme="minorEastAsia" w:eastAsiaTheme="minorEastAsia" w:cstheme="minorEastAsia"/>
                <w:i w:val="0"/>
                <w:iCs w:val="0"/>
                <w:color w:val="auto"/>
                <w:sz w:val="21"/>
                <w:szCs w:val="21"/>
                <w:u w:val="none"/>
              </w:rPr>
            </w:pPr>
          </w:p>
        </w:tc>
      </w:tr>
      <w:tr w14:paraId="22EC68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402" w:hRule="atLeast"/>
        </w:trPr>
        <w:tc>
          <w:tcPr>
            <w:tcW w:w="469" w:type="dxa"/>
            <w:tcBorders>
              <w:tl2br w:val="nil"/>
              <w:tr2bl w:val="nil"/>
            </w:tcBorders>
            <w:shd w:val="clear" w:color="auto" w:fill="auto"/>
            <w:noWrap/>
            <w:vAlign w:val="center"/>
          </w:tcPr>
          <w:p w14:paraId="42876FB6">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4</w:t>
            </w:r>
          </w:p>
        </w:tc>
        <w:tc>
          <w:tcPr>
            <w:tcW w:w="644" w:type="dxa"/>
            <w:tcBorders>
              <w:tl2br w:val="nil"/>
              <w:tr2bl w:val="nil"/>
            </w:tcBorders>
            <w:shd w:val="clear" w:color="auto" w:fill="auto"/>
            <w:vAlign w:val="center"/>
          </w:tcPr>
          <w:p w14:paraId="47ADFE98">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10-12</w:t>
            </w:r>
          </w:p>
        </w:tc>
        <w:tc>
          <w:tcPr>
            <w:tcW w:w="970" w:type="dxa"/>
            <w:vMerge w:val="continue"/>
            <w:tcBorders>
              <w:tl2br w:val="nil"/>
              <w:tr2bl w:val="nil"/>
            </w:tcBorders>
            <w:shd w:val="clear" w:color="auto" w:fill="auto"/>
            <w:vAlign w:val="center"/>
          </w:tcPr>
          <w:p w14:paraId="11153EAD">
            <w:pPr>
              <w:keepNext w:val="0"/>
              <w:keepLines w:val="0"/>
              <w:widowControl/>
              <w:suppressLineNumbers w:val="0"/>
              <w:snapToGrid w:val="0"/>
              <w:ind w:left="0" w:leftChars="0" w:right="0" w:rightChars="0" w:firstLine="0" w:firstLineChars="0"/>
              <w:jc w:val="right"/>
              <w:textAlignment w:val="center"/>
              <w:rPr>
                <w:rFonts w:hint="eastAsia" w:asciiTheme="minorEastAsia" w:hAnsiTheme="minorEastAsia" w:eastAsiaTheme="minorEastAsia" w:cstheme="minorEastAsia"/>
                <w:i w:val="0"/>
                <w:iCs w:val="0"/>
                <w:color w:val="auto"/>
                <w:sz w:val="21"/>
                <w:szCs w:val="21"/>
                <w:u w:val="none"/>
              </w:rPr>
            </w:pPr>
          </w:p>
        </w:tc>
        <w:tc>
          <w:tcPr>
            <w:tcW w:w="1137" w:type="dxa"/>
            <w:tcBorders>
              <w:tl2br w:val="nil"/>
              <w:tr2bl w:val="nil"/>
            </w:tcBorders>
            <w:shd w:val="clear" w:color="auto" w:fill="auto"/>
            <w:vAlign w:val="center"/>
          </w:tcPr>
          <w:p w14:paraId="1AF0F305">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3.4870784</w:t>
            </w:r>
          </w:p>
        </w:tc>
        <w:tc>
          <w:tcPr>
            <w:tcW w:w="546" w:type="dxa"/>
            <w:tcBorders>
              <w:tl2br w:val="nil"/>
              <w:tr2bl w:val="nil"/>
            </w:tcBorders>
            <w:shd w:val="clear" w:color="auto" w:fill="auto"/>
            <w:vAlign w:val="center"/>
          </w:tcPr>
          <w:p w14:paraId="2CCE90B4">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0.04</w:t>
            </w:r>
          </w:p>
        </w:tc>
        <w:tc>
          <w:tcPr>
            <w:tcW w:w="1164" w:type="dxa"/>
            <w:tcBorders>
              <w:tl2br w:val="nil"/>
              <w:tr2bl w:val="nil"/>
            </w:tcBorders>
            <w:shd w:val="clear" w:color="auto" w:fill="auto"/>
            <w:vAlign w:val="center"/>
          </w:tcPr>
          <w:p w14:paraId="0C4049B1">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71519.66415</w:t>
            </w:r>
          </w:p>
        </w:tc>
        <w:tc>
          <w:tcPr>
            <w:tcW w:w="1164" w:type="dxa"/>
            <w:tcBorders>
              <w:tl2br w:val="nil"/>
              <w:tr2bl w:val="nil"/>
            </w:tcBorders>
            <w:shd w:val="clear" w:color="auto" w:fill="auto"/>
            <w:vAlign w:val="center"/>
          </w:tcPr>
          <w:p w14:paraId="2318E4F0">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858235.9698</w:t>
            </w:r>
          </w:p>
        </w:tc>
        <w:tc>
          <w:tcPr>
            <w:tcW w:w="1164" w:type="dxa"/>
            <w:tcBorders>
              <w:tl2br w:val="nil"/>
              <w:tr2bl w:val="nil"/>
            </w:tcBorders>
            <w:shd w:val="clear" w:color="auto" w:fill="auto"/>
            <w:vAlign w:val="center"/>
          </w:tcPr>
          <w:p w14:paraId="34BF1679">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2574707.909</w:t>
            </w:r>
          </w:p>
        </w:tc>
        <w:tc>
          <w:tcPr>
            <w:tcW w:w="1236" w:type="dxa"/>
            <w:tcBorders>
              <w:tl2br w:val="nil"/>
              <w:tr2bl w:val="nil"/>
            </w:tcBorders>
            <w:shd w:val="clear" w:color="auto" w:fill="auto"/>
            <w:vAlign w:val="center"/>
          </w:tcPr>
          <w:p w14:paraId="5791C373">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9338272.416</w:t>
            </w:r>
          </w:p>
        </w:tc>
        <w:tc>
          <w:tcPr>
            <w:tcW w:w="886" w:type="dxa"/>
            <w:tcBorders>
              <w:tl2br w:val="nil"/>
              <w:tr2bl w:val="nil"/>
            </w:tcBorders>
            <w:shd w:val="clear" w:color="auto" w:fill="auto"/>
            <w:noWrap/>
            <w:vAlign w:val="center"/>
          </w:tcPr>
          <w:p w14:paraId="133FD1B2">
            <w:pPr>
              <w:snapToGrid w:val="0"/>
              <w:ind w:left="0" w:leftChars="0" w:right="0" w:rightChars="0" w:firstLine="0" w:firstLineChars="0"/>
              <w:jc w:val="center"/>
              <w:rPr>
                <w:rFonts w:hint="eastAsia" w:asciiTheme="minorEastAsia" w:hAnsiTheme="minorEastAsia" w:eastAsiaTheme="minorEastAsia" w:cstheme="minorEastAsia"/>
                <w:i w:val="0"/>
                <w:iCs w:val="0"/>
                <w:color w:val="auto"/>
                <w:sz w:val="21"/>
                <w:szCs w:val="21"/>
                <w:u w:val="none"/>
              </w:rPr>
            </w:pPr>
          </w:p>
        </w:tc>
      </w:tr>
      <w:tr w14:paraId="7C4E55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402" w:hRule="atLeast"/>
        </w:trPr>
        <w:tc>
          <w:tcPr>
            <w:tcW w:w="469" w:type="dxa"/>
            <w:tcBorders>
              <w:tl2br w:val="nil"/>
              <w:tr2bl w:val="nil"/>
            </w:tcBorders>
            <w:shd w:val="clear" w:color="auto" w:fill="auto"/>
            <w:noWrap/>
            <w:vAlign w:val="center"/>
          </w:tcPr>
          <w:p w14:paraId="5AD59F1A">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5</w:t>
            </w:r>
          </w:p>
        </w:tc>
        <w:tc>
          <w:tcPr>
            <w:tcW w:w="644" w:type="dxa"/>
            <w:tcBorders>
              <w:tl2br w:val="nil"/>
              <w:tr2bl w:val="nil"/>
            </w:tcBorders>
            <w:shd w:val="clear" w:color="auto" w:fill="auto"/>
            <w:vAlign w:val="center"/>
          </w:tcPr>
          <w:p w14:paraId="23917BCA">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13-15</w:t>
            </w:r>
          </w:p>
        </w:tc>
        <w:tc>
          <w:tcPr>
            <w:tcW w:w="970" w:type="dxa"/>
            <w:vMerge w:val="continue"/>
            <w:tcBorders>
              <w:tl2br w:val="nil"/>
              <w:tr2bl w:val="nil"/>
            </w:tcBorders>
            <w:shd w:val="clear" w:color="auto" w:fill="auto"/>
            <w:vAlign w:val="center"/>
          </w:tcPr>
          <w:p w14:paraId="06DB314B">
            <w:pPr>
              <w:keepNext w:val="0"/>
              <w:keepLines w:val="0"/>
              <w:widowControl/>
              <w:suppressLineNumbers w:val="0"/>
              <w:snapToGrid w:val="0"/>
              <w:ind w:left="0" w:leftChars="0" w:right="0" w:rightChars="0" w:firstLine="0" w:firstLineChars="0"/>
              <w:jc w:val="right"/>
              <w:textAlignment w:val="center"/>
              <w:rPr>
                <w:rFonts w:hint="eastAsia" w:asciiTheme="minorEastAsia" w:hAnsiTheme="minorEastAsia" w:eastAsiaTheme="minorEastAsia" w:cstheme="minorEastAsia"/>
                <w:i w:val="0"/>
                <w:iCs w:val="0"/>
                <w:color w:val="auto"/>
                <w:sz w:val="21"/>
                <w:szCs w:val="21"/>
                <w:u w:val="none"/>
              </w:rPr>
            </w:pPr>
          </w:p>
        </w:tc>
        <w:tc>
          <w:tcPr>
            <w:tcW w:w="1137" w:type="dxa"/>
            <w:tcBorders>
              <w:tl2br w:val="nil"/>
              <w:tr2bl w:val="nil"/>
            </w:tcBorders>
            <w:shd w:val="clear" w:color="auto" w:fill="auto"/>
            <w:vAlign w:val="center"/>
          </w:tcPr>
          <w:p w14:paraId="1EC2CF44">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3.626561536</w:t>
            </w:r>
          </w:p>
        </w:tc>
        <w:tc>
          <w:tcPr>
            <w:tcW w:w="546" w:type="dxa"/>
            <w:tcBorders>
              <w:tl2br w:val="nil"/>
              <w:tr2bl w:val="nil"/>
            </w:tcBorders>
            <w:shd w:val="clear" w:color="auto" w:fill="auto"/>
            <w:vAlign w:val="center"/>
          </w:tcPr>
          <w:p w14:paraId="4110B34F">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0.04</w:t>
            </w:r>
          </w:p>
        </w:tc>
        <w:tc>
          <w:tcPr>
            <w:tcW w:w="1164" w:type="dxa"/>
            <w:tcBorders>
              <w:tl2br w:val="nil"/>
              <w:tr2bl w:val="nil"/>
            </w:tcBorders>
            <w:shd w:val="clear" w:color="auto" w:fill="auto"/>
            <w:vAlign w:val="center"/>
          </w:tcPr>
          <w:p w14:paraId="6C67D6D0">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74380.45071</w:t>
            </w:r>
          </w:p>
        </w:tc>
        <w:tc>
          <w:tcPr>
            <w:tcW w:w="1164" w:type="dxa"/>
            <w:tcBorders>
              <w:tl2br w:val="nil"/>
              <w:tr2bl w:val="nil"/>
            </w:tcBorders>
            <w:shd w:val="clear" w:color="auto" w:fill="auto"/>
            <w:vAlign w:val="center"/>
          </w:tcPr>
          <w:p w14:paraId="426C0145">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892565.4086</w:t>
            </w:r>
          </w:p>
        </w:tc>
        <w:tc>
          <w:tcPr>
            <w:tcW w:w="1164" w:type="dxa"/>
            <w:tcBorders>
              <w:tl2br w:val="nil"/>
              <w:tr2bl w:val="nil"/>
            </w:tcBorders>
            <w:shd w:val="clear" w:color="auto" w:fill="auto"/>
            <w:vAlign w:val="center"/>
          </w:tcPr>
          <w:p w14:paraId="68E64A60">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2677696.226</w:t>
            </w:r>
          </w:p>
        </w:tc>
        <w:tc>
          <w:tcPr>
            <w:tcW w:w="1236" w:type="dxa"/>
            <w:tcBorders>
              <w:tl2br w:val="nil"/>
              <w:tr2bl w:val="nil"/>
            </w:tcBorders>
            <w:shd w:val="clear" w:color="auto" w:fill="auto"/>
            <w:vAlign w:val="center"/>
          </w:tcPr>
          <w:p w14:paraId="34F92D1D">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12015968.64</w:t>
            </w:r>
          </w:p>
        </w:tc>
        <w:tc>
          <w:tcPr>
            <w:tcW w:w="886" w:type="dxa"/>
            <w:tcBorders>
              <w:tl2br w:val="nil"/>
              <w:tr2bl w:val="nil"/>
            </w:tcBorders>
            <w:shd w:val="clear" w:color="auto" w:fill="auto"/>
            <w:noWrap/>
            <w:vAlign w:val="center"/>
          </w:tcPr>
          <w:p w14:paraId="7F7F2E79">
            <w:pPr>
              <w:snapToGrid w:val="0"/>
              <w:ind w:left="0" w:leftChars="0" w:right="0" w:rightChars="0" w:firstLine="0" w:firstLineChars="0"/>
              <w:jc w:val="center"/>
              <w:rPr>
                <w:rFonts w:hint="eastAsia" w:asciiTheme="minorEastAsia" w:hAnsiTheme="minorEastAsia" w:eastAsiaTheme="minorEastAsia" w:cstheme="minorEastAsia"/>
                <w:i w:val="0"/>
                <w:iCs w:val="0"/>
                <w:color w:val="auto"/>
                <w:sz w:val="21"/>
                <w:szCs w:val="21"/>
                <w:u w:val="none"/>
              </w:rPr>
            </w:pPr>
          </w:p>
        </w:tc>
      </w:tr>
      <w:tr w14:paraId="2F94F7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402" w:hRule="atLeast"/>
        </w:trPr>
        <w:tc>
          <w:tcPr>
            <w:tcW w:w="469" w:type="dxa"/>
            <w:tcBorders>
              <w:tl2br w:val="nil"/>
              <w:tr2bl w:val="nil"/>
            </w:tcBorders>
            <w:shd w:val="clear" w:color="auto" w:fill="auto"/>
            <w:noWrap/>
            <w:vAlign w:val="center"/>
          </w:tcPr>
          <w:p w14:paraId="3FBF437A">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6</w:t>
            </w:r>
          </w:p>
        </w:tc>
        <w:tc>
          <w:tcPr>
            <w:tcW w:w="644" w:type="dxa"/>
            <w:tcBorders>
              <w:tl2br w:val="nil"/>
              <w:tr2bl w:val="nil"/>
            </w:tcBorders>
            <w:shd w:val="clear" w:color="auto" w:fill="auto"/>
            <w:vAlign w:val="center"/>
          </w:tcPr>
          <w:p w14:paraId="17055A90">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16-18</w:t>
            </w:r>
          </w:p>
        </w:tc>
        <w:tc>
          <w:tcPr>
            <w:tcW w:w="970" w:type="dxa"/>
            <w:vMerge w:val="continue"/>
            <w:tcBorders>
              <w:tl2br w:val="nil"/>
              <w:tr2bl w:val="nil"/>
            </w:tcBorders>
            <w:shd w:val="clear" w:color="auto" w:fill="auto"/>
            <w:vAlign w:val="center"/>
          </w:tcPr>
          <w:p w14:paraId="085D0FEA">
            <w:pPr>
              <w:keepNext w:val="0"/>
              <w:keepLines w:val="0"/>
              <w:widowControl/>
              <w:suppressLineNumbers w:val="0"/>
              <w:snapToGrid w:val="0"/>
              <w:ind w:left="0" w:leftChars="0" w:right="0" w:rightChars="0" w:firstLine="0" w:firstLineChars="0"/>
              <w:jc w:val="right"/>
              <w:textAlignment w:val="center"/>
              <w:rPr>
                <w:rFonts w:hint="eastAsia" w:asciiTheme="minorEastAsia" w:hAnsiTheme="minorEastAsia" w:eastAsiaTheme="minorEastAsia" w:cstheme="minorEastAsia"/>
                <w:i w:val="0"/>
                <w:iCs w:val="0"/>
                <w:color w:val="auto"/>
                <w:sz w:val="21"/>
                <w:szCs w:val="21"/>
                <w:u w:val="none"/>
              </w:rPr>
            </w:pPr>
          </w:p>
        </w:tc>
        <w:tc>
          <w:tcPr>
            <w:tcW w:w="1137" w:type="dxa"/>
            <w:tcBorders>
              <w:tl2br w:val="nil"/>
              <w:tr2bl w:val="nil"/>
            </w:tcBorders>
            <w:shd w:val="clear" w:color="auto" w:fill="auto"/>
            <w:vAlign w:val="center"/>
          </w:tcPr>
          <w:p w14:paraId="28F849FE">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3.771623997</w:t>
            </w:r>
          </w:p>
        </w:tc>
        <w:tc>
          <w:tcPr>
            <w:tcW w:w="546" w:type="dxa"/>
            <w:tcBorders>
              <w:tl2br w:val="nil"/>
              <w:tr2bl w:val="nil"/>
            </w:tcBorders>
            <w:shd w:val="clear" w:color="auto" w:fill="auto"/>
            <w:vAlign w:val="center"/>
          </w:tcPr>
          <w:p w14:paraId="7D8B2666">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0.04</w:t>
            </w:r>
          </w:p>
        </w:tc>
        <w:tc>
          <w:tcPr>
            <w:tcW w:w="1164" w:type="dxa"/>
            <w:tcBorders>
              <w:tl2br w:val="nil"/>
              <w:tr2bl w:val="nil"/>
            </w:tcBorders>
            <w:shd w:val="clear" w:color="auto" w:fill="auto"/>
            <w:vAlign w:val="center"/>
          </w:tcPr>
          <w:p w14:paraId="66F22125">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77355.66874</w:t>
            </w:r>
          </w:p>
        </w:tc>
        <w:tc>
          <w:tcPr>
            <w:tcW w:w="1164" w:type="dxa"/>
            <w:tcBorders>
              <w:tl2br w:val="nil"/>
              <w:tr2bl w:val="nil"/>
            </w:tcBorders>
            <w:shd w:val="clear" w:color="auto" w:fill="auto"/>
            <w:vAlign w:val="center"/>
          </w:tcPr>
          <w:p w14:paraId="1DD84334">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928268.0249</w:t>
            </w:r>
          </w:p>
        </w:tc>
        <w:tc>
          <w:tcPr>
            <w:tcW w:w="1164" w:type="dxa"/>
            <w:tcBorders>
              <w:tl2br w:val="nil"/>
              <w:tr2bl w:val="nil"/>
            </w:tcBorders>
            <w:shd w:val="clear" w:color="auto" w:fill="auto"/>
            <w:vAlign w:val="center"/>
          </w:tcPr>
          <w:p w14:paraId="76D817D1">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2784804.075</w:t>
            </w:r>
          </w:p>
        </w:tc>
        <w:tc>
          <w:tcPr>
            <w:tcW w:w="1236" w:type="dxa"/>
            <w:tcBorders>
              <w:tl2br w:val="nil"/>
              <w:tr2bl w:val="nil"/>
            </w:tcBorders>
            <w:shd w:val="clear" w:color="auto" w:fill="auto"/>
            <w:vAlign w:val="center"/>
          </w:tcPr>
          <w:p w14:paraId="413CDE10">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14800772.72</w:t>
            </w:r>
          </w:p>
        </w:tc>
        <w:tc>
          <w:tcPr>
            <w:tcW w:w="886" w:type="dxa"/>
            <w:tcBorders>
              <w:tl2br w:val="nil"/>
              <w:tr2bl w:val="nil"/>
            </w:tcBorders>
            <w:shd w:val="clear" w:color="auto" w:fill="auto"/>
            <w:noWrap/>
            <w:vAlign w:val="center"/>
          </w:tcPr>
          <w:p w14:paraId="4D20C652">
            <w:pPr>
              <w:snapToGrid w:val="0"/>
              <w:ind w:left="0" w:leftChars="0" w:right="0" w:rightChars="0" w:firstLine="0" w:firstLineChars="0"/>
              <w:jc w:val="center"/>
              <w:rPr>
                <w:rFonts w:hint="eastAsia" w:asciiTheme="minorEastAsia" w:hAnsiTheme="minorEastAsia" w:eastAsiaTheme="minorEastAsia" w:cstheme="minorEastAsia"/>
                <w:i w:val="0"/>
                <w:iCs w:val="0"/>
                <w:color w:val="auto"/>
                <w:sz w:val="21"/>
                <w:szCs w:val="21"/>
                <w:u w:val="none"/>
              </w:rPr>
            </w:pPr>
          </w:p>
        </w:tc>
      </w:tr>
      <w:tr w14:paraId="3D1EDED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402" w:hRule="atLeast"/>
        </w:trPr>
        <w:tc>
          <w:tcPr>
            <w:tcW w:w="469" w:type="dxa"/>
            <w:tcBorders>
              <w:tl2br w:val="nil"/>
              <w:tr2bl w:val="nil"/>
            </w:tcBorders>
            <w:shd w:val="clear" w:color="auto" w:fill="auto"/>
            <w:noWrap/>
            <w:vAlign w:val="center"/>
          </w:tcPr>
          <w:p w14:paraId="0CA46D3F">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7</w:t>
            </w:r>
          </w:p>
        </w:tc>
        <w:tc>
          <w:tcPr>
            <w:tcW w:w="644" w:type="dxa"/>
            <w:tcBorders>
              <w:tl2br w:val="nil"/>
              <w:tr2bl w:val="nil"/>
            </w:tcBorders>
            <w:shd w:val="clear" w:color="auto" w:fill="auto"/>
            <w:vAlign w:val="center"/>
          </w:tcPr>
          <w:p w14:paraId="41DF97BA">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19-20</w:t>
            </w:r>
          </w:p>
        </w:tc>
        <w:tc>
          <w:tcPr>
            <w:tcW w:w="970" w:type="dxa"/>
            <w:vMerge w:val="continue"/>
            <w:tcBorders>
              <w:tl2br w:val="nil"/>
              <w:tr2bl w:val="nil"/>
            </w:tcBorders>
            <w:shd w:val="clear" w:color="auto" w:fill="auto"/>
            <w:vAlign w:val="center"/>
          </w:tcPr>
          <w:p w14:paraId="16944B16">
            <w:pPr>
              <w:keepNext w:val="0"/>
              <w:keepLines w:val="0"/>
              <w:widowControl/>
              <w:suppressLineNumbers w:val="0"/>
              <w:snapToGrid w:val="0"/>
              <w:ind w:left="0" w:leftChars="0" w:right="0" w:rightChars="0" w:firstLine="0" w:firstLineChars="0"/>
              <w:jc w:val="right"/>
              <w:textAlignment w:val="center"/>
              <w:rPr>
                <w:rFonts w:hint="eastAsia" w:asciiTheme="minorEastAsia" w:hAnsiTheme="minorEastAsia" w:eastAsiaTheme="minorEastAsia" w:cstheme="minorEastAsia"/>
                <w:i w:val="0"/>
                <w:iCs w:val="0"/>
                <w:color w:val="auto"/>
                <w:sz w:val="21"/>
                <w:szCs w:val="21"/>
                <w:u w:val="none"/>
              </w:rPr>
            </w:pPr>
          </w:p>
        </w:tc>
        <w:tc>
          <w:tcPr>
            <w:tcW w:w="1137" w:type="dxa"/>
            <w:tcBorders>
              <w:tl2br w:val="nil"/>
              <w:tr2bl w:val="nil"/>
            </w:tcBorders>
            <w:shd w:val="clear" w:color="auto" w:fill="auto"/>
            <w:vAlign w:val="center"/>
          </w:tcPr>
          <w:p w14:paraId="3F9E3097">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3.922488957</w:t>
            </w:r>
          </w:p>
        </w:tc>
        <w:tc>
          <w:tcPr>
            <w:tcW w:w="546" w:type="dxa"/>
            <w:tcBorders>
              <w:tl2br w:val="nil"/>
              <w:tr2bl w:val="nil"/>
            </w:tcBorders>
            <w:shd w:val="clear" w:color="auto" w:fill="auto"/>
            <w:vAlign w:val="center"/>
          </w:tcPr>
          <w:p w14:paraId="7CE11116">
            <w:pPr>
              <w:snapToGrid w:val="0"/>
              <w:ind w:left="0" w:leftChars="0" w:right="0" w:rightChars="0" w:firstLine="0" w:firstLineChars="0"/>
              <w:jc w:val="center"/>
              <w:rPr>
                <w:rFonts w:hint="eastAsia" w:asciiTheme="minorEastAsia" w:hAnsiTheme="minorEastAsia" w:eastAsiaTheme="minorEastAsia" w:cstheme="minorEastAsia"/>
                <w:i w:val="0"/>
                <w:iCs w:val="0"/>
                <w:color w:val="auto"/>
                <w:sz w:val="21"/>
                <w:szCs w:val="21"/>
                <w:u w:val="none"/>
              </w:rPr>
            </w:pPr>
          </w:p>
        </w:tc>
        <w:tc>
          <w:tcPr>
            <w:tcW w:w="1164" w:type="dxa"/>
            <w:tcBorders>
              <w:tl2br w:val="nil"/>
              <w:tr2bl w:val="nil"/>
            </w:tcBorders>
            <w:shd w:val="clear" w:color="auto" w:fill="auto"/>
            <w:vAlign w:val="center"/>
          </w:tcPr>
          <w:p w14:paraId="6334CE7E">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80449.89549</w:t>
            </w:r>
          </w:p>
        </w:tc>
        <w:tc>
          <w:tcPr>
            <w:tcW w:w="1164" w:type="dxa"/>
            <w:tcBorders>
              <w:tl2br w:val="nil"/>
              <w:tr2bl w:val="nil"/>
            </w:tcBorders>
            <w:shd w:val="clear" w:color="auto" w:fill="auto"/>
            <w:vAlign w:val="center"/>
          </w:tcPr>
          <w:p w14:paraId="3B84DC5B">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965398.7459</w:t>
            </w:r>
          </w:p>
        </w:tc>
        <w:tc>
          <w:tcPr>
            <w:tcW w:w="1164" w:type="dxa"/>
            <w:tcBorders>
              <w:tl2br w:val="nil"/>
              <w:tr2bl w:val="nil"/>
            </w:tcBorders>
            <w:shd w:val="clear" w:color="auto" w:fill="auto"/>
            <w:vAlign w:val="center"/>
          </w:tcPr>
          <w:p w14:paraId="0F2151A1">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1930797.492</w:t>
            </w:r>
          </w:p>
        </w:tc>
        <w:tc>
          <w:tcPr>
            <w:tcW w:w="1236" w:type="dxa"/>
            <w:tcBorders>
              <w:tl2br w:val="nil"/>
              <w:tr2bl w:val="nil"/>
            </w:tcBorders>
            <w:shd w:val="clear" w:color="auto" w:fill="auto"/>
            <w:vAlign w:val="center"/>
          </w:tcPr>
          <w:p w14:paraId="5CC0FDA7">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16731570.21</w:t>
            </w:r>
          </w:p>
        </w:tc>
        <w:tc>
          <w:tcPr>
            <w:tcW w:w="886" w:type="dxa"/>
            <w:tcBorders>
              <w:tl2br w:val="nil"/>
              <w:tr2bl w:val="nil"/>
            </w:tcBorders>
            <w:shd w:val="clear" w:color="auto" w:fill="auto"/>
            <w:noWrap/>
            <w:vAlign w:val="center"/>
          </w:tcPr>
          <w:p w14:paraId="21D05350">
            <w:pPr>
              <w:snapToGrid w:val="0"/>
              <w:ind w:left="0" w:leftChars="0" w:right="0" w:rightChars="0" w:firstLine="0" w:firstLineChars="0"/>
              <w:jc w:val="center"/>
              <w:rPr>
                <w:rFonts w:hint="eastAsia" w:asciiTheme="minorEastAsia" w:hAnsiTheme="minorEastAsia" w:eastAsiaTheme="minorEastAsia" w:cstheme="minorEastAsia"/>
                <w:i w:val="0"/>
                <w:iCs w:val="0"/>
                <w:color w:val="auto"/>
                <w:sz w:val="21"/>
                <w:szCs w:val="21"/>
                <w:u w:val="none"/>
              </w:rPr>
            </w:pPr>
          </w:p>
        </w:tc>
      </w:tr>
      <w:tr w14:paraId="7F23E3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402" w:hRule="atLeast"/>
        </w:trPr>
        <w:tc>
          <w:tcPr>
            <w:tcW w:w="1113" w:type="dxa"/>
            <w:gridSpan w:val="2"/>
            <w:tcBorders>
              <w:tl2br w:val="nil"/>
              <w:tr2bl w:val="nil"/>
            </w:tcBorders>
            <w:shd w:val="clear" w:color="auto" w:fill="auto"/>
            <w:vAlign w:val="center"/>
          </w:tcPr>
          <w:p w14:paraId="2B4D4117">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合计：</w:t>
            </w:r>
          </w:p>
        </w:tc>
        <w:tc>
          <w:tcPr>
            <w:tcW w:w="970" w:type="dxa"/>
            <w:tcBorders>
              <w:tl2br w:val="nil"/>
              <w:tr2bl w:val="nil"/>
            </w:tcBorders>
            <w:shd w:val="clear" w:color="auto" w:fill="auto"/>
            <w:noWrap/>
            <w:vAlign w:val="center"/>
          </w:tcPr>
          <w:p w14:paraId="6BAC7A97">
            <w:pPr>
              <w:snapToGrid w:val="0"/>
              <w:ind w:left="0" w:leftChars="0" w:right="0" w:rightChars="0" w:firstLine="0" w:firstLineChars="0"/>
              <w:jc w:val="center"/>
              <w:rPr>
                <w:rFonts w:hint="eastAsia" w:asciiTheme="minorEastAsia" w:hAnsiTheme="minorEastAsia" w:eastAsiaTheme="minorEastAsia" w:cstheme="minorEastAsia"/>
                <w:b/>
                <w:i w:val="0"/>
                <w:iCs w:val="0"/>
                <w:color w:val="auto"/>
                <w:sz w:val="21"/>
                <w:szCs w:val="21"/>
                <w:u w:val="none"/>
              </w:rPr>
            </w:pPr>
          </w:p>
        </w:tc>
        <w:tc>
          <w:tcPr>
            <w:tcW w:w="1137" w:type="dxa"/>
            <w:tcBorders>
              <w:tl2br w:val="nil"/>
              <w:tr2bl w:val="nil"/>
            </w:tcBorders>
            <w:shd w:val="clear" w:color="auto" w:fill="auto"/>
            <w:noWrap/>
            <w:vAlign w:val="center"/>
          </w:tcPr>
          <w:p w14:paraId="1DD246D7">
            <w:pPr>
              <w:snapToGrid w:val="0"/>
              <w:ind w:left="0" w:leftChars="0" w:right="0" w:rightChars="0" w:firstLine="0" w:firstLineChars="0"/>
              <w:jc w:val="center"/>
              <w:rPr>
                <w:rFonts w:hint="eastAsia" w:asciiTheme="minorEastAsia" w:hAnsiTheme="minorEastAsia" w:eastAsiaTheme="minorEastAsia" w:cstheme="minorEastAsia"/>
                <w:b/>
                <w:i w:val="0"/>
                <w:iCs w:val="0"/>
                <w:color w:val="auto"/>
                <w:sz w:val="21"/>
                <w:szCs w:val="21"/>
                <w:u w:val="none"/>
              </w:rPr>
            </w:pPr>
          </w:p>
        </w:tc>
        <w:tc>
          <w:tcPr>
            <w:tcW w:w="546" w:type="dxa"/>
            <w:tcBorders>
              <w:tl2br w:val="nil"/>
              <w:tr2bl w:val="nil"/>
            </w:tcBorders>
            <w:shd w:val="clear" w:color="auto" w:fill="auto"/>
            <w:noWrap/>
            <w:vAlign w:val="center"/>
          </w:tcPr>
          <w:p w14:paraId="712A6C34">
            <w:pPr>
              <w:snapToGrid w:val="0"/>
              <w:ind w:left="0" w:leftChars="0" w:right="0" w:rightChars="0" w:firstLine="0" w:firstLineChars="0"/>
              <w:jc w:val="center"/>
              <w:rPr>
                <w:rFonts w:hint="eastAsia" w:asciiTheme="minorEastAsia" w:hAnsiTheme="minorEastAsia" w:eastAsiaTheme="minorEastAsia" w:cstheme="minorEastAsia"/>
                <w:b/>
                <w:i w:val="0"/>
                <w:iCs w:val="0"/>
                <w:color w:val="auto"/>
                <w:sz w:val="21"/>
                <w:szCs w:val="21"/>
                <w:u w:val="none"/>
              </w:rPr>
            </w:pPr>
          </w:p>
        </w:tc>
        <w:tc>
          <w:tcPr>
            <w:tcW w:w="1164" w:type="dxa"/>
            <w:tcBorders>
              <w:tl2br w:val="nil"/>
              <w:tr2bl w:val="nil"/>
            </w:tcBorders>
            <w:shd w:val="clear" w:color="auto" w:fill="auto"/>
            <w:noWrap/>
            <w:vAlign w:val="center"/>
          </w:tcPr>
          <w:p w14:paraId="53DFA3BA">
            <w:pPr>
              <w:snapToGrid w:val="0"/>
              <w:ind w:left="0" w:leftChars="0" w:right="0" w:rightChars="0" w:firstLine="0" w:firstLineChars="0"/>
              <w:jc w:val="center"/>
              <w:rPr>
                <w:rFonts w:hint="eastAsia" w:asciiTheme="minorEastAsia" w:hAnsiTheme="minorEastAsia" w:eastAsiaTheme="minorEastAsia" w:cstheme="minorEastAsia"/>
                <w:b/>
                <w:i w:val="0"/>
                <w:iCs w:val="0"/>
                <w:color w:val="auto"/>
                <w:sz w:val="21"/>
                <w:szCs w:val="21"/>
                <w:u w:val="none"/>
              </w:rPr>
            </w:pPr>
          </w:p>
        </w:tc>
        <w:tc>
          <w:tcPr>
            <w:tcW w:w="1164" w:type="dxa"/>
            <w:tcBorders>
              <w:tl2br w:val="nil"/>
              <w:tr2bl w:val="nil"/>
            </w:tcBorders>
            <w:shd w:val="clear" w:color="auto" w:fill="auto"/>
            <w:noWrap/>
            <w:vAlign w:val="center"/>
          </w:tcPr>
          <w:p w14:paraId="6E5DAF2A">
            <w:pPr>
              <w:snapToGrid w:val="0"/>
              <w:ind w:left="0" w:leftChars="0" w:right="0" w:rightChars="0" w:firstLine="0" w:firstLineChars="0"/>
              <w:jc w:val="center"/>
              <w:rPr>
                <w:rFonts w:hint="eastAsia" w:asciiTheme="minorEastAsia" w:hAnsiTheme="minorEastAsia" w:eastAsiaTheme="minorEastAsia" w:cstheme="minorEastAsia"/>
                <w:b/>
                <w:i w:val="0"/>
                <w:iCs w:val="0"/>
                <w:color w:val="auto"/>
                <w:sz w:val="21"/>
                <w:szCs w:val="21"/>
                <w:u w:val="none"/>
              </w:rPr>
            </w:pPr>
          </w:p>
        </w:tc>
        <w:tc>
          <w:tcPr>
            <w:tcW w:w="1164" w:type="dxa"/>
            <w:tcBorders>
              <w:tl2br w:val="nil"/>
              <w:tr2bl w:val="nil"/>
            </w:tcBorders>
            <w:shd w:val="clear" w:color="auto" w:fill="auto"/>
            <w:noWrap/>
            <w:vAlign w:val="center"/>
          </w:tcPr>
          <w:p w14:paraId="10413803">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16731570.21</w:t>
            </w:r>
          </w:p>
        </w:tc>
        <w:tc>
          <w:tcPr>
            <w:tcW w:w="1236" w:type="dxa"/>
            <w:tcBorders>
              <w:tl2br w:val="nil"/>
              <w:tr2bl w:val="nil"/>
            </w:tcBorders>
            <w:shd w:val="clear" w:color="auto" w:fill="auto"/>
            <w:noWrap/>
            <w:vAlign w:val="center"/>
          </w:tcPr>
          <w:p w14:paraId="454F2B84">
            <w:pPr>
              <w:snapToGrid w:val="0"/>
              <w:ind w:left="0" w:leftChars="0" w:right="0" w:rightChars="0" w:firstLine="0" w:firstLineChars="0"/>
              <w:jc w:val="center"/>
              <w:rPr>
                <w:rFonts w:hint="eastAsia" w:asciiTheme="minorEastAsia" w:hAnsiTheme="minorEastAsia" w:eastAsiaTheme="minorEastAsia" w:cstheme="minorEastAsia"/>
                <w:b/>
                <w:i w:val="0"/>
                <w:iCs w:val="0"/>
                <w:color w:val="auto"/>
                <w:sz w:val="21"/>
                <w:szCs w:val="21"/>
                <w:u w:val="none"/>
              </w:rPr>
            </w:pPr>
          </w:p>
        </w:tc>
        <w:tc>
          <w:tcPr>
            <w:tcW w:w="886" w:type="dxa"/>
            <w:tcBorders>
              <w:tl2br w:val="nil"/>
              <w:tr2bl w:val="nil"/>
            </w:tcBorders>
            <w:shd w:val="clear" w:color="auto" w:fill="auto"/>
            <w:noWrap/>
            <w:vAlign w:val="center"/>
          </w:tcPr>
          <w:p w14:paraId="1FC7817B">
            <w:pPr>
              <w:snapToGrid w:val="0"/>
              <w:ind w:left="0" w:leftChars="0" w:right="0" w:rightChars="0" w:firstLine="0" w:firstLineChars="0"/>
              <w:jc w:val="center"/>
              <w:rPr>
                <w:rFonts w:hint="eastAsia" w:asciiTheme="minorEastAsia" w:hAnsiTheme="minorEastAsia" w:eastAsiaTheme="minorEastAsia" w:cstheme="minorEastAsia"/>
                <w:b/>
                <w:i w:val="0"/>
                <w:iCs w:val="0"/>
                <w:color w:val="auto"/>
                <w:sz w:val="21"/>
                <w:szCs w:val="21"/>
                <w:u w:val="none"/>
              </w:rPr>
            </w:pPr>
          </w:p>
        </w:tc>
      </w:tr>
      <w:tr w14:paraId="424E67A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617" w:hRule="atLeast"/>
        </w:trPr>
        <w:tc>
          <w:tcPr>
            <w:tcW w:w="9380" w:type="dxa"/>
            <w:gridSpan w:val="10"/>
            <w:tcBorders>
              <w:tl2br w:val="nil"/>
              <w:tr2bl w:val="nil"/>
            </w:tcBorders>
            <w:shd w:val="clear" w:color="auto" w:fill="auto"/>
            <w:vAlign w:val="center"/>
          </w:tcPr>
          <w:p w14:paraId="79C50FD5">
            <w:pPr>
              <w:keepNext w:val="0"/>
              <w:keepLines w:val="0"/>
              <w:widowControl/>
              <w:suppressLineNumbers w:val="0"/>
              <w:snapToGrid w:val="0"/>
              <w:ind w:left="0" w:leftChars="0" w:right="0" w:rightChars="0" w:firstLine="0" w:firstLineChars="0"/>
              <w:jc w:val="left"/>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备注：起始收益金：3.1元/㎡/月；运营面积：20,509.91㎡；递增规则：每3年复利递增4%；免收益分成期：6个月；测算周期：20年。</w:t>
            </w:r>
          </w:p>
        </w:tc>
      </w:tr>
    </w:tbl>
    <w:p w14:paraId="18EB2505">
      <w:pPr>
        <w:keepNext w:val="0"/>
        <w:keepLines w:val="0"/>
        <w:pageBreakBefore w:val="0"/>
        <w:wordWrap/>
        <w:overflowPunct/>
        <w:topLinePunct w:val="0"/>
        <w:bidi w:val="0"/>
        <w:adjustRightInd w:val="0"/>
        <w:snapToGrid w:val="0"/>
        <w:spacing w:beforeAutospacing="0" w:afterAutospacing="0" w:line="360" w:lineRule="auto"/>
        <w:ind w:left="0" w:right="0" w:firstLine="420" w:firstLineChars="200"/>
        <w:jc w:val="both"/>
        <w:textAlignment w:val="baseline"/>
        <w:outlineLvl w:val="9"/>
        <w:rPr>
          <w:rFonts w:hint="eastAsia" w:ascii="宋体" w:hAnsi="宋体" w:eastAsia="宋体" w:cs="宋体"/>
          <w:b w:val="0"/>
          <w:bCs w:val="0"/>
          <w:color w:val="auto"/>
          <w:kern w:val="0"/>
          <w:sz w:val="21"/>
          <w:szCs w:val="24"/>
          <w:highlight w:val="none"/>
          <w:lang w:val="en-US" w:eastAsia="zh-CN"/>
        </w:rPr>
      </w:pPr>
      <w:r>
        <w:rPr>
          <w:rFonts w:hint="eastAsia" w:ascii="宋体" w:hAnsi="宋体" w:eastAsia="宋体" w:cs="宋体"/>
          <w:b w:val="0"/>
          <w:bCs w:val="0"/>
          <w:color w:val="auto"/>
          <w:kern w:val="0"/>
          <w:sz w:val="21"/>
          <w:szCs w:val="24"/>
          <w:highlight w:val="none"/>
          <w:lang w:val="en-US" w:eastAsia="zh-CN"/>
        </w:rPr>
        <w:t>3.政府方违约</w:t>
      </w:r>
    </w:p>
    <w:p w14:paraId="09A7B897">
      <w:pPr>
        <w:keepNext w:val="0"/>
        <w:keepLines w:val="0"/>
        <w:pageBreakBefore w:val="0"/>
        <w:wordWrap/>
        <w:overflowPunct/>
        <w:topLinePunct w:val="0"/>
        <w:bidi w:val="0"/>
        <w:adjustRightInd w:val="0"/>
        <w:snapToGrid w:val="0"/>
        <w:spacing w:beforeAutospacing="0" w:afterAutospacing="0" w:line="360" w:lineRule="auto"/>
        <w:ind w:left="0" w:right="0" w:firstLine="420" w:firstLineChars="200"/>
        <w:jc w:val="both"/>
        <w:textAlignment w:val="baseline"/>
        <w:outlineLvl w:val="9"/>
        <w:rPr>
          <w:rFonts w:hint="eastAsia" w:ascii="宋体" w:hAnsi="宋体" w:eastAsia="宋体" w:cs="宋体"/>
          <w:color w:val="auto"/>
          <w:kern w:val="0"/>
          <w:sz w:val="21"/>
          <w:szCs w:val="24"/>
          <w:highlight w:val="none"/>
          <w:lang w:val="en-US" w:eastAsia="zh-CN"/>
        </w:rPr>
      </w:pPr>
      <w:r>
        <w:rPr>
          <w:rFonts w:hint="eastAsia" w:ascii="宋体" w:hAnsi="宋体" w:eastAsia="宋体" w:cs="宋体"/>
          <w:color w:val="auto"/>
          <w:kern w:val="0"/>
          <w:sz w:val="21"/>
          <w:szCs w:val="24"/>
          <w:highlight w:val="none"/>
          <w:lang w:val="en-US" w:eastAsia="zh-CN"/>
        </w:rPr>
        <w:t>存在如下政府方违约事件时，社会化运营单位有权立即发出终止意向通知，并有权按照实际损失要求政府方赔偿，政府方全额退还运营保障金：</w:t>
      </w:r>
    </w:p>
    <w:p w14:paraId="61C8B935">
      <w:pPr>
        <w:keepNext w:val="0"/>
        <w:keepLines w:val="0"/>
        <w:pageBreakBefore w:val="0"/>
        <w:wordWrap/>
        <w:overflowPunct/>
        <w:topLinePunct w:val="0"/>
        <w:bidi w:val="0"/>
        <w:adjustRightInd w:val="0"/>
        <w:snapToGrid w:val="0"/>
        <w:spacing w:beforeAutospacing="0" w:afterAutospacing="0" w:line="360" w:lineRule="auto"/>
        <w:ind w:left="0" w:right="0" w:firstLine="420" w:firstLineChars="200"/>
        <w:jc w:val="both"/>
        <w:textAlignment w:val="baseline"/>
        <w:outlineLvl w:val="9"/>
        <w:rPr>
          <w:rFonts w:hint="eastAsia" w:ascii="宋体" w:hAnsi="宋体" w:eastAsia="宋体" w:cs="宋体"/>
          <w:color w:val="auto"/>
          <w:kern w:val="0"/>
          <w:sz w:val="21"/>
          <w:szCs w:val="24"/>
          <w:highlight w:val="none"/>
          <w:lang w:val="en-US" w:eastAsia="zh-CN"/>
        </w:rPr>
      </w:pPr>
      <w:r>
        <w:rPr>
          <w:rFonts w:hint="eastAsia" w:ascii="宋体" w:hAnsi="宋体" w:eastAsia="宋体" w:cs="宋体"/>
          <w:color w:val="auto"/>
          <w:kern w:val="0"/>
          <w:sz w:val="21"/>
          <w:szCs w:val="24"/>
          <w:highlight w:val="none"/>
          <w:lang w:val="en-US" w:eastAsia="zh-CN"/>
        </w:rPr>
        <w:t>① 非政策变动及不可抗力因素，政府方要求社会化运营单位强制退出的；</w:t>
      </w:r>
    </w:p>
    <w:p w14:paraId="7F49424A">
      <w:pPr>
        <w:keepNext w:val="0"/>
        <w:keepLines w:val="0"/>
        <w:pageBreakBefore w:val="0"/>
        <w:wordWrap/>
        <w:overflowPunct/>
        <w:topLinePunct w:val="0"/>
        <w:bidi w:val="0"/>
        <w:adjustRightInd w:val="0"/>
        <w:snapToGrid w:val="0"/>
        <w:spacing w:beforeAutospacing="0" w:afterAutospacing="0" w:line="360" w:lineRule="auto"/>
        <w:ind w:left="0" w:right="0" w:firstLine="420" w:firstLineChars="200"/>
        <w:jc w:val="both"/>
        <w:textAlignment w:val="baseline"/>
        <w:outlineLvl w:val="9"/>
        <w:rPr>
          <w:rFonts w:hint="eastAsia" w:ascii="宋体" w:hAnsi="宋体" w:eastAsia="宋体" w:cs="宋体"/>
          <w:color w:val="auto"/>
          <w:kern w:val="0"/>
          <w:sz w:val="21"/>
          <w:szCs w:val="24"/>
          <w:highlight w:val="none"/>
          <w:lang w:val="en-US" w:eastAsia="zh-CN"/>
        </w:rPr>
      </w:pPr>
      <w:r>
        <w:rPr>
          <w:rFonts w:hint="eastAsia" w:ascii="宋体" w:hAnsi="宋体" w:eastAsia="宋体" w:cs="宋体"/>
          <w:color w:val="auto"/>
          <w:kern w:val="0"/>
          <w:sz w:val="21"/>
          <w:szCs w:val="24"/>
          <w:highlight w:val="none"/>
          <w:lang w:val="en-US" w:eastAsia="zh-CN"/>
        </w:rPr>
        <w:t>② 政府方未履行其在合同项下的任何其它义务构成对合同的实质性违约，导致社会资本方无法正常运营的。</w:t>
      </w:r>
    </w:p>
    <w:p w14:paraId="72E94D4F">
      <w:pPr>
        <w:keepNext w:val="0"/>
        <w:keepLines w:val="0"/>
        <w:pageBreakBefore w:val="0"/>
        <w:wordWrap/>
        <w:overflowPunct/>
        <w:topLinePunct w:val="0"/>
        <w:bidi w:val="0"/>
        <w:adjustRightInd w:val="0"/>
        <w:snapToGrid w:val="0"/>
        <w:spacing w:beforeAutospacing="0" w:afterAutospacing="0" w:line="360" w:lineRule="auto"/>
        <w:ind w:left="0" w:right="0" w:firstLine="420" w:firstLineChars="200"/>
        <w:jc w:val="both"/>
        <w:textAlignment w:val="baseline"/>
        <w:outlineLvl w:val="9"/>
        <w:rPr>
          <w:rFonts w:hint="eastAsia" w:ascii="宋体" w:hAnsi="宋体" w:eastAsia="宋体" w:cs="宋体"/>
          <w:b w:val="0"/>
          <w:bCs w:val="0"/>
          <w:color w:val="auto"/>
          <w:kern w:val="0"/>
          <w:sz w:val="21"/>
          <w:szCs w:val="24"/>
          <w:highlight w:val="none"/>
          <w:lang w:val="en-US" w:eastAsia="zh-CN"/>
        </w:rPr>
      </w:pPr>
      <w:r>
        <w:rPr>
          <w:rFonts w:hint="eastAsia" w:ascii="宋体" w:hAnsi="宋体" w:eastAsia="宋体" w:cs="宋体"/>
          <w:b w:val="0"/>
          <w:bCs w:val="0"/>
          <w:color w:val="auto"/>
          <w:kern w:val="0"/>
          <w:sz w:val="21"/>
          <w:szCs w:val="24"/>
          <w:highlight w:val="none"/>
          <w:lang w:val="en-US" w:eastAsia="zh-CN"/>
        </w:rPr>
        <w:t>3.因不可抗力事件导致退出</w:t>
      </w:r>
    </w:p>
    <w:p w14:paraId="2C65E6AB">
      <w:pPr>
        <w:rPr>
          <w:rFonts w:hint="eastAsia" w:ascii="宋体" w:hAnsi="宋体" w:eastAsia="宋体" w:cs="宋体"/>
          <w:color w:val="auto"/>
          <w:highlight w:val="none"/>
        </w:rPr>
      </w:pPr>
      <w:r>
        <w:rPr>
          <w:rFonts w:hint="eastAsia" w:ascii="宋体" w:hAnsi="宋体" w:eastAsia="宋体" w:cs="宋体"/>
          <w:color w:val="auto"/>
          <w:kern w:val="0"/>
          <w:sz w:val="21"/>
          <w:szCs w:val="24"/>
          <w:highlight w:val="none"/>
          <w:lang w:val="en-US" w:eastAsia="zh-CN"/>
        </w:rPr>
        <w:t>在合同执行过程中，确系人力不可抗拒因素（如征拆、地震、台风、洪水、战争等）影响合同执行时，双方视具体情况酌情处理，政府方全额退还运营保障金，社会资本方配合做好老人安置及资产移交工作，双方互不承担违约责任。</w:t>
      </w:r>
      <w:bookmarkEnd w:id="29"/>
    </w:p>
    <w:p w14:paraId="1C6BE8F6">
      <w:pPr>
        <w:jc w:val="center"/>
        <w:rPr>
          <w:rFonts w:hint="eastAsia" w:ascii="宋体" w:hAnsi="宋体" w:eastAsia="宋体" w:cs="宋体"/>
          <w:b/>
          <w:color w:val="auto"/>
          <w:kern w:val="44"/>
          <w:sz w:val="44"/>
          <w:highlight w:val="none"/>
        </w:rPr>
        <w:sectPr>
          <w:headerReference r:id="rId5" w:type="default"/>
          <w:footerReference r:id="rId6" w:type="default"/>
          <w:pgSz w:w="11906" w:h="16838"/>
          <w:pgMar w:top="1440" w:right="1803" w:bottom="1440" w:left="1803" w:header="851" w:footer="992" w:gutter="0"/>
          <w:pgBorders>
            <w:top w:val="none" w:sz="0" w:space="0"/>
            <w:left w:val="none" w:sz="0" w:space="0"/>
            <w:bottom w:val="none" w:sz="0" w:space="0"/>
            <w:right w:val="none" w:sz="0" w:space="0"/>
          </w:pgBorders>
          <w:pgNumType w:fmt="decimal"/>
          <w:cols w:space="720" w:num="1"/>
          <w:docGrid w:type="lines" w:linePitch="319" w:charSpace="0"/>
        </w:sectPr>
      </w:pPr>
    </w:p>
    <w:p w14:paraId="0EB3B3AE">
      <w:pPr>
        <w:jc w:val="center"/>
        <w:rPr>
          <w:rFonts w:hint="eastAsia" w:ascii="宋体" w:hAnsi="宋体" w:eastAsia="宋体" w:cs="宋体"/>
          <w:color w:val="auto"/>
          <w:highlight w:val="none"/>
        </w:rPr>
      </w:pPr>
      <w:r>
        <w:rPr>
          <w:rFonts w:hint="eastAsia" w:ascii="宋体" w:hAnsi="宋体" w:eastAsia="宋体" w:cs="宋体"/>
          <w:b/>
          <w:color w:val="auto"/>
          <w:kern w:val="44"/>
          <w:sz w:val="44"/>
          <w:highlight w:val="none"/>
        </w:rPr>
        <w:t>第四章 评标方法</w:t>
      </w:r>
    </w:p>
    <w:p w14:paraId="4AA2A349">
      <w:pPr>
        <w:adjustRightInd w:val="0"/>
        <w:snapToGrid w:val="0"/>
        <w:ind w:firstLine="420" w:firstLineChars="200"/>
        <w:rPr>
          <w:rFonts w:hint="eastAsia" w:ascii="宋体" w:hAnsi="宋体" w:eastAsia="宋体" w:cs="宋体"/>
          <w:b/>
          <w:color w:val="auto"/>
          <w:kern w:val="0"/>
          <w:szCs w:val="21"/>
          <w:highlight w:val="none"/>
        </w:rPr>
      </w:pPr>
      <w:r>
        <w:rPr>
          <w:rFonts w:hint="eastAsia" w:ascii="宋体" w:hAnsi="宋体" w:eastAsia="宋体" w:cs="宋体"/>
          <w:bCs/>
          <w:color w:val="auto"/>
          <w:kern w:val="0"/>
          <w:szCs w:val="21"/>
          <w:highlight w:val="none"/>
        </w:rPr>
        <w:t>本项目将按照招标文件第一章投标人须知中“五 开标及评标”、“六 确定中标”及本章的规定评标。</w:t>
      </w:r>
    </w:p>
    <w:p w14:paraId="55621181">
      <w:pPr>
        <w:adjustRightInd w:val="0"/>
        <w:snapToGrid w:val="0"/>
        <w:ind w:firstLine="422" w:firstLineChars="200"/>
        <w:rPr>
          <w:rFonts w:hint="eastAsia" w:ascii="宋体" w:hAnsi="宋体" w:eastAsia="宋体" w:cs="宋体"/>
          <w:b/>
          <w:color w:val="auto"/>
          <w:kern w:val="0"/>
          <w:szCs w:val="21"/>
          <w:highlight w:val="none"/>
        </w:rPr>
      </w:pPr>
      <w:r>
        <w:rPr>
          <w:rFonts w:hint="eastAsia" w:ascii="宋体" w:hAnsi="宋体" w:eastAsia="宋体" w:cs="宋体"/>
          <w:b/>
          <w:color w:val="auto"/>
          <w:kern w:val="0"/>
          <w:szCs w:val="21"/>
          <w:highlight w:val="none"/>
        </w:rPr>
        <w:t>一、评标方法</w:t>
      </w:r>
    </w:p>
    <w:p w14:paraId="0EC18CCB">
      <w:pPr>
        <w:adjustRightInd w:val="0"/>
        <w:snapToGrid w:val="0"/>
        <w:ind w:firstLine="420" w:firstLineChars="200"/>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本项目采用</w:t>
      </w:r>
      <w:r>
        <w:rPr>
          <w:rFonts w:hint="eastAsia" w:ascii="宋体" w:hAnsi="宋体" w:eastAsia="宋体" w:cs="宋体"/>
          <w:color w:val="auto"/>
          <w:kern w:val="0"/>
          <w:szCs w:val="21"/>
          <w:highlight w:val="none"/>
          <w:u w:val="single"/>
        </w:rPr>
        <w:t>综合评分法</w:t>
      </w:r>
      <w:r>
        <w:rPr>
          <w:rFonts w:hint="eastAsia" w:ascii="宋体" w:hAnsi="宋体" w:eastAsia="宋体" w:cs="宋体"/>
          <w:color w:val="auto"/>
          <w:kern w:val="0"/>
          <w:szCs w:val="21"/>
          <w:highlight w:val="none"/>
        </w:rPr>
        <w:t>进行评标。采用综合评分法时评分标准和评分细则详见后附《评审细则》。</w:t>
      </w:r>
    </w:p>
    <w:p w14:paraId="0FB0630B">
      <w:pPr>
        <w:adjustRightInd w:val="0"/>
        <w:snapToGrid w:val="0"/>
        <w:ind w:firstLine="422" w:firstLineChars="200"/>
        <w:textAlignment w:val="baseline"/>
        <w:rPr>
          <w:rFonts w:hint="eastAsia" w:ascii="宋体" w:hAnsi="宋体" w:eastAsia="宋体" w:cs="宋体"/>
          <w:b/>
          <w:color w:val="auto"/>
          <w:kern w:val="0"/>
          <w:szCs w:val="21"/>
          <w:highlight w:val="none"/>
        </w:rPr>
      </w:pPr>
      <w:r>
        <w:rPr>
          <w:rFonts w:hint="eastAsia" w:ascii="宋体" w:hAnsi="宋体" w:eastAsia="宋体" w:cs="宋体"/>
          <w:b/>
          <w:color w:val="auto"/>
          <w:kern w:val="0"/>
          <w:szCs w:val="21"/>
          <w:highlight w:val="none"/>
        </w:rPr>
        <w:t>二、评标原则及程序</w:t>
      </w:r>
    </w:p>
    <w:p w14:paraId="37FCF1C1">
      <w:pPr>
        <w:adjustRightInd w:val="0"/>
        <w:snapToGrid w:val="0"/>
        <w:ind w:firstLine="422" w:firstLineChars="200"/>
        <w:textAlignment w:val="baseline"/>
        <w:rPr>
          <w:rFonts w:hint="eastAsia" w:ascii="宋体" w:hAnsi="宋体" w:eastAsia="宋体" w:cs="宋体"/>
          <w:b/>
          <w:color w:val="auto"/>
          <w:kern w:val="0"/>
          <w:szCs w:val="21"/>
          <w:highlight w:val="none"/>
        </w:rPr>
      </w:pPr>
      <w:r>
        <w:rPr>
          <w:rFonts w:hint="eastAsia" w:ascii="宋体" w:hAnsi="宋体" w:eastAsia="宋体" w:cs="宋体"/>
          <w:b/>
          <w:color w:val="auto"/>
          <w:kern w:val="0"/>
          <w:szCs w:val="21"/>
          <w:highlight w:val="none"/>
        </w:rPr>
        <w:t>（一）评标原则</w:t>
      </w:r>
    </w:p>
    <w:p w14:paraId="2E5C1BE4">
      <w:pPr>
        <w:adjustRightInd w:val="0"/>
        <w:snapToGrid w:val="0"/>
        <w:ind w:firstLine="420" w:firstLineChars="200"/>
        <w:textAlignment w:val="baseline"/>
        <w:rPr>
          <w:rFonts w:hint="eastAsia" w:ascii="宋体" w:hAnsi="宋体" w:eastAsia="宋体" w:cs="宋体"/>
          <w:b/>
          <w:color w:val="auto"/>
          <w:kern w:val="0"/>
          <w:szCs w:val="21"/>
          <w:highlight w:val="none"/>
        </w:rPr>
      </w:pPr>
      <w:r>
        <w:rPr>
          <w:rFonts w:hint="eastAsia" w:ascii="宋体" w:hAnsi="宋体" w:eastAsia="宋体" w:cs="宋体"/>
          <w:color w:val="auto"/>
          <w:kern w:val="0"/>
          <w:highlight w:val="none"/>
        </w:rPr>
        <w:t>评标委员会应当按照客观、公正、审慎的原则，根据</w:t>
      </w:r>
      <w:r>
        <w:rPr>
          <w:rFonts w:hint="eastAsia" w:ascii="宋体" w:hAnsi="宋体" w:eastAsia="宋体" w:cs="宋体"/>
          <w:color w:val="auto"/>
          <w:kern w:val="0"/>
          <w:highlight w:val="none"/>
          <w:lang w:eastAsia="zh-CN"/>
        </w:rPr>
        <w:t>招标</w:t>
      </w:r>
      <w:r>
        <w:rPr>
          <w:rFonts w:hint="eastAsia" w:ascii="宋体" w:hAnsi="宋体" w:eastAsia="宋体" w:cs="宋体"/>
          <w:color w:val="auto"/>
          <w:kern w:val="0"/>
          <w:highlight w:val="none"/>
        </w:rPr>
        <w:t>文件规定的评审程序、评审方法和评审标准进行独立评审。</w:t>
      </w:r>
      <w:r>
        <w:rPr>
          <w:rFonts w:hint="eastAsia" w:ascii="宋体" w:hAnsi="宋体" w:eastAsia="宋体" w:cs="宋体"/>
          <w:color w:val="auto"/>
          <w:kern w:val="0"/>
          <w:highlight w:val="none"/>
          <w:lang w:eastAsia="zh-CN"/>
        </w:rPr>
        <w:t>招标</w:t>
      </w:r>
      <w:r>
        <w:rPr>
          <w:rFonts w:hint="eastAsia" w:ascii="宋体" w:hAnsi="宋体" w:eastAsia="宋体" w:cs="宋体"/>
          <w:color w:val="auto"/>
          <w:kern w:val="0"/>
          <w:highlight w:val="none"/>
        </w:rPr>
        <w:t>文件内容违反国家有关强制性规定的，评标委员会应当停止评审并向</w:t>
      </w:r>
      <w:r>
        <w:rPr>
          <w:rFonts w:hint="eastAsia" w:ascii="宋体" w:hAnsi="宋体" w:eastAsia="宋体" w:cs="宋体"/>
          <w:color w:val="auto"/>
          <w:kern w:val="0"/>
          <w:highlight w:val="none"/>
          <w:lang w:eastAsia="zh-CN"/>
        </w:rPr>
        <w:t>招标人</w:t>
      </w:r>
      <w:r>
        <w:rPr>
          <w:rFonts w:hint="eastAsia" w:ascii="宋体" w:hAnsi="宋体" w:eastAsia="宋体" w:cs="宋体"/>
          <w:color w:val="auto"/>
          <w:kern w:val="0"/>
          <w:highlight w:val="none"/>
        </w:rPr>
        <w:t>或者</w:t>
      </w:r>
      <w:r>
        <w:rPr>
          <w:rFonts w:hint="eastAsia" w:ascii="宋体" w:hAnsi="宋体" w:eastAsia="宋体" w:cs="宋体"/>
          <w:color w:val="auto"/>
          <w:kern w:val="0"/>
          <w:highlight w:val="none"/>
          <w:lang w:eastAsia="zh-CN"/>
        </w:rPr>
        <w:t>招标代理机构</w:t>
      </w:r>
      <w:r>
        <w:rPr>
          <w:rFonts w:hint="eastAsia" w:ascii="宋体" w:hAnsi="宋体" w:eastAsia="宋体" w:cs="宋体"/>
          <w:color w:val="auto"/>
          <w:kern w:val="0"/>
          <w:highlight w:val="none"/>
        </w:rPr>
        <w:t>说明情况。</w:t>
      </w:r>
    </w:p>
    <w:p w14:paraId="4FA8F674">
      <w:pPr>
        <w:adjustRightInd w:val="0"/>
        <w:snapToGrid w:val="0"/>
        <w:ind w:firstLine="422" w:firstLineChars="200"/>
        <w:textAlignment w:val="baseline"/>
        <w:rPr>
          <w:rFonts w:hint="eastAsia" w:ascii="宋体" w:hAnsi="宋体" w:eastAsia="宋体" w:cs="宋体"/>
          <w:b/>
          <w:color w:val="auto"/>
          <w:kern w:val="0"/>
          <w:szCs w:val="21"/>
          <w:highlight w:val="none"/>
        </w:rPr>
      </w:pPr>
      <w:r>
        <w:rPr>
          <w:rFonts w:hint="eastAsia" w:ascii="宋体" w:hAnsi="宋体" w:eastAsia="宋体" w:cs="宋体"/>
          <w:b/>
          <w:color w:val="auto"/>
          <w:kern w:val="0"/>
          <w:szCs w:val="21"/>
          <w:highlight w:val="none"/>
        </w:rPr>
        <w:t>（二）评标程序</w:t>
      </w:r>
    </w:p>
    <w:p w14:paraId="2AC3DA49">
      <w:pPr>
        <w:adjustRightInd w:val="0"/>
        <w:snapToGrid w:val="0"/>
        <w:ind w:firstLine="422" w:firstLineChars="200"/>
        <w:textAlignment w:val="baseline"/>
        <w:rPr>
          <w:rFonts w:hint="eastAsia" w:ascii="宋体" w:hAnsi="宋体" w:eastAsia="宋体" w:cs="宋体"/>
          <w:b/>
          <w:color w:val="auto"/>
          <w:kern w:val="0"/>
          <w:szCs w:val="21"/>
          <w:highlight w:val="none"/>
        </w:rPr>
      </w:pPr>
      <w:r>
        <w:rPr>
          <w:rFonts w:hint="eastAsia" w:ascii="宋体" w:hAnsi="宋体" w:eastAsia="宋体" w:cs="宋体"/>
          <w:b/>
          <w:color w:val="auto"/>
          <w:kern w:val="0"/>
          <w:szCs w:val="21"/>
          <w:highlight w:val="none"/>
        </w:rPr>
        <w:t>1、资格审查</w:t>
      </w:r>
    </w:p>
    <w:p w14:paraId="786641EB">
      <w:pPr>
        <w:adjustRightInd w:val="0"/>
        <w:snapToGrid w:val="0"/>
        <w:ind w:firstLine="420" w:firstLineChars="200"/>
        <w:textAlignment w:val="baseline"/>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1.1详见投标人须知22条。资格审查表详见本章附件1。</w:t>
      </w:r>
    </w:p>
    <w:p w14:paraId="2D18F3DE">
      <w:pPr>
        <w:adjustRightInd w:val="0"/>
        <w:snapToGrid w:val="0"/>
        <w:ind w:firstLine="422" w:firstLineChars="200"/>
        <w:rPr>
          <w:rFonts w:hint="eastAsia" w:ascii="宋体" w:hAnsi="宋体" w:eastAsia="宋体" w:cs="宋体"/>
          <w:b/>
          <w:bCs/>
          <w:color w:val="auto"/>
          <w:kern w:val="0"/>
          <w:szCs w:val="21"/>
          <w:highlight w:val="none"/>
        </w:rPr>
      </w:pPr>
      <w:r>
        <w:rPr>
          <w:rFonts w:hint="eastAsia" w:ascii="宋体" w:hAnsi="宋体" w:eastAsia="宋体" w:cs="宋体"/>
          <w:b/>
          <w:bCs/>
          <w:color w:val="auto"/>
          <w:kern w:val="0"/>
          <w:szCs w:val="21"/>
          <w:highlight w:val="none"/>
        </w:rPr>
        <w:t>2、符合性审查</w:t>
      </w:r>
    </w:p>
    <w:p w14:paraId="024F1A06">
      <w:pPr>
        <w:adjustRightInd w:val="0"/>
        <w:snapToGrid w:val="0"/>
        <w:ind w:firstLine="420" w:firstLineChars="200"/>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2.1详见投标人须知23条。符合性审查表详见本章附件2。</w:t>
      </w:r>
    </w:p>
    <w:p w14:paraId="049BFF16">
      <w:pPr>
        <w:adjustRightInd w:val="0"/>
        <w:snapToGrid w:val="0"/>
        <w:ind w:firstLine="422" w:firstLineChars="200"/>
        <w:rPr>
          <w:rFonts w:hint="eastAsia" w:ascii="宋体" w:hAnsi="宋体" w:eastAsia="宋体" w:cs="宋体"/>
          <w:b/>
          <w:color w:val="auto"/>
          <w:kern w:val="0"/>
          <w:szCs w:val="21"/>
          <w:highlight w:val="none"/>
        </w:rPr>
      </w:pPr>
      <w:r>
        <w:rPr>
          <w:rFonts w:hint="eastAsia" w:ascii="宋体" w:hAnsi="宋体" w:eastAsia="宋体" w:cs="宋体"/>
          <w:b/>
          <w:color w:val="auto"/>
          <w:kern w:val="0"/>
          <w:szCs w:val="21"/>
          <w:highlight w:val="none"/>
        </w:rPr>
        <w:t>3、样品及演示</w:t>
      </w:r>
    </w:p>
    <w:p w14:paraId="3F36A9F0">
      <w:p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3.1</w:t>
      </w:r>
      <w:r>
        <w:rPr>
          <w:rFonts w:hint="eastAsia" w:ascii="宋体" w:hAnsi="宋体" w:eastAsia="宋体" w:cs="宋体"/>
          <w:color w:val="auto"/>
          <w:kern w:val="0"/>
          <w:szCs w:val="21"/>
          <w:highlight w:val="none"/>
        </w:rPr>
        <w:t>投标人须知表11.3条</w:t>
      </w:r>
      <w:r>
        <w:rPr>
          <w:rFonts w:hint="eastAsia" w:ascii="宋体" w:hAnsi="宋体" w:eastAsia="宋体" w:cs="宋体"/>
          <w:color w:val="auto"/>
          <w:szCs w:val="21"/>
          <w:highlight w:val="none"/>
        </w:rPr>
        <w:t>中要求投标人提供样品或演示的，按照</w:t>
      </w:r>
      <w:r>
        <w:rPr>
          <w:rFonts w:hint="eastAsia" w:ascii="宋体" w:hAnsi="宋体" w:eastAsia="宋体" w:cs="宋体"/>
          <w:color w:val="auto"/>
          <w:kern w:val="0"/>
          <w:szCs w:val="21"/>
          <w:highlight w:val="none"/>
        </w:rPr>
        <w:t>投标人须知表25.1条</w:t>
      </w:r>
      <w:r>
        <w:rPr>
          <w:rFonts w:hint="eastAsia" w:ascii="宋体" w:hAnsi="宋体" w:eastAsia="宋体" w:cs="宋体"/>
          <w:color w:val="auto"/>
          <w:szCs w:val="21"/>
          <w:highlight w:val="none"/>
        </w:rPr>
        <w:t>中确定的评审方法以及评审标准进行评审。(样品或演示属于符合性审查的，按照</w:t>
      </w:r>
      <w:r>
        <w:rPr>
          <w:rFonts w:hint="eastAsia" w:ascii="宋体" w:hAnsi="宋体" w:eastAsia="宋体" w:cs="宋体"/>
          <w:color w:val="auto"/>
          <w:kern w:val="0"/>
          <w:szCs w:val="21"/>
          <w:highlight w:val="none"/>
        </w:rPr>
        <w:t>投标人须知22条</w:t>
      </w:r>
      <w:r>
        <w:rPr>
          <w:rFonts w:hint="eastAsia" w:ascii="宋体" w:hAnsi="宋体" w:eastAsia="宋体" w:cs="宋体"/>
          <w:color w:val="auto"/>
          <w:szCs w:val="21"/>
          <w:highlight w:val="none"/>
        </w:rPr>
        <w:t>规定执行）</w:t>
      </w:r>
    </w:p>
    <w:p w14:paraId="1DB1D32E">
      <w:pPr>
        <w:adjustRightInd w:val="0"/>
        <w:snapToGrid w:val="0"/>
        <w:ind w:firstLine="422" w:firstLineChars="200"/>
        <w:rPr>
          <w:rFonts w:hint="eastAsia" w:ascii="宋体" w:hAnsi="宋体" w:eastAsia="宋体" w:cs="宋体"/>
          <w:b/>
          <w:bCs/>
          <w:color w:val="auto"/>
          <w:kern w:val="0"/>
          <w:szCs w:val="21"/>
          <w:highlight w:val="none"/>
        </w:rPr>
      </w:pPr>
      <w:r>
        <w:rPr>
          <w:rFonts w:hint="eastAsia" w:ascii="宋体" w:hAnsi="宋体" w:eastAsia="宋体" w:cs="宋体"/>
          <w:b/>
          <w:color w:val="auto"/>
          <w:kern w:val="0"/>
          <w:szCs w:val="21"/>
          <w:highlight w:val="none"/>
        </w:rPr>
        <w:t>4</w:t>
      </w:r>
      <w:r>
        <w:rPr>
          <w:rFonts w:hint="eastAsia" w:ascii="宋体" w:hAnsi="宋体" w:eastAsia="宋体" w:cs="宋体"/>
          <w:b/>
          <w:bCs/>
          <w:color w:val="auto"/>
          <w:kern w:val="0"/>
          <w:szCs w:val="21"/>
          <w:highlight w:val="none"/>
        </w:rPr>
        <w:t>、同一品牌产品</w:t>
      </w:r>
    </w:p>
    <w:p w14:paraId="6B781D1A">
      <w:pPr>
        <w:adjustRightInd w:val="0"/>
        <w:snapToGrid w:val="0"/>
        <w:ind w:firstLine="420" w:firstLineChars="200"/>
        <w:rPr>
          <w:rFonts w:hint="eastAsia" w:ascii="宋体" w:hAnsi="宋体" w:eastAsia="宋体" w:cs="宋体"/>
          <w:b/>
          <w:bCs/>
          <w:color w:val="auto"/>
          <w:szCs w:val="21"/>
          <w:highlight w:val="none"/>
        </w:rPr>
      </w:pPr>
      <w:r>
        <w:rPr>
          <w:rFonts w:hint="eastAsia" w:ascii="宋体" w:hAnsi="宋体" w:eastAsia="宋体" w:cs="宋体"/>
          <w:color w:val="auto"/>
          <w:szCs w:val="21"/>
          <w:highlight w:val="none"/>
        </w:rPr>
        <w:t>4.1通过资格审查、符合性审查的不同品牌投标人不足3家的，按照</w:t>
      </w:r>
      <w:r>
        <w:rPr>
          <w:rFonts w:hint="eastAsia" w:ascii="宋体" w:hAnsi="宋体" w:eastAsia="宋体" w:cs="宋体"/>
          <w:color w:val="auto"/>
          <w:kern w:val="0"/>
          <w:szCs w:val="21"/>
          <w:highlight w:val="none"/>
        </w:rPr>
        <w:t>投标人须知28条第（1）款</w:t>
      </w:r>
      <w:r>
        <w:rPr>
          <w:rFonts w:hint="eastAsia" w:ascii="宋体" w:hAnsi="宋体" w:eastAsia="宋体" w:cs="宋体"/>
          <w:color w:val="auto"/>
          <w:szCs w:val="21"/>
          <w:highlight w:val="none"/>
        </w:rPr>
        <w:t>执行</w:t>
      </w:r>
      <w:r>
        <w:rPr>
          <w:rFonts w:hint="eastAsia" w:ascii="宋体" w:hAnsi="宋体" w:eastAsia="宋体" w:cs="宋体"/>
          <w:color w:val="auto"/>
          <w:kern w:val="0"/>
          <w:szCs w:val="21"/>
          <w:highlight w:val="none"/>
        </w:rPr>
        <w:t>。</w:t>
      </w:r>
    </w:p>
    <w:p w14:paraId="1980785D">
      <w:p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4.2提供相同品牌产品且通过资格审查、符合性审查的不同投标人，按一家投标人计算。</w:t>
      </w:r>
    </w:p>
    <w:p w14:paraId="583DA887">
      <w:p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4.3如一个分包内只有一种产品，不同投标人所投产品为同一品牌的，按如下方式处理：</w:t>
      </w:r>
    </w:p>
    <w:p w14:paraId="0C9B3853">
      <w:pPr>
        <w:numPr>
          <w:ilvl w:val="0"/>
          <w:numId w:val="8"/>
        </w:num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如本项目使用最低评标价法，提供相同品牌产品的不同投标人以其中通过资格审查、符合性审查且报价最低的参加比较及评价；报价相同的，按</w:t>
      </w:r>
      <w:r>
        <w:rPr>
          <w:rFonts w:hint="eastAsia" w:ascii="宋体" w:hAnsi="宋体" w:eastAsia="宋体" w:cs="宋体"/>
          <w:color w:val="auto"/>
          <w:kern w:val="0"/>
          <w:szCs w:val="21"/>
          <w:highlight w:val="none"/>
        </w:rPr>
        <w:t>本章第8条</w:t>
      </w:r>
      <w:r>
        <w:rPr>
          <w:rFonts w:hint="eastAsia" w:ascii="宋体" w:hAnsi="宋体" w:eastAsia="宋体" w:cs="宋体"/>
          <w:color w:val="auto"/>
          <w:szCs w:val="21"/>
          <w:highlight w:val="none"/>
        </w:rPr>
        <w:t>“推荐中标候选人的原则”规定执行；未规定的采取随机抽取方式确定，其他</w:t>
      </w:r>
      <w:r>
        <w:rPr>
          <w:rFonts w:hint="eastAsia" w:ascii="宋体" w:hAnsi="宋体" w:eastAsia="宋体" w:cs="宋体"/>
          <w:b/>
          <w:bCs/>
          <w:color w:val="auto"/>
          <w:szCs w:val="21"/>
          <w:highlight w:val="none"/>
        </w:rPr>
        <w:t>投标无效</w:t>
      </w:r>
      <w:r>
        <w:rPr>
          <w:rFonts w:hint="eastAsia" w:ascii="宋体" w:hAnsi="宋体" w:eastAsia="宋体" w:cs="宋体"/>
          <w:color w:val="auto"/>
          <w:szCs w:val="21"/>
          <w:highlight w:val="none"/>
        </w:rPr>
        <w:t>。</w:t>
      </w:r>
    </w:p>
    <w:p w14:paraId="68187207">
      <w:p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2）如本项目使用综合评分法，评审后得分最高的同品牌投标人获得中标人推荐资格；评审得分相同的，按本章第8条“推荐中标候选人的原则”规定执行；未规定的采取随机抽取方式确定，其他同品牌投标人不作为中标候选人。</w:t>
      </w:r>
    </w:p>
    <w:p w14:paraId="08A11B2C">
      <w:pPr>
        <w:adjustRightInd w:val="0"/>
        <w:snapToGrid w:val="0"/>
        <w:ind w:firstLine="420" w:firstLineChars="200"/>
        <w:rPr>
          <w:rFonts w:hint="eastAsia" w:ascii="宋体" w:hAnsi="宋体" w:eastAsia="宋体" w:cs="宋体"/>
          <w:color w:val="auto"/>
          <w:kern w:val="0"/>
          <w:szCs w:val="21"/>
          <w:highlight w:val="none"/>
        </w:rPr>
      </w:pPr>
      <w:r>
        <w:rPr>
          <w:rFonts w:hint="eastAsia" w:ascii="宋体" w:hAnsi="宋体" w:eastAsia="宋体" w:cs="宋体"/>
          <w:color w:val="auto"/>
          <w:szCs w:val="21"/>
          <w:highlight w:val="none"/>
        </w:rPr>
        <w:t>4.4如一个分包内包含多种产品的，</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或</w:t>
      </w:r>
      <w:r>
        <w:rPr>
          <w:rFonts w:hint="eastAsia" w:ascii="宋体" w:hAnsi="宋体" w:eastAsia="宋体" w:cs="宋体"/>
          <w:color w:val="auto"/>
          <w:szCs w:val="21"/>
          <w:highlight w:val="none"/>
          <w:lang w:eastAsia="zh-CN"/>
        </w:rPr>
        <w:t>招标代理机构</w:t>
      </w:r>
      <w:r>
        <w:rPr>
          <w:rFonts w:hint="eastAsia" w:ascii="宋体" w:hAnsi="宋体" w:eastAsia="宋体" w:cs="宋体"/>
          <w:color w:val="auto"/>
          <w:szCs w:val="21"/>
          <w:highlight w:val="none"/>
        </w:rPr>
        <w:t>将在招标文件中载明核心产品，多家投标人提供的核心产品品牌相同的，</w:t>
      </w:r>
      <w:r>
        <w:rPr>
          <w:rFonts w:hint="eastAsia" w:ascii="宋体" w:hAnsi="宋体" w:eastAsia="宋体" w:cs="宋体"/>
          <w:color w:val="auto"/>
          <w:kern w:val="0"/>
          <w:szCs w:val="21"/>
          <w:highlight w:val="none"/>
        </w:rPr>
        <w:t>按本章第4.3条规定处理。</w:t>
      </w:r>
    </w:p>
    <w:p w14:paraId="6CB3858C">
      <w:pPr>
        <w:adjustRightInd w:val="0"/>
        <w:snapToGrid w:val="0"/>
        <w:ind w:firstLine="422" w:firstLineChars="200"/>
        <w:rPr>
          <w:rFonts w:hint="eastAsia" w:ascii="宋体" w:hAnsi="宋体" w:eastAsia="宋体" w:cs="宋体"/>
          <w:b/>
          <w:bCs/>
          <w:color w:val="auto"/>
          <w:kern w:val="0"/>
          <w:szCs w:val="21"/>
          <w:highlight w:val="none"/>
        </w:rPr>
      </w:pPr>
      <w:r>
        <w:rPr>
          <w:rFonts w:hint="eastAsia" w:ascii="宋体" w:hAnsi="宋体" w:eastAsia="宋体" w:cs="宋体"/>
          <w:b/>
          <w:color w:val="auto"/>
          <w:kern w:val="0"/>
          <w:szCs w:val="21"/>
          <w:highlight w:val="none"/>
        </w:rPr>
        <w:t>5</w:t>
      </w:r>
      <w:r>
        <w:rPr>
          <w:rFonts w:hint="eastAsia" w:ascii="宋体" w:hAnsi="宋体" w:eastAsia="宋体" w:cs="宋体"/>
          <w:b/>
          <w:bCs/>
          <w:color w:val="auto"/>
          <w:kern w:val="0"/>
          <w:szCs w:val="21"/>
          <w:highlight w:val="none"/>
        </w:rPr>
        <w:t>、比较及评价</w:t>
      </w:r>
    </w:p>
    <w:p w14:paraId="26F03492">
      <w:pPr>
        <w:adjustRightInd w:val="0"/>
        <w:snapToGrid w:val="0"/>
        <w:ind w:firstLine="420" w:firstLineChars="200"/>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5.1评标委员会对通过符合性审查的投标文件进行比较和评价。</w:t>
      </w:r>
    </w:p>
    <w:p w14:paraId="2D59B570">
      <w:pPr>
        <w:adjustRightInd w:val="0"/>
        <w:snapToGrid w:val="0"/>
        <w:ind w:firstLine="420" w:firstLineChars="200"/>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5.2在评标期间，对投标文件的澄清按投标人须知24条内容执行。</w:t>
      </w:r>
    </w:p>
    <w:p w14:paraId="6505C644">
      <w:p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5.3评标委员会认为投标人的报价明显低于其他通过符合性审查的投标人报价，有可能影响产品质量或者不能诚信履约的，评标委员会应当要求其在评标现场合理的时间（</w:t>
      </w:r>
      <w:r>
        <w:rPr>
          <w:rFonts w:hint="eastAsia" w:ascii="宋体" w:hAnsi="宋体" w:eastAsia="宋体" w:cs="宋体"/>
          <w:color w:val="auto"/>
          <w:kern w:val="0"/>
          <w:szCs w:val="21"/>
          <w:highlight w:val="none"/>
        </w:rPr>
        <w:t>接到通知后</w:t>
      </w:r>
      <w:r>
        <w:rPr>
          <w:rFonts w:hint="eastAsia" w:ascii="宋体" w:hAnsi="宋体" w:eastAsia="宋体" w:cs="宋体"/>
          <w:color w:val="auto"/>
          <w:kern w:val="0"/>
          <w:szCs w:val="21"/>
          <w:highlight w:val="none"/>
          <w:u w:val="single"/>
        </w:rPr>
        <w:t xml:space="preserve"> 0.5 </w:t>
      </w:r>
      <w:r>
        <w:rPr>
          <w:rFonts w:hint="eastAsia" w:ascii="宋体" w:hAnsi="宋体" w:eastAsia="宋体" w:cs="宋体"/>
          <w:color w:val="auto"/>
          <w:kern w:val="0"/>
          <w:szCs w:val="21"/>
          <w:highlight w:val="none"/>
        </w:rPr>
        <w:t>小时</w:t>
      </w:r>
      <w:r>
        <w:rPr>
          <w:rFonts w:hint="eastAsia" w:ascii="宋体" w:hAnsi="宋体" w:eastAsia="宋体" w:cs="宋体"/>
          <w:color w:val="auto"/>
          <w:szCs w:val="21"/>
          <w:highlight w:val="none"/>
        </w:rPr>
        <w:t>）内提供书面说明，并提交相关证明材料，</w:t>
      </w:r>
      <w:r>
        <w:rPr>
          <w:rFonts w:hint="eastAsia" w:ascii="宋体" w:hAnsi="宋体" w:eastAsia="宋体" w:cs="宋体"/>
          <w:color w:val="auto"/>
          <w:kern w:val="0"/>
          <w:szCs w:val="21"/>
          <w:highlight w:val="none"/>
        </w:rPr>
        <w:t>投标人不能证明其报价合理性的，评标委员会应当将</w:t>
      </w:r>
      <w:r>
        <w:rPr>
          <w:rFonts w:hint="eastAsia" w:ascii="宋体" w:hAnsi="宋体" w:eastAsia="宋体" w:cs="宋体"/>
          <w:color w:val="auto"/>
          <w:szCs w:val="21"/>
          <w:highlight w:val="none"/>
        </w:rPr>
        <w:t>其投标作为</w:t>
      </w:r>
      <w:r>
        <w:rPr>
          <w:rFonts w:hint="eastAsia" w:ascii="宋体" w:hAnsi="宋体" w:eastAsia="宋体" w:cs="宋体"/>
          <w:b/>
          <w:bCs/>
          <w:color w:val="auto"/>
          <w:szCs w:val="21"/>
          <w:highlight w:val="none"/>
        </w:rPr>
        <w:t>无效投标处理</w:t>
      </w:r>
      <w:r>
        <w:rPr>
          <w:rFonts w:hint="eastAsia" w:ascii="宋体" w:hAnsi="宋体" w:eastAsia="宋体" w:cs="宋体"/>
          <w:color w:val="auto"/>
          <w:szCs w:val="21"/>
          <w:highlight w:val="none"/>
        </w:rPr>
        <w:t>。</w:t>
      </w:r>
    </w:p>
    <w:p w14:paraId="6323AD4F">
      <w:p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投标人的书面说明材料包含货物本身成本、人工费用、运输、税收等，以及报价不会影响产品质量或诚信履约能力的说明等。</w:t>
      </w:r>
    </w:p>
    <w:p w14:paraId="5A4ABAF9">
      <w:p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投标人的书面说明应当签字确认或者加盖公章，否则无效。书面说明的签字确认，由其法定代表人（非法人单位负责人或自然人本人）或者其授权代表签字确认。</w:t>
      </w:r>
    </w:p>
    <w:p w14:paraId="49B7824D">
      <w:p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投标人提供书面说明后，评标委员会应当结合</w:t>
      </w:r>
      <w:r>
        <w:rPr>
          <w:rFonts w:hint="eastAsia" w:ascii="宋体" w:hAnsi="宋体" w:eastAsia="宋体" w:cs="宋体"/>
          <w:color w:val="auto"/>
          <w:szCs w:val="21"/>
          <w:highlight w:val="none"/>
          <w:lang w:eastAsia="zh-CN"/>
        </w:rPr>
        <w:t>招标</w:t>
      </w:r>
      <w:r>
        <w:rPr>
          <w:rFonts w:hint="eastAsia" w:ascii="宋体" w:hAnsi="宋体" w:eastAsia="宋体" w:cs="宋体"/>
          <w:color w:val="auto"/>
          <w:szCs w:val="21"/>
          <w:highlight w:val="none"/>
        </w:rPr>
        <w:t>项目</w:t>
      </w:r>
      <w:r>
        <w:rPr>
          <w:rFonts w:hint="eastAsia" w:ascii="宋体" w:hAnsi="宋体" w:eastAsia="宋体" w:cs="宋体"/>
          <w:color w:val="auto"/>
          <w:szCs w:val="21"/>
          <w:highlight w:val="none"/>
          <w:lang w:eastAsia="zh-CN"/>
        </w:rPr>
        <w:t>招标</w:t>
      </w:r>
      <w:r>
        <w:rPr>
          <w:rFonts w:hint="eastAsia" w:ascii="宋体" w:hAnsi="宋体" w:eastAsia="宋体" w:cs="宋体"/>
          <w:color w:val="auto"/>
          <w:szCs w:val="21"/>
          <w:highlight w:val="none"/>
        </w:rPr>
        <w:t>需求、专业实际情况、</w:t>
      </w:r>
      <w:r>
        <w:rPr>
          <w:rFonts w:hint="eastAsia" w:ascii="宋体" w:hAnsi="宋体" w:eastAsia="宋体" w:cs="宋体"/>
          <w:color w:val="auto"/>
          <w:szCs w:val="21"/>
          <w:highlight w:val="none"/>
          <w:lang w:eastAsia="zh-CN"/>
        </w:rPr>
        <w:t>投标人</w:t>
      </w:r>
      <w:r>
        <w:rPr>
          <w:rFonts w:hint="eastAsia" w:ascii="宋体" w:hAnsi="宋体" w:eastAsia="宋体" w:cs="宋体"/>
          <w:color w:val="auto"/>
          <w:szCs w:val="21"/>
          <w:highlight w:val="none"/>
        </w:rPr>
        <w:t>财务状况报告、与其他投标人比较情况等就投标人的书面说明进行审查评价。投标人如有下列情况的，评标委员会应当将其投标文件作为无效处理：</w:t>
      </w:r>
    </w:p>
    <w:p w14:paraId="141F2E27">
      <w:pPr>
        <w:numPr>
          <w:ilvl w:val="0"/>
          <w:numId w:val="9"/>
        </w:num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拒绝或者变相拒绝提供有效书面说明；</w:t>
      </w:r>
    </w:p>
    <w:p w14:paraId="3AB0D6A5">
      <w:pPr>
        <w:numPr>
          <w:ilvl w:val="0"/>
          <w:numId w:val="9"/>
        </w:num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书面说明不能证明其报价合理性的；</w:t>
      </w:r>
    </w:p>
    <w:p w14:paraId="56FD75EC">
      <w:p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未在规定时间内递交有效书面说明书的。</w:t>
      </w:r>
    </w:p>
    <w:p w14:paraId="50A8EC39">
      <w:pPr>
        <w:adjustRightInd w:val="0"/>
        <w:snapToGrid w:val="0"/>
        <w:ind w:firstLine="422" w:firstLineChars="200"/>
        <w:rPr>
          <w:rFonts w:hint="eastAsia" w:ascii="宋体" w:hAnsi="宋体" w:eastAsia="宋体" w:cs="宋体"/>
          <w:b/>
          <w:bCs/>
          <w:color w:val="auto"/>
          <w:kern w:val="0"/>
          <w:szCs w:val="21"/>
          <w:highlight w:val="none"/>
        </w:rPr>
      </w:pPr>
      <w:r>
        <w:rPr>
          <w:rFonts w:hint="eastAsia" w:ascii="宋体" w:hAnsi="宋体" w:eastAsia="宋体" w:cs="宋体"/>
          <w:b/>
          <w:color w:val="auto"/>
          <w:kern w:val="0"/>
          <w:szCs w:val="21"/>
          <w:highlight w:val="none"/>
          <w:lang w:val="en-US" w:eastAsia="zh-CN"/>
        </w:rPr>
        <w:t>6</w:t>
      </w:r>
      <w:r>
        <w:rPr>
          <w:rFonts w:hint="eastAsia" w:ascii="宋体" w:hAnsi="宋体" w:eastAsia="宋体" w:cs="宋体"/>
          <w:b/>
          <w:bCs/>
          <w:color w:val="auto"/>
          <w:kern w:val="0"/>
          <w:szCs w:val="21"/>
          <w:highlight w:val="none"/>
        </w:rPr>
        <w:t>、投标无效情况详见投标人须知。</w:t>
      </w:r>
    </w:p>
    <w:p w14:paraId="002747EC">
      <w:pPr>
        <w:adjustRightInd w:val="0"/>
        <w:snapToGrid w:val="0"/>
        <w:ind w:firstLine="422" w:firstLineChars="200"/>
        <w:rPr>
          <w:rFonts w:hint="eastAsia" w:ascii="宋体" w:hAnsi="宋体" w:eastAsia="宋体" w:cs="宋体"/>
          <w:b/>
          <w:bCs/>
          <w:color w:val="auto"/>
          <w:kern w:val="0"/>
          <w:szCs w:val="21"/>
          <w:highlight w:val="none"/>
        </w:rPr>
      </w:pPr>
      <w:r>
        <w:rPr>
          <w:rFonts w:hint="eastAsia" w:ascii="宋体" w:hAnsi="宋体" w:eastAsia="宋体" w:cs="宋体"/>
          <w:b/>
          <w:color w:val="auto"/>
          <w:kern w:val="0"/>
          <w:szCs w:val="21"/>
          <w:highlight w:val="none"/>
          <w:lang w:val="en-US" w:eastAsia="zh-CN"/>
        </w:rPr>
        <w:t>7</w:t>
      </w:r>
      <w:r>
        <w:rPr>
          <w:rFonts w:hint="eastAsia" w:ascii="宋体" w:hAnsi="宋体" w:eastAsia="宋体" w:cs="宋体"/>
          <w:b/>
          <w:bCs/>
          <w:color w:val="auto"/>
          <w:kern w:val="0"/>
          <w:szCs w:val="21"/>
          <w:highlight w:val="none"/>
        </w:rPr>
        <w:t>、推荐中标候选人的原则</w:t>
      </w:r>
    </w:p>
    <w:p w14:paraId="2E50E363">
      <w:pPr>
        <w:adjustRightInd w:val="0"/>
        <w:snapToGrid w:val="0"/>
        <w:ind w:firstLine="420" w:firstLineChars="200"/>
        <w:rPr>
          <w:rFonts w:hint="eastAsia" w:ascii="宋体" w:hAnsi="宋体" w:eastAsia="宋体" w:cs="宋体"/>
          <w:color w:val="auto"/>
          <w:kern w:val="0"/>
          <w:szCs w:val="21"/>
          <w:highlight w:val="none"/>
        </w:rPr>
      </w:pPr>
      <w:r>
        <w:rPr>
          <w:rFonts w:hint="eastAsia" w:ascii="宋体" w:hAnsi="宋体" w:eastAsia="宋体" w:cs="宋体"/>
          <w:color w:val="auto"/>
          <w:kern w:val="0"/>
          <w:szCs w:val="21"/>
          <w:highlight w:val="none"/>
        </w:rPr>
        <w:t>详见第一章投标人须知第29条，报价相同的处理办法如下：</w:t>
      </w:r>
    </w:p>
    <w:p w14:paraId="721801A9">
      <w:pPr>
        <w:numPr>
          <w:ilvl w:val="0"/>
          <w:numId w:val="0"/>
        </w:num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kern w:val="2"/>
          <w:sz w:val="21"/>
          <w:szCs w:val="21"/>
          <w:highlight w:val="none"/>
          <w:lang w:val="en-US" w:eastAsia="zh-CN" w:bidi="ar-SA"/>
        </w:rPr>
        <w:t>（1）</w:t>
      </w:r>
      <w:r>
        <w:rPr>
          <w:rFonts w:hint="eastAsia" w:ascii="宋体" w:hAnsi="宋体" w:eastAsia="宋体" w:cs="宋体"/>
          <w:color w:val="auto"/>
          <w:szCs w:val="21"/>
          <w:highlight w:val="none"/>
        </w:rPr>
        <w:t>采用综合评分法：</w:t>
      </w:r>
    </w:p>
    <w:p w14:paraId="51F013AB">
      <w:p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得分相同的，投标报价由高到低顺序排列；</w:t>
      </w:r>
    </w:p>
    <w:p w14:paraId="59EC7FBE">
      <w:p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按前款不能区分的，按技术指标优劣排序；</w:t>
      </w:r>
    </w:p>
    <w:p w14:paraId="6F8C2F34">
      <w:p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其他情况，由评标委员会集体研究处理。</w:t>
      </w:r>
    </w:p>
    <w:p w14:paraId="1EC7390B">
      <w:pPr>
        <w:adjustRightInd w:val="0"/>
        <w:snapToGrid w:val="0"/>
        <w:ind w:firstLine="422" w:firstLineChars="200"/>
        <w:rPr>
          <w:rFonts w:hint="eastAsia" w:ascii="宋体" w:hAnsi="宋体" w:eastAsia="宋体" w:cs="宋体"/>
          <w:b/>
          <w:color w:val="auto"/>
          <w:kern w:val="0"/>
          <w:szCs w:val="21"/>
          <w:highlight w:val="none"/>
        </w:rPr>
      </w:pPr>
      <w:r>
        <w:rPr>
          <w:rFonts w:hint="eastAsia" w:ascii="宋体" w:hAnsi="宋体" w:eastAsia="宋体" w:cs="宋体"/>
          <w:b/>
          <w:color w:val="auto"/>
          <w:szCs w:val="21"/>
          <w:highlight w:val="none"/>
        </w:rPr>
        <w:t>三、</w:t>
      </w:r>
      <w:r>
        <w:rPr>
          <w:rFonts w:hint="eastAsia" w:ascii="宋体" w:hAnsi="宋体" w:eastAsia="宋体" w:cs="宋体"/>
          <w:b/>
          <w:color w:val="auto"/>
          <w:kern w:val="0"/>
          <w:szCs w:val="21"/>
          <w:highlight w:val="none"/>
        </w:rPr>
        <w:t>确定中标人</w:t>
      </w:r>
    </w:p>
    <w:p w14:paraId="7AB66E6D">
      <w:p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rPr>
        <w:t>评标委员会根据全体评标委员会成员签字的原始评标记录和评标结果编写评标报告，并向</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提交书面评标报告。</w:t>
      </w:r>
    </w:p>
    <w:p w14:paraId="13FBE06A">
      <w:pPr>
        <w:adjustRightInd w:val="0"/>
        <w:snapToGrid w:val="0"/>
        <w:ind w:firstLine="420" w:firstLineChars="200"/>
        <w:rPr>
          <w:rFonts w:hint="eastAsia" w:ascii="宋体" w:hAnsi="宋体" w:eastAsia="宋体" w:cs="宋体"/>
          <w:color w:val="auto"/>
          <w:szCs w:val="21"/>
          <w:highlight w:val="none"/>
        </w:rPr>
      </w:pP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按照评标报告确定的中标候选人名单按顺序确定中标人，或由</w:t>
      </w:r>
      <w:r>
        <w:rPr>
          <w:rFonts w:hint="eastAsia" w:ascii="宋体" w:hAnsi="宋体" w:eastAsia="宋体" w:cs="宋体"/>
          <w:color w:val="auto"/>
          <w:szCs w:val="21"/>
          <w:highlight w:val="none"/>
          <w:lang w:eastAsia="zh-CN"/>
        </w:rPr>
        <w:t>招标人</w:t>
      </w:r>
      <w:r>
        <w:rPr>
          <w:rFonts w:hint="eastAsia" w:ascii="宋体" w:hAnsi="宋体" w:eastAsia="宋体" w:cs="宋体"/>
          <w:color w:val="auto"/>
          <w:szCs w:val="21"/>
          <w:highlight w:val="none"/>
        </w:rPr>
        <w:t>委托评标委员会按照第一章投标人须知第31条规定的方式确定中标人。</w:t>
      </w:r>
    </w:p>
    <w:p w14:paraId="6702D8BC">
      <w:pPr>
        <w:widowControl/>
        <w:spacing w:line="240" w:lineRule="auto"/>
        <w:jc w:val="left"/>
        <w:rPr>
          <w:rFonts w:hint="eastAsia" w:ascii="宋体" w:hAnsi="宋体" w:eastAsia="宋体" w:cs="宋体"/>
          <w:color w:val="auto"/>
          <w:highlight w:val="none"/>
        </w:rPr>
      </w:pPr>
      <w:r>
        <w:rPr>
          <w:rFonts w:hint="eastAsia" w:ascii="宋体" w:hAnsi="宋体" w:eastAsia="宋体" w:cs="宋体"/>
          <w:color w:val="auto"/>
          <w:highlight w:val="none"/>
        </w:rPr>
        <w:br w:type="page"/>
      </w:r>
      <w:r>
        <w:rPr>
          <w:rFonts w:hint="eastAsia" w:ascii="宋体" w:hAnsi="宋体" w:eastAsia="宋体" w:cs="宋体"/>
          <w:b/>
          <w:color w:val="auto"/>
          <w:kern w:val="2"/>
          <w:sz w:val="28"/>
          <w:szCs w:val="24"/>
          <w:highlight w:val="none"/>
          <w:lang w:val="en-US" w:eastAsia="zh-CN" w:bidi="ar-SA"/>
        </w:rPr>
        <w:t>附件1                   资格审查表</w:t>
      </w:r>
    </w:p>
    <w:tbl>
      <w:tblPr>
        <w:tblStyle w:val="17"/>
        <w:tblW w:w="83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7"/>
        <w:gridCol w:w="2346"/>
        <w:gridCol w:w="5349"/>
      </w:tblGrid>
      <w:tr w14:paraId="3BA9B1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jc w:val="center"/>
        </w:trPr>
        <w:tc>
          <w:tcPr>
            <w:tcW w:w="677" w:type="dxa"/>
            <w:vMerge w:val="restart"/>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23442D54">
            <w:pPr>
              <w:snapToGrid w:val="0"/>
              <w:jc w:val="center"/>
              <w:rPr>
                <w:rFonts w:hint="eastAsia" w:ascii="宋体" w:hAnsi="宋体" w:eastAsia="宋体" w:cs="宋体"/>
                <w:b/>
                <w:bCs/>
                <w:color w:val="auto"/>
                <w:highlight w:val="none"/>
              </w:rPr>
            </w:pPr>
            <w:r>
              <w:rPr>
                <w:rFonts w:hint="eastAsia" w:ascii="宋体" w:hAnsi="宋体" w:eastAsia="宋体" w:cs="宋体"/>
                <w:b/>
                <w:bCs/>
                <w:color w:val="auto"/>
                <w:highlight w:val="none"/>
              </w:rPr>
              <w:t>序号</w:t>
            </w:r>
          </w:p>
        </w:tc>
        <w:tc>
          <w:tcPr>
            <w:tcW w:w="2346" w:type="dxa"/>
            <w:vMerge w:val="restart"/>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593352E1">
            <w:pPr>
              <w:snapToGrid w:val="0"/>
              <w:jc w:val="center"/>
              <w:rPr>
                <w:rFonts w:hint="eastAsia" w:ascii="宋体" w:hAnsi="宋体" w:eastAsia="宋体" w:cs="宋体"/>
                <w:b/>
                <w:bCs/>
                <w:color w:val="auto"/>
                <w:highlight w:val="none"/>
              </w:rPr>
            </w:pPr>
            <w:r>
              <w:rPr>
                <w:rFonts w:hint="eastAsia" w:ascii="宋体" w:hAnsi="宋体" w:eastAsia="宋体" w:cs="宋体"/>
                <w:b/>
                <w:bCs/>
                <w:color w:val="auto"/>
                <w:highlight w:val="none"/>
              </w:rPr>
              <w:t>审查内容</w:t>
            </w:r>
          </w:p>
        </w:tc>
        <w:tc>
          <w:tcPr>
            <w:tcW w:w="5349" w:type="dxa"/>
            <w:vMerge w:val="restart"/>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6F717E34">
            <w:pPr>
              <w:snapToGrid w:val="0"/>
              <w:jc w:val="center"/>
              <w:rPr>
                <w:rFonts w:hint="eastAsia" w:ascii="宋体" w:hAnsi="宋体" w:eastAsia="宋体" w:cs="宋体"/>
                <w:b/>
                <w:bCs/>
                <w:color w:val="auto"/>
                <w:highlight w:val="none"/>
              </w:rPr>
            </w:pPr>
            <w:r>
              <w:rPr>
                <w:rFonts w:hint="eastAsia" w:ascii="宋体" w:hAnsi="宋体" w:eastAsia="宋体" w:cs="宋体"/>
                <w:b/>
                <w:bCs/>
                <w:color w:val="auto"/>
                <w:highlight w:val="none"/>
              </w:rPr>
              <w:t>审查标准</w:t>
            </w:r>
          </w:p>
        </w:tc>
      </w:tr>
      <w:tr w14:paraId="1CA51F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jc w:val="center"/>
        </w:trPr>
        <w:tc>
          <w:tcPr>
            <w:tcW w:w="677" w:type="dxa"/>
            <w:vMerge w:val="continue"/>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1B110EE7">
            <w:pPr>
              <w:pStyle w:val="3"/>
              <w:adjustRightInd w:val="0"/>
              <w:snapToGrid w:val="0"/>
              <w:spacing w:before="0" w:after="0" w:line="240" w:lineRule="auto"/>
              <w:rPr>
                <w:rFonts w:hint="eastAsia" w:ascii="宋体" w:hAnsi="宋体" w:eastAsia="宋体" w:cs="宋体"/>
                <w:color w:val="auto"/>
                <w:highlight w:val="none"/>
              </w:rPr>
            </w:pPr>
          </w:p>
        </w:tc>
        <w:tc>
          <w:tcPr>
            <w:tcW w:w="2346" w:type="dxa"/>
            <w:vMerge w:val="continue"/>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4B676324">
            <w:pPr>
              <w:pStyle w:val="3"/>
              <w:adjustRightInd w:val="0"/>
              <w:snapToGrid w:val="0"/>
              <w:spacing w:before="0" w:after="0" w:line="240" w:lineRule="auto"/>
              <w:rPr>
                <w:rFonts w:hint="eastAsia" w:ascii="宋体" w:hAnsi="宋体" w:eastAsia="宋体" w:cs="宋体"/>
                <w:color w:val="auto"/>
                <w:sz w:val="21"/>
                <w:szCs w:val="21"/>
                <w:highlight w:val="none"/>
              </w:rPr>
            </w:pPr>
          </w:p>
        </w:tc>
        <w:tc>
          <w:tcPr>
            <w:tcW w:w="5349" w:type="dxa"/>
            <w:vMerge w:val="continue"/>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02DDB0AA">
            <w:pPr>
              <w:pStyle w:val="3"/>
              <w:adjustRightInd w:val="0"/>
              <w:snapToGrid w:val="0"/>
              <w:spacing w:before="0" w:after="0" w:line="240" w:lineRule="auto"/>
              <w:rPr>
                <w:rFonts w:hint="eastAsia" w:ascii="宋体" w:hAnsi="宋体" w:eastAsia="宋体" w:cs="宋体"/>
                <w:color w:val="auto"/>
                <w:sz w:val="21"/>
                <w:szCs w:val="21"/>
                <w:highlight w:val="none"/>
              </w:rPr>
            </w:pPr>
          </w:p>
        </w:tc>
      </w:tr>
      <w:tr w14:paraId="6EB3FF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5" w:hRule="atLeast"/>
          <w:jc w:val="center"/>
        </w:trPr>
        <w:tc>
          <w:tcPr>
            <w:tcW w:w="677" w:type="dxa"/>
            <w:tcBorders>
              <w:left w:val="single" w:color="000000" w:sz="8" w:space="0"/>
              <w:bottom w:val="single" w:color="000000" w:sz="8" w:space="0"/>
              <w:right w:val="single" w:color="000000" w:sz="8" w:space="0"/>
            </w:tcBorders>
            <w:shd w:val="clear" w:color="auto" w:fill="FFFFFF"/>
            <w:noWrap w:val="0"/>
            <w:vAlign w:val="center"/>
          </w:tcPr>
          <w:p w14:paraId="32532D1B">
            <w:pPr>
              <w:snapToGrid w:val="0"/>
              <w:jc w:val="center"/>
              <w:rPr>
                <w:rFonts w:hint="eastAsia" w:ascii="宋体" w:hAnsi="宋体" w:eastAsia="宋体" w:cs="宋体"/>
                <w:color w:val="auto"/>
                <w:highlight w:val="none"/>
              </w:rPr>
            </w:pPr>
            <w:r>
              <w:rPr>
                <w:rFonts w:hint="eastAsia" w:ascii="宋体" w:hAnsi="宋体" w:eastAsia="宋体" w:cs="宋体"/>
                <w:color w:val="auto"/>
                <w:highlight w:val="none"/>
              </w:rPr>
              <w:t>1</w:t>
            </w:r>
          </w:p>
        </w:tc>
        <w:tc>
          <w:tcPr>
            <w:tcW w:w="2346" w:type="dxa"/>
            <w:tcBorders>
              <w:left w:val="single" w:color="000000" w:sz="8" w:space="0"/>
              <w:bottom w:val="single" w:color="000000" w:sz="8" w:space="0"/>
              <w:right w:val="single" w:color="000000" w:sz="8" w:space="0"/>
            </w:tcBorders>
            <w:shd w:val="clear" w:color="auto" w:fill="FFFFFF"/>
            <w:noWrap w:val="0"/>
            <w:vAlign w:val="center"/>
          </w:tcPr>
          <w:p w14:paraId="12219315">
            <w:pPr>
              <w:snapToGrid w:val="0"/>
              <w:jc w:val="center"/>
              <w:rPr>
                <w:rFonts w:hint="eastAsia" w:ascii="宋体" w:hAnsi="宋体" w:eastAsia="宋体" w:cs="宋体"/>
                <w:color w:val="auto"/>
                <w:highlight w:val="none"/>
              </w:rPr>
            </w:pPr>
            <w:r>
              <w:rPr>
                <w:rFonts w:hint="eastAsia" w:ascii="宋体" w:hAnsi="宋体" w:eastAsia="宋体" w:cs="宋体"/>
                <w:color w:val="auto"/>
                <w:highlight w:val="none"/>
              </w:rPr>
              <w:t>具有独立承担民事责任的能力；</w:t>
            </w:r>
          </w:p>
        </w:tc>
        <w:tc>
          <w:tcPr>
            <w:tcW w:w="5349"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73E7D689">
            <w:pPr>
              <w:snapToGrid w:val="0"/>
              <w:rPr>
                <w:rFonts w:ascii="宋体" w:hAnsi="宋体" w:eastAsia="宋体" w:cs="宋体"/>
                <w:color w:val="auto"/>
                <w:highlight w:val="none"/>
              </w:rPr>
            </w:pPr>
            <w:r>
              <w:rPr>
                <w:rFonts w:hint="eastAsia" w:ascii="宋体" w:hAnsi="宋体" w:eastAsia="宋体" w:cs="宋体"/>
                <w:color w:val="auto"/>
                <w:highlight w:val="none"/>
              </w:rPr>
              <w:t>①营业执照或事业单位法人证书或执业许可证等证明文件或自然人的身份证明</w:t>
            </w:r>
          </w:p>
          <w:p w14:paraId="09F2BBD7">
            <w:pPr>
              <w:snapToGrid w:val="0"/>
              <w:rPr>
                <w:rFonts w:ascii="宋体" w:hAnsi="宋体" w:eastAsia="宋体" w:cs="宋体"/>
                <w:color w:val="auto"/>
                <w:highlight w:val="none"/>
              </w:rPr>
            </w:pPr>
            <w:r>
              <w:rPr>
                <w:rFonts w:hint="eastAsia" w:ascii="宋体" w:hAnsi="宋体" w:eastAsia="宋体" w:cs="宋体"/>
                <w:color w:val="auto"/>
                <w:highlight w:val="none"/>
              </w:rPr>
              <w:t>②组织机构代码证（复印件，三证合一的不需提供）</w:t>
            </w:r>
          </w:p>
          <w:p w14:paraId="55277A16">
            <w:pPr>
              <w:snapToGrid w:val="0"/>
              <w:rPr>
                <w:rFonts w:ascii="宋体" w:hAnsi="宋体" w:eastAsia="宋体" w:cs="宋体"/>
                <w:color w:val="auto"/>
                <w:highlight w:val="none"/>
              </w:rPr>
            </w:pPr>
            <w:r>
              <w:rPr>
                <w:rFonts w:hint="eastAsia" w:ascii="宋体" w:hAnsi="宋体" w:eastAsia="宋体" w:cs="宋体"/>
                <w:color w:val="auto"/>
                <w:highlight w:val="none"/>
              </w:rPr>
              <w:t>③税务登记证（复印件，三证合一的不需提供）</w:t>
            </w:r>
          </w:p>
          <w:p w14:paraId="48B136DA">
            <w:pPr>
              <w:snapToGrid w:val="0"/>
              <w:rPr>
                <w:rFonts w:ascii="宋体" w:hAnsi="宋体" w:eastAsia="宋体" w:cs="宋体"/>
                <w:color w:val="auto"/>
                <w:highlight w:val="none"/>
              </w:rPr>
            </w:pPr>
            <w:r>
              <w:rPr>
                <w:rFonts w:hint="eastAsia" w:ascii="宋体" w:hAnsi="宋体" w:eastAsia="宋体" w:cs="宋体"/>
                <w:color w:val="auto"/>
                <w:highlight w:val="none"/>
              </w:rPr>
              <w:t>④法定代表人（或非法人组织负责人）身份证明书</w:t>
            </w:r>
          </w:p>
          <w:p w14:paraId="7406435E">
            <w:pPr>
              <w:snapToGrid w:val="0"/>
              <w:rPr>
                <w:rFonts w:hint="eastAsia" w:ascii="宋体" w:hAnsi="宋体" w:eastAsia="宋体" w:cs="宋体"/>
                <w:color w:val="auto"/>
                <w:highlight w:val="none"/>
                <w:lang w:eastAsia="zh-CN"/>
              </w:rPr>
            </w:pPr>
            <w:r>
              <w:rPr>
                <w:rFonts w:hint="eastAsia" w:ascii="宋体" w:hAnsi="宋体" w:eastAsia="宋体" w:cs="宋体"/>
                <w:color w:val="auto"/>
                <w:highlight w:val="none"/>
              </w:rPr>
              <w:t>⑤法定代表人（或非法人组织负责人）授权委托书（授权委托人参加投标的须提供）</w:t>
            </w:r>
          </w:p>
        </w:tc>
      </w:tr>
      <w:tr w14:paraId="34E92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677"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24D5C8EB">
            <w:pPr>
              <w:widowControl/>
              <w:snapToGrid w:val="0"/>
              <w:jc w:val="center"/>
              <w:rPr>
                <w:rFonts w:hint="eastAsia" w:ascii="宋体" w:hAnsi="宋体" w:eastAsia="宋体" w:cs="宋体"/>
                <w:color w:val="auto"/>
                <w:highlight w:val="none"/>
                <w:lang w:val="en-US" w:eastAsia="zh-CN"/>
              </w:rPr>
            </w:pPr>
            <w:r>
              <w:rPr>
                <w:rFonts w:hint="eastAsia" w:ascii="宋体" w:hAnsi="宋体" w:eastAsia="宋体" w:cs="宋体"/>
                <w:color w:val="auto"/>
                <w:highlight w:val="none"/>
              </w:rPr>
              <w:t>2</w:t>
            </w:r>
          </w:p>
        </w:tc>
        <w:tc>
          <w:tcPr>
            <w:tcW w:w="2346"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452D2996">
            <w:pPr>
              <w:snapToGrid w:val="0"/>
              <w:jc w:val="center"/>
              <w:rPr>
                <w:rFonts w:hint="eastAsia" w:ascii="宋体" w:hAnsi="宋体" w:eastAsia="宋体" w:cs="宋体"/>
                <w:color w:val="auto"/>
                <w:kern w:val="2"/>
                <w:sz w:val="21"/>
                <w:szCs w:val="24"/>
                <w:highlight w:val="none"/>
                <w:lang w:val="en-US" w:eastAsia="zh-CN" w:bidi="ar-SA"/>
              </w:rPr>
            </w:pPr>
            <w:r>
              <w:rPr>
                <w:rFonts w:hint="eastAsia" w:ascii="宋体" w:hAnsi="宋体" w:eastAsia="宋体" w:cs="宋体"/>
                <w:color w:val="auto"/>
                <w:highlight w:val="none"/>
              </w:rPr>
              <w:t>具有良好的商业信誉和健全的财务会计制度；</w:t>
            </w:r>
          </w:p>
        </w:tc>
        <w:tc>
          <w:tcPr>
            <w:tcW w:w="5349"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2DB701F6">
            <w:pPr>
              <w:snapToGrid w:val="0"/>
              <w:jc w:val="both"/>
              <w:rPr>
                <w:rFonts w:hint="eastAsia" w:ascii="宋体" w:hAnsi="宋体" w:eastAsia="宋体" w:cs="宋体"/>
                <w:color w:val="auto"/>
                <w:kern w:val="2"/>
                <w:sz w:val="21"/>
                <w:szCs w:val="24"/>
                <w:highlight w:val="none"/>
                <w:lang w:val="en-US" w:eastAsia="zh-CN" w:bidi="ar-SA"/>
              </w:rPr>
            </w:pPr>
            <w:r>
              <w:rPr>
                <w:rFonts w:hint="eastAsia" w:ascii="宋体" w:hAnsi="宋体" w:eastAsia="宋体" w:cs="宋体"/>
                <w:color w:val="auto"/>
                <w:kern w:val="2"/>
                <w:sz w:val="21"/>
                <w:szCs w:val="24"/>
                <w:highlight w:val="none"/>
                <w:lang w:val="en-US" w:eastAsia="zh-CN" w:bidi="ar-SA"/>
              </w:rPr>
              <w:t>投标文件中提供《资格条件承诺函》。</w:t>
            </w:r>
          </w:p>
        </w:tc>
      </w:tr>
      <w:tr w14:paraId="6ACC1C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atLeast"/>
          <w:jc w:val="center"/>
        </w:trPr>
        <w:tc>
          <w:tcPr>
            <w:tcW w:w="677"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68E1EAF4">
            <w:pPr>
              <w:widowControl/>
              <w:snapToGrid w:val="0"/>
              <w:jc w:val="center"/>
              <w:rPr>
                <w:rFonts w:hint="eastAsia" w:ascii="宋体" w:hAnsi="宋体" w:eastAsia="宋体" w:cs="宋体"/>
                <w:color w:val="auto"/>
                <w:highlight w:val="none"/>
                <w:lang w:eastAsia="zh-CN"/>
              </w:rPr>
            </w:pPr>
            <w:r>
              <w:rPr>
                <w:rFonts w:hint="eastAsia" w:ascii="宋体" w:hAnsi="宋体" w:eastAsia="宋体" w:cs="宋体"/>
                <w:color w:val="auto"/>
                <w:highlight w:val="none"/>
              </w:rPr>
              <w:t>3</w:t>
            </w:r>
          </w:p>
        </w:tc>
        <w:tc>
          <w:tcPr>
            <w:tcW w:w="2346"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39FAA5C4">
            <w:pPr>
              <w:snapToGrid w:val="0"/>
              <w:jc w:val="center"/>
              <w:rPr>
                <w:rFonts w:hint="eastAsia" w:ascii="宋体" w:hAnsi="宋体" w:eastAsia="宋体" w:cs="宋体"/>
                <w:color w:val="auto"/>
                <w:highlight w:val="none"/>
              </w:rPr>
            </w:pPr>
            <w:r>
              <w:rPr>
                <w:rFonts w:hint="eastAsia" w:ascii="宋体" w:hAnsi="宋体" w:eastAsia="宋体" w:cs="宋体"/>
                <w:color w:val="auto"/>
                <w:highlight w:val="none"/>
              </w:rPr>
              <w:t>具有履行合同所必需的设备和专业技术能力；</w:t>
            </w:r>
          </w:p>
        </w:tc>
        <w:tc>
          <w:tcPr>
            <w:tcW w:w="5349"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5F3370EA">
            <w:pPr>
              <w:snapToGrid w:val="0"/>
              <w:jc w:val="both"/>
              <w:rPr>
                <w:rFonts w:hint="eastAsia" w:ascii="宋体" w:hAnsi="宋体" w:eastAsia="宋体" w:cs="宋体"/>
                <w:color w:val="auto"/>
                <w:kern w:val="2"/>
                <w:sz w:val="21"/>
                <w:szCs w:val="24"/>
                <w:highlight w:val="none"/>
                <w:lang w:val="en-US" w:eastAsia="zh-CN" w:bidi="ar-SA"/>
              </w:rPr>
            </w:pPr>
            <w:r>
              <w:rPr>
                <w:rFonts w:hint="eastAsia" w:ascii="宋体" w:hAnsi="宋体" w:eastAsia="宋体" w:cs="宋体"/>
                <w:color w:val="auto"/>
                <w:kern w:val="2"/>
                <w:sz w:val="21"/>
                <w:szCs w:val="24"/>
                <w:highlight w:val="none"/>
                <w:lang w:val="en-US" w:eastAsia="zh-CN" w:bidi="ar-SA"/>
              </w:rPr>
              <w:t>投标文件中提供《资格条件承诺函》。</w:t>
            </w:r>
          </w:p>
        </w:tc>
      </w:tr>
      <w:tr w14:paraId="60E017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6" w:hRule="atLeast"/>
          <w:jc w:val="center"/>
        </w:trPr>
        <w:tc>
          <w:tcPr>
            <w:tcW w:w="677"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65B1BF17">
            <w:pPr>
              <w:widowControl/>
              <w:snapToGrid w:val="0"/>
              <w:jc w:val="center"/>
              <w:rPr>
                <w:rFonts w:hint="eastAsia" w:ascii="宋体" w:hAnsi="宋体" w:eastAsia="宋体" w:cs="宋体"/>
                <w:color w:val="auto"/>
                <w:highlight w:val="none"/>
                <w:lang w:eastAsia="zh-CN"/>
              </w:rPr>
            </w:pPr>
            <w:r>
              <w:rPr>
                <w:rFonts w:hint="eastAsia" w:ascii="宋体" w:hAnsi="宋体" w:eastAsia="宋体" w:cs="宋体"/>
                <w:color w:val="auto"/>
                <w:szCs w:val="21"/>
                <w:highlight w:val="none"/>
              </w:rPr>
              <w:t>4</w:t>
            </w:r>
          </w:p>
        </w:tc>
        <w:tc>
          <w:tcPr>
            <w:tcW w:w="2346"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6F98AD16">
            <w:pPr>
              <w:snapToGrid w:val="0"/>
              <w:jc w:val="center"/>
              <w:rPr>
                <w:rFonts w:hint="eastAsia" w:ascii="宋体" w:hAnsi="宋体" w:eastAsia="宋体" w:cs="宋体"/>
                <w:color w:val="auto"/>
                <w:highlight w:val="none"/>
              </w:rPr>
            </w:pPr>
            <w:r>
              <w:rPr>
                <w:rFonts w:hint="eastAsia" w:ascii="宋体" w:hAnsi="宋体" w:eastAsia="宋体" w:cs="宋体"/>
                <w:color w:val="auto"/>
                <w:highlight w:val="none"/>
              </w:rPr>
              <w:t>有依法缴纳税收和社会保障资金的良好记录；</w:t>
            </w:r>
          </w:p>
        </w:tc>
        <w:tc>
          <w:tcPr>
            <w:tcW w:w="5349"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736026E1">
            <w:pPr>
              <w:snapToGrid w:val="0"/>
              <w:jc w:val="both"/>
              <w:rPr>
                <w:rFonts w:hint="eastAsia" w:ascii="宋体" w:hAnsi="宋体" w:eastAsia="宋体" w:cs="宋体"/>
                <w:color w:val="auto"/>
                <w:kern w:val="2"/>
                <w:sz w:val="21"/>
                <w:szCs w:val="24"/>
                <w:highlight w:val="none"/>
                <w:lang w:val="en-US" w:eastAsia="zh-CN" w:bidi="ar-SA"/>
              </w:rPr>
            </w:pPr>
            <w:r>
              <w:rPr>
                <w:rFonts w:hint="eastAsia" w:ascii="宋体" w:hAnsi="宋体" w:eastAsia="宋体" w:cs="宋体"/>
                <w:color w:val="auto"/>
                <w:kern w:val="2"/>
                <w:sz w:val="21"/>
                <w:szCs w:val="24"/>
                <w:highlight w:val="none"/>
                <w:lang w:val="en-US" w:eastAsia="zh-CN" w:bidi="ar-SA"/>
              </w:rPr>
              <w:t>投标文件中提供《资格条件承诺函》。</w:t>
            </w:r>
          </w:p>
        </w:tc>
      </w:tr>
      <w:tr w14:paraId="7B35E2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2" w:hRule="atLeast"/>
          <w:jc w:val="center"/>
        </w:trPr>
        <w:tc>
          <w:tcPr>
            <w:tcW w:w="677"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5BD38A68">
            <w:pPr>
              <w:widowControl/>
              <w:snapToGrid w:val="0"/>
              <w:jc w:val="center"/>
              <w:rPr>
                <w:rFonts w:hint="eastAsia" w:ascii="宋体" w:hAnsi="宋体" w:eastAsia="宋体" w:cs="宋体"/>
                <w:color w:val="auto"/>
                <w:highlight w:val="none"/>
                <w:lang w:eastAsia="zh-CN"/>
              </w:rPr>
            </w:pPr>
            <w:r>
              <w:rPr>
                <w:rFonts w:hint="eastAsia" w:ascii="宋体" w:hAnsi="宋体" w:eastAsia="宋体" w:cs="宋体"/>
                <w:color w:val="auto"/>
                <w:highlight w:val="none"/>
              </w:rPr>
              <w:t>5</w:t>
            </w:r>
          </w:p>
        </w:tc>
        <w:tc>
          <w:tcPr>
            <w:tcW w:w="2346"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2984CCC2">
            <w:pPr>
              <w:snapToGrid w:val="0"/>
              <w:jc w:val="center"/>
              <w:rPr>
                <w:rFonts w:hint="eastAsia" w:ascii="宋体" w:hAnsi="宋体" w:eastAsia="宋体" w:cs="宋体"/>
                <w:color w:val="auto"/>
                <w:highlight w:val="none"/>
              </w:rPr>
            </w:pPr>
            <w:r>
              <w:rPr>
                <w:rFonts w:hint="eastAsia" w:ascii="宋体" w:hAnsi="宋体" w:eastAsia="宋体" w:cs="宋体"/>
                <w:color w:val="auto"/>
                <w:highlight w:val="none"/>
              </w:rPr>
              <w:t>参加</w:t>
            </w:r>
            <w:r>
              <w:rPr>
                <w:rFonts w:hint="eastAsia" w:ascii="宋体" w:hAnsi="宋体" w:eastAsia="宋体" w:cs="宋体"/>
                <w:color w:val="auto"/>
                <w:highlight w:val="none"/>
                <w:lang w:val="en-US" w:eastAsia="zh-CN"/>
              </w:rPr>
              <w:t>招标</w:t>
            </w:r>
            <w:r>
              <w:rPr>
                <w:rFonts w:hint="eastAsia" w:ascii="宋体" w:hAnsi="宋体" w:eastAsia="宋体" w:cs="宋体"/>
                <w:color w:val="auto"/>
                <w:highlight w:val="none"/>
              </w:rPr>
              <w:t>采购活动前三年内，在经营活动中没有重大违法记录；</w:t>
            </w:r>
          </w:p>
        </w:tc>
        <w:tc>
          <w:tcPr>
            <w:tcW w:w="5349"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6649696D">
            <w:pPr>
              <w:snapToGrid w:val="0"/>
              <w:jc w:val="both"/>
              <w:rPr>
                <w:rFonts w:hint="eastAsia" w:ascii="宋体" w:hAnsi="宋体" w:eastAsia="宋体" w:cs="宋体"/>
                <w:color w:val="auto"/>
                <w:highlight w:val="none"/>
              </w:rPr>
            </w:pPr>
            <w:r>
              <w:rPr>
                <w:rFonts w:hint="eastAsia" w:ascii="宋体" w:hAnsi="宋体" w:eastAsia="宋体" w:cs="宋体"/>
                <w:color w:val="auto"/>
                <w:highlight w:val="none"/>
                <w:lang w:val="en-US" w:eastAsia="zh-CN"/>
              </w:rPr>
              <w:t>投标文件中提供《资格条件承诺函》。重大违法记录，是指投标人因违法经营受到刑事处罚或者责令停产停业、吊销许可证或者执照、较大数额罚款等行政处罚。（根据财库〔2022〕3号文，“较大数额罚款”认定为200万元以上的罚款，法律、行政法规以及国务院有关部门明确规定相关领域“较大数额罚款”标准高于200万元的，从其规定））。</w:t>
            </w:r>
          </w:p>
        </w:tc>
      </w:tr>
      <w:tr w14:paraId="27BEEF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10" w:hRule="atLeast"/>
          <w:jc w:val="center"/>
        </w:trPr>
        <w:tc>
          <w:tcPr>
            <w:tcW w:w="677"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4F189819">
            <w:pPr>
              <w:widowControl/>
              <w:snapToGrid w:val="0"/>
              <w:jc w:val="center"/>
              <w:rPr>
                <w:rFonts w:hint="eastAsia" w:ascii="宋体" w:hAnsi="宋体" w:eastAsia="宋体" w:cs="宋体"/>
                <w:color w:val="auto"/>
                <w:highlight w:val="none"/>
                <w:lang w:val="en-US" w:eastAsia="zh-CN"/>
              </w:rPr>
            </w:pPr>
            <w:r>
              <w:rPr>
                <w:rFonts w:hint="eastAsia" w:ascii="宋体" w:hAnsi="宋体" w:eastAsia="宋体" w:cs="宋体"/>
                <w:color w:val="auto"/>
                <w:highlight w:val="none"/>
              </w:rPr>
              <w:t>6</w:t>
            </w:r>
          </w:p>
        </w:tc>
        <w:tc>
          <w:tcPr>
            <w:tcW w:w="2346"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0CEA7616">
            <w:pPr>
              <w:snapToGrid w:val="0"/>
              <w:jc w:val="center"/>
              <w:rPr>
                <w:rFonts w:hint="default" w:ascii="宋体" w:hAnsi="宋体" w:eastAsia="宋体" w:cs="宋体"/>
                <w:color w:val="auto"/>
                <w:highlight w:val="none"/>
                <w:lang w:val="en-US" w:eastAsia="zh-CN"/>
              </w:rPr>
            </w:pPr>
            <w:r>
              <w:rPr>
                <w:rFonts w:hint="eastAsia" w:ascii="宋体" w:hAnsi="宋体" w:eastAsia="宋体" w:cs="宋体"/>
                <w:color w:val="auto"/>
                <w:highlight w:val="none"/>
              </w:rPr>
              <w:t>法律、行政法规规定的其他条件。</w:t>
            </w:r>
          </w:p>
        </w:tc>
        <w:tc>
          <w:tcPr>
            <w:tcW w:w="5349"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4F6703D3">
            <w:pPr>
              <w:snapToGrid w:val="0"/>
              <w:rPr>
                <w:rFonts w:hint="eastAsia" w:ascii="宋体" w:hAnsi="宋体" w:eastAsia="宋体" w:cs="宋体"/>
                <w:color w:val="auto"/>
                <w:highlight w:val="none"/>
              </w:rPr>
            </w:pPr>
            <w:r>
              <w:rPr>
                <w:rFonts w:hint="eastAsia" w:ascii="宋体" w:hAnsi="宋体" w:eastAsia="宋体" w:cs="宋体"/>
                <w:color w:val="auto"/>
                <w:highlight w:val="none"/>
                <w:lang w:eastAsia="zh-CN"/>
              </w:rPr>
              <w:t>投标人</w:t>
            </w:r>
            <w:r>
              <w:rPr>
                <w:rFonts w:hint="eastAsia" w:ascii="宋体" w:hAnsi="宋体" w:eastAsia="宋体" w:cs="宋体"/>
                <w:color w:val="auto"/>
                <w:highlight w:val="none"/>
              </w:rPr>
              <w:t>未被“信用中国”网站（www.creditchina.gov.cn）列入“记录失信被执行人”、“</w:t>
            </w:r>
            <w:r>
              <w:rPr>
                <w:rFonts w:hint="eastAsia" w:ascii="宋体" w:hAnsi="宋体" w:eastAsia="宋体" w:cs="宋体"/>
                <w:color w:val="auto"/>
                <w:highlight w:val="none"/>
                <w:lang w:val="en-US" w:eastAsia="zh-CN"/>
              </w:rPr>
              <w:t>重大税收违法失信主体</w:t>
            </w:r>
            <w:r>
              <w:rPr>
                <w:rFonts w:hint="eastAsia" w:ascii="宋体" w:hAnsi="宋体" w:eastAsia="宋体" w:cs="宋体"/>
                <w:color w:val="auto"/>
                <w:highlight w:val="none"/>
              </w:rPr>
              <w:t>”、“政府采购严重违法失信行为”中任意一项或多项记录名单；同时，</w:t>
            </w:r>
            <w:r>
              <w:rPr>
                <w:rFonts w:hint="eastAsia" w:ascii="宋体" w:hAnsi="宋体" w:eastAsia="宋体" w:cs="宋体"/>
                <w:color w:val="auto"/>
                <w:highlight w:val="none"/>
                <w:lang w:eastAsia="zh-CN"/>
              </w:rPr>
              <w:t>投标人</w:t>
            </w:r>
            <w:r>
              <w:rPr>
                <w:rFonts w:hint="eastAsia" w:ascii="宋体" w:hAnsi="宋体" w:eastAsia="宋体" w:cs="宋体"/>
                <w:color w:val="auto"/>
                <w:highlight w:val="none"/>
              </w:rPr>
              <w:t>未处于中国政府采购网(www.ccgp.gov.cn)“政府采购严重违法失信行为信息记录”中的禁止参加政府采购活动期间。</w:t>
            </w:r>
          </w:p>
          <w:p w14:paraId="6756AB91">
            <w:pPr>
              <w:snapToGrid w:val="0"/>
              <w:rPr>
                <w:rFonts w:hint="eastAsia" w:ascii="宋体" w:hAnsi="宋体" w:eastAsia="宋体" w:cs="宋体"/>
                <w:color w:val="auto"/>
                <w:highlight w:val="none"/>
              </w:rPr>
            </w:pPr>
            <w:r>
              <w:rPr>
                <w:rFonts w:hint="eastAsia" w:ascii="宋体" w:hAnsi="宋体" w:eastAsia="宋体" w:cs="宋体"/>
                <w:color w:val="auto"/>
                <w:highlight w:val="none"/>
              </w:rPr>
              <w:t>注：以</w:t>
            </w:r>
            <w:r>
              <w:rPr>
                <w:rFonts w:hint="eastAsia" w:ascii="宋体" w:hAnsi="宋体" w:eastAsia="宋体" w:cs="宋体"/>
                <w:color w:val="auto"/>
                <w:highlight w:val="none"/>
                <w:lang w:eastAsia="zh-CN"/>
              </w:rPr>
              <w:t>招标代理机构</w:t>
            </w:r>
            <w:r>
              <w:rPr>
                <w:rFonts w:hint="eastAsia" w:ascii="宋体" w:hAnsi="宋体" w:eastAsia="宋体" w:cs="宋体"/>
                <w:color w:val="auto"/>
                <w:highlight w:val="none"/>
              </w:rPr>
              <w:t>于投标截止时间当天在“信用中国”网站（www.creditchina.gov.cn）及中国政府采购网(www.ccgp.gov.cn)查询结果为准，由</w:t>
            </w:r>
            <w:r>
              <w:rPr>
                <w:rFonts w:hint="eastAsia" w:ascii="宋体" w:hAnsi="宋体" w:eastAsia="宋体" w:cs="宋体"/>
                <w:color w:val="auto"/>
                <w:highlight w:val="none"/>
                <w:lang w:eastAsia="zh-CN"/>
              </w:rPr>
              <w:t>招标代理机构</w:t>
            </w:r>
            <w:r>
              <w:rPr>
                <w:rFonts w:hint="eastAsia" w:ascii="宋体" w:hAnsi="宋体" w:eastAsia="宋体" w:cs="宋体"/>
                <w:color w:val="auto"/>
                <w:highlight w:val="none"/>
              </w:rPr>
              <w:t>打印查询结果提供资格审查，如相关记录信息已失效，</w:t>
            </w:r>
            <w:r>
              <w:rPr>
                <w:rFonts w:hint="eastAsia" w:ascii="宋体" w:hAnsi="宋体" w:eastAsia="宋体" w:cs="宋体"/>
                <w:color w:val="auto"/>
                <w:highlight w:val="none"/>
                <w:lang w:eastAsia="zh-CN"/>
              </w:rPr>
              <w:t>投标人</w:t>
            </w:r>
            <w:r>
              <w:rPr>
                <w:rFonts w:hint="eastAsia" w:ascii="宋体" w:hAnsi="宋体" w:eastAsia="宋体" w:cs="宋体"/>
                <w:color w:val="auto"/>
                <w:highlight w:val="none"/>
              </w:rPr>
              <w:t>必须提供由该记录信息的执行或列入单位出具的相关证明材料。</w:t>
            </w:r>
          </w:p>
        </w:tc>
      </w:tr>
      <w:tr w14:paraId="31CBE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677"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5CDEEEB2">
            <w:pPr>
              <w:snapToGrid w:val="0"/>
              <w:jc w:val="center"/>
              <w:rPr>
                <w:rFonts w:hint="eastAsia" w:ascii="宋体" w:hAnsi="宋体" w:eastAsia="宋体" w:cs="宋体"/>
                <w:color w:val="auto"/>
                <w:highlight w:val="none"/>
                <w:lang w:eastAsia="zh-CN"/>
              </w:rPr>
            </w:pPr>
            <w:r>
              <w:rPr>
                <w:rFonts w:hint="eastAsia" w:ascii="宋体" w:hAnsi="宋体" w:eastAsia="宋体" w:cs="宋体"/>
                <w:color w:val="auto"/>
                <w:highlight w:val="none"/>
              </w:rPr>
              <w:t>7</w:t>
            </w:r>
          </w:p>
        </w:tc>
        <w:tc>
          <w:tcPr>
            <w:tcW w:w="2346"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6D25D00E">
            <w:pPr>
              <w:snapToGrid w:val="0"/>
              <w:jc w:val="center"/>
              <w:rPr>
                <w:rFonts w:hint="eastAsia" w:ascii="宋体" w:hAnsi="宋体" w:eastAsia="宋体" w:cs="宋体"/>
                <w:color w:val="auto"/>
                <w:highlight w:val="none"/>
              </w:rPr>
            </w:pPr>
            <w:r>
              <w:rPr>
                <w:rFonts w:hint="eastAsia" w:ascii="宋体" w:hAnsi="宋体" w:eastAsia="宋体" w:cs="宋体"/>
                <w:color w:val="auto"/>
                <w:highlight w:val="none"/>
              </w:rPr>
              <w:t>关于联合体投标的规定</w:t>
            </w:r>
          </w:p>
        </w:tc>
        <w:tc>
          <w:tcPr>
            <w:tcW w:w="5349"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44C854B9">
            <w:pPr>
              <w:snapToGrid w:val="0"/>
              <w:rPr>
                <w:rFonts w:hint="eastAsia" w:ascii="宋体" w:hAnsi="宋体" w:eastAsia="宋体" w:cs="宋体"/>
                <w:color w:val="auto"/>
                <w:highlight w:val="none"/>
                <w:lang w:eastAsia="zh-CN"/>
              </w:rPr>
            </w:pPr>
            <w:r>
              <w:rPr>
                <w:rFonts w:hint="eastAsia" w:ascii="宋体" w:hAnsi="宋体" w:eastAsia="宋体" w:cs="宋体"/>
                <w:color w:val="auto"/>
                <w:highlight w:val="none"/>
              </w:rPr>
              <w:t>不接受联合体投标</w:t>
            </w:r>
            <w:r>
              <w:rPr>
                <w:rFonts w:hint="eastAsia" w:ascii="宋体" w:hAnsi="宋体" w:eastAsia="宋体" w:cs="宋体"/>
                <w:color w:val="auto"/>
                <w:highlight w:val="none"/>
                <w:lang w:eastAsia="zh-CN"/>
              </w:rPr>
              <w:t>，</w:t>
            </w:r>
            <w:r>
              <w:rPr>
                <w:rFonts w:hint="eastAsia" w:ascii="宋体" w:hAnsi="宋体" w:eastAsia="宋体" w:cs="宋体"/>
                <w:color w:val="auto"/>
                <w:highlight w:val="none"/>
              </w:rPr>
              <w:t>审查</w:t>
            </w:r>
            <w:r>
              <w:rPr>
                <w:rFonts w:hint="eastAsia" w:ascii="宋体" w:hAnsi="宋体" w:eastAsia="宋体" w:cs="宋体"/>
                <w:color w:val="auto"/>
                <w:highlight w:val="none"/>
                <w:lang w:eastAsia="zh-CN"/>
              </w:rPr>
              <w:t>投标人</w:t>
            </w:r>
            <w:r>
              <w:rPr>
                <w:rFonts w:hint="eastAsia" w:ascii="宋体" w:hAnsi="宋体" w:eastAsia="宋体" w:cs="宋体"/>
                <w:color w:val="auto"/>
                <w:highlight w:val="none"/>
              </w:rPr>
              <w:t>是否组成联合体投标</w:t>
            </w:r>
            <w:r>
              <w:rPr>
                <w:rFonts w:hint="eastAsia" w:ascii="宋体" w:hAnsi="宋体" w:eastAsia="宋体" w:cs="宋体"/>
                <w:color w:val="auto"/>
                <w:highlight w:val="none"/>
                <w:lang w:eastAsia="zh-CN"/>
              </w:rPr>
              <w:t>。</w:t>
            </w:r>
          </w:p>
        </w:tc>
      </w:tr>
      <w:tr w14:paraId="033F50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9" w:hRule="atLeast"/>
          <w:jc w:val="center"/>
        </w:trPr>
        <w:tc>
          <w:tcPr>
            <w:tcW w:w="677"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5594DA37">
            <w:pPr>
              <w:snapToGrid w:val="0"/>
              <w:jc w:val="center"/>
              <w:rPr>
                <w:rFonts w:hint="eastAsia" w:ascii="宋体" w:hAnsi="宋体" w:eastAsia="宋体" w:cs="宋体"/>
                <w:color w:val="auto"/>
                <w:highlight w:val="none"/>
                <w:lang w:eastAsia="zh-CN"/>
              </w:rPr>
            </w:pPr>
            <w:r>
              <w:rPr>
                <w:rFonts w:hint="eastAsia" w:ascii="宋体" w:hAnsi="宋体" w:eastAsia="宋体" w:cs="宋体"/>
                <w:color w:val="auto"/>
                <w:highlight w:val="none"/>
                <w:lang w:val="en-US" w:eastAsia="zh-CN"/>
              </w:rPr>
              <w:t>8</w:t>
            </w:r>
          </w:p>
        </w:tc>
        <w:tc>
          <w:tcPr>
            <w:tcW w:w="2346"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4EBF6CCC">
            <w:pPr>
              <w:snapToGrid w:val="0"/>
              <w:jc w:val="center"/>
              <w:rPr>
                <w:rFonts w:hint="eastAsia" w:ascii="宋体" w:hAnsi="宋体" w:eastAsia="宋体" w:cs="宋体"/>
                <w:color w:val="auto"/>
                <w:highlight w:val="none"/>
              </w:rPr>
            </w:pPr>
            <w:r>
              <w:rPr>
                <w:rFonts w:hint="eastAsia" w:ascii="宋体" w:hAnsi="宋体" w:eastAsia="宋体" w:cs="宋体"/>
                <w:color w:val="auto"/>
                <w:szCs w:val="21"/>
                <w:highlight w:val="none"/>
              </w:rPr>
              <w:t>其它资格证明文件</w:t>
            </w:r>
          </w:p>
        </w:tc>
        <w:tc>
          <w:tcPr>
            <w:tcW w:w="5349"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2491D4BA">
            <w:pPr>
              <w:snapToGrid w:val="0"/>
              <w:rPr>
                <w:rFonts w:hint="eastAsia" w:ascii="宋体" w:hAnsi="宋体" w:eastAsia="宋体" w:cs="宋体"/>
                <w:color w:val="auto"/>
                <w:highlight w:val="none"/>
              </w:rPr>
            </w:pPr>
            <w:r>
              <w:rPr>
                <w:rFonts w:hint="eastAsia" w:ascii="宋体" w:hAnsi="宋体" w:eastAsia="宋体" w:cs="宋体"/>
                <w:color w:val="auto"/>
                <w:highlight w:val="none"/>
              </w:rPr>
              <w:t>按《招标文件》招标公告中</w:t>
            </w:r>
            <w:r>
              <w:rPr>
                <w:rFonts w:hint="eastAsia" w:ascii="宋体" w:hAnsi="宋体" w:eastAsia="宋体" w:cs="宋体"/>
                <w:color w:val="auto"/>
                <w:highlight w:val="none"/>
                <w:lang w:eastAsia="zh-CN"/>
              </w:rPr>
              <w:t>投标人</w:t>
            </w:r>
            <w:r>
              <w:rPr>
                <w:rFonts w:hint="eastAsia" w:ascii="宋体" w:hAnsi="宋体" w:eastAsia="宋体" w:cs="宋体"/>
                <w:color w:val="auto"/>
                <w:highlight w:val="none"/>
              </w:rPr>
              <w:t>资格中其他资格证明文件的要求提供证明文件。</w:t>
            </w:r>
          </w:p>
        </w:tc>
      </w:tr>
      <w:tr w14:paraId="6F9E00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677"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7FE653FC">
            <w:pPr>
              <w:snapToGrid w:val="0"/>
              <w:jc w:val="center"/>
              <w:rPr>
                <w:rFonts w:hint="eastAsia" w:ascii="宋体" w:hAnsi="宋体" w:eastAsia="宋体" w:cs="宋体"/>
                <w:color w:val="auto"/>
                <w:highlight w:val="none"/>
              </w:rPr>
            </w:pPr>
          </w:p>
        </w:tc>
        <w:tc>
          <w:tcPr>
            <w:tcW w:w="2346"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7F915A57">
            <w:pPr>
              <w:snapToGrid w:val="0"/>
              <w:jc w:val="center"/>
              <w:rPr>
                <w:rFonts w:hint="eastAsia" w:ascii="宋体" w:hAnsi="宋体" w:eastAsia="宋体" w:cs="宋体"/>
                <w:color w:val="auto"/>
                <w:highlight w:val="none"/>
              </w:rPr>
            </w:pPr>
            <w:r>
              <w:rPr>
                <w:rFonts w:hint="eastAsia" w:ascii="宋体" w:hAnsi="宋体" w:eastAsia="宋体" w:cs="宋体"/>
                <w:color w:val="auto"/>
                <w:highlight w:val="none"/>
              </w:rPr>
              <w:t>结论</w:t>
            </w:r>
          </w:p>
        </w:tc>
        <w:tc>
          <w:tcPr>
            <w:tcW w:w="5349" w:type="dxa"/>
            <w:tcBorders>
              <w:top w:val="single" w:color="000000" w:sz="8" w:space="0"/>
              <w:left w:val="single" w:color="000000" w:sz="8" w:space="0"/>
              <w:bottom w:val="single" w:color="000000" w:sz="8" w:space="0"/>
              <w:right w:val="single" w:color="000000" w:sz="8" w:space="0"/>
            </w:tcBorders>
            <w:shd w:val="clear" w:color="auto" w:fill="FFFFFF"/>
            <w:noWrap w:val="0"/>
            <w:vAlign w:val="top"/>
          </w:tcPr>
          <w:p w14:paraId="43E32DA9">
            <w:pPr>
              <w:pStyle w:val="3"/>
              <w:adjustRightInd w:val="0"/>
              <w:snapToGrid w:val="0"/>
              <w:spacing w:before="0" w:after="0" w:line="240" w:lineRule="auto"/>
              <w:rPr>
                <w:rFonts w:hint="eastAsia" w:ascii="宋体" w:hAnsi="宋体" w:eastAsia="宋体" w:cs="宋体"/>
                <w:color w:val="auto"/>
                <w:sz w:val="21"/>
                <w:szCs w:val="21"/>
                <w:highlight w:val="none"/>
              </w:rPr>
            </w:pPr>
          </w:p>
        </w:tc>
      </w:tr>
    </w:tbl>
    <w:p w14:paraId="6093E3AB">
      <w:pPr>
        <w:snapToGrid w:val="0"/>
        <w:spacing w:line="240" w:lineRule="auto"/>
        <w:rPr>
          <w:rFonts w:hint="eastAsia" w:ascii="宋体" w:hAnsi="宋体" w:eastAsia="宋体" w:cs="宋体"/>
          <w:b/>
          <w:color w:val="auto"/>
          <w:szCs w:val="21"/>
          <w:highlight w:val="none"/>
        </w:rPr>
      </w:pPr>
      <w:r>
        <w:rPr>
          <w:rFonts w:hint="eastAsia" w:ascii="宋体" w:hAnsi="宋体" w:eastAsia="宋体" w:cs="宋体"/>
          <w:color w:val="auto"/>
          <w:highlight w:val="none"/>
        </w:rPr>
        <w:t>注：1、此表内容应当与《招标文件》招标公告中</w:t>
      </w:r>
      <w:r>
        <w:rPr>
          <w:rFonts w:hint="eastAsia" w:ascii="宋体" w:hAnsi="宋体" w:eastAsia="宋体" w:cs="宋体"/>
          <w:color w:val="auto"/>
          <w:highlight w:val="none"/>
          <w:lang w:eastAsia="zh-CN"/>
        </w:rPr>
        <w:t>投标人</w:t>
      </w:r>
      <w:r>
        <w:rPr>
          <w:rFonts w:hint="eastAsia" w:ascii="宋体" w:hAnsi="宋体" w:eastAsia="宋体" w:cs="宋体"/>
          <w:color w:val="auto"/>
          <w:highlight w:val="none"/>
        </w:rPr>
        <w:t>资格的内容一致，如有不一致，应当以《招标文件》招标公告中</w:t>
      </w:r>
      <w:r>
        <w:rPr>
          <w:rFonts w:hint="eastAsia" w:ascii="宋体" w:hAnsi="宋体" w:eastAsia="宋体" w:cs="宋体"/>
          <w:color w:val="auto"/>
          <w:highlight w:val="none"/>
          <w:lang w:eastAsia="zh-CN"/>
        </w:rPr>
        <w:t>投标人</w:t>
      </w:r>
      <w:r>
        <w:rPr>
          <w:rFonts w:hint="eastAsia" w:ascii="宋体" w:hAnsi="宋体" w:eastAsia="宋体" w:cs="宋体"/>
          <w:color w:val="auto"/>
          <w:highlight w:val="none"/>
        </w:rPr>
        <w:t>资格的内容为准。</w:t>
      </w:r>
    </w:p>
    <w:p w14:paraId="4CDADEA7">
      <w:pPr>
        <w:pStyle w:val="16"/>
        <w:widowControl w:val="0"/>
        <w:snapToGrid w:val="0"/>
        <w:spacing w:before="0" w:beforeAutospacing="0" w:after="0" w:afterAutospacing="0" w:line="240" w:lineRule="auto"/>
        <w:ind w:firstLine="420" w:firstLineChars="200"/>
        <w:jc w:val="both"/>
        <w:rPr>
          <w:rFonts w:hint="eastAsia" w:ascii="宋体" w:hAnsi="宋体" w:eastAsia="宋体" w:cs="宋体"/>
          <w:b/>
          <w:color w:val="auto"/>
          <w:kern w:val="2"/>
          <w:sz w:val="28"/>
          <w:szCs w:val="24"/>
          <w:highlight w:val="none"/>
          <w:lang w:val="en-US" w:eastAsia="zh-CN" w:bidi="ar-SA"/>
        </w:rPr>
      </w:pPr>
      <w:r>
        <w:rPr>
          <w:rFonts w:hint="eastAsia"/>
          <w:color w:val="auto"/>
          <w:kern w:val="2"/>
          <w:sz w:val="21"/>
          <w:highlight w:val="none"/>
        </w:rPr>
        <w:t>2、接受联合体投标时，组成联合体的各方均需提供上述资格证明文件。</w:t>
      </w:r>
      <w:r>
        <w:rPr>
          <w:rFonts w:hint="eastAsia"/>
          <w:b/>
          <w:color w:val="auto"/>
          <w:sz w:val="21"/>
          <w:szCs w:val="21"/>
          <w:highlight w:val="none"/>
        </w:rPr>
        <w:br w:type="page"/>
      </w:r>
      <w:r>
        <w:rPr>
          <w:rFonts w:hint="eastAsia" w:ascii="宋体" w:hAnsi="宋体" w:eastAsia="宋体" w:cs="宋体"/>
          <w:b/>
          <w:color w:val="auto"/>
          <w:kern w:val="2"/>
          <w:sz w:val="28"/>
          <w:szCs w:val="24"/>
          <w:highlight w:val="none"/>
          <w:lang w:val="en-US" w:eastAsia="zh-CN" w:bidi="ar-SA"/>
        </w:rPr>
        <w:t>附件2                  符合性审查表</w:t>
      </w:r>
    </w:p>
    <w:tbl>
      <w:tblPr>
        <w:tblStyle w:val="17"/>
        <w:tblW w:w="83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76"/>
        <w:gridCol w:w="2342"/>
        <w:gridCol w:w="5341"/>
      </w:tblGrid>
      <w:tr w14:paraId="5BA8BA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3" w:hRule="atLeast"/>
          <w:jc w:val="center"/>
        </w:trPr>
        <w:tc>
          <w:tcPr>
            <w:tcW w:w="676" w:type="dxa"/>
            <w:vMerge w:val="restart"/>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094A80BD">
            <w:pPr>
              <w:snapToGrid w:val="0"/>
              <w:jc w:val="center"/>
              <w:rPr>
                <w:rFonts w:hint="eastAsia" w:ascii="宋体" w:hAnsi="宋体" w:eastAsia="宋体" w:cs="宋体"/>
                <w:b/>
                <w:bCs/>
                <w:color w:val="auto"/>
                <w:highlight w:val="none"/>
              </w:rPr>
            </w:pPr>
            <w:r>
              <w:rPr>
                <w:rFonts w:hint="eastAsia" w:ascii="宋体" w:hAnsi="宋体" w:eastAsia="宋体" w:cs="宋体"/>
                <w:b/>
                <w:bCs/>
                <w:color w:val="auto"/>
                <w:highlight w:val="none"/>
              </w:rPr>
              <w:t>序号</w:t>
            </w:r>
          </w:p>
        </w:tc>
        <w:tc>
          <w:tcPr>
            <w:tcW w:w="2342" w:type="dxa"/>
            <w:vMerge w:val="restart"/>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24DB702F">
            <w:pPr>
              <w:snapToGrid w:val="0"/>
              <w:jc w:val="center"/>
              <w:rPr>
                <w:rFonts w:hint="eastAsia" w:ascii="宋体" w:hAnsi="宋体" w:eastAsia="宋体" w:cs="宋体"/>
                <w:b/>
                <w:bCs/>
                <w:color w:val="auto"/>
                <w:highlight w:val="none"/>
              </w:rPr>
            </w:pPr>
            <w:r>
              <w:rPr>
                <w:rFonts w:hint="eastAsia" w:ascii="宋体" w:hAnsi="宋体" w:eastAsia="宋体" w:cs="宋体"/>
                <w:b/>
                <w:bCs/>
                <w:color w:val="auto"/>
                <w:highlight w:val="none"/>
              </w:rPr>
              <w:t>审查内容</w:t>
            </w:r>
          </w:p>
        </w:tc>
        <w:tc>
          <w:tcPr>
            <w:tcW w:w="5341" w:type="dxa"/>
            <w:vMerge w:val="restart"/>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25E1AAA7">
            <w:pPr>
              <w:snapToGrid w:val="0"/>
              <w:jc w:val="center"/>
              <w:rPr>
                <w:rFonts w:hint="eastAsia" w:ascii="宋体" w:hAnsi="宋体" w:eastAsia="宋体" w:cs="宋体"/>
                <w:b/>
                <w:bCs/>
                <w:color w:val="auto"/>
                <w:highlight w:val="none"/>
              </w:rPr>
            </w:pPr>
            <w:r>
              <w:rPr>
                <w:rFonts w:hint="eastAsia" w:ascii="宋体" w:hAnsi="宋体" w:eastAsia="宋体" w:cs="宋体"/>
                <w:b/>
                <w:bCs/>
                <w:color w:val="auto"/>
                <w:highlight w:val="none"/>
              </w:rPr>
              <w:t>审查标准</w:t>
            </w:r>
          </w:p>
        </w:tc>
      </w:tr>
      <w:tr w14:paraId="0E8AB0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jc w:val="center"/>
        </w:trPr>
        <w:tc>
          <w:tcPr>
            <w:tcW w:w="676" w:type="dxa"/>
            <w:vMerge w:val="continue"/>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1E2896BC">
            <w:pPr>
              <w:pStyle w:val="3"/>
              <w:adjustRightInd w:val="0"/>
              <w:snapToGrid w:val="0"/>
              <w:spacing w:before="0" w:after="0" w:line="240" w:lineRule="auto"/>
              <w:rPr>
                <w:rFonts w:hint="eastAsia" w:ascii="宋体" w:hAnsi="宋体" w:eastAsia="宋体" w:cs="宋体"/>
                <w:color w:val="auto"/>
                <w:highlight w:val="none"/>
              </w:rPr>
            </w:pPr>
          </w:p>
        </w:tc>
        <w:tc>
          <w:tcPr>
            <w:tcW w:w="2342" w:type="dxa"/>
            <w:vMerge w:val="continue"/>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017792F1">
            <w:pPr>
              <w:pStyle w:val="3"/>
              <w:adjustRightInd w:val="0"/>
              <w:snapToGrid w:val="0"/>
              <w:spacing w:before="0" w:after="0" w:line="240" w:lineRule="auto"/>
              <w:rPr>
                <w:rFonts w:hint="eastAsia" w:ascii="宋体" w:hAnsi="宋体" w:eastAsia="宋体" w:cs="宋体"/>
                <w:color w:val="auto"/>
                <w:sz w:val="21"/>
                <w:szCs w:val="21"/>
                <w:highlight w:val="none"/>
              </w:rPr>
            </w:pPr>
          </w:p>
        </w:tc>
        <w:tc>
          <w:tcPr>
            <w:tcW w:w="5341" w:type="dxa"/>
            <w:vMerge w:val="continue"/>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323F060B">
            <w:pPr>
              <w:pStyle w:val="3"/>
              <w:adjustRightInd w:val="0"/>
              <w:snapToGrid w:val="0"/>
              <w:spacing w:before="0" w:after="0" w:line="240" w:lineRule="auto"/>
              <w:rPr>
                <w:rFonts w:hint="eastAsia" w:ascii="宋体" w:hAnsi="宋体" w:eastAsia="宋体" w:cs="宋体"/>
                <w:color w:val="auto"/>
                <w:sz w:val="21"/>
                <w:szCs w:val="21"/>
                <w:highlight w:val="none"/>
              </w:rPr>
            </w:pPr>
          </w:p>
        </w:tc>
      </w:tr>
      <w:tr w14:paraId="7B42E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6" w:hRule="atLeast"/>
          <w:jc w:val="center"/>
        </w:trPr>
        <w:tc>
          <w:tcPr>
            <w:tcW w:w="676"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66A48C2A">
            <w:pPr>
              <w:snapToGrid w:val="0"/>
              <w:jc w:val="center"/>
              <w:rPr>
                <w:rFonts w:hint="eastAsia" w:ascii="宋体" w:hAnsi="宋体" w:eastAsia="宋体" w:cs="宋体"/>
                <w:color w:val="auto"/>
                <w:highlight w:val="none"/>
              </w:rPr>
            </w:pPr>
            <w:r>
              <w:rPr>
                <w:rFonts w:hint="eastAsia" w:ascii="宋体" w:hAnsi="宋体" w:eastAsia="宋体" w:cs="宋体"/>
                <w:color w:val="auto"/>
                <w:highlight w:val="none"/>
              </w:rPr>
              <w:t>1</w:t>
            </w:r>
          </w:p>
        </w:tc>
        <w:tc>
          <w:tcPr>
            <w:tcW w:w="2342"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3379A6C5">
            <w:pPr>
              <w:snapToGrid w:val="0"/>
              <w:jc w:val="center"/>
              <w:rPr>
                <w:rFonts w:ascii="宋体" w:hAnsi="宋体" w:eastAsia="宋体" w:cs="宋体"/>
                <w:color w:val="auto"/>
                <w:highlight w:val="none"/>
              </w:rPr>
            </w:pPr>
            <w:r>
              <w:rPr>
                <w:rFonts w:hint="eastAsia" w:ascii="宋体" w:hAnsi="宋体" w:eastAsia="宋体" w:cs="宋体"/>
                <w:color w:val="auto"/>
                <w:highlight w:val="none"/>
              </w:rPr>
              <w:t>投标文件的签署、盖章</w:t>
            </w:r>
          </w:p>
        </w:tc>
        <w:tc>
          <w:tcPr>
            <w:tcW w:w="5341"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40919CDE">
            <w:pPr>
              <w:snapToGrid w:val="0"/>
              <w:jc w:val="left"/>
              <w:rPr>
                <w:rFonts w:hint="eastAsia" w:ascii="宋体" w:hAnsi="宋体" w:eastAsia="宋体" w:cs="宋体"/>
                <w:color w:val="auto"/>
                <w:highlight w:val="none"/>
                <w:lang w:eastAsia="zh-CN"/>
              </w:rPr>
            </w:pPr>
            <w:r>
              <w:rPr>
                <w:rFonts w:hint="eastAsia" w:ascii="宋体" w:hAnsi="宋体" w:eastAsia="宋体" w:cs="宋体"/>
                <w:color w:val="auto"/>
                <w:highlight w:val="none"/>
              </w:rPr>
              <w:t>按照《招标文件》中的《投标文件格式范本》编制投标文件，并按规定要求签署、盖章</w:t>
            </w:r>
            <w:r>
              <w:rPr>
                <w:rFonts w:hint="eastAsia" w:ascii="宋体" w:hAnsi="宋体" w:eastAsia="宋体" w:cs="宋体"/>
                <w:color w:val="auto"/>
                <w:highlight w:val="none"/>
                <w:lang w:eastAsia="zh-CN"/>
              </w:rPr>
              <w:t>。</w:t>
            </w:r>
          </w:p>
        </w:tc>
      </w:tr>
      <w:tr w14:paraId="77A16F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6" w:hRule="atLeast"/>
          <w:jc w:val="center"/>
        </w:trPr>
        <w:tc>
          <w:tcPr>
            <w:tcW w:w="676"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3B2241A4">
            <w:pPr>
              <w:widowControl/>
              <w:snapToGrid w:val="0"/>
              <w:jc w:val="center"/>
              <w:rPr>
                <w:rFonts w:hint="eastAsia" w:ascii="宋体" w:hAnsi="宋体" w:eastAsia="宋体" w:cs="宋体"/>
                <w:color w:val="auto"/>
                <w:highlight w:val="none"/>
              </w:rPr>
            </w:pPr>
            <w:r>
              <w:rPr>
                <w:rFonts w:hint="eastAsia" w:ascii="宋体" w:hAnsi="宋体" w:eastAsia="宋体" w:cs="宋体"/>
                <w:color w:val="auto"/>
                <w:highlight w:val="none"/>
              </w:rPr>
              <w:t>2</w:t>
            </w:r>
          </w:p>
        </w:tc>
        <w:tc>
          <w:tcPr>
            <w:tcW w:w="2342"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57C7D4C4">
            <w:pPr>
              <w:snapToGrid w:val="0"/>
              <w:jc w:val="center"/>
              <w:rPr>
                <w:rFonts w:ascii="宋体" w:hAnsi="宋体" w:eastAsia="宋体" w:cs="宋体"/>
                <w:color w:val="auto"/>
                <w:highlight w:val="none"/>
              </w:rPr>
            </w:pPr>
            <w:r>
              <w:rPr>
                <w:rFonts w:hint="eastAsia" w:ascii="宋体" w:hAnsi="宋体" w:eastAsia="宋体" w:cs="宋体"/>
                <w:color w:val="auto"/>
                <w:highlight w:val="none"/>
              </w:rPr>
              <w:t>投标保证金</w:t>
            </w:r>
          </w:p>
        </w:tc>
        <w:tc>
          <w:tcPr>
            <w:tcW w:w="5341"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3650E647">
            <w:pPr>
              <w:snapToGrid w:val="0"/>
              <w:jc w:val="left"/>
              <w:rPr>
                <w:rFonts w:hint="eastAsia" w:ascii="宋体" w:hAnsi="宋体" w:eastAsia="宋体" w:cs="宋体"/>
                <w:color w:val="auto"/>
                <w:highlight w:val="none"/>
                <w:lang w:eastAsia="zh-CN"/>
              </w:rPr>
            </w:pPr>
            <w:r>
              <w:rPr>
                <w:rFonts w:hint="eastAsia" w:ascii="宋体" w:hAnsi="宋体" w:eastAsia="宋体" w:cs="宋体"/>
                <w:color w:val="auto"/>
                <w:highlight w:val="none"/>
              </w:rPr>
              <w:t>按《招标文件》的规定提交投标保证金</w:t>
            </w:r>
            <w:r>
              <w:rPr>
                <w:rFonts w:hint="eastAsia" w:ascii="宋体" w:hAnsi="宋体" w:eastAsia="宋体" w:cs="宋体"/>
                <w:color w:val="auto"/>
                <w:highlight w:val="none"/>
                <w:lang w:eastAsia="zh-CN"/>
              </w:rPr>
              <w:t>。</w:t>
            </w:r>
          </w:p>
        </w:tc>
      </w:tr>
      <w:tr w14:paraId="3300A1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8" w:hRule="atLeast"/>
          <w:jc w:val="center"/>
        </w:trPr>
        <w:tc>
          <w:tcPr>
            <w:tcW w:w="676"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15F00379">
            <w:pPr>
              <w:widowControl/>
              <w:snapToGrid w:val="0"/>
              <w:jc w:val="center"/>
              <w:rPr>
                <w:rFonts w:hint="eastAsia" w:ascii="宋体" w:hAnsi="宋体" w:eastAsia="宋体" w:cs="宋体"/>
                <w:color w:val="auto"/>
                <w:highlight w:val="none"/>
              </w:rPr>
            </w:pPr>
            <w:r>
              <w:rPr>
                <w:rFonts w:hint="eastAsia" w:ascii="宋体" w:hAnsi="宋体" w:eastAsia="宋体" w:cs="宋体"/>
                <w:color w:val="auto"/>
                <w:highlight w:val="none"/>
              </w:rPr>
              <w:t>3</w:t>
            </w:r>
          </w:p>
        </w:tc>
        <w:tc>
          <w:tcPr>
            <w:tcW w:w="2342"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1356DD84">
            <w:pPr>
              <w:snapToGrid w:val="0"/>
              <w:jc w:val="center"/>
              <w:rPr>
                <w:rFonts w:ascii="宋体" w:hAnsi="宋体" w:eastAsia="宋体" w:cs="宋体"/>
                <w:color w:val="auto"/>
                <w:highlight w:val="none"/>
              </w:rPr>
            </w:pPr>
            <w:r>
              <w:rPr>
                <w:rFonts w:hint="eastAsia" w:ascii="宋体" w:hAnsi="宋体" w:eastAsia="宋体" w:cs="宋体"/>
                <w:color w:val="auto"/>
                <w:highlight w:val="none"/>
              </w:rPr>
              <w:t>★实质性响应条款</w:t>
            </w:r>
          </w:p>
        </w:tc>
        <w:tc>
          <w:tcPr>
            <w:tcW w:w="5341"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2097F87A">
            <w:pPr>
              <w:snapToGrid w:val="0"/>
              <w:jc w:val="left"/>
              <w:rPr>
                <w:rFonts w:hint="eastAsia" w:ascii="宋体" w:hAnsi="宋体" w:eastAsia="宋体" w:cs="宋体"/>
                <w:color w:val="auto"/>
                <w:highlight w:val="none"/>
                <w:lang w:eastAsia="zh-CN"/>
              </w:rPr>
            </w:pPr>
            <w:r>
              <w:rPr>
                <w:rFonts w:hint="eastAsia" w:ascii="宋体" w:hAnsi="宋体" w:eastAsia="宋体" w:cs="宋体"/>
                <w:color w:val="auto"/>
                <w:highlight w:val="none"/>
              </w:rPr>
              <w:t>《投标文件》满足《招标文件》中实质性响应条款（即标注★号条款）</w:t>
            </w:r>
            <w:r>
              <w:rPr>
                <w:rFonts w:hint="eastAsia" w:ascii="宋体" w:hAnsi="宋体" w:eastAsia="宋体" w:cs="宋体"/>
                <w:color w:val="auto"/>
                <w:highlight w:val="none"/>
                <w:lang w:eastAsia="zh-CN"/>
              </w:rPr>
              <w:t>。</w:t>
            </w:r>
          </w:p>
        </w:tc>
      </w:tr>
      <w:tr w14:paraId="512624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8" w:hRule="atLeast"/>
          <w:jc w:val="center"/>
        </w:trPr>
        <w:tc>
          <w:tcPr>
            <w:tcW w:w="676"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49EAE8A0">
            <w:pPr>
              <w:widowControl/>
              <w:snapToGrid w:val="0"/>
              <w:jc w:val="center"/>
              <w:rPr>
                <w:rFonts w:hint="eastAsia" w:ascii="宋体" w:hAnsi="宋体" w:eastAsia="宋体" w:cs="宋体"/>
                <w:color w:val="auto"/>
                <w:highlight w:val="none"/>
              </w:rPr>
            </w:pPr>
            <w:r>
              <w:rPr>
                <w:rFonts w:hint="eastAsia" w:ascii="宋体" w:hAnsi="宋体" w:eastAsia="宋体" w:cs="宋体"/>
                <w:color w:val="auto"/>
                <w:szCs w:val="21"/>
                <w:highlight w:val="none"/>
              </w:rPr>
              <w:t>4</w:t>
            </w:r>
          </w:p>
        </w:tc>
        <w:tc>
          <w:tcPr>
            <w:tcW w:w="2342"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16059CDB">
            <w:pPr>
              <w:snapToGrid w:val="0"/>
              <w:jc w:val="center"/>
              <w:rPr>
                <w:rFonts w:hint="eastAsia" w:ascii="宋体" w:hAnsi="宋体" w:eastAsia="宋体" w:cs="宋体"/>
                <w:color w:val="auto"/>
                <w:highlight w:val="none"/>
              </w:rPr>
            </w:pPr>
            <w:r>
              <w:rPr>
                <w:rFonts w:hint="eastAsia" w:ascii="宋体" w:hAnsi="宋体" w:eastAsia="宋体" w:cs="宋体"/>
                <w:color w:val="auto"/>
                <w:highlight w:val="none"/>
              </w:rPr>
              <w:t>投标文件有效期</w:t>
            </w:r>
          </w:p>
        </w:tc>
        <w:tc>
          <w:tcPr>
            <w:tcW w:w="5341"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2965AED4">
            <w:pPr>
              <w:snapToGrid w:val="0"/>
              <w:jc w:val="left"/>
              <w:rPr>
                <w:rFonts w:hint="eastAsia" w:ascii="宋体" w:hAnsi="宋体" w:eastAsia="宋体" w:cs="宋体"/>
                <w:color w:val="auto"/>
                <w:highlight w:val="none"/>
                <w:lang w:eastAsia="zh-CN"/>
              </w:rPr>
            </w:pPr>
            <w:r>
              <w:rPr>
                <w:rFonts w:hint="eastAsia" w:ascii="宋体" w:hAnsi="宋体" w:eastAsia="宋体" w:cs="宋体"/>
                <w:color w:val="auto"/>
                <w:highlight w:val="none"/>
              </w:rPr>
              <w:t>符合招标文件中关于投标文件有效期的要求</w:t>
            </w:r>
            <w:r>
              <w:rPr>
                <w:rFonts w:hint="eastAsia" w:ascii="宋体" w:hAnsi="宋体" w:eastAsia="宋体" w:cs="宋体"/>
                <w:color w:val="auto"/>
                <w:highlight w:val="none"/>
                <w:lang w:eastAsia="zh-CN"/>
              </w:rPr>
              <w:t>。</w:t>
            </w:r>
          </w:p>
        </w:tc>
      </w:tr>
      <w:tr w14:paraId="6B6704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8" w:hRule="atLeast"/>
          <w:jc w:val="center"/>
        </w:trPr>
        <w:tc>
          <w:tcPr>
            <w:tcW w:w="676"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3032E4D6">
            <w:pPr>
              <w:widowControl/>
              <w:snapToGrid w:val="0"/>
              <w:jc w:val="center"/>
              <w:rPr>
                <w:rFonts w:hint="eastAsia" w:ascii="宋体" w:hAnsi="宋体" w:eastAsia="宋体" w:cs="宋体"/>
                <w:color w:val="auto"/>
                <w:highlight w:val="none"/>
              </w:rPr>
            </w:pPr>
            <w:r>
              <w:rPr>
                <w:rFonts w:hint="eastAsia" w:ascii="宋体" w:hAnsi="宋体" w:eastAsia="宋体" w:cs="宋体"/>
                <w:color w:val="auto"/>
                <w:highlight w:val="none"/>
              </w:rPr>
              <w:t>5</w:t>
            </w:r>
          </w:p>
        </w:tc>
        <w:tc>
          <w:tcPr>
            <w:tcW w:w="2342"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05F92F1F">
            <w:pPr>
              <w:snapToGrid w:val="0"/>
              <w:jc w:val="center"/>
              <w:rPr>
                <w:rFonts w:ascii="宋体" w:hAnsi="宋体" w:eastAsia="宋体" w:cs="宋体"/>
                <w:color w:val="auto"/>
                <w:highlight w:val="none"/>
              </w:rPr>
            </w:pPr>
            <w:r>
              <w:rPr>
                <w:rFonts w:hint="eastAsia" w:ascii="宋体" w:hAnsi="宋体" w:eastAsia="宋体" w:cs="宋体"/>
                <w:color w:val="auto"/>
                <w:highlight w:val="none"/>
              </w:rPr>
              <w:t>未出现串通投标情形</w:t>
            </w:r>
          </w:p>
        </w:tc>
        <w:tc>
          <w:tcPr>
            <w:tcW w:w="5341"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13C72E08">
            <w:pPr>
              <w:snapToGrid w:val="0"/>
              <w:jc w:val="left"/>
              <w:rPr>
                <w:rFonts w:ascii="宋体" w:hAnsi="宋体" w:eastAsia="宋体" w:cs="宋体"/>
                <w:color w:val="auto"/>
                <w:highlight w:val="none"/>
              </w:rPr>
            </w:pPr>
            <w:r>
              <w:rPr>
                <w:rFonts w:hint="eastAsia" w:ascii="宋体" w:hAnsi="宋体" w:eastAsia="宋体" w:cs="宋体"/>
                <w:color w:val="auto"/>
                <w:highlight w:val="none"/>
              </w:rPr>
              <w:t>未出现法律、法规所列的视为串通投标情形。</w:t>
            </w:r>
          </w:p>
        </w:tc>
      </w:tr>
      <w:tr w14:paraId="7CB6AF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8" w:hRule="atLeast"/>
          <w:jc w:val="center"/>
        </w:trPr>
        <w:tc>
          <w:tcPr>
            <w:tcW w:w="676"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6E891897">
            <w:pPr>
              <w:widowControl/>
              <w:snapToGrid w:val="0"/>
              <w:jc w:val="center"/>
              <w:rPr>
                <w:rFonts w:hint="eastAsia" w:ascii="宋体" w:hAnsi="宋体" w:eastAsia="宋体" w:cs="宋体"/>
                <w:color w:val="auto"/>
                <w:highlight w:val="none"/>
              </w:rPr>
            </w:pPr>
            <w:r>
              <w:rPr>
                <w:rFonts w:hint="eastAsia" w:ascii="宋体" w:hAnsi="宋体" w:eastAsia="宋体" w:cs="宋体"/>
                <w:color w:val="auto"/>
                <w:highlight w:val="none"/>
              </w:rPr>
              <w:t>6</w:t>
            </w:r>
          </w:p>
        </w:tc>
        <w:tc>
          <w:tcPr>
            <w:tcW w:w="2342"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3871AF42">
            <w:pPr>
              <w:snapToGrid w:val="0"/>
              <w:jc w:val="center"/>
              <w:rPr>
                <w:rFonts w:ascii="宋体" w:hAnsi="宋体" w:eastAsia="宋体" w:cs="宋体"/>
                <w:color w:val="auto"/>
                <w:highlight w:val="none"/>
              </w:rPr>
            </w:pPr>
            <w:r>
              <w:rPr>
                <w:rFonts w:hint="eastAsia" w:ascii="宋体" w:hAnsi="宋体" w:eastAsia="宋体" w:cs="宋体"/>
                <w:color w:val="auto"/>
                <w:highlight w:val="none"/>
              </w:rPr>
              <w:t>其他投标无效情形</w:t>
            </w:r>
          </w:p>
        </w:tc>
        <w:tc>
          <w:tcPr>
            <w:tcW w:w="5341"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2B6CE671">
            <w:pPr>
              <w:snapToGrid w:val="0"/>
              <w:jc w:val="left"/>
              <w:rPr>
                <w:rFonts w:hint="eastAsia" w:ascii="宋体" w:hAnsi="宋体" w:eastAsia="宋体" w:cs="宋体"/>
                <w:color w:val="auto"/>
                <w:highlight w:val="none"/>
              </w:rPr>
            </w:pPr>
            <w:r>
              <w:rPr>
                <w:rFonts w:hint="eastAsia" w:ascii="宋体" w:hAnsi="宋体" w:eastAsia="宋体" w:cs="宋体"/>
                <w:color w:val="auto"/>
                <w:highlight w:val="none"/>
              </w:rPr>
              <w:t>①投标文件含有</w:t>
            </w:r>
            <w:r>
              <w:rPr>
                <w:rFonts w:hint="eastAsia" w:ascii="宋体" w:hAnsi="宋体" w:eastAsia="宋体" w:cs="宋体"/>
                <w:color w:val="auto"/>
                <w:highlight w:val="none"/>
                <w:lang w:eastAsia="zh-CN"/>
              </w:rPr>
              <w:t>招标人</w:t>
            </w:r>
            <w:r>
              <w:rPr>
                <w:rFonts w:hint="eastAsia" w:ascii="宋体" w:hAnsi="宋体" w:eastAsia="宋体" w:cs="宋体"/>
                <w:color w:val="auto"/>
                <w:highlight w:val="none"/>
              </w:rPr>
              <w:t>不能接受的附加条件的；</w:t>
            </w:r>
          </w:p>
          <w:p w14:paraId="059F38C1">
            <w:pPr>
              <w:snapToGrid w:val="0"/>
              <w:jc w:val="left"/>
              <w:rPr>
                <w:rFonts w:hint="eastAsia" w:ascii="宋体" w:hAnsi="宋体" w:eastAsia="宋体" w:cs="宋体"/>
                <w:color w:val="auto"/>
                <w:highlight w:val="none"/>
                <w:lang w:eastAsia="zh-CN"/>
              </w:rPr>
            </w:pPr>
            <w:r>
              <w:rPr>
                <w:rFonts w:hint="eastAsia" w:ascii="宋体" w:hAnsi="宋体" w:eastAsia="宋体" w:cs="宋体"/>
                <w:color w:val="auto"/>
                <w:highlight w:val="none"/>
              </w:rPr>
              <w:t>②属于法律、法规和招标文件规定的其他投标无效情形</w:t>
            </w:r>
            <w:r>
              <w:rPr>
                <w:rFonts w:hint="eastAsia" w:ascii="宋体" w:hAnsi="宋体" w:eastAsia="宋体" w:cs="宋体"/>
                <w:color w:val="auto"/>
                <w:highlight w:val="none"/>
                <w:lang w:eastAsia="zh-CN"/>
              </w:rPr>
              <w:t>。</w:t>
            </w:r>
          </w:p>
        </w:tc>
      </w:tr>
      <w:tr w14:paraId="13A75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7" w:hRule="atLeast"/>
          <w:jc w:val="center"/>
        </w:trPr>
        <w:tc>
          <w:tcPr>
            <w:tcW w:w="676"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688B8D43">
            <w:pPr>
              <w:snapToGrid w:val="0"/>
              <w:jc w:val="center"/>
              <w:rPr>
                <w:rFonts w:hint="eastAsia" w:ascii="宋体" w:hAnsi="宋体" w:eastAsia="宋体" w:cs="宋体"/>
                <w:color w:val="auto"/>
                <w:highlight w:val="none"/>
              </w:rPr>
            </w:pPr>
          </w:p>
        </w:tc>
        <w:tc>
          <w:tcPr>
            <w:tcW w:w="2342" w:type="dxa"/>
            <w:tcBorders>
              <w:top w:val="single" w:color="000000" w:sz="8" w:space="0"/>
              <w:left w:val="single" w:color="000000" w:sz="8" w:space="0"/>
              <w:bottom w:val="single" w:color="000000" w:sz="8" w:space="0"/>
              <w:right w:val="single" w:color="000000" w:sz="8" w:space="0"/>
            </w:tcBorders>
            <w:shd w:val="clear" w:color="auto" w:fill="FFFFFF"/>
            <w:noWrap w:val="0"/>
            <w:vAlign w:val="center"/>
          </w:tcPr>
          <w:p w14:paraId="643C61BD">
            <w:pPr>
              <w:snapToGrid w:val="0"/>
              <w:jc w:val="center"/>
              <w:rPr>
                <w:rFonts w:hint="eastAsia" w:ascii="宋体" w:hAnsi="宋体" w:eastAsia="宋体" w:cs="宋体"/>
                <w:color w:val="auto"/>
                <w:highlight w:val="none"/>
              </w:rPr>
            </w:pPr>
            <w:r>
              <w:rPr>
                <w:rFonts w:hint="eastAsia" w:ascii="宋体" w:hAnsi="宋体" w:eastAsia="宋体" w:cs="宋体"/>
                <w:color w:val="auto"/>
                <w:highlight w:val="none"/>
              </w:rPr>
              <w:t>结论</w:t>
            </w:r>
          </w:p>
        </w:tc>
        <w:tc>
          <w:tcPr>
            <w:tcW w:w="5341" w:type="dxa"/>
            <w:tcBorders>
              <w:top w:val="single" w:color="000000" w:sz="8" w:space="0"/>
              <w:left w:val="single" w:color="000000" w:sz="8" w:space="0"/>
              <w:bottom w:val="single" w:color="000000" w:sz="8" w:space="0"/>
              <w:right w:val="single" w:color="000000" w:sz="8" w:space="0"/>
            </w:tcBorders>
            <w:shd w:val="clear" w:color="auto" w:fill="FFFFFF"/>
            <w:noWrap w:val="0"/>
            <w:vAlign w:val="top"/>
          </w:tcPr>
          <w:p w14:paraId="7BF3BB33">
            <w:pPr>
              <w:pStyle w:val="3"/>
              <w:adjustRightInd w:val="0"/>
              <w:snapToGrid w:val="0"/>
              <w:spacing w:before="0" w:after="0" w:line="240" w:lineRule="auto"/>
              <w:rPr>
                <w:rFonts w:hint="eastAsia" w:ascii="宋体" w:hAnsi="宋体" w:eastAsia="宋体" w:cs="宋体"/>
                <w:color w:val="auto"/>
                <w:sz w:val="21"/>
                <w:szCs w:val="21"/>
                <w:highlight w:val="none"/>
              </w:rPr>
            </w:pPr>
          </w:p>
        </w:tc>
      </w:tr>
    </w:tbl>
    <w:p w14:paraId="095DB687">
      <w:pPr>
        <w:pStyle w:val="16"/>
        <w:widowControl w:val="0"/>
        <w:snapToGrid w:val="0"/>
        <w:spacing w:before="0" w:beforeAutospacing="0" w:after="0" w:afterAutospacing="0"/>
        <w:ind w:left="5903" w:hanging="5903" w:hangingChars="2800"/>
        <w:rPr>
          <w:rFonts w:hint="eastAsia"/>
          <w:b/>
          <w:color w:val="auto"/>
          <w:sz w:val="21"/>
          <w:szCs w:val="21"/>
          <w:highlight w:val="none"/>
        </w:rPr>
      </w:pPr>
    </w:p>
    <w:p w14:paraId="1F5BCCA8">
      <w:pPr>
        <w:pStyle w:val="16"/>
        <w:widowControl w:val="0"/>
        <w:snapToGrid w:val="0"/>
        <w:spacing w:before="0" w:beforeAutospacing="0" w:after="0" w:afterAutospacing="0"/>
        <w:ind w:left="5903" w:hanging="7871" w:hangingChars="2800"/>
        <w:rPr>
          <w:rFonts w:hint="eastAsia"/>
          <w:b/>
          <w:color w:val="auto"/>
          <w:sz w:val="28"/>
          <w:szCs w:val="28"/>
          <w:highlight w:val="none"/>
        </w:rPr>
      </w:pPr>
      <w:r>
        <w:rPr>
          <w:rFonts w:hint="eastAsia"/>
          <w:b/>
          <w:color w:val="auto"/>
          <w:sz w:val="28"/>
          <w:szCs w:val="28"/>
          <w:highlight w:val="none"/>
        </w:rPr>
        <w:br w:type="page"/>
      </w:r>
    </w:p>
    <w:p w14:paraId="5AD7BA2A">
      <w:pPr>
        <w:pStyle w:val="3"/>
        <w:adjustRightInd w:val="0"/>
        <w:snapToGrid w:val="0"/>
        <w:spacing w:before="0" w:after="0" w:line="240" w:lineRule="auto"/>
        <w:jc w:val="left"/>
        <w:rPr>
          <w:rFonts w:hint="eastAsia" w:ascii="宋体" w:hAnsi="宋体" w:eastAsia="宋体" w:cs="宋体"/>
          <w:color w:val="auto"/>
          <w:sz w:val="32"/>
          <w:szCs w:val="32"/>
          <w:highlight w:val="none"/>
        </w:rPr>
      </w:pPr>
      <w:r>
        <w:rPr>
          <w:rFonts w:hint="eastAsia" w:ascii="宋体" w:hAnsi="宋体" w:eastAsia="宋体" w:cs="宋体"/>
          <w:color w:val="auto"/>
          <w:szCs w:val="28"/>
          <w:highlight w:val="none"/>
        </w:rPr>
        <w:t xml:space="preserve">附件3                   </w:t>
      </w:r>
      <w:r>
        <w:rPr>
          <w:rFonts w:hint="eastAsia" w:ascii="宋体" w:hAnsi="宋体" w:eastAsia="宋体" w:cs="宋体"/>
          <w:color w:val="auto"/>
          <w:sz w:val="32"/>
          <w:szCs w:val="32"/>
          <w:highlight w:val="none"/>
        </w:rPr>
        <w:t xml:space="preserve"> 评分细则</w:t>
      </w:r>
    </w:p>
    <w:tbl>
      <w:tblPr>
        <w:tblStyle w:val="17"/>
        <w:tblpPr w:leftFromText="180" w:rightFromText="180" w:vertAnchor="text" w:horzAnchor="margin" w:tblpY="10"/>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18"/>
        <w:gridCol w:w="1279"/>
        <w:gridCol w:w="5218"/>
        <w:gridCol w:w="896"/>
      </w:tblGrid>
      <w:tr w14:paraId="44C2FA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trPr>
        <w:tc>
          <w:tcPr>
            <w:tcW w:w="657" w:type="pct"/>
            <w:tcBorders>
              <w:top w:val="single" w:color="auto" w:sz="4" w:space="0"/>
              <w:left w:val="single" w:color="auto" w:sz="4" w:space="0"/>
              <w:bottom w:val="single" w:color="auto" w:sz="4" w:space="0"/>
              <w:right w:val="single" w:color="auto" w:sz="4" w:space="0"/>
            </w:tcBorders>
            <w:noWrap w:val="0"/>
            <w:vAlign w:val="center"/>
          </w:tcPr>
          <w:p w14:paraId="3BC1A042">
            <w:pPr>
              <w:pStyle w:val="16"/>
              <w:snapToGrid w:val="0"/>
              <w:jc w:val="center"/>
              <w:rPr>
                <w:rFonts w:hint="eastAsia"/>
                <w:color w:val="auto"/>
                <w:kern w:val="2"/>
                <w:sz w:val="21"/>
                <w:szCs w:val="21"/>
              </w:rPr>
            </w:pPr>
            <w:r>
              <w:rPr>
                <w:rFonts w:hint="eastAsia"/>
                <w:color w:val="auto"/>
                <w:kern w:val="2"/>
                <w:sz w:val="21"/>
                <w:szCs w:val="21"/>
              </w:rPr>
              <w:t>项目</w:t>
            </w:r>
          </w:p>
        </w:tc>
        <w:tc>
          <w:tcPr>
            <w:tcW w:w="751" w:type="pct"/>
            <w:tcBorders>
              <w:top w:val="single" w:color="auto" w:sz="4" w:space="0"/>
              <w:left w:val="single" w:color="auto" w:sz="4" w:space="0"/>
              <w:bottom w:val="single" w:color="auto" w:sz="4" w:space="0"/>
              <w:right w:val="single" w:color="auto" w:sz="4" w:space="0"/>
            </w:tcBorders>
            <w:noWrap w:val="0"/>
            <w:vAlign w:val="center"/>
          </w:tcPr>
          <w:p w14:paraId="5F693AC3">
            <w:pPr>
              <w:pStyle w:val="16"/>
              <w:snapToGrid w:val="0"/>
              <w:jc w:val="center"/>
              <w:rPr>
                <w:rFonts w:hint="eastAsia"/>
                <w:color w:val="auto"/>
                <w:kern w:val="2"/>
                <w:sz w:val="21"/>
                <w:szCs w:val="21"/>
              </w:rPr>
            </w:pPr>
            <w:r>
              <w:rPr>
                <w:rFonts w:hint="eastAsia"/>
                <w:color w:val="auto"/>
                <w:kern w:val="2"/>
                <w:sz w:val="21"/>
                <w:szCs w:val="21"/>
              </w:rPr>
              <w:t>分项名称</w:t>
            </w:r>
          </w:p>
        </w:tc>
        <w:tc>
          <w:tcPr>
            <w:tcW w:w="3064" w:type="pct"/>
            <w:tcBorders>
              <w:top w:val="single" w:color="auto" w:sz="4" w:space="0"/>
              <w:left w:val="single" w:color="auto" w:sz="4" w:space="0"/>
              <w:bottom w:val="single" w:color="auto" w:sz="4" w:space="0"/>
              <w:right w:val="single" w:color="auto" w:sz="4" w:space="0"/>
            </w:tcBorders>
            <w:noWrap w:val="0"/>
            <w:vAlign w:val="center"/>
          </w:tcPr>
          <w:p w14:paraId="7472A978">
            <w:pPr>
              <w:pStyle w:val="16"/>
              <w:snapToGrid w:val="0"/>
              <w:jc w:val="center"/>
              <w:rPr>
                <w:rFonts w:hint="eastAsia"/>
                <w:color w:val="auto"/>
                <w:kern w:val="2"/>
                <w:sz w:val="21"/>
                <w:szCs w:val="21"/>
              </w:rPr>
            </w:pPr>
            <w:r>
              <w:rPr>
                <w:rFonts w:hint="eastAsia"/>
                <w:color w:val="auto"/>
                <w:kern w:val="2"/>
                <w:sz w:val="21"/>
                <w:szCs w:val="21"/>
              </w:rPr>
              <w:t>评分标准</w:t>
            </w:r>
          </w:p>
        </w:tc>
        <w:tc>
          <w:tcPr>
            <w:tcW w:w="526" w:type="pct"/>
            <w:tcBorders>
              <w:top w:val="single" w:color="auto" w:sz="4" w:space="0"/>
              <w:left w:val="single" w:color="auto" w:sz="4" w:space="0"/>
              <w:bottom w:val="single" w:color="auto" w:sz="4" w:space="0"/>
              <w:right w:val="single" w:color="auto" w:sz="4" w:space="0"/>
            </w:tcBorders>
            <w:noWrap w:val="0"/>
            <w:vAlign w:val="center"/>
          </w:tcPr>
          <w:p w14:paraId="2534A677">
            <w:pPr>
              <w:pStyle w:val="16"/>
              <w:snapToGrid w:val="0"/>
              <w:jc w:val="center"/>
              <w:rPr>
                <w:rFonts w:hint="eastAsia"/>
                <w:color w:val="auto"/>
                <w:kern w:val="2"/>
                <w:sz w:val="21"/>
                <w:szCs w:val="21"/>
              </w:rPr>
            </w:pPr>
            <w:r>
              <w:rPr>
                <w:rFonts w:hint="eastAsia"/>
                <w:color w:val="auto"/>
                <w:kern w:val="2"/>
                <w:sz w:val="21"/>
                <w:szCs w:val="21"/>
              </w:rPr>
              <w:t>满分</w:t>
            </w:r>
          </w:p>
        </w:tc>
      </w:tr>
      <w:tr w14:paraId="09729C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48" w:hRule="atLeast"/>
        </w:trPr>
        <w:tc>
          <w:tcPr>
            <w:tcW w:w="657" w:type="pct"/>
            <w:tcBorders>
              <w:top w:val="single" w:color="auto" w:sz="4" w:space="0"/>
              <w:left w:val="single" w:color="auto" w:sz="4" w:space="0"/>
              <w:bottom w:val="single" w:color="auto" w:sz="4" w:space="0"/>
              <w:right w:val="single" w:color="auto" w:sz="4" w:space="0"/>
            </w:tcBorders>
            <w:noWrap w:val="0"/>
            <w:vAlign w:val="center"/>
          </w:tcPr>
          <w:p w14:paraId="06B73F4B">
            <w:pPr>
              <w:pStyle w:val="16"/>
              <w:snapToGrid w:val="0"/>
              <w:jc w:val="center"/>
              <w:rPr>
                <w:rFonts w:hint="eastAsia"/>
                <w:color w:val="auto"/>
                <w:kern w:val="2"/>
                <w:sz w:val="21"/>
                <w:szCs w:val="21"/>
              </w:rPr>
            </w:pPr>
            <w:r>
              <w:rPr>
                <w:rFonts w:hint="eastAsia"/>
                <w:color w:val="auto"/>
                <w:kern w:val="2"/>
                <w:sz w:val="21"/>
                <w:szCs w:val="21"/>
              </w:rPr>
              <w:t>价格部分</w:t>
            </w:r>
          </w:p>
          <w:p w14:paraId="509090C3">
            <w:pPr>
              <w:pStyle w:val="16"/>
              <w:snapToGrid w:val="0"/>
              <w:jc w:val="center"/>
              <w:rPr>
                <w:rFonts w:hint="eastAsia"/>
                <w:color w:val="auto"/>
                <w:kern w:val="2"/>
                <w:sz w:val="21"/>
                <w:szCs w:val="21"/>
              </w:rPr>
            </w:pPr>
            <w:r>
              <w:rPr>
                <w:rFonts w:hint="eastAsia"/>
                <w:color w:val="auto"/>
                <w:kern w:val="2"/>
                <w:sz w:val="21"/>
                <w:szCs w:val="21"/>
              </w:rPr>
              <w:t>（</w:t>
            </w:r>
            <w:r>
              <w:rPr>
                <w:rFonts w:hint="eastAsia"/>
                <w:color w:val="auto"/>
                <w:kern w:val="2"/>
                <w:sz w:val="21"/>
                <w:szCs w:val="21"/>
                <w:lang w:val="en-US" w:eastAsia="zh-CN"/>
              </w:rPr>
              <w:t>15</w:t>
            </w:r>
            <w:r>
              <w:rPr>
                <w:rFonts w:hint="eastAsia"/>
                <w:color w:val="auto"/>
                <w:kern w:val="2"/>
                <w:sz w:val="21"/>
                <w:szCs w:val="21"/>
              </w:rPr>
              <w:t>分）</w:t>
            </w:r>
          </w:p>
        </w:tc>
        <w:tc>
          <w:tcPr>
            <w:tcW w:w="751" w:type="pct"/>
            <w:tcBorders>
              <w:top w:val="single" w:color="auto" w:sz="4" w:space="0"/>
              <w:left w:val="single" w:color="auto" w:sz="4" w:space="0"/>
              <w:bottom w:val="single" w:color="auto" w:sz="4" w:space="0"/>
              <w:right w:val="single" w:color="auto" w:sz="4" w:space="0"/>
            </w:tcBorders>
            <w:noWrap w:val="0"/>
            <w:vAlign w:val="center"/>
          </w:tcPr>
          <w:p w14:paraId="2E23EBA3">
            <w:pPr>
              <w:jc w:val="center"/>
              <w:rPr>
                <w:rFonts w:hint="eastAsia" w:ascii="宋体" w:hAnsi="宋体" w:eastAsia="宋体" w:cs="宋体"/>
                <w:color w:val="auto"/>
                <w:szCs w:val="21"/>
              </w:rPr>
            </w:pPr>
            <w:r>
              <w:rPr>
                <w:rFonts w:hint="eastAsia" w:ascii="宋体" w:hAnsi="宋体" w:eastAsia="宋体" w:cs="宋体"/>
                <w:color w:val="auto"/>
                <w:kern w:val="0"/>
                <w:szCs w:val="21"/>
              </w:rPr>
              <w:t>价格评审</w:t>
            </w:r>
          </w:p>
        </w:tc>
        <w:tc>
          <w:tcPr>
            <w:tcW w:w="3064" w:type="pct"/>
            <w:tcBorders>
              <w:top w:val="single" w:color="auto" w:sz="4" w:space="0"/>
              <w:left w:val="single" w:color="auto" w:sz="4" w:space="0"/>
              <w:bottom w:val="single" w:color="auto" w:sz="4" w:space="0"/>
              <w:right w:val="single" w:color="auto" w:sz="4" w:space="0"/>
            </w:tcBorders>
            <w:noWrap w:val="0"/>
            <w:vAlign w:val="center"/>
          </w:tcPr>
          <w:p w14:paraId="57E748B6">
            <w:pPr>
              <w:pageBreakBefore w:val="0"/>
              <w:widowControl w:val="0"/>
              <w:kinsoku/>
              <w:wordWrap/>
              <w:overflowPunct/>
              <w:topLinePunct w:val="0"/>
              <w:autoSpaceDE/>
              <w:autoSpaceDN/>
              <w:bidi w:val="0"/>
              <w:adjustRightInd/>
              <w:snapToGrid/>
              <w:textAlignment w:val="auto"/>
              <w:outlineLvl w:val="9"/>
              <w:rPr>
                <w:rFonts w:hint="eastAsia" w:ascii="宋体" w:hAnsi="宋体" w:eastAsia="宋体" w:cs="宋体"/>
                <w:color w:val="auto"/>
                <w:kern w:val="0"/>
                <w:szCs w:val="21"/>
              </w:rPr>
            </w:pPr>
            <w:r>
              <w:rPr>
                <w:rFonts w:hint="eastAsia" w:ascii="宋体" w:hAnsi="宋体" w:eastAsia="宋体" w:cs="宋体"/>
                <w:color w:val="auto"/>
                <w:kern w:val="0"/>
                <w:szCs w:val="21"/>
              </w:rPr>
              <w:t>1.投标报价错误的处理原则：</w:t>
            </w:r>
          </w:p>
          <w:p w14:paraId="6736FC89">
            <w:pPr>
              <w:pageBreakBefore w:val="0"/>
              <w:widowControl w:val="0"/>
              <w:kinsoku/>
              <w:wordWrap/>
              <w:overflowPunct/>
              <w:topLinePunct w:val="0"/>
              <w:autoSpaceDE/>
              <w:autoSpaceDN/>
              <w:bidi w:val="0"/>
              <w:adjustRightInd/>
              <w:snapToGrid/>
              <w:textAlignment w:val="auto"/>
              <w:outlineLvl w:val="9"/>
              <w:rPr>
                <w:rFonts w:hint="eastAsia" w:ascii="宋体" w:hAnsi="宋体" w:eastAsia="宋体" w:cs="宋体"/>
                <w:color w:val="auto"/>
                <w:kern w:val="0"/>
                <w:szCs w:val="21"/>
              </w:rPr>
            </w:pPr>
            <w:r>
              <w:rPr>
                <w:rFonts w:hint="eastAsia" w:ascii="宋体" w:hAnsi="宋体" w:eastAsia="宋体" w:cs="宋体"/>
                <w:color w:val="auto"/>
                <w:kern w:val="0"/>
                <w:szCs w:val="21"/>
              </w:rPr>
              <w:t>1）投标文件中开标一览表（报价表）内容与投标文件中相应内容不一致的，以开标一览表（报价表）为准；大写金额和小写金额不一致的，以大写金额为准；单价金额小数点或者百分比有明显错位的，以开标一览表的总价为准，并修改单价；总价金额与按单价汇总金额不一致的，以单价金额计算结果为准。同时出现上述两种以上不一致的，按照前款规定的顺序修正。</w:t>
            </w:r>
          </w:p>
          <w:p w14:paraId="63E374C3">
            <w:pPr>
              <w:pageBreakBefore w:val="0"/>
              <w:widowControl w:val="0"/>
              <w:kinsoku/>
              <w:wordWrap/>
              <w:overflowPunct/>
              <w:topLinePunct w:val="0"/>
              <w:autoSpaceDE/>
              <w:autoSpaceDN/>
              <w:bidi w:val="0"/>
              <w:adjustRightInd/>
              <w:snapToGrid/>
              <w:textAlignment w:val="auto"/>
              <w:outlineLvl w:val="9"/>
              <w:rPr>
                <w:rFonts w:hint="eastAsia" w:ascii="宋体" w:hAnsi="宋体" w:eastAsia="宋体" w:cs="宋体"/>
                <w:color w:val="auto"/>
                <w:kern w:val="0"/>
                <w:szCs w:val="21"/>
              </w:rPr>
            </w:pPr>
            <w:r>
              <w:rPr>
                <w:rFonts w:hint="eastAsia" w:ascii="宋体" w:hAnsi="宋体" w:eastAsia="宋体" w:cs="宋体"/>
                <w:color w:val="auto"/>
                <w:kern w:val="0"/>
                <w:szCs w:val="21"/>
                <w:lang w:val="en-US" w:eastAsia="zh-CN"/>
              </w:rPr>
              <w:t>2</w:t>
            </w:r>
            <w:r>
              <w:rPr>
                <w:rFonts w:hint="eastAsia" w:ascii="宋体" w:hAnsi="宋体" w:eastAsia="宋体" w:cs="宋体"/>
                <w:color w:val="auto"/>
                <w:kern w:val="0"/>
                <w:szCs w:val="21"/>
              </w:rPr>
              <w:t>） 以上修正后的报价应当经投标人采用书面形式，并加盖公章，或者由法定代表人或其授权的代表签字确认，并对投标人产生约束力，投标人不确认的，其投标无效。</w:t>
            </w:r>
          </w:p>
          <w:p w14:paraId="09FC31EE">
            <w:pPr>
              <w:pageBreakBefore w:val="0"/>
              <w:widowControl w:val="0"/>
              <w:kinsoku/>
              <w:wordWrap/>
              <w:overflowPunct/>
              <w:topLinePunct w:val="0"/>
              <w:autoSpaceDE/>
              <w:autoSpaceDN/>
              <w:bidi w:val="0"/>
              <w:adjustRightInd/>
              <w:snapToGrid/>
              <w:textAlignment w:val="auto"/>
              <w:outlineLvl w:val="9"/>
              <w:rPr>
                <w:rFonts w:hint="eastAsia" w:ascii="宋体" w:hAnsi="宋体" w:eastAsia="宋体" w:cs="宋体"/>
                <w:color w:val="auto"/>
                <w:kern w:val="0"/>
                <w:szCs w:val="21"/>
              </w:rPr>
            </w:pPr>
            <w:r>
              <w:rPr>
                <w:rFonts w:hint="eastAsia" w:ascii="宋体" w:hAnsi="宋体" w:eastAsia="宋体" w:cs="宋体"/>
                <w:color w:val="auto"/>
                <w:kern w:val="0"/>
                <w:szCs w:val="21"/>
                <w:lang w:val="en-US" w:eastAsia="zh-CN"/>
              </w:rPr>
              <w:t>2</w:t>
            </w:r>
            <w:r>
              <w:rPr>
                <w:rFonts w:hint="eastAsia" w:ascii="宋体" w:hAnsi="宋体" w:eastAsia="宋体" w:cs="宋体"/>
                <w:color w:val="auto"/>
                <w:kern w:val="0"/>
                <w:szCs w:val="21"/>
              </w:rPr>
              <w:t>.评标价的确定：按上述条款的原则校核修正后的价格为评标价。</w:t>
            </w:r>
          </w:p>
          <w:p w14:paraId="3591EE7C">
            <w:pPr>
              <w:pageBreakBefore w:val="0"/>
              <w:widowControl w:val="0"/>
              <w:kinsoku/>
              <w:wordWrap/>
              <w:overflowPunct/>
              <w:topLinePunct w:val="0"/>
              <w:autoSpaceDE/>
              <w:autoSpaceDN/>
              <w:bidi w:val="0"/>
              <w:adjustRightInd/>
              <w:snapToGrid/>
              <w:textAlignment w:val="auto"/>
              <w:outlineLvl w:val="9"/>
              <w:rPr>
                <w:rFonts w:hint="eastAsia" w:ascii="宋体" w:hAnsi="宋体" w:eastAsia="宋体" w:cs="宋体"/>
                <w:color w:val="auto"/>
                <w:kern w:val="0"/>
                <w:szCs w:val="21"/>
              </w:rPr>
            </w:pPr>
            <w:r>
              <w:rPr>
                <w:rFonts w:hint="eastAsia" w:ascii="宋体" w:hAnsi="宋体" w:eastAsia="宋体" w:cs="宋体"/>
                <w:color w:val="auto"/>
                <w:kern w:val="0"/>
                <w:szCs w:val="21"/>
                <w:lang w:val="en-US" w:eastAsia="zh-CN"/>
              </w:rPr>
              <w:t>3</w:t>
            </w:r>
            <w:r>
              <w:rPr>
                <w:rFonts w:hint="eastAsia" w:ascii="宋体" w:hAnsi="宋体" w:eastAsia="宋体" w:cs="宋体"/>
                <w:color w:val="auto"/>
                <w:kern w:val="0"/>
                <w:szCs w:val="21"/>
              </w:rPr>
              <w:t>.计算价格评分：各有效投标人的评标价中，取最高报价作为基准价，各有效投标人的价格评分统一按照下列公式计算：</w:t>
            </w:r>
          </w:p>
          <w:p w14:paraId="0E04BA50">
            <w:pPr>
              <w:pageBreakBefore w:val="0"/>
              <w:widowControl w:val="0"/>
              <w:kinsoku/>
              <w:wordWrap/>
              <w:overflowPunct/>
              <w:topLinePunct w:val="0"/>
              <w:autoSpaceDE/>
              <w:autoSpaceDN/>
              <w:bidi w:val="0"/>
              <w:adjustRightInd/>
              <w:snapToGrid/>
              <w:textAlignment w:val="auto"/>
              <w:outlineLvl w:val="9"/>
              <w:rPr>
                <w:rFonts w:hint="eastAsia" w:ascii="宋体" w:hAnsi="宋体" w:eastAsia="宋体" w:cs="宋体"/>
                <w:color w:val="auto"/>
                <w:kern w:val="0"/>
                <w:szCs w:val="21"/>
              </w:rPr>
            </w:pPr>
            <w:r>
              <w:rPr>
                <w:rFonts w:hint="eastAsia" w:ascii="宋体" w:hAnsi="宋体" w:eastAsia="宋体" w:cs="宋体"/>
                <w:color w:val="auto"/>
                <w:kern w:val="0"/>
                <w:szCs w:val="21"/>
              </w:rPr>
              <w:t>价格评分＝（评标价÷基准价）×价格分权重。</w:t>
            </w:r>
          </w:p>
        </w:tc>
        <w:tc>
          <w:tcPr>
            <w:tcW w:w="526" w:type="pct"/>
            <w:tcBorders>
              <w:top w:val="single" w:color="auto" w:sz="4" w:space="0"/>
              <w:left w:val="single" w:color="auto" w:sz="4" w:space="0"/>
              <w:bottom w:val="single" w:color="auto" w:sz="4" w:space="0"/>
              <w:right w:val="single" w:color="auto" w:sz="4" w:space="0"/>
            </w:tcBorders>
            <w:noWrap w:val="0"/>
            <w:vAlign w:val="center"/>
          </w:tcPr>
          <w:p w14:paraId="66422D77">
            <w:pPr>
              <w:pStyle w:val="16"/>
              <w:snapToGrid w:val="0"/>
              <w:jc w:val="center"/>
              <w:rPr>
                <w:rFonts w:hint="default" w:eastAsia="宋体"/>
                <w:color w:val="auto"/>
                <w:kern w:val="2"/>
                <w:sz w:val="21"/>
                <w:szCs w:val="21"/>
                <w:lang w:val="en-US" w:eastAsia="zh-CN"/>
              </w:rPr>
            </w:pPr>
            <w:r>
              <w:rPr>
                <w:rFonts w:hint="eastAsia"/>
                <w:color w:val="auto"/>
                <w:kern w:val="2"/>
                <w:sz w:val="21"/>
                <w:szCs w:val="21"/>
                <w:lang w:val="en-US" w:eastAsia="zh-CN"/>
              </w:rPr>
              <w:t>15</w:t>
            </w:r>
          </w:p>
        </w:tc>
      </w:tr>
      <w:tr w14:paraId="09A8D4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trPr>
        <w:tc>
          <w:tcPr>
            <w:tcW w:w="657" w:type="pct"/>
            <w:vMerge w:val="restart"/>
            <w:tcBorders>
              <w:top w:val="single" w:color="auto" w:sz="4" w:space="0"/>
              <w:left w:val="single" w:color="auto" w:sz="4" w:space="0"/>
              <w:right w:val="single" w:color="auto" w:sz="4" w:space="0"/>
            </w:tcBorders>
            <w:noWrap w:val="0"/>
            <w:vAlign w:val="center"/>
          </w:tcPr>
          <w:p w14:paraId="36E8236F">
            <w:pPr>
              <w:pStyle w:val="16"/>
              <w:snapToGrid w:val="0"/>
              <w:jc w:val="center"/>
              <w:rPr>
                <w:rFonts w:hint="eastAsia"/>
                <w:color w:val="auto"/>
                <w:sz w:val="21"/>
                <w:szCs w:val="21"/>
              </w:rPr>
            </w:pPr>
            <w:r>
              <w:rPr>
                <w:rFonts w:hint="eastAsia"/>
                <w:color w:val="auto"/>
                <w:sz w:val="21"/>
                <w:szCs w:val="21"/>
              </w:rPr>
              <w:t>技术部分</w:t>
            </w:r>
          </w:p>
          <w:p w14:paraId="3652912C">
            <w:pPr>
              <w:pStyle w:val="16"/>
              <w:snapToGrid w:val="0"/>
              <w:jc w:val="center"/>
              <w:rPr>
                <w:rFonts w:hint="eastAsia"/>
                <w:color w:val="auto"/>
                <w:sz w:val="21"/>
                <w:szCs w:val="21"/>
              </w:rPr>
            </w:pPr>
            <w:r>
              <w:rPr>
                <w:rFonts w:hint="eastAsia"/>
                <w:color w:val="auto"/>
                <w:sz w:val="21"/>
                <w:szCs w:val="21"/>
              </w:rPr>
              <w:t>（</w:t>
            </w:r>
            <w:r>
              <w:rPr>
                <w:rFonts w:hint="eastAsia"/>
                <w:color w:val="auto"/>
                <w:sz w:val="21"/>
                <w:szCs w:val="21"/>
                <w:lang w:val="en-US" w:eastAsia="zh-CN"/>
              </w:rPr>
              <w:t>4</w:t>
            </w:r>
            <w:r>
              <w:rPr>
                <w:rFonts w:hint="eastAsia"/>
                <w:color w:val="auto"/>
                <w:sz w:val="21"/>
                <w:szCs w:val="21"/>
              </w:rPr>
              <w:t>5分）</w:t>
            </w:r>
          </w:p>
        </w:tc>
        <w:tc>
          <w:tcPr>
            <w:tcW w:w="751" w:type="pct"/>
            <w:tcBorders>
              <w:top w:val="single" w:color="auto" w:sz="4" w:space="0"/>
              <w:left w:val="single" w:color="auto" w:sz="4" w:space="0"/>
              <w:right w:val="single" w:color="auto" w:sz="4" w:space="0"/>
            </w:tcBorders>
            <w:noWrap w:val="0"/>
            <w:vAlign w:val="center"/>
          </w:tcPr>
          <w:p w14:paraId="67CB72A9">
            <w:pPr>
              <w:jc w:val="center"/>
              <w:rPr>
                <w:rFonts w:hint="eastAsia" w:ascii="宋体" w:hAnsi="宋体" w:eastAsia="宋体" w:cs="宋体"/>
                <w:color w:val="auto"/>
                <w:kern w:val="0"/>
                <w:szCs w:val="21"/>
              </w:rPr>
            </w:pPr>
            <w:r>
              <w:rPr>
                <w:rFonts w:hint="eastAsia" w:ascii="宋体" w:hAnsi="宋体" w:eastAsia="宋体" w:cs="宋体"/>
                <w:color w:val="auto"/>
                <w:kern w:val="0"/>
                <w:szCs w:val="21"/>
              </w:rPr>
              <w:t>运营服务方案</w:t>
            </w:r>
          </w:p>
        </w:tc>
        <w:tc>
          <w:tcPr>
            <w:tcW w:w="3064" w:type="pct"/>
            <w:tcBorders>
              <w:top w:val="single" w:color="auto" w:sz="4" w:space="0"/>
              <w:left w:val="single" w:color="auto" w:sz="4" w:space="0"/>
              <w:bottom w:val="single" w:color="auto" w:sz="4" w:space="0"/>
              <w:right w:val="single" w:color="auto" w:sz="4" w:space="0"/>
            </w:tcBorders>
            <w:noWrap w:val="0"/>
            <w:vAlign w:val="top"/>
          </w:tcPr>
          <w:p w14:paraId="56196258">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ascii="宋体" w:hAnsi="宋体" w:eastAsia="宋体" w:cs="宋体"/>
                <w:color w:val="auto"/>
                <w:kern w:val="0"/>
                <w:szCs w:val="21"/>
              </w:rPr>
            </w:pPr>
            <w:r>
              <w:rPr>
                <w:rFonts w:ascii="宋体" w:hAnsi="宋体" w:eastAsia="宋体" w:cs="宋体"/>
                <w:color w:val="auto"/>
                <w:kern w:val="0"/>
                <w:szCs w:val="21"/>
              </w:rPr>
              <w:t>根据</w:t>
            </w:r>
            <w:r>
              <w:rPr>
                <w:rFonts w:hint="eastAsia" w:ascii="宋体" w:hAnsi="宋体" w:eastAsia="宋体" w:cs="宋体"/>
                <w:color w:val="auto"/>
                <w:kern w:val="0"/>
                <w:szCs w:val="21"/>
              </w:rPr>
              <w:t>投标人</w:t>
            </w:r>
            <w:r>
              <w:rPr>
                <w:rFonts w:ascii="宋体" w:hAnsi="宋体" w:eastAsia="宋体" w:cs="宋体"/>
                <w:color w:val="auto"/>
                <w:kern w:val="0"/>
                <w:szCs w:val="21"/>
              </w:rPr>
              <w:t>提供的服务方案及相关管理制度（</w:t>
            </w:r>
            <w:r>
              <w:rPr>
                <w:rFonts w:hint="eastAsia" w:ascii="宋体" w:hAnsi="宋体" w:eastAsia="宋体" w:cs="宋体"/>
                <w:color w:val="auto"/>
                <w:kern w:val="0"/>
                <w:szCs w:val="21"/>
              </w:rPr>
              <w:t>包括不限于</w:t>
            </w:r>
            <w:r>
              <w:rPr>
                <w:rFonts w:ascii="宋体" w:hAnsi="宋体" w:eastAsia="宋体" w:cs="宋体"/>
                <w:color w:val="auto"/>
                <w:kern w:val="0"/>
                <w:szCs w:val="21"/>
              </w:rPr>
              <w:t>工作流程、</w:t>
            </w:r>
            <w:r>
              <w:rPr>
                <w:rFonts w:hint="eastAsia" w:eastAsia="宋体" w:cs="宋体"/>
                <w:color w:val="auto"/>
                <w:kern w:val="0"/>
                <w:szCs w:val="21"/>
              </w:rPr>
              <w:t>文明服务、</w:t>
            </w:r>
            <w:r>
              <w:rPr>
                <w:rFonts w:ascii="宋体" w:hAnsi="宋体" w:eastAsia="宋体" w:cs="宋体"/>
                <w:color w:val="auto"/>
                <w:kern w:val="0"/>
                <w:szCs w:val="21"/>
              </w:rPr>
              <w:t>服务供给等）进行评审：</w:t>
            </w:r>
          </w:p>
          <w:p w14:paraId="36868F90">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hint="eastAsia" w:ascii="宋体" w:hAnsi="宋体" w:eastAsia="宋体" w:cs="宋体"/>
                <w:color w:val="auto"/>
                <w:szCs w:val="21"/>
              </w:rPr>
            </w:pPr>
            <w:r>
              <w:rPr>
                <w:rFonts w:hint="eastAsia" w:ascii="宋体" w:hAnsi="宋体" w:eastAsia="宋体" w:cs="宋体"/>
                <w:color w:val="auto"/>
                <w:szCs w:val="21"/>
              </w:rPr>
              <w:t>1</w:t>
            </w:r>
            <w:r>
              <w:rPr>
                <w:rFonts w:hint="eastAsia" w:ascii="宋体" w:hAnsi="宋体" w:eastAsia="宋体" w:cs="宋体"/>
                <w:color w:val="auto"/>
                <w:szCs w:val="21"/>
                <w:lang w:val="en-US" w:eastAsia="zh-CN"/>
              </w:rPr>
              <w:t>.</w:t>
            </w:r>
            <w:r>
              <w:rPr>
                <w:rFonts w:hint="eastAsia" w:eastAsia="宋体" w:cs="宋体"/>
                <w:color w:val="auto"/>
                <w:kern w:val="0"/>
                <w:szCs w:val="21"/>
              </w:rPr>
              <w:t>提供的服务方案详细合理，</w:t>
            </w:r>
            <w:r>
              <w:rPr>
                <w:rFonts w:hint="eastAsia" w:ascii="宋体" w:hAnsi="宋体" w:eastAsia="宋体" w:cs="宋体"/>
                <w:color w:val="auto"/>
                <w:szCs w:val="21"/>
              </w:rPr>
              <w:t>能满足</w:t>
            </w:r>
            <w:r>
              <w:rPr>
                <w:rFonts w:hint="eastAsia" w:ascii="宋体" w:hAnsi="宋体" w:eastAsia="宋体" w:cs="宋体"/>
                <w:color w:val="auto"/>
                <w:szCs w:val="21"/>
                <w:lang w:eastAsia="zh-CN"/>
              </w:rPr>
              <w:t>招标</w:t>
            </w:r>
            <w:r>
              <w:rPr>
                <w:rFonts w:hint="eastAsia" w:ascii="宋体" w:hAnsi="宋体" w:eastAsia="宋体" w:cs="宋体"/>
                <w:color w:val="auto"/>
                <w:szCs w:val="21"/>
              </w:rPr>
              <w:t>要求的</w:t>
            </w:r>
            <w:r>
              <w:rPr>
                <w:rFonts w:hint="eastAsia" w:ascii="宋体" w:hAnsi="宋体" w:eastAsia="宋体" w:cs="宋体"/>
                <w:color w:val="auto"/>
                <w:szCs w:val="21"/>
                <w:lang w:eastAsia="zh-CN"/>
              </w:rPr>
              <w:t>，</w:t>
            </w:r>
            <w:r>
              <w:rPr>
                <w:rFonts w:hint="eastAsia" w:ascii="宋体" w:hAnsi="宋体" w:eastAsia="宋体" w:cs="宋体"/>
                <w:color w:val="auto"/>
                <w:szCs w:val="21"/>
              </w:rPr>
              <w:t>得10分；</w:t>
            </w:r>
          </w:p>
          <w:p w14:paraId="29A13B62">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rFonts w:hint="eastAsia" w:ascii="宋体" w:hAnsi="宋体" w:eastAsia="宋体" w:cs="宋体"/>
                <w:color w:val="auto"/>
                <w:szCs w:val="21"/>
              </w:rPr>
            </w:pPr>
            <w:r>
              <w:rPr>
                <w:rFonts w:hint="eastAsia" w:ascii="宋体" w:hAnsi="宋体" w:eastAsia="宋体" w:cs="宋体"/>
                <w:color w:val="auto"/>
                <w:szCs w:val="21"/>
              </w:rPr>
              <w:t>2</w:t>
            </w:r>
            <w:r>
              <w:rPr>
                <w:rFonts w:hint="eastAsia" w:ascii="宋体" w:hAnsi="宋体" w:eastAsia="宋体" w:cs="宋体"/>
                <w:color w:val="auto"/>
                <w:szCs w:val="21"/>
                <w:lang w:val="en-US" w:eastAsia="zh-CN"/>
              </w:rPr>
              <w:t>.</w:t>
            </w:r>
            <w:r>
              <w:rPr>
                <w:rFonts w:hint="eastAsia" w:eastAsia="宋体" w:cs="宋体"/>
                <w:color w:val="auto"/>
                <w:kern w:val="0"/>
                <w:szCs w:val="21"/>
              </w:rPr>
              <w:t>提供的服务方案详细合理，</w:t>
            </w:r>
            <w:r>
              <w:rPr>
                <w:rFonts w:hint="eastAsia" w:ascii="宋体" w:hAnsi="宋体" w:eastAsia="宋体" w:cs="宋体"/>
                <w:color w:val="auto"/>
                <w:szCs w:val="21"/>
              </w:rPr>
              <w:t>基本满足</w:t>
            </w:r>
            <w:r>
              <w:rPr>
                <w:rFonts w:hint="eastAsia" w:ascii="宋体" w:hAnsi="宋体" w:eastAsia="宋体" w:cs="宋体"/>
                <w:color w:val="auto"/>
                <w:szCs w:val="21"/>
                <w:lang w:eastAsia="zh-CN"/>
              </w:rPr>
              <w:t>招标</w:t>
            </w:r>
            <w:r>
              <w:rPr>
                <w:rFonts w:hint="eastAsia" w:ascii="宋体" w:hAnsi="宋体" w:eastAsia="宋体" w:cs="宋体"/>
                <w:color w:val="auto"/>
                <w:szCs w:val="21"/>
              </w:rPr>
              <w:t>要求</w:t>
            </w:r>
            <w:r>
              <w:rPr>
                <w:rFonts w:hint="eastAsia" w:ascii="宋体" w:hAnsi="宋体" w:eastAsia="宋体" w:cs="宋体"/>
                <w:color w:val="auto"/>
                <w:szCs w:val="21"/>
                <w:lang w:val="en-US" w:eastAsia="zh-CN"/>
              </w:rPr>
              <w:t>的</w:t>
            </w:r>
            <w:r>
              <w:rPr>
                <w:rFonts w:hint="eastAsia" w:ascii="宋体" w:hAnsi="宋体" w:eastAsia="宋体" w:cs="宋体"/>
                <w:color w:val="auto"/>
                <w:szCs w:val="21"/>
                <w:lang w:eastAsia="zh-CN"/>
              </w:rPr>
              <w:t>，</w:t>
            </w:r>
            <w:r>
              <w:rPr>
                <w:rFonts w:hint="eastAsia" w:ascii="宋体" w:hAnsi="宋体" w:eastAsia="宋体" w:cs="宋体"/>
                <w:color w:val="auto"/>
                <w:szCs w:val="21"/>
              </w:rPr>
              <w:t>得7分；</w:t>
            </w:r>
          </w:p>
          <w:p w14:paraId="099B3FA9">
            <w:pPr>
              <w:keepNext w:val="0"/>
              <w:keepLines w:val="0"/>
              <w:pageBreakBefore w:val="0"/>
              <w:widowControl w:val="0"/>
              <w:kinsoku/>
              <w:wordWrap/>
              <w:overflowPunct/>
              <w:topLinePunct w:val="0"/>
              <w:autoSpaceDE/>
              <w:autoSpaceDN/>
              <w:bidi w:val="0"/>
              <w:adjustRightInd/>
              <w:snapToGrid/>
              <w:spacing w:line="240" w:lineRule="auto"/>
              <w:jc w:val="left"/>
              <w:textAlignment w:val="auto"/>
              <w:outlineLvl w:val="9"/>
              <w:rPr>
                <w:color w:val="auto"/>
              </w:rPr>
            </w:pPr>
            <w:r>
              <w:rPr>
                <w:rFonts w:ascii="宋体" w:hAnsi="宋体" w:eastAsia="宋体" w:cs="宋体"/>
                <w:color w:val="auto"/>
                <w:szCs w:val="21"/>
              </w:rPr>
              <w:t>3</w:t>
            </w:r>
            <w:r>
              <w:rPr>
                <w:rFonts w:hint="eastAsia" w:ascii="宋体" w:hAnsi="宋体" w:eastAsia="宋体" w:cs="宋体"/>
                <w:color w:val="auto"/>
                <w:szCs w:val="21"/>
                <w:lang w:val="en-US" w:eastAsia="zh-CN"/>
              </w:rPr>
              <w:t>.</w:t>
            </w:r>
            <w:r>
              <w:rPr>
                <w:rFonts w:hint="eastAsia" w:eastAsia="宋体" w:cs="宋体"/>
                <w:color w:val="auto"/>
                <w:kern w:val="0"/>
                <w:szCs w:val="21"/>
              </w:rPr>
              <w:t>提供的服务方案详细合理，</w:t>
            </w:r>
            <w:r>
              <w:rPr>
                <w:rFonts w:hint="eastAsia" w:ascii="宋体" w:hAnsi="宋体" w:eastAsia="宋体" w:cs="宋体"/>
                <w:color w:val="auto"/>
                <w:szCs w:val="21"/>
                <w:lang w:val="en-US" w:eastAsia="zh-CN"/>
              </w:rPr>
              <w:t>不完全</w:t>
            </w:r>
            <w:r>
              <w:rPr>
                <w:rFonts w:hint="eastAsia" w:ascii="宋体" w:hAnsi="宋体" w:eastAsia="宋体" w:cs="宋体"/>
                <w:color w:val="auto"/>
                <w:szCs w:val="21"/>
              </w:rPr>
              <w:t>满足</w:t>
            </w:r>
            <w:r>
              <w:rPr>
                <w:rFonts w:hint="eastAsia" w:ascii="宋体" w:hAnsi="宋体" w:eastAsia="宋体" w:cs="宋体"/>
                <w:color w:val="auto"/>
                <w:szCs w:val="21"/>
                <w:lang w:eastAsia="zh-CN"/>
              </w:rPr>
              <w:t>招标</w:t>
            </w:r>
            <w:r>
              <w:rPr>
                <w:rFonts w:hint="eastAsia" w:ascii="宋体" w:hAnsi="宋体" w:eastAsia="宋体" w:cs="宋体"/>
                <w:color w:val="auto"/>
                <w:szCs w:val="21"/>
              </w:rPr>
              <w:t>要求的</w:t>
            </w:r>
            <w:r>
              <w:rPr>
                <w:rFonts w:hint="eastAsia" w:ascii="宋体" w:hAnsi="宋体" w:eastAsia="宋体" w:cs="宋体"/>
                <w:color w:val="auto"/>
                <w:szCs w:val="21"/>
                <w:lang w:eastAsia="zh-CN"/>
              </w:rPr>
              <w:t>，</w:t>
            </w:r>
            <w:r>
              <w:rPr>
                <w:rFonts w:hint="eastAsia" w:ascii="宋体" w:hAnsi="宋体" w:eastAsia="宋体" w:cs="宋体"/>
                <w:color w:val="auto"/>
                <w:szCs w:val="21"/>
              </w:rPr>
              <w:t>得4分；</w:t>
            </w:r>
          </w:p>
          <w:p w14:paraId="23661EC3">
            <w:pPr>
              <w:keepNext w:val="0"/>
              <w:keepLines w:val="0"/>
              <w:pageBreakBefore w:val="0"/>
              <w:widowControl w:val="0"/>
              <w:kinsoku/>
              <w:wordWrap/>
              <w:overflowPunct/>
              <w:topLinePunct w:val="0"/>
              <w:autoSpaceDE/>
              <w:autoSpaceDN/>
              <w:bidi w:val="0"/>
              <w:adjustRightInd/>
              <w:snapToGrid/>
              <w:spacing w:before="0" w:after="0" w:line="240" w:lineRule="auto"/>
              <w:jc w:val="both"/>
              <w:textAlignment w:val="auto"/>
              <w:outlineLvl w:val="9"/>
              <w:rPr>
                <w:rFonts w:hint="eastAsia"/>
                <w:color w:val="auto"/>
              </w:rPr>
            </w:pPr>
            <w:r>
              <w:rPr>
                <w:rFonts w:hint="eastAsia" w:ascii="宋体" w:hAnsi="宋体" w:eastAsia="宋体" w:cs="宋体"/>
                <w:b w:val="0"/>
                <w:color w:val="auto"/>
                <w:kern w:val="2"/>
                <w:sz w:val="21"/>
                <w:szCs w:val="21"/>
              </w:rPr>
              <w:t>4</w:t>
            </w:r>
            <w:r>
              <w:rPr>
                <w:rFonts w:hint="eastAsia" w:ascii="宋体" w:hAnsi="宋体" w:eastAsia="宋体" w:cs="宋体"/>
                <w:b w:val="0"/>
                <w:color w:val="auto"/>
                <w:kern w:val="2"/>
                <w:sz w:val="21"/>
                <w:szCs w:val="21"/>
                <w:lang w:val="en-US" w:eastAsia="zh-CN"/>
              </w:rPr>
              <w:t>.</w:t>
            </w:r>
            <w:r>
              <w:rPr>
                <w:rFonts w:hint="eastAsia" w:ascii="宋体" w:hAnsi="宋体" w:eastAsia="宋体" w:cs="宋体"/>
                <w:b w:val="0"/>
                <w:color w:val="auto"/>
                <w:kern w:val="2"/>
                <w:sz w:val="21"/>
                <w:szCs w:val="21"/>
              </w:rPr>
              <w:t>不提供的不得分。</w:t>
            </w:r>
          </w:p>
        </w:tc>
        <w:tc>
          <w:tcPr>
            <w:tcW w:w="526" w:type="pct"/>
            <w:tcBorders>
              <w:top w:val="single" w:color="auto" w:sz="4" w:space="0"/>
              <w:left w:val="single" w:color="auto" w:sz="4" w:space="0"/>
              <w:bottom w:val="single" w:color="auto" w:sz="4" w:space="0"/>
              <w:right w:val="single" w:color="auto" w:sz="4" w:space="0"/>
            </w:tcBorders>
            <w:noWrap w:val="0"/>
            <w:vAlign w:val="center"/>
          </w:tcPr>
          <w:p w14:paraId="52AB745A">
            <w:pPr>
              <w:jc w:val="center"/>
              <w:rPr>
                <w:rFonts w:ascii="宋体" w:hAnsi="宋体" w:eastAsia="宋体" w:cs="宋体"/>
                <w:color w:val="auto"/>
                <w:kern w:val="0"/>
                <w:szCs w:val="21"/>
              </w:rPr>
            </w:pPr>
            <w:r>
              <w:rPr>
                <w:rFonts w:hint="eastAsia" w:ascii="宋体" w:hAnsi="宋体" w:eastAsia="宋体" w:cs="宋体"/>
                <w:color w:val="auto"/>
                <w:kern w:val="0"/>
                <w:szCs w:val="21"/>
              </w:rPr>
              <w:t>10</w:t>
            </w:r>
          </w:p>
        </w:tc>
      </w:tr>
      <w:tr w14:paraId="7A0D2A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trPr>
        <w:tc>
          <w:tcPr>
            <w:tcW w:w="657" w:type="pct"/>
            <w:vMerge w:val="continue"/>
            <w:tcBorders>
              <w:left w:val="single" w:color="auto" w:sz="4" w:space="0"/>
              <w:right w:val="single" w:color="auto" w:sz="4" w:space="0"/>
            </w:tcBorders>
            <w:noWrap w:val="0"/>
            <w:vAlign w:val="center"/>
          </w:tcPr>
          <w:p w14:paraId="336DFDFF">
            <w:pPr>
              <w:pStyle w:val="16"/>
              <w:snapToGrid w:val="0"/>
              <w:jc w:val="center"/>
              <w:rPr>
                <w:rFonts w:hint="eastAsia"/>
                <w:color w:val="auto"/>
                <w:sz w:val="21"/>
                <w:szCs w:val="21"/>
              </w:rPr>
            </w:pPr>
          </w:p>
        </w:tc>
        <w:tc>
          <w:tcPr>
            <w:tcW w:w="751" w:type="pct"/>
            <w:tcBorders>
              <w:top w:val="single" w:color="auto" w:sz="4" w:space="0"/>
              <w:left w:val="single" w:color="auto" w:sz="4" w:space="0"/>
              <w:right w:val="single" w:color="auto" w:sz="4" w:space="0"/>
            </w:tcBorders>
            <w:noWrap w:val="0"/>
            <w:vAlign w:val="center"/>
          </w:tcPr>
          <w:p w14:paraId="20E3CB05">
            <w:pPr>
              <w:jc w:val="center"/>
              <w:rPr>
                <w:rFonts w:hint="eastAsia" w:ascii="宋体" w:hAnsi="宋体" w:eastAsia="宋体" w:cs="宋体"/>
                <w:color w:val="auto"/>
                <w:kern w:val="0"/>
                <w:szCs w:val="21"/>
              </w:rPr>
            </w:pPr>
            <w:r>
              <w:rPr>
                <w:rFonts w:hint="eastAsia" w:ascii="宋体" w:hAnsi="宋体" w:eastAsia="宋体" w:cs="宋体"/>
                <w:color w:val="auto"/>
                <w:kern w:val="0"/>
                <w:szCs w:val="21"/>
              </w:rPr>
              <w:t>项目运营整体规划</w:t>
            </w:r>
          </w:p>
        </w:tc>
        <w:tc>
          <w:tcPr>
            <w:tcW w:w="3064" w:type="pct"/>
            <w:tcBorders>
              <w:top w:val="single" w:color="auto" w:sz="4" w:space="0"/>
              <w:left w:val="single" w:color="auto" w:sz="4" w:space="0"/>
              <w:bottom w:val="single" w:color="auto" w:sz="4" w:space="0"/>
              <w:right w:val="single" w:color="auto" w:sz="4" w:space="0"/>
            </w:tcBorders>
            <w:noWrap w:val="0"/>
            <w:vAlign w:val="top"/>
          </w:tcPr>
          <w:p w14:paraId="24526AB2">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color w:val="auto"/>
                <w:kern w:val="0"/>
                <w:szCs w:val="21"/>
              </w:rPr>
            </w:pPr>
            <w:r>
              <w:rPr>
                <w:rFonts w:hint="eastAsia" w:ascii="宋体" w:hAnsi="宋体" w:eastAsia="宋体" w:cs="宋体"/>
                <w:color w:val="auto"/>
                <w:kern w:val="0"/>
                <w:szCs w:val="21"/>
              </w:rPr>
              <w:t>根据投标人提供的项目整体规划（包括不限于发展规划、专业养老支持、全面运营管理等）进行评审：</w:t>
            </w:r>
          </w:p>
          <w:p w14:paraId="4D327A3C">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宋体" w:hAnsi="宋体" w:eastAsia="宋体" w:cs="宋体"/>
                <w:color w:val="auto"/>
                <w:kern w:val="0"/>
                <w:szCs w:val="21"/>
              </w:rPr>
            </w:pPr>
            <w:r>
              <w:rPr>
                <w:rFonts w:hint="eastAsia" w:ascii="宋体" w:hAnsi="宋体" w:eastAsia="宋体" w:cs="宋体"/>
                <w:color w:val="auto"/>
                <w:kern w:val="0"/>
                <w:szCs w:val="21"/>
              </w:rPr>
              <w:t>1</w:t>
            </w:r>
            <w:r>
              <w:rPr>
                <w:rFonts w:hint="eastAsia" w:ascii="宋体" w:hAnsi="宋体" w:eastAsia="宋体" w:cs="宋体"/>
                <w:color w:val="auto"/>
                <w:kern w:val="0"/>
                <w:szCs w:val="21"/>
                <w:lang w:val="en-US" w:eastAsia="zh-CN"/>
              </w:rPr>
              <w:t>.</w:t>
            </w:r>
            <w:r>
              <w:rPr>
                <w:rFonts w:hint="eastAsia" w:ascii="宋体" w:hAnsi="宋体" w:eastAsia="宋体" w:cs="宋体"/>
                <w:color w:val="auto"/>
                <w:kern w:val="0"/>
                <w:szCs w:val="21"/>
              </w:rPr>
              <w:t>项目运营整体规划</w:t>
            </w:r>
            <w:r>
              <w:rPr>
                <w:rFonts w:hint="eastAsia" w:eastAsia="宋体" w:cs="宋体"/>
                <w:color w:val="auto"/>
                <w:kern w:val="0"/>
                <w:szCs w:val="21"/>
              </w:rPr>
              <w:t>科学合理，可行性高的</w:t>
            </w:r>
            <w:r>
              <w:rPr>
                <w:rFonts w:hint="eastAsia" w:eastAsia="宋体" w:cs="宋体"/>
                <w:color w:val="auto"/>
                <w:kern w:val="0"/>
                <w:szCs w:val="21"/>
                <w:lang w:eastAsia="zh-CN"/>
              </w:rPr>
              <w:t>，</w:t>
            </w:r>
            <w:r>
              <w:rPr>
                <w:rFonts w:hint="eastAsia" w:ascii="宋体" w:hAnsi="宋体" w:eastAsia="宋体" w:cs="宋体"/>
                <w:color w:val="auto"/>
                <w:kern w:val="0"/>
                <w:szCs w:val="21"/>
              </w:rPr>
              <w:t>得</w:t>
            </w:r>
            <w:r>
              <w:rPr>
                <w:rFonts w:hint="eastAsia" w:ascii="宋体" w:hAnsi="宋体" w:eastAsia="宋体" w:cs="宋体"/>
                <w:color w:val="auto"/>
                <w:kern w:val="0"/>
                <w:szCs w:val="21"/>
                <w:lang w:val="en-US" w:eastAsia="zh-CN"/>
              </w:rPr>
              <w:t>10</w:t>
            </w:r>
            <w:r>
              <w:rPr>
                <w:rFonts w:hint="eastAsia" w:ascii="宋体" w:hAnsi="宋体" w:eastAsia="宋体" w:cs="宋体"/>
                <w:color w:val="auto"/>
                <w:kern w:val="0"/>
                <w:szCs w:val="21"/>
              </w:rPr>
              <w:t>分；</w:t>
            </w:r>
          </w:p>
          <w:p w14:paraId="031E0263">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宋体" w:hAnsi="宋体" w:eastAsia="宋体" w:cs="宋体"/>
                <w:color w:val="auto"/>
                <w:kern w:val="0"/>
                <w:szCs w:val="21"/>
              </w:rPr>
            </w:pPr>
            <w:r>
              <w:rPr>
                <w:rFonts w:hint="eastAsia" w:ascii="宋体" w:hAnsi="宋体" w:eastAsia="宋体" w:cs="宋体"/>
                <w:color w:val="auto"/>
                <w:kern w:val="0"/>
                <w:szCs w:val="21"/>
              </w:rPr>
              <w:t>2</w:t>
            </w:r>
            <w:r>
              <w:rPr>
                <w:rFonts w:hint="eastAsia" w:ascii="宋体" w:hAnsi="宋体" w:eastAsia="宋体" w:cs="宋体"/>
                <w:color w:val="auto"/>
                <w:kern w:val="0"/>
                <w:szCs w:val="21"/>
                <w:lang w:val="en-US" w:eastAsia="zh-CN"/>
              </w:rPr>
              <w:t>.</w:t>
            </w:r>
            <w:r>
              <w:rPr>
                <w:rFonts w:hint="eastAsia" w:ascii="宋体" w:hAnsi="宋体" w:eastAsia="宋体" w:cs="宋体"/>
                <w:color w:val="auto"/>
                <w:kern w:val="0"/>
                <w:szCs w:val="21"/>
              </w:rPr>
              <w:t>项目运营整体规划科学合理、可行性较高的</w:t>
            </w:r>
            <w:r>
              <w:rPr>
                <w:rFonts w:hint="eastAsia" w:ascii="宋体" w:hAnsi="宋体" w:eastAsia="宋体" w:cs="宋体"/>
                <w:color w:val="auto"/>
                <w:kern w:val="0"/>
                <w:szCs w:val="21"/>
                <w:lang w:eastAsia="zh-CN"/>
              </w:rPr>
              <w:t>，</w:t>
            </w:r>
            <w:r>
              <w:rPr>
                <w:rFonts w:hint="eastAsia" w:ascii="宋体" w:hAnsi="宋体" w:eastAsia="宋体" w:cs="宋体"/>
                <w:color w:val="auto"/>
                <w:kern w:val="0"/>
                <w:szCs w:val="21"/>
              </w:rPr>
              <w:t>得</w:t>
            </w:r>
            <w:r>
              <w:rPr>
                <w:rFonts w:hint="eastAsia" w:ascii="宋体" w:hAnsi="宋体" w:eastAsia="宋体" w:cs="宋体"/>
                <w:color w:val="auto"/>
                <w:kern w:val="0"/>
                <w:szCs w:val="21"/>
                <w:lang w:val="en-US" w:eastAsia="zh-CN"/>
              </w:rPr>
              <w:t>7</w:t>
            </w:r>
            <w:r>
              <w:rPr>
                <w:rFonts w:hint="eastAsia" w:ascii="宋体" w:hAnsi="宋体" w:eastAsia="宋体" w:cs="宋体"/>
                <w:color w:val="auto"/>
                <w:kern w:val="0"/>
                <w:szCs w:val="21"/>
              </w:rPr>
              <w:t>分；</w:t>
            </w:r>
          </w:p>
          <w:p w14:paraId="1ED28190">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宋体" w:hAnsi="宋体" w:eastAsia="宋体" w:cs="宋体"/>
                <w:color w:val="auto"/>
                <w:kern w:val="0"/>
                <w:szCs w:val="21"/>
              </w:rPr>
            </w:pPr>
            <w:r>
              <w:rPr>
                <w:rFonts w:hint="eastAsia" w:ascii="宋体" w:hAnsi="宋体" w:eastAsia="宋体" w:cs="宋体"/>
                <w:color w:val="auto"/>
                <w:kern w:val="0"/>
                <w:szCs w:val="21"/>
              </w:rPr>
              <w:t>3</w:t>
            </w:r>
            <w:r>
              <w:rPr>
                <w:rFonts w:hint="eastAsia" w:ascii="宋体" w:hAnsi="宋体" w:eastAsia="宋体" w:cs="宋体"/>
                <w:color w:val="auto"/>
                <w:kern w:val="0"/>
                <w:szCs w:val="21"/>
                <w:lang w:val="en-US" w:eastAsia="zh-CN"/>
              </w:rPr>
              <w:t>.</w:t>
            </w:r>
            <w:r>
              <w:rPr>
                <w:rFonts w:hint="eastAsia" w:ascii="宋体" w:hAnsi="宋体" w:eastAsia="宋体" w:cs="宋体"/>
                <w:color w:val="auto"/>
                <w:kern w:val="0"/>
                <w:szCs w:val="21"/>
              </w:rPr>
              <w:t>项目运营整体规划合理、可行性一般的</w:t>
            </w:r>
            <w:r>
              <w:rPr>
                <w:rFonts w:hint="eastAsia" w:ascii="宋体" w:hAnsi="宋体" w:eastAsia="宋体" w:cs="宋体"/>
                <w:color w:val="auto"/>
                <w:kern w:val="0"/>
                <w:szCs w:val="21"/>
                <w:lang w:eastAsia="zh-CN"/>
              </w:rPr>
              <w:t>，</w:t>
            </w:r>
            <w:r>
              <w:rPr>
                <w:rFonts w:hint="eastAsia" w:ascii="宋体" w:hAnsi="宋体" w:eastAsia="宋体" w:cs="宋体"/>
                <w:color w:val="auto"/>
                <w:kern w:val="0"/>
                <w:szCs w:val="21"/>
              </w:rPr>
              <w:t>得</w:t>
            </w:r>
            <w:r>
              <w:rPr>
                <w:rFonts w:hint="eastAsia" w:ascii="宋体" w:hAnsi="宋体" w:eastAsia="宋体" w:cs="宋体"/>
                <w:color w:val="auto"/>
                <w:kern w:val="0"/>
                <w:szCs w:val="21"/>
                <w:lang w:val="en-US" w:eastAsia="zh-CN"/>
              </w:rPr>
              <w:t>4</w:t>
            </w:r>
            <w:r>
              <w:rPr>
                <w:rFonts w:hint="eastAsia" w:ascii="宋体" w:hAnsi="宋体" w:eastAsia="宋体" w:cs="宋体"/>
                <w:color w:val="auto"/>
                <w:kern w:val="0"/>
                <w:szCs w:val="21"/>
              </w:rPr>
              <w:t>分；</w:t>
            </w:r>
          </w:p>
          <w:p w14:paraId="4288978C">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宋体" w:hAnsi="宋体" w:eastAsia="宋体" w:cs="宋体"/>
                <w:color w:val="auto"/>
                <w:kern w:val="0"/>
                <w:szCs w:val="21"/>
              </w:rPr>
            </w:pPr>
            <w:r>
              <w:rPr>
                <w:rFonts w:hint="eastAsia" w:ascii="宋体" w:hAnsi="宋体" w:eastAsia="宋体" w:cs="宋体"/>
                <w:color w:val="auto"/>
                <w:kern w:val="0"/>
                <w:szCs w:val="21"/>
              </w:rPr>
              <w:t>4</w:t>
            </w:r>
            <w:r>
              <w:rPr>
                <w:rFonts w:hint="eastAsia" w:ascii="宋体" w:hAnsi="宋体" w:eastAsia="宋体" w:cs="宋体"/>
                <w:color w:val="auto"/>
                <w:kern w:val="0"/>
                <w:szCs w:val="21"/>
                <w:lang w:val="en-US" w:eastAsia="zh-CN"/>
              </w:rPr>
              <w:t>.</w:t>
            </w:r>
            <w:r>
              <w:rPr>
                <w:rFonts w:hint="eastAsia" w:ascii="宋体" w:hAnsi="宋体" w:eastAsia="宋体" w:cs="宋体"/>
                <w:color w:val="auto"/>
                <w:kern w:val="0"/>
                <w:szCs w:val="21"/>
              </w:rPr>
              <w:t>不提供的不得分。</w:t>
            </w:r>
          </w:p>
        </w:tc>
        <w:tc>
          <w:tcPr>
            <w:tcW w:w="526" w:type="pct"/>
            <w:tcBorders>
              <w:top w:val="single" w:color="auto" w:sz="4" w:space="0"/>
              <w:left w:val="single" w:color="auto" w:sz="4" w:space="0"/>
              <w:bottom w:val="single" w:color="auto" w:sz="4" w:space="0"/>
              <w:right w:val="single" w:color="auto" w:sz="4" w:space="0"/>
            </w:tcBorders>
            <w:noWrap w:val="0"/>
            <w:vAlign w:val="center"/>
          </w:tcPr>
          <w:p w14:paraId="7B90C728">
            <w:pPr>
              <w:pStyle w:val="16"/>
              <w:snapToGrid w:val="0"/>
              <w:jc w:val="center"/>
              <w:rPr>
                <w:rFonts w:hint="default" w:eastAsia="宋体"/>
                <w:color w:val="auto"/>
                <w:sz w:val="21"/>
                <w:szCs w:val="21"/>
                <w:lang w:val="en-US" w:eastAsia="zh-CN"/>
              </w:rPr>
            </w:pPr>
            <w:r>
              <w:rPr>
                <w:rFonts w:hint="eastAsia"/>
                <w:color w:val="auto"/>
                <w:sz w:val="21"/>
                <w:szCs w:val="21"/>
                <w:lang w:val="en-US" w:eastAsia="zh-CN"/>
              </w:rPr>
              <w:t>10</w:t>
            </w:r>
          </w:p>
        </w:tc>
      </w:tr>
      <w:tr w14:paraId="3BBC08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trPr>
        <w:tc>
          <w:tcPr>
            <w:tcW w:w="657" w:type="pct"/>
            <w:vMerge w:val="continue"/>
            <w:tcBorders>
              <w:left w:val="single" w:color="auto" w:sz="4" w:space="0"/>
              <w:right w:val="single" w:color="auto" w:sz="4" w:space="0"/>
            </w:tcBorders>
            <w:noWrap w:val="0"/>
            <w:vAlign w:val="center"/>
          </w:tcPr>
          <w:p w14:paraId="6F0173CF">
            <w:pPr>
              <w:pStyle w:val="16"/>
              <w:snapToGrid w:val="0"/>
              <w:jc w:val="center"/>
              <w:rPr>
                <w:rFonts w:hint="eastAsia"/>
                <w:color w:val="auto"/>
                <w:sz w:val="21"/>
                <w:szCs w:val="21"/>
              </w:rPr>
            </w:pPr>
          </w:p>
        </w:tc>
        <w:tc>
          <w:tcPr>
            <w:tcW w:w="751" w:type="pct"/>
            <w:tcBorders>
              <w:top w:val="single" w:color="auto" w:sz="4" w:space="0"/>
              <w:left w:val="single" w:color="auto" w:sz="4" w:space="0"/>
              <w:right w:val="single" w:color="auto" w:sz="4" w:space="0"/>
            </w:tcBorders>
            <w:noWrap w:val="0"/>
            <w:vAlign w:val="center"/>
          </w:tcPr>
          <w:p w14:paraId="3AA7BD34">
            <w:pPr>
              <w:jc w:val="center"/>
              <w:rPr>
                <w:rFonts w:hint="eastAsia" w:ascii="宋体" w:hAnsi="宋体" w:eastAsia="宋体" w:cs="宋体"/>
                <w:color w:val="auto"/>
                <w:kern w:val="0"/>
                <w:szCs w:val="21"/>
              </w:rPr>
            </w:pPr>
            <w:r>
              <w:rPr>
                <w:rFonts w:hint="eastAsia" w:ascii="宋体" w:hAnsi="宋体" w:eastAsia="宋体" w:cs="宋体"/>
                <w:color w:val="auto"/>
                <w:kern w:val="0"/>
                <w:szCs w:val="21"/>
              </w:rPr>
              <w:t>管理制度</w:t>
            </w:r>
          </w:p>
        </w:tc>
        <w:tc>
          <w:tcPr>
            <w:tcW w:w="3064" w:type="pct"/>
            <w:tcBorders>
              <w:top w:val="single" w:color="auto" w:sz="4" w:space="0"/>
              <w:left w:val="single" w:color="auto" w:sz="4" w:space="0"/>
              <w:bottom w:val="single" w:color="auto" w:sz="4" w:space="0"/>
              <w:right w:val="single" w:color="auto" w:sz="4" w:space="0"/>
            </w:tcBorders>
            <w:noWrap w:val="0"/>
            <w:vAlign w:val="top"/>
          </w:tcPr>
          <w:p w14:paraId="2A82555D">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ascii="宋体" w:hAnsi="宋体" w:eastAsia="宋体" w:cs="宋体"/>
                <w:color w:val="auto"/>
                <w:kern w:val="0"/>
                <w:szCs w:val="21"/>
              </w:rPr>
            </w:pPr>
            <w:r>
              <w:rPr>
                <w:rFonts w:ascii="宋体" w:hAnsi="宋体" w:eastAsia="宋体" w:cs="宋体"/>
                <w:color w:val="auto"/>
                <w:kern w:val="0"/>
                <w:szCs w:val="21"/>
              </w:rPr>
              <w:t>根据</w:t>
            </w:r>
            <w:r>
              <w:rPr>
                <w:rFonts w:hint="eastAsia" w:ascii="宋体" w:hAnsi="宋体" w:eastAsia="宋体" w:cs="宋体"/>
                <w:color w:val="auto"/>
                <w:kern w:val="0"/>
                <w:szCs w:val="21"/>
              </w:rPr>
              <w:t>投标人</w:t>
            </w:r>
            <w:r>
              <w:rPr>
                <w:rFonts w:ascii="宋体" w:hAnsi="宋体" w:eastAsia="宋体" w:cs="宋体"/>
                <w:color w:val="auto"/>
                <w:kern w:val="0"/>
                <w:szCs w:val="21"/>
              </w:rPr>
              <w:t>提供的服务方案及相关管理制度（</w:t>
            </w:r>
            <w:r>
              <w:rPr>
                <w:rFonts w:hint="eastAsia" w:ascii="宋体" w:hAnsi="宋体" w:eastAsia="宋体" w:cs="宋体"/>
                <w:color w:val="auto"/>
                <w:kern w:val="0"/>
                <w:szCs w:val="21"/>
              </w:rPr>
              <w:t>包括不限于</w:t>
            </w:r>
            <w:r>
              <w:rPr>
                <w:rFonts w:ascii="宋体" w:hAnsi="宋体" w:eastAsia="宋体" w:cs="宋体"/>
                <w:color w:val="auto"/>
                <w:kern w:val="0"/>
                <w:szCs w:val="21"/>
              </w:rPr>
              <w:t>组织架构、人员分工、规章制度等）进行评审：</w:t>
            </w:r>
          </w:p>
          <w:p w14:paraId="0E331081">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color w:val="auto"/>
                <w:kern w:val="0"/>
                <w:szCs w:val="21"/>
              </w:rPr>
            </w:pPr>
            <w:r>
              <w:rPr>
                <w:rFonts w:hint="eastAsia" w:ascii="宋体" w:hAnsi="宋体" w:eastAsia="宋体" w:cs="宋体"/>
                <w:color w:val="auto"/>
                <w:kern w:val="0"/>
                <w:szCs w:val="21"/>
              </w:rPr>
              <w:t>1</w:t>
            </w:r>
            <w:r>
              <w:rPr>
                <w:rFonts w:hint="eastAsia" w:ascii="宋体" w:hAnsi="宋体" w:eastAsia="宋体" w:cs="宋体"/>
                <w:color w:val="auto"/>
                <w:kern w:val="0"/>
                <w:szCs w:val="21"/>
                <w:lang w:val="en-US" w:eastAsia="zh-CN"/>
              </w:rPr>
              <w:t>.</w:t>
            </w:r>
            <w:r>
              <w:rPr>
                <w:rFonts w:hint="eastAsia" w:ascii="宋体" w:hAnsi="宋体" w:eastAsia="宋体" w:cs="宋体"/>
                <w:color w:val="auto"/>
                <w:kern w:val="0"/>
                <w:szCs w:val="21"/>
              </w:rPr>
              <w:t>管理制度完善、合理、针对性强的</w:t>
            </w:r>
            <w:r>
              <w:rPr>
                <w:rFonts w:hint="eastAsia" w:ascii="宋体" w:hAnsi="宋体" w:eastAsia="宋体" w:cs="宋体"/>
                <w:color w:val="auto"/>
                <w:kern w:val="0"/>
                <w:szCs w:val="21"/>
                <w:lang w:eastAsia="zh-CN"/>
              </w:rPr>
              <w:t>，</w:t>
            </w:r>
            <w:r>
              <w:rPr>
                <w:rFonts w:hint="eastAsia" w:ascii="宋体" w:hAnsi="宋体" w:eastAsia="宋体" w:cs="宋体"/>
                <w:color w:val="auto"/>
                <w:kern w:val="0"/>
                <w:szCs w:val="21"/>
              </w:rPr>
              <w:t>得</w:t>
            </w:r>
            <w:r>
              <w:rPr>
                <w:rFonts w:hint="eastAsia" w:ascii="宋体" w:hAnsi="宋体" w:eastAsia="宋体" w:cs="宋体"/>
                <w:color w:val="auto"/>
                <w:kern w:val="0"/>
                <w:szCs w:val="21"/>
                <w:lang w:val="en-US" w:eastAsia="zh-CN"/>
              </w:rPr>
              <w:t>10</w:t>
            </w:r>
            <w:r>
              <w:rPr>
                <w:rFonts w:hint="eastAsia" w:ascii="宋体" w:hAnsi="宋体" w:eastAsia="宋体" w:cs="宋体"/>
                <w:color w:val="auto"/>
                <w:kern w:val="0"/>
                <w:szCs w:val="21"/>
              </w:rPr>
              <w:t>分</w:t>
            </w:r>
          </w:p>
          <w:p w14:paraId="5EE50B7B">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color w:val="auto"/>
                <w:kern w:val="0"/>
                <w:szCs w:val="21"/>
              </w:rPr>
            </w:pPr>
            <w:r>
              <w:rPr>
                <w:rFonts w:hint="eastAsia" w:ascii="宋体" w:hAnsi="宋体" w:eastAsia="宋体" w:cs="宋体"/>
                <w:color w:val="auto"/>
                <w:kern w:val="0"/>
                <w:szCs w:val="21"/>
              </w:rPr>
              <w:t>2</w:t>
            </w:r>
            <w:r>
              <w:rPr>
                <w:rFonts w:hint="eastAsia" w:ascii="宋体" w:hAnsi="宋体" w:eastAsia="宋体" w:cs="宋体"/>
                <w:color w:val="auto"/>
                <w:kern w:val="0"/>
                <w:szCs w:val="21"/>
                <w:lang w:val="en-US" w:eastAsia="zh-CN"/>
              </w:rPr>
              <w:t>.</w:t>
            </w:r>
            <w:r>
              <w:rPr>
                <w:rFonts w:hint="eastAsia" w:ascii="宋体" w:hAnsi="宋体" w:eastAsia="宋体" w:cs="宋体"/>
                <w:color w:val="auto"/>
                <w:kern w:val="0"/>
                <w:szCs w:val="21"/>
              </w:rPr>
              <w:t>管理制度完善、合理、针对性较强的</w:t>
            </w:r>
            <w:r>
              <w:rPr>
                <w:rFonts w:hint="eastAsia" w:ascii="宋体" w:hAnsi="宋体" w:eastAsia="宋体" w:cs="宋体"/>
                <w:color w:val="auto"/>
                <w:kern w:val="0"/>
                <w:szCs w:val="21"/>
                <w:lang w:eastAsia="zh-CN"/>
              </w:rPr>
              <w:t>，</w:t>
            </w:r>
            <w:r>
              <w:rPr>
                <w:rFonts w:hint="eastAsia" w:ascii="宋体" w:hAnsi="宋体" w:eastAsia="宋体" w:cs="宋体"/>
                <w:color w:val="auto"/>
                <w:kern w:val="0"/>
                <w:szCs w:val="21"/>
              </w:rPr>
              <w:t>得</w:t>
            </w:r>
            <w:r>
              <w:rPr>
                <w:rFonts w:hint="eastAsia" w:ascii="宋体" w:hAnsi="宋体" w:eastAsia="宋体" w:cs="宋体"/>
                <w:color w:val="auto"/>
                <w:kern w:val="0"/>
                <w:szCs w:val="21"/>
                <w:lang w:val="en-US" w:eastAsia="zh-CN"/>
              </w:rPr>
              <w:t>7</w:t>
            </w:r>
            <w:r>
              <w:rPr>
                <w:rFonts w:hint="eastAsia" w:ascii="宋体" w:hAnsi="宋体" w:eastAsia="宋体" w:cs="宋体"/>
                <w:color w:val="auto"/>
                <w:kern w:val="0"/>
                <w:szCs w:val="21"/>
              </w:rPr>
              <w:t>分</w:t>
            </w:r>
          </w:p>
          <w:p w14:paraId="40932154">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color w:val="auto"/>
                <w:kern w:val="0"/>
                <w:szCs w:val="21"/>
              </w:rPr>
            </w:pPr>
            <w:r>
              <w:rPr>
                <w:rFonts w:hint="eastAsia" w:ascii="宋体" w:hAnsi="宋体" w:eastAsia="宋体" w:cs="宋体"/>
                <w:color w:val="auto"/>
                <w:kern w:val="0"/>
                <w:szCs w:val="21"/>
              </w:rPr>
              <w:t>3</w:t>
            </w:r>
            <w:r>
              <w:rPr>
                <w:rFonts w:hint="eastAsia" w:ascii="宋体" w:hAnsi="宋体" w:eastAsia="宋体" w:cs="宋体"/>
                <w:color w:val="auto"/>
                <w:kern w:val="0"/>
                <w:szCs w:val="21"/>
                <w:lang w:val="en-US" w:eastAsia="zh-CN"/>
              </w:rPr>
              <w:t>.</w:t>
            </w:r>
            <w:r>
              <w:rPr>
                <w:rFonts w:hint="eastAsia" w:ascii="宋体" w:hAnsi="宋体" w:eastAsia="宋体" w:cs="宋体"/>
                <w:color w:val="auto"/>
                <w:kern w:val="0"/>
                <w:szCs w:val="21"/>
              </w:rPr>
              <w:t>管理制度完善、合理、针对性一般的</w:t>
            </w:r>
            <w:r>
              <w:rPr>
                <w:rFonts w:hint="eastAsia" w:ascii="宋体" w:hAnsi="宋体" w:eastAsia="宋体" w:cs="宋体"/>
                <w:color w:val="auto"/>
                <w:kern w:val="0"/>
                <w:szCs w:val="21"/>
                <w:lang w:eastAsia="zh-CN"/>
              </w:rPr>
              <w:t>，</w:t>
            </w:r>
            <w:r>
              <w:rPr>
                <w:rFonts w:hint="eastAsia" w:ascii="宋体" w:hAnsi="宋体" w:eastAsia="宋体" w:cs="宋体"/>
                <w:color w:val="auto"/>
                <w:kern w:val="0"/>
                <w:szCs w:val="21"/>
              </w:rPr>
              <w:t>得</w:t>
            </w:r>
            <w:r>
              <w:rPr>
                <w:rFonts w:hint="eastAsia" w:ascii="宋体" w:hAnsi="宋体" w:eastAsia="宋体" w:cs="宋体"/>
                <w:color w:val="auto"/>
                <w:kern w:val="0"/>
                <w:szCs w:val="21"/>
                <w:lang w:val="en-US" w:eastAsia="zh-CN"/>
              </w:rPr>
              <w:t>4</w:t>
            </w:r>
            <w:r>
              <w:rPr>
                <w:rFonts w:hint="eastAsia" w:ascii="宋体" w:hAnsi="宋体" w:eastAsia="宋体" w:cs="宋体"/>
                <w:color w:val="auto"/>
                <w:kern w:val="0"/>
                <w:szCs w:val="21"/>
              </w:rPr>
              <w:t>分</w:t>
            </w:r>
          </w:p>
          <w:p w14:paraId="76E5316E">
            <w:pPr>
              <w:keepNext w:val="0"/>
              <w:keepLines w:val="0"/>
              <w:pageBreakBefore w:val="0"/>
              <w:widowControl w:val="0"/>
              <w:kinsoku/>
              <w:wordWrap/>
              <w:overflowPunct/>
              <w:topLinePunct w:val="0"/>
              <w:autoSpaceDE/>
              <w:autoSpaceDN/>
              <w:bidi w:val="0"/>
              <w:adjustRightInd/>
              <w:snapToGrid/>
              <w:spacing w:line="240" w:lineRule="auto"/>
              <w:jc w:val="left"/>
              <w:textAlignment w:val="auto"/>
              <w:rPr>
                <w:color w:val="auto"/>
              </w:rPr>
            </w:pPr>
            <w:r>
              <w:rPr>
                <w:rFonts w:hint="eastAsia" w:ascii="宋体" w:hAnsi="宋体" w:eastAsia="宋体" w:cs="宋体"/>
                <w:color w:val="auto"/>
                <w:kern w:val="0"/>
                <w:szCs w:val="21"/>
              </w:rPr>
              <w:t>4</w:t>
            </w:r>
            <w:r>
              <w:rPr>
                <w:rFonts w:hint="eastAsia" w:ascii="宋体" w:hAnsi="宋体" w:eastAsia="宋体" w:cs="宋体"/>
                <w:color w:val="auto"/>
                <w:kern w:val="0"/>
                <w:szCs w:val="21"/>
                <w:lang w:val="en-US" w:eastAsia="zh-CN"/>
              </w:rPr>
              <w:t>.</w:t>
            </w:r>
            <w:r>
              <w:rPr>
                <w:rFonts w:hint="eastAsia" w:ascii="宋体" w:hAnsi="宋体" w:eastAsia="宋体" w:cs="宋体"/>
                <w:color w:val="auto"/>
                <w:kern w:val="0"/>
                <w:szCs w:val="21"/>
              </w:rPr>
              <w:t>不提供的不得分。</w:t>
            </w:r>
          </w:p>
        </w:tc>
        <w:tc>
          <w:tcPr>
            <w:tcW w:w="526" w:type="pct"/>
            <w:tcBorders>
              <w:top w:val="single" w:color="auto" w:sz="4" w:space="0"/>
              <w:left w:val="single" w:color="auto" w:sz="4" w:space="0"/>
              <w:bottom w:val="single" w:color="auto" w:sz="4" w:space="0"/>
              <w:right w:val="single" w:color="auto" w:sz="4" w:space="0"/>
            </w:tcBorders>
            <w:noWrap w:val="0"/>
            <w:vAlign w:val="center"/>
          </w:tcPr>
          <w:p w14:paraId="4E6C9928">
            <w:pPr>
              <w:jc w:val="center"/>
              <w:rPr>
                <w:rFonts w:hint="default" w:ascii="宋体" w:hAnsi="宋体" w:eastAsia="宋体" w:cs="宋体"/>
                <w:color w:val="auto"/>
                <w:kern w:val="0"/>
                <w:szCs w:val="21"/>
                <w:lang w:val="en-US" w:eastAsia="zh-CN"/>
              </w:rPr>
            </w:pPr>
            <w:r>
              <w:rPr>
                <w:rFonts w:hint="eastAsia" w:ascii="宋体" w:hAnsi="宋体" w:eastAsia="宋体" w:cs="宋体"/>
                <w:color w:val="auto"/>
                <w:kern w:val="0"/>
                <w:szCs w:val="21"/>
                <w:lang w:val="en-US" w:eastAsia="zh-CN"/>
              </w:rPr>
              <w:t>10</w:t>
            </w:r>
          </w:p>
        </w:tc>
      </w:tr>
      <w:tr w14:paraId="694BF6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trPr>
        <w:tc>
          <w:tcPr>
            <w:tcW w:w="657" w:type="pct"/>
            <w:vMerge w:val="continue"/>
            <w:tcBorders>
              <w:left w:val="single" w:color="auto" w:sz="4" w:space="0"/>
              <w:right w:val="single" w:color="auto" w:sz="4" w:space="0"/>
            </w:tcBorders>
            <w:noWrap w:val="0"/>
            <w:vAlign w:val="center"/>
          </w:tcPr>
          <w:p w14:paraId="6FA8834A">
            <w:pPr>
              <w:pStyle w:val="16"/>
              <w:snapToGrid w:val="0"/>
              <w:jc w:val="center"/>
              <w:rPr>
                <w:rFonts w:hint="eastAsia"/>
                <w:color w:val="auto"/>
                <w:sz w:val="21"/>
                <w:szCs w:val="21"/>
              </w:rPr>
            </w:pPr>
          </w:p>
        </w:tc>
        <w:tc>
          <w:tcPr>
            <w:tcW w:w="751" w:type="pct"/>
            <w:tcBorders>
              <w:top w:val="single" w:color="auto" w:sz="4" w:space="0"/>
              <w:left w:val="single" w:color="auto" w:sz="4" w:space="0"/>
              <w:right w:val="single" w:color="auto" w:sz="4" w:space="0"/>
            </w:tcBorders>
            <w:noWrap w:val="0"/>
            <w:vAlign w:val="center"/>
          </w:tcPr>
          <w:p w14:paraId="1B33BFA9">
            <w:pPr>
              <w:jc w:val="center"/>
              <w:rPr>
                <w:rFonts w:ascii="宋体" w:hAnsi="宋体" w:eastAsia="宋体" w:cs="宋体"/>
                <w:color w:val="auto"/>
                <w:kern w:val="0"/>
                <w:szCs w:val="21"/>
              </w:rPr>
            </w:pPr>
            <w:r>
              <w:rPr>
                <w:rFonts w:hint="eastAsia" w:ascii="宋体" w:hAnsi="宋体" w:eastAsia="宋体" w:cs="宋体"/>
                <w:color w:val="auto"/>
                <w:kern w:val="0"/>
                <w:szCs w:val="21"/>
              </w:rPr>
              <w:t>应急措施预案</w:t>
            </w:r>
          </w:p>
        </w:tc>
        <w:tc>
          <w:tcPr>
            <w:tcW w:w="3064" w:type="pct"/>
            <w:tcBorders>
              <w:top w:val="single" w:color="auto" w:sz="4" w:space="0"/>
              <w:left w:val="single" w:color="auto" w:sz="4" w:space="0"/>
              <w:bottom w:val="single" w:color="auto" w:sz="4" w:space="0"/>
              <w:right w:val="single" w:color="auto" w:sz="4" w:space="0"/>
            </w:tcBorders>
            <w:noWrap w:val="0"/>
            <w:vAlign w:val="top"/>
          </w:tcPr>
          <w:p w14:paraId="00FEC6D1">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宋体" w:hAnsi="宋体" w:eastAsia="宋体" w:cs="宋体"/>
                <w:color w:val="auto"/>
                <w:kern w:val="0"/>
                <w:szCs w:val="21"/>
              </w:rPr>
            </w:pPr>
            <w:r>
              <w:rPr>
                <w:rFonts w:hint="eastAsia" w:ascii="宋体" w:hAnsi="宋体" w:eastAsia="宋体" w:cs="宋体"/>
                <w:color w:val="auto"/>
                <w:kern w:val="0"/>
                <w:szCs w:val="21"/>
              </w:rPr>
              <w:t>根据投标人制定的</w:t>
            </w:r>
            <w:r>
              <w:rPr>
                <w:rFonts w:ascii="宋体" w:hAnsi="宋体" w:eastAsia="宋体" w:cs="宋体"/>
                <w:color w:val="auto"/>
                <w:kern w:val="0"/>
                <w:szCs w:val="21"/>
              </w:rPr>
              <w:t>应急</w:t>
            </w:r>
            <w:r>
              <w:rPr>
                <w:rFonts w:hint="eastAsia" w:ascii="宋体" w:hAnsi="宋体" w:eastAsia="宋体" w:cs="宋体"/>
                <w:color w:val="auto"/>
                <w:kern w:val="0"/>
                <w:szCs w:val="21"/>
              </w:rPr>
              <w:t>措施预案（包括不限于发生疑似食物中毒事件的处理、发生火灾紧急事件等）进行评审：</w:t>
            </w:r>
          </w:p>
          <w:p w14:paraId="0979469B">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宋体" w:hAnsi="宋体" w:eastAsia="宋体" w:cs="宋体"/>
                <w:color w:val="auto"/>
                <w:kern w:val="0"/>
                <w:szCs w:val="21"/>
              </w:rPr>
            </w:pPr>
            <w:r>
              <w:rPr>
                <w:rFonts w:hint="eastAsia" w:ascii="宋体" w:hAnsi="宋体" w:eastAsia="宋体" w:cs="宋体"/>
                <w:color w:val="auto"/>
                <w:kern w:val="0"/>
                <w:szCs w:val="21"/>
              </w:rPr>
              <w:t>1</w:t>
            </w:r>
            <w:r>
              <w:rPr>
                <w:rFonts w:hint="eastAsia" w:ascii="宋体" w:hAnsi="宋体" w:eastAsia="宋体" w:cs="宋体"/>
                <w:color w:val="auto"/>
                <w:kern w:val="0"/>
                <w:szCs w:val="21"/>
                <w:lang w:val="en-US" w:eastAsia="zh-CN"/>
              </w:rPr>
              <w:t>.</w:t>
            </w:r>
            <w:r>
              <w:rPr>
                <w:rFonts w:hint="eastAsia" w:ascii="宋体" w:hAnsi="宋体" w:eastAsia="宋体" w:cs="宋体"/>
                <w:color w:val="auto"/>
                <w:kern w:val="0"/>
                <w:szCs w:val="21"/>
              </w:rPr>
              <w:t>提供的应急措施预案安全科学、突发事件的处理措施可行的</w:t>
            </w:r>
            <w:r>
              <w:rPr>
                <w:rFonts w:hint="eastAsia" w:ascii="宋体" w:hAnsi="宋体" w:eastAsia="宋体" w:cs="宋体"/>
                <w:color w:val="auto"/>
                <w:kern w:val="0"/>
                <w:szCs w:val="21"/>
                <w:lang w:eastAsia="zh-CN"/>
              </w:rPr>
              <w:t>，</w:t>
            </w:r>
            <w:r>
              <w:rPr>
                <w:rFonts w:hint="eastAsia" w:ascii="宋体" w:hAnsi="宋体" w:eastAsia="宋体" w:cs="宋体"/>
                <w:color w:val="auto"/>
                <w:kern w:val="0"/>
                <w:szCs w:val="21"/>
              </w:rPr>
              <w:t>得</w:t>
            </w:r>
            <w:r>
              <w:rPr>
                <w:rFonts w:hint="eastAsia" w:ascii="宋体" w:hAnsi="宋体" w:eastAsia="宋体" w:cs="宋体"/>
                <w:color w:val="auto"/>
                <w:kern w:val="0"/>
                <w:szCs w:val="21"/>
                <w:lang w:val="en-US" w:eastAsia="zh-CN"/>
              </w:rPr>
              <w:t>8</w:t>
            </w:r>
            <w:r>
              <w:rPr>
                <w:rFonts w:hint="eastAsia" w:ascii="宋体" w:hAnsi="宋体" w:eastAsia="宋体" w:cs="宋体"/>
                <w:color w:val="auto"/>
                <w:kern w:val="0"/>
                <w:szCs w:val="21"/>
              </w:rPr>
              <w:t>分。</w:t>
            </w:r>
          </w:p>
          <w:p w14:paraId="69E94FD8">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宋体" w:hAnsi="宋体" w:eastAsia="宋体" w:cs="宋体"/>
                <w:color w:val="auto"/>
                <w:kern w:val="0"/>
                <w:szCs w:val="21"/>
              </w:rPr>
            </w:pPr>
            <w:r>
              <w:rPr>
                <w:rFonts w:hint="eastAsia" w:ascii="宋体" w:hAnsi="宋体" w:eastAsia="宋体" w:cs="宋体"/>
                <w:color w:val="auto"/>
                <w:kern w:val="0"/>
                <w:szCs w:val="21"/>
              </w:rPr>
              <w:t>2</w:t>
            </w:r>
            <w:r>
              <w:rPr>
                <w:rFonts w:hint="eastAsia" w:ascii="宋体" w:hAnsi="宋体" w:eastAsia="宋体" w:cs="宋体"/>
                <w:color w:val="auto"/>
                <w:kern w:val="0"/>
                <w:szCs w:val="21"/>
                <w:lang w:val="en-US" w:eastAsia="zh-CN"/>
              </w:rPr>
              <w:t>.</w:t>
            </w:r>
            <w:r>
              <w:rPr>
                <w:rFonts w:hint="eastAsia" w:ascii="宋体" w:hAnsi="宋体" w:eastAsia="宋体" w:cs="宋体"/>
                <w:color w:val="auto"/>
                <w:kern w:val="0"/>
                <w:szCs w:val="21"/>
              </w:rPr>
              <w:t>提供的应急措施预案安全科学、突发事件的处理措施基本可行的</w:t>
            </w:r>
            <w:r>
              <w:rPr>
                <w:rFonts w:hint="eastAsia" w:ascii="宋体" w:hAnsi="宋体" w:eastAsia="宋体" w:cs="宋体"/>
                <w:color w:val="auto"/>
                <w:kern w:val="0"/>
                <w:szCs w:val="21"/>
                <w:lang w:eastAsia="zh-CN"/>
              </w:rPr>
              <w:t>，</w:t>
            </w:r>
            <w:r>
              <w:rPr>
                <w:rFonts w:hint="eastAsia" w:ascii="宋体" w:hAnsi="宋体" w:eastAsia="宋体" w:cs="宋体"/>
                <w:color w:val="auto"/>
                <w:kern w:val="0"/>
                <w:szCs w:val="21"/>
              </w:rPr>
              <w:t>得4分。</w:t>
            </w:r>
          </w:p>
          <w:p w14:paraId="050BACEA">
            <w:pPr>
              <w:keepNext w:val="0"/>
              <w:keepLines w:val="0"/>
              <w:pageBreakBefore w:val="0"/>
              <w:widowControl w:val="0"/>
              <w:kinsoku/>
              <w:wordWrap/>
              <w:overflowPunct/>
              <w:topLinePunct w:val="0"/>
              <w:autoSpaceDE/>
              <w:autoSpaceDN/>
              <w:bidi w:val="0"/>
              <w:adjustRightInd/>
              <w:snapToGrid/>
              <w:spacing w:line="240" w:lineRule="auto"/>
              <w:textAlignment w:val="auto"/>
              <w:rPr>
                <w:rFonts w:hint="eastAsia" w:ascii="宋体" w:hAnsi="宋体" w:eastAsia="宋体" w:cs="宋体"/>
                <w:color w:val="auto"/>
                <w:kern w:val="0"/>
                <w:szCs w:val="21"/>
              </w:rPr>
            </w:pPr>
            <w:r>
              <w:rPr>
                <w:rFonts w:hint="eastAsia" w:ascii="宋体" w:hAnsi="宋体" w:eastAsia="宋体" w:cs="宋体"/>
                <w:color w:val="auto"/>
                <w:kern w:val="0"/>
                <w:szCs w:val="21"/>
              </w:rPr>
              <w:t>3</w:t>
            </w:r>
            <w:r>
              <w:rPr>
                <w:rFonts w:hint="eastAsia" w:ascii="宋体" w:hAnsi="宋体" w:eastAsia="宋体" w:cs="宋体"/>
                <w:color w:val="auto"/>
                <w:kern w:val="0"/>
                <w:szCs w:val="21"/>
                <w:lang w:val="en-US" w:eastAsia="zh-CN"/>
              </w:rPr>
              <w:t>.</w:t>
            </w:r>
            <w:r>
              <w:rPr>
                <w:rFonts w:hint="eastAsia" w:ascii="宋体" w:hAnsi="宋体" w:eastAsia="宋体" w:cs="宋体"/>
                <w:color w:val="auto"/>
                <w:kern w:val="0"/>
                <w:szCs w:val="21"/>
              </w:rPr>
              <w:t>提供的应急措施预案安全科学、突发事件的处理措施一般可行的</w:t>
            </w:r>
            <w:r>
              <w:rPr>
                <w:rFonts w:hint="eastAsia" w:ascii="宋体" w:hAnsi="宋体" w:eastAsia="宋体" w:cs="宋体"/>
                <w:color w:val="auto"/>
                <w:kern w:val="0"/>
                <w:szCs w:val="21"/>
                <w:lang w:eastAsia="zh-CN"/>
              </w:rPr>
              <w:t>，</w:t>
            </w:r>
            <w:r>
              <w:rPr>
                <w:rFonts w:hint="eastAsia" w:ascii="宋体" w:hAnsi="宋体" w:eastAsia="宋体" w:cs="宋体"/>
                <w:color w:val="auto"/>
                <w:kern w:val="0"/>
                <w:szCs w:val="21"/>
              </w:rPr>
              <w:t>得2分。</w:t>
            </w:r>
          </w:p>
          <w:p w14:paraId="3176965A">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color w:val="auto"/>
                <w:kern w:val="0"/>
                <w:szCs w:val="21"/>
              </w:rPr>
            </w:pPr>
            <w:r>
              <w:rPr>
                <w:rFonts w:hint="eastAsia" w:ascii="宋体" w:hAnsi="宋体" w:eastAsia="宋体" w:cs="宋体"/>
                <w:color w:val="auto"/>
                <w:kern w:val="0"/>
                <w:szCs w:val="21"/>
              </w:rPr>
              <w:t>4.不提供的不得分。</w:t>
            </w:r>
          </w:p>
        </w:tc>
        <w:tc>
          <w:tcPr>
            <w:tcW w:w="526" w:type="pct"/>
            <w:tcBorders>
              <w:top w:val="single" w:color="auto" w:sz="4" w:space="0"/>
              <w:left w:val="single" w:color="auto" w:sz="4" w:space="0"/>
              <w:bottom w:val="single" w:color="auto" w:sz="4" w:space="0"/>
              <w:right w:val="single" w:color="auto" w:sz="4" w:space="0"/>
            </w:tcBorders>
            <w:noWrap w:val="0"/>
            <w:vAlign w:val="center"/>
          </w:tcPr>
          <w:p w14:paraId="317FE39E">
            <w:pPr>
              <w:jc w:val="center"/>
              <w:rPr>
                <w:rFonts w:hint="eastAsia" w:ascii="宋体" w:hAnsi="宋体" w:eastAsia="宋体" w:cs="宋体"/>
                <w:color w:val="auto"/>
                <w:kern w:val="0"/>
                <w:szCs w:val="21"/>
                <w:lang w:eastAsia="zh-CN"/>
              </w:rPr>
            </w:pPr>
            <w:r>
              <w:rPr>
                <w:rFonts w:hint="eastAsia" w:ascii="宋体" w:hAnsi="宋体" w:eastAsia="宋体" w:cs="宋体"/>
                <w:color w:val="auto"/>
                <w:kern w:val="0"/>
                <w:szCs w:val="21"/>
                <w:lang w:val="en-US" w:eastAsia="zh-CN"/>
              </w:rPr>
              <w:t>8</w:t>
            </w:r>
          </w:p>
        </w:tc>
      </w:tr>
      <w:tr w14:paraId="08435F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trPr>
        <w:tc>
          <w:tcPr>
            <w:tcW w:w="657" w:type="pct"/>
            <w:vMerge w:val="continue"/>
            <w:tcBorders>
              <w:left w:val="single" w:color="auto" w:sz="4" w:space="0"/>
              <w:right w:val="single" w:color="auto" w:sz="4" w:space="0"/>
            </w:tcBorders>
            <w:noWrap w:val="0"/>
            <w:vAlign w:val="center"/>
          </w:tcPr>
          <w:p w14:paraId="6097F039">
            <w:pPr>
              <w:pStyle w:val="16"/>
              <w:snapToGrid w:val="0"/>
              <w:jc w:val="center"/>
              <w:rPr>
                <w:rFonts w:hint="eastAsia"/>
                <w:color w:val="auto"/>
                <w:sz w:val="21"/>
                <w:szCs w:val="21"/>
              </w:rPr>
            </w:pPr>
          </w:p>
        </w:tc>
        <w:tc>
          <w:tcPr>
            <w:tcW w:w="751" w:type="pct"/>
            <w:tcBorders>
              <w:top w:val="single" w:color="auto" w:sz="4" w:space="0"/>
              <w:left w:val="single" w:color="auto" w:sz="4" w:space="0"/>
              <w:right w:val="single" w:color="auto" w:sz="4" w:space="0"/>
            </w:tcBorders>
            <w:noWrap w:val="0"/>
            <w:vAlign w:val="center"/>
          </w:tcPr>
          <w:p w14:paraId="2BF74FAA">
            <w:pPr>
              <w:jc w:val="center"/>
              <w:rPr>
                <w:rFonts w:ascii="宋体" w:hAnsi="宋体" w:eastAsia="宋体" w:cs="宋体"/>
                <w:color w:val="auto"/>
                <w:kern w:val="0"/>
                <w:szCs w:val="21"/>
              </w:rPr>
            </w:pPr>
            <w:r>
              <w:rPr>
                <w:rFonts w:hint="eastAsia" w:ascii="宋体" w:hAnsi="宋体" w:eastAsia="宋体" w:cs="宋体"/>
                <w:color w:val="auto"/>
                <w:kern w:val="0"/>
                <w:szCs w:val="21"/>
              </w:rPr>
              <w:t>消防安全措施方案</w:t>
            </w:r>
          </w:p>
        </w:tc>
        <w:tc>
          <w:tcPr>
            <w:tcW w:w="3064" w:type="pct"/>
            <w:tcBorders>
              <w:top w:val="single" w:color="auto" w:sz="4" w:space="0"/>
              <w:left w:val="single" w:color="auto" w:sz="4" w:space="0"/>
              <w:bottom w:val="single" w:color="auto" w:sz="4" w:space="0"/>
              <w:right w:val="single" w:color="auto" w:sz="4" w:space="0"/>
            </w:tcBorders>
            <w:noWrap w:val="0"/>
            <w:vAlign w:val="top"/>
          </w:tcPr>
          <w:p w14:paraId="149F538F">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color w:val="auto"/>
                <w:kern w:val="0"/>
                <w:szCs w:val="21"/>
              </w:rPr>
            </w:pPr>
            <w:r>
              <w:rPr>
                <w:rFonts w:hint="eastAsia" w:ascii="宋体" w:hAnsi="宋体" w:eastAsia="宋体" w:cs="宋体"/>
                <w:color w:val="auto"/>
                <w:kern w:val="0"/>
                <w:szCs w:val="21"/>
              </w:rPr>
              <w:t>根据投标人提供的消防安全防护措施进行评审：</w:t>
            </w:r>
          </w:p>
          <w:p w14:paraId="5A954CD5">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color w:val="auto"/>
                <w:kern w:val="0"/>
                <w:szCs w:val="21"/>
              </w:rPr>
            </w:pPr>
            <w:r>
              <w:rPr>
                <w:rFonts w:hint="eastAsia" w:ascii="宋体" w:hAnsi="宋体" w:eastAsia="宋体" w:cs="宋体"/>
                <w:color w:val="auto"/>
                <w:kern w:val="0"/>
                <w:szCs w:val="21"/>
              </w:rPr>
              <w:t>1.消防安全措施方案科学合理可行的，针对性强</w:t>
            </w:r>
            <w:r>
              <w:rPr>
                <w:rFonts w:hint="eastAsia" w:ascii="宋体" w:hAnsi="宋体" w:eastAsia="宋体" w:cs="宋体"/>
                <w:color w:val="auto"/>
                <w:kern w:val="0"/>
                <w:szCs w:val="21"/>
                <w:lang w:val="en-US" w:eastAsia="zh-CN"/>
              </w:rPr>
              <w:t>的</w:t>
            </w:r>
            <w:r>
              <w:rPr>
                <w:rFonts w:hint="eastAsia" w:ascii="宋体" w:hAnsi="宋体" w:eastAsia="宋体" w:cs="宋体"/>
                <w:color w:val="auto"/>
                <w:kern w:val="0"/>
                <w:szCs w:val="21"/>
              </w:rPr>
              <w:t>，得</w:t>
            </w:r>
            <w:r>
              <w:rPr>
                <w:rFonts w:hint="eastAsia" w:ascii="宋体" w:hAnsi="宋体" w:eastAsia="宋体" w:cs="宋体"/>
                <w:color w:val="auto"/>
                <w:kern w:val="0"/>
                <w:szCs w:val="21"/>
                <w:lang w:val="en-US" w:eastAsia="zh-CN"/>
              </w:rPr>
              <w:t>7</w:t>
            </w:r>
            <w:r>
              <w:rPr>
                <w:rFonts w:hint="eastAsia" w:ascii="宋体" w:hAnsi="宋体" w:eastAsia="宋体" w:cs="宋体"/>
                <w:color w:val="auto"/>
                <w:kern w:val="0"/>
                <w:szCs w:val="21"/>
              </w:rPr>
              <w:t>分；</w:t>
            </w:r>
          </w:p>
          <w:p w14:paraId="341E267F">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color w:val="auto"/>
                <w:kern w:val="0"/>
                <w:szCs w:val="21"/>
              </w:rPr>
            </w:pPr>
            <w:r>
              <w:rPr>
                <w:rFonts w:hint="eastAsia" w:ascii="宋体" w:hAnsi="宋体" w:eastAsia="宋体" w:cs="宋体"/>
                <w:color w:val="auto"/>
                <w:kern w:val="0"/>
                <w:szCs w:val="21"/>
              </w:rPr>
              <w:t>2.消防安全措施方案科学合理可行的、针对性较强</w:t>
            </w:r>
            <w:r>
              <w:rPr>
                <w:rFonts w:hint="eastAsia" w:ascii="宋体" w:hAnsi="宋体" w:eastAsia="宋体" w:cs="宋体"/>
                <w:color w:val="auto"/>
                <w:kern w:val="0"/>
                <w:szCs w:val="21"/>
                <w:lang w:val="en-US" w:eastAsia="zh-CN"/>
              </w:rPr>
              <w:t>的</w:t>
            </w:r>
            <w:r>
              <w:rPr>
                <w:rFonts w:hint="eastAsia" w:ascii="宋体" w:hAnsi="宋体" w:eastAsia="宋体" w:cs="宋体"/>
                <w:color w:val="auto"/>
                <w:kern w:val="0"/>
                <w:szCs w:val="21"/>
              </w:rPr>
              <w:t>，得3分；</w:t>
            </w:r>
          </w:p>
          <w:p w14:paraId="42DFBBD3">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color w:val="auto"/>
                <w:kern w:val="0"/>
                <w:szCs w:val="21"/>
              </w:rPr>
            </w:pPr>
            <w:r>
              <w:rPr>
                <w:rFonts w:hint="eastAsia" w:ascii="宋体" w:hAnsi="宋体" w:eastAsia="宋体" w:cs="宋体"/>
                <w:color w:val="auto"/>
                <w:kern w:val="0"/>
                <w:szCs w:val="21"/>
              </w:rPr>
              <w:t>3.消防安全措施方案科学合理可行的，有一定针对性</w:t>
            </w:r>
            <w:r>
              <w:rPr>
                <w:rFonts w:hint="eastAsia" w:ascii="宋体" w:hAnsi="宋体" w:eastAsia="宋体" w:cs="宋体"/>
                <w:color w:val="auto"/>
                <w:kern w:val="0"/>
                <w:szCs w:val="21"/>
                <w:lang w:val="en-US" w:eastAsia="zh-CN"/>
              </w:rPr>
              <w:t>的</w:t>
            </w:r>
            <w:r>
              <w:rPr>
                <w:rFonts w:hint="eastAsia" w:ascii="宋体" w:hAnsi="宋体" w:eastAsia="宋体" w:cs="宋体"/>
                <w:color w:val="auto"/>
                <w:kern w:val="0"/>
                <w:szCs w:val="21"/>
              </w:rPr>
              <w:t>，得1分；</w:t>
            </w:r>
          </w:p>
          <w:p w14:paraId="0D2C2821">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color w:val="auto"/>
                <w:kern w:val="0"/>
                <w:szCs w:val="21"/>
              </w:rPr>
            </w:pPr>
            <w:r>
              <w:rPr>
                <w:rFonts w:hint="eastAsia" w:ascii="宋体" w:hAnsi="宋体" w:eastAsia="宋体" w:cs="宋体"/>
                <w:color w:val="auto"/>
                <w:kern w:val="0"/>
                <w:szCs w:val="21"/>
              </w:rPr>
              <w:t>4.不提供的不得分。</w:t>
            </w:r>
          </w:p>
        </w:tc>
        <w:tc>
          <w:tcPr>
            <w:tcW w:w="526" w:type="pct"/>
            <w:tcBorders>
              <w:top w:val="single" w:color="auto" w:sz="4" w:space="0"/>
              <w:left w:val="single" w:color="auto" w:sz="4" w:space="0"/>
              <w:bottom w:val="single" w:color="auto" w:sz="4" w:space="0"/>
              <w:right w:val="single" w:color="auto" w:sz="4" w:space="0"/>
            </w:tcBorders>
            <w:noWrap w:val="0"/>
            <w:vAlign w:val="center"/>
          </w:tcPr>
          <w:p w14:paraId="03B60F42">
            <w:pPr>
              <w:jc w:val="center"/>
              <w:rPr>
                <w:rFonts w:hint="eastAsia" w:ascii="宋体" w:hAnsi="宋体" w:eastAsia="宋体" w:cs="宋体"/>
                <w:color w:val="auto"/>
                <w:kern w:val="0"/>
                <w:szCs w:val="21"/>
                <w:lang w:eastAsia="zh-CN"/>
              </w:rPr>
            </w:pPr>
            <w:r>
              <w:rPr>
                <w:rFonts w:hint="eastAsia" w:ascii="宋体" w:hAnsi="宋体" w:eastAsia="宋体" w:cs="宋体"/>
                <w:color w:val="auto"/>
                <w:kern w:val="0"/>
                <w:szCs w:val="21"/>
                <w:lang w:val="en-US" w:eastAsia="zh-CN"/>
              </w:rPr>
              <w:t>7</w:t>
            </w:r>
          </w:p>
        </w:tc>
      </w:tr>
      <w:tr w14:paraId="7BA4D7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trPr>
        <w:tc>
          <w:tcPr>
            <w:tcW w:w="657" w:type="pct"/>
            <w:vMerge w:val="restart"/>
            <w:tcBorders>
              <w:top w:val="single" w:color="auto" w:sz="4" w:space="0"/>
              <w:left w:val="single" w:color="auto" w:sz="4" w:space="0"/>
              <w:bottom w:val="single" w:color="auto" w:sz="4" w:space="0"/>
              <w:right w:val="single" w:color="auto" w:sz="4" w:space="0"/>
            </w:tcBorders>
            <w:noWrap w:val="0"/>
            <w:vAlign w:val="center"/>
          </w:tcPr>
          <w:p w14:paraId="39083815">
            <w:pPr>
              <w:rPr>
                <w:rFonts w:hint="eastAsia" w:ascii="宋体" w:hAnsi="宋体" w:eastAsia="宋体" w:cs="宋体"/>
                <w:color w:val="auto"/>
                <w:kern w:val="0"/>
                <w:szCs w:val="21"/>
              </w:rPr>
            </w:pPr>
            <w:r>
              <w:rPr>
                <w:rFonts w:hint="eastAsia" w:ascii="宋体" w:hAnsi="宋体" w:eastAsia="宋体" w:cs="宋体"/>
                <w:color w:val="auto"/>
                <w:kern w:val="0"/>
                <w:szCs w:val="21"/>
              </w:rPr>
              <w:t>商务部分</w:t>
            </w:r>
          </w:p>
          <w:p w14:paraId="340F8BC2">
            <w:pPr>
              <w:rPr>
                <w:rFonts w:hint="eastAsia" w:ascii="宋体" w:hAnsi="宋体" w:eastAsia="宋体" w:cs="宋体"/>
                <w:color w:val="auto"/>
                <w:kern w:val="0"/>
                <w:szCs w:val="21"/>
              </w:rPr>
            </w:pPr>
            <w:r>
              <w:rPr>
                <w:rFonts w:hint="eastAsia" w:ascii="宋体" w:hAnsi="宋体" w:eastAsia="宋体" w:cs="宋体"/>
                <w:color w:val="auto"/>
                <w:kern w:val="0"/>
                <w:szCs w:val="21"/>
              </w:rPr>
              <w:t>（</w:t>
            </w:r>
            <w:r>
              <w:rPr>
                <w:rFonts w:hint="eastAsia" w:ascii="宋体" w:hAnsi="宋体" w:eastAsia="宋体" w:cs="宋体"/>
                <w:color w:val="auto"/>
                <w:kern w:val="0"/>
                <w:szCs w:val="21"/>
                <w:lang w:val="en-US" w:eastAsia="zh-CN"/>
              </w:rPr>
              <w:t>40</w:t>
            </w:r>
            <w:r>
              <w:rPr>
                <w:rFonts w:hint="eastAsia" w:ascii="宋体" w:hAnsi="宋体" w:eastAsia="宋体" w:cs="宋体"/>
                <w:color w:val="auto"/>
                <w:kern w:val="0"/>
                <w:szCs w:val="21"/>
              </w:rPr>
              <w:t>分）</w:t>
            </w:r>
          </w:p>
        </w:tc>
        <w:tc>
          <w:tcPr>
            <w:tcW w:w="751" w:type="pct"/>
            <w:tcBorders>
              <w:top w:val="single" w:color="auto" w:sz="4" w:space="0"/>
              <w:left w:val="single" w:color="auto" w:sz="4" w:space="0"/>
              <w:right w:val="single" w:color="auto" w:sz="4" w:space="0"/>
            </w:tcBorders>
            <w:noWrap w:val="0"/>
            <w:vAlign w:val="center"/>
          </w:tcPr>
          <w:p w14:paraId="5EAECF3D">
            <w:pPr>
              <w:jc w:val="center"/>
              <w:rPr>
                <w:rFonts w:hint="eastAsia" w:ascii="宋体" w:hAnsi="宋体" w:eastAsia="宋体" w:cs="宋体"/>
                <w:color w:val="auto"/>
                <w:kern w:val="0"/>
                <w:szCs w:val="21"/>
              </w:rPr>
            </w:pPr>
            <w:r>
              <w:rPr>
                <w:rFonts w:hint="eastAsia" w:ascii="宋体" w:hAnsi="宋体" w:eastAsia="宋体" w:cs="宋体"/>
                <w:color w:val="auto"/>
                <w:kern w:val="0"/>
                <w:szCs w:val="21"/>
              </w:rPr>
              <w:t>同类项目业绩</w:t>
            </w:r>
          </w:p>
        </w:tc>
        <w:tc>
          <w:tcPr>
            <w:tcW w:w="3064" w:type="pct"/>
            <w:tcBorders>
              <w:top w:val="single" w:color="auto" w:sz="4" w:space="0"/>
              <w:left w:val="single" w:color="auto" w:sz="4" w:space="0"/>
              <w:bottom w:val="single" w:color="auto" w:sz="4" w:space="0"/>
              <w:right w:val="single" w:color="auto" w:sz="4" w:space="0"/>
            </w:tcBorders>
            <w:noWrap w:val="0"/>
            <w:vAlign w:val="top"/>
          </w:tcPr>
          <w:p w14:paraId="71EF71A0">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color w:val="auto"/>
                <w:kern w:val="0"/>
                <w:szCs w:val="21"/>
              </w:rPr>
            </w:pPr>
            <w:r>
              <w:rPr>
                <w:rFonts w:hint="eastAsia" w:ascii="宋体" w:hAnsi="宋体" w:eastAsia="宋体" w:cs="宋体"/>
                <w:color w:val="auto"/>
                <w:kern w:val="0"/>
                <w:szCs w:val="21"/>
              </w:rPr>
              <w:t>投标人或其控股子公司截止至2026年4月30日正在运营的养老机构项目业绩（床位达200张以上的），每提供1个得5分，最高得15分。</w:t>
            </w:r>
          </w:p>
          <w:p w14:paraId="60854840">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color w:val="auto"/>
                <w:kern w:val="0"/>
                <w:szCs w:val="21"/>
                <w:lang w:eastAsia="zh-CN"/>
              </w:rPr>
            </w:pPr>
            <w:r>
              <w:rPr>
                <w:rFonts w:hint="eastAsia" w:ascii="宋体" w:hAnsi="宋体" w:eastAsia="宋体" w:cs="宋体"/>
                <w:color w:val="auto"/>
                <w:kern w:val="0"/>
                <w:szCs w:val="21"/>
              </w:rPr>
              <w:t>注：须提供合同关键页或提供民政局出具的养老机构备案证明材料复印件并加盖公章，上述证明材料须体现床位数，如上述证明材料不能体现床位数的，须提供全国养老服务信息平台截图。若是投标人控股子公司经营的养老机构床位，还需提供控股子公司营业执照复印件、国家企业信用信息公示系统股权关系截图。不提供不得分</w:t>
            </w:r>
            <w:r>
              <w:rPr>
                <w:rFonts w:hint="eastAsia" w:ascii="宋体" w:hAnsi="宋体" w:eastAsia="宋体" w:cs="宋体"/>
                <w:color w:val="auto"/>
                <w:kern w:val="0"/>
                <w:szCs w:val="21"/>
                <w:lang w:eastAsia="zh-CN"/>
              </w:rPr>
              <w:t>。</w:t>
            </w:r>
          </w:p>
        </w:tc>
        <w:tc>
          <w:tcPr>
            <w:tcW w:w="526" w:type="pct"/>
            <w:tcBorders>
              <w:top w:val="single" w:color="auto" w:sz="4" w:space="0"/>
              <w:left w:val="single" w:color="auto" w:sz="4" w:space="0"/>
              <w:bottom w:val="single" w:color="auto" w:sz="4" w:space="0"/>
              <w:right w:val="single" w:color="auto" w:sz="4" w:space="0"/>
            </w:tcBorders>
            <w:noWrap w:val="0"/>
            <w:vAlign w:val="center"/>
          </w:tcPr>
          <w:p w14:paraId="3C09DEED">
            <w:pPr>
              <w:pStyle w:val="16"/>
              <w:snapToGrid w:val="0"/>
              <w:jc w:val="center"/>
              <w:rPr>
                <w:rFonts w:hint="default" w:eastAsia="宋体"/>
                <w:color w:val="auto"/>
                <w:szCs w:val="21"/>
                <w:lang w:val="en-US" w:eastAsia="zh-CN"/>
              </w:rPr>
            </w:pPr>
            <w:r>
              <w:rPr>
                <w:rFonts w:hint="eastAsia"/>
                <w:color w:val="auto"/>
                <w:sz w:val="21"/>
                <w:szCs w:val="21"/>
                <w:lang w:val="en-US" w:eastAsia="zh-CN"/>
              </w:rPr>
              <w:t>15</w:t>
            </w:r>
          </w:p>
        </w:tc>
      </w:tr>
      <w:tr w14:paraId="4B07B6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trPr>
        <w:tc>
          <w:tcPr>
            <w:tcW w:w="657" w:type="pct"/>
            <w:vMerge w:val="continue"/>
            <w:tcBorders>
              <w:left w:val="single" w:color="auto" w:sz="4" w:space="0"/>
              <w:right w:val="single" w:color="auto" w:sz="4" w:space="0"/>
            </w:tcBorders>
            <w:noWrap w:val="0"/>
            <w:vAlign w:val="center"/>
          </w:tcPr>
          <w:p w14:paraId="366181B1">
            <w:pPr>
              <w:widowControl/>
              <w:jc w:val="center"/>
              <w:rPr>
                <w:rFonts w:hint="eastAsia" w:ascii="宋体" w:hAnsi="宋体" w:eastAsia="宋体" w:cs="宋体"/>
                <w:color w:val="auto"/>
                <w:kern w:val="0"/>
                <w:szCs w:val="21"/>
              </w:rPr>
            </w:pPr>
          </w:p>
        </w:tc>
        <w:tc>
          <w:tcPr>
            <w:tcW w:w="751" w:type="pct"/>
            <w:tcBorders>
              <w:top w:val="single" w:color="auto" w:sz="4" w:space="0"/>
              <w:left w:val="single" w:color="auto" w:sz="4" w:space="0"/>
              <w:right w:val="single" w:color="auto" w:sz="4" w:space="0"/>
            </w:tcBorders>
            <w:noWrap w:val="0"/>
            <w:vAlign w:val="center"/>
          </w:tcPr>
          <w:p w14:paraId="603955D8">
            <w:pPr>
              <w:jc w:val="center"/>
              <w:rPr>
                <w:rFonts w:ascii="宋体" w:hAnsi="宋体" w:eastAsia="宋体" w:cs="宋体"/>
                <w:color w:val="auto"/>
                <w:kern w:val="0"/>
                <w:szCs w:val="21"/>
              </w:rPr>
            </w:pPr>
            <w:r>
              <w:rPr>
                <w:rFonts w:hint="eastAsia" w:ascii="宋体" w:hAnsi="宋体" w:eastAsia="宋体" w:cs="宋体"/>
                <w:color w:val="auto"/>
                <w:kern w:val="0"/>
                <w:szCs w:val="21"/>
              </w:rPr>
              <w:t>团队人员</w:t>
            </w:r>
          </w:p>
        </w:tc>
        <w:tc>
          <w:tcPr>
            <w:tcW w:w="3064" w:type="pct"/>
            <w:tcBorders>
              <w:top w:val="single" w:color="auto" w:sz="4" w:space="0"/>
              <w:left w:val="single" w:color="auto" w:sz="4" w:space="0"/>
              <w:bottom w:val="single" w:color="auto" w:sz="4" w:space="0"/>
              <w:right w:val="single" w:color="auto" w:sz="4" w:space="0"/>
            </w:tcBorders>
            <w:noWrap w:val="0"/>
            <w:vAlign w:val="top"/>
          </w:tcPr>
          <w:p w14:paraId="26AADA31">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color w:val="auto"/>
                <w:kern w:val="0"/>
                <w:szCs w:val="21"/>
              </w:rPr>
            </w:pPr>
            <w:r>
              <w:rPr>
                <w:rFonts w:hint="eastAsia" w:ascii="宋体" w:hAnsi="宋体" w:eastAsia="宋体" w:cs="宋体"/>
                <w:color w:val="auto"/>
                <w:kern w:val="0"/>
                <w:szCs w:val="21"/>
                <w:lang w:val="en-US" w:eastAsia="zh-CN"/>
              </w:rPr>
              <w:t>1.</w:t>
            </w:r>
            <w:r>
              <w:rPr>
                <w:rFonts w:hint="eastAsia" w:ascii="宋体" w:hAnsi="宋体" w:eastAsia="宋体" w:cs="宋体"/>
                <w:color w:val="auto"/>
                <w:kern w:val="0"/>
                <w:szCs w:val="21"/>
              </w:rPr>
              <w:t>项目负责人：</w:t>
            </w:r>
          </w:p>
          <w:p w14:paraId="6B0FF895">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color w:val="auto"/>
                <w:kern w:val="0"/>
                <w:szCs w:val="21"/>
                <w:lang w:eastAsia="zh-CN"/>
              </w:rPr>
            </w:pPr>
            <w:r>
              <w:rPr>
                <w:rFonts w:hint="eastAsia" w:ascii="宋体" w:hAnsi="宋体" w:eastAsia="宋体" w:cs="宋体"/>
                <w:color w:val="auto"/>
                <w:kern w:val="0"/>
                <w:szCs w:val="21"/>
              </w:rPr>
              <w:t>（1）具有老年人能力评估师</w:t>
            </w:r>
            <w:r>
              <w:rPr>
                <w:rFonts w:hint="eastAsia" w:ascii="宋体" w:hAnsi="宋体" w:eastAsia="宋体" w:cs="宋体"/>
                <w:color w:val="auto"/>
                <w:kern w:val="0"/>
                <w:szCs w:val="21"/>
                <w:lang w:val="en-US" w:eastAsia="zh-CN"/>
              </w:rPr>
              <w:t>的，</w:t>
            </w:r>
            <w:r>
              <w:rPr>
                <w:rFonts w:hint="eastAsia" w:ascii="宋体" w:hAnsi="宋体" w:eastAsia="宋体" w:cs="宋体"/>
                <w:color w:val="auto"/>
                <w:kern w:val="0"/>
                <w:szCs w:val="21"/>
              </w:rPr>
              <w:t>得3分</w:t>
            </w:r>
            <w:r>
              <w:rPr>
                <w:rFonts w:hint="eastAsia" w:ascii="宋体" w:hAnsi="宋体" w:eastAsia="宋体" w:cs="宋体"/>
                <w:color w:val="auto"/>
                <w:kern w:val="0"/>
                <w:szCs w:val="21"/>
                <w:lang w:eastAsia="zh-CN"/>
              </w:rPr>
              <w:t>；</w:t>
            </w:r>
          </w:p>
          <w:p w14:paraId="2101BDD6">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color w:val="auto"/>
                <w:kern w:val="0"/>
                <w:szCs w:val="21"/>
                <w:lang w:eastAsia="zh-CN"/>
              </w:rPr>
            </w:pPr>
            <w:r>
              <w:rPr>
                <w:rFonts w:hint="eastAsia" w:ascii="宋体" w:hAnsi="宋体" w:eastAsia="宋体" w:cs="宋体"/>
                <w:color w:val="auto"/>
                <w:kern w:val="0"/>
                <w:szCs w:val="21"/>
              </w:rPr>
              <w:t>（2）具有养老服务类职称证书</w:t>
            </w:r>
            <w:r>
              <w:rPr>
                <w:rFonts w:hint="eastAsia" w:ascii="宋体" w:hAnsi="宋体" w:eastAsia="宋体" w:cs="宋体"/>
                <w:color w:val="auto"/>
                <w:kern w:val="0"/>
                <w:szCs w:val="21"/>
                <w:lang w:val="en-US" w:eastAsia="zh-CN"/>
              </w:rPr>
              <w:t>的，</w:t>
            </w:r>
            <w:r>
              <w:rPr>
                <w:rFonts w:hint="eastAsia" w:ascii="宋体" w:hAnsi="宋体" w:eastAsia="宋体" w:cs="宋体"/>
                <w:color w:val="auto"/>
                <w:kern w:val="0"/>
                <w:szCs w:val="21"/>
              </w:rPr>
              <w:t>得3分</w:t>
            </w:r>
            <w:r>
              <w:rPr>
                <w:rFonts w:hint="eastAsia" w:ascii="宋体" w:hAnsi="宋体" w:eastAsia="宋体" w:cs="宋体"/>
                <w:color w:val="auto"/>
                <w:kern w:val="0"/>
                <w:szCs w:val="21"/>
                <w:lang w:eastAsia="zh-CN"/>
              </w:rPr>
              <w:t>；</w:t>
            </w:r>
          </w:p>
          <w:p w14:paraId="49060740">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color w:val="auto"/>
                <w:kern w:val="0"/>
                <w:szCs w:val="21"/>
              </w:rPr>
            </w:pPr>
            <w:r>
              <w:rPr>
                <w:rFonts w:hint="eastAsia" w:ascii="宋体" w:hAnsi="宋体" w:eastAsia="宋体" w:cs="宋体"/>
                <w:color w:val="auto"/>
                <w:kern w:val="0"/>
                <w:szCs w:val="21"/>
              </w:rPr>
              <w:t>本项最高得6分。</w:t>
            </w:r>
          </w:p>
          <w:p w14:paraId="1848372A">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color w:val="auto"/>
                <w:kern w:val="0"/>
                <w:szCs w:val="21"/>
              </w:rPr>
            </w:pPr>
            <w:r>
              <w:rPr>
                <w:rFonts w:hint="eastAsia" w:ascii="宋体" w:hAnsi="宋体" w:eastAsia="宋体" w:cs="宋体"/>
                <w:color w:val="auto"/>
                <w:kern w:val="0"/>
                <w:szCs w:val="21"/>
              </w:rPr>
              <w:t>2</w:t>
            </w:r>
            <w:r>
              <w:rPr>
                <w:rFonts w:hint="eastAsia" w:ascii="宋体" w:hAnsi="宋体" w:eastAsia="宋体" w:cs="宋体"/>
                <w:color w:val="auto"/>
                <w:kern w:val="0"/>
                <w:szCs w:val="21"/>
                <w:lang w:val="en-US" w:eastAsia="zh-CN"/>
              </w:rPr>
              <w:t>.</w:t>
            </w:r>
            <w:r>
              <w:rPr>
                <w:rFonts w:hint="eastAsia" w:ascii="宋体" w:hAnsi="宋体" w:eastAsia="宋体" w:cs="宋体"/>
                <w:color w:val="auto"/>
                <w:kern w:val="0"/>
                <w:szCs w:val="21"/>
              </w:rPr>
              <w:t>投标人配备本项目的服务人员（项目负责人除外）：</w:t>
            </w:r>
            <w:r>
              <w:rPr>
                <w:rFonts w:hint="eastAsia" w:ascii="宋体" w:hAnsi="宋体" w:eastAsia="宋体" w:cs="宋体"/>
                <w:color w:val="auto"/>
                <w:kern w:val="0"/>
                <w:szCs w:val="21"/>
                <w:lang w:val="en-US" w:eastAsia="zh-CN"/>
              </w:rPr>
              <w:t>具有</w:t>
            </w:r>
            <w:r>
              <w:rPr>
                <w:rFonts w:hint="eastAsia" w:ascii="宋体" w:hAnsi="宋体" w:eastAsia="宋体" w:cs="宋体"/>
                <w:color w:val="auto"/>
                <w:kern w:val="0"/>
                <w:szCs w:val="21"/>
              </w:rPr>
              <w:t>（1）医师、（2）营养师、（3）康复师、（4）养老护理员、（5）社会工作师、（6）消防设施操作员，每提供1个得1</w:t>
            </w:r>
            <w:r>
              <w:rPr>
                <w:rFonts w:hint="eastAsia" w:ascii="宋体" w:hAnsi="宋体" w:eastAsia="宋体" w:cs="宋体"/>
                <w:color w:val="auto"/>
                <w:kern w:val="0"/>
                <w:szCs w:val="21"/>
                <w:lang w:val="en-US" w:eastAsia="zh-CN"/>
              </w:rPr>
              <w:t>.5</w:t>
            </w:r>
            <w:r>
              <w:rPr>
                <w:rFonts w:hint="eastAsia" w:ascii="宋体" w:hAnsi="宋体" w:eastAsia="宋体" w:cs="宋体"/>
                <w:color w:val="auto"/>
                <w:kern w:val="0"/>
                <w:szCs w:val="21"/>
              </w:rPr>
              <w:t>分，本项最高得</w:t>
            </w:r>
            <w:r>
              <w:rPr>
                <w:rFonts w:hint="eastAsia" w:ascii="宋体" w:hAnsi="宋体" w:eastAsia="宋体" w:cs="宋体"/>
                <w:color w:val="auto"/>
                <w:kern w:val="0"/>
                <w:szCs w:val="21"/>
                <w:lang w:val="en-US" w:eastAsia="zh-CN"/>
              </w:rPr>
              <w:t>9</w:t>
            </w:r>
            <w:r>
              <w:rPr>
                <w:rFonts w:hint="eastAsia" w:ascii="宋体" w:hAnsi="宋体" w:eastAsia="宋体" w:cs="宋体"/>
                <w:color w:val="auto"/>
                <w:kern w:val="0"/>
                <w:szCs w:val="21"/>
              </w:rPr>
              <w:t>分。</w:t>
            </w:r>
          </w:p>
          <w:p w14:paraId="3378ACEF">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color w:val="auto"/>
                <w:kern w:val="0"/>
                <w:szCs w:val="21"/>
              </w:rPr>
            </w:pPr>
            <w:r>
              <w:rPr>
                <w:rFonts w:hint="eastAsia" w:ascii="宋体" w:hAnsi="宋体" w:eastAsia="宋体" w:cs="宋体"/>
                <w:color w:val="auto"/>
                <w:kern w:val="0"/>
                <w:szCs w:val="21"/>
              </w:rPr>
              <w:t>注：须提供以上人员职称证书或职业资格或职业技能证书</w:t>
            </w:r>
            <w:r>
              <w:rPr>
                <w:rFonts w:hint="eastAsia" w:ascii="宋体" w:hAnsi="宋体" w:eastAsia="宋体" w:cs="宋体"/>
                <w:color w:val="auto"/>
                <w:kern w:val="0"/>
                <w:szCs w:val="21"/>
                <w:lang w:val="en-US" w:eastAsia="zh-CN"/>
              </w:rPr>
              <w:t>及</w:t>
            </w:r>
            <w:r>
              <w:rPr>
                <w:rFonts w:hint="eastAsia" w:ascii="宋体" w:hAnsi="宋体" w:eastAsia="宋体" w:cs="宋体"/>
                <w:color w:val="auto"/>
                <w:kern w:val="0"/>
                <w:szCs w:val="21"/>
              </w:rPr>
              <w:t>在投标单位</w:t>
            </w:r>
            <w:r>
              <w:rPr>
                <w:rFonts w:hint="eastAsia" w:ascii="宋体" w:hAnsi="宋体" w:eastAsia="宋体" w:cs="宋体"/>
                <w:color w:val="auto"/>
                <w:kern w:val="0"/>
                <w:szCs w:val="21"/>
                <w:lang w:val="en-US" w:eastAsia="zh-CN"/>
              </w:rPr>
              <w:t>近半年内任意一个月</w:t>
            </w:r>
            <w:r>
              <w:rPr>
                <w:rFonts w:hint="eastAsia" w:ascii="宋体" w:hAnsi="宋体" w:eastAsia="宋体" w:cs="宋体"/>
                <w:color w:val="auto"/>
                <w:kern w:val="0"/>
                <w:szCs w:val="21"/>
              </w:rPr>
              <w:t>的社保证明的复印件并加盖公章，不提供不得分。</w:t>
            </w:r>
          </w:p>
        </w:tc>
        <w:tc>
          <w:tcPr>
            <w:tcW w:w="526" w:type="pct"/>
            <w:tcBorders>
              <w:top w:val="single" w:color="auto" w:sz="4" w:space="0"/>
              <w:left w:val="single" w:color="auto" w:sz="4" w:space="0"/>
              <w:bottom w:val="single" w:color="auto" w:sz="4" w:space="0"/>
              <w:right w:val="single" w:color="auto" w:sz="4" w:space="0"/>
            </w:tcBorders>
            <w:noWrap w:val="0"/>
            <w:vAlign w:val="center"/>
          </w:tcPr>
          <w:p w14:paraId="023CFCE0">
            <w:pPr>
              <w:pStyle w:val="16"/>
              <w:snapToGrid w:val="0"/>
              <w:jc w:val="center"/>
              <w:rPr>
                <w:rFonts w:hint="eastAsia" w:eastAsia="宋体"/>
                <w:color w:val="auto"/>
                <w:sz w:val="21"/>
                <w:szCs w:val="21"/>
                <w:lang w:eastAsia="zh-CN"/>
              </w:rPr>
            </w:pPr>
            <w:r>
              <w:rPr>
                <w:rFonts w:hint="eastAsia"/>
                <w:color w:val="auto"/>
                <w:sz w:val="21"/>
                <w:szCs w:val="21"/>
              </w:rPr>
              <w:t>1</w:t>
            </w:r>
            <w:r>
              <w:rPr>
                <w:rFonts w:hint="eastAsia"/>
                <w:color w:val="auto"/>
                <w:sz w:val="21"/>
                <w:szCs w:val="21"/>
                <w:lang w:val="en-US" w:eastAsia="zh-CN"/>
              </w:rPr>
              <w:t>5</w:t>
            </w:r>
          </w:p>
        </w:tc>
      </w:tr>
      <w:tr w14:paraId="09F7CD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8" w:hRule="atLeast"/>
        </w:trPr>
        <w:tc>
          <w:tcPr>
            <w:tcW w:w="657" w:type="pct"/>
            <w:vMerge w:val="continue"/>
            <w:tcBorders>
              <w:left w:val="single" w:color="auto" w:sz="4" w:space="0"/>
              <w:right w:val="single" w:color="auto" w:sz="4" w:space="0"/>
            </w:tcBorders>
            <w:noWrap w:val="0"/>
            <w:vAlign w:val="center"/>
          </w:tcPr>
          <w:p w14:paraId="31DB318E">
            <w:pPr>
              <w:widowControl/>
              <w:jc w:val="center"/>
              <w:rPr>
                <w:rFonts w:hint="eastAsia" w:ascii="宋体" w:hAnsi="宋体" w:eastAsia="宋体" w:cs="宋体"/>
                <w:color w:val="auto"/>
                <w:kern w:val="0"/>
                <w:szCs w:val="21"/>
              </w:rPr>
            </w:pPr>
          </w:p>
        </w:tc>
        <w:tc>
          <w:tcPr>
            <w:tcW w:w="751" w:type="pct"/>
            <w:tcBorders>
              <w:top w:val="single" w:color="auto" w:sz="4" w:space="0"/>
              <w:left w:val="single" w:color="auto" w:sz="4" w:space="0"/>
              <w:right w:val="single" w:color="auto" w:sz="4" w:space="0"/>
            </w:tcBorders>
            <w:noWrap w:val="0"/>
            <w:vAlign w:val="center"/>
          </w:tcPr>
          <w:p w14:paraId="5C0EF4DF">
            <w:pPr>
              <w:jc w:val="center"/>
              <w:rPr>
                <w:rFonts w:ascii="宋体" w:hAnsi="宋体" w:eastAsia="宋体" w:cs="宋体"/>
                <w:color w:val="auto"/>
                <w:kern w:val="0"/>
                <w:szCs w:val="21"/>
              </w:rPr>
            </w:pPr>
            <w:r>
              <w:rPr>
                <w:rFonts w:hint="eastAsia" w:ascii="宋体" w:hAnsi="宋体" w:eastAsia="宋体" w:cs="宋体"/>
                <w:color w:val="auto"/>
                <w:kern w:val="0"/>
                <w:szCs w:val="21"/>
              </w:rPr>
              <w:t>企业服务星级评审</w:t>
            </w:r>
          </w:p>
        </w:tc>
        <w:tc>
          <w:tcPr>
            <w:tcW w:w="3064" w:type="pct"/>
            <w:tcBorders>
              <w:top w:val="single" w:color="auto" w:sz="4" w:space="0"/>
              <w:left w:val="single" w:color="auto" w:sz="4" w:space="0"/>
              <w:bottom w:val="single" w:color="auto" w:sz="4" w:space="0"/>
              <w:right w:val="single" w:color="auto" w:sz="4" w:space="0"/>
            </w:tcBorders>
            <w:noWrap w:val="0"/>
            <w:vAlign w:val="top"/>
          </w:tcPr>
          <w:p w14:paraId="669E5D07">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color w:val="auto"/>
                <w:kern w:val="0"/>
                <w:szCs w:val="21"/>
              </w:rPr>
            </w:pPr>
            <w:r>
              <w:rPr>
                <w:rFonts w:hint="eastAsia" w:ascii="宋体" w:hAnsi="宋体" w:eastAsia="宋体" w:cs="宋体"/>
                <w:color w:val="auto"/>
                <w:kern w:val="0"/>
                <w:szCs w:val="21"/>
              </w:rPr>
              <w:t>投标人或其控股子公司截止至2026年4月30日运营的养老机构项目在省（部）级民政厅（部）星级评比中获得的星级进行评审：</w:t>
            </w:r>
          </w:p>
          <w:p w14:paraId="7248D21C">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color w:val="auto"/>
                <w:kern w:val="0"/>
                <w:szCs w:val="21"/>
              </w:rPr>
            </w:pPr>
            <w:r>
              <w:rPr>
                <w:rFonts w:hint="eastAsia" w:ascii="宋体" w:hAnsi="宋体" w:eastAsia="宋体" w:cs="宋体"/>
                <w:color w:val="auto"/>
                <w:kern w:val="0"/>
                <w:szCs w:val="21"/>
              </w:rPr>
              <w:t>1.获得五星级</w:t>
            </w:r>
            <w:r>
              <w:rPr>
                <w:rFonts w:hint="eastAsia" w:ascii="宋体" w:hAnsi="宋体" w:eastAsia="宋体" w:cs="宋体"/>
                <w:color w:val="auto"/>
                <w:kern w:val="0"/>
                <w:szCs w:val="21"/>
                <w:lang w:val="en-US" w:eastAsia="zh-CN"/>
              </w:rPr>
              <w:t>及</w:t>
            </w:r>
            <w:r>
              <w:rPr>
                <w:rFonts w:hint="eastAsia" w:ascii="宋体" w:hAnsi="宋体" w:eastAsia="宋体" w:cs="宋体"/>
                <w:color w:val="auto"/>
                <w:kern w:val="0"/>
                <w:szCs w:val="21"/>
              </w:rPr>
              <w:t>以上养老机构的</w:t>
            </w:r>
            <w:r>
              <w:rPr>
                <w:rFonts w:hint="eastAsia" w:ascii="宋体" w:hAnsi="宋体" w:eastAsia="宋体" w:cs="宋体"/>
                <w:color w:val="auto"/>
                <w:kern w:val="0"/>
                <w:szCs w:val="21"/>
                <w:lang w:eastAsia="zh-CN"/>
              </w:rPr>
              <w:t>，</w:t>
            </w:r>
            <w:r>
              <w:rPr>
                <w:rFonts w:hint="eastAsia" w:ascii="宋体" w:hAnsi="宋体" w:eastAsia="宋体" w:cs="宋体"/>
                <w:color w:val="auto"/>
                <w:kern w:val="0"/>
                <w:szCs w:val="21"/>
              </w:rPr>
              <w:t>得</w:t>
            </w:r>
            <w:r>
              <w:rPr>
                <w:rFonts w:hint="eastAsia" w:ascii="宋体" w:hAnsi="宋体" w:eastAsia="宋体" w:cs="宋体"/>
                <w:color w:val="auto"/>
                <w:kern w:val="0"/>
                <w:szCs w:val="21"/>
                <w:lang w:val="en-US" w:eastAsia="zh-CN"/>
              </w:rPr>
              <w:t>10</w:t>
            </w:r>
            <w:r>
              <w:rPr>
                <w:rFonts w:hint="eastAsia" w:ascii="宋体" w:hAnsi="宋体" w:eastAsia="宋体" w:cs="宋体"/>
                <w:color w:val="auto"/>
                <w:kern w:val="0"/>
                <w:szCs w:val="21"/>
              </w:rPr>
              <w:t>分</w:t>
            </w:r>
          </w:p>
          <w:p w14:paraId="4E3EAF88">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color w:val="auto"/>
                <w:kern w:val="0"/>
                <w:szCs w:val="21"/>
              </w:rPr>
            </w:pPr>
            <w:r>
              <w:rPr>
                <w:rFonts w:hint="eastAsia" w:ascii="宋体" w:hAnsi="宋体" w:eastAsia="宋体" w:cs="宋体"/>
                <w:color w:val="auto"/>
                <w:kern w:val="0"/>
                <w:szCs w:val="21"/>
              </w:rPr>
              <w:t>2.获得四星级养老机构的</w:t>
            </w:r>
            <w:r>
              <w:rPr>
                <w:rFonts w:hint="eastAsia" w:ascii="宋体" w:hAnsi="宋体" w:eastAsia="宋体" w:cs="宋体"/>
                <w:color w:val="auto"/>
                <w:kern w:val="0"/>
                <w:szCs w:val="21"/>
                <w:lang w:eastAsia="zh-CN"/>
              </w:rPr>
              <w:t>，</w:t>
            </w:r>
            <w:r>
              <w:rPr>
                <w:rFonts w:hint="eastAsia" w:ascii="宋体" w:hAnsi="宋体" w:eastAsia="宋体" w:cs="宋体"/>
                <w:color w:val="auto"/>
                <w:kern w:val="0"/>
                <w:szCs w:val="21"/>
              </w:rPr>
              <w:t>得</w:t>
            </w:r>
            <w:r>
              <w:rPr>
                <w:rFonts w:hint="eastAsia" w:ascii="宋体" w:hAnsi="宋体" w:eastAsia="宋体" w:cs="宋体"/>
                <w:color w:val="auto"/>
                <w:kern w:val="0"/>
                <w:szCs w:val="21"/>
                <w:lang w:val="en-US" w:eastAsia="zh-CN"/>
              </w:rPr>
              <w:t>5</w:t>
            </w:r>
            <w:r>
              <w:rPr>
                <w:rFonts w:hint="eastAsia" w:ascii="宋体" w:hAnsi="宋体" w:eastAsia="宋体" w:cs="宋体"/>
                <w:color w:val="auto"/>
                <w:kern w:val="0"/>
                <w:szCs w:val="21"/>
              </w:rPr>
              <w:t>分</w:t>
            </w:r>
          </w:p>
          <w:p w14:paraId="650B5528">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color w:val="auto"/>
                <w:kern w:val="0"/>
                <w:szCs w:val="21"/>
              </w:rPr>
            </w:pPr>
            <w:r>
              <w:rPr>
                <w:rFonts w:hint="eastAsia" w:ascii="宋体" w:hAnsi="宋体" w:eastAsia="宋体" w:cs="宋体"/>
                <w:color w:val="auto"/>
                <w:kern w:val="0"/>
                <w:szCs w:val="21"/>
              </w:rPr>
              <w:t>3.获得三星级及以下的</w:t>
            </w:r>
            <w:r>
              <w:rPr>
                <w:rFonts w:hint="eastAsia" w:ascii="宋体" w:hAnsi="宋体" w:eastAsia="宋体" w:cs="宋体"/>
                <w:color w:val="auto"/>
                <w:kern w:val="0"/>
                <w:szCs w:val="21"/>
                <w:lang w:eastAsia="zh-CN"/>
              </w:rPr>
              <w:t>，</w:t>
            </w:r>
            <w:r>
              <w:rPr>
                <w:rFonts w:hint="eastAsia" w:ascii="宋体" w:hAnsi="宋体" w:eastAsia="宋体" w:cs="宋体"/>
                <w:color w:val="auto"/>
                <w:kern w:val="0"/>
                <w:szCs w:val="21"/>
              </w:rPr>
              <w:t>不得分；</w:t>
            </w:r>
          </w:p>
          <w:p w14:paraId="519ADA9D">
            <w:pPr>
              <w:keepNext w:val="0"/>
              <w:keepLines w:val="0"/>
              <w:pageBreakBefore w:val="0"/>
              <w:widowControl w:val="0"/>
              <w:kinsoku/>
              <w:wordWrap/>
              <w:overflowPunct/>
              <w:topLinePunct w:val="0"/>
              <w:autoSpaceDE/>
              <w:autoSpaceDN/>
              <w:bidi w:val="0"/>
              <w:adjustRightInd/>
              <w:snapToGrid/>
              <w:spacing w:line="240" w:lineRule="auto"/>
              <w:jc w:val="left"/>
              <w:textAlignment w:val="auto"/>
              <w:rPr>
                <w:rFonts w:hint="eastAsia" w:ascii="宋体" w:hAnsi="宋体" w:eastAsia="宋体" w:cs="宋体"/>
                <w:color w:val="auto"/>
                <w:kern w:val="0"/>
                <w:szCs w:val="21"/>
              </w:rPr>
            </w:pPr>
            <w:r>
              <w:rPr>
                <w:rFonts w:hint="eastAsia" w:ascii="宋体" w:hAnsi="宋体" w:eastAsia="宋体" w:cs="宋体"/>
                <w:color w:val="auto"/>
                <w:kern w:val="0"/>
                <w:szCs w:val="21"/>
              </w:rPr>
              <w:t>注：须提供相关证明</w:t>
            </w:r>
            <w:r>
              <w:rPr>
                <w:rFonts w:hint="eastAsia" w:ascii="宋体" w:hAnsi="宋体" w:eastAsia="宋体" w:cs="宋体"/>
                <w:color w:val="auto"/>
                <w:kern w:val="0"/>
                <w:szCs w:val="21"/>
                <w:lang w:val="en-US" w:eastAsia="zh-CN"/>
              </w:rPr>
              <w:t>材料</w:t>
            </w:r>
            <w:r>
              <w:rPr>
                <w:rFonts w:hint="eastAsia" w:ascii="宋体" w:hAnsi="宋体" w:eastAsia="宋体" w:cs="宋体"/>
                <w:color w:val="auto"/>
                <w:kern w:val="0"/>
                <w:szCs w:val="21"/>
              </w:rPr>
              <w:t>复印件并加盖公章，不提供不得分。</w:t>
            </w:r>
          </w:p>
        </w:tc>
        <w:tc>
          <w:tcPr>
            <w:tcW w:w="526" w:type="pct"/>
            <w:tcBorders>
              <w:top w:val="single" w:color="auto" w:sz="4" w:space="0"/>
              <w:left w:val="single" w:color="auto" w:sz="4" w:space="0"/>
              <w:bottom w:val="single" w:color="auto" w:sz="4" w:space="0"/>
              <w:right w:val="single" w:color="auto" w:sz="4" w:space="0"/>
            </w:tcBorders>
            <w:noWrap w:val="0"/>
            <w:vAlign w:val="center"/>
          </w:tcPr>
          <w:p w14:paraId="6F848E95">
            <w:pPr>
              <w:pStyle w:val="16"/>
              <w:snapToGrid w:val="0"/>
              <w:jc w:val="center"/>
              <w:rPr>
                <w:rFonts w:hint="default" w:eastAsia="宋体"/>
                <w:color w:val="auto"/>
                <w:sz w:val="21"/>
                <w:szCs w:val="21"/>
                <w:lang w:val="en-US" w:eastAsia="zh-CN"/>
              </w:rPr>
            </w:pPr>
            <w:r>
              <w:rPr>
                <w:rFonts w:hint="eastAsia"/>
                <w:color w:val="auto"/>
                <w:sz w:val="21"/>
                <w:szCs w:val="21"/>
                <w:highlight w:val="none"/>
                <w:lang w:val="en-US" w:eastAsia="zh-CN"/>
              </w:rPr>
              <w:t>10</w:t>
            </w:r>
          </w:p>
        </w:tc>
      </w:tr>
      <w:tr w14:paraId="4B3B41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7" w:hRule="atLeast"/>
        </w:trPr>
        <w:tc>
          <w:tcPr>
            <w:tcW w:w="4473" w:type="pct"/>
            <w:gridSpan w:val="3"/>
            <w:tcBorders>
              <w:top w:val="single" w:color="auto" w:sz="4" w:space="0"/>
              <w:left w:val="single" w:color="auto" w:sz="4" w:space="0"/>
              <w:bottom w:val="single" w:color="auto" w:sz="4" w:space="0"/>
              <w:right w:val="single" w:color="auto" w:sz="4" w:space="0"/>
            </w:tcBorders>
            <w:noWrap w:val="0"/>
            <w:vAlign w:val="center"/>
          </w:tcPr>
          <w:p w14:paraId="1159CD33">
            <w:pPr>
              <w:jc w:val="center"/>
              <w:rPr>
                <w:rFonts w:hint="eastAsia" w:ascii="宋体" w:hAnsi="宋体" w:eastAsia="宋体" w:cs="宋体"/>
                <w:color w:val="auto"/>
                <w:kern w:val="0"/>
                <w:szCs w:val="21"/>
              </w:rPr>
            </w:pPr>
            <w:r>
              <w:rPr>
                <w:rFonts w:hint="eastAsia" w:ascii="宋体" w:hAnsi="宋体" w:eastAsia="宋体" w:cs="宋体"/>
                <w:color w:val="auto"/>
                <w:kern w:val="0"/>
                <w:szCs w:val="21"/>
              </w:rPr>
              <w:t>合  计</w:t>
            </w:r>
          </w:p>
        </w:tc>
        <w:tc>
          <w:tcPr>
            <w:tcW w:w="526" w:type="pct"/>
            <w:tcBorders>
              <w:top w:val="single" w:color="auto" w:sz="4" w:space="0"/>
              <w:left w:val="single" w:color="auto" w:sz="4" w:space="0"/>
              <w:bottom w:val="single" w:color="auto" w:sz="4" w:space="0"/>
              <w:right w:val="single" w:color="auto" w:sz="4" w:space="0"/>
            </w:tcBorders>
            <w:noWrap w:val="0"/>
            <w:vAlign w:val="center"/>
          </w:tcPr>
          <w:p w14:paraId="0723AC72">
            <w:pPr>
              <w:jc w:val="center"/>
              <w:rPr>
                <w:rFonts w:hint="eastAsia" w:ascii="宋体" w:hAnsi="宋体" w:eastAsia="宋体" w:cs="宋体"/>
                <w:color w:val="auto"/>
                <w:kern w:val="0"/>
                <w:szCs w:val="21"/>
              </w:rPr>
            </w:pPr>
            <w:r>
              <w:rPr>
                <w:rFonts w:hint="eastAsia" w:ascii="宋体" w:hAnsi="宋体" w:eastAsia="宋体" w:cs="宋体"/>
                <w:color w:val="auto"/>
                <w:kern w:val="0"/>
                <w:szCs w:val="21"/>
              </w:rPr>
              <w:t>100</w:t>
            </w:r>
          </w:p>
        </w:tc>
      </w:tr>
    </w:tbl>
    <w:p w14:paraId="25510332">
      <w:pPr>
        <w:pStyle w:val="2"/>
        <w:rPr>
          <w:rFonts w:hint="eastAsia" w:ascii="宋体" w:hAnsi="宋体" w:eastAsia="宋体" w:cs="宋体"/>
          <w:color w:val="auto"/>
          <w:highlight w:val="none"/>
        </w:rPr>
      </w:pPr>
    </w:p>
    <w:p w14:paraId="2B15A21B">
      <w:pPr>
        <w:pStyle w:val="2"/>
        <w:rPr>
          <w:rFonts w:hint="eastAsia" w:ascii="宋体" w:hAnsi="宋体" w:eastAsia="宋体" w:cs="宋体"/>
          <w:color w:val="auto"/>
          <w:highlight w:val="none"/>
        </w:rPr>
      </w:pPr>
    </w:p>
    <w:p w14:paraId="2D5CFCBE">
      <w:pPr>
        <w:rPr>
          <w:rFonts w:hint="eastAsia" w:ascii="宋体" w:hAnsi="宋体" w:eastAsia="宋体" w:cs="宋体"/>
          <w:color w:val="auto"/>
          <w:highlight w:val="none"/>
        </w:rPr>
      </w:pPr>
      <w:r>
        <w:rPr>
          <w:rFonts w:hint="eastAsia" w:ascii="宋体" w:hAnsi="宋体" w:eastAsia="宋体" w:cs="宋体"/>
          <w:color w:val="auto"/>
          <w:highlight w:val="none"/>
        </w:rPr>
        <w:br w:type="page"/>
      </w:r>
    </w:p>
    <w:p w14:paraId="1F64BC68">
      <w:pPr>
        <w:pStyle w:val="2"/>
        <w:rPr>
          <w:rFonts w:hint="eastAsia" w:ascii="宋体" w:hAnsi="宋体" w:eastAsia="宋体" w:cs="宋体"/>
          <w:color w:val="auto"/>
          <w:highlight w:val="none"/>
        </w:rPr>
      </w:pPr>
      <w:r>
        <w:rPr>
          <w:rFonts w:hint="eastAsia" w:ascii="宋体" w:hAnsi="宋体" w:eastAsia="宋体" w:cs="宋体"/>
          <w:color w:val="auto"/>
          <w:highlight w:val="none"/>
        </w:rPr>
        <w:t>第五章 合同条款及格式</w:t>
      </w:r>
    </w:p>
    <w:p w14:paraId="6B54E5A7">
      <w:pPr>
        <w:rPr>
          <w:rFonts w:hint="eastAsia" w:ascii="宋体" w:hAnsi="宋体" w:eastAsia="宋体" w:cs="宋体"/>
          <w:color w:val="auto"/>
          <w:highlight w:val="none"/>
        </w:rPr>
      </w:pPr>
    </w:p>
    <w:p w14:paraId="094677FB">
      <w:pPr>
        <w:pStyle w:val="26"/>
        <w:ind w:left="0" w:leftChars="0" w:firstLine="0" w:firstLineChars="0"/>
        <w:rPr>
          <w:rFonts w:hint="eastAsia" w:ascii="宋体" w:hAnsi="宋体" w:eastAsia="宋体" w:cs="宋体"/>
          <w:color w:val="auto"/>
          <w:szCs w:val="21"/>
          <w:highlight w:val="none"/>
        </w:rPr>
      </w:pPr>
    </w:p>
    <w:p w14:paraId="0E5C8831">
      <w:pPr>
        <w:tabs>
          <w:tab w:val="left" w:pos="720"/>
        </w:tabs>
        <w:jc w:val="both"/>
        <w:rPr>
          <w:rFonts w:hint="eastAsia" w:ascii="宋体" w:hAnsi="宋体" w:eastAsia="宋体" w:cs="宋体"/>
          <w:b/>
          <w:color w:val="auto"/>
          <w:sz w:val="84"/>
          <w:szCs w:val="84"/>
          <w:highlight w:val="none"/>
        </w:rPr>
      </w:pPr>
    </w:p>
    <w:p w14:paraId="59A3F63B">
      <w:pPr>
        <w:tabs>
          <w:tab w:val="left" w:pos="720"/>
        </w:tabs>
        <w:rPr>
          <w:rFonts w:hint="eastAsia" w:ascii="宋体" w:hAnsi="宋体" w:eastAsia="宋体" w:cs="宋体"/>
          <w:b/>
          <w:color w:val="auto"/>
          <w:szCs w:val="21"/>
          <w:highlight w:val="none"/>
        </w:rPr>
      </w:pPr>
    </w:p>
    <w:p w14:paraId="2741FC09">
      <w:pPr>
        <w:keepNext w:val="0"/>
        <w:keepLines w:val="0"/>
        <w:pageBreakBefore w:val="0"/>
        <w:kinsoku/>
        <w:wordWrap/>
        <w:overflowPunct/>
        <w:topLinePunct w:val="0"/>
        <w:autoSpaceDE/>
        <w:autoSpaceDN/>
        <w:bidi w:val="0"/>
        <w:adjustRightInd/>
        <w:snapToGrid/>
        <w:ind w:firstLine="0" w:firstLineChars="0"/>
        <w:jc w:val="center"/>
        <w:textAlignment w:val="auto"/>
        <w:rPr>
          <w:rFonts w:hint="eastAsia" w:ascii="宋体" w:hAnsi="宋体" w:eastAsia="宋体" w:cs="宋体"/>
          <w:b/>
          <w:color w:val="auto"/>
          <w:sz w:val="72"/>
          <w:szCs w:val="72"/>
        </w:rPr>
      </w:pPr>
      <w:r>
        <w:rPr>
          <w:rFonts w:hint="eastAsia" w:ascii="宋体" w:hAnsi="宋体" w:eastAsia="宋体" w:cs="宋体"/>
          <w:b/>
          <w:color w:val="auto"/>
          <w:sz w:val="72"/>
          <w:szCs w:val="72"/>
          <w:lang w:val="en-US" w:eastAsia="zh-CN"/>
        </w:rPr>
        <w:t>韶关市武江区养老服务中心（一期）委托运营管理项目</w:t>
      </w:r>
      <w:r>
        <w:rPr>
          <w:rFonts w:hint="eastAsia" w:ascii="宋体" w:hAnsi="宋体" w:eastAsia="宋体" w:cs="宋体"/>
          <w:b/>
          <w:color w:val="auto"/>
          <w:sz w:val="72"/>
          <w:szCs w:val="72"/>
        </w:rPr>
        <w:t>合同书</w:t>
      </w:r>
    </w:p>
    <w:p w14:paraId="6B7FD581">
      <w:pPr>
        <w:keepNext w:val="0"/>
        <w:keepLines w:val="0"/>
        <w:pageBreakBefore w:val="0"/>
        <w:kinsoku/>
        <w:wordWrap/>
        <w:overflowPunct/>
        <w:topLinePunct w:val="0"/>
        <w:autoSpaceDE/>
        <w:autoSpaceDN/>
        <w:bidi w:val="0"/>
        <w:adjustRightInd/>
        <w:snapToGrid/>
        <w:ind w:firstLine="0" w:firstLineChars="0"/>
        <w:jc w:val="center"/>
        <w:textAlignment w:val="auto"/>
        <w:rPr>
          <w:rFonts w:hint="eastAsia" w:ascii="宋体" w:hAnsi="宋体" w:eastAsia="宋体" w:cs="宋体"/>
          <w:color w:val="auto"/>
          <w:sz w:val="21"/>
          <w:szCs w:val="21"/>
          <w:lang w:eastAsia="zh-CN"/>
        </w:rPr>
      </w:pPr>
    </w:p>
    <w:p w14:paraId="795B519E">
      <w:pPr>
        <w:keepNext w:val="0"/>
        <w:keepLines w:val="0"/>
        <w:pageBreakBefore w:val="0"/>
        <w:kinsoku/>
        <w:wordWrap/>
        <w:overflowPunct/>
        <w:topLinePunct w:val="0"/>
        <w:autoSpaceDE/>
        <w:autoSpaceDN/>
        <w:bidi w:val="0"/>
        <w:adjustRightInd/>
        <w:snapToGrid/>
        <w:ind w:firstLine="0" w:firstLineChars="0"/>
        <w:textAlignment w:val="auto"/>
        <w:rPr>
          <w:rFonts w:hint="eastAsia" w:ascii="宋体" w:hAnsi="宋体" w:eastAsia="宋体" w:cs="宋体"/>
          <w:color w:val="auto"/>
          <w:sz w:val="21"/>
          <w:szCs w:val="21"/>
        </w:rPr>
      </w:pPr>
    </w:p>
    <w:p w14:paraId="156FCBF8">
      <w:pPr>
        <w:keepNext w:val="0"/>
        <w:keepLines w:val="0"/>
        <w:pageBreakBefore w:val="0"/>
        <w:kinsoku/>
        <w:wordWrap/>
        <w:overflowPunct/>
        <w:topLinePunct w:val="0"/>
        <w:autoSpaceDE/>
        <w:autoSpaceDN/>
        <w:bidi w:val="0"/>
        <w:adjustRightInd/>
        <w:snapToGrid/>
        <w:spacing w:line="360" w:lineRule="auto"/>
        <w:ind w:firstLine="0" w:firstLineChars="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　</w:t>
      </w:r>
    </w:p>
    <w:p w14:paraId="71893D3B">
      <w:pPr>
        <w:keepNext w:val="0"/>
        <w:keepLines w:val="0"/>
        <w:pageBreakBefore w:val="0"/>
        <w:kinsoku/>
        <w:wordWrap/>
        <w:overflowPunct/>
        <w:topLinePunct w:val="0"/>
        <w:autoSpaceDE/>
        <w:autoSpaceDN/>
        <w:bidi w:val="0"/>
        <w:adjustRightInd/>
        <w:snapToGrid/>
        <w:spacing w:line="360" w:lineRule="auto"/>
        <w:ind w:firstLine="0" w:firstLineChars="0"/>
        <w:textAlignment w:val="auto"/>
        <w:rPr>
          <w:rFonts w:hint="eastAsia" w:ascii="宋体" w:hAnsi="宋体" w:eastAsia="宋体" w:cs="宋体"/>
          <w:color w:val="auto"/>
          <w:sz w:val="21"/>
          <w:szCs w:val="21"/>
        </w:rPr>
      </w:pPr>
    </w:p>
    <w:p w14:paraId="454D5580">
      <w:pPr>
        <w:keepNext w:val="0"/>
        <w:keepLines w:val="0"/>
        <w:pageBreakBefore w:val="0"/>
        <w:tabs>
          <w:tab w:val="left" w:pos="720"/>
        </w:tabs>
        <w:kinsoku/>
        <w:wordWrap/>
        <w:overflowPunct/>
        <w:topLinePunct w:val="0"/>
        <w:autoSpaceDE/>
        <w:autoSpaceDN/>
        <w:bidi w:val="0"/>
        <w:adjustRightInd/>
        <w:snapToGrid/>
        <w:spacing w:line="360" w:lineRule="auto"/>
        <w:ind w:leftChars="800" w:firstLine="0" w:firstLineChars="0"/>
        <w:jc w:val="both"/>
        <w:textAlignment w:val="auto"/>
        <w:rPr>
          <w:rFonts w:hint="eastAsia" w:ascii="宋体" w:hAnsi="宋体" w:eastAsia="宋体" w:cs="宋体"/>
          <w:b/>
          <w:color w:val="auto"/>
          <w:sz w:val="21"/>
          <w:szCs w:val="21"/>
        </w:rPr>
      </w:pPr>
    </w:p>
    <w:p w14:paraId="2641E84A">
      <w:pPr>
        <w:keepNext w:val="0"/>
        <w:keepLines w:val="0"/>
        <w:pageBreakBefore w:val="0"/>
        <w:tabs>
          <w:tab w:val="left" w:pos="720"/>
        </w:tabs>
        <w:kinsoku/>
        <w:wordWrap/>
        <w:overflowPunct/>
        <w:topLinePunct w:val="0"/>
        <w:autoSpaceDE/>
        <w:autoSpaceDN/>
        <w:bidi w:val="0"/>
        <w:adjustRightInd/>
        <w:snapToGrid/>
        <w:spacing w:line="360" w:lineRule="auto"/>
        <w:ind w:leftChars="800" w:firstLine="0" w:firstLineChars="0"/>
        <w:jc w:val="both"/>
        <w:textAlignment w:val="auto"/>
        <w:rPr>
          <w:rFonts w:hint="eastAsia" w:ascii="宋体" w:hAnsi="宋体" w:eastAsia="宋体" w:cs="宋体"/>
          <w:b/>
          <w:color w:val="auto"/>
          <w:sz w:val="21"/>
          <w:szCs w:val="21"/>
        </w:rPr>
      </w:pPr>
    </w:p>
    <w:p w14:paraId="680A31DA">
      <w:pPr>
        <w:keepNext w:val="0"/>
        <w:keepLines w:val="0"/>
        <w:pageBreakBefore w:val="0"/>
        <w:tabs>
          <w:tab w:val="left" w:pos="720"/>
        </w:tabs>
        <w:kinsoku/>
        <w:wordWrap/>
        <w:overflowPunct/>
        <w:topLinePunct w:val="0"/>
        <w:autoSpaceDE/>
        <w:autoSpaceDN/>
        <w:bidi w:val="0"/>
        <w:adjustRightInd/>
        <w:snapToGrid/>
        <w:spacing w:line="360" w:lineRule="auto"/>
        <w:ind w:leftChars="800" w:firstLine="0" w:firstLineChars="0"/>
        <w:jc w:val="both"/>
        <w:textAlignment w:val="auto"/>
        <w:rPr>
          <w:rFonts w:hint="eastAsia" w:ascii="宋体" w:hAnsi="宋体" w:eastAsia="宋体" w:cs="宋体"/>
          <w:b/>
          <w:color w:val="auto"/>
          <w:sz w:val="21"/>
          <w:szCs w:val="21"/>
        </w:rPr>
      </w:pPr>
    </w:p>
    <w:p w14:paraId="52C1E14D">
      <w:pPr>
        <w:keepNext w:val="0"/>
        <w:keepLines w:val="0"/>
        <w:pageBreakBefore w:val="0"/>
        <w:tabs>
          <w:tab w:val="left" w:pos="720"/>
        </w:tabs>
        <w:kinsoku/>
        <w:wordWrap/>
        <w:overflowPunct/>
        <w:topLinePunct w:val="0"/>
        <w:autoSpaceDE/>
        <w:autoSpaceDN/>
        <w:bidi w:val="0"/>
        <w:adjustRightInd/>
        <w:snapToGrid/>
        <w:spacing w:line="360" w:lineRule="auto"/>
        <w:ind w:leftChars="800" w:firstLine="0" w:firstLineChars="0"/>
        <w:jc w:val="both"/>
        <w:textAlignment w:val="auto"/>
        <w:rPr>
          <w:rFonts w:hint="eastAsia" w:ascii="宋体" w:hAnsi="宋体" w:eastAsia="宋体" w:cs="宋体"/>
          <w:b/>
          <w:color w:val="auto"/>
          <w:sz w:val="21"/>
          <w:szCs w:val="21"/>
        </w:rPr>
      </w:pPr>
    </w:p>
    <w:p w14:paraId="2D6F0B71">
      <w:pPr>
        <w:keepNext w:val="0"/>
        <w:keepLines w:val="0"/>
        <w:pageBreakBefore w:val="0"/>
        <w:tabs>
          <w:tab w:val="left" w:pos="720"/>
        </w:tabs>
        <w:kinsoku/>
        <w:wordWrap/>
        <w:overflowPunct/>
        <w:topLinePunct w:val="0"/>
        <w:autoSpaceDE/>
        <w:autoSpaceDN/>
        <w:bidi w:val="0"/>
        <w:adjustRightInd/>
        <w:snapToGrid/>
        <w:spacing w:line="360" w:lineRule="auto"/>
        <w:ind w:leftChars="800" w:firstLine="0" w:firstLineChars="0"/>
        <w:jc w:val="both"/>
        <w:textAlignment w:val="auto"/>
        <w:rPr>
          <w:rFonts w:hint="eastAsia" w:ascii="宋体" w:hAnsi="宋体" w:eastAsia="宋体" w:cs="宋体"/>
          <w:b/>
          <w:color w:val="auto"/>
          <w:sz w:val="30"/>
          <w:szCs w:val="30"/>
          <w:lang w:val="en-US" w:eastAsia="zh-CN"/>
        </w:rPr>
      </w:pPr>
      <w:r>
        <w:rPr>
          <w:rFonts w:hint="eastAsia" w:ascii="宋体" w:hAnsi="宋体" w:eastAsia="宋体" w:cs="宋体"/>
          <w:b/>
          <w:color w:val="auto"/>
          <w:sz w:val="30"/>
          <w:szCs w:val="30"/>
        </w:rPr>
        <w:t>项目编号：</w:t>
      </w:r>
      <w:r>
        <w:rPr>
          <w:rFonts w:hint="eastAsia" w:ascii="宋体" w:hAnsi="宋体" w:eastAsia="宋体" w:cs="宋体"/>
          <w:b/>
          <w:color w:val="auto"/>
          <w:sz w:val="30"/>
          <w:szCs w:val="30"/>
          <w:lang w:val="en-US" w:eastAsia="zh-CN"/>
        </w:rPr>
        <w:t>XXX</w:t>
      </w:r>
      <w:r>
        <w:rPr>
          <w:rFonts w:hint="eastAsia" w:ascii="宋体" w:hAnsi="宋体" w:eastAsia="宋体" w:cs="宋体"/>
          <w:b/>
          <w:color w:val="auto"/>
          <w:sz w:val="30"/>
          <w:szCs w:val="30"/>
        </w:rPr>
        <w:t>X-202</w:t>
      </w:r>
      <w:r>
        <w:rPr>
          <w:rFonts w:hint="eastAsia" w:ascii="宋体" w:hAnsi="宋体" w:eastAsia="宋体" w:cs="宋体"/>
          <w:b/>
          <w:color w:val="auto"/>
          <w:sz w:val="30"/>
          <w:szCs w:val="30"/>
          <w:lang w:val="en-US" w:eastAsia="zh-CN"/>
        </w:rPr>
        <w:t>5</w:t>
      </w:r>
      <w:r>
        <w:rPr>
          <w:rFonts w:hint="eastAsia" w:ascii="宋体" w:hAnsi="宋体" w:eastAsia="宋体" w:cs="宋体"/>
          <w:b/>
          <w:color w:val="auto"/>
          <w:sz w:val="30"/>
          <w:szCs w:val="30"/>
        </w:rPr>
        <w:t>-</w:t>
      </w:r>
      <w:r>
        <w:rPr>
          <w:rFonts w:hint="eastAsia" w:ascii="宋体" w:hAnsi="宋体" w:eastAsia="宋体" w:cs="宋体"/>
          <w:b/>
          <w:color w:val="auto"/>
          <w:sz w:val="30"/>
          <w:szCs w:val="30"/>
          <w:lang w:val="en-US" w:eastAsia="zh-CN"/>
        </w:rPr>
        <w:t>XXX</w:t>
      </w:r>
    </w:p>
    <w:p w14:paraId="08E46A50">
      <w:pPr>
        <w:keepNext w:val="0"/>
        <w:keepLines w:val="0"/>
        <w:pageBreakBefore w:val="0"/>
        <w:tabs>
          <w:tab w:val="left" w:pos="720"/>
        </w:tabs>
        <w:kinsoku/>
        <w:wordWrap/>
        <w:overflowPunct/>
        <w:topLinePunct w:val="0"/>
        <w:autoSpaceDE/>
        <w:autoSpaceDN/>
        <w:bidi w:val="0"/>
        <w:adjustRightInd/>
        <w:snapToGrid/>
        <w:spacing w:line="360" w:lineRule="auto"/>
        <w:ind w:leftChars="800" w:firstLine="0" w:firstLineChars="0"/>
        <w:jc w:val="both"/>
        <w:textAlignment w:val="auto"/>
        <w:rPr>
          <w:rFonts w:hint="eastAsia" w:ascii="宋体" w:hAnsi="宋体" w:eastAsia="宋体" w:cs="宋体"/>
          <w:b/>
          <w:color w:val="auto"/>
          <w:sz w:val="30"/>
          <w:szCs w:val="30"/>
          <w:lang w:val="en-US" w:eastAsia="zh-CN"/>
        </w:rPr>
      </w:pPr>
      <w:r>
        <w:rPr>
          <w:rFonts w:hint="eastAsia" w:ascii="宋体" w:hAnsi="宋体" w:eastAsia="宋体" w:cs="宋体"/>
          <w:b/>
          <w:color w:val="auto"/>
          <w:sz w:val="30"/>
          <w:szCs w:val="30"/>
          <w:lang w:val="en-US" w:eastAsia="zh-CN"/>
        </w:rPr>
        <w:t>甲方：</w:t>
      </w:r>
    </w:p>
    <w:p w14:paraId="5CF89505">
      <w:pPr>
        <w:keepNext w:val="0"/>
        <w:keepLines w:val="0"/>
        <w:pageBreakBefore w:val="0"/>
        <w:tabs>
          <w:tab w:val="left" w:pos="720"/>
        </w:tabs>
        <w:kinsoku/>
        <w:wordWrap/>
        <w:overflowPunct/>
        <w:topLinePunct w:val="0"/>
        <w:autoSpaceDE/>
        <w:autoSpaceDN/>
        <w:bidi w:val="0"/>
        <w:adjustRightInd/>
        <w:snapToGrid/>
        <w:spacing w:line="360" w:lineRule="auto"/>
        <w:ind w:leftChars="800" w:firstLine="0" w:firstLineChars="0"/>
        <w:jc w:val="both"/>
        <w:textAlignment w:val="auto"/>
        <w:rPr>
          <w:rFonts w:hint="eastAsia" w:ascii="宋体" w:hAnsi="宋体" w:eastAsia="宋体" w:cs="宋体"/>
          <w:b/>
          <w:color w:val="auto"/>
          <w:sz w:val="30"/>
          <w:szCs w:val="30"/>
          <w:lang w:val="en-US" w:eastAsia="zh-CN"/>
        </w:rPr>
      </w:pPr>
      <w:r>
        <w:rPr>
          <w:rFonts w:hint="eastAsia" w:ascii="宋体" w:hAnsi="宋体" w:eastAsia="宋体" w:cs="宋体"/>
          <w:b/>
          <w:color w:val="auto"/>
          <w:sz w:val="30"/>
          <w:szCs w:val="30"/>
          <w:lang w:val="en-US" w:eastAsia="zh-CN"/>
        </w:rPr>
        <w:t>乙方：xx公司</w:t>
      </w:r>
    </w:p>
    <w:p w14:paraId="3D348200">
      <w:pPr>
        <w:rPr>
          <w:rFonts w:hint="eastAsia" w:ascii="宋体" w:hAnsi="宋体" w:eastAsia="宋体" w:cs="宋体"/>
          <w:b/>
          <w:color w:val="auto"/>
          <w:szCs w:val="21"/>
        </w:rPr>
      </w:pPr>
    </w:p>
    <w:p w14:paraId="29BD18E3">
      <w:pPr>
        <w:rPr>
          <w:rFonts w:hint="eastAsia" w:ascii="宋体" w:hAnsi="宋体" w:eastAsia="宋体" w:cs="宋体"/>
          <w:b/>
          <w:color w:val="auto"/>
          <w:szCs w:val="21"/>
        </w:rPr>
      </w:pPr>
    </w:p>
    <w:p w14:paraId="019CCDE6">
      <w:pPr>
        <w:rPr>
          <w:rFonts w:hint="eastAsia" w:ascii="宋体" w:hAnsi="宋体" w:eastAsia="宋体" w:cs="宋体"/>
          <w:b/>
          <w:color w:val="auto"/>
          <w:szCs w:val="21"/>
        </w:rPr>
      </w:pPr>
    </w:p>
    <w:p w14:paraId="50E65EE9">
      <w:pPr>
        <w:rPr>
          <w:rFonts w:hint="eastAsia" w:ascii="宋体" w:hAnsi="宋体" w:eastAsia="宋体" w:cs="宋体"/>
          <w:b/>
          <w:color w:val="auto"/>
          <w:szCs w:val="21"/>
        </w:rPr>
      </w:pPr>
    </w:p>
    <w:p w14:paraId="5AC2DA77">
      <w:pPr>
        <w:rPr>
          <w:rFonts w:hint="eastAsia" w:ascii="宋体" w:hAnsi="宋体" w:eastAsia="宋体" w:cs="宋体"/>
          <w:b/>
          <w:color w:val="auto"/>
          <w:szCs w:val="21"/>
        </w:rPr>
      </w:pPr>
    </w:p>
    <w:p w14:paraId="6AE04DEF">
      <w:pPr>
        <w:rPr>
          <w:rFonts w:hint="eastAsia" w:ascii="宋体" w:hAnsi="宋体" w:eastAsia="宋体" w:cs="宋体"/>
          <w:b/>
          <w:color w:val="auto"/>
          <w:szCs w:val="21"/>
        </w:rPr>
      </w:pPr>
    </w:p>
    <w:p w14:paraId="15C99F41">
      <w:pPr>
        <w:jc w:val="center"/>
        <w:rPr>
          <w:rFonts w:hint="eastAsia" w:ascii="宋体" w:hAnsi="宋体" w:eastAsia="宋体" w:cs="宋体"/>
          <w:color w:val="auto"/>
          <w:sz w:val="21"/>
          <w:szCs w:val="21"/>
          <w:lang w:eastAsia="zh-CN"/>
        </w:rPr>
      </w:pPr>
      <w:r>
        <w:rPr>
          <w:rFonts w:hint="eastAsia" w:ascii="宋体" w:hAnsi="宋体" w:eastAsia="宋体" w:cs="宋体"/>
          <w:b w:val="0"/>
          <w:bCs/>
          <w:color w:val="auto"/>
          <w:szCs w:val="21"/>
        </w:rPr>
        <w:t>注：本合同仅为合同的参考文本，合同签订双方可根据项目的具体要求进行修订。</w:t>
      </w:r>
      <w:r>
        <w:rPr>
          <w:rFonts w:hint="eastAsia" w:ascii="宋体" w:hAnsi="宋体" w:eastAsia="宋体" w:cs="宋体"/>
          <w:b/>
          <w:color w:val="auto"/>
          <w:sz w:val="21"/>
          <w:szCs w:val="21"/>
        </w:rPr>
        <w:br w:type="page"/>
      </w:r>
    </w:p>
    <w:p w14:paraId="4022F4BF">
      <w:pPr>
        <w:keepNext w:val="0"/>
        <w:keepLines w:val="0"/>
        <w:pageBreakBefore w:val="0"/>
        <w:kinsoku/>
        <w:wordWrap w:val="0"/>
        <w:overflowPunct/>
        <w:topLinePunct w:val="0"/>
        <w:autoSpaceDE/>
        <w:autoSpaceDN/>
        <w:bidi w:val="0"/>
        <w:adjustRightInd w:val="0"/>
        <w:snapToGrid w:val="0"/>
        <w:spacing w:line="360" w:lineRule="auto"/>
        <w:ind w:firstLine="0" w:firstLineChars="0"/>
        <w:jc w:val="center"/>
        <w:textAlignment w:val="auto"/>
        <w:rPr>
          <w:rFonts w:hint="eastAsia" w:ascii="宋体" w:hAnsi="宋体" w:eastAsia="宋体" w:cs="宋体"/>
          <w:color w:val="auto"/>
          <w:sz w:val="21"/>
          <w:szCs w:val="21"/>
        </w:rPr>
      </w:pPr>
    </w:p>
    <w:p w14:paraId="50035576">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甲方（</w:t>
      </w:r>
      <w:r>
        <w:rPr>
          <w:rFonts w:hint="eastAsia" w:ascii="宋体" w:hAnsi="宋体" w:eastAsia="宋体" w:cs="宋体"/>
          <w:color w:val="auto"/>
          <w:sz w:val="21"/>
          <w:szCs w:val="21"/>
          <w:lang w:eastAsia="zh-CN"/>
        </w:rPr>
        <w:t>甲方</w:t>
      </w:r>
      <w:r>
        <w:rPr>
          <w:rFonts w:hint="eastAsia" w:ascii="宋体" w:hAnsi="宋体" w:eastAsia="宋体" w:cs="宋体"/>
          <w:color w:val="auto"/>
          <w:sz w:val="21"/>
          <w:szCs w:val="21"/>
        </w:rPr>
        <w:t>）：_________________________________</w:t>
      </w:r>
    </w:p>
    <w:p w14:paraId="37BCE7C1">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地址：_________________________________</w:t>
      </w:r>
    </w:p>
    <w:p w14:paraId="3E0BD6D0">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法定代表人：_________________________________</w:t>
      </w:r>
    </w:p>
    <w:p w14:paraId="355D9417">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color w:val="auto"/>
          <w:sz w:val="21"/>
          <w:szCs w:val="21"/>
        </w:rPr>
      </w:pPr>
    </w:p>
    <w:p w14:paraId="28E11600">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乙方（中标方）：_________________________________</w:t>
      </w:r>
    </w:p>
    <w:p w14:paraId="6A413A2A">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地址：_________________________________</w:t>
      </w:r>
    </w:p>
    <w:p w14:paraId="3AB675C6">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法定代表人：_________________________________</w:t>
      </w:r>
    </w:p>
    <w:p w14:paraId="66DA52DA">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lang w:eastAsia="zh-CN"/>
        </w:rPr>
        <w:t>韶关市武江区养老服务中心（一期）</w:t>
      </w:r>
      <w:r>
        <w:rPr>
          <w:rFonts w:hint="eastAsia" w:ascii="宋体" w:hAnsi="宋体" w:eastAsia="宋体" w:cs="宋体"/>
          <w:color w:val="auto"/>
          <w:sz w:val="21"/>
          <w:szCs w:val="21"/>
          <w:highlight w:val="none"/>
          <w:lang w:val="en-US" w:eastAsia="zh-CN"/>
        </w:rPr>
        <w:t>概算</w:t>
      </w:r>
      <w:r>
        <w:rPr>
          <w:rFonts w:hint="eastAsia" w:ascii="宋体" w:hAnsi="宋体" w:eastAsia="宋体" w:cs="宋体"/>
          <w:color w:val="auto"/>
          <w:sz w:val="21"/>
          <w:szCs w:val="21"/>
          <w:highlight w:val="none"/>
        </w:rPr>
        <w:t>总投资11290.79万元，总用地面积</w:t>
      </w:r>
      <w:r>
        <w:rPr>
          <w:rFonts w:hint="eastAsia" w:ascii="宋体" w:hAnsi="宋体" w:eastAsia="宋体" w:cs="宋体"/>
          <w:color w:val="auto"/>
          <w:sz w:val="21"/>
          <w:szCs w:val="21"/>
          <w:highlight w:val="none"/>
          <w:lang w:val="en-US" w:eastAsia="zh-CN"/>
        </w:rPr>
        <w:t>9814</w:t>
      </w:r>
      <w:r>
        <w:rPr>
          <w:rFonts w:hint="eastAsia" w:ascii="宋体" w:hAnsi="宋体" w:eastAsia="宋体" w:cs="宋体"/>
          <w:color w:val="auto"/>
          <w:sz w:val="21"/>
          <w:szCs w:val="21"/>
          <w:highlight w:val="none"/>
        </w:rPr>
        <w:t>平方米（折合</w:t>
      </w:r>
      <w:r>
        <w:rPr>
          <w:rFonts w:hint="eastAsia" w:ascii="宋体" w:hAnsi="宋体" w:eastAsia="宋体" w:cs="宋体"/>
          <w:color w:val="auto"/>
          <w:sz w:val="21"/>
          <w:szCs w:val="21"/>
          <w:highlight w:val="none"/>
          <w:lang w:val="en-US" w:eastAsia="zh-CN"/>
        </w:rPr>
        <w:t>14.72</w:t>
      </w:r>
      <w:r>
        <w:rPr>
          <w:rFonts w:hint="eastAsia" w:ascii="宋体" w:hAnsi="宋体" w:eastAsia="宋体" w:cs="宋体"/>
          <w:color w:val="auto"/>
          <w:sz w:val="21"/>
          <w:szCs w:val="21"/>
          <w:highlight w:val="none"/>
        </w:rPr>
        <w:t>亩），总建筑面积为</w:t>
      </w:r>
      <w:r>
        <w:rPr>
          <w:rFonts w:hint="eastAsia" w:ascii="宋体" w:hAnsi="宋体" w:eastAsia="宋体" w:cs="宋体"/>
          <w:color w:val="auto"/>
          <w:sz w:val="21"/>
          <w:szCs w:val="21"/>
          <w:highlight w:val="none"/>
          <w:lang w:eastAsia="zh-CN"/>
        </w:rPr>
        <w:t>20509.91</w:t>
      </w:r>
      <w:r>
        <w:rPr>
          <w:rFonts w:hint="eastAsia" w:ascii="宋体" w:hAnsi="宋体" w:eastAsia="宋体" w:cs="宋体"/>
          <w:color w:val="auto"/>
          <w:sz w:val="21"/>
          <w:szCs w:val="21"/>
          <w:highlight w:val="none"/>
        </w:rPr>
        <w:t>平方米。主要建设为8栋建筑及连廊、一层地下室，1号</w:t>
      </w:r>
      <w:r>
        <w:rPr>
          <w:rFonts w:hint="eastAsia" w:ascii="宋体" w:hAnsi="宋体" w:eastAsia="宋体" w:cs="宋体"/>
          <w:color w:val="auto"/>
          <w:sz w:val="21"/>
          <w:szCs w:val="21"/>
          <w:highlight w:val="none"/>
          <w:lang w:val="en-US" w:eastAsia="zh-CN"/>
        </w:rPr>
        <w:t>楼</w:t>
      </w:r>
      <w:r>
        <w:rPr>
          <w:rFonts w:hint="eastAsia" w:ascii="宋体" w:hAnsi="宋体" w:eastAsia="宋体" w:cs="宋体"/>
          <w:color w:val="auto"/>
          <w:sz w:val="21"/>
          <w:szCs w:val="21"/>
          <w:highlight w:val="none"/>
        </w:rPr>
        <w:t>建筑面积为1283.11平方米，2号</w:t>
      </w:r>
      <w:r>
        <w:rPr>
          <w:rFonts w:hint="eastAsia" w:ascii="宋体" w:hAnsi="宋体" w:eastAsia="宋体" w:cs="宋体"/>
          <w:color w:val="auto"/>
          <w:sz w:val="21"/>
          <w:szCs w:val="21"/>
          <w:highlight w:val="none"/>
          <w:lang w:val="en-US" w:eastAsia="zh-CN"/>
        </w:rPr>
        <w:t>楼</w:t>
      </w:r>
      <w:r>
        <w:rPr>
          <w:rFonts w:hint="eastAsia" w:ascii="宋体" w:hAnsi="宋体" w:eastAsia="宋体" w:cs="宋体"/>
          <w:color w:val="auto"/>
          <w:sz w:val="21"/>
          <w:szCs w:val="21"/>
          <w:highlight w:val="none"/>
        </w:rPr>
        <w:t>建筑面积为8661.99平方米，</w:t>
      </w:r>
      <w:r>
        <w:rPr>
          <w:rFonts w:hint="eastAsia" w:ascii="宋体" w:hAnsi="宋体" w:eastAsia="宋体" w:cs="宋体"/>
          <w:color w:val="auto"/>
          <w:sz w:val="21"/>
          <w:szCs w:val="21"/>
          <w:highlight w:val="none"/>
          <w:lang w:val="en-US" w:eastAsia="zh-CN"/>
        </w:rPr>
        <w:t>3</w:t>
      </w:r>
      <w:r>
        <w:rPr>
          <w:rFonts w:hint="eastAsia" w:ascii="宋体" w:hAnsi="宋体" w:eastAsia="宋体" w:cs="宋体"/>
          <w:color w:val="auto"/>
          <w:sz w:val="21"/>
          <w:szCs w:val="21"/>
          <w:highlight w:val="none"/>
        </w:rPr>
        <w:t>号</w:t>
      </w:r>
      <w:r>
        <w:rPr>
          <w:rFonts w:hint="eastAsia" w:ascii="宋体" w:hAnsi="宋体" w:eastAsia="宋体" w:cs="宋体"/>
          <w:color w:val="auto"/>
          <w:sz w:val="21"/>
          <w:szCs w:val="21"/>
          <w:highlight w:val="none"/>
          <w:lang w:val="en-US" w:eastAsia="zh-CN"/>
        </w:rPr>
        <w:t>楼</w:t>
      </w:r>
      <w:r>
        <w:rPr>
          <w:rFonts w:hint="eastAsia" w:ascii="宋体" w:hAnsi="宋体" w:eastAsia="宋体" w:cs="宋体"/>
          <w:color w:val="auto"/>
          <w:sz w:val="21"/>
          <w:szCs w:val="21"/>
          <w:highlight w:val="none"/>
        </w:rPr>
        <w:t>建筑面积为5423.43平方米</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rPr>
        <w:t>号</w:t>
      </w:r>
      <w:r>
        <w:rPr>
          <w:rFonts w:hint="eastAsia" w:ascii="宋体" w:hAnsi="宋体" w:eastAsia="宋体" w:cs="宋体"/>
          <w:color w:val="auto"/>
          <w:sz w:val="21"/>
          <w:szCs w:val="21"/>
          <w:highlight w:val="none"/>
          <w:lang w:val="en-US" w:eastAsia="zh-CN"/>
        </w:rPr>
        <w:t>楼</w:t>
      </w:r>
      <w:r>
        <w:rPr>
          <w:rFonts w:hint="eastAsia" w:ascii="宋体" w:hAnsi="宋体" w:eastAsia="宋体" w:cs="宋体"/>
          <w:color w:val="auto"/>
          <w:sz w:val="21"/>
          <w:szCs w:val="21"/>
          <w:highlight w:val="none"/>
        </w:rPr>
        <w:t>建筑面积为2778.92平方米</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5</w:t>
      </w:r>
      <w:r>
        <w:rPr>
          <w:rFonts w:hint="eastAsia" w:ascii="宋体" w:hAnsi="宋体" w:eastAsia="宋体" w:cs="宋体"/>
          <w:color w:val="auto"/>
          <w:sz w:val="21"/>
          <w:szCs w:val="21"/>
          <w:highlight w:val="none"/>
        </w:rPr>
        <w:t>号</w:t>
      </w:r>
      <w:r>
        <w:rPr>
          <w:rFonts w:hint="eastAsia" w:ascii="宋体" w:hAnsi="宋体" w:eastAsia="宋体" w:cs="宋体"/>
          <w:color w:val="auto"/>
          <w:sz w:val="21"/>
          <w:szCs w:val="21"/>
          <w:highlight w:val="none"/>
          <w:lang w:val="en-US" w:eastAsia="zh-CN"/>
        </w:rPr>
        <w:t>楼</w:t>
      </w:r>
      <w:r>
        <w:rPr>
          <w:rFonts w:hint="eastAsia" w:ascii="宋体" w:hAnsi="宋体" w:eastAsia="宋体" w:cs="宋体"/>
          <w:color w:val="auto"/>
          <w:sz w:val="21"/>
          <w:szCs w:val="21"/>
          <w:highlight w:val="none"/>
        </w:rPr>
        <w:t>建筑面积为24.84平方米</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6</w:t>
      </w:r>
      <w:r>
        <w:rPr>
          <w:rFonts w:hint="eastAsia" w:ascii="宋体" w:hAnsi="宋体" w:eastAsia="宋体" w:cs="宋体"/>
          <w:color w:val="auto"/>
          <w:sz w:val="21"/>
          <w:szCs w:val="21"/>
          <w:highlight w:val="none"/>
        </w:rPr>
        <w:t>号</w:t>
      </w:r>
      <w:r>
        <w:rPr>
          <w:rFonts w:hint="eastAsia" w:ascii="宋体" w:hAnsi="宋体" w:eastAsia="宋体" w:cs="宋体"/>
          <w:color w:val="auto"/>
          <w:sz w:val="21"/>
          <w:szCs w:val="21"/>
          <w:highlight w:val="none"/>
          <w:lang w:val="en-US" w:eastAsia="zh-CN"/>
        </w:rPr>
        <w:t>楼</w:t>
      </w:r>
      <w:r>
        <w:rPr>
          <w:rFonts w:hint="eastAsia" w:ascii="宋体" w:hAnsi="宋体" w:eastAsia="宋体" w:cs="宋体"/>
          <w:color w:val="auto"/>
          <w:sz w:val="21"/>
          <w:szCs w:val="21"/>
          <w:highlight w:val="none"/>
        </w:rPr>
        <w:t>建筑面积为30.66平方米</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7</w:t>
      </w:r>
      <w:r>
        <w:rPr>
          <w:rFonts w:hint="eastAsia" w:ascii="宋体" w:hAnsi="宋体" w:eastAsia="宋体" w:cs="宋体"/>
          <w:color w:val="auto"/>
          <w:sz w:val="21"/>
          <w:szCs w:val="21"/>
          <w:highlight w:val="none"/>
        </w:rPr>
        <w:t>号</w:t>
      </w:r>
      <w:r>
        <w:rPr>
          <w:rFonts w:hint="eastAsia" w:ascii="宋体" w:hAnsi="宋体" w:eastAsia="宋体" w:cs="宋体"/>
          <w:color w:val="auto"/>
          <w:sz w:val="21"/>
          <w:szCs w:val="21"/>
          <w:highlight w:val="none"/>
          <w:lang w:val="en-US" w:eastAsia="zh-CN"/>
        </w:rPr>
        <w:t>楼</w:t>
      </w:r>
      <w:r>
        <w:rPr>
          <w:rFonts w:hint="eastAsia" w:ascii="宋体" w:hAnsi="宋体" w:eastAsia="宋体" w:cs="宋体"/>
          <w:color w:val="auto"/>
          <w:sz w:val="21"/>
          <w:szCs w:val="21"/>
          <w:highlight w:val="none"/>
        </w:rPr>
        <w:t>建筑面积为148.50平方米</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地下室</w:t>
      </w:r>
      <w:r>
        <w:rPr>
          <w:rFonts w:hint="eastAsia" w:ascii="宋体" w:hAnsi="宋体" w:eastAsia="宋体" w:cs="宋体"/>
          <w:color w:val="auto"/>
          <w:sz w:val="21"/>
          <w:szCs w:val="21"/>
          <w:highlight w:val="none"/>
        </w:rPr>
        <w:t>建筑面积为</w:t>
      </w:r>
      <w:r>
        <w:rPr>
          <w:rFonts w:hint="eastAsia" w:ascii="宋体" w:hAnsi="宋体" w:eastAsia="宋体" w:cs="宋体"/>
          <w:color w:val="auto"/>
          <w:sz w:val="21"/>
          <w:szCs w:val="21"/>
          <w:highlight w:val="none"/>
          <w:lang w:val="en-US" w:eastAsia="zh-CN"/>
        </w:rPr>
        <w:t>3323.42㎡，旅居楼</w:t>
      </w:r>
      <w:r>
        <w:rPr>
          <w:rFonts w:hint="eastAsia" w:ascii="宋体" w:hAnsi="宋体" w:eastAsia="宋体" w:cs="宋体"/>
          <w:color w:val="auto"/>
          <w:sz w:val="21"/>
          <w:szCs w:val="21"/>
          <w:highlight w:val="none"/>
        </w:rPr>
        <w:t>建筑面积为</w:t>
      </w:r>
      <w:r>
        <w:rPr>
          <w:rFonts w:hint="eastAsia" w:ascii="宋体" w:hAnsi="宋体" w:eastAsia="宋体" w:cs="宋体"/>
          <w:color w:val="auto"/>
          <w:sz w:val="21"/>
          <w:szCs w:val="21"/>
          <w:highlight w:val="none"/>
          <w:lang w:val="en-US" w:eastAsia="zh-CN"/>
        </w:rPr>
        <w:t>1613.96㎡</w:t>
      </w:r>
      <w:r>
        <w:rPr>
          <w:rFonts w:hint="eastAsia" w:ascii="宋体" w:hAnsi="宋体" w:eastAsia="宋体" w:cs="宋体"/>
          <w:color w:val="auto"/>
          <w:sz w:val="21"/>
          <w:szCs w:val="21"/>
          <w:highlight w:val="none"/>
        </w:rPr>
        <w:t>。还包括附属工程：大院周围围墙、室外活动绿化、停车场等建设内容。</w:t>
      </w:r>
    </w:p>
    <w:p w14:paraId="6C955E0F">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eastAsia="zh-CN"/>
        </w:rPr>
        <w:t>韶关市武江区养老服务中心（一期）</w:t>
      </w:r>
      <w:r>
        <w:rPr>
          <w:rFonts w:hint="eastAsia" w:ascii="宋体" w:hAnsi="宋体" w:eastAsia="宋体" w:cs="宋体"/>
          <w:color w:val="auto"/>
          <w:sz w:val="21"/>
          <w:szCs w:val="21"/>
          <w:highlight w:val="none"/>
        </w:rPr>
        <w:t>提供</w:t>
      </w:r>
      <w:r>
        <w:rPr>
          <w:rFonts w:hint="eastAsia" w:ascii="宋体" w:hAnsi="宋体" w:eastAsia="宋体" w:cs="宋体"/>
          <w:color w:val="auto"/>
          <w:sz w:val="21"/>
          <w:szCs w:val="21"/>
          <w:highlight w:val="none"/>
          <w:lang w:val="en-US" w:eastAsia="zh-CN"/>
        </w:rPr>
        <w:t>465</w:t>
      </w:r>
      <w:r>
        <w:rPr>
          <w:rFonts w:hint="eastAsia" w:ascii="宋体" w:hAnsi="宋体" w:eastAsia="宋体" w:cs="宋体"/>
          <w:color w:val="auto"/>
          <w:sz w:val="21"/>
          <w:szCs w:val="21"/>
          <w:highlight w:val="none"/>
        </w:rPr>
        <w:t>个服务床位</w:t>
      </w:r>
      <w:r>
        <w:rPr>
          <w:rFonts w:hint="eastAsia" w:ascii="宋体" w:hAnsi="宋体" w:eastAsia="宋体" w:cs="宋体"/>
          <w:b w:val="0"/>
          <w:bCs w:val="0"/>
          <w:color w:val="auto"/>
          <w:sz w:val="21"/>
          <w:szCs w:val="21"/>
          <w:highlight w:val="none"/>
          <w:u w:val="none"/>
          <w:shd w:val="clear" w:color="auto" w:fill="auto"/>
          <w:lang w:val="en-US" w:eastAsia="zh-CN"/>
        </w:rPr>
        <w:t>（不含医疗床位56张）</w:t>
      </w:r>
      <w:r>
        <w:rPr>
          <w:rFonts w:hint="eastAsia" w:ascii="宋体" w:hAnsi="宋体" w:eastAsia="宋体" w:cs="宋体"/>
          <w:color w:val="auto"/>
          <w:sz w:val="21"/>
          <w:szCs w:val="21"/>
          <w:highlight w:val="none"/>
        </w:rPr>
        <w:t>，其中</w:t>
      </w:r>
      <w:r>
        <w:rPr>
          <w:rFonts w:hint="eastAsia" w:ascii="宋体" w:hAnsi="宋体" w:eastAsia="宋体" w:cs="宋体"/>
          <w:color w:val="auto"/>
          <w:sz w:val="21"/>
          <w:szCs w:val="21"/>
          <w:highlight w:val="none"/>
          <w:lang w:val="en-US" w:eastAsia="zh-CN"/>
        </w:rPr>
        <w:t>,21</w:t>
      </w:r>
      <w:r>
        <w:rPr>
          <w:rFonts w:hint="eastAsia" w:ascii="宋体" w:hAnsi="宋体" w:eastAsia="宋体" w:cs="宋体"/>
          <w:color w:val="auto"/>
          <w:sz w:val="21"/>
          <w:szCs w:val="21"/>
          <w:highlight w:val="none"/>
        </w:rPr>
        <w:t>%为政府兜底床位（</w:t>
      </w:r>
      <w:r>
        <w:rPr>
          <w:rFonts w:hint="eastAsia" w:ascii="宋体" w:hAnsi="宋体" w:eastAsia="宋体" w:cs="宋体"/>
          <w:color w:val="auto"/>
          <w:sz w:val="21"/>
          <w:szCs w:val="21"/>
          <w:highlight w:val="none"/>
          <w:lang w:val="en-US" w:eastAsia="zh-CN"/>
        </w:rPr>
        <w:t>约100</w:t>
      </w:r>
      <w:r>
        <w:rPr>
          <w:rFonts w:hint="eastAsia" w:ascii="宋体" w:hAnsi="宋体" w:eastAsia="宋体" w:cs="宋体"/>
          <w:color w:val="auto"/>
          <w:sz w:val="21"/>
          <w:szCs w:val="21"/>
          <w:highlight w:val="none"/>
        </w:rPr>
        <w:t>个床位），</w:t>
      </w:r>
      <w:r>
        <w:rPr>
          <w:rFonts w:hint="eastAsia" w:ascii="宋体" w:hAnsi="宋体" w:eastAsia="宋体" w:cs="宋体"/>
          <w:color w:val="auto"/>
          <w:sz w:val="21"/>
          <w:szCs w:val="21"/>
          <w:highlight w:val="none"/>
          <w:lang w:val="en-US" w:eastAsia="zh-CN"/>
        </w:rPr>
        <w:t>32</w:t>
      </w:r>
      <w:r>
        <w:rPr>
          <w:rFonts w:hint="eastAsia" w:ascii="宋体" w:hAnsi="宋体" w:eastAsia="宋体" w:cs="宋体"/>
          <w:color w:val="auto"/>
          <w:sz w:val="21"/>
          <w:szCs w:val="21"/>
          <w:highlight w:val="none"/>
        </w:rPr>
        <w:t>%为</w:t>
      </w:r>
      <w:r>
        <w:rPr>
          <w:rFonts w:hint="eastAsia" w:ascii="宋体" w:hAnsi="宋体" w:eastAsia="宋体" w:cs="宋体"/>
          <w:color w:val="auto"/>
          <w:sz w:val="21"/>
          <w:szCs w:val="21"/>
          <w:highlight w:val="none"/>
          <w:lang w:val="en-US" w:eastAsia="zh-CN"/>
        </w:rPr>
        <w:t>普惠性</w:t>
      </w:r>
      <w:r>
        <w:rPr>
          <w:rFonts w:hint="eastAsia" w:ascii="宋体" w:hAnsi="宋体" w:eastAsia="宋体" w:cs="宋体"/>
          <w:color w:val="auto"/>
          <w:sz w:val="21"/>
          <w:szCs w:val="21"/>
          <w:highlight w:val="none"/>
        </w:rPr>
        <w:t>床位（</w:t>
      </w:r>
      <w:r>
        <w:rPr>
          <w:rFonts w:hint="eastAsia" w:ascii="宋体" w:hAnsi="宋体" w:eastAsia="宋体" w:cs="宋体"/>
          <w:color w:val="auto"/>
          <w:sz w:val="21"/>
          <w:szCs w:val="21"/>
          <w:highlight w:val="none"/>
          <w:lang w:val="en-US" w:eastAsia="zh-CN"/>
        </w:rPr>
        <w:t>约150</w:t>
      </w:r>
      <w:r>
        <w:rPr>
          <w:rFonts w:hint="eastAsia" w:ascii="宋体" w:hAnsi="宋体" w:eastAsia="宋体" w:cs="宋体"/>
          <w:color w:val="auto"/>
          <w:sz w:val="21"/>
          <w:szCs w:val="21"/>
          <w:highlight w:val="none"/>
        </w:rPr>
        <w:t>个床位）</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41</w:t>
      </w:r>
      <w:r>
        <w:rPr>
          <w:rFonts w:hint="eastAsia" w:ascii="宋体" w:hAnsi="宋体" w:eastAsia="宋体" w:cs="宋体"/>
          <w:color w:val="auto"/>
          <w:sz w:val="21"/>
          <w:szCs w:val="21"/>
          <w:highlight w:val="none"/>
        </w:rPr>
        <w:t>%为社会化运营单位自营床位（</w:t>
      </w:r>
      <w:r>
        <w:rPr>
          <w:rFonts w:hint="eastAsia" w:ascii="宋体" w:hAnsi="宋体" w:eastAsia="宋体" w:cs="宋体"/>
          <w:color w:val="auto"/>
          <w:sz w:val="21"/>
          <w:szCs w:val="21"/>
          <w:highlight w:val="none"/>
          <w:lang w:val="en-US" w:eastAsia="zh-CN"/>
        </w:rPr>
        <w:t>约185</w:t>
      </w:r>
      <w:r>
        <w:rPr>
          <w:rFonts w:hint="eastAsia" w:ascii="宋体" w:hAnsi="宋体" w:eastAsia="宋体" w:cs="宋体"/>
          <w:color w:val="auto"/>
          <w:sz w:val="21"/>
          <w:szCs w:val="21"/>
          <w:highlight w:val="none"/>
        </w:rPr>
        <w:t>个床位）</w:t>
      </w:r>
      <w:r>
        <w:rPr>
          <w:rFonts w:hint="eastAsia" w:ascii="宋体" w:hAnsi="宋体" w:eastAsia="宋体" w:cs="宋体"/>
          <w:color w:val="auto"/>
          <w:sz w:val="21"/>
          <w:szCs w:val="21"/>
          <w:highlight w:val="none"/>
          <w:lang w:val="en-US" w:eastAsia="zh-CN"/>
        </w:rPr>
        <w:t>,6%为旅居床位（约30个床位）</w:t>
      </w:r>
      <w:r>
        <w:rPr>
          <w:rFonts w:hint="eastAsia" w:ascii="宋体" w:hAnsi="宋体" w:eastAsia="宋体" w:cs="宋体"/>
          <w:color w:val="auto"/>
          <w:sz w:val="21"/>
          <w:szCs w:val="21"/>
          <w:highlight w:val="none"/>
        </w:rPr>
        <w:t>。</w:t>
      </w:r>
    </w:p>
    <w:p w14:paraId="41C2320A">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为使</w:t>
      </w:r>
      <w:r>
        <w:rPr>
          <w:rFonts w:hint="eastAsia" w:ascii="宋体" w:hAnsi="宋体" w:eastAsia="宋体" w:cs="宋体"/>
          <w:color w:val="auto"/>
          <w:sz w:val="21"/>
          <w:szCs w:val="21"/>
          <w:highlight w:val="none"/>
          <w:lang w:eastAsia="zh-CN"/>
        </w:rPr>
        <w:t>韶关市武江区养老服务中心（一期）</w:t>
      </w:r>
      <w:r>
        <w:rPr>
          <w:rFonts w:hint="eastAsia" w:ascii="宋体" w:hAnsi="宋体" w:eastAsia="宋体" w:cs="宋体"/>
          <w:color w:val="auto"/>
          <w:sz w:val="21"/>
          <w:szCs w:val="21"/>
          <w:highlight w:val="none"/>
        </w:rPr>
        <w:t>达到保障效能，激发社会力量参与养老服务，进一步实现养老服务资源优化配置，根据《中华人民共和国民法典》</w:t>
      </w:r>
      <w:r>
        <w:rPr>
          <w:rFonts w:hint="eastAsia" w:ascii="宋体" w:hAnsi="宋体" w:eastAsia="宋体" w:cs="宋体"/>
          <w:color w:val="auto"/>
          <w:sz w:val="21"/>
          <w:szCs w:val="21"/>
          <w:highlight w:val="none"/>
          <w:lang w:val="en-US" w:eastAsia="zh-CN"/>
        </w:rPr>
        <w:t>以及相关法律法规</w:t>
      </w: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lang w:eastAsia="zh-CN"/>
        </w:rPr>
        <w:t>韶关市武江区养老服务中心（一期）委托运营管理项目</w:t>
      </w:r>
      <w:r>
        <w:rPr>
          <w:rFonts w:hint="eastAsia" w:ascii="宋体" w:hAnsi="宋体" w:eastAsia="宋体" w:cs="宋体"/>
          <w:color w:val="auto"/>
          <w:sz w:val="21"/>
          <w:szCs w:val="21"/>
          <w:highlight w:val="none"/>
        </w:rPr>
        <w:t>的招标结果，经双方协商一致，本着平等互利和诚实信用的原则，一致同意签订本合同：</w:t>
      </w:r>
    </w:p>
    <w:p w14:paraId="4CA95F00">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b/>
          <w:bCs/>
          <w:color w:val="auto"/>
          <w:sz w:val="21"/>
          <w:szCs w:val="21"/>
          <w:highlight w:val="none"/>
        </w:rPr>
      </w:pPr>
    </w:p>
    <w:p w14:paraId="351C8D29">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color w:val="auto"/>
          <w:sz w:val="21"/>
          <w:szCs w:val="21"/>
          <w:highlight w:val="none"/>
          <w:lang w:eastAsia="zh-CN"/>
        </w:rPr>
      </w:pPr>
      <w:r>
        <w:rPr>
          <w:rFonts w:hint="eastAsia" w:ascii="宋体" w:hAnsi="宋体" w:eastAsia="宋体" w:cs="宋体"/>
          <w:b/>
          <w:bCs/>
          <w:color w:val="auto"/>
          <w:sz w:val="21"/>
          <w:szCs w:val="21"/>
          <w:highlight w:val="none"/>
        </w:rPr>
        <w:t>一、</w:t>
      </w:r>
      <w:r>
        <w:rPr>
          <w:rFonts w:hint="eastAsia" w:ascii="宋体" w:hAnsi="宋体" w:eastAsia="宋体" w:cs="宋体"/>
          <w:b/>
          <w:bCs/>
          <w:color w:val="auto"/>
          <w:sz w:val="21"/>
          <w:szCs w:val="21"/>
          <w:highlight w:val="none"/>
          <w:lang w:val="en-US" w:eastAsia="zh-CN"/>
        </w:rPr>
        <w:t>合作收益分成、支付</w:t>
      </w:r>
      <w:r>
        <w:rPr>
          <w:rFonts w:hint="eastAsia" w:ascii="宋体" w:hAnsi="宋体" w:eastAsia="宋体" w:cs="宋体"/>
          <w:b/>
          <w:bCs/>
          <w:color w:val="auto"/>
          <w:sz w:val="21"/>
          <w:szCs w:val="21"/>
          <w:highlight w:val="none"/>
        </w:rPr>
        <w:t>方式</w:t>
      </w:r>
      <w:r>
        <w:rPr>
          <w:rFonts w:hint="eastAsia" w:ascii="宋体" w:hAnsi="宋体" w:eastAsia="宋体" w:cs="宋体"/>
          <w:b/>
          <w:bCs/>
          <w:color w:val="auto"/>
          <w:sz w:val="21"/>
          <w:szCs w:val="21"/>
          <w:highlight w:val="none"/>
          <w:lang w:eastAsia="zh-CN"/>
        </w:rPr>
        <w:t>（</w:t>
      </w:r>
      <w:r>
        <w:rPr>
          <w:rFonts w:hint="eastAsia" w:ascii="宋体" w:hAnsi="宋体" w:eastAsia="宋体" w:cs="宋体"/>
          <w:b/>
          <w:bCs/>
          <w:color w:val="auto"/>
          <w:sz w:val="21"/>
          <w:szCs w:val="21"/>
          <w:highlight w:val="none"/>
          <w:lang w:val="en-US" w:eastAsia="zh-CN"/>
        </w:rPr>
        <w:t>具体以中标方案为准</w:t>
      </w:r>
      <w:r>
        <w:rPr>
          <w:rFonts w:hint="eastAsia" w:ascii="宋体" w:hAnsi="宋体" w:eastAsia="宋体" w:cs="宋体"/>
          <w:b/>
          <w:bCs/>
          <w:color w:val="auto"/>
          <w:sz w:val="21"/>
          <w:szCs w:val="21"/>
          <w:highlight w:val="none"/>
          <w:lang w:eastAsia="zh-CN"/>
        </w:rPr>
        <w:t>）</w:t>
      </w:r>
    </w:p>
    <w:p w14:paraId="3A529974">
      <w:pPr>
        <w:keepNext w:val="0"/>
        <w:keepLines w:val="0"/>
        <w:pageBreakBefore w:val="0"/>
        <w:widowControl w:val="0"/>
        <w:kinsoku/>
        <w:wordWrap/>
        <w:overflowPunct/>
        <w:topLinePunct w:val="0"/>
        <w:autoSpaceDN/>
        <w:bidi w:val="0"/>
        <w:adjustRightInd/>
        <w:snapToGrid/>
        <w:spacing w:line="560" w:lineRule="exact"/>
        <w:ind w:left="0" w:leftChars="0" w:firstLine="422" w:firstLineChars="200"/>
        <w:textAlignment w:val="auto"/>
        <w:rPr>
          <w:rFonts w:hint="default" w:ascii="宋体" w:hAnsi="宋体" w:eastAsia="宋体" w:cs="宋体"/>
          <w:b/>
          <w:bCs/>
          <w:color w:val="auto"/>
          <w:sz w:val="21"/>
          <w:szCs w:val="21"/>
          <w:highlight w:val="none"/>
          <w:u w:val="none"/>
          <w:shd w:val="clear" w:color="auto" w:fill="auto"/>
          <w:lang w:val="en-US" w:eastAsia="zh-CN"/>
        </w:rPr>
      </w:pPr>
      <w:r>
        <w:rPr>
          <w:rFonts w:hint="eastAsia" w:ascii="宋体" w:hAnsi="宋体" w:eastAsia="宋体" w:cs="宋体"/>
          <w:b/>
          <w:bCs/>
          <w:color w:val="auto"/>
          <w:sz w:val="21"/>
          <w:szCs w:val="21"/>
          <w:highlight w:val="none"/>
          <w:u w:val="none"/>
          <w:shd w:val="clear" w:color="auto" w:fill="auto"/>
          <w:lang w:val="en-US" w:eastAsia="zh-CN"/>
        </w:rPr>
        <w:t>1.合作收益分成标准</w:t>
      </w:r>
    </w:p>
    <w:tbl>
      <w:tblPr>
        <w:tblStyle w:val="17"/>
        <w:tblW w:w="55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1"/>
        <w:gridCol w:w="2909"/>
        <w:gridCol w:w="777"/>
        <w:gridCol w:w="1502"/>
        <w:gridCol w:w="1095"/>
        <w:gridCol w:w="1477"/>
        <w:gridCol w:w="1446"/>
      </w:tblGrid>
      <w:tr w14:paraId="56D6E9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2" w:hRule="atLeast"/>
          <w:jc w:val="center"/>
        </w:trPr>
        <w:tc>
          <w:tcPr>
            <w:tcW w:w="173" w:type="pct"/>
            <w:noWrap/>
            <w:vAlign w:val="center"/>
          </w:tcPr>
          <w:p w14:paraId="098D2266">
            <w:pPr>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序号</w:t>
            </w:r>
          </w:p>
        </w:tc>
        <w:tc>
          <w:tcPr>
            <w:tcW w:w="1525" w:type="pct"/>
            <w:noWrap/>
            <w:vAlign w:val="center"/>
          </w:tcPr>
          <w:p w14:paraId="29BD05EC">
            <w:pPr>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lang w:val="en-US" w:eastAsia="zh-CN"/>
              </w:rPr>
              <w:t>招标</w:t>
            </w:r>
            <w:r>
              <w:rPr>
                <w:rFonts w:hint="eastAsia" w:ascii="宋体" w:hAnsi="宋体" w:eastAsia="宋体" w:cs="宋体"/>
                <w:b/>
                <w:bCs/>
                <w:color w:val="auto"/>
                <w:sz w:val="21"/>
                <w:szCs w:val="21"/>
                <w:highlight w:val="none"/>
              </w:rPr>
              <w:t>标的</w:t>
            </w:r>
          </w:p>
        </w:tc>
        <w:tc>
          <w:tcPr>
            <w:tcW w:w="407" w:type="pct"/>
            <w:noWrap/>
            <w:vAlign w:val="center"/>
          </w:tcPr>
          <w:p w14:paraId="4BC70136">
            <w:pPr>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数量</w:t>
            </w:r>
          </w:p>
        </w:tc>
        <w:tc>
          <w:tcPr>
            <w:tcW w:w="787" w:type="pct"/>
            <w:noWrap/>
            <w:vAlign w:val="center"/>
          </w:tcPr>
          <w:p w14:paraId="6AE27357">
            <w:pPr>
              <w:spacing w:line="360" w:lineRule="auto"/>
              <w:jc w:val="center"/>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shd w:val="clear" w:color="auto" w:fill="auto"/>
              </w:rPr>
              <w:t>运营期限</w:t>
            </w:r>
          </w:p>
        </w:tc>
        <w:tc>
          <w:tcPr>
            <w:tcW w:w="574" w:type="pct"/>
            <w:noWrap/>
            <w:vAlign w:val="center"/>
          </w:tcPr>
          <w:p w14:paraId="6AE61AB4">
            <w:pPr>
              <w:spacing w:line="360" w:lineRule="auto"/>
              <w:jc w:val="center"/>
              <w:rPr>
                <w:rFonts w:hint="default" w:ascii="宋体" w:hAnsi="宋体" w:eastAsia="宋体" w:cs="宋体"/>
                <w:b/>
                <w:bCs/>
                <w:color w:val="auto"/>
                <w:sz w:val="21"/>
                <w:szCs w:val="21"/>
                <w:highlight w:val="none"/>
                <w:lang w:val="en-US" w:eastAsia="zh-CN"/>
              </w:rPr>
            </w:pPr>
            <w:r>
              <w:rPr>
                <w:rFonts w:hint="eastAsia" w:ascii="宋体" w:hAnsi="宋体" w:eastAsia="宋体" w:cs="宋体"/>
                <w:b/>
                <w:bCs/>
                <w:color w:val="auto"/>
                <w:sz w:val="21"/>
                <w:szCs w:val="21"/>
                <w:highlight w:val="none"/>
                <w:shd w:val="clear" w:color="auto" w:fill="auto"/>
                <w:lang w:val="en-US" w:eastAsia="zh-CN"/>
              </w:rPr>
              <w:t>免收益分成期限</w:t>
            </w:r>
          </w:p>
        </w:tc>
        <w:tc>
          <w:tcPr>
            <w:tcW w:w="774" w:type="pct"/>
            <w:noWrap/>
            <w:vAlign w:val="center"/>
          </w:tcPr>
          <w:p w14:paraId="0F5ECAD9">
            <w:pPr>
              <w:spacing w:line="360" w:lineRule="auto"/>
              <w:jc w:val="center"/>
              <w:rPr>
                <w:rFonts w:hint="eastAsia" w:ascii="宋体" w:hAnsi="宋体" w:eastAsia="宋体" w:cs="宋体"/>
                <w:b/>
                <w:bCs/>
                <w:color w:val="auto"/>
                <w:sz w:val="21"/>
                <w:szCs w:val="21"/>
                <w:highlight w:val="none"/>
                <w:shd w:val="clear" w:color="auto" w:fill="auto"/>
              </w:rPr>
            </w:pPr>
            <w:r>
              <w:rPr>
                <w:rFonts w:hint="eastAsia" w:eastAsia="宋体" w:cs="宋体"/>
                <w:b/>
                <w:bCs/>
                <w:color w:val="auto"/>
                <w:sz w:val="21"/>
                <w:szCs w:val="21"/>
                <w:highlight w:val="none"/>
              </w:rPr>
              <w:t>面积</w:t>
            </w:r>
            <w:r>
              <w:rPr>
                <w:rFonts w:hint="eastAsia" w:ascii="宋体" w:hAnsi="宋体" w:eastAsia="宋体" w:cs="宋体"/>
                <w:b/>
                <w:bCs/>
                <w:color w:val="auto"/>
                <w:sz w:val="21"/>
                <w:szCs w:val="21"/>
                <w:highlight w:val="none"/>
              </w:rPr>
              <w:t>M²</w:t>
            </w:r>
          </w:p>
        </w:tc>
        <w:tc>
          <w:tcPr>
            <w:tcW w:w="758" w:type="pct"/>
            <w:noWrap/>
            <w:vAlign w:val="center"/>
          </w:tcPr>
          <w:p w14:paraId="63D1D1A9">
            <w:pPr>
              <w:spacing w:line="360" w:lineRule="auto"/>
              <w:jc w:val="center"/>
              <w:rPr>
                <w:rFonts w:hint="eastAsia" w:ascii="宋体" w:hAnsi="宋体" w:eastAsia="宋体" w:cs="宋体"/>
                <w:b/>
                <w:bCs/>
                <w:color w:val="auto"/>
                <w:sz w:val="21"/>
                <w:szCs w:val="21"/>
                <w:highlight w:val="none"/>
                <w:shd w:val="clear" w:color="auto" w:fill="auto"/>
              </w:rPr>
            </w:pPr>
            <w:r>
              <w:rPr>
                <w:rFonts w:hint="eastAsia" w:eastAsia="宋体" w:cs="宋体"/>
                <w:b/>
                <w:bCs/>
                <w:color w:val="auto"/>
                <w:sz w:val="21"/>
                <w:szCs w:val="21"/>
                <w:highlight w:val="none"/>
                <w:lang w:eastAsia="zh-CN"/>
              </w:rPr>
              <w:t>基础收益分成金额</w:t>
            </w:r>
            <w:r>
              <w:rPr>
                <w:rFonts w:hint="eastAsia" w:eastAsia="宋体" w:cs="宋体"/>
                <w:b/>
                <w:bCs/>
                <w:color w:val="auto"/>
                <w:sz w:val="21"/>
                <w:szCs w:val="21"/>
                <w:highlight w:val="none"/>
              </w:rPr>
              <w:t>（元/</w:t>
            </w:r>
            <w:r>
              <w:rPr>
                <w:rFonts w:hint="eastAsia" w:ascii="宋体" w:hAnsi="宋体" w:eastAsia="宋体" w:cs="宋体"/>
                <w:b/>
                <w:bCs/>
                <w:color w:val="auto"/>
                <w:sz w:val="21"/>
                <w:szCs w:val="21"/>
                <w:highlight w:val="none"/>
              </w:rPr>
              <w:t>M²/月</w:t>
            </w:r>
            <w:r>
              <w:rPr>
                <w:rFonts w:hint="eastAsia" w:eastAsia="宋体" w:cs="宋体"/>
                <w:b/>
                <w:bCs/>
                <w:color w:val="auto"/>
                <w:sz w:val="21"/>
                <w:szCs w:val="21"/>
                <w:highlight w:val="none"/>
              </w:rPr>
              <w:t>）</w:t>
            </w:r>
          </w:p>
        </w:tc>
      </w:tr>
      <w:tr w14:paraId="5B45BE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7" w:hRule="atLeast"/>
          <w:jc w:val="center"/>
        </w:trPr>
        <w:tc>
          <w:tcPr>
            <w:tcW w:w="173" w:type="pct"/>
            <w:noWrap/>
            <w:vAlign w:val="center"/>
          </w:tcPr>
          <w:p w14:paraId="45B97104">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w:t>
            </w:r>
          </w:p>
        </w:tc>
        <w:tc>
          <w:tcPr>
            <w:tcW w:w="1525" w:type="pct"/>
            <w:noWrap/>
            <w:vAlign w:val="center"/>
          </w:tcPr>
          <w:p w14:paraId="65B9A256">
            <w:pPr>
              <w:spacing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韶关市武江区养老服务中心（一期）委托运营管理项目</w:t>
            </w:r>
          </w:p>
        </w:tc>
        <w:tc>
          <w:tcPr>
            <w:tcW w:w="407" w:type="pct"/>
            <w:noWrap/>
            <w:vAlign w:val="center"/>
          </w:tcPr>
          <w:p w14:paraId="46774C71">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1项</w:t>
            </w:r>
          </w:p>
        </w:tc>
        <w:tc>
          <w:tcPr>
            <w:tcW w:w="787" w:type="pct"/>
            <w:noWrap/>
            <w:vAlign w:val="center"/>
          </w:tcPr>
          <w:p w14:paraId="5BB84BEC">
            <w:pPr>
              <w:spacing w:line="360" w:lineRule="auto"/>
              <w:jc w:val="center"/>
              <w:rPr>
                <w:rFonts w:hint="eastAsia" w:ascii="宋体" w:hAnsi="宋体" w:eastAsia="宋体" w:cs="宋体"/>
                <w:color w:val="auto"/>
                <w:sz w:val="21"/>
                <w:szCs w:val="21"/>
                <w:highlight w:val="none"/>
              </w:rPr>
            </w:pPr>
            <w:r>
              <w:rPr>
                <w:rFonts w:hint="eastAsia" w:ascii="宋体" w:hAnsi="宋体" w:eastAsia="宋体" w:cs="宋体"/>
                <w:color w:val="auto"/>
                <w:kern w:val="16"/>
                <w:sz w:val="21"/>
                <w:szCs w:val="21"/>
                <w:highlight w:val="none"/>
                <w:shd w:val="clear" w:color="auto" w:fill="auto"/>
                <w:lang w:eastAsia="zh-CN"/>
              </w:rPr>
              <w:t>自</w:t>
            </w:r>
            <w:r>
              <w:rPr>
                <w:rFonts w:hint="eastAsia" w:ascii="宋体" w:hAnsi="宋体" w:eastAsia="宋体" w:cs="宋体"/>
                <w:color w:val="auto"/>
                <w:kern w:val="16"/>
                <w:sz w:val="21"/>
                <w:szCs w:val="21"/>
                <w:highlight w:val="none"/>
                <w:shd w:val="clear" w:color="auto" w:fill="auto"/>
                <w:lang w:val="en-US" w:eastAsia="zh-CN"/>
              </w:rPr>
              <w:t>合同签订之日起</w:t>
            </w:r>
            <w:r>
              <w:rPr>
                <w:rFonts w:hint="eastAsia" w:ascii="宋体" w:hAnsi="宋体" w:eastAsia="宋体" w:cs="宋体"/>
                <w:color w:val="auto"/>
                <w:kern w:val="16"/>
                <w:sz w:val="21"/>
                <w:szCs w:val="21"/>
                <w:highlight w:val="none"/>
                <w:shd w:val="clear" w:color="auto" w:fill="auto"/>
                <w:lang w:eastAsia="zh-CN"/>
              </w:rPr>
              <w:t>20年</w:t>
            </w:r>
          </w:p>
        </w:tc>
        <w:tc>
          <w:tcPr>
            <w:tcW w:w="574" w:type="pct"/>
            <w:noWrap/>
            <w:vAlign w:val="center"/>
          </w:tcPr>
          <w:p w14:paraId="0AFCFFC3">
            <w:pPr>
              <w:spacing w:line="360" w:lineRule="auto"/>
              <w:jc w:val="center"/>
              <w:rPr>
                <w:rFonts w:hint="eastAsia" w:ascii="宋体" w:hAnsi="宋体" w:eastAsia="宋体" w:cs="宋体"/>
                <w:color w:val="auto"/>
                <w:kern w:val="16"/>
                <w:sz w:val="21"/>
                <w:szCs w:val="21"/>
                <w:highlight w:val="none"/>
                <w:lang w:eastAsia="zh-CN"/>
              </w:rPr>
            </w:pPr>
            <w:r>
              <w:rPr>
                <w:rFonts w:hint="eastAsia" w:ascii="宋体" w:hAnsi="宋体" w:eastAsia="宋体" w:cs="宋体"/>
                <w:color w:val="auto"/>
                <w:kern w:val="16"/>
                <w:sz w:val="21"/>
                <w:szCs w:val="21"/>
                <w:highlight w:val="none"/>
                <w:shd w:val="clear" w:color="auto" w:fill="auto"/>
                <w:lang w:val="en-US" w:eastAsia="zh-CN"/>
              </w:rPr>
              <w:t>半年</w:t>
            </w:r>
          </w:p>
        </w:tc>
        <w:tc>
          <w:tcPr>
            <w:tcW w:w="774" w:type="pct"/>
            <w:noWrap/>
            <w:vAlign w:val="center"/>
          </w:tcPr>
          <w:p w14:paraId="467407C0">
            <w:pPr>
              <w:spacing w:line="360" w:lineRule="auto"/>
              <w:jc w:val="center"/>
              <w:rPr>
                <w:rFonts w:hint="default" w:ascii="宋体" w:hAnsi="宋体" w:eastAsia="宋体" w:cs="宋体"/>
                <w:color w:val="auto"/>
                <w:kern w:val="16"/>
                <w:sz w:val="21"/>
                <w:szCs w:val="21"/>
                <w:highlight w:val="none"/>
                <w:shd w:val="clear" w:color="auto" w:fill="auto"/>
                <w:lang w:val="en-US" w:eastAsia="zh-CN"/>
              </w:rPr>
            </w:pPr>
            <w:r>
              <w:rPr>
                <w:rFonts w:hint="eastAsia" w:ascii="宋体" w:hAnsi="宋体" w:eastAsia="宋体" w:cs="宋体"/>
                <w:b w:val="0"/>
                <w:bCs/>
                <w:color w:val="auto"/>
                <w:sz w:val="21"/>
                <w:szCs w:val="21"/>
                <w:highlight w:val="none"/>
                <w:lang w:val="en-US" w:eastAsia="zh-CN"/>
              </w:rPr>
              <w:t>20509.91</w:t>
            </w:r>
          </w:p>
        </w:tc>
        <w:tc>
          <w:tcPr>
            <w:tcW w:w="758" w:type="pct"/>
            <w:noWrap/>
            <w:vAlign w:val="center"/>
          </w:tcPr>
          <w:p w14:paraId="032E2ECD">
            <w:pPr>
              <w:spacing w:line="360" w:lineRule="auto"/>
              <w:jc w:val="center"/>
              <w:rPr>
                <w:rFonts w:hint="default" w:ascii="宋体" w:hAnsi="宋体" w:eastAsia="宋体" w:cs="宋体"/>
                <w:color w:val="auto"/>
                <w:kern w:val="16"/>
                <w:sz w:val="21"/>
                <w:szCs w:val="21"/>
                <w:highlight w:val="none"/>
                <w:shd w:val="clear" w:color="auto" w:fill="auto"/>
                <w:lang w:val="en-US" w:eastAsia="zh-CN"/>
              </w:rPr>
            </w:pPr>
            <w:r>
              <w:rPr>
                <w:rFonts w:hint="eastAsia" w:ascii="宋体" w:hAnsi="宋体" w:eastAsia="宋体" w:cs="宋体"/>
                <w:color w:val="auto"/>
                <w:kern w:val="16"/>
                <w:sz w:val="21"/>
                <w:szCs w:val="21"/>
                <w:highlight w:val="none"/>
                <w:shd w:val="clear" w:color="auto" w:fill="auto"/>
                <w:lang w:val="en-US" w:eastAsia="zh-CN"/>
              </w:rPr>
              <w:t>3.1</w:t>
            </w:r>
          </w:p>
        </w:tc>
      </w:tr>
    </w:tbl>
    <w:p w14:paraId="4D5B7BE5">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bCs/>
          <w:color w:val="auto"/>
          <w:sz w:val="21"/>
          <w:szCs w:val="21"/>
          <w:highlight w:val="none"/>
          <w:lang w:val="en-US" w:eastAsia="zh-CN"/>
        </w:rPr>
      </w:pPr>
      <w:r>
        <w:rPr>
          <w:rFonts w:hint="eastAsia" w:ascii="宋体" w:hAnsi="宋体" w:eastAsia="宋体" w:cs="宋体"/>
          <w:b/>
          <w:bCs/>
          <w:color w:val="auto"/>
          <w:kern w:val="2"/>
          <w:sz w:val="21"/>
          <w:szCs w:val="21"/>
          <w:highlight w:val="none"/>
          <w:u w:val="none"/>
          <w:shd w:val="clear" w:color="auto" w:fill="auto"/>
          <w:lang w:val="en-US" w:eastAsia="zh-CN" w:bidi="ar-SA"/>
        </w:rPr>
        <w:t>1.</w:t>
      </w:r>
      <w:r>
        <w:rPr>
          <w:rFonts w:hint="eastAsia" w:eastAsia="宋体" w:cs="宋体"/>
          <w:b/>
          <w:bCs/>
          <w:color w:val="auto"/>
          <w:sz w:val="21"/>
          <w:szCs w:val="21"/>
          <w:highlight w:val="none"/>
          <w:lang w:val="en-US" w:eastAsia="zh-CN"/>
        </w:rPr>
        <w:t>合作收益分成标准：</w:t>
      </w:r>
      <w:r>
        <w:rPr>
          <w:rFonts w:hint="eastAsia" w:asciiTheme="minorEastAsia" w:hAnsiTheme="minorEastAsia" w:eastAsiaTheme="minorEastAsia" w:cstheme="minorEastAsia"/>
          <w:color w:val="auto"/>
          <w:kern w:val="2"/>
          <w:sz w:val="21"/>
          <w:szCs w:val="21"/>
          <w:highlight w:val="none"/>
          <w:lang w:val="en-US" w:eastAsia="zh-CN" w:bidi="ar-SA"/>
        </w:rPr>
        <w:t>免</w:t>
      </w:r>
      <w:r>
        <w:rPr>
          <w:rFonts w:hint="eastAsia" w:ascii="宋体" w:hAnsi="宋体" w:eastAsia="宋体" w:cs="宋体"/>
          <w:b/>
          <w:bCs/>
          <w:color w:val="auto"/>
          <w:sz w:val="21"/>
          <w:szCs w:val="21"/>
          <w:highlight w:val="none"/>
          <w:shd w:val="clear" w:color="auto" w:fill="auto"/>
          <w:lang w:val="en-US" w:eastAsia="zh-CN"/>
        </w:rPr>
        <w:t>收益分成</w:t>
      </w:r>
      <w:r>
        <w:rPr>
          <w:rFonts w:hint="eastAsia" w:asciiTheme="minorEastAsia" w:hAnsiTheme="minorEastAsia" w:eastAsiaTheme="minorEastAsia" w:cstheme="minorEastAsia"/>
          <w:color w:val="auto"/>
          <w:kern w:val="2"/>
          <w:sz w:val="21"/>
          <w:szCs w:val="21"/>
          <w:highlight w:val="none"/>
          <w:lang w:val="en-US" w:eastAsia="zh-CN" w:bidi="ar-SA"/>
        </w:rPr>
        <w:t>半年。</w:t>
      </w:r>
      <w:r>
        <w:rPr>
          <w:rFonts w:hint="eastAsia" w:eastAsia="宋体" w:cs="宋体"/>
          <w:b/>
          <w:bCs/>
          <w:color w:val="auto"/>
          <w:sz w:val="21"/>
          <w:szCs w:val="21"/>
          <w:highlight w:val="none"/>
          <w:lang w:eastAsia="zh-CN"/>
        </w:rPr>
        <w:t>基础收益分成</w:t>
      </w:r>
      <w:r>
        <w:rPr>
          <w:rFonts w:hint="eastAsia" w:ascii="宋体" w:hAnsi="宋体" w:eastAsia="宋体" w:cs="宋体"/>
          <w:b w:val="0"/>
          <w:bCs/>
          <w:color w:val="auto"/>
          <w:sz w:val="21"/>
          <w:szCs w:val="21"/>
          <w:highlight w:val="none"/>
          <w:lang w:val="en-US" w:eastAsia="zh-CN"/>
        </w:rPr>
        <w:t>标准为3.1元/㎡/月起（含3.1）。</w:t>
      </w:r>
      <w:r>
        <w:rPr>
          <w:rFonts w:hint="eastAsia" w:ascii="宋体" w:hAnsi="宋体" w:eastAsia="宋体" w:cs="宋体"/>
          <w:bCs/>
          <w:color w:val="auto"/>
          <w:sz w:val="21"/>
          <w:szCs w:val="21"/>
          <w:highlight w:val="none"/>
          <w:lang w:val="en-US" w:eastAsia="zh-CN"/>
        </w:rPr>
        <w:t>第0.5-2年：按标准的20%收取；第3-4年：按标准的40%收取；第5-6年：按标准的60%收取；第7-8年：按标准的80%收取；第 9-10 年：按标准的100%收取；第 11-12 年：按标准的120%收取；第 13-14 年：按标准的140%收取；第 15-16 年：按标准的160%收取；第 17-18 年：按标准的180%收取；第19- 20 年：按标准的200%收取。具体基础收益分成表详见下表：</w:t>
      </w:r>
    </w:p>
    <w:tbl>
      <w:tblPr>
        <w:tblStyle w:val="17"/>
        <w:tblW w:w="4905"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423"/>
        <w:gridCol w:w="518"/>
        <w:gridCol w:w="760"/>
        <w:gridCol w:w="916"/>
        <w:gridCol w:w="726"/>
        <w:gridCol w:w="795"/>
        <w:gridCol w:w="953"/>
        <w:gridCol w:w="1035"/>
        <w:gridCol w:w="1071"/>
        <w:gridCol w:w="1158"/>
      </w:tblGrid>
      <w:tr w14:paraId="3C4A98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85" w:hRule="atLeast"/>
        </w:trPr>
        <w:tc>
          <w:tcPr>
            <w:tcW w:w="2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6C255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序号</w:t>
            </w: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CF58E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Theme="minorEastAsia" w:hAnsiTheme="minorEastAsia" w:eastAsiaTheme="minorEastAsia" w:cstheme="minorEastAsia"/>
                <w:b/>
                <w:bCs/>
                <w:i w:val="0"/>
                <w:iCs w:val="0"/>
                <w:color w:val="auto"/>
                <w:sz w:val="21"/>
                <w:szCs w:val="21"/>
                <w:u w:val="none"/>
              </w:rPr>
            </w:pPr>
            <w:r>
              <w:rPr>
                <w:rStyle w:val="108"/>
                <w:rFonts w:hint="eastAsia" w:asciiTheme="minorEastAsia" w:hAnsiTheme="minorEastAsia" w:eastAsiaTheme="minorEastAsia" w:cstheme="minorEastAsia"/>
                <w:color w:val="auto"/>
                <w:sz w:val="21"/>
                <w:szCs w:val="21"/>
                <w:lang w:val="en-US" w:eastAsia="zh-CN" w:bidi="ar"/>
              </w:rPr>
              <w:t>年份</w:t>
            </w:r>
          </w:p>
        </w:tc>
        <w:tc>
          <w:tcPr>
            <w:tcW w:w="4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068773">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运营面积（㎡）</w:t>
            </w:r>
          </w:p>
        </w:tc>
        <w:tc>
          <w:tcPr>
            <w:tcW w:w="5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574CA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基础收益分成标准（元/㎡/月）</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FCB5B0">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合作收益缴交比例</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02BB5C">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月收益分成（元）</w:t>
            </w:r>
          </w:p>
        </w:tc>
        <w:tc>
          <w:tcPr>
            <w:tcW w:w="5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099C3E">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Style w:val="108"/>
                <w:rFonts w:hint="eastAsia" w:asciiTheme="minorEastAsia" w:hAnsiTheme="minorEastAsia" w:eastAsiaTheme="minorEastAsia" w:cstheme="minorEastAsia"/>
                <w:i w:val="0"/>
                <w:iCs w:val="0"/>
                <w:color w:val="auto"/>
                <w:sz w:val="21"/>
                <w:szCs w:val="21"/>
                <w:lang w:val="en-US" w:eastAsia="zh-CN" w:bidi="ar"/>
              </w:rPr>
            </w:pPr>
            <w:r>
              <w:rPr>
                <w:rStyle w:val="108"/>
                <w:rFonts w:hint="eastAsia" w:asciiTheme="minorEastAsia" w:hAnsiTheme="minorEastAsia" w:eastAsiaTheme="minorEastAsia" w:cstheme="minorEastAsia"/>
                <w:i w:val="0"/>
                <w:iCs w:val="0"/>
                <w:color w:val="auto"/>
                <w:sz w:val="21"/>
                <w:szCs w:val="21"/>
                <w:lang w:val="en-US" w:eastAsia="zh-CN" w:bidi="ar"/>
              </w:rPr>
              <w:t>年收益分成（元）</w:t>
            </w:r>
          </w:p>
        </w:tc>
        <w:tc>
          <w:tcPr>
            <w:tcW w:w="6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9F5192">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Style w:val="108"/>
                <w:rFonts w:hint="eastAsia" w:asciiTheme="minorEastAsia" w:hAnsiTheme="minorEastAsia" w:eastAsiaTheme="minorEastAsia" w:cstheme="minorEastAsia"/>
                <w:i w:val="0"/>
                <w:iCs w:val="0"/>
                <w:color w:val="auto"/>
                <w:sz w:val="21"/>
                <w:szCs w:val="21"/>
                <w:lang w:val="en-US" w:eastAsia="zh-CN" w:bidi="ar"/>
              </w:rPr>
            </w:pPr>
            <w:r>
              <w:rPr>
                <w:rStyle w:val="108"/>
                <w:rFonts w:hint="eastAsia" w:asciiTheme="minorEastAsia" w:hAnsiTheme="minorEastAsia" w:eastAsiaTheme="minorEastAsia" w:cstheme="minorEastAsia"/>
                <w:i w:val="0"/>
                <w:iCs w:val="0"/>
                <w:color w:val="auto"/>
                <w:sz w:val="21"/>
                <w:szCs w:val="21"/>
                <w:lang w:val="en-US" w:eastAsia="zh-CN" w:bidi="ar"/>
              </w:rPr>
              <w:t>期间收益分成</w:t>
            </w:r>
            <w:r>
              <w:rPr>
                <w:rStyle w:val="108"/>
                <w:rFonts w:hint="eastAsia" w:asciiTheme="minorEastAsia" w:hAnsiTheme="minorEastAsia" w:eastAsiaTheme="minorEastAsia" w:cstheme="minorEastAsia"/>
                <w:i w:val="0"/>
                <w:iCs w:val="0"/>
                <w:color w:val="auto"/>
                <w:sz w:val="21"/>
                <w:szCs w:val="21"/>
                <w:lang w:val="en-US" w:eastAsia="zh-CN" w:bidi="ar"/>
              </w:rPr>
              <w:br w:type="textWrapping"/>
            </w:r>
            <w:r>
              <w:rPr>
                <w:rStyle w:val="108"/>
                <w:rFonts w:hint="eastAsia" w:asciiTheme="minorEastAsia" w:hAnsiTheme="minorEastAsia" w:eastAsiaTheme="minorEastAsia" w:cstheme="minorEastAsia"/>
                <w:i w:val="0"/>
                <w:iCs w:val="0"/>
                <w:color w:val="auto"/>
                <w:sz w:val="21"/>
                <w:szCs w:val="21"/>
                <w:lang w:val="en-US" w:eastAsia="zh-CN" w:bidi="ar"/>
              </w:rPr>
              <w:t>（每2年一期）</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A4E2C8">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Style w:val="108"/>
                <w:rFonts w:hint="eastAsia" w:asciiTheme="minorEastAsia" w:hAnsiTheme="minorEastAsia" w:eastAsiaTheme="minorEastAsia" w:cstheme="minorEastAsia"/>
                <w:i w:val="0"/>
                <w:iCs w:val="0"/>
                <w:color w:val="auto"/>
                <w:sz w:val="21"/>
                <w:szCs w:val="21"/>
                <w:lang w:val="en-US" w:eastAsia="zh-CN" w:bidi="ar"/>
              </w:rPr>
            </w:pPr>
            <w:r>
              <w:rPr>
                <w:rStyle w:val="108"/>
                <w:rFonts w:hint="eastAsia" w:asciiTheme="minorEastAsia" w:hAnsiTheme="minorEastAsia" w:eastAsiaTheme="minorEastAsia" w:cstheme="minorEastAsia"/>
                <w:i w:val="0"/>
                <w:iCs w:val="0"/>
                <w:color w:val="auto"/>
                <w:sz w:val="21"/>
                <w:szCs w:val="21"/>
                <w:lang w:val="en-US" w:eastAsia="zh-CN" w:bidi="ar"/>
              </w:rPr>
              <w:t>累计总收益（元）</w:t>
            </w:r>
          </w:p>
        </w:tc>
        <w:tc>
          <w:tcPr>
            <w:tcW w:w="6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78D6E4">
            <w:pPr>
              <w:keepNext w:val="0"/>
              <w:keepLines w:val="0"/>
              <w:pageBreakBefore w:val="0"/>
              <w:widowControl/>
              <w:suppressLineNumbers w:val="0"/>
              <w:kinsoku/>
              <w:wordWrap/>
              <w:overflowPunct/>
              <w:topLinePunct w:val="0"/>
              <w:autoSpaceDE/>
              <w:autoSpaceDN/>
              <w:bidi w:val="0"/>
              <w:adjustRightInd/>
              <w:snapToGrid/>
              <w:spacing w:line="240" w:lineRule="auto"/>
              <w:jc w:val="center"/>
              <w:textAlignment w:val="center"/>
              <w:rPr>
                <w:rStyle w:val="108"/>
                <w:rFonts w:hint="eastAsia" w:asciiTheme="minorEastAsia" w:hAnsiTheme="minorEastAsia" w:eastAsiaTheme="minorEastAsia" w:cstheme="minorEastAsia"/>
                <w:i w:val="0"/>
                <w:iCs w:val="0"/>
                <w:color w:val="auto"/>
                <w:sz w:val="21"/>
                <w:szCs w:val="21"/>
                <w:lang w:val="en-US" w:eastAsia="zh-CN" w:bidi="ar"/>
              </w:rPr>
            </w:pPr>
            <w:r>
              <w:rPr>
                <w:rStyle w:val="108"/>
                <w:rFonts w:hint="eastAsia" w:asciiTheme="minorEastAsia" w:hAnsiTheme="minorEastAsia" w:eastAsiaTheme="minorEastAsia" w:cstheme="minorEastAsia"/>
                <w:i w:val="0"/>
                <w:iCs w:val="0"/>
                <w:color w:val="auto"/>
                <w:sz w:val="21"/>
                <w:szCs w:val="21"/>
                <w:lang w:val="en-US" w:eastAsia="zh-CN" w:bidi="ar"/>
              </w:rPr>
              <w:t>备注</w:t>
            </w:r>
          </w:p>
        </w:tc>
      </w:tr>
      <w:tr w14:paraId="09021E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3" w:hRule="atLeast"/>
        </w:trPr>
        <w:tc>
          <w:tcPr>
            <w:tcW w:w="2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BD62B2">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w:t>
            </w: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B3A3ED">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1-2</w:t>
            </w:r>
          </w:p>
        </w:tc>
        <w:tc>
          <w:tcPr>
            <w:tcW w:w="4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5996D6">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20,509.91</w:t>
            </w:r>
          </w:p>
        </w:tc>
        <w:tc>
          <w:tcPr>
            <w:tcW w:w="5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AF045A">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3.1</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27E5A3">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20%</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C8566F">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12716.1442</w:t>
            </w:r>
          </w:p>
        </w:tc>
        <w:tc>
          <w:tcPr>
            <w:tcW w:w="5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B9BA36D">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152593.7304</w:t>
            </w:r>
          </w:p>
        </w:tc>
        <w:tc>
          <w:tcPr>
            <w:tcW w:w="6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3BE1B8">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228890.5956</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79F3A3">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228,890.60</w:t>
            </w:r>
          </w:p>
        </w:tc>
        <w:tc>
          <w:tcPr>
            <w:tcW w:w="6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061DD2">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免收益分成6个月</w:t>
            </w:r>
          </w:p>
        </w:tc>
      </w:tr>
      <w:tr w14:paraId="6E1919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3" w:hRule="atLeast"/>
        </w:trPr>
        <w:tc>
          <w:tcPr>
            <w:tcW w:w="2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E37444">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w:t>
            </w: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D80C3D">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3-4</w:t>
            </w:r>
          </w:p>
        </w:tc>
        <w:tc>
          <w:tcPr>
            <w:tcW w:w="4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14C39C">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20,509.91</w:t>
            </w:r>
          </w:p>
        </w:tc>
        <w:tc>
          <w:tcPr>
            <w:tcW w:w="5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964E4C">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3.1</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178C67">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40%</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2F53CF">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25432.2884</w:t>
            </w:r>
          </w:p>
        </w:tc>
        <w:tc>
          <w:tcPr>
            <w:tcW w:w="5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642F1E">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305187.4608</w:t>
            </w:r>
          </w:p>
        </w:tc>
        <w:tc>
          <w:tcPr>
            <w:tcW w:w="6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818A3F">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610374.9216</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39CD85">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839265.5172</w:t>
            </w:r>
          </w:p>
        </w:tc>
        <w:tc>
          <w:tcPr>
            <w:tcW w:w="6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49A75F">
            <w:pPr>
              <w:spacing w:line="240" w:lineRule="auto"/>
              <w:jc w:val="center"/>
              <w:rPr>
                <w:rFonts w:hint="eastAsia" w:asciiTheme="minorEastAsia" w:hAnsiTheme="minorEastAsia" w:eastAsiaTheme="minorEastAsia" w:cstheme="minorEastAsia"/>
                <w:i w:val="0"/>
                <w:iCs w:val="0"/>
                <w:color w:val="auto"/>
                <w:sz w:val="21"/>
                <w:szCs w:val="21"/>
                <w:u w:val="none"/>
              </w:rPr>
            </w:pPr>
          </w:p>
        </w:tc>
      </w:tr>
      <w:tr w14:paraId="2576D9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3" w:hRule="atLeast"/>
        </w:trPr>
        <w:tc>
          <w:tcPr>
            <w:tcW w:w="2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D13C07">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w:t>
            </w: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2491DD">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5-6</w:t>
            </w:r>
          </w:p>
        </w:tc>
        <w:tc>
          <w:tcPr>
            <w:tcW w:w="4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243E34">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20,509.91</w:t>
            </w:r>
          </w:p>
        </w:tc>
        <w:tc>
          <w:tcPr>
            <w:tcW w:w="5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C6FCC6">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3.1</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CE3D3">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60%</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A4B2D2">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38148.4326</w:t>
            </w:r>
          </w:p>
        </w:tc>
        <w:tc>
          <w:tcPr>
            <w:tcW w:w="5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6A1403">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457781.1912</w:t>
            </w:r>
          </w:p>
        </w:tc>
        <w:tc>
          <w:tcPr>
            <w:tcW w:w="6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93C477">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915562.3824</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C9F7B5">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1754827.9</w:t>
            </w:r>
          </w:p>
        </w:tc>
        <w:tc>
          <w:tcPr>
            <w:tcW w:w="6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D05063">
            <w:pPr>
              <w:spacing w:line="240" w:lineRule="auto"/>
              <w:jc w:val="center"/>
              <w:rPr>
                <w:rFonts w:hint="eastAsia" w:asciiTheme="minorEastAsia" w:hAnsiTheme="minorEastAsia" w:eastAsiaTheme="minorEastAsia" w:cstheme="minorEastAsia"/>
                <w:i w:val="0"/>
                <w:iCs w:val="0"/>
                <w:color w:val="auto"/>
                <w:sz w:val="21"/>
                <w:szCs w:val="21"/>
                <w:u w:val="none"/>
              </w:rPr>
            </w:pPr>
          </w:p>
        </w:tc>
      </w:tr>
      <w:tr w14:paraId="12F69B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3" w:hRule="atLeast"/>
        </w:trPr>
        <w:tc>
          <w:tcPr>
            <w:tcW w:w="2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927E21">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4</w:t>
            </w: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DB7251">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7-8</w:t>
            </w:r>
          </w:p>
        </w:tc>
        <w:tc>
          <w:tcPr>
            <w:tcW w:w="4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059FDD">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20,509.91</w:t>
            </w:r>
          </w:p>
        </w:tc>
        <w:tc>
          <w:tcPr>
            <w:tcW w:w="5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7EBA6E">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3.1</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33C39F">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80%</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C38EFE">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50864.5768</w:t>
            </w:r>
          </w:p>
        </w:tc>
        <w:tc>
          <w:tcPr>
            <w:tcW w:w="5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7A1B1A">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610374.9216</w:t>
            </w:r>
          </w:p>
        </w:tc>
        <w:tc>
          <w:tcPr>
            <w:tcW w:w="6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D9D3DB">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1220749.843</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2F5934">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2975577.743</w:t>
            </w:r>
          </w:p>
        </w:tc>
        <w:tc>
          <w:tcPr>
            <w:tcW w:w="6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410460">
            <w:pPr>
              <w:spacing w:line="240" w:lineRule="auto"/>
              <w:jc w:val="center"/>
              <w:rPr>
                <w:rFonts w:hint="eastAsia" w:asciiTheme="minorEastAsia" w:hAnsiTheme="minorEastAsia" w:eastAsiaTheme="minorEastAsia" w:cstheme="minorEastAsia"/>
                <w:i w:val="0"/>
                <w:iCs w:val="0"/>
                <w:color w:val="auto"/>
                <w:sz w:val="21"/>
                <w:szCs w:val="21"/>
                <w:u w:val="none"/>
              </w:rPr>
            </w:pPr>
          </w:p>
        </w:tc>
      </w:tr>
      <w:tr w14:paraId="74F214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3" w:hRule="atLeast"/>
        </w:trPr>
        <w:tc>
          <w:tcPr>
            <w:tcW w:w="2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914EBC">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5</w:t>
            </w: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4C646B">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9-10</w:t>
            </w:r>
          </w:p>
        </w:tc>
        <w:tc>
          <w:tcPr>
            <w:tcW w:w="4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CA300E">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20,509.91</w:t>
            </w:r>
          </w:p>
        </w:tc>
        <w:tc>
          <w:tcPr>
            <w:tcW w:w="5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BF8AFD">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3.1</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8E0CDC">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100%</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6D8969">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63580.721</w:t>
            </w:r>
          </w:p>
        </w:tc>
        <w:tc>
          <w:tcPr>
            <w:tcW w:w="5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D7570C">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762968.652</w:t>
            </w:r>
          </w:p>
        </w:tc>
        <w:tc>
          <w:tcPr>
            <w:tcW w:w="6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3A0B8E">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1525937.304</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A1EA0C">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4501515.047</w:t>
            </w:r>
          </w:p>
        </w:tc>
        <w:tc>
          <w:tcPr>
            <w:tcW w:w="6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4273D1">
            <w:pPr>
              <w:spacing w:line="240" w:lineRule="auto"/>
              <w:jc w:val="center"/>
              <w:rPr>
                <w:rFonts w:hint="eastAsia" w:asciiTheme="minorEastAsia" w:hAnsiTheme="minorEastAsia" w:eastAsiaTheme="minorEastAsia" w:cstheme="minorEastAsia"/>
                <w:i w:val="0"/>
                <w:iCs w:val="0"/>
                <w:color w:val="auto"/>
                <w:sz w:val="21"/>
                <w:szCs w:val="21"/>
                <w:u w:val="none"/>
              </w:rPr>
            </w:pPr>
          </w:p>
        </w:tc>
      </w:tr>
      <w:tr w14:paraId="6E64F6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3" w:hRule="atLeast"/>
        </w:trPr>
        <w:tc>
          <w:tcPr>
            <w:tcW w:w="2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6B0F2C">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6</w:t>
            </w: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D4C11A">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11-12</w:t>
            </w:r>
          </w:p>
        </w:tc>
        <w:tc>
          <w:tcPr>
            <w:tcW w:w="4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82D6BB">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20,509.91</w:t>
            </w:r>
          </w:p>
        </w:tc>
        <w:tc>
          <w:tcPr>
            <w:tcW w:w="5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5F44AD">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3.1</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54E35A">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120%</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BB13B2">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76296.8652</w:t>
            </w:r>
          </w:p>
        </w:tc>
        <w:tc>
          <w:tcPr>
            <w:tcW w:w="5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517D07">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915562.3824</w:t>
            </w:r>
          </w:p>
        </w:tc>
        <w:tc>
          <w:tcPr>
            <w:tcW w:w="6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F65104">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1831124.765</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902A69">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6332639.812</w:t>
            </w:r>
          </w:p>
        </w:tc>
        <w:tc>
          <w:tcPr>
            <w:tcW w:w="6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C4EA0B">
            <w:pPr>
              <w:spacing w:line="240" w:lineRule="auto"/>
              <w:jc w:val="center"/>
              <w:rPr>
                <w:rFonts w:hint="eastAsia" w:asciiTheme="minorEastAsia" w:hAnsiTheme="minorEastAsia" w:eastAsiaTheme="minorEastAsia" w:cstheme="minorEastAsia"/>
                <w:i w:val="0"/>
                <w:iCs w:val="0"/>
                <w:color w:val="auto"/>
                <w:sz w:val="21"/>
                <w:szCs w:val="21"/>
                <w:u w:val="none"/>
              </w:rPr>
            </w:pPr>
          </w:p>
        </w:tc>
      </w:tr>
      <w:tr w14:paraId="41C411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3" w:hRule="atLeast"/>
        </w:trPr>
        <w:tc>
          <w:tcPr>
            <w:tcW w:w="2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6D52F5">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7</w:t>
            </w: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59B430">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13-14</w:t>
            </w:r>
          </w:p>
        </w:tc>
        <w:tc>
          <w:tcPr>
            <w:tcW w:w="4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4CE079">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20,509.91</w:t>
            </w:r>
          </w:p>
        </w:tc>
        <w:tc>
          <w:tcPr>
            <w:tcW w:w="5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1342FE">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3.1</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5B7EBB">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140%</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86DA4A">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89013.0094</w:t>
            </w:r>
          </w:p>
        </w:tc>
        <w:tc>
          <w:tcPr>
            <w:tcW w:w="5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71EC35">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1068156.113</w:t>
            </w:r>
          </w:p>
        </w:tc>
        <w:tc>
          <w:tcPr>
            <w:tcW w:w="6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F3E435">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2136312.226</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B439EE">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8468952.037</w:t>
            </w:r>
          </w:p>
        </w:tc>
        <w:tc>
          <w:tcPr>
            <w:tcW w:w="6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3FBF9C">
            <w:pPr>
              <w:spacing w:line="240" w:lineRule="auto"/>
              <w:jc w:val="center"/>
              <w:rPr>
                <w:rFonts w:hint="eastAsia" w:asciiTheme="minorEastAsia" w:hAnsiTheme="minorEastAsia" w:eastAsiaTheme="minorEastAsia" w:cstheme="minorEastAsia"/>
                <w:i w:val="0"/>
                <w:iCs w:val="0"/>
                <w:color w:val="auto"/>
                <w:sz w:val="21"/>
                <w:szCs w:val="21"/>
                <w:u w:val="none"/>
              </w:rPr>
            </w:pPr>
          </w:p>
        </w:tc>
      </w:tr>
      <w:tr w14:paraId="5E3EEB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3" w:hRule="atLeast"/>
        </w:trPr>
        <w:tc>
          <w:tcPr>
            <w:tcW w:w="2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F08707">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8</w:t>
            </w: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0CC0D9">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15-16</w:t>
            </w:r>
          </w:p>
        </w:tc>
        <w:tc>
          <w:tcPr>
            <w:tcW w:w="4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F8499C">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20,509.91</w:t>
            </w:r>
          </w:p>
        </w:tc>
        <w:tc>
          <w:tcPr>
            <w:tcW w:w="5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C318E7">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3.1</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F17E33">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160%</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8FE72A">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101729.1536</w:t>
            </w:r>
          </w:p>
        </w:tc>
        <w:tc>
          <w:tcPr>
            <w:tcW w:w="5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D760B0">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1220749.843</w:t>
            </w:r>
          </w:p>
        </w:tc>
        <w:tc>
          <w:tcPr>
            <w:tcW w:w="6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2F912C">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2441499.686</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B41FD6">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10910451.72</w:t>
            </w:r>
          </w:p>
        </w:tc>
        <w:tc>
          <w:tcPr>
            <w:tcW w:w="6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96D791">
            <w:pPr>
              <w:spacing w:line="240" w:lineRule="auto"/>
              <w:jc w:val="center"/>
              <w:rPr>
                <w:rFonts w:hint="eastAsia" w:asciiTheme="minorEastAsia" w:hAnsiTheme="minorEastAsia" w:eastAsiaTheme="minorEastAsia" w:cstheme="minorEastAsia"/>
                <w:i w:val="0"/>
                <w:iCs w:val="0"/>
                <w:color w:val="auto"/>
                <w:sz w:val="21"/>
                <w:szCs w:val="21"/>
                <w:u w:val="none"/>
              </w:rPr>
            </w:pPr>
          </w:p>
        </w:tc>
      </w:tr>
      <w:tr w14:paraId="3F08DF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3" w:hRule="atLeast"/>
        </w:trPr>
        <w:tc>
          <w:tcPr>
            <w:tcW w:w="2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60B8B0">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9</w:t>
            </w: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2BD22E">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17-18</w:t>
            </w:r>
          </w:p>
        </w:tc>
        <w:tc>
          <w:tcPr>
            <w:tcW w:w="4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82360A">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20,509.91</w:t>
            </w:r>
          </w:p>
        </w:tc>
        <w:tc>
          <w:tcPr>
            <w:tcW w:w="5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795ECB">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3.1</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09D5AB">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180%</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FA5BFC">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114445.2978</w:t>
            </w:r>
          </w:p>
        </w:tc>
        <w:tc>
          <w:tcPr>
            <w:tcW w:w="5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A62838">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1373343.574</w:t>
            </w:r>
          </w:p>
        </w:tc>
        <w:tc>
          <w:tcPr>
            <w:tcW w:w="6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A10463">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2746687.147</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E9BCF6">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13657138.87</w:t>
            </w:r>
          </w:p>
        </w:tc>
        <w:tc>
          <w:tcPr>
            <w:tcW w:w="6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05EF6F">
            <w:pPr>
              <w:spacing w:line="240" w:lineRule="auto"/>
              <w:jc w:val="center"/>
              <w:rPr>
                <w:rFonts w:hint="eastAsia" w:asciiTheme="minorEastAsia" w:hAnsiTheme="minorEastAsia" w:eastAsiaTheme="minorEastAsia" w:cstheme="minorEastAsia"/>
                <w:i w:val="0"/>
                <w:iCs w:val="0"/>
                <w:color w:val="auto"/>
                <w:sz w:val="21"/>
                <w:szCs w:val="21"/>
                <w:u w:val="none"/>
              </w:rPr>
            </w:pPr>
          </w:p>
        </w:tc>
      </w:tr>
      <w:tr w14:paraId="644C62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3" w:hRule="atLeast"/>
        </w:trPr>
        <w:tc>
          <w:tcPr>
            <w:tcW w:w="25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ACBCE3">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10</w:t>
            </w:r>
          </w:p>
        </w:tc>
        <w:tc>
          <w:tcPr>
            <w:tcW w:w="30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56AB87">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19-20</w:t>
            </w:r>
          </w:p>
        </w:tc>
        <w:tc>
          <w:tcPr>
            <w:tcW w:w="45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0D7C25">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20,509.91</w:t>
            </w:r>
          </w:p>
        </w:tc>
        <w:tc>
          <w:tcPr>
            <w:tcW w:w="5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988379">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3.1</w:t>
            </w:r>
          </w:p>
        </w:tc>
        <w:tc>
          <w:tcPr>
            <w:tcW w:w="43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3E5C61">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200%</w:t>
            </w:r>
          </w:p>
        </w:tc>
        <w:tc>
          <w:tcPr>
            <w:tcW w:w="47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CB16BD">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127161.442</w:t>
            </w:r>
          </w:p>
        </w:tc>
        <w:tc>
          <w:tcPr>
            <w:tcW w:w="57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9BEE2E">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1525937.304</w:t>
            </w:r>
          </w:p>
        </w:tc>
        <w:tc>
          <w:tcPr>
            <w:tcW w:w="61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E5AC7C">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3051874.608</w:t>
            </w:r>
          </w:p>
        </w:tc>
        <w:tc>
          <w:tcPr>
            <w:tcW w:w="64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879306">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16709013.48</w:t>
            </w:r>
          </w:p>
        </w:tc>
        <w:tc>
          <w:tcPr>
            <w:tcW w:w="6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B1BA41">
            <w:pPr>
              <w:spacing w:line="240" w:lineRule="auto"/>
              <w:jc w:val="center"/>
              <w:rPr>
                <w:rFonts w:hint="eastAsia" w:asciiTheme="minorEastAsia" w:hAnsiTheme="minorEastAsia" w:eastAsiaTheme="minorEastAsia" w:cstheme="minorEastAsia"/>
                <w:i w:val="0"/>
                <w:iCs w:val="0"/>
                <w:color w:val="auto"/>
                <w:sz w:val="21"/>
                <w:szCs w:val="21"/>
                <w:u w:val="none"/>
              </w:rPr>
            </w:pPr>
          </w:p>
        </w:tc>
      </w:tr>
      <w:tr w14:paraId="32666E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83" w:hRule="atLeast"/>
        </w:trPr>
        <w:tc>
          <w:tcPr>
            <w:tcW w:w="56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E5C87CF">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合计：</w:t>
            </w:r>
          </w:p>
        </w:tc>
        <w:tc>
          <w:tcPr>
            <w:tcW w:w="45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583BA8">
            <w:pPr>
              <w:spacing w:line="240" w:lineRule="auto"/>
              <w:jc w:val="center"/>
              <w:rPr>
                <w:rFonts w:hint="eastAsia" w:asciiTheme="minorEastAsia" w:hAnsiTheme="minorEastAsia" w:eastAsiaTheme="minorEastAsia" w:cstheme="minorEastAsia"/>
                <w:i w:val="0"/>
                <w:iCs w:val="0"/>
                <w:color w:val="auto"/>
                <w:sz w:val="21"/>
                <w:szCs w:val="21"/>
                <w:u w:val="none"/>
              </w:rPr>
            </w:pPr>
          </w:p>
        </w:tc>
        <w:tc>
          <w:tcPr>
            <w:tcW w:w="5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CC08D1">
            <w:pPr>
              <w:spacing w:line="240" w:lineRule="auto"/>
              <w:jc w:val="center"/>
              <w:rPr>
                <w:rFonts w:hint="eastAsia" w:asciiTheme="minorEastAsia" w:hAnsiTheme="minorEastAsia" w:eastAsiaTheme="minorEastAsia" w:cstheme="minorEastAsia"/>
                <w:i w:val="0"/>
                <w:iCs w:val="0"/>
                <w:color w:val="auto"/>
                <w:sz w:val="21"/>
                <w:szCs w:val="21"/>
                <w:u w:val="none"/>
              </w:rPr>
            </w:pPr>
          </w:p>
        </w:tc>
        <w:tc>
          <w:tcPr>
            <w:tcW w:w="43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7B0ED5">
            <w:pPr>
              <w:spacing w:line="240" w:lineRule="auto"/>
              <w:jc w:val="center"/>
              <w:rPr>
                <w:rFonts w:hint="eastAsia" w:asciiTheme="minorEastAsia" w:hAnsiTheme="minorEastAsia" w:eastAsiaTheme="minorEastAsia" w:cstheme="minorEastAsia"/>
                <w:i w:val="0"/>
                <w:iCs w:val="0"/>
                <w:color w:val="auto"/>
                <w:sz w:val="21"/>
                <w:szCs w:val="21"/>
                <w:u w:val="none"/>
              </w:rPr>
            </w:pPr>
          </w:p>
        </w:tc>
        <w:tc>
          <w:tcPr>
            <w:tcW w:w="4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5729EE">
            <w:pPr>
              <w:spacing w:line="240" w:lineRule="auto"/>
              <w:jc w:val="center"/>
              <w:rPr>
                <w:rFonts w:hint="eastAsia" w:asciiTheme="minorEastAsia" w:hAnsiTheme="minorEastAsia" w:eastAsiaTheme="minorEastAsia" w:cstheme="minorEastAsia"/>
                <w:i w:val="0"/>
                <w:iCs w:val="0"/>
                <w:color w:val="auto"/>
                <w:sz w:val="21"/>
                <w:szCs w:val="21"/>
                <w:u w:val="none"/>
              </w:rPr>
            </w:pPr>
          </w:p>
        </w:tc>
        <w:tc>
          <w:tcPr>
            <w:tcW w:w="5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88D897">
            <w:pPr>
              <w:spacing w:line="240" w:lineRule="auto"/>
              <w:jc w:val="center"/>
              <w:rPr>
                <w:rFonts w:hint="eastAsia" w:asciiTheme="minorEastAsia" w:hAnsiTheme="minorEastAsia" w:eastAsiaTheme="minorEastAsia" w:cstheme="minorEastAsia"/>
                <w:i w:val="0"/>
                <w:iCs w:val="0"/>
                <w:color w:val="auto"/>
                <w:sz w:val="21"/>
                <w:szCs w:val="21"/>
                <w:u w:val="none"/>
              </w:rPr>
            </w:pPr>
          </w:p>
        </w:tc>
        <w:tc>
          <w:tcPr>
            <w:tcW w:w="6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8D4BA1">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16709013.48</w:t>
            </w:r>
          </w:p>
        </w:tc>
        <w:tc>
          <w:tcPr>
            <w:tcW w:w="6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6CD98E">
            <w:pPr>
              <w:spacing w:line="240" w:lineRule="auto"/>
              <w:jc w:val="center"/>
              <w:rPr>
                <w:rFonts w:hint="eastAsia" w:asciiTheme="minorEastAsia" w:hAnsiTheme="minorEastAsia" w:eastAsiaTheme="minorEastAsia" w:cstheme="minorEastAsia"/>
                <w:i w:val="0"/>
                <w:iCs w:val="0"/>
                <w:color w:val="auto"/>
                <w:sz w:val="21"/>
                <w:szCs w:val="21"/>
                <w:u w:val="none"/>
              </w:rPr>
            </w:pPr>
          </w:p>
        </w:tc>
        <w:tc>
          <w:tcPr>
            <w:tcW w:w="69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C73948">
            <w:pPr>
              <w:keepNext w:val="0"/>
              <w:keepLines w:val="0"/>
              <w:widowControl/>
              <w:suppressLineNumbers w:val="0"/>
              <w:spacing w:line="240" w:lineRule="auto"/>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sz w:val="21"/>
                <w:szCs w:val="21"/>
                <w:u w:val="none"/>
                <w:lang w:val="en-US" w:eastAsia="zh-CN"/>
              </w:rPr>
              <w:t>20年平均收益分成为3.3945元/㎡/月</w:t>
            </w:r>
          </w:p>
        </w:tc>
      </w:tr>
    </w:tbl>
    <w:p w14:paraId="1E35E2F3">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default" w:asciiTheme="minorEastAsia" w:hAnsiTheme="minorEastAsia" w:eastAsiaTheme="minorEastAsia" w:cstheme="minorEastAsia"/>
          <w:color w:val="auto"/>
          <w:kern w:val="2"/>
          <w:sz w:val="21"/>
          <w:szCs w:val="21"/>
          <w:highlight w:val="yellow"/>
          <w:lang w:val="en-US" w:eastAsia="zh-CN" w:bidi="ar-SA"/>
        </w:rPr>
      </w:pPr>
      <w:r>
        <w:rPr>
          <w:rFonts w:hint="eastAsia" w:ascii="宋体" w:hAnsi="宋体" w:eastAsia="宋体" w:cs="宋体"/>
          <w:b w:val="0"/>
          <w:bCs w:val="0"/>
          <w:color w:val="auto"/>
          <w:sz w:val="21"/>
          <w:szCs w:val="21"/>
          <w:highlight w:val="none"/>
          <w:u w:val="none"/>
          <w:shd w:val="clear" w:color="auto" w:fill="auto"/>
          <w:lang w:val="en-US" w:eastAsia="zh-CN"/>
        </w:rPr>
        <w:t>注:乙方必须满足以上</w:t>
      </w:r>
      <w:r>
        <w:rPr>
          <w:rFonts w:hint="eastAsia" w:eastAsia="宋体" w:cs="宋体"/>
          <w:b/>
          <w:bCs/>
          <w:color w:val="auto"/>
          <w:sz w:val="21"/>
          <w:szCs w:val="21"/>
          <w:highlight w:val="none"/>
          <w:lang w:val="en-US" w:eastAsia="zh-CN"/>
        </w:rPr>
        <w:t>合作收益分成标准的前提下，对</w:t>
      </w:r>
      <w:r>
        <w:rPr>
          <w:rFonts w:hint="eastAsia" w:eastAsia="宋体" w:cs="宋体"/>
          <w:b/>
          <w:bCs/>
          <w:color w:val="auto"/>
          <w:sz w:val="21"/>
          <w:szCs w:val="21"/>
          <w:highlight w:val="none"/>
          <w:lang w:eastAsia="zh-CN"/>
        </w:rPr>
        <w:t>基础收益分成</w:t>
      </w:r>
      <w:r>
        <w:rPr>
          <w:rFonts w:hint="eastAsia" w:eastAsia="宋体" w:cs="宋体"/>
          <w:b/>
          <w:bCs/>
          <w:color w:val="auto"/>
          <w:sz w:val="21"/>
          <w:szCs w:val="21"/>
          <w:highlight w:val="none"/>
          <w:lang w:val="en-US" w:eastAsia="zh-CN"/>
        </w:rPr>
        <w:t>进行报价，</w:t>
      </w:r>
      <w:r>
        <w:rPr>
          <w:rFonts w:hint="eastAsia" w:ascii="宋体" w:hAnsi="宋体" w:eastAsia="宋体" w:cs="宋体"/>
          <w:b w:val="0"/>
          <w:bCs/>
          <w:color w:val="auto"/>
          <w:kern w:val="2"/>
          <w:sz w:val="21"/>
          <w:szCs w:val="21"/>
          <w:highlight w:val="none"/>
          <w:lang w:val="en-US" w:eastAsia="zh-CN" w:bidi="ar-SA"/>
        </w:rPr>
        <w:t>报价低于金额3.1元/M²/月的列为无效报价处理，各有效投标人对报价自行评估风险。</w:t>
      </w:r>
    </w:p>
    <w:p w14:paraId="06331E03">
      <w:pPr>
        <w:pStyle w:val="106"/>
        <w:keepNext w:val="0"/>
        <w:keepLines w:val="0"/>
        <w:pageBreakBefore w:val="0"/>
        <w:numPr>
          <w:ilvl w:val="0"/>
          <w:numId w:val="0"/>
        </w:numPr>
        <w:kinsoku/>
        <w:wordWrap/>
        <w:overflowPunct/>
        <w:topLinePunct w:val="0"/>
        <w:autoSpaceDE/>
        <w:autoSpaceDN/>
        <w:bidi w:val="0"/>
        <w:adjustRightInd/>
        <w:snapToGrid/>
        <w:spacing w:before="0" w:after="0" w:line="360" w:lineRule="auto"/>
        <w:ind w:firstLine="422" w:firstLineChars="200"/>
        <w:textAlignment w:val="auto"/>
        <w:rPr>
          <w:rFonts w:hint="eastAsia" w:asciiTheme="minorEastAsia" w:hAnsiTheme="minorEastAsia" w:eastAsiaTheme="minorEastAsia" w:cstheme="minorEastAsia"/>
          <w:color w:val="auto"/>
          <w:kern w:val="2"/>
          <w:sz w:val="21"/>
          <w:szCs w:val="21"/>
          <w:highlight w:val="none"/>
          <w:lang w:val="en-US" w:eastAsia="zh-CN" w:bidi="ar-SA"/>
        </w:rPr>
      </w:pPr>
      <w:r>
        <w:rPr>
          <w:rFonts w:hint="eastAsia" w:ascii="宋体" w:hAnsi="宋体" w:eastAsia="宋体" w:cs="宋体"/>
          <w:b/>
          <w:bCs/>
          <w:color w:val="auto"/>
          <w:kern w:val="2"/>
          <w:sz w:val="21"/>
          <w:szCs w:val="21"/>
          <w:highlight w:val="none"/>
          <w:u w:val="none"/>
          <w:shd w:val="clear" w:color="auto" w:fill="auto"/>
          <w:lang w:val="en-US" w:eastAsia="zh-CN" w:bidi="ar-SA"/>
        </w:rPr>
        <w:t>2</w:t>
      </w:r>
      <w:r>
        <w:rPr>
          <w:rFonts w:hint="default" w:ascii="宋体" w:hAnsi="宋体" w:eastAsia="宋体" w:cs="宋体"/>
          <w:b/>
          <w:bCs/>
          <w:color w:val="auto"/>
          <w:kern w:val="2"/>
          <w:sz w:val="21"/>
          <w:szCs w:val="21"/>
          <w:highlight w:val="none"/>
          <w:u w:val="none"/>
          <w:shd w:val="clear" w:color="auto" w:fill="auto"/>
          <w:lang w:val="en-US" w:eastAsia="zh-CN" w:bidi="ar-SA"/>
        </w:rPr>
        <w:t>.</w:t>
      </w:r>
      <w:r>
        <w:rPr>
          <w:rFonts w:hint="eastAsia" w:ascii="宋体" w:hAnsi="宋体" w:eastAsia="宋体" w:cs="宋体"/>
          <w:b/>
          <w:bCs/>
          <w:color w:val="auto"/>
          <w:kern w:val="2"/>
          <w:sz w:val="21"/>
          <w:szCs w:val="21"/>
          <w:highlight w:val="none"/>
          <w:u w:val="none"/>
          <w:shd w:val="clear" w:color="auto" w:fill="auto"/>
          <w:lang w:val="en-US" w:eastAsia="zh-CN" w:bidi="ar-SA"/>
        </w:rPr>
        <w:t>免收益分成与支付起始：</w:t>
      </w:r>
      <w:r>
        <w:rPr>
          <w:rFonts w:hint="eastAsia" w:asciiTheme="minorEastAsia" w:hAnsiTheme="minorEastAsia" w:eastAsiaTheme="minorEastAsia" w:cstheme="minorEastAsia"/>
          <w:color w:val="auto"/>
          <w:kern w:val="2"/>
          <w:sz w:val="21"/>
          <w:szCs w:val="21"/>
          <w:highlight w:val="none"/>
          <w:lang w:val="en-US" w:eastAsia="zh-CN" w:bidi="ar-SA"/>
        </w:rPr>
        <w:t>首半年免收益分成，合作收益分成自本项目生效后第7个月起计提。</w:t>
      </w:r>
    </w:p>
    <w:p w14:paraId="6E48DD52">
      <w:pPr>
        <w:keepNext w:val="0"/>
        <w:keepLines w:val="0"/>
        <w:pageBreakBefore w:val="0"/>
        <w:widowControl w:val="0"/>
        <w:kinsoku/>
        <w:wordWrap/>
        <w:overflowPunct/>
        <w:topLinePunct w:val="0"/>
        <w:autoSpaceDE/>
        <w:autoSpaceDN/>
        <w:bidi w:val="0"/>
        <w:adjustRightInd/>
        <w:snapToGrid/>
        <w:spacing w:line="360" w:lineRule="auto"/>
        <w:ind w:firstLine="422" w:firstLineChars="200"/>
        <w:textAlignment w:val="auto"/>
        <w:rPr>
          <w:rFonts w:hint="eastAsia" w:ascii="宋体" w:hAnsi="宋体" w:eastAsia="宋体" w:cs="宋体"/>
          <w:b/>
          <w:bCs/>
          <w:color w:val="auto"/>
          <w:kern w:val="2"/>
          <w:sz w:val="21"/>
          <w:szCs w:val="21"/>
          <w:highlight w:val="none"/>
          <w:u w:val="none"/>
          <w:shd w:val="clear" w:color="auto" w:fill="auto"/>
          <w:lang w:val="en-US" w:eastAsia="zh-CN" w:bidi="ar-SA"/>
        </w:rPr>
      </w:pPr>
      <w:r>
        <w:rPr>
          <w:rFonts w:hint="eastAsia" w:ascii="宋体" w:hAnsi="宋体" w:eastAsia="宋体" w:cs="宋体"/>
          <w:b/>
          <w:bCs/>
          <w:color w:val="auto"/>
          <w:kern w:val="2"/>
          <w:sz w:val="21"/>
          <w:szCs w:val="21"/>
          <w:highlight w:val="none"/>
          <w:u w:val="none"/>
          <w:shd w:val="clear" w:color="auto" w:fill="auto"/>
          <w:lang w:val="en-US" w:eastAsia="zh-CN" w:bidi="ar-SA"/>
        </w:rPr>
        <w:t>3.付款方式：</w:t>
      </w:r>
    </w:p>
    <w:p w14:paraId="4CFF4658">
      <w:pPr>
        <w:pStyle w:val="106"/>
        <w:keepNext w:val="0"/>
        <w:keepLines w:val="0"/>
        <w:pageBreakBefore w:val="0"/>
        <w:numPr>
          <w:ilvl w:val="0"/>
          <w:numId w:val="0"/>
        </w:numPr>
        <w:kinsoku/>
        <w:wordWrap/>
        <w:overflowPunct/>
        <w:topLinePunct w:val="0"/>
        <w:autoSpaceDE/>
        <w:autoSpaceDN/>
        <w:bidi w:val="0"/>
        <w:adjustRightInd/>
        <w:snapToGrid/>
        <w:spacing w:before="0" w:after="0" w:line="360" w:lineRule="auto"/>
        <w:ind w:leftChars="0" w:firstLine="420" w:firstLineChars="200"/>
        <w:textAlignment w:val="auto"/>
        <w:rPr>
          <w:rFonts w:hint="eastAsia" w:asciiTheme="minorEastAsia" w:hAnsiTheme="minorEastAsia" w:eastAsiaTheme="minorEastAsia" w:cstheme="minorEastAsia"/>
          <w:color w:val="auto"/>
          <w:kern w:val="2"/>
          <w:sz w:val="21"/>
          <w:szCs w:val="21"/>
          <w:highlight w:val="none"/>
          <w:lang w:val="en-US" w:eastAsia="zh-CN" w:bidi="ar-SA"/>
        </w:rPr>
      </w:pPr>
      <w:r>
        <w:rPr>
          <w:rFonts w:hint="eastAsia" w:asciiTheme="minorEastAsia" w:hAnsiTheme="minorEastAsia" w:eastAsiaTheme="minorEastAsia" w:cstheme="minorEastAsia"/>
          <w:color w:val="auto"/>
          <w:kern w:val="2"/>
          <w:sz w:val="21"/>
          <w:szCs w:val="21"/>
          <w:highlight w:val="none"/>
          <w:lang w:val="en-US" w:eastAsia="zh-CN" w:bidi="ar-SA"/>
        </w:rPr>
        <w:t>1）按“先付后使用”原则，每月10日前向甲方指定账户支付当月合作收益分成，支付方式为银行转账；</w:t>
      </w:r>
    </w:p>
    <w:p w14:paraId="0ABAC198">
      <w:pPr>
        <w:pStyle w:val="106"/>
        <w:keepNext w:val="0"/>
        <w:keepLines w:val="0"/>
        <w:pageBreakBefore w:val="0"/>
        <w:numPr>
          <w:ilvl w:val="0"/>
          <w:numId w:val="0"/>
        </w:numPr>
        <w:kinsoku/>
        <w:wordWrap/>
        <w:overflowPunct/>
        <w:topLinePunct w:val="0"/>
        <w:autoSpaceDE/>
        <w:autoSpaceDN/>
        <w:bidi w:val="0"/>
        <w:adjustRightInd/>
        <w:snapToGrid/>
        <w:spacing w:before="0" w:after="0" w:line="360" w:lineRule="auto"/>
        <w:ind w:firstLine="422" w:firstLineChars="200"/>
        <w:textAlignment w:val="auto"/>
        <w:rPr>
          <w:rFonts w:hint="eastAsia" w:ascii="宋体" w:hAnsi="宋体" w:eastAsia="宋体" w:cs="宋体"/>
          <w:b/>
          <w:bCs/>
          <w:color w:val="auto"/>
          <w:kern w:val="2"/>
          <w:sz w:val="21"/>
          <w:szCs w:val="21"/>
          <w:highlight w:val="none"/>
          <w:u w:val="none"/>
          <w:shd w:val="clear" w:color="auto" w:fill="auto"/>
          <w:lang w:val="en-US" w:eastAsia="zh-CN" w:bidi="ar-SA"/>
        </w:rPr>
      </w:pPr>
      <w:r>
        <w:rPr>
          <w:rFonts w:hint="eastAsia" w:ascii="宋体" w:hAnsi="宋体" w:eastAsia="宋体" w:cs="宋体"/>
          <w:b/>
          <w:bCs/>
          <w:color w:val="auto"/>
          <w:kern w:val="2"/>
          <w:sz w:val="21"/>
          <w:szCs w:val="21"/>
          <w:highlight w:val="none"/>
          <w:u w:val="none"/>
          <w:shd w:val="clear" w:color="auto" w:fill="auto"/>
          <w:lang w:val="en-US" w:eastAsia="zh-CN" w:bidi="ar-SA"/>
        </w:rPr>
        <w:t>4</w:t>
      </w:r>
      <w:r>
        <w:rPr>
          <w:rFonts w:hint="default" w:ascii="宋体" w:hAnsi="宋体" w:eastAsia="宋体" w:cs="宋体"/>
          <w:b/>
          <w:bCs/>
          <w:color w:val="auto"/>
          <w:kern w:val="2"/>
          <w:sz w:val="21"/>
          <w:szCs w:val="21"/>
          <w:highlight w:val="none"/>
          <w:u w:val="none"/>
          <w:shd w:val="clear" w:color="auto" w:fill="auto"/>
          <w:lang w:val="en-US" w:eastAsia="zh-CN" w:bidi="ar-SA"/>
        </w:rPr>
        <w:t>.</w:t>
      </w:r>
      <w:r>
        <w:rPr>
          <w:rFonts w:hint="eastAsia" w:ascii="宋体" w:hAnsi="宋体" w:eastAsia="宋体" w:cs="宋体"/>
          <w:b/>
          <w:bCs/>
          <w:color w:val="auto"/>
          <w:kern w:val="2"/>
          <w:sz w:val="21"/>
          <w:szCs w:val="21"/>
          <w:highlight w:val="none"/>
          <w:u w:val="none"/>
          <w:shd w:val="clear" w:color="auto" w:fill="auto"/>
          <w:lang w:val="en-US" w:eastAsia="zh-CN" w:bidi="ar-SA"/>
        </w:rPr>
        <w:t>兜底床位约定：</w:t>
      </w:r>
    </w:p>
    <w:p w14:paraId="76AD17DC">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Theme="minorEastAsia" w:hAnsiTheme="minorEastAsia" w:eastAsiaTheme="minorEastAsia" w:cstheme="minorEastAsia"/>
          <w:color w:val="auto"/>
          <w:kern w:val="2"/>
          <w:sz w:val="21"/>
          <w:szCs w:val="21"/>
          <w:highlight w:val="none"/>
          <w:lang w:val="en-US" w:eastAsia="zh-CN" w:bidi="ar-SA"/>
        </w:rPr>
      </w:pPr>
      <w:r>
        <w:rPr>
          <w:rFonts w:hint="eastAsia" w:asciiTheme="minorEastAsia" w:hAnsiTheme="minorEastAsia" w:eastAsiaTheme="minorEastAsia" w:cstheme="minorEastAsia"/>
          <w:color w:val="auto"/>
          <w:kern w:val="2"/>
          <w:sz w:val="21"/>
          <w:szCs w:val="21"/>
          <w:highlight w:val="none"/>
          <w:lang w:val="en-US" w:eastAsia="zh-CN" w:bidi="ar-SA"/>
        </w:rPr>
        <w:t>1）兜底型床位收费标准按照国家对特困供养人员保障标准收取费用，并按</w:t>
      </w:r>
      <w:r>
        <w:rPr>
          <w:rFonts w:hint="eastAsia" w:ascii="宋体" w:hAnsi="宋体" w:eastAsia="宋体" w:cs="宋体"/>
          <w:color w:val="auto"/>
          <w:sz w:val="21"/>
          <w:szCs w:val="21"/>
          <w:highlight w:val="none"/>
        </w:rPr>
        <w:t>不低于</w:t>
      </w:r>
      <w:r>
        <w:rPr>
          <w:rFonts w:hint="eastAsia" w:ascii="宋体" w:hAnsi="宋体" w:eastAsia="宋体" w:cs="宋体"/>
          <w:color w:val="auto"/>
          <w:sz w:val="21"/>
          <w:szCs w:val="21"/>
          <w:highlight w:val="none"/>
          <w:lang w:val="en-US" w:eastAsia="zh-CN"/>
        </w:rPr>
        <w:t>约5%</w:t>
      </w:r>
      <w:r>
        <w:rPr>
          <w:rFonts w:hint="eastAsia" w:ascii="宋体" w:hAnsi="宋体" w:eastAsia="宋体" w:cs="宋体"/>
          <w:color w:val="auto"/>
          <w:sz w:val="21"/>
          <w:szCs w:val="21"/>
          <w:highlight w:val="none"/>
        </w:rPr>
        <w:t>供养费</w:t>
      </w:r>
      <w:r>
        <w:rPr>
          <w:rFonts w:hint="eastAsia" w:ascii="宋体" w:hAnsi="宋体" w:eastAsia="宋体" w:cs="宋体"/>
          <w:color w:val="auto"/>
          <w:sz w:val="21"/>
          <w:szCs w:val="21"/>
          <w:highlight w:val="none"/>
          <w:lang w:val="en-US" w:eastAsia="zh-CN"/>
        </w:rPr>
        <w:t>比例</w:t>
      </w:r>
      <w:r>
        <w:rPr>
          <w:rFonts w:hint="eastAsia" w:asciiTheme="minorEastAsia" w:hAnsiTheme="minorEastAsia" w:eastAsiaTheme="minorEastAsia" w:cstheme="minorEastAsia"/>
          <w:color w:val="auto"/>
          <w:kern w:val="2"/>
          <w:sz w:val="21"/>
          <w:szCs w:val="21"/>
          <w:highlight w:val="none"/>
          <w:lang w:val="en-US" w:eastAsia="zh-CN" w:bidi="ar-SA"/>
        </w:rPr>
        <w:t>每月付特困供养人零用钱，特困人员入住费用差额部分由运营机构负担。</w:t>
      </w:r>
    </w:p>
    <w:p w14:paraId="0F155A68">
      <w:pPr>
        <w:keepNext w:val="0"/>
        <w:keepLines w:val="0"/>
        <w:pageBreakBefore w:val="0"/>
        <w:widowControl w:val="0"/>
        <w:kinsoku/>
        <w:wordWrap/>
        <w:overflowPunct/>
        <w:topLinePunct w:val="0"/>
        <w:autoSpaceDN/>
        <w:bidi w:val="0"/>
        <w:adjustRightInd/>
        <w:snapToGrid/>
        <w:spacing w:line="560" w:lineRule="exact"/>
        <w:ind w:left="0" w:leftChars="0" w:firstLine="422" w:firstLineChars="200"/>
        <w:textAlignment w:val="auto"/>
        <w:rPr>
          <w:rFonts w:hint="eastAsia" w:ascii="宋体" w:hAnsi="宋体" w:eastAsia="宋体" w:cs="宋体"/>
          <w:b/>
          <w:bCs/>
          <w:color w:val="auto"/>
          <w:sz w:val="21"/>
          <w:szCs w:val="21"/>
          <w:highlight w:val="none"/>
          <w:u w:val="none"/>
          <w:shd w:val="clear" w:color="auto" w:fill="auto"/>
          <w:lang w:val="en-US" w:eastAsia="zh-CN"/>
        </w:rPr>
      </w:pPr>
      <w:r>
        <w:rPr>
          <w:rFonts w:hint="eastAsia" w:ascii="宋体" w:hAnsi="宋体" w:eastAsia="宋体" w:cs="宋体"/>
          <w:b/>
          <w:bCs/>
          <w:color w:val="auto"/>
          <w:sz w:val="21"/>
          <w:szCs w:val="21"/>
          <w:highlight w:val="none"/>
          <w:u w:val="none"/>
          <w:shd w:val="clear" w:color="auto" w:fill="auto"/>
          <w:lang w:val="en-US" w:eastAsia="zh-CN"/>
        </w:rPr>
        <w:t>5.特别约定：</w:t>
      </w:r>
    </w:p>
    <w:p w14:paraId="1A5AF17D">
      <w:pPr>
        <w:keepNext w:val="0"/>
        <w:keepLines w:val="0"/>
        <w:pageBreakBefore w:val="0"/>
        <w:widowControl w:val="0"/>
        <w:kinsoku/>
        <w:wordWrap/>
        <w:overflowPunct/>
        <w:topLinePunct w:val="0"/>
        <w:autoSpaceDN/>
        <w:bidi w:val="0"/>
        <w:adjustRightInd/>
        <w:snapToGrid/>
        <w:spacing w:line="560" w:lineRule="exact"/>
        <w:ind w:left="0" w:leftChars="0" w:firstLine="420" w:firstLineChars="200"/>
        <w:textAlignment w:val="auto"/>
        <w:rPr>
          <w:rFonts w:hint="default" w:asciiTheme="minorEastAsia" w:hAnsiTheme="minorEastAsia" w:eastAsiaTheme="minorEastAsia" w:cstheme="minorEastAsia"/>
          <w:color w:val="auto"/>
          <w:kern w:val="2"/>
          <w:sz w:val="21"/>
          <w:szCs w:val="21"/>
          <w:highlight w:val="none"/>
          <w:lang w:val="en-US" w:eastAsia="zh-CN" w:bidi="ar-SA"/>
        </w:rPr>
      </w:pPr>
      <w:r>
        <w:rPr>
          <w:rFonts w:hint="eastAsia" w:asciiTheme="minorEastAsia" w:hAnsiTheme="minorEastAsia" w:eastAsiaTheme="minorEastAsia" w:cstheme="minorEastAsia"/>
          <w:color w:val="auto"/>
          <w:kern w:val="2"/>
          <w:sz w:val="21"/>
          <w:szCs w:val="21"/>
          <w:highlight w:val="none"/>
          <w:lang w:val="en-US" w:eastAsia="zh-CN" w:bidi="ar-SA"/>
        </w:rPr>
        <w:t>1）乙方向甲方支付合作收益分成,并全权负责养老服务中心日常运营管理，自负盈亏。</w:t>
      </w:r>
    </w:p>
    <w:p w14:paraId="6A3201D1">
      <w:pPr>
        <w:keepNext w:val="0"/>
        <w:keepLines w:val="0"/>
        <w:pageBreakBefore w:val="0"/>
        <w:widowControl w:val="0"/>
        <w:kinsoku/>
        <w:wordWrap w:val="0"/>
        <w:overflowPunct/>
        <w:topLinePunct w:val="0"/>
        <w:autoSpaceDE/>
        <w:autoSpaceDN/>
        <w:bidi w:val="0"/>
        <w:adjustRightInd w:val="0"/>
        <w:snapToGrid w:val="0"/>
        <w:spacing w:before="161" w:beforeLines="50" w:line="360" w:lineRule="auto"/>
        <w:ind w:firstLine="0" w:firstLineChars="0"/>
        <w:textAlignment w:val="auto"/>
        <w:rPr>
          <w:rFonts w:hint="eastAsia" w:ascii="宋体" w:hAnsi="宋体" w:eastAsia="宋体" w:cs="宋体"/>
          <w:b/>
          <w:bCs/>
          <w:color w:val="auto"/>
          <w:sz w:val="21"/>
          <w:szCs w:val="21"/>
        </w:rPr>
      </w:pPr>
      <w:r>
        <w:rPr>
          <w:rFonts w:hint="eastAsia" w:ascii="宋体" w:hAnsi="宋体" w:eastAsia="宋体" w:cs="宋体"/>
          <w:b/>
          <w:bCs/>
          <w:color w:val="auto"/>
          <w:sz w:val="21"/>
          <w:szCs w:val="21"/>
        </w:rPr>
        <w:t>二、委托事项和期限</w:t>
      </w:r>
    </w:p>
    <w:p w14:paraId="59091B1F">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（一）甲方依照有关规定程序，以招标方式选取特许运营管理单位，确认委托乙方对</w:t>
      </w:r>
      <w:r>
        <w:rPr>
          <w:rFonts w:hint="eastAsia" w:ascii="宋体" w:hAnsi="宋体" w:eastAsia="宋体" w:cs="宋体"/>
          <w:color w:val="auto"/>
          <w:sz w:val="21"/>
          <w:szCs w:val="21"/>
          <w:lang w:eastAsia="zh-CN"/>
        </w:rPr>
        <w:t>韶关市武江区养老服务中心（一期）</w:t>
      </w:r>
      <w:r>
        <w:rPr>
          <w:rFonts w:hint="eastAsia" w:ascii="宋体" w:hAnsi="宋体" w:eastAsia="宋体" w:cs="宋体"/>
          <w:color w:val="auto"/>
          <w:sz w:val="21"/>
          <w:szCs w:val="21"/>
        </w:rPr>
        <w:t>（含物业、设备设施等）进行运营管理，并为入住的老年人提供养老服务；乙方经招标程序，自愿接受甲方委托，依照国家有关规定和本合同约定，独立开展运营管理和服务，并独立承担相关法律责任。</w:t>
      </w:r>
    </w:p>
    <w:p w14:paraId="7C09D226">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（二）</w:t>
      </w:r>
      <w:r>
        <w:rPr>
          <w:rFonts w:hint="eastAsia" w:ascii="宋体" w:hAnsi="宋体" w:eastAsia="宋体" w:cs="宋体"/>
          <w:color w:val="auto"/>
          <w:sz w:val="21"/>
          <w:szCs w:val="21"/>
          <w:lang w:eastAsia="zh-CN"/>
        </w:rPr>
        <w:t>韶关市武江区养老服务中心（一期）</w:t>
      </w:r>
      <w:r>
        <w:rPr>
          <w:rFonts w:hint="eastAsia" w:ascii="宋体" w:hAnsi="宋体" w:eastAsia="宋体" w:cs="宋体"/>
          <w:color w:val="auto"/>
          <w:sz w:val="21"/>
          <w:szCs w:val="21"/>
        </w:rPr>
        <w:t>运营服务期限</w:t>
      </w:r>
    </w:p>
    <w:p w14:paraId="2E717E7E">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本合同签订后，乙方拥有</w:t>
      </w:r>
      <w:r>
        <w:rPr>
          <w:rFonts w:hint="eastAsia" w:ascii="宋体" w:hAnsi="宋体" w:eastAsia="宋体" w:cs="宋体"/>
          <w:color w:val="auto"/>
          <w:sz w:val="21"/>
          <w:szCs w:val="21"/>
          <w:lang w:eastAsia="zh-CN"/>
        </w:rPr>
        <w:t>韶关市武江区养老服务中心（一期）</w:t>
      </w:r>
      <w:r>
        <w:rPr>
          <w:rFonts w:hint="eastAsia" w:ascii="宋体" w:hAnsi="宋体" w:eastAsia="宋体" w:cs="宋体"/>
          <w:color w:val="auto"/>
          <w:sz w:val="21"/>
          <w:szCs w:val="21"/>
          <w:highlight w:val="none"/>
          <w:lang w:val="en-US" w:eastAsia="zh-CN"/>
        </w:rPr>
        <w:t>20</w:t>
      </w:r>
      <w:r>
        <w:rPr>
          <w:rFonts w:hint="eastAsia" w:ascii="宋体" w:hAnsi="宋体" w:eastAsia="宋体" w:cs="宋体"/>
          <w:color w:val="auto"/>
          <w:sz w:val="21"/>
          <w:szCs w:val="21"/>
          <w:highlight w:val="none"/>
        </w:rPr>
        <w:t>年的运营管理</w:t>
      </w:r>
      <w:r>
        <w:rPr>
          <w:rFonts w:hint="eastAsia" w:ascii="宋体" w:hAnsi="宋体" w:eastAsia="宋体" w:cs="宋体"/>
          <w:color w:val="auto"/>
          <w:sz w:val="21"/>
          <w:szCs w:val="21"/>
        </w:rPr>
        <w:t>权。运营服务期限自_____年____月___日起至_____年____月___日止。</w:t>
      </w:r>
    </w:p>
    <w:p w14:paraId="6F2E7EA7">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b/>
          <w:bCs/>
          <w:color w:val="auto"/>
          <w:sz w:val="21"/>
          <w:szCs w:val="21"/>
        </w:rPr>
      </w:pPr>
    </w:p>
    <w:p w14:paraId="215A5DB5">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b/>
          <w:bCs/>
          <w:color w:val="auto"/>
          <w:sz w:val="21"/>
          <w:szCs w:val="21"/>
        </w:rPr>
      </w:pPr>
      <w:r>
        <w:rPr>
          <w:rFonts w:hint="eastAsia" w:ascii="宋体" w:hAnsi="宋体" w:eastAsia="宋体" w:cs="宋体"/>
          <w:b/>
          <w:bCs/>
          <w:color w:val="auto"/>
          <w:sz w:val="21"/>
          <w:szCs w:val="21"/>
        </w:rPr>
        <w:t>三、服务范围和目标</w:t>
      </w:r>
    </w:p>
    <w:p w14:paraId="3BFDAAF3">
      <w:pPr>
        <w:keepNext w:val="0"/>
        <w:keepLines w:val="0"/>
        <w:pageBreakBefore w:val="0"/>
        <w:widowControl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lang w:eastAsia="zh-CN"/>
        </w:rPr>
        <w:t>韶关市武江区养老服务中心（一期）</w:t>
      </w:r>
      <w:r>
        <w:rPr>
          <w:rFonts w:hint="eastAsia" w:ascii="宋体" w:hAnsi="宋体" w:eastAsia="宋体" w:cs="宋体"/>
          <w:color w:val="auto"/>
          <w:sz w:val="21"/>
          <w:szCs w:val="21"/>
        </w:rPr>
        <w:t>所有权与运营权分离，所有权</w:t>
      </w:r>
      <w:r>
        <w:rPr>
          <w:rFonts w:hint="eastAsia" w:ascii="宋体" w:hAnsi="宋体" w:eastAsia="宋体" w:cs="宋体"/>
          <w:color w:val="auto"/>
          <w:sz w:val="21"/>
          <w:szCs w:val="21"/>
          <w:highlight w:val="none"/>
        </w:rPr>
        <w:t>为</w:t>
      </w:r>
      <w:r>
        <w:rPr>
          <w:rFonts w:hint="eastAsia" w:ascii="宋体" w:hAnsi="宋体" w:eastAsia="宋体" w:cs="宋体"/>
          <w:color w:val="auto"/>
          <w:sz w:val="21"/>
          <w:szCs w:val="21"/>
          <w:highlight w:val="none"/>
          <w:lang w:val="en-US" w:eastAsia="zh-CN"/>
        </w:rPr>
        <w:t>武江区</w:t>
      </w:r>
      <w:r>
        <w:rPr>
          <w:rFonts w:hint="eastAsia" w:ascii="宋体" w:hAnsi="宋体" w:eastAsia="宋体" w:cs="宋体"/>
          <w:color w:val="auto"/>
          <w:sz w:val="21"/>
          <w:szCs w:val="21"/>
          <w:highlight w:val="none"/>
        </w:rPr>
        <w:t>人民政府所有（由甲方代为持有权属并作为合同主体），乙方承接</w:t>
      </w:r>
      <w:r>
        <w:rPr>
          <w:rFonts w:hint="eastAsia" w:ascii="宋体" w:hAnsi="宋体" w:eastAsia="宋体" w:cs="宋体"/>
          <w:color w:val="auto"/>
          <w:sz w:val="21"/>
          <w:szCs w:val="21"/>
          <w:highlight w:val="none"/>
          <w:lang w:eastAsia="zh-CN"/>
        </w:rPr>
        <w:t>韶关市武江区养老服务中心（一期）</w:t>
      </w:r>
      <w:r>
        <w:rPr>
          <w:rFonts w:hint="eastAsia" w:ascii="宋体" w:hAnsi="宋体" w:eastAsia="宋体" w:cs="宋体"/>
          <w:color w:val="auto"/>
          <w:sz w:val="21"/>
          <w:szCs w:val="21"/>
          <w:highlight w:val="none"/>
        </w:rPr>
        <w:t>的运营管理权，通过本合同明确甲、乙双方的权利与义务，为政府供养人员以及社会有需求的老人提供养老、托老、医疗康复、介入护理等优质服务，努力实现</w:t>
      </w:r>
      <w:r>
        <w:rPr>
          <w:rFonts w:hint="eastAsia" w:ascii="宋体" w:hAnsi="宋体" w:eastAsia="宋体" w:cs="宋体"/>
          <w:color w:val="auto"/>
          <w:sz w:val="21"/>
          <w:szCs w:val="21"/>
          <w:highlight w:val="none"/>
          <w:lang w:eastAsia="zh-CN"/>
        </w:rPr>
        <w:t>韶关市武江区养老服务中心（一期）</w:t>
      </w:r>
      <w:r>
        <w:rPr>
          <w:rFonts w:hint="eastAsia" w:ascii="宋体" w:hAnsi="宋体" w:eastAsia="宋体" w:cs="宋体"/>
          <w:color w:val="auto"/>
          <w:sz w:val="21"/>
          <w:szCs w:val="21"/>
          <w:highlight w:val="none"/>
        </w:rPr>
        <w:t>的长期健康稳定发展，不断满足入住老年人多层次、多样化的服务需求。</w:t>
      </w:r>
    </w:p>
    <w:p w14:paraId="69887F94">
      <w:pPr>
        <w:keepNext w:val="0"/>
        <w:keepLines w:val="0"/>
        <w:pageBreakBefore w:val="0"/>
        <w:widowControl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eastAsia="zh-CN"/>
        </w:rPr>
        <w:t>韶关市武江区养老服务中心（一期）</w:t>
      </w:r>
      <w:r>
        <w:rPr>
          <w:rFonts w:hint="eastAsia" w:ascii="宋体" w:hAnsi="宋体" w:eastAsia="宋体" w:cs="宋体"/>
          <w:color w:val="auto"/>
          <w:sz w:val="21"/>
          <w:szCs w:val="21"/>
          <w:highlight w:val="none"/>
        </w:rPr>
        <w:t>提供</w:t>
      </w:r>
      <w:r>
        <w:rPr>
          <w:rFonts w:hint="eastAsia" w:ascii="宋体" w:hAnsi="宋体" w:eastAsia="宋体" w:cs="宋体"/>
          <w:color w:val="auto"/>
          <w:sz w:val="21"/>
          <w:szCs w:val="21"/>
          <w:highlight w:val="none"/>
          <w:lang w:val="en-US" w:eastAsia="zh-CN"/>
        </w:rPr>
        <w:t>465</w:t>
      </w:r>
      <w:r>
        <w:rPr>
          <w:rFonts w:hint="eastAsia" w:ascii="宋体" w:hAnsi="宋体" w:eastAsia="宋体" w:cs="宋体"/>
          <w:color w:val="auto"/>
          <w:sz w:val="21"/>
          <w:szCs w:val="21"/>
          <w:highlight w:val="none"/>
        </w:rPr>
        <w:t>个服务床位</w:t>
      </w:r>
      <w:r>
        <w:rPr>
          <w:rFonts w:hint="eastAsia" w:ascii="宋体" w:hAnsi="宋体" w:eastAsia="宋体" w:cs="宋体"/>
          <w:b w:val="0"/>
          <w:bCs w:val="0"/>
          <w:color w:val="auto"/>
          <w:sz w:val="21"/>
          <w:szCs w:val="21"/>
          <w:highlight w:val="none"/>
          <w:u w:val="none"/>
          <w:shd w:val="clear" w:color="auto" w:fill="auto"/>
          <w:lang w:val="en-US" w:eastAsia="zh-CN"/>
        </w:rPr>
        <w:t>（不含医疗床位56张）</w:t>
      </w:r>
      <w:r>
        <w:rPr>
          <w:rFonts w:hint="eastAsia" w:ascii="宋体" w:hAnsi="宋体" w:eastAsia="宋体" w:cs="宋体"/>
          <w:color w:val="auto"/>
          <w:sz w:val="21"/>
          <w:szCs w:val="21"/>
          <w:highlight w:val="none"/>
        </w:rPr>
        <w:t>，其中</w:t>
      </w:r>
      <w:r>
        <w:rPr>
          <w:rFonts w:hint="eastAsia" w:ascii="宋体" w:hAnsi="宋体" w:eastAsia="宋体" w:cs="宋体"/>
          <w:color w:val="auto"/>
          <w:sz w:val="21"/>
          <w:szCs w:val="21"/>
          <w:highlight w:val="none"/>
          <w:lang w:val="en-US" w:eastAsia="zh-CN"/>
        </w:rPr>
        <w:t>21</w:t>
      </w:r>
      <w:r>
        <w:rPr>
          <w:rFonts w:hint="eastAsia" w:ascii="宋体" w:hAnsi="宋体" w:eastAsia="宋体" w:cs="宋体"/>
          <w:color w:val="auto"/>
          <w:sz w:val="21"/>
          <w:szCs w:val="21"/>
          <w:highlight w:val="none"/>
        </w:rPr>
        <w:t>%为政府兜底床位（</w:t>
      </w:r>
      <w:r>
        <w:rPr>
          <w:rFonts w:hint="eastAsia" w:ascii="宋体" w:hAnsi="宋体" w:eastAsia="宋体" w:cs="宋体"/>
          <w:color w:val="auto"/>
          <w:sz w:val="21"/>
          <w:szCs w:val="21"/>
          <w:highlight w:val="none"/>
          <w:lang w:val="en-US" w:eastAsia="zh-CN"/>
        </w:rPr>
        <w:t>约100</w:t>
      </w:r>
      <w:r>
        <w:rPr>
          <w:rFonts w:hint="eastAsia" w:ascii="宋体" w:hAnsi="宋体" w:eastAsia="宋体" w:cs="宋体"/>
          <w:color w:val="auto"/>
          <w:sz w:val="21"/>
          <w:szCs w:val="21"/>
          <w:highlight w:val="none"/>
        </w:rPr>
        <w:t>个床位）</w:t>
      </w:r>
      <w:r>
        <w:rPr>
          <w:rFonts w:hint="eastAsia" w:ascii="宋体" w:hAnsi="宋体" w:eastAsia="宋体" w:cs="宋体"/>
          <w:color w:val="auto"/>
          <w:sz w:val="21"/>
          <w:szCs w:val="21"/>
          <w:highlight w:val="none"/>
          <w:lang w:val="en-US" w:eastAsia="zh-CN"/>
        </w:rPr>
        <w:t>用于收住需要政府兜底保障的特困老人，此部分床位收住的特困老人，除政府支付给中标人的韶关市特困人员基本生活供养金和照料护理标准费外，政府不再额外支付任何服务费用</w:t>
      </w: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lang w:val="en-US" w:eastAsia="zh-CN"/>
        </w:rPr>
        <w:t>32</w:t>
      </w:r>
      <w:r>
        <w:rPr>
          <w:rFonts w:hint="eastAsia" w:ascii="宋体" w:hAnsi="宋体" w:eastAsia="宋体" w:cs="宋体"/>
          <w:color w:val="auto"/>
          <w:sz w:val="21"/>
          <w:szCs w:val="21"/>
          <w:highlight w:val="none"/>
        </w:rPr>
        <w:t>%为</w:t>
      </w:r>
      <w:r>
        <w:rPr>
          <w:rFonts w:hint="eastAsia" w:ascii="宋体" w:hAnsi="宋体" w:eastAsia="宋体" w:cs="宋体"/>
          <w:color w:val="auto"/>
          <w:sz w:val="21"/>
          <w:szCs w:val="21"/>
          <w:highlight w:val="none"/>
          <w:lang w:val="en-US" w:eastAsia="zh-CN"/>
        </w:rPr>
        <w:t>普惠性</w:t>
      </w:r>
      <w:r>
        <w:rPr>
          <w:rFonts w:hint="eastAsia" w:ascii="宋体" w:hAnsi="宋体" w:eastAsia="宋体" w:cs="宋体"/>
          <w:color w:val="auto"/>
          <w:sz w:val="21"/>
          <w:szCs w:val="21"/>
          <w:highlight w:val="none"/>
        </w:rPr>
        <w:t>床位（</w:t>
      </w:r>
      <w:r>
        <w:rPr>
          <w:rFonts w:hint="eastAsia" w:ascii="宋体" w:hAnsi="宋体" w:eastAsia="宋体" w:cs="宋体"/>
          <w:color w:val="auto"/>
          <w:sz w:val="21"/>
          <w:szCs w:val="21"/>
          <w:highlight w:val="none"/>
          <w:lang w:val="en-US" w:eastAsia="zh-CN"/>
        </w:rPr>
        <w:t>约150</w:t>
      </w:r>
      <w:r>
        <w:rPr>
          <w:rFonts w:hint="eastAsia" w:ascii="宋体" w:hAnsi="宋体" w:eastAsia="宋体" w:cs="宋体"/>
          <w:color w:val="auto"/>
          <w:sz w:val="21"/>
          <w:szCs w:val="21"/>
          <w:highlight w:val="none"/>
        </w:rPr>
        <w:t>个床位）</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面向武江区户籍老人，优惠入住</w:t>
      </w: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lang w:val="en-US" w:eastAsia="zh-CN"/>
        </w:rPr>
        <w:t>41</w:t>
      </w:r>
      <w:r>
        <w:rPr>
          <w:rFonts w:hint="eastAsia" w:ascii="宋体" w:hAnsi="宋体" w:eastAsia="宋体" w:cs="宋体"/>
          <w:color w:val="auto"/>
          <w:sz w:val="21"/>
          <w:szCs w:val="21"/>
          <w:highlight w:val="none"/>
        </w:rPr>
        <w:t>%为社会化运营单位自营床位（</w:t>
      </w:r>
      <w:r>
        <w:rPr>
          <w:rFonts w:hint="eastAsia" w:ascii="宋体" w:hAnsi="宋体" w:eastAsia="宋体" w:cs="宋体"/>
          <w:color w:val="auto"/>
          <w:sz w:val="21"/>
          <w:szCs w:val="21"/>
          <w:highlight w:val="none"/>
          <w:lang w:val="en-US" w:eastAsia="zh-CN"/>
        </w:rPr>
        <w:t>约185</w:t>
      </w:r>
      <w:r>
        <w:rPr>
          <w:rFonts w:hint="eastAsia" w:ascii="宋体" w:hAnsi="宋体" w:eastAsia="宋体" w:cs="宋体"/>
          <w:color w:val="auto"/>
          <w:sz w:val="21"/>
          <w:szCs w:val="21"/>
          <w:highlight w:val="none"/>
        </w:rPr>
        <w:t>个床位）可面向社会有需求的老人提供服务，优先为失能、失智、独居、留守、计划生育特殊家庭老人等提供照护服务</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6%为旅居床位（约30个床位）面向社会有旅居养老需求的老人，以短期休养、休闲旅居相结合的模式提供服务，兼顾养老照料与休闲体验。根据实际情况，允许合理合规增加床位。</w:t>
      </w:r>
    </w:p>
    <w:p w14:paraId="1A657B00">
      <w:pPr>
        <w:keepNext w:val="0"/>
        <w:keepLines w:val="0"/>
        <w:pageBreakBefore w:val="0"/>
        <w:widowControl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u w:val="single"/>
        </w:rPr>
      </w:pPr>
      <w:r>
        <w:rPr>
          <w:rFonts w:hint="eastAsia" w:ascii="宋体" w:hAnsi="宋体" w:eastAsia="宋体" w:cs="宋体"/>
          <w:color w:val="auto"/>
          <w:sz w:val="21"/>
          <w:szCs w:val="21"/>
          <w:highlight w:val="none"/>
        </w:rPr>
        <w:t>若政府兜底对象增加，需要使用社会化床位时，则超出兜底性床位的部分，</w:t>
      </w:r>
      <w:r>
        <w:rPr>
          <w:rFonts w:hint="eastAsia" w:ascii="宋体" w:hAnsi="宋体" w:eastAsia="宋体" w:cs="宋体"/>
          <w:color w:val="auto"/>
          <w:sz w:val="21"/>
          <w:szCs w:val="21"/>
          <w:highlight w:val="none"/>
          <w:lang w:val="en-US" w:eastAsia="zh-CN"/>
        </w:rPr>
        <w:t>区</w:t>
      </w:r>
      <w:r>
        <w:rPr>
          <w:rFonts w:hint="eastAsia" w:ascii="宋体" w:hAnsi="宋体" w:eastAsia="宋体" w:cs="宋体"/>
          <w:color w:val="auto"/>
          <w:sz w:val="21"/>
          <w:szCs w:val="21"/>
          <w:highlight w:val="none"/>
        </w:rPr>
        <w:t>财政局需按普惠性床位的收费标准补给乙方差额，普惠性收费标准原则上不高于上一年度我</w:t>
      </w:r>
      <w:r>
        <w:rPr>
          <w:rFonts w:hint="eastAsia" w:ascii="宋体" w:hAnsi="宋体" w:eastAsia="宋体" w:cs="宋体"/>
          <w:color w:val="auto"/>
          <w:sz w:val="21"/>
          <w:szCs w:val="21"/>
          <w:highlight w:val="none"/>
          <w:lang w:val="en-US" w:eastAsia="zh-CN"/>
        </w:rPr>
        <w:t>区</w:t>
      </w:r>
      <w:r>
        <w:rPr>
          <w:rFonts w:hint="eastAsia" w:ascii="宋体" w:hAnsi="宋体" w:eastAsia="宋体" w:cs="宋体"/>
          <w:color w:val="auto"/>
          <w:sz w:val="21"/>
          <w:szCs w:val="21"/>
          <w:highlight w:val="none"/>
        </w:rPr>
        <w:t>城镇人均</w:t>
      </w:r>
      <w:r>
        <w:rPr>
          <w:rFonts w:hint="eastAsia" w:ascii="宋体" w:hAnsi="宋体" w:eastAsia="宋体" w:cs="宋体"/>
          <w:color w:val="auto"/>
          <w:sz w:val="21"/>
          <w:szCs w:val="21"/>
        </w:rPr>
        <w:t>可支配收入的1.3倍</w:t>
      </w:r>
      <w:r>
        <w:rPr>
          <w:rFonts w:hint="eastAsia" w:ascii="宋体" w:hAnsi="宋体" w:eastAsia="宋体" w:cs="宋体"/>
          <w:color w:val="auto"/>
          <w:sz w:val="21"/>
          <w:szCs w:val="21"/>
          <w:u w:val="none"/>
        </w:rPr>
        <w:t>。</w:t>
      </w:r>
    </w:p>
    <w:p w14:paraId="26194BAF">
      <w:pPr>
        <w:keepNext w:val="0"/>
        <w:keepLines w:val="0"/>
        <w:pageBreakBefore w:val="0"/>
        <w:widowControl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韶关市武江区养老服务中心（一期）</w:t>
      </w:r>
      <w:r>
        <w:rPr>
          <w:rFonts w:hint="eastAsia" w:ascii="宋体" w:hAnsi="宋体" w:eastAsia="宋体" w:cs="宋体"/>
          <w:color w:val="auto"/>
          <w:sz w:val="21"/>
          <w:szCs w:val="21"/>
        </w:rPr>
        <w:t>双方投资建设和购置设施设备及用品，应定期进行清产核资，确认双方资产，并造册登记建档。</w:t>
      </w:r>
    </w:p>
    <w:p w14:paraId="70D61193">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rPr>
      </w:pPr>
      <w:r>
        <w:rPr>
          <w:rFonts w:hint="eastAsia" w:ascii="宋体" w:hAnsi="宋体" w:eastAsia="宋体" w:cs="宋体"/>
          <w:b w:val="0"/>
          <w:bCs w:val="0"/>
          <w:color w:val="auto"/>
          <w:sz w:val="21"/>
          <w:szCs w:val="21"/>
        </w:rPr>
        <w:t>服务标准：</w:t>
      </w:r>
    </w:p>
    <w:p w14:paraId="634E9D05">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rPr>
      </w:pPr>
      <w:r>
        <w:rPr>
          <w:rFonts w:hint="eastAsia" w:ascii="宋体" w:hAnsi="宋体" w:eastAsia="宋体" w:cs="宋体"/>
          <w:b w:val="0"/>
          <w:bCs w:val="0"/>
          <w:color w:val="auto"/>
          <w:sz w:val="21"/>
          <w:szCs w:val="21"/>
          <w:lang w:val="en-US" w:eastAsia="zh-CN"/>
        </w:rPr>
        <w:t>1.</w:t>
      </w:r>
      <w:r>
        <w:rPr>
          <w:rFonts w:hint="eastAsia" w:ascii="宋体" w:hAnsi="宋体" w:eastAsia="宋体" w:cs="宋体"/>
          <w:b w:val="0"/>
          <w:bCs w:val="0"/>
          <w:color w:val="auto"/>
          <w:sz w:val="21"/>
          <w:szCs w:val="21"/>
        </w:rPr>
        <w:t>护理等级划分：参照《老年人能力评估》（GB/T 42000-2022），明确自理、半失能、失能、失智老人的护理等级判定标准；其中失能老人每2小时巡房1次、每日记录护理情况不少于3次，半失能老人每4小时巡房1次、每日记录护理情况不少于2次，自理老人每日巡房1次。</w:t>
      </w:r>
    </w:p>
    <w:p w14:paraId="47FB0ECA">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rPr>
      </w:pPr>
      <w:r>
        <w:rPr>
          <w:rFonts w:hint="eastAsia" w:ascii="宋体" w:hAnsi="宋体" w:eastAsia="宋体" w:cs="宋体"/>
          <w:b w:val="0"/>
          <w:bCs w:val="0"/>
          <w:color w:val="auto"/>
          <w:sz w:val="21"/>
          <w:szCs w:val="21"/>
          <w:lang w:val="en-US" w:eastAsia="zh-CN"/>
        </w:rPr>
        <w:t>2.</w:t>
      </w:r>
      <w:r>
        <w:rPr>
          <w:rFonts w:hint="eastAsia" w:ascii="宋体" w:hAnsi="宋体" w:eastAsia="宋体" w:cs="宋体"/>
          <w:b w:val="0"/>
          <w:bCs w:val="0"/>
          <w:color w:val="auto"/>
          <w:sz w:val="21"/>
          <w:szCs w:val="21"/>
        </w:rPr>
        <w:t>餐饮服务标准：每日膳食需满足老年人蛋白质、膳食纤维等营养配比要求（蛋白质摄入量≥1.2g/kg体重，膳食纤维摄入量≥25g/人）；每周食谱需提前3天公示，支持糖尿病、素食等特殊饮食定制，定制流程需在72小时内响应并落实。</w:t>
      </w:r>
    </w:p>
    <w:p w14:paraId="3CB875C9">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rPr>
      </w:pPr>
      <w:r>
        <w:rPr>
          <w:rFonts w:hint="eastAsia" w:ascii="宋体" w:hAnsi="宋体" w:eastAsia="宋体" w:cs="宋体"/>
          <w:b w:val="0"/>
          <w:bCs w:val="0"/>
          <w:color w:val="auto"/>
          <w:sz w:val="21"/>
          <w:szCs w:val="21"/>
          <w:lang w:val="en-US" w:eastAsia="zh-CN"/>
        </w:rPr>
        <w:t>3.</w:t>
      </w:r>
      <w:r>
        <w:rPr>
          <w:rFonts w:hint="eastAsia" w:ascii="宋体" w:hAnsi="宋体" w:eastAsia="宋体" w:cs="宋体"/>
          <w:b w:val="0"/>
          <w:bCs w:val="0"/>
          <w:color w:val="auto"/>
          <w:sz w:val="21"/>
          <w:szCs w:val="21"/>
        </w:rPr>
        <w:t>活动服务要求：每月组织不少于4次文化娱乐活动、</w:t>
      </w:r>
      <w:r>
        <w:rPr>
          <w:rFonts w:hint="eastAsia" w:ascii="宋体" w:hAnsi="宋体" w:eastAsia="宋体" w:cs="宋体"/>
          <w:b w:val="0"/>
          <w:bCs w:val="0"/>
          <w:color w:val="auto"/>
          <w:sz w:val="21"/>
          <w:szCs w:val="21"/>
          <w:lang w:val="en-US" w:eastAsia="zh-CN"/>
        </w:rPr>
        <w:t>1-</w:t>
      </w:r>
      <w:r>
        <w:rPr>
          <w:rFonts w:hint="eastAsia" w:ascii="宋体" w:hAnsi="宋体" w:eastAsia="宋体" w:cs="宋体"/>
          <w:b w:val="0"/>
          <w:bCs w:val="0"/>
          <w:color w:val="auto"/>
          <w:sz w:val="21"/>
          <w:szCs w:val="21"/>
        </w:rPr>
        <w:t>2次健康讲座，确保入住老人日均户外活动时间≥1小时（特殊天气除外），活动记录及老人参与情况需建档备查。</w:t>
      </w:r>
    </w:p>
    <w:p w14:paraId="4A6EFA92">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rPr>
      </w:pPr>
      <w:r>
        <w:rPr>
          <w:rFonts w:hint="eastAsia" w:ascii="宋体" w:hAnsi="宋体" w:eastAsia="宋体" w:cs="宋体"/>
          <w:b w:val="0"/>
          <w:bCs w:val="0"/>
          <w:color w:val="auto"/>
          <w:sz w:val="21"/>
          <w:szCs w:val="21"/>
        </w:rPr>
        <w:t>入住与退出流程：</w:t>
      </w:r>
    </w:p>
    <w:p w14:paraId="30453B1C">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rPr>
      </w:pPr>
      <w:r>
        <w:rPr>
          <w:rFonts w:hint="eastAsia" w:ascii="宋体" w:hAnsi="宋体" w:eastAsia="宋体" w:cs="宋体"/>
          <w:b w:val="0"/>
          <w:bCs w:val="0"/>
          <w:color w:val="auto"/>
          <w:sz w:val="21"/>
          <w:szCs w:val="21"/>
        </w:rPr>
        <w:t>（1）入住评估：乙方需对申请入住老人进行能力评估，评估结果需经甲方备案；政府兜底床位入住对象严格按甲方出具的审批手续执行，不得擅自替换。</w:t>
      </w:r>
    </w:p>
    <w:p w14:paraId="4D62FE63">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bCs/>
          <w:color w:val="auto"/>
          <w:sz w:val="21"/>
          <w:szCs w:val="21"/>
        </w:rPr>
      </w:pPr>
      <w:r>
        <w:rPr>
          <w:rFonts w:hint="eastAsia" w:ascii="宋体" w:hAnsi="宋体" w:eastAsia="宋体" w:cs="宋体"/>
          <w:b w:val="0"/>
          <w:bCs w:val="0"/>
          <w:color w:val="auto"/>
          <w:sz w:val="21"/>
          <w:szCs w:val="21"/>
        </w:rPr>
        <w:t>（2）退出机制：老人因健康状况不再适合入住、违反机构管理规定且拒不整改的，乙方需提前15日书面告知甲方及家属，共同制定安置方案，不得擅自驱离。</w:t>
      </w:r>
    </w:p>
    <w:p w14:paraId="109075B4">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b/>
          <w:bCs/>
          <w:color w:val="auto"/>
          <w:sz w:val="21"/>
          <w:szCs w:val="21"/>
        </w:rPr>
      </w:pPr>
    </w:p>
    <w:p w14:paraId="197C48F6">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b/>
          <w:bCs/>
          <w:color w:val="auto"/>
          <w:sz w:val="21"/>
          <w:szCs w:val="21"/>
        </w:rPr>
      </w:pPr>
      <w:r>
        <w:rPr>
          <w:rFonts w:hint="eastAsia" w:ascii="宋体" w:hAnsi="宋体" w:eastAsia="宋体" w:cs="宋体"/>
          <w:b/>
          <w:bCs/>
          <w:color w:val="auto"/>
          <w:sz w:val="21"/>
          <w:szCs w:val="21"/>
        </w:rPr>
        <w:t>四、甲方的权利和义务</w:t>
      </w:r>
    </w:p>
    <w:p w14:paraId="000F06B5">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（一）甲方承诺其拥有签订并履行本合同的全部、充分的权利与授权，并依据法律具有签订本合同的行为能力。</w:t>
      </w:r>
    </w:p>
    <w:p w14:paraId="7922F126">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（二）在本合同运营期限内，甲方全力支持乙方独立自主、自负盈亏运营</w:t>
      </w:r>
      <w:r>
        <w:rPr>
          <w:rFonts w:hint="eastAsia" w:ascii="宋体" w:hAnsi="宋体" w:eastAsia="宋体" w:cs="宋体"/>
          <w:color w:val="auto"/>
          <w:sz w:val="21"/>
          <w:szCs w:val="21"/>
          <w:lang w:eastAsia="zh-CN"/>
        </w:rPr>
        <w:t>韶关市武江区养老服务中心（一期）</w:t>
      </w:r>
      <w:r>
        <w:rPr>
          <w:rFonts w:hint="eastAsia" w:ascii="宋体" w:hAnsi="宋体" w:eastAsia="宋体" w:cs="宋体"/>
          <w:color w:val="auto"/>
          <w:sz w:val="21"/>
          <w:szCs w:val="21"/>
        </w:rPr>
        <w:t>，积极帮助乙方协调各种关系，促进</w:t>
      </w:r>
      <w:r>
        <w:rPr>
          <w:rFonts w:hint="eastAsia" w:ascii="宋体" w:hAnsi="宋体" w:eastAsia="宋体" w:cs="宋体"/>
          <w:color w:val="auto"/>
          <w:sz w:val="21"/>
          <w:szCs w:val="21"/>
          <w:lang w:eastAsia="zh-CN"/>
        </w:rPr>
        <w:t>韶关市武江区养老服务中心（一期）</w:t>
      </w:r>
      <w:r>
        <w:rPr>
          <w:rFonts w:hint="eastAsia" w:ascii="宋体" w:hAnsi="宋体" w:eastAsia="宋体" w:cs="宋体"/>
          <w:color w:val="auto"/>
          <w:sz w:val="21"/>
          <w:szCs w:val="21"/>
        </w:rPr>
        <w:t>的长期健康稳定发展。</w:t>
      </w:r>
    </w:p>
    <w:p w14:paraId="0BAD71DF">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（三）在本合同运营期限内，甲方有权依照本合同约定监督乙方对</w:t>
      </w:r>
      <w:r>
        <w:rPr>
          <w:rFonts w:hint="eastAsia" w:ascii="宋体" w:hAnsi="宋体" w:eastAsia="宋体" w:cs="宋体"/>
          <w:color w:val="auto"/>
          <w:sz w:val="21"/>
          <w:szCs w:val="21"/>
          <w:lang w:eastAsia="zh-CN"/>
        </w:rPr>
        <w:t>韶关市武江区养老服务中心（一期）</w:t>
      </w:r>
      <w:r>
        <w:rPr>
          <w:rFonts w:hint="eastAsia" w:ascii="宋体" w:hAnsi="宋体" w:eastAsia="宋体" w:cs="宋体"/>
          <w:color w:val="auto"/>
          <w:sz w:val="21"/>
          <w:szCs w:val="21"/>
        </w:rPr>
        <w:t>的运营管理行为，并在本合同约定的情形下行使临时接管权，但除本合同约定的情形外，甲方不干预乙方对</w:t>
      </w:r>
      <w:r>
        <w:rPr>
          <w:rFonts w:hint="eastAsia" w:ascii="宋体" w:hAnsi="宋体" w:eastAsia="宋体" w:cs="宋体"/>
          <w:color w:val="auto"/>
          <w:sz w:val="21"/>
          <w:szCs w:val="21"/>
          <w:lang w:eastAsia="zh-CN"/>
        </w:rPr>
        <w:t>韶关市武江区养老服务中心（一期）</w:t>
      </w:r>
      <w:r>
        <w:rPr>
          <w:rFonts w:hint="eastAsia" w:ascii="宋体" w:hAnsi="宋体" w:eastAsia="宋体" w:cs="宋体"/>
          <w:color w:val="auto"/>
          <w:sz w:val="21"/>
          <w:szCs w:val="21"/>
        </w:rPr>
        <w:t>的正常运营管理活动。</w:t>
      </w:r>
    </w:p>
    <w:p w14:paraId="7CB08927">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（四）甲方向乙方移交的建筑物必须取得工程竣工验收报告（包括但不限于规划、建设、消防、环保、水、电等验收报告），移交前对已有资产（含土地）进行登记，制定固定资产清单，由双方确认后移交。</w:t>
      </w:r>
    </w:p>
    <w:p w14:paraId="597DF1BE">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（五）甲方需帮助乙方积极争取各级政府及组织的专项资金和优惠政策。</w:t>
      </w:r>
    </w:p>
    <w:p w14:paraId="277D7E1F">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（六）甲方负责的政府供养人员的费用，按照提供服务当年的政府供养标准由甲方按入住实际人数向乙方支付。甲方供养人员入住的对象包括</w:t>
      </w:r>
      <w:r>
        <w:rPr>
          <w:rFonts w:hint="eastAsia" w:ascii="宋体" w:hAnsi="宋体" w:eastAsia="宋体" w:cs="宋体"/>
          <w:color w:val="auto"/>
          <w:sz w:val="21"/>
          <w:szCs w:val="21"/>
          <w:lang w:val="en-US" w:eastAsia="zh-CN"/>
        </w:rPr>
        <w:t>武江区</w:t>
      </w:r>
      <w:r>
        <w:rPr>
          <w:rFonts w:hint="eastAsia" w:ascii="宋体" w:hAnsi="宋体" w:eastAsia="宋体" w:cs="宋体"/>
          <w:color w:val="auto"/>
          <w:sz w:val="21"/>
          <w:szCs w:val="21"/>
        </w:rPr>
        <w:t>有入住意愿的特困供养人员和甲方确定的其他人员，优先安排入住上述特困供养人员中的失能、半失能、失智老人。甲方供养人员入住的对象身份由甲方确定，乙方凭甲方出具的集中供养审批手续办理入住手续。</w:t>
      </w:r>
    </w:p>
    <w:p w14:paraId="5C464DB2">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（七）甲方保证在本合同期限内，甲方享有</w:t>
      </w:r>
      <w:r>
        <w:rPr>
          <w:rFonts w:hint="eastAsia" w:ascii="宋体" w:hAnsi="宋体" w:eastAsia="宋体" w:cs="宋体"/>
          <w:color w:val="auto"/>
          <w:sz w:val="21"/>
          <w:szCs w:val="21"/>
          <w:lang w:eastAsia="zh-CN"/>
        </w:rPr>
        <w:t>韶关市武江区养老服务中心（一期）</w:t>
      </w:r>
      <w:r>
        <w:rPr>
          <w:rFonts w:hint="eastAsia" w:ascii="宋体" w:hAnsi="宋体" w:eastAsia="宋体" w:cs="宋体"/>
          <w:color w:val="auto"/>
          <w:sz w:val="21"/>
          <w:szCs w:val="21"/>
        </w:rPr>
        <w:t>所在区域土地及土地上建筑物的所有权，并保证乙方享有</w:t>
      </w:r>
      <w:r>
        <w:rPr>
          <w:rFonts w:hint="eastAsia" w:ascii="宋体" w:hAnsi="宋体" w:eastAsia="宋体" w:cs="宋体"/>
          <w:color w:val="auto"/>
          <w:sz w:val="21"/>
          <w:szCs w:val="21"/>
          <w:lang w:eastAsia="zh-CN"/>
        </w:rPr>
        <w:t>韶关市武江区养老服务中心（一期）</w:t>
      </w:r>
      <w:r>
        <w:rPr>
          <w:rFonts w:hint="eastAsia" w:ascii="宋体" w:hAnsi="宋体" w:eastAsia="宋体" w:cs="宋体"/>
          <w:color w:val="auto"/>
          <w:sz w:val="21"/>
          <w:szCs w:val="21"/>
        </w:rPr>
        <w:t>的土地和建筑物的充分使用权。</w:t>
      </w:r>
    </w:p>
    <w:p w14:paraId="711ACAB2">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（八）在本合同有效期内，甲方不得因人员的变动单方面调整本合同约定。</w:t>
      </w:r>
    </w:p>
    <w:p w14:paraId="6D21D94B">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（九）在本合同期内，甲方积极帮助乙方处理与</w:t>
      </w:r>
      <w:r>
        <w:rPr>
          <w:rFonts w:hint="eastAsia" w:ascii="宋体" w:hAnsi="宋体" w:eastAsia="宋体" w:cs="宋体"/>
          <w:color w:val="auto"/>
          <w:sz w:val="21"/>
          <w:szCs w:val="21"/>
          <w:lang w:eastAsia="zh-CN"/>
        </w:rPr>
        <w:t>韶关市武江区养老服务中心（一期）</w:t>
      </w:r>
      <w:r>
        <w:rPr>
          <w:rFonts w:hint="eastAsia" w:ascii="宋体" w:hAnsi="宋体" w:eastAsia="宋体" w:cs="宋体"/>
          <w:color w:val="auto"/>
          <w:sz w:val="21"/>
          <w:szCs w:val="21"/>
        </w:rPr>
        <w:t>周边居民之间的关系。</w:t>
      </w:r>
    </w:p>
    <w:p w14:paraId="411A7215">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（十）为了能够更好地了解</w:t>
      </w:r>
      <w:r>
        <w:rPr>
          <w:rFonts w:hint="eastAsia" w:ascii="宋体" w:hAnsi="宋体" w:eastAsia="宋体" w:cs="宋体"/>
          <w:color w:val="auto"/>
          <w:sz w:val="21"/>
          <w:szCs w:val="21"/>
          <w:lang w:eastAsia="zh-CN"/>
        </w:rPr>
        <w:t>韶关市武江区养老服务中心（一期）</w:t>
      </w:r>
      <w:r>
        <w:rPr>
          <w:rFonts w:hint="eastAsia" w:ascii="宋体" w:hAnsi="宋体" w:eastAsia="宋体" w:cs="宋体"/>
          <w:color w:val="auto"/>
          <w:sz w:val="21"/>
          <w:szCs w:val="21"/>
        </w:rPr>
        <w:t>运营管理情况，确保</w:t>
      </w:r>
      <w:r>
        <w:rPr>
          <w:rFonts w:hint="eastAsia" w:ascii="宋体" w:hAnsi="宋体" w:eastAsia="宋体" w:cs="宋体"/>
          <w:color w:val="auto"/>
          <w:sz w:val="21"/>
          <w:szCs w:val="21"/>
          <w:lang w:eastAsia="zh-CN"/>
        </w:rPr>
        <w:t>韶关市武江区养老服务中心（一期）</w:t>
      </w:r>
      <w:r>
        <w:rPr>
          <w:rFonts w:hint="eastAsia" w:ascii="宋体" w:hAnsi="宋体" w:eastAsia="宋体" w:cs="宋体"/>
          <w:color w:val="auto"/>
          <w:sz w:val="21"/>
          <w:szCs w:val="21"/>
        </w:rPr>
        <w:t>运营管理能够按照本合同约定履行，甲方依照有关法律法规和本合同约定行使监督权利。甲方可以根据情况每年单独委托有法定资质的第三方评估机构对乙方的日常管理运营和服务质量进行监督和综合评估，根据评估情况加强监督管理。</w:t>
      </w:r>
    </w:p>
    <w:p w14:paraId="72A80199">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十一）甲方可以根据情况每年单独委托有资质的第三方机构对乙方的运营财务状况进行定期审计，制定乙方异常退出时的风险防控应急预案。甲方会定期组织资产核验，委托有资质的第三方机构对国有资产及乙方投入资产进行阶</w:t>
      </w:r>
      <w:r>
        <w:rPr>
          <w:rFonts w:hint="eastAsia" w:ascii="宋体" w:hAnsi="宋体" w:eastAsia="宋体" w:cs="宋体"/>
          <w:color w:val="auto"/>
          <w:sz w:val="21"/>
          <w:szCs w:val="21"/>
          <w:lang w:eastAsia="zh-CN"/>
        </w:rPr>
        <w:t>段性</w:t>
      </w:r>
      <w:r>
        <w:rPr>
          <w:rFonts w:hint="eastAsia" w:ascii="宋体" w:hAnsi="宋体" w:eastAsia="宋体" w:cs="宋体"/>
          <w:color w:val="auto"/>
          <w:sz w:val="21"/>
          <w:szCs w:val="21"/>
        </w:rPr>
        <w:t>评估，清点核对资产造册情况。重点核查乙方在合同期内是否独立运营、独立核算、自负盈亏，是否对机构日常</w:t>
      </w:r>
      <w:r>
        <w:rPr>
          <w:rFonts w:hint="eastAsia" w:ascii="宋体" w:hAnsi="宋体" w:eastAsia="宋体" w:cs="宋体"/>
          <w:color w:val="auto"/>
          <w:sz w:val="21"/>
          <w:szCs w:val="21"/>
          <w:lang w:eastAsia="zh-CN"/>
        </w:rPr>
        <w:t>消耗性</w:t>
      </w:r>
      <w:r>
        <w:rPr>
          <w:rFonts w:hint="eastAsia" w:ascii="宋体" w:hAnsi="宋体" w:eastAsia="宋体" w:cs="宋体"/>
          <w:color w:val="auto"/>
          <w:sz w:val="21"/>
          <w:szCs w:val="21"/>
        </w:rPr>
        <w:t>设施、设备加以维护和修缮，是否有擅自出租、出借、处置国有资产或以国有资产进行抵押、贷款行为。对国有资产造成损失的，依法追究乙方赔偿责任；构成犯罪的，依法追究乙方刑事责任。</w:t>
      </w:r>
    </w:p>
    <w:p w14:paraId="7F5726C7">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十二）定期开展服务质量监督评估，对服务投诉进行调查处理，保障在院老人的合法权益。甲方有权组织或委托第三方评估机构对乙方维护老年人权益情况进行检查及每年或不定期对入住对象满意度开展调查。定期核查运营方是否严格按照《养老机构管理办法》（民政部令第66号）等有关法规规定进行运营管理，重点对运营期间存在的安全隐患、服务质量等问题有无进行整改；发现问题，要限期整改，拒不整改或整改不力、情节严重的，可启动退出机制。</w:t>
      </w:r>
    </w:p>
    <w:p w14:paraId="1D08DCC5">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甲方的监督权须在不影响</w:t>
      </w:r>
      <w:r>
        <w:rPr>
          <w:rFonts w:hint="eastAsia" w:ascii="宋体" w:hAnsi="宋体" w:eastAsia="宋体" w:cs="宋体"/>
          <w:color w:val="auto"/>
          <w:sz w:val="21"/>
          <w:szCs w:val="21"/>
          <w:lang w:eastAsia="zh-CN"/>
        </w:rPr>
        <w:t>韶关市武江区养老服务中心（一期）</w:t>
      </w:r>
      <w:r>
        <w:rPr>
          <w:rFonts w:hint="eastAsia" w:ascii="宋体" w:hAnsi="宋体" w:eastAsia="宋体" w:cs="宋体"/>
          <w:color w:val="auto"/>
          <w:sz w:val="21"/>
          <w:szCs w:val="21"/>
        </w:rPr>
        <w:t>正常运营的前提下行使（特殊时期严重情况除外）。</w:t>
      </w:r>
    </w:p>
    <w:p w14:paraId="3E500097">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（十三）甲方设立监督管理机构，负责对</w:t>
      </w:r>
      <w:r>
        <w:rPr>
          <w:rFonts w:hint="eastAsia" w:ascii="宋体" w:hAnsi="宋体" w:eastAsia="宋体" w:cs="宋体"/>
          <w:color w:val="auto"/>
          <w:sz w:val="21"/>
          <w:szCs w:val="21"/>
          <w:lang w:eastAsia="zh-CN"/>
        </w:rPr>
        <w:t>韶关市武江区养老服务中心（一期）</w:t>
      </w:r>
      <w:r>
        <w:rPr>
          <w:rFonts w:hint="eastAsia" w:ascii="宋体" w:hAnsi="宋体" w:eastAsia="宋体" w:cs="宋体"/>
          <w:color w:val="auto"/>
          <w:sz w:val="21"/>
          <w:szCs w:val="21"/>
        </w:rPr>
        <w:t>运营管理实行监督，并督导乙方及时向甲方及监管机构报告重大事项，提交年度情况报告。在特定情形下（如发生乙方无法掌控的紧急情况或者乙方严重违约）甲方有直接介入</w:t>
      </w:r>
      <w:r>
        <w:rPr>
          <w:rFonts w:hint="eastAsia" w:ascii="宋体" w:hAnsi="宋体" w:eastAsia="宋体" w:cs="宋体"/>
          <w:color w:val="auto"/>
          <w:sz w:val="21"/>
          <w:szCs w:val="21"/>
          <w:lang w:eastAsia="zh-CN"/>
        </w:rPr>
        <w:t>韶关市武江区养老服务中心（一期）</w:t>
      </w:r>
      <w:r>
        <w:rPr>
          <w:rFonts w:hint="eastAsia" w:ascii="宋体" w:hAnsi="宋体" w:eastAsia="宋体" w:cs="宋体"/>
          <w:color w:val="auto"/>
          <w:sz w:val="21"/>
          <w:szCs w:val="21"/>
        </w:rPr>
        <w:t>运营管理的权利。</w:t>
      </w:r>
    </w:p>
    <w:p w14:paraId="56F010B8">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（十四）甲方有权</w:t>
      </w:r>
      <w:r>
        <w:rPr>
          <w:rFonts w:hint="eastAsia" w:ascii="宋体" w:hAnsi="宋体" w:eastAsia="宋体" w:cs="宋体"/>
          <w:color w:val="auto"/>
          <w:sz w:val="21"/>
          <w:szCs w:val="21"/>
          <w:lang w:eastAsia="zh-CN"/>
        </w:rPr>
        <w:t>对</w:t>
      </w:r>
      <w:r>
        <w:rPr>
          <w:rFonts w:hint="eastAsia" w:ascii="宋体" w:hAnsi="宋体" w:eastAsia="宋体" w:cs="宋体"/>
          <w:color w:val="auto"/>
          <w:sz w:val="21"/>
          <w:szCs w:val="21"/>
        </w:rPr>
        <w:t>乙方经营情况进行随机检查，重点检查兜底床位占用情况，兜底床位使用与供养人员是否相符等。</w:t>
      </w:r>
    </w:p>
    <w:p w14:paraId="0C898138">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rPr>
      </w:pPr>
      <w:r>
        <w:rPr>
          <w:rFonts w:hint="eastAsia" w:ascii="宋体" w:hAnsi="宋体" w:eastAsia="宋体" w:cs="宋体"/>
          <w:b w:val="0"/>
          <w:bCs w:val="0"/>
          <w:color w:val="auto"/>
          <w:sz w:val="21"/>
          <w:szCs w:val="21"/>
          <w:lang w:eastAsia="zh-CN"/>
        </w:rPr>
        <w:t>（</w:t>
      </w:r>
      <w:r>
        <w:rPr>
          <w:rFonts w:hint="eastAsia" w:ascii="宋体" w:hAnsi="宋体" w:eastAsia="宋体" w:cs="宋体"/>
          <w:b w:val="0"/>
          <w:bCs w:val="0"/>
          <w:color w:val="auto"/>
          <w:sz w:val="21"/>
          <w:szCs w:val="21"/>
          <w:lang w:val="en-US" w:eastAsia="zh-CN"/>
        </w:rPr>
        <w:t>十五</w:t>
      </w:r>
      <w:r>
        <w:rPr>
          <w:rFonts w:hint="eastAsia" w:ascii="宋体" w:hAnsi="宋体" w:eastAsia="宋体" w:cs="宋体"/>
          <w:b w:val="0"/>
          <w:bCs w:val="0"/>
          <w:color w:val="auto"/>
          <w:sz w:val="21"/>
          <w:szCs w:val="21"/>
          <w:lang w:eastAsia="zh-CN"/>
        </w:rPr>
        <w:t>）</w:t>
      </w:r>
      <w:r>
        <w:rPr>
          <w:rFonts w:hint="eastAsia" w:ascii="宋体" w:hAnsi="宋体" w:eastAsia="宋体" w:cs="宋体"/>
          <w:b w:val="0"/>
          <w:bCs w:val="0"/>
          <w:color w:val="auto"/>
          <w:sz w:val="21"/>
          <w:szCs w:val="21"/>
        </w:rPr>
        <w:t>政策变更告知义务：若国家、省、市出台养老服务相关新政策（如收费标准、安全规范），甲方需在政策生效前30日书面告知乙方，双方协商调整合同相关条款。</w:t>
      </w:r>
    </w:p>
    <w:p w14:paraId="6F73FA18">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rPr>
      </w:pPr>
      <w:r>
        <w:rPr>
          <w:rFonts w:hint="eastAsia" w:ascii="宋体" w:hAnsi="宋体" w:eastAsia="宋体" w:cs="宋体"/>
          <w:b w:val="0"/>
          <w:bCs w:val="0"/>
          <w:color w:val="auto"/>
          <w:sz w:val="21"/>
          <w:szCs w:val="21"/>
          <w:lang w:eastAsia="zh-CN"/>
        </w:rPr>
        <w:t>（</w:t>
      </w:r>
      <w:r>
        <w:rPr>
          <w:rFonts w:hint="eastAsia" w:ascii="宋体" w:hAnsi="宋体" w:eastAsia="宋体" w:cs="宋体"/>
          <w:b w:val="0"/>
          <w:bCs w:val="0"/>
          <w:color w:val="auto"/>
          <w:sz w:val="21"/>
          <w:szCs w:val="21"/>
          <w:lang w:val="en-US" w:eastAsia="zh-CN"/>
        </w:rPr>
        <w:t>十六</w:t>
      </w:r>
      <w:r>
        <w:rPr>
          <w:rFonts w:hint="eastAsia" w:ascii="宋体" w:hAnsi="宋体" w:eastAsia="宋体" w:cs="宋体"/>
          <w:b w:val="0"/>
          <w:bCs w:val="0"/>
          <w:color w:val="auto"/>
          <w:sz w:val="21"/>
          <w:szCs w:val="21"/>
          <w:lang w:eastAsia="zh-CN"/>
        </w:rPr>
        <w:t>）</w:t>
      </w:r>
      <w:r>
        <w:rPr>
          <w:rFonts w:hint="eastAsia" w:ascii="宋体" w:hAnsi="宋体" w:eastAsia="宋体" w:cs="宋体"/>
          <w:b w:val="0"/>
          <w:bCs w:val="0"/>
          <w:color w:val="auto"/>
          <w:sz w:val="21"/>
          <w:szCs w:val="21"/>
        </w:rPr>
        <w:t>专项资金拨付时限：政府供养人员的供养费、护理补贴等经费，甲方需在</w:t>
      </w:r>
      <w:r>
        <w:rPr>
          <w:rFonts w:hint="eastAsia" w:ascii="宋体" w:hAnsi="宋体" w:eastAsia="宋体" w:cs="宋体"/>
          <w:b w:val="0"/>
          <w:bCs w:val="0"/>
          <w:color w:val="auto"/>
          <w:sz w:val="21"/>
          <w:szCs w:val="21"/>
          <w:highlight w:val="none"/>
          <w:lang w:val="en-US" w:eastAsia="zh-CN"/>
        </w:rPr>
        <w:t>次月</w:t>
      </w:r>
      <w:r>
        <w:rPr>
          <w:rFonts w:hint="eastAsia" w:ascii="宋体" w:hAnsi="宋体" w:eastAsia="宋体" w:cs="宋体"/>
          <w:b w:val="0"/>
          <w:bCs w:val="0"/>
          <w:color w:val="auto"/>
          <w:sz w:val="21"/>
          <w:szCs w:val="21"/>
        </w:rPr>
        <w:t>15日前足额拨付至乙方账户。</w:t>
      </w:r>
    </w:p>
    <w:p w14:paraId="120FA21C">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rPr>
      </w:pPr>
      <w:r>
        <w:rPr>
          <w:rFonts w:hint="eastAsia" w:ascii="宋体" w:hAnsi="宋体" w:eastAsia="宋体" w:cs="宋体"/>
          <w:b w:val="0"/>
          <w:bCs w:val="0"/>
          <w:color w:val="auto"/>
          <w:sz w:val="21"/>
          <w:szCs w:val="21"/>
          <w:lang w:eastAsia="zh-CN"/>
        </w:rPr>
        <w:t>（</w:t>
      </w:r>
      <w:r>
        <w:rPr>
          <w:rFonts w:hint="eastAsia" w:ascii="宋体" w:hAnsi="宋体" w:eastAsia="宋体" w:cs="宋体"/>
          <w:b w:val="0"/>
          <w:bCs w:val="0"/>
          <w:color w:val="auto"/>
          <w:sz w:val="21"/>
          <w:szCs w:val="21"/>
          <w:lang w:val="en-US" w:eastAsia="zh-CN"/>
        </w:rPr>
        <w:t>十七</w:t>
      </w:r>
      <w:r>
        <w:rPr>
          <w:rFonts w:hint="eastAsia" w:ascii="宋体" w:hAnsi="宋体" w:eastAsia="宋体" w:cs="宋体"/>
          <w:b w:val="0"/>
          <w:bCs w:val="0"/>
          <w:color w:val="auto"/>
          <w:sz w:val="21"/>
          <w:szCs w:val="21"/>
          <w:lang w:eastAsia="zh-CN"/>
        </w:rPr>
        <w:t>）</w:t>
      </w:r>
      <w:r>
        <w:rPr>
          <w:rFonts w:hint="eastAsia" w:ascii="宋体" w:hAnsi="宋体" w:eastAsia="宋体" w:cs="宋体"/>
          <w:b w:val="0"/>
          <w:bCs w:val="0"/>
          <w:color w:val="auto"/>
          <w:sz w:val="21"/>
          <w:szCs w:val="21"/>
        </w:rPr>
        <w:t>投诉处理机制：甲方设立24小时投诉热线（号码：_________），负责接收入住老人及家属的投诉，乙方需在接到甲方转办的投诉后48小时内提交处理方案，7日内办结并反馈，投诉处理结果纳入年度考核。</w:t>
      </w:r>
    </w:p>
    <w:p w14:paraId="32643C4A">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b/>
          <w:bCs/>
          <w:color w:val="auto"/>
          <w:sz w:val="21"/>
          <w:szCs w:val="21"/>
        </w:rPr>
      </w:pPr>
    </w:p>
    <w:p w14:paraId="4EF551EC">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b/>
          <w:bCs/>
          <w:color w:val="auto"/>
          <w:sz w:val="21"/>
          <w:szCs w:val="21"/>
        </w:rPr>
      </w:pPr>
      <w:r>
        <w:rPr>
          <w:rFonts w:hint="eastAsia" w:ascii="宋体" w:hAnsi="宋体" w:eastAsia="宋体" w:cs="宋体"/>
          <w:b/>
          <w:bCs/>
          <w:color w:val="auto"/>
          <w:sz w:val="21"/>
          <w:szCs w:val="21"/>
        </w:rPr>
        <w:t>五、乙方的权利和义务</w:t>
      </w:r>
    </w:p>
    <w:p w14:paraId="7A44E4AE">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（一）乙方为依据法律正式成立并有效存续的法人，并具有完全民事行为能力。</w:t>
      </w:r>
    </w:p>
    <w:p w14:paraId="53927775">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（二）乙方拥有签订并履行本合同的全部、充分的权利与授权，并依据法律具有签订本合同的行为能力。</w:t>
      </w:r>
    </w:p>
    <w:p w14:paraId="363EF92B">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（三）在本合同运营期限内，乙方应遵守国家法律法规和政策文件有关规定保障入住老人权益，自觉接受和配合甲方对</w:t>
      </w:r>
      <w:r>
        <w:rPr>
          <w:rFonts w:hint="eastAsia" w:ascii="宋体" w:hAnsi="宋体" w:eastAsia="宋体" w:cs="宋体"/>
          <w:color w:val="auto"/>
          <w:sz w:val="21"/>
          <w:szCs w:val="21"/>
          <w:lang w:eastAsia="zh-CN"/>
        </w:rPr>
        <w:t>韶关市武江区养老服务中心（一期）老年人权益保障</w:t>
      </w:r>
      <w:r>
        <w:rPr>
          <w:rFonts w:hint="eastAsia" w:ascii="宋体" w:hAnsi="宋体" w:eastAsia="宋体" w:cs="宋体"/>
          <w:color w:val="auto"/>
          <w:sz w:val="21"/>
          <w:szCs w:val="21"/>
        </w:rPr>
        <w:t>和运营管理的监督，但乙方有权拒绝甲方违反法律法规的要求。</w:t>
      </w:r>
    </w:p>
    <w:p w14:paraId="33338938">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（四）在本合同有效期限内，乙方对本合同范围内的建筑物、设施设备拥有使用权，拥有</w:t>
      </w:r>
      <w:r>
        <w:rPr>
          <w:rFonts w:hint="eastAsia" w:ascii="宋体" w:hAnsi="宋体" w:eastAsia="宋体" w:cs="宋体"/>
          <w:color w:val="auto"/>
          <w:sz w:val="21"/>
          <w:szCs w:val="21"/>
          <w:lang w:eastAsia="zh-CN"/>
        </w:rPr>
        <w:t>韶关市武江区养老服务中心（一期）</w:t>
      </w:r>
      <w:r>
        <w:rPr>
          <w:rFonts w:hint="eastAsia" w:ascii="宋体" w:hAnsi="宋体" w:eastAsia="宋体" w:cs="宋体"/>
          <w:color w:val="auto"/>
          <w:sz w:val="21"/>
          <w:szCs w:val="21"/>
        </w:rPr>
        <w:t>自主运营管理权和收益权，自负盈亏，独立承担运营过程中产生的费用和债权债务。</w:t>
      </w:r>
    </w:p>
    <w:p w14:paraId="77DBE089">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rPr>
        <w:t>（五）乙方必须按规定建立财务账目，规范财务管理</w:t>
      </w:r>
      <w:r>
        <w:rPr>
          <w:rFonts w:hint="eastAsia" w:ascii="宋体" w:hAnsi="宋体" w:eastAsia="宋体" w:cs="宋体"/>
          <w:color w:val="auto"/>
          <w:sz w:val="21"/>
          <w:szCs w:val="21"/>
          <w:highlight w:val="none"/>
        </w:rPr>
        <w:t>，并向甲方提供财务报表，季度财务报表在季度终了之日起15日内报送，年度财务报表在年度终了之日起</w:t>
      </w:r>
      <w:r>
        <w:rPr>
          <w:rFonts w:hint="eastAsia" w:ascii="宋体" w:hAnsi="宋体" w:eastAsia="宋体" w:cs="宋体"/>
          <w:color w:val="auto"/>
          <w:sz w:val="21"/>
          <w:szCs w:val="21"/>
          <w:highlight w:val="none"/>
          <w:lang w:val="en-US" w:eastAsia="zh-CN"/>
        </w:rPr>
        <w:t>2</w:t>
      </w:r>
      <w:r>
        <w:rPr>
          <w:rFonts w:hint="eastAsia" w:ascii="宋体" w:hAnsi="宋体" w:eastAsia="宋体" w:cs="宋体"/>
          <w:color w:val="auto"/>
          <w:sz w:val="21"/>
          <w:szCs w:val="21"/>
          <w:highlight w:val="none"/>
        </w:rPr>
        <w:t>个月内报送。每年提交工作报告，内容主要包括</w:t>
      </w:r>
      <w:r>
        <w:rPr>
          <w:rFonts w:hint="eastAsia" w:ascii="宋体" w:hAnsi="宋体" w:eastAsia="宋体" w:cs="宋体"/>
          <w:color w:val="auto"/>
          <w:sz w:val="21"/>
          <w:szCs w:val="21"/>
          <w:highlight w:val="none"/>
          <w:lang w:eastAsia="zh-CN"/>
        </w:rPr>
        <w:t>韶关市武江区养老服务中心（一期）</w:t>
      </w:r>
      <w:r>
        <w:rPr>
          <w:rFonts w:hint="eastAsia" w:ascii="宋体" w:hAnsi="宋体" w:eastAsia="宋体" w:cs="宋体"/>
          <w:color w:val="auto"/>
          <w:sz w:val="21"/>
          <w:szCs w:val="21"/>
          <w:highlight w:val="none"/>
        </w:rPr>
        <w:t>的服务范围、服务对象、服务质量、运营管理、运营收支等相关情况。运营期内，乙方应针对兜底对象的人员护理照料费用使用明细账进行登记，便于甲方对本项目兜底对象救助供养金和护理照料费明细进行监管及财务审计进行核查。</w:t>
      </w:r>
    </w:p>
    <w:p w14:paraId="5D55EA68">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（六）在本合同运营期内，凡以</w:t>
      </w:r>
      <w:r>
        <w:rPr>
          <w:rFonts w:hint="eastAsia" w:ascii="宋体" w:hAnsi="宋体" w:eastAsia="宋体" w:cs="宋体"/>
          <w:color w:val="auto"/>
          <w:sz w:val="21"/>
          <w:szCs w:val="21"/>
          <w:highlight w:val="none"/>
          <w:lang w:eastAsia="zh-CN"/>
        </w:rPr>
        <w:t>韶关市武江区养老服务中心（一期）</w:t>
      </w:r>
      <w:r>
        <w:rPr>
          <w:rFonts w:hint="eastAsia" w:ascii="宋体" w:hAnsi="宋体" w:eastAsia="宋体" w:cs="宋体"/>
          <w:color w:val="auto"/>
          <w:sz w:val="21"/>
          <w:szCs w:val="21"/>
          <w:highlight w:val="none"/>
        </w:rPr>
        <w:t>名义向各级政府和组织申请的专项资金，应专款专用，并设立台账，便于甲方财务审计核查。专项资金的投入作为政府国有资产，乙方要按当年</w:t>
      </w:r>
      <w:r>
        <w:rPr>
          <w:rFonts w:hint="eastAsia" w:ascii="宋体" w:hAnsi="宋体" w:eastAsia="宋体" w:cs="宋体"/>
          <w:color w:val="auto"/>
          <w:sz w:val="21"/>
          <w:szCs w:val="21"/>
          <w:highlight w:val="none"/>
          <w:lang w:eastAsia="zh-CN"/>
        </w:rPr>
        <w:t>区</w:t>
      </w:r>
      <w:r>
        <w:rPr>
          <w:rFonts w:hint="eastAsia" w:ascii="宋体" w:hAnsi="宋体" w:eastAsia="宋体" w:cs="宋体"/>
          <w:color w:val="auto"/>
          <w:sz w:val="21"/>
          <w:szCs w:val="21"/>
          <w:highlight w:val="none"/>
        </w:rPr>
        <w:t>财政与银行协定的利率计算利息并上缴给</w:t>
      </w:r>
      <w:r>
        <w:rPr>
          <w:rFonts w:hint="eastAsia" w:ascii="宋体" w:hAnsi="宋体" w:eastAsia="宋体" w:cs="宋体"/>
          <w:color w:val="auto"/>
          <w:sz w:val="21"/>
          <w:szCs w:val="21"/>
          <w:highlight w:val="none"/>
          <w:lang w:eastAsia="zh-CN"/>
        </w:rPr>
        <w:t>区</w:t>
      </w:r>
      <w:r>
        <w:rPr>
          <w:rFonts w:hint="eastAsia" w:ascii="宋体" w:hAnsi="宋体" w:eastAsia="宋体" w:cs="宋体"/>
          <w:color w:val="auto"/>
          <w:sz w:val="21"/>
          <w:szCs w:val="21"/>
          <w:highlight w:val="none"/>
        </w:rPr>
        <w:t>财政。缴交利息时间为每年的12月31日前，否则按合同违约处理。</w:t>
      </w:r>
    </w:p>
    <w:p w14:paraId="2CBF6D63">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（七）</w:t>
      </w:r>
      <w:r>
        <w:rPr>
          <w:rFonts w:hint="eastAsia" w:ascii="宋体" w:hAnsi="宋体" w:eastAsia="宋体" w:cs="宋体"/>
          <w:color w:val="auto"/>
          <w:sz w:val="21"/>
          <w:szCs w:val="21"/>
          <w:highlight w:val="none"/>
          <w:lang w:eastAsia="zh-CN"/>
        </w:rPr>
        <w:t>韶关市武江区养老服务中心（一期）</w:t>
      </w:r>
      <w:r>
        <w:rPr>
          <w:rFonts w:hint="eastAsia" w:ascii="宋体" w:hAnsi="宋体" w:eastAsia="宋体" w:cs="宋体"/>
          <w:color w:val="auto"/>
          <w:sz w:val="21"/>
          <w:szCs w:val="21"/>
          <w:highlight w:val="none"/>
        </w:rPr>
        <w:t>面向社会入住老人的收费标准，由乙方依照</w:t>
      </w:r>
      <w:r>
        <w:rPr>
          <w:rFonts w:hint="eastAsia" w:ascii="宋体" w:hAnsi="宋体" w:eastAsia="宋体" w:cs="宋体"/>
          <w:color w:val="auto"/>
          <w:sz w:val="21"/>
          <w:szCs w:val="21"/>
          <w:highlight w:val="none"/>
          <w:lang w:eastAsia="zh-CN"/>
        </w:rPr>
        <w:t>韶关市武江区养老服务中心（一期）</w:t>
      </w:r>
      <w:r>
        <w:rPr>
          <w:rFonts w:hint="eastAsia" w:ascii="宋体" w:hAnsi="宋体" w:eastAsia="宋体" w:cs="宋体"/>
          <w:color w:val="auto"/>
          <w:sz w:val="21"/>
          <w:szCs w:val="21"/>
          <w:highlight w:val="none"/>
        </w:rPr>
        <w:t>机构设施设备条件、管理水平、服务质量、护理等级、市场物价等因素确定提出方案，按规定程序报甲方审核同意，按规定程序报发改物价部门备案。</w:t>
      </w:r>
    </w:p>
    <w:p w14:paraId="169591BF">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（八）乙方应根据服务需求，建立健全的</w:t>
      </w:r>
      <w:r>
        <w:rPr>
          <w:rFonts w:hint="eastAsia" w:ascii="宋体" w:hAnsi="宋体" w:eastAsia="宋体" w:cs="宋体"/>
          <w:color w:val="auto"/>
          <w:sz w:val="21"/>
          <w:szCs w:val="21"/>
          <w:highlight w:val="none"/>
          <w:lang w:val="en-US" w:eastAsia="zh-CN"/>
        </w:rPr>
        <w:t>机构内部</w:t>
      </w:r>
      <w:r>
        <w:rPr>
          <w:rFonts w:hint="eastAsia" w:ascii="宋体" w:hAnsi="宋体" w:eastAsia="宋体" w:cs="宋体"/>
          <w:color w:val="auto"/>
          <w:sz w:val="21"/>
          <w:szCs w:val="21"/>
          <w:highlight w:val="none"/>
        </w:rPr>
        <w:t>信息管理系统，</w:t>
      </w:r>
      <w:r>
        <w:rPr>
          <w:rFonts w:hint="eastAsia" w:ascii="宋体" w:hAnsi="宋体" w:eastAsia="宋体" w:cs="宋体"/>
          <w:color w:val="auto"/>
          <w:sz w:val="21"/>
          <w:szCs w:val="21"/>
          <w:highlight w:val="none"/>
          <w:lang w:val="en-US" w:eastAsia="zh-CN"/>
        </w:rPr>
        <w:t>实现机构内部信息化管理，并能</w:t>
      </w:r>
      <w:r>
        <w:rPr>
          <w:rFonts w:hint="eastAsia" w:ascii="宋体" w:hAnsi="宋体" w:eastAsia="宋体" w:cs="宋体"/>
          <w:color w:val="auto"/>
          <w:sz w:val="21"/>
          <w:szCs w:val="21"/>
          <w:highlight w:val="none"/>
        </w:rPr>
        <w:t>不断完善各项管理规章制度、人力资源管理、具体的日常岗位工作安排和应急管理方案，</w:t>
      </w:r>
      <w:r>
        <w:rPr>
          <w:rFonts w:hint="eastAsia" w:ascii="宋体" w:hAnsi="宋体" w:eastAsia="宋体" w:cs="宋体"/>
          <w:color w:val="auto"/>
          <w:sz w:val="21"/>
          <w:szCs w:val="21"/>
          <w:highlight w:val="none"/>
          <w:lang w:eastAsia="zh-CN"/>
        </w:rPr>
        <w:t>甲方</w:t>
      </w:r>
      <w:r>
        <w:rPr>
          <w:rFonts w:hint="eastAsia" w:ascii="宋体" w:hAnsi="宋体" w:eastAsia="宋体" w:cs="宋体"/>
          <w:color w:val="auto"/>
          <w:sz w:val="21"/>
          <w:szCs w:val="21"/>
          <w:highlight w:val="none"/>
        </w:rPr>
        <w:t>有权要求其修订相关制度并监督其执行。</w:t>
      </w:r>
    </w:p>
    <w:p w14:paraId="5E6ED85B">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九）乙方对入住的特困供养人员和面向社会入住人员，应按法律法规、政策规定及供养费用水平、收费标准等，提供适当水平档次的饮食、生活起居、照料护理、医养健康等服务，不得克扣钱物、降低服务水平和档次。对入住的特困供养人员，乙方每月应按照不低于</w:t>
      </w:r>
      <w:r>
        <w:rPr>
          <w:rFonts w:hint="eastAsia" w:ascii="宋体" w:hAnsi="宋体" w:eastAsia="宋体" w:cs="宋体"/>
          <w:color w:val="auto"/>
          <w:sz w:val="21"/>
          <w:szCs w:val="21"/>
          <w:highlight w:val="none"/>
          <w:lang w:val="en-US" w:eastAsia="zh-CN"/>
        </w:rPr>
        <w:t>约5%</w:t>
      </w:r>
      <w:r>
        <w:rPr>
          <w:rFonts w:hint="eastAsia" w:ascii="宋体" w:hAnsi="宋体" w:eastAsia="宋体" w:cs="宋体"/>
          <w:color w:val="auto"/>
          <w:sz w:val="21"/>
          <w:szCs w:val="21"/>
          <w:highlight w:val="none"/>
        </w:rPr>
        <w:t>供养费</w:t>
      </w:r>
      <w:r>
        <w:rPr>
          <w:rFonts w:hint="eastAsia" w:ascii="宋体" w:hAnsi="宋体" w:eastAsia="宋体" w:cs="宋体"/>
          <w:color w:val="auto"/>
          <w:sz w:val="21"/>
          <w:szCs w:val="21"/>
          <w:highlight w:val="none"/>
          <w:lang w:val="en-US" w:eastAsia="zh-CN"/>
        </w:rPr>
        <w:t>计算</w:t>
      </w:r>
      <w:r>
        <w:rPr>
          <w:rFonts w:hint="eastAsia" w:ascii="宋体" w:hAnsi="宋体" w:eastAsia="宋体" w:cs="宋体"/>
          <w:color w:val="auto"/>
          <w:sz w:val="21"/>
          <w:szCs w:val="21"/>
          <w:highlight w:val="none"/>
        </w:rPr>
        <w:t>发放零用钱。</w:t>
      </w:r>
    </w:p>
    <w:p w14:paraId="4EDC9F6D">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（十）乙方负责按照国家相关标准和规范对</w:t>
      </w:r>
      <w:r>
        <w:rPr>
          <w:rFonts w:hint="eastAsia" w:ascii="宋体" w:hAnsi="宋体" w:eastAsia="宋体" w:cs="宋体"/>
          <w:color w:val="auto"/>
          <w:sz w:val="21"/>
          <w:szCs w:val="21"/>
          <w:highlight w:val="none"/>
          <w:lang w:eastAsia="zh-CN"/>
        </w:rPr>
        <w:t>韶关市武江区养老服务中心（一期）</w:t>
      </w:r>
      <w:r>
        <w:rPr>
          <w:rFonts w:hint="eastAsia" w:ascii="宋体" w:hAnsi="宋体" w:eastAsia="宋体" w:cs="宋体"/>
          <w:color w:val="auto"/>
          <w:sz w:val="21"/>
          <w:szCs w:val="21"/>
          <w:highlight w:val="none"/>
        </w:rPr>
        <w:t>机构进行运营管理，并对固定资产进行日常管理维护</w:t>
      </w:r>
      <w:r>
        <w:rPr>
          <w:rFonts w:hint="eastAsia" w:ascii="宋体" w:hAnsi="宋体" w:eastAsia="宋体" w:cs="宋体"/>
          <w:bCs/>
          <w:color w:val="auto"/>
          <w:sz w:val="21"/>
          <w:szCs w:val="21"/>
          <w:highlight w:val="none"/>
          <w:lang w:eastAsia="zh-CN"/>
        </w:rPr>
        <w:t>（消防、燃气、电梯等设施应聘请有资质的第三方进行年检，定期维护）</w:t>
      </w:r>
      <w:r>
        <w:rPr>
          <w:rFonts w:hint="eastAsia" w:ascii="宋体" w:hAnsi="宋体" w:eastAsia="宋体" w:cs="宋体"/>
          <w:color w:val="auto"/>
          <w:sz w:val="21"/>
          <w:szCs w:val="21"/>
          <w:highlight w:val="none"/>
        </w:rPr>
        <w:t>，不得从事与养老服务无关的运营活动，不得出租、出借、处置</w:t>
      </w:r>
      <w:r>
        <w:rPr>
          <w:rFonts w:hint="eastAsia" w:ascii="宋体" w:hAnsi="宋体" w:eastAsia="宋体" w:cs="宋体"/>
          <w:color w:val="auto"/>
          <w:sz w:val="21"/>
          <w:szCs w:val="21"/>
          <w:highlight w:val="none"/>
          <w:lang w:eastAsia="zh-CN"/>
        </w:rPr>
        <w:t>韶关市武江区养老服务中心（一期）</w:t>
      </w:r>
      <w:r>
        <w:rPr>
          <w:rFonts w:hint="eastAsia" w:ascii="宋体" w:hAnsi="宋体" w:eastAsia="宋体" w:cs="宋体"/>
          <w:color w:val="auto"/>
          <w:sz w:val="21"/>
          <w:szCs w:val="21"/>
          <w:highlight w:val="none"/>
        </w:rPr>
        <w:t>的资产，不得以</w:t>
      </w:r>
      <w:r>
        <w:rPr>
          <w:rFonts w:hint="eastAsia" w:ascii="宋体" w:hAnsi="宋体" w:eastAsia="宋体" w:cs="宋体"/>
          <w:color w:val="auto"/>
          <w:sz w:val="21"/>
          <w:szCs w:val="21"/>
          <w:highlight w:val="none"/>
          <w:lang w:eastAsia="zh-CN"/>
        </w:rPr>
        <w:t>韶关市武江区养老服务中心（一期）</w:t>
      </w:r>
      <w:r>
        <w:rPr>
          <w:rFonts w:hint="eastAsia" w:ascii="宋体" w:hAnsi="宋体" w:eastAsia="宋体" w:cs="宋体"/>
          <w:color w:val="auto"/>
          <w:sz w:val="21"/>
          <w:szCs w:val="21"/>
          <w:highlight w:val="none"/>
        </w:rPr>
        <w:t>的资产进行抵押、贷款等活动。</w:t>
      </w:r>
    </w:p>
    <w:p w14:paraId="741E7A47">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（十一）乙方应按上级对</w:t>
      </w:r>
      <w:r>
        <w:rPr>
          <w:rFonts w:hint="eastAsia" w:ascii="宋体" w:hAnsi="宋体" w:eastAsia="宋体" w:cs="宋体"/>
          <w:color w:val="auto"/>
          <w:sz w:val="21"/>
          <w:szCs w:val="21"/>
          <w:highlight w:val="none"/>
          <w:lang w:eastAsia="zh-CN"/>
        </w:rPr>
        <w:t>区</w:t>
      </w:r>
      <w:r>
        <w:rPr>
          <w:rFonts w:hint="eastAsia" w:ascii="宋体" w:hAnsi="宋体" w:eastAsia="宋体" w:cs="宋体"/>
          <w:color w:val="auto"/>
          <w:sz w:val="21"/>
          <w:szCs w:val="21"/>
          <w:highlight w:val="none"/>
        </w:rPr>
        <w:t>级公办养老机构的统一政策规定和部署安排，达到相应的养老机构等级和标准。</w:t>
      </w:r>
    </w:p>
    <w:p w14:paraId="0DDE8D5A">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（十二）乙方</w:t>
      </w:r>
      <w:r>
        <w:rPr>
          <w:rFonts w:hint="eastAsia" w:ascii="宋体" w:hAnsi="宋体" w:eastAsia="宋体" w:cs="宋体"/>
          <w:color w:val="auto"/>
          <w:sz w:val="21"/>
          <w:szCs w:val="21"/>
          <w:highlight w:val="none"/>
          <w:lang w:eastAsia="zh-CN"/>
        </w:rPr>
        <w:t>应</w:t>
      </w:r>
      <w:r>
        <w:rPr>
          <w:rFonts w:hint="eastAsia" w:ascii="宋体" w:hAnsi="宋体" w:eastAsia="宋体" w:cs="宋体"/>
          <w:color w:val="auto"/>
          <w:sz w:val="21"/>
          <w:szCs w:val="21"/>
          <w:highlight w:val="none"/>
        </w:rPr>
        <w:t>保证</w:t>
      </w:r>
      <w:r>
        <w:rPr>
          <w:rFonts w:hint="eastAsia" w:ascii="宋体" w:hAnsi="宋体" w:eastAsia="宋体" w:cs="宋体"/>
          <w:color w:val="auto"/>
          <w:sz w:val="21"/>
          <w:szCs w:val="21"/>
          <w:highlight w:val="none"/>
          <w:lang w:eastAsia="zh-CN"/>
        </w:rPr>
        <w:t>韶关市武江区养老服务中心（一期）</w:t>
      </w:r>
      <w:r>
        <w:rPr>
          <w:rFonts w:hint="eastAsia" w:ascii="宋体" w:hAnsi="宋体" w:eastAsia="宋体" w:cs="宋体"/>
          <w:color w:val="auto"/>
          <w:sz w:val="21"/>
          <w:szCs w:val="21"/>
          <w:highlight w:val="none"/>
        </w:rPr>
        <w:t>正式运营时的设施设备、床位设置、护理及服务人员配置等符合相关法律法规和规范的要求。上述设施设备的维护、</w:t>
      </w:r>
      <w:r>
        <w:rPr>
          <w:rFonts w:hint="eastAsia" w:ascii="宋体" w:hAnsi="宋体" w:eastAsia="宋体" w:cs="宋体"/>
          <w:color w:val="auto"/>
          <w:sz w:val="21"/>
          <w:szCs w:val="21"/>
          <w:highlight w:val="none"/>
          <w:lang w:val="en-US" w:eastAsia="zh-CN"/>
        </w:rPr>
        <w:t>维保、</w:t>
      </w:r>
      <w:r>
        <w:rPr>
          <w:rFonts w:hint="eastAsia" w:ascii="宋体" w:hAnsi="宋体" w:eastAsia="宋体" w:cs="宋体"/>
          <w:color w:val="auto"/>
          <w:sz w:val="21"/>
          <w:szCs w:val="21"/>
          <w:highlight w:val="none"/>
        </w:rPr>
        <w:t>更新、添置等</w:t>
      </w:r>
      <w:r>
        <w:rPr>
          <w:rFonts w:hint="eastAsia" w:ascii="宋体" w:hAnsi="宋体" w:eastAsia="宋体" w:cs="宋体"/>
          <w:color w:val="auto"/>
          <w:sz w:val="21"/>
          <w:szCs w:val="21"/>
          <w:highlight w:val="none"/>
          <w:lang w:eastAsia="zh-CN"/>
        </w:rPr>
        <w:t>费用</w:t>
      </w:r>
      <w:r>
        <w:rPr>
          <w:rFonts w:hint="eastAsia" w:ascii="宋体" w:hAnsi="宋体" w:eastAsia="宋体" w:cs="宋体"/>
          <w:color w:val="auto"/>
          <w:sz w:val="21"/>
          <w:szCs w:val="21"/>
          <w:highlight w:val="none"/>
        </w:rPr>
        <w:t>由乙方负责。</w:t>
      </w:r>
    </w:p>
    <w:p w14:paraId="09E1E3D0">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（十三）乙方应保证充足的开业资金和维持</w:t>
      </w:r>
      <w:r>
        <w:rPr>
          <w:rFonts w:hint="eastAsia" w:ascii="宋体" w:hAnsi="宋体" w:eastAsia="宋体" w:cs="宋体"/>
          <w:color w:val="auto"/>
          <w:sz w:val="21"/>
          <w:szCs w:val="21"/>
          <w:lang w:eastAsia="zh-CN"/>
        </w:rPr>
        <w:t>韶关市武江区养老服务中心（一期）</w:t>
      </w:r>
      <w:r>
        <w:rPr>
          <w:rFonts w:hint="eastAsia" w:ascii="宋体" w:hAnsi="宋体" w:eastAsia="宋体" w:cs="宋体"/>
          <w:color w:val="auto"/>
          <w:sz w:val="21"/>
          <w:szCs w:val="21"/>
        </w:rPr>
        <w:t>正常运营的资金。</w:t>
      </w:r>
    </w:p>
    <w:p w14:paraId="23714197">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（十四）乙方在经营过程中，设备及固定资产需要更换或维修，须向甲方报备，并经甲方同意，确认资产，并造册登记。合同期满后，资产移交给甲方。</w:t>
      </w:r>
    </w:p>
    <w:p w14:paraId="182DA890">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（十五）乙方建设期间因安全、劳资纠纷等产生的问题，乙方负全责并妥善处理，甲方保留追究相关经济和法律责任</w:t>
      </w:r>
      <w:r>
        <w:rPr>
          <w:rFonts w:hint="eastAsia" w:ascii="宋体" w:hAnsi="宋体" w:eastAsia="宋体" w:cs="宋体"/>
          <w:color w:val="auto"/>
          <w:sz w:val="21"/>
          <w:szCs w:val="21"/>
          <w:lang w:eastAsia="zh-CN"/>
        </w:rPr>
        <w:t>的</w:t>
      </w:r>
      <w:r>
        <w:rPr>
          <w:rFonts w:hint="eastAsia" w:ascii="宋体" w:hAnsi="宋体" w:eastAsia="宋体" w:cs="宋体"/>
          <w:color w:val="auto"/>
          <w:sz w:val="21"/>
          <w:szCs w:val="21"/>
        </w:rPr>
        <w:t>权利。</w:t>
      </w:r>
    </w:p>
    <w:p w14:paraId="1298874E">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rPr>
        <w:t>（十六）运营期间如</w:t>
      </w:r>
      <w:r>
        <w:rPr>
          <w:rFonts w:hint="eastAsia" w:ascii="宋体" w:hAnsi="宋体" w:eastAsia="宋体" w:cs="宋体"/>
          <w:color w:val="auto"/>
          <w:sz w:val="21"/>
          <w:szCs w:val="21"/>
          <w:lang w:eastAsia="zh-CN"/>
        </w:rPr>
        <w:t>存在</w:t>
      </w:r>
      <w:r>
        <w:rPr>
          <w:rFonts w:hint="eastAsia" w:ascii="宋体" w:hAnsi="宋体" w:eastAsia="宋体" w:cs="宋体"/>
          <w:color w:val="auto"/>
          <w:sz w:val="21"/>
          <w:szCs w:val="21"/>
        </w:rPr>
        <w:t>安全隐患、服务质量等问题，要限时进行整改，乙方应无条件配合甲方进行整</w:t>
      </w:r>
      <w:r>
        <w:rPr>
          <w:rFonts w:hint="eastAsia" w:ascii="宋体" w:hAnsi="宋体" w:eastAsia="宋体" w:cs="宋体"/>
          <w:color w:val="auto"/>
          <w:sz w:val="21"/>
          <w:szCs w:val="21"/>
          <w:highlight w:val="none"/>
        </w:rPr>
        <w:t>改并承担相应责任。</w:t>
      </w:r>
    </w:p>
    <w:p w14:paraId="744552EC">
      <w:pPr>
        <w:keepNext w:val="0"/>
        <w:keepLines w:val="0"/>
        <w:pageBreakBefore w:val="0"/>
        <w:numPr>
          <w:ilvl w:val="0"/>
          <w:numId w:val="0"/>
        </w:numPr>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十七</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rPr>
        <w:t>中标人在运营期期间内达到广东省养老机构星级机构评定，招标人协助中标人向相关部门申请相应的奖补。具体的奖补标准如下：中标人在运营期前五年达到广东省养老机构星级评定标准中四星级标准，则自评定后的下一年起奖补当年</w:t>
      </w:r>
      <w:r>
        <w:rPr>
          <w:rFonts w:hint="eastAsia" w:ascii="宋体" w:hAnsi="宋体" w:eastAsia="宋体" w:cs="宋体"/>
          <w:color w:val="auto"/>
          <w:sz w:val="21"/>
          <w:szCs w:val="21"/>
          <w:highlight w:val="none"/>
          <w:lang w:eastAsia="zh-CN"/>
        </w:rPr>
        <w:t>合作收益分成</w:t>
      </w:r>
      <w:r>
        <w:rPr>
          <w:rFonts w:hint="eastAsia" w:ascii="宋体" w:hAnsi="宋体" w:eastAsia="宋体" w:cs="宋体"/>
          <w:color w:val="auto"/>
          <w:sz w:val="21"/>
          <w:szCs w:val="21"/>
          <w:highlight w:val="none"/>
        </w:rPr>
        <w:t>20%。中标人在运营期前五年达到广东省养老机构星级评定标准五星级标准，则自评定后的下一年起奖补当年</w:t>
      </w:r>
      <w:r>
        <w:rPr>
          <w:rFonts w:hint="eastAsia" w:ascii="宋体" w:hAnsi="宋体" w:eastAsia="宋体" w:cs="宋体"/>
          <w:color w:val="auto"/>
          <w:sz w:val="21"/>
          <w:szCs w:val="21"/>
          <w:highlight w:val="none"/>
          <w:lang w:eastAsia="zh-CN"/>
        </w:rPr>
        <w:t>合作收益分成</w:t>
      </w:r>
      <w:r>
        <w:rPr>
          <w:rFonts w:hint="eastAsia" w:ascii="宋体" w:hAnsi="宋体" w:eastAsia="宋体" w:cs="宋体"/>
          <w:color w:val="auto"/>
          <w:sz w:val="21"/>
          <w:szCs w:val="21"/>
          <w:highlight w:val="none"/>
        </w:rPr>
        <w:t>30%，奖补</w:t>
      </w:r>
      <w:r>
        <w:rPr>
          <w:rFonts w:hint="eastAsia" w:ascii="宋体" w:hAnsi="宋体" w:eastAsia="宋体" w:cs="宋体"/>
          <w:color w:val="auto"/>
          <w:sz w:val="21"/>
          <w:szCs w:val="21"/>
          <w:highlight w:val="none"/>
          <w:lang w:eastAsia="zh-CN"/>
        </w:rPr>
        <w:t>合作收益分成</w:t>
      </w:r>
      <w:r>
        <w:rPr>
          <w:rFonts w:hint="eastAsia" w:ascii="宋体" w:hAnsi="宋体" w:eastAsia="宋体" w:cs="宋体"/>
          <w:color w:val="auto"/>
          <w:sz w:val="21"/>
          <w:szCs w:val="21"/>
          <w:highlight w:val="none"/>
        </w:rPr>
        <w:t>累计不超过三年。中标人在运营期前五年未能达到广东省养老机构星级评定标准中四星级及以上养老机构标准，则</w:t>
      </w:r>
      <w:r>
        <w:rPr>
          <w:rFonts w:hint="eastAsia" w:ascii="宋体" w:hAnsi="宋体" w:eastAsia="宋体" w:cs="宋体"/>
          <w:color w:val="auto"/>
          <w:sz w:val="21"/>
          <w:szCs w:val="21"/>
          <w:highlight w:val="none"/>
          <w:lang w:eastAsia="zh-CN"/>
        </w:rPr>
        <w:t>合作收益分成</w:t>
      </w:r>
      <w:r>
        <w:rPr>
          <w:rFonts w:hint="eastAsia" w:ascii="宋体" w:hAnsi="宋体" w:eastAsia="宋体" w:cs="宋体"/>
          <w:color w:val="auto"/>
          <w:sz w:val="21"/>
          <w:szCs w:val="21"/>
          <w:highlight w:val="none"/>
        </w:rPr>
        <w:t>没有任何奖补。最终奖补标准以及期限以相关部门核定为准。</w:t>
      </w:r>
    </w:p>
    <w:p w14:paraId="193119B2">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lang w:eastAsia="zh-CN"/>
        </w:rPr>
        <w:t>（</w:t>
      </w:r>
      <w:r>
        <w:rPr>
          <w:rFonts w:hint="eastAsia" w:ascii="宋体" w:hAnsi="宋体" w:eastAsia="宋体" w:cs="宋体"/>
          <w:b w:val="0"/>
          <w:bCs w:val="0"/>
          <w:color w:val="auto"/>
          <w:sz w:val="21"/>
          <w:szCs w:val="21"/>
          <w:highlight w:val="none"/>
          <w:lang w:val="en-US" w:eastAsia="zh-CN"/>
        </w:rPr>
        <w:t>十八</w:t>
      </w:r>
      <w:r>
        <w:rPr>
          <w:rFonts w:hint="eastAsia" w:ascii="宋体" w:hAnsi="宋体" w:eastAsia="宋体" w:cs="宋体"/>
          <w:b w:val="0"/>
          <w:bCs w:val="0"/>
          <w:color w:val="auto"/>
          <w:sz w:val="21"/>
          <w:szCs w:val="21"/>
          <w:highlight w:val="none"/>
          <w:lang w:eastAsia="zh-CN"/>
        </w:rPr>
        <w:t>）</w:t>
      </w:r>
      <w:r>
        <w:rPr>
          <w:rFonts w:hint="eastAsia" w:ascii="宋体" w:hAnsi="宋体" w:eastAsia="宋体" w:cs="宋体"/>
          <w:b w:val="0"/>
          <w:bCs w:val="0"/>
          <w:color w:val="auto"/>
          <w:sz w:val="21"/>
          <w:szCs w:val="21"/>
          <w:highlight w:val="none"/>
        </w:rPr>
        <w:t>人员配置标准：护理人员与床位配比需满足：失能床位1:3、半失能床位1:6、自理床位1:10；所有护理人员需持有效职业资格证书上岗，每年参加专业培训时长≥40小时，培训记录报甲方备案。</w:t>
      </w:r>
    </w:p>
    <w:p w14:paraId="36BE8DFD">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lang w:eastAsia="zh-CN"/>
        </w:rPr>
        <w:t>（</w:t>
      </w:r>
      <w:r>
        <w:rPr>
          <w:rFonts w:hint="eastAsia" w:ascii="宋体" w:hAnsi="宋体" w:eastAsia="宋体" w:cs="宋体"/>
          <w:b w:val="0"/>
          <w:bCs w:val="0"/>
          <w:color w:val="auto"/>
          <w:sz w:val="21"/>
          <w:szCs w:val="21"/>
          <w:highlight w:val="none"/>
          <w:lang w:val="en-US" w:eastAsia="zh-CN"/>
        </w:rPr>
        <w:t>十九</w:t>
      </w:r>
      <w:r>
        <w:rPr>
          <w:rFonts w:hint="eastAsia" w:ascii="宋体" w:hAnsi="宋体" w:eastAsia="宋体" w:cs="宋体"/>
          <w:b w:val="0"/>
          <w:bCs w:val="0"/>
          <w:color w:val="auto"/>
          <w:sz w:val="21"/>
          <w:szCs w:val="21"/>
          <w:highlight w:val="none"/>
          <w:lang w:eastAsia="zh-CN"/>
        </w:rPr>
        <w:t>）</w:t>
      </w:r>
      <w:r>
        <w:rPr>
          <w:rFonts w:hint="eastAsia" w:ascii="宋体" w:hAnsi="宋体" w:eastAsia="宋体" w:cs="宋体"/>
          <w:b w:val="0"/>
          <w:bCs w:val="0"/>
          <w:color w:val="auto"/>
          <w:sz w:val="21"/>
          <w:szCs w:val="21"/>
          <w:highlight w:val="none"/>
        </w:rPr>
        <w:t>资产维护责任划分：</w:t>
      </w:r>
    </w:p>
    <w:p w14:paraId="23477B74">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lang w:val="en-US" w:eastAsia="zh-CN"/>
        </w:rPr>
        <w:t>1.</w:t>
      </w:r>
      <w:r>
        <w:rPr>
          <w:rFonts w:hint="eastAsia" w:ascii="宋体" w:hAnsi="宋体" w:eastAsia="宋体" w:cs="宋体"/>
          <w:b w:val="0"/>
          <w:bCs w:val="0"/>
          <w:color w:val="auto"/>
          <w:sz w:val="21"/>
          <w:szCs w:val="21"/>
          <w:highlight w:val="none"/>
        </w:rPr>
        <w:t>日常小额维修（单次费用≤5000元）：乙方72小时内响应并完成；</w:t>
      </w:r>
    </w:p>
    <w:p w14:paraId="75989C1B">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lang w:val="en-US" w:eastAsia="zh-CN"/>
        </w:rPr>
        <w:t>2.</w:t>
      </w:r>
      <w:r>
        <w:rPr>
          <w:rFonts w:hint="eastAsia" w:ascii="宋体" w:hAnsi="宋体" w:eastAsia="宋体" w:cs="宋体"/>
          <w:b w:val="0"/>
          <w:bCs w:val="0"/>
          <w:color w:val="auto"/>
          <w:sz w:val="21"/>
          <w:szCs w:val="21"/>
          <w:highlight w:val="none"/>
        </w:rPr>
        <w:t>中大额维修（5000元＜单次费用≤5万元）：乙方3日内提交维修方案，经甲方同意后15日内完成；</w:t>
      </w:r>
    </w:p>
    <w:p w14:paraId="6E12377D">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lang w:val="en-US" w:eastAsia="zh-CN"/>
        </w:rPr>
        <w:t>3.</w:t>
      </w:r>
      <w:r>
        <w:rPr>
          <w:rFonts w:hint="eastAsia" w:ascii="宋体" w:hAnsi="宋体" w:eastAsia="宋体" w:cs="宋体"/>
          <w:b w:val="0"/>
          <w:bCs w:val="0"/>
          <w:color w:val="auto"/>
          <w:sz w:val="21"/>
          <w:szCs w:val="21"/>
          <w:highlight w:val="none"/>
        </w:rPr>
        <w:t>建筑物本体结构性维修：乙方发现后24小时内上报甲方，由甲方牵头组织维修，费用按本合同第六条第（五）项执行。</w:t>
      </w:r>
    </w:p>
    <w:p w14:paraId="2CBB111E">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lang w:eastAsia="zh-CN"/>
        </w:rPr>
        <w:t>（</w:t>
      </w:r>
      <w:r>
        <w:rPr>
          <w:rFonts w:hint="eastAsia" w:ascii="宋体" w:hAnsi="宋体" w:eastAsia="宋体" w:cs="宋体"/>
          <w:b w:val="0"/>
          <w:bCs w:val="0"/>
          <w:color w:val="auto"/>
          <w:sz w:val="21"/>
          <w:szCs w:val="21"/>
          <w:highlight w:val="none"/>
          <w:lang w:val="en-US" w:eastAsia="zh-CN"/>
        </w:rPr>
        <w:t>二十</w:t>
      </w:r>
      <w:r>
        <w:rPr>
          <w:rFonts w:hint="eastAsia" w:ascii="宋体" w:hAnsi="宋体" w:eastAsia="宋体" w:cs="宋体"/>
          <w:b w:val="0"/>
          <w:bCs w:val="0"/>
          <w:color w:val="auto"/>
          <w:sz w:val="21"/>
          <w:szCs w:val="21"/>
          <w:highlight w:val="none"/>
          <w:lang w:eastAsia="zh-CN"/>
        </w:rPr>
        <w:t>）</w:t>
      </w:r>
      <w:r>
        <w:rPr>
          <w:rFonts w:hint="eastAsia" w:ascii="宋体" w:hAnsi="宋体" w:eastAsia="宋体" w:cs="宋体"/>
          <w:b w:val="0"/>
          <w:bCs w:val="0"/>
          <w:color w:val="auto"/>
          <w:sz w:val="21"/>
          <w:szCs w:val="21"/>
          <w:highlight w:val="none"/>
        </w:rPr>
        <w:t>乙方需制定自然灾害、公共卫生事件、老人突发疾病等6类应急预案，每季度组织1次演练，演练记录报甲方备案；发生重大事件（如老人意外伤亡、较大安全事故），乙方需在2小时内上报甲方及相关部门。</w:t>
      </w:r>
    </w:p>
    <w:p w14:paraId="65015A6E">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二十一）若乙方运营期间需向用户收取养老押金的，须建立养老押金三方监管机制，开立专用存款账户，对押金的收取、存储、支取、退回全流程闭环管控，严格依据《养老机构预收费存管工作指引》等政策执行，确保资金专款专用、安全可追溯。</w:t>
      </w:r>
    </w:p>
    <w:p w14:paraId="4F3837F4">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b/>
          <w:bCs/>
          <w:color w:val="auto"/>
          <w:sz w:val="21"/>
          <w:szCs w:val="21"/>
          <w:highlight w:val="none"/>
        </w:rPr>
      </w:pPr>
    </w:p>
    <w:p w14:paraId="2E0A9A7B">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b/>
          <w:bCs/>
          <w:color w:val="auto"/>
          <w:sz w:val="21"/>
          <w:szCs w:val="21"/>
          <w:highlight w:val="none"/>
          <w:lang w:val="en-US" w:eastAsia="zh-CN"/>
        </w:rPr>
      </w:pPr>
      <w:r>
        <w:rPr>
          <w:rFonts w:hint="eastAsia" w:ascii="宋体" w:hAnsi="宋体" w:eastAsia="宋体" w:cs="宋体"/>
          <w:b/>
          <w:bCs/>
          <w:color w:val="auto"/>
          <w:sz w:val="21"/>
          <w:szCs w:val="21"/>
          <w:highlight w:val="none"/>
        </w:rPr>
        <w:t>六、特别约定</w:t>
      </w:r>
    </w:p>
    <w:p w14:paraId="1A7AE500">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（一）乙方应遵循的相关法律法规及政策文件</w:t>
      </w:r>
    </w:p>
    <w:p w14:paraId="353070ED">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1.《中华人民共和国老年人权益保障法》</w:t>
      </w:r>
    </w:p>
    <w:p w14:paraId="64F9BB6B">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2.《广东省老年人权益保障条例》</w:t>
      </w:r>
    </w:p>
    <w:p w14:paraId="6C06F8B0">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3.《广东省养老机构规范化建设指引》</w:t>
      </w:r>
    </w:p>
    <w:p w14:paraId="5670D6CE">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4.《广东省民办社会福利机构管理规定》（广东省人民政府令第 275 号（2020 年 5 月 12 日修订））</w:t>
      </w:r>
    </w:p>
    <w:p w14:paraId="7818A970">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5.《养老机构消防安全管理规定》（民政部 国家消防救援局 民发〔2023〕37 号）</w:t>
      </w:r>
    </w:p>
    <w:p w14:paraId="79E9C347">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6.《养老机构管理办法》（中华人民共和国民政部令第66号）</w:t>
      </w:r>
    </w:p>
    <w:p w14:paraId="41E95366">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7.</w:t>
      </w:r>
      <w:r>
        <w:rPr>
          <w:rFonts w:hint="eastAsia" w:ascii="宋体" w:hAnsi="宋体" w:eastAsia="宋体" w:cs="宋体"/>
          <w:color w:val="auto"/>
          <w:sz w:val="21"/>
          <w:szCs w:val="21"/>
          <w:lang w:eastAsia="zh-CN"/>
        </w:rPr>
        <w:t>《养老机构护理站基本标准（试行）》</w:t>
      </w:r>
    </w:p>
    <w:p w14:paraId="25246F97">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8.</w:t>
      </w:r>
      <w:r>
        <w:rPr>
          <w:rFonts w:hint="eastAsia" w:ascii="宋体" w:hAnsi="宋体" w:eastAsia="宋体" w:cs="宋体"/>
          <w:color w:val="auto"/>
          <w:sz w:val="21"/>
          <w:szCs w:val="21"/>
          <w:lang w:eastAsia="zh-CN"/>
        </w:rPr>
        <w:t>《养老机构医务室基本标准（试行）》</w:t>
      </w:r>
    </w:p>
    <w:p w14:paraId="09F6C661">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9.《广东省民政厅关于印发广东省特困人员供养服务机构公建民营社会化改革实施方案的通知》（粤民发〔2016〕77号）</w:t>
      </w:r>
    </w:p>
    <w:p w14:paraId="480E228F">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10.《广东省民政厅关于进一步加强养老机构公建民营社会化改革监督指导的通知》（粤民函〔2020〕265号）</w:t>
      </w:r>
    </w:p>
    <w:p w14:paraId="17600F16">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①《老年人照料设施建筑设计标准》（JGJ450-2018）</w:t>
      </w:r>
    </w:p>
    <w:p w14:paraId="5C806741">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②《养老机构服务安全基本规范》（GB38600-2019）</w:t>
      </w:r>
    </w:p>
    <w:p w14:paraId="7AF9DD36">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③《养老机构服务质量基本规范》（GB/T35796-2017）</w:t>
      </w:r>
    </w:p>
    <w:p w14:paraId="5195AF26">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④《农村特困人员供养服务机构运营规范》（DB44/T2200-2019）</w:t>
      </w:r>
    </w:p>
    <w:p w14:paraId="0F9A2113">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11.其他相关的法律法规和政策文件</w:t>
      </w:r>
    </w:p>
    <w:p w14:paraId="35F2F5BB">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（二）运营保障金</w:t>
      </w:r>
    </w:p>
    <w:p w14:paraId="6340B272">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1.乙方应于本项目签订之日起30个工作日内，按规定向甲方提交运营保障金为人民币壹佰万元整(￥1,000,000.00元)，缴纳现金不能少于人民币贰拾万元整(￥200,000.00元)，并划入甲方指定的银行账户，余下金额可以采取银行保函形式，保函失效前三个月乙方应做好保函续开手续或缴纳等额现金。乙方支付完成后，应将转账凭证复印件提交招标人备案，招标人在收到凭证并确认款项到账后，出具收款确认函。</w:t>
      </w:r>
    </w:p>
    <w:p w14:paraId="78E67055">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2.乙方现金实缴运营保障金于合同期满，在乙方完全履行合同义务，结清所有费用（包括经营期间所有债务，产生的水电费用等）并经韶关市武江区养老服务中心（一期）交接验收合格后30个工作日内无息一次性退还。如经营期间，乙方自行终止合同或违反合同有关规定被招标人终止合同的，运营保障金将全部归招标人所有，运营保障金金额不足以弥补乙方违约行为导致的损失的，招标人可继续追偿。</w:t>
      </w:r>
    </w:p>
    <w:p w14:paraId="0D7CACC0">
      <w:pPr>
        <w:keepNext w:val="0"/>
        <w:keepLines w:val="0"/>
        <w:pageBreakBefore w:val="0"/>
        <w:widowControl w:val="0"/>
        <w:kinsoku/>
        <w:wordWrap/>
        <w:overflowPunct/>
        <w:topLinePunct w:val="0"/>
        <w:autoSpaceDE/>
        <w:autoSpaceDN/>
        <w:bidi w:val="0"/>
        <w:adjustRightInd/>
        <w:snapToGrid/>
        <w:spacing w:line="360" w:lineRule="auto"/>
        <w:ind w:left="0" w:leftChars="0" w:firstLine="420" w:firstLineChars="200"/>
        <w:textAlignment w:val="auto"/>
        <w:rPr>
          <w:rFonts w:hint="eastAsia" w:ascii="宋体" w:hAnsi="宋体" w:eastAsia="宋体" w:cs="宋体"/>
          <w:color w:val="auto"/>
          <w:kern w:val="2"/>
          <w:sz w:val="21"/>
          <w:szCs w:val="21"/>
          <w:highlight w:val="none"/>
          <w:lang w:val="en-US" w:eastAsia="zh-CN" w:bidi="ar-SA"/>
        </w:rPr>
      </w:pPr>
      <w:r>
        <w:rPr>
          <w:rFonts w:hint="eastAsia" w:ascii="宋体" w:hAnsi="宋体" w:eastAsia="宋体" w:cs="宋体"/>
          <w:color w:val="auto"/>
          <w:kern w:val="2"/>
          <w:sz w:val="21"/>
          <w:szCs w:val="21"/>
          <w:highlight w:val="none"/>
          <w:lang w:val="en-US" w:eastAsia="zh-CN" w:bidi="ar-SA"/>
        </w:rPr>
        <w:t>3.如乙方未能在规定的时间内将运营保障金划入招标人指定的账户，视同自动放弃中标资格。在此情况下，招标人有权把合同授予排名在乙方之后的第二中标候选人或采用重新招标的方式重新确定承包经营商，由此带来的一切损失由乙方自行承担。</w:t>
      </w:r>
    </w:p>
    <w:p w14:paraId="3DB0975C">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三</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乙方需在签订合同30天内在武江区注册成立项目管理公司。</w:t>
      </w:r>
    </w:p>
    <w:p w14:paraId="7778BEFE">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lang w:val="en-US" w:eastAsia="zh-CN"/>
        </w:rPr>
        <w:t>四</w:t>
      </w:r>
      <w:r>
        <w:rPr>
          <w:rFonts w:hint="eastAsia" w:ascii="宋体" w:hAnsi="宋体" w:eastAsia="宋体" w:cs="宋体"/>
          <w:color w:val="auto"/>
          <w:sz w:val="21"/>
          <w:szCs w:val="21"/>
          <w:highlight w:val="none"/>
        </w:rPr>
        <w:t>）政府补贴</w:t>
      </w:r>
    </w:p>
    <w:p w14:paraId="43E45A7B">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1.甲方每月应向</w:t>
      </w:r>
      <w:r>
        <w:rPr>
          <w:rFonts w:hint="eastAsia" w:ascii="宋体" w:hAnsi="宋体" w:eastAsia="宋体" w:cs="宋体"/>
          <w:color w:val="auto"/>
          <w:sz w:val="21"/>
          <w:szCs w:val="21"/>
          <w:highlight w:val="none"/>
          <w:lang w:eastAsia="zh-CN"/>
        </w:rPr>
        <w:t>区</w:t>
      </w:r>
      <w:r>
        <w:rPr>
          <w:rFonts w:hint="eastAsia" w:ascii="宋体" w:hAnsi="宋体" w:eastAsia="宋体" w:cs="宋体"/>
          <w:color w:val="auto"/>
          <w:sz w:val="21"/>
          <w:szCs w:val="21"/>
          <w:highlight w:val="none"/>
        </w:rPr>
        <w:t>财政申请拨付政府供养人员的供养费、护理补贴等经费。</w:t>
      </w:r>
    </w:p>
    <w:p w14:paraId="5E3BF196">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2.如甲方需购买除本合同约定外的其他服务的，双方须另行协商签约。</w:t>
      </w:r>
    </w:p>
    <w:p w14:paraId="26C11E78">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w:t>
      </w:r>
      <w:r>
        <w:rPr>
          <w:rFonts w:hint="eastAsia" w:ascii="宋体" w:hAnsi="宋体" w:eastAsia="宋体" w:cs="宋体"/>
          <w:color w:val="auto"/>
          <w:sz w:val="21"/>
          <w:szCs w:val="21"/>
          <w:highlight w:val="none"/>
          <w:lang w:val="en-US" w:eastAsia="zh-CN"/>
        </w:rPr>
        <w:t>五</w:t>
      </w:r>
      <w:r>
        <w:rPr>
          <w:rFonts w:hint="eastAsia" w:ascii="宋体" w:hAnsi="宋体" w:eastAsia="宋体" w:cs="宋体"/>
          <w:color w:val="auto"/>
          <w:sz w:val="21"/>
          <w:szCs w:val="21"/>
          <w:highlight w:val="none"/>
        </w:rPr>
        <w:t>）维修费用</w:t>
      </w:r>
    </w:p>
    <w:p w14:paraId="76F83C95">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乙方应从社会养老每年营业总额中安排3%的资金作为</w:t>
      </w:r>
      <w:r>
        <w:rPr>
          <w:rFonts w:hint="eastAsia" w:ascii="宋体" w:hAnsi="宋体" w:eastAsia="宋体" w:cs="宋体"/>
          <w:color w:val="auto"/>
          <w:sz w:val="21"/>
          <w:szCs w:val="21"/>
          <w:highlight w:val="none"/>
          <w:lang w:eastAsia="zh-CN"/>
        </w:rPr>
        <w:t>韶关市武江区养老服务中心（一期）</w:t>
      </w:r>
      <w:r>
        <w:rPr>
          <w:rFonts w:hint="eastAsia" w:ascii="宋体" w:hAnsi="宋体" w:eastAsia="宋体" w:cs="宋体"/>
          <w:color w:val="auto"/>
          <w:sz w:val="21"/>
          <w:szCs w:val="21"/>
          <w:highlight w:val="none"/>
        </w:rPr>
        <w:t>的维修费用（主要用于</w:t>
      </w:r>
      <w:r>
        <w:rPr>
          <w:rFonts w:hint="eastAsia" w:ascii="宋体" w:hAnsi="宋体" w:eastAsia="宋体" w:cs="宋体"/>
          <w:color w:val="auto"/>
          <w:sz w:val="21"/>
          <w:szCs w:val="21"/>
          <w:highlight w:val="none"/>
          <w:lang w:eastAsia="zh-CN"/>
        </w:rPr>
        <w:t>韶关市武江区养老服务中心（一期）</w:t>
      </w:r>
      <w:r>
        <w:rPr>
          <w:rFonts w:hint="eastAsia" w:ascii="宋体" w:hAnsi="宋体" w:eastAsia="宋体" w:cs="宋体"/>
          <w:color w:val="auto"/>
          <w:sz w:val="21"/>
          <w:szCs w:val="21"/>
          <w:highlight w:val="none"/>
        </w:rPr>
        <w:t>的日常设施维护及升级改造），留存到由甲方和乙方共同设立的监管账户中，实行专户管理。维修及升级改造方案和资金使用需由甲方同意后方可实施。若需进行结构性大修时，优先使用维修监管账户的资金，不足部分由双方共同协商解决。</w:t>
      </w:r>
    </w:p>
    <w:p w14:paraId="4DE35F47">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rPr>
        <w:t>双方就不足部分费用分担协商不一致的，应在争议发生之日起 15 日内，共同选定具备资质的第三方工程造价咨询机构对大修工程合理造价进行审核确认，审核结果对双方具有约束力；双方对第三方选定无法达成一致的，由项目所在地住建部门推荐资质机构进行审核，审核费用由提出异议一方先行垫付，最终由双方按责任比例承担；审核后仍无法协商一致的，任何一方均有权向项目所在地人民法院提起诉讼解决，大修工程期间不得影响项目正常养老服务运营。</w:t>
      </w:r>
    </w:p>
    <w:p w14:paraId="72BB9669">
      <w:pPr>
        <w:keepNext w:val="0"/>
        <w:keepLines w:val="0"/>
        <w:pageBreakBefore w:val="0"/>
        <w:numPr>
          <w:ilvl w:val="0"/>
          <w:numId w:val="0"/>
        </w:numPr>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六</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rPr>
        <w:t>经营期内乙方对</w:t>
      </w:r>
      <w:r>
        <w:rPr>
          <w:rFonts w:hint="eastAsia" w:ascii="宋体" w:hAnsi="宋体" w:eastAsia="宋体" w:cs="宋体"/>
          <w:color w:val="auto"/>
          <w:sz w:val="21"/>
          <w:szCs w:val="21"/>
          <w:highlight w:val="none"/>
          <w:lang w:eastAsia="zh-CN"/>
        </w:rPr>
        <w:t>韶关市武江区养老服务中心（一期）</w:t>
      </w:r>
      <w:r>
        <w:rPr>
          <w:rFonts w:hint="eastAsia" w:ascii="宋体" w:hAnsi="宋体" w:eastAsia="宋体" w:cs="宋体"/>
          <w:color w:val="auto"/>
          <w:sz w:val="21"/>
          <w:szCs w:val="21"/>
          <w:highlight w:val="none"/>
        </w:rPr>
        <w:t>自行管理及使用，自负盈亏、自担风险。因此产生的债务、损害赔偿、工伤赔偿、追偿、追诉等争议纠纷、民事责任、行政责任及刑事责任，由乙方自行承担，因各种纠纷影响</w:t>
      </w:r>
      <w:r>
        <w:rPr>
          <w:rFonts w:hint="eastAsia" w:ascii="宋体" w:hAnsi="宋体" w:eastAsia="宋体" w:cs="宋体"/>
          <w:color w:val="auto"/>
          <w:sz w:val="21"/>
          <w:szCs w:val="21"/>
          <w:highlight w:val="none"/>
          <w:lang w:eastAsia="zh-CN"/>
        </w:rPr>
        <w:t>韶关市武江区养老服务中心（一期）</w:t>
      </w:r>
      <w:r>
        <w:rPr>
          <w:rFonts w:hint="eastAsia" w:ascii="宋体" w:hAnsi="宋体" w:eastAsia="宋体" w:cs="宋体"/>
          <w:color w:val="auto"/>
          <w:sz w:val="21"/>
          <w:szCs w:val="21"/>
          <w:highlight w:val="none"/>
        </w:rPr>
        <w:t>声誉和工作秩序，甲方有权解除合同，收回经营权并没收全额运营保障金。引起</w:t>
      </w:r>
      <w:r>
        <w:rPr>
          <w:rFonts w:hint="eastAsia" w:ascii="宋体" w:hAnsi="宋体" w:eastAsia="宋体" w:cs="宋体"/>
          <w:color w:val="auto"/>
          <w:sz w:val="21"/>
          <w:szCs w:val="21"/>
          <w:highlight w:val="none"/>
          <w:lang w:eastAsia="zh-CN"/>
        </w:rPr>
        <w:t>韶关市武江区养老服务中心（一期）</w:t>
      </w:r>
      <w:r>
        <w:rPr>
          <w:rFonts w:hint="eastAsia" w:ascii="宋体" w:hAnsi="宋体" w:eastAsia="宋体" w:cs="宋体"/>
          <w:color w:val="auto"/>
          <w:sz w:val="21"/>
          <w:szCs w:val="21"/>
          <w:highlight w:val="none"/>
        </w:rPr>
        <w:t>遭受损失的，甲方有权对乙方提出索赔。</w:t>
      </w:r>
    </w:p>
    <w:p w14:paraId="2C5DDAA7">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rPr>
        <w:t>（七）保险与风险转移</w:t>
      </w:r>
    </w:p>
    <w:p w14:paraId="339B8C94">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rPr>
        <w:t>乙方需在合同生效后30日内，投保以下保险并将保单副本提交甲方备案：</w:t>
      </w:r>
    </w:p>
    <w:p w14:paraId="7A15E4BE">
      <w:pPr>
        <w:keepNext w:val="0"/>
        <w:keepLines w:val="0"/>
        <w:pageBreakBefore w:val="0"/>
        <w:kinsoku/>
        <w:wordWrap w:val="0"/>
        <w:overflowPunct/>
        <w:topLinePunct w:val="0"/>
        <w:autoSpaceDE/>
        <w:autoSpaceDN/>
        <w:bidi w:val="0"/>
        <w:adjustRightInd w:val="0"/>
        <w:snapToGrid w:val="0"/>
        <w:spacing w:line="360" w:lineRule="auto"/>
        <w:ind w:leftChars="100" w:firstLine="0" w:firstLineChars="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rPr>
        <w:t>（1）养老机构责任险（保额≥200万元/每次事故，年度累计保额≥500万元）；</w:t>
      </w:r>
    </w:p>
    <w:p w14:paraId="319AF8F3">
      <w:pPr>
        <w:keepNext w:val="0"/>
        <w:keepLines w:val="0"/>
        <w:pageBreakBefore w:val="0"/>
        <w:kinsoku/>
        <w:wordWrap w:val="0"/>
        <w:overflowPunct/>
        <w:topLinePunct w:val="0"/>
        <w:autoSpaceDE/>
        <w:autoSpaceDN/>
        <w:bidi w:val="0"/>
        <w:adjustRightInd w:val="0"/>
        <w:snapToGrid w:val="0"/>
        <w:spacing w:line="360" w:lineRule="auto"/>
        <w:ind w:leftChars="100" w:firstLine="0" w:firstLineChars="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rPr>
        <w:t>（2）入住老人意外险（保额≥50万元/人）；</w:t>
      </w:r>
    </w:p>
    <w:p w14:paraId="2592FCD2">
      <w:pPr>
        <w:keepNext w:val="0"/>
        <w:keepLines w:val="0"/>
        <w:pageBreakBefore w:val="0"/>
        <w:kinsoku/>
        <w:wordWrap w:val="0"/>
        <w:overflowPunct/>
        <w:topLinePunct w:val="0"/>
        <w:autoSpaceDE/>
        <w:autoSpaceDN/>
        <w:bidi w:val="0"/>
        <w:adjustRightInd w:val="0"/>
        <w:snapToGrid w:val="0"/>
        <w:spacing w:line="360" w:lineRule="auto"/>
        <w:ind w:leftChars="100" w:firstLine="0" w:firstLineChars="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rPr>
        <w:t>（3）雇主责任险（覆盖所有员工，保额≥80万元/人）。</w:t>
      </w:r>
    </w:p>
    <w:p w14:paraId="41D03677">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rPr>
        <w:t>保险期限需与本合同运营期一致，乙方需在保险到期前30日完成续保，未按时续保视为违约。</w:t>
      </w:r>
    </w:p>
    <w:p w14:paraId="593E0646">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lang w:val="en-US" w:eastAsia="zh-CN"/>
        </w:rPr>
        <w:t xml:space="preserve">   </w:t>
      </w:r>
      <w:r>
        <w:rPr>
          <w:rFonts w:hint="eastAsia" w:ascii="宋体" w:hAnsi="宋体" w:eastAsia="宋体" w:cs="宋体"/>
          <w:b w:val="0"/>
          <w:bCs w:val="0"/>
          <w:color w:val="auto"/>
          <w:sz w:val="21"/>
          <w:szCs w:val="21"/>
          <w:highlight w:val="none"/>
        </w:rPr>
        <w:t>（八）个人信息与隐私保护</w:t>
      </w:r>
    </w:p>
    <w:p w14:paraId="4C6681DA">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rPr>
        <w:t>乙方需遵守《中华人民共和国个人信息保护法》，建立老人个人信息（含健康数据、身份信息）的收集、存储、使用管理制度。</w:t>
      </w:r>
    </w:p>
    <w:p w14:paraId="3965A239">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rPr>
        <w:t>禁止向第三方泄露老人信息（法律法规要求除外），合同终止时需全额返还或销毁老人信息资料，甲方有权监督核查。</w:t>
      </w:r>
    </w:p>
    <w:p w14:paraId="1920EFC5">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lang w:val="en-US" w:eastAsia="zh-CN"/>
        </w:rPr>
        <w:t xml:space="preserve">   </w:t>
      </w:r>
      <w:r>
        <w:rPr>
          <w:rFonts w:hint="eastAsia" w:ascii="宋体" w:hAnsi="宋体" w:eastAsia="宋体" w:cs="宋体"/>
          <w:b w:val="0"/>
          <w:bCs w:val="0"/>
          <w:color w:val="auto"/>
          <w:sz w:val="21"/>
          <w:szCs w:val="21"/>
          <w:highlight w:val="none"/>
        </w:rPr>
        <w:t>（九）合规性补充要求</w:t>
      </w:r>
    </w:p>
    <w:p w14:paraId="0E647CA8">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rPr>
        <w:t>乙方需遵守《反食品浪费法》，餐饮浪费率控制在5%以内，甲方定期核查，</w:t>
      </w:r>
      <w:r>
        <w:rPr>
          <w:rFonts w:hint="eastAsia" w:ascii="宋体" w:hAnsi="宋体" w:eastAsia="宋体" w:cs="宋体"/>
          <w:b w:val="0"/>
          <w:bCs w:val="0"/>
          <w:color w:val="auto"/>
          <w:sz w:val="21"/>
          <w:szCs w:val="21"/>
          <w:highlight w:val="none"/>
          <w:lang w:eastAsia="zh-CN"/>
        </w:rPr>
        <w:t>超标一次从当期应付合作收益分成中额外支付当月合作收益分成的1%</w:t>
      </w:r>
      <w:r>
        <w:rPr>
          <w:rFonts w:hint="eastAsia" w:ascii="宋体" w:hAnsi="宋体" w:eastAsia="宋体" w:cs="宋体"/>
          <w:b w:val="0"/>
          <w:bCs w:val="0"/>
          <w:color w:val="auto"/>
          <w:sz w:val="21"/>
          <w:szCs w:val="21"/>
          <w:highlight w:val="none"/>
        </w:rPr>
        <w:t>。</w:t>
      </w:r>
    </w:p>
    <w:p w14:paraId="483BE09A">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rPr>
        <w:t>乙方需建立反欺老虐老长效机制，在公共区域安装监控（隐私区域除外），监控保存时长≥90天，甲方有权调阅核查。</w:t>
      </w:r>
    </w:p>
    <w:p w14:paraId="263A71B5">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b/>
          <w:bCs/>
          <w:color w:val="auto"/>
          <w:sz w:val="21"/>
          <w:szCs w:val="21"/>
          <w:highlight w:val="none"/>
        </w:rPr>
      </w:pPr>
    </w:p>
    <w:p w14:paraId="2F1A7E9F">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七、临时接管预案</w:t>
      </w:r>
    </w:p>
    <w:p w14:paraId="0B597712">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本合同运营期内，如乙方出现以下情况，甲方有权实施临时接管：</w:t>
      </w:r>
    </w:p>
    <w:p w14:paraId="4EA8E47F">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（一）因经营管理不善，发生较大安全生产责任事故且不做善后处理或善后处置不及时不合理的；</w:t>
      </w:r>
    </w:p>
    <w:p w14:paraId="56AB8088">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（二）严重违约、不尽管理职责或运营管理不善严重</w:t>
      </w:r>
      <w:r>
        <w:rPr>
          <w:rFonts w:hint="eastAsia" w:ascii="宋体" w:hAnsi="宋体" w:eastAsia="宋体" w:cs="宋体"/>
          <w:color w:val="auto"/>
          <w:sz w:val="21"/>
          <w:szCs w:val="21"/>
          <w:highlight w:val="none"/>
          <w:lang w:eastAsia="zh-CN"/>
        </w:rPr>
        <w:t>影响</w:t>
      </w:r>
      <w:r>
        <w:rPr>
          <w:rFonts w:hint="eastAsia" w:ascii="宋体" w:hAnsi="宋体" w:eastAsia="宋体" w:cs="宋体"/>
          <w:color w:val="auto"/>
          <w:sz w:val="21"/>
          <w:szCs w:val="21"/>
          <w:highlight w:val="none"/>
        </w:rPr>
        <w:t>社会公共利益和安全的；</w:t>
      </w:r>
    </w:p>
    <w:p w14:paraId="5743EE60">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（三）擅自停业、歇业的；</w:t>
      </w:r>
    </w:p>
    <w:p w14:paraId="5F7C8439">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（四）擅自将</w:t>
      </w:r>
      <w:r>
        <w:rPr>
          <w:rFonts w:hint="eastAsia" w:ascii="宋体" w:hAnsi="宋体" w:eastAsia="宋体" w:cs="宋体"/>
          <w:color w:val="auto"/>
          <w:sz w:val="21"/>
          <w:szCs w:val="21"/>
          <w:highlight w:val="none"/>
          <w:lang w:eastAsia="zh-CN"/>
        </w:rPr>
        <w:t>韶关市武江区养老服务中心（一期）</w:t>
      </w:r>
      <w:r>
        <w:rPr>
          <w:rFonts w:hint="eastAsia" w:ascii="宋体" w:hAnsi="宋体" w:eastAsia="宋体" w:cs="宋体"/>
          <w:color w:val="auto"/>
          <w:sz w:val="21"/>
          <w:szCs w:val="21"/>
          <w:highlight w:val="none"/>
        </w:rPr>
        <w:t>转包给第三方经营的；</w:t>
      </w:r>
    </w:p>
    <w:p w14:paraId="377D0C29">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（五）擅自将</w:t>
      </w:r>
      <w:r>
        <w:rPr>
          <w:rFonts w:hint="eastAsia" w:ascii="宋体" w:hAnsi="宋体" w:eastAsia="宋体" w:cs="宋体"/>
          <w:color w:val="auto"/>
          <w:sz w:val="21"/>
          <w:szCs w:val="21"/>
          <w:highlight w:val="none"/>
          <w:lang w:eastAsia="zh-CN"/>
        </w:rPr>
        <w:t>韶关市武江区养老服务中心（一期）</w:t>
      </w:r>
      <w:r>
        <w:rPr>
          <w:rFonts w:hint="eastAsia" w:ascii="宋体" w:hAnsi="宋体" w:eastAsia="宋体" w:cs="宋体"/>
          <w:color w:val="auto"/>
          <w:sz w:val="21"/>
          <w:szCs w:val="21"/>
          <w:highlight w:val="none"/>
        </w:rPr>
        <w:t>财产转让、抵押给第三方的；</w:t>
      </w:r>
    </w:p>
    <w:p w14:paraId="0C73E485">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（六）一年内发生3次以上（含3次）欺老虐老事件的；</w:t>
      </w:r>
    </w:p>
    <w:p w14:paraId="5AB0F117">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（七）法律法规禁止的其他相关行为。</w:t>
      </w:r>
    </w:p>
    <w:p w14:paraId="4232E8B0">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以上情况</w:t>
      </w:r>
      <w:r>
        <w:rPr>
          <w:rFonts w:hint="eastAsia" w:ascii="宋体" w:hAnsi="宋体" w:eastAsia="宋体" w:cs="宋体"/>
          <w:color w:val="auto"/>
          <w:sz w:val="21"/>
          <w:szCs w:val="21"/>
          <w:highlight w:val="none"/>
          <w:lang w:val="en-US" w:eastAsia="zh-CN"/>
        </w:rPr>
        <w:t>直到</w:t>
      </w:r>
      <w:r>
        <w:rPr>
          <w:rFonts w:hint="eastAsia" w:ascii="宋体" w:hAnsi="宋体" w:eastAsia="宋体" w:cs="宋体"/>
          <w:color w:val="auto"/>
          <w:sz w:val="21"/>
          <w:szCs w:val="21"/>
          <w:highlight w:val="none"/>
        </w:rPr>
        <w:t>乙方采取整改措施并达到符合合同约定及有关</w:t>
      </w:r>
      <w:r>
        <w:rPr>
          <w:rFonts w:hint="eastAsia" w:ascii="宋体" w:hAnsi="宋体" w:eastAsia="宋体" w:cs="宋体"/>
          <w:color w:val="auto"/>
          <w:sz w:val="21"/>
          <w:szCs w:val="21"/>
          <w:highlight w:val="none"/>
          <w:lang w:eastAsia="zh-CN"/>
        </w:rPr>
        <w:t>韶关市武江区养老服务中心（一期）</w:t>
      </w:r>
      <w:r>
        <w:rPr>
          <w:rFonts w:hint="eastAsia" w:ascii="宋体" w:hAnsi="宋体" w:eastAsia="宋体" w:cs="宋体"/>
          <w:color w:val="auto"/>
          <w:sz w:val="21"/>
          <w:szCs w:val="21"/>
          <w:highlight w:val="none"/>
        </w:rPr>
        <w:t>运营规范，乙方可以正常运营时，甲方终止接管。接管期不超过半年，半年后若乙方整改效果还不满足运营条件，甲方有权解除合同，临时接管期间所产生的相关费用，由乙方承担。</w:t>
      </w:r>
    </w:p>
    <w:p w14:paraId="1F0273B3">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rPr>
        <w:t>（八）续约流程</w:t>
      </w:r>
    </w:p>
    <w:p w14:paraId="1A820BB1">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rPr>
        <w:t>乙方需在合同期满前12个月提交续约申请及运营情况报告，甲方6个月内组织第三方评估，评估合格且无违约记录的，乙方享有优先续约权；</w:t>
      </w:r>
    </w:p>
    <w:p w14:paraId="1CA3D91C">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rPr>
        <w:t>续约谈判期限为3个月，未达成一致的，乙方按本条款约定执行移交。</w:t>
      </w:r>
    </w:p>
    <w:p w14:paraId="66D0FDC3">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b/>
          <w:bCs/>
          <w:color w:val="auto"/>
          <w:sz w:val="21"/>
          <w:szCs w:val="21"/>
          <w:highlight w:val="none"/>
        </w:rPr>
      </w:pPr>
    </w:p>
    <w:p w14:paraId="6A7CD401">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八、合同期满约定</w:t>
      </w:r>
    </w:p>
    <w:p w14:paraId="6207FA92">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合同期满或乙方提前退出等情况需终止合同的，乙方应在合同终止前6个月向甲方提交终止合同情况报告及入住对象安置方案，经批准后实施。双方为此共同委托专业会计师事务所进行资产清算，妥善做好资产和账目交接。运营期限届满移交政府，移交前产生的一切债务或纠纷由乙方负责。</w:t>
      </w:r>
    </w:p>
    <w:p w14:paraId="33E529BF">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运营期限届满后，在同等条件下，乙方享有优先继续运营的权利。如乙方不再运营，或第三方以更有利条件取得运营权，双方按以下方式进行移交：</w:t>
      </w:r>
    </w:p>
    <w:p w14:paraId="229CE61E">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（一）由甲方所在地人民政府成立由财政、审计、发改、住建等主管部门及甲乙双方参与的移交委员会，负责确定移交清单，办理资产移交事宜。</w:t>
      </w:r>
    </w:p>
    <w:p w14:paraId="2C4CD6B9">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（二）在运营期满乙方不再运营管理时，乙方应确保</w:t>
      </w:r>
      <w:r>
        <w:rPr>
          <w:rFonts w:hint="eastAsia" w:ascii="宋体" w:hAnsi="宋体" w:eastAsia="宋体" w:cs="宋体"/>
          <w:color w:val="auto"/>
          <w:sz w:val="21"/>
          <w:szCs w:val="21"/>
          <w:lang w:eastAsia="zh-CN"/>
        </w:rPr>
        <w:t>韶关市武江区养老服务中心（一期）</w:t>
      </w:r>
      <w:r>
        <w:rPr>
          <w:rFonts w:hint="eastAsia" w:ascii="宋体" w:hAnsi="宋体" w:eastAsia="宋体" w:cs="宋体"/>
          <w:color w:val="auto"/>
          <w:sz w:val="21"/>
          <w:szCs w:val="21"/>
        </w:rPr>
        <w:t>设施设备正常使用。若不能满足正常使用，乙方应及时修复（但建筑物本体缺陷除外），如乙方拒不修复，则相应扣除运营保障金或修复到正常使用所需的费用。办理移交手续后，乙方不再负责任何维修费用。</w:t>
      </w:r>
    </w:p>
    <w:p w14:paraId="01BACA7D">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（三）乙方在运营管理期间对</w:t>
      </w:r>
      <w:r>
        <w:rPr>
          <w:rFonts w:hint="eastAsia" w:ascii="宋体" w:hAnsi="宋体" w:eastAsia="宋体" w:cs="宋体"/>
          <w:color w:val="auto"/>
          <w:sz w:val="21"/>
          <w:szCs w:val="21"/>
          <w:lang w:eastAsia="zh-CN"/>
        </w:rPr>
        <w:t>韶关市武江区养老服务中心（一期）</w:t>
      </w:r>
      <w:r>
        <w:rPr>
          <w:rFonts w:hint="eastAsia" w:ascii="宋体" w:hAnsi="宋体" w:eastAsia="宋体" w:cs="宋体"/>
          <w:color w:val="auto"/>
          <w:sz w:val="21"/>
          <w:szCs w:val="21"/>
        </w:rPr>
        <w:t>所形成的资产无偿向甲方移交，移交后产权归甲方所有。</w:t>
      </w:r>
    </w:p>
    <w:p w14:paraId="3B9F03FC">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（四）乙方应确保移交的</w:t>
      </w:r>
      <w:r>
        <w:rPr>
          <w:rFonts w:hint="eastAsia" w:ascii="宋体" w:hAnsi="宋体" w:eastAsia="宋体" w:cs="宋体"/>
          <w:color w:val="auto"/>
          <w:sz w:val="21"/>
          <w:szCs w:val="21"/>
          <w:lang w:eastAsia="zh-CN"/>
        </w:rPr>
        <w:t>韶关市武江区养老服务中心（一期）</w:t>
      </w:r>
      <w:r>
        <w:rPr>
          <w:rFonts w:hint="eastAsia" w:ascii="宋体" w:hAnsi="宋体" w:eastAsia="宋体" w:cs="宋体"/>
          <w:color w:val="auto"/>
          <w:sz w:val="21"/>
          <w:szCs w:val="21"/>
        </w:rPr>
        <w:t>物业不存在任何抵押、质押和索赔权，并在合同期限届满之日将</w:t>
      </w:r>
      <w:r>
        <w:rPr>
          <w:rFonts w:hint="eastAsia" w:ascii="宋体" w:hAnsi="宋体" w:eastAsia="宋体" w:cs="宋体"/>
          <w:color w:val="auto"/>
          <w:sz w:val="21"/>
          <w:szCs w:val="21"/>
          <w:lang w:eastAsia="zh-CN"/>
        </w:rPr>
        <w:t>韶关市武江区养老服务中心（一期）</w:t>
      </w:r>
      <w:r>
        <w:rPr>
          <w:rFonts w:hint="eastAsia" w:ascii="宋体" w:hAnsi="宋体" w:eastAsia="宋体" w:cs="宋体"/>
          <w:color w:val="auto"/>
          <w:sz w:val="21"/>
          <w:szCs w:val="21"/>
        </w:rPr>
        <w:t>的资产及相关的文件、资料、经营权移交给甲方或由甲方指定的经营管理者。</w:t>
      </w:r>
    </w:p>
    <w:p w14:paraId="6541703E">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（五）合同期限及相关事宜</w:t>
      </w:r>
    </w:p>
    <w:p w14:paraId="222C2090">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rPr>
        <w:t>乙方在与第三方签订管理养护合同、设备维护合同及其他合同时，应使合同的有效期不超过</w:t>
      </w:r>
      <w:r>
        <w:rPr>
          <w:rFonts w:hint="eastAsia" w:ascii="宋体" w:hAnsi="宋体" w:eastAsia="宋体" w:cs="宋体"/>
          <w:color w:val="auto"/>
          <w:sz w:val="21"/>
          <w:szCs w:val="21"/>
          <w:lang w:eastAsia="zh-CN"/>
        </w:rPr>
        <w:t>韶关市武江区养老服务中心（一期）</w:t>
      </w:r>
      <w:r>
        <w:rPr>
          <w:rFonts w:hint="eastAsia" w:ascii="宋体" w:hAnsi="宋体" w:eastAsia="宋体" w:cs="宋体"/>
          <w:color w:val="auto"/>
          <w:sz w:val="21"/>
          <w:szCs w:val="21"/>
        </w:rPr>
        <w:t>运营期限届满日</w:t>
      </w:r>
      <w:r>
        <w:rPr>
          <w:rFonts w:hint="eastAsia" w:ascii="宋体" w:hAnsi="宋体" w:eastAsia="宋体" w:cs="宋体"/>
          <w:color w:val="auto"/>
          <w:sz w:val="21"/>
          <w:szCs w:val="21"/>
          <w:highlight w:val="none"/>
        </w:rPr>
        <w:t>，否则因此产生的延期服务费用由乙方承担。</w:t>
      </w:r>
    </w:p>
    <w:p w14:paraId="7B7B3D74">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如在移交日前，乙方需签订维护合同、设备合同及其他合同的，且合同在</w:t>
      </w:r>
      <w:r>
        <w:rPr>
          <w:rFonts w:hint="eastAsia" w:ascii="宋体" w:hAnsi="宋体" w:eastAsia="宋体" w:cs="宋体"/>
          <w:color w:val="auto"/>
          <w:sz w:val="21"/>
          <w:szCs w:val="21"/>
          <w:highlight w:val="none"/>
          <w:lang w:eastAsia="zh-CN"/>
        </w:rPr>
        <w:t>韶关市武江区养老服务中心（一期）</w:t>
      </w:r>
      <w:r>
        <w:rPr>
          <w:rFonts w:hint="eastAsia" w:ascii="宋体" w:hAnsi="宋体" w:eastAsia="宋体" w:cs="宋体"/>
          <w:color w:val="auto"/>
          <w:sz w:val="21"/>
          <w:szCs w:val="21"/>
          <w:highlight w:val="none"/>
        </w:rPr>
        <w:t>运营期届满后仍有效的，则乙方应在该合同签订前报经甲方同意。未经甲方同意的，运营期满后合同无效，由乙方承担相应责任。</w:t>
      </w:r>
    </w:p>
    <w:p w14:paraId="63072B90">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（六）移走乙方相关的物品</w:t>
      </w:r>
    </w:p>
    <w:p w14:paraId="6E21F504">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除非双方另有合同，乙方应于移交日期之后15日内，自费移走乙方员工个人物品。如果乙方在上述时间内没有移走这些物品，甲方在通知乙方之后，可以移走并将物品转运至适当的地点安全保管，乙方应承担搬移、运输和保管的合理费用和风险，乙方未通知的</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rPr>
        <w:t>甲方可自行处理相应物品。</w:t>
      </w:r>
    </w:p>
    <w:p w14:paraId="5CA913BE">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（七）本合同移交后的效力</w:t>
      </w:r>
    </w:p>
    <w:p w14:paraId="38FB4262">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乙方在本合同到期，其权利和义务即应终止，本合同另有规定的除外。移交日之前发生的债权债务或纠纷由乙方承担，与甲方无关。</w:t>
      </w:r>
    </w:p>
    <w:p w14:paraId="39E2A308">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b/>
          <w:bCs/>
          <w:color w:val="auto"/>
          <w:sz w:val="21"/>
          <w:szCs w:val="21"/>
          <w:highlight w:val="none"/>
        </w:rPr>
      </w:pPr>
    </w:p>
    <w:p w14:paraId="162402B7">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九、合同的变更、终止</w:t>
      </w:r>
    </w:p>
    <w:p w14:paraId="290AB557">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（一）本合同生效后即具有法律约束力，甲乙双方均不得随意变更。合同需要变更时需经甲乙双方协商，达成一致意见，明确合同变更、补充或终止的情形。</w:t>
      </w:r>
    </w:p>
    <w:p w14:paraId="53F75D4F">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二）任何一方要求变更或终止本合同的，须提前30日向另一方提出书面意见。双方协商未达成一致前，双方应履行原有合同规定。协商达成一致后，甲方在达成协议后30日内委托具有资质的会计师事务所或其他专业评估机构进行国有资产比对评估，同时，双方进行</w:t>
      </w:r>
      <w:r>
        <w:rPr>
          <w:rFonts w:hint="eastAsia" w:ascii="宋体" w:hAnsi="宋体" w:eastAsia="宋体" w:cs="宋体"/>
          <w:color w:val="auto"/>
          <w:sz w:val="21"/>
          <w:szCs w:val="21"/>
          <w:highlight w:val="none"/>
          <w:lang w:eastAsia="zh-CN"/>
        </w:rPr>
        <w:t>韶关市武江区养老服务中心（一期）</w:t>
      </w:r>
      <w:r>
        <w:rPr>
          <w:rFonts w:hint="eastAsia" w:ascii="宋体" w:hAnsi="宋体" w:eastAsia="宋体" w:cs="宋体"/>
          <w:color w:val="auto"/>
          <w:sz w:val="21"/>
          <w:szCs w:val="21"/>
          <w:highlight w:val="none"/>
        </w:rPr>
        <w:t>移交的相关事宜，乙方在合同终止之日起10日内将</w:t>
      </w:r>
      <w:r>
        <w:rPr>
          <w:rFonts w:hint="eastAsia" w:ascii="宋体" w:hAnsi="宋体" w:eastAsia="宋体" w:cs="宋体"/>
          <w:color w:val="auto"/>
          <w:sz w:val="21"/>
          <w:szCs w:val="21"/>
          <w:highlight w:val="none"/>
          <w:lang w:eastAsia="zh-CN"/>
        </w:rPr>
        <w:t>韶关市武江区养老服务中心（一期）</w:t>
      </w:r>
      <w:r>
        <w:rPr>
          <w:rFonts w:hint="eastAsia" w:ascii="宋体" w:hAnsi="宋体" w:eastAsia="宋体" w:cs="宋体"/>
          <w:color w:val="auto"/>
          <w:sz w:val="21"/>
          <w:szCs w:val="21"/>
          <w:highlight w:val="none"/>
        </w:rPr>
        <w:t>的资产及相关文件、资料、经营权等移交给甲方。</w:t>
      </w:r>
    </w:p>
    <w:p w14:paraId="460B192B">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color w:val="auto"/>
          <w:sz w:val="21"/>
          <w:szCs w:val="21"/>
          <w:highlight w:val="none"/>
        </w:rPr>
      </w:pPr>
      <w:r>
        <w:rPr>
          <w:rFonts w:hint="eastAsia" w:ascii="宋体" w:hAnsi="宋体" w:eastAsia="宋体" w:cs="宋体"/>
          <w:b/>
          <w:bCs/>
          <w:color w:val="auto"/>
          <w:sz w:val="21"/>
          <w:szCs w:val="21"/>
          <w:highlight w:val="none"/>
        </w:rPr>
        <w:t>十、</w:t>
      </w:r>
      <w:r>
        <w:rPr>
          <w:rFonts w:hint="eastAsia" w:ascii="宋体" w:hAnsi="宋体" w:eastAsia="宋体" w:cs="宋体"/>
          <w:b/>
          <w:bCs/>
          <w:color w:val="auto"/>
          <w:sz w:val="21"/>
          <w:szCs w:val="21"/>
          <w:highlight w:val="none"/>
          <w:lang w:val="en-US" w:eastAsia="zh-CN"/>
        </w:rPr>
        <w:t>考核机制</w:t>
      </w:r>
    </w:p>
    <w:p w14:paraId="674C3228">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甲方负责对乙方的运营服务质量实施定期考核与不定期抽查，考核方式采用现场查验、资料审核、满意度测评相结合。</w:t>
      </w:r>
    </w:p>
    <w:p w14:paraId="531C6EEA">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1.考核频次：</w:t>
      </w:r>
      <w:r>
        <w:rPr>
          <w:rFonts w:hint="eastAsia" w:ascii="宋体" w:hAnsi="宋体" w:eastAsia="宋体" w:cs="宋体"/>
          <w:color w:val="auto"/>
          <w:kern w:val="2"/>
          <w:sz w:val="21"/>
          <w:szCs w:val="21"/>
          <w:highlight w:val="none"/>
          <w:lang w:val="en-US" w:eastAsia="zh-CN" w:bidi="ar-SA"/>
        </w:rPr>
        <w:t>日常考核（</w:t>
      </w:r>
      <w:r>
        <w:rPr>
          <w:rFonts w:hint="default" w:asciiTheme="minorEastAsia" w:hAnsiTheme="minorEastAsia" w:eastAsiaTheme="minorEastAsia" w:cstheme="minorEastAsia"/>
          <w:color w:val="auto"/>
          <w:sz w:val="21"/>
          <w:szCs w:val="21"/>
          <w:highlight w:val="none"/>
          <w:lang w:val="en-US" w:eastAsia="zh-CN"/>
        </w:rPr>
        <w:t>由运营方内部监督小组负责</w:t>
      </w:r>
      <w:r>
        <w:rPr>
          <w:rFonts w:hint="eastAsia" w:ascii="宋体" w:hAnsi="宋体" w:eastAsia="宋体" w:cs="宋体"/>
          <w:color w:val="auto"/>
          <w:kern w:val="2"/>
          <w:sz w:val="21"/>
          <w:szCs w:val="21"/>
          <w:highlight w:val="none"/>
          <w:lang w:val="en-US" w:eastAsia="zh-CN" w:bidi="ar-SA"/>
        </w:rPr>
        <w:t>，根据落实情况进行评分</w:t>
      </w:r>
      <w:r>
        <w:rPr>
          <w:rFonts w:hint="eastAsia" w:ascii="宋体" w:hAnsi="宋体" w:eastAsia="宋体" w:cs="宋体"/>
          <w:color w:val="auto"/>
          <w:sz w:val="21"/>
          <w:szCs w:val="21"/>
          <w:highlight w:val="none"/>
          <w:lang w:val="en-US" w:eastAsia="zh-CN"/>
        </w:rPr>
        <w:t>占季度考核权重30%）、每季度一次综合评估（占年度考核权重40%）、每年一次年度考核（占总权重30%）、半年度专项抽查（重点核查安全管理与服务质量）。</w:t>
      </w:r>
    </w:p>
    <w:p w14:paraId="4A509829">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2.</w:t>
      </w:r>
      <w:r>
        <w:rPr>
          <w:rFonts w:hint="eastAsia" w:ascii="宋体" w:hAnsi="宋体" w:eastAsia="宋体" w:cs="宋体"/>
          <w:color w:val="auto"/>
          <w:sz w:val="21"/>
          <w:szCs w:val="21"/>
          <w:highlight w:val="none"/>
          <w:lang w:eastAsia="zh-CN"/>
        </w:rPr>
        <w:t>奖惩措施：</w:t>
      </w:r>
    </w:p>
    <w:p w14:paraId="10CA757D">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季度不合格需15日内整改，整改后仍不合格予以通报；连续两次年度不合格或累计三次季度不合格，招标人启动退出机制。不定期抽查发现严重违规（如擅自停业、降低特困人员待遇）的，直接判定不合格并责令立即整改。</w:t>
      </w:r>
    </w:p>
    <w:p w14:paraId="63A65831">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年度优秀（90 分及以上）：优先推荐申报省级养老服务示范项目；</w:t>
      </w:r>
    </w:p>
    <w:p w14:paraId="7880277D">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季度不合格（69分及以下）：15日内提交整改报告，逾期未整改或整改不合格的，扣运营保障金总额的3%；累计2次季度不合格，通报批评并扣除运营保障金总额的5%。</w:t>
      </w:r>
    </w:p>
    <w:p w14:paraId="26D3EB9F">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年度不合格（69分及以下）：扣除运营保障金总额的10%金，限期3个月整改；连续2次年度不合格或累计3次季度不合格，启动退出机制。</w:t>
      </w:r>
    </w:p>
    <w:p w14:paraId="39018EB7">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重大违规奖惩：发生欺老虐老事件1次扣20分，年内累计2次直接判定年度不合格；</w:t>
      </w:r>
    </w:p>
    <w:p w14:paraId="7AAC5210">
      <w:pPr>
        <w:pStyle w:val="9"/>
        <w:ind w:firstLine="420" w:firstLineChars="200"/>
        <w:rPr>
          <w:rFonts w:hint="eastAsia"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3</w:t>
      </w:r>
      <w:r>
        <w:rPr>
          <w:rFonts w:hint="eastAsia" w:eastAsia="宋体" w:cs="宋体"/>
          <w:color w:val="auto"/>
          <w:sz w:val="21"/>
          <w:szCs w:val="21"/>
          <w:highlight w:val="none"/>
          <w:lang w:val="en-US" w:eastAsia="zh-CN"/>
        </w:rPr>
        <w:t>.星级评定奖励</w:t>
      </w:r>
    </w:p>
    <w:p w14:paraId="4B6C8173">
      <w:pPr>
        <w:pStyle w:val="9"/>
        <w:ind w:firstLine="420" w:firstLineChars="200"/>
        <w:rPr>
          <w:rFonts w:hint="eastAsia" w:eastAsia="宋体" w:cs="宋体"/>
          <w:color w:val="auto"/>
          <w:sz w:val="21"/>
          <w:szCs w:val="21"/>
          <w:highlight w:val="none"/>
          <w:lang w:val="en-US" w:eastAsia="zh-CN"/>
        </w:rPr>
      </w:pPr>
      <w:r>
        <w:rPr>
          <w:rFonts w:hint="eastAsia" w:eastAsia="宋体" w:cs="宋体"/>
          <w:color w:val="auto"/>
          <w:sz w:val="21"/>
          <w:szCs w:val="21"/>
          <w:highlight w:val="none"/>
          <w:lang w:val="en-US" w:eastAsia="zh-CN"/>
        </w:rPr>
        <w:t>运营期前五年获评广东省四星级养老机构：自评定下一年起，政府返还当年合作收益分成 20%，返还累计不超过 3 年；</w:t>
      </w:r>
    </w:p>
    <w:p w14:paraId="7D77D5CB">
      <w:pPr>
        <w:pStyle w:val="9"/>
        <w:ind w:firstLine="420" w:firstLineChars="200"/>
        <w:rPr>
          <w:rFonts w:hint="eastAsia" w:eastAsia="宋体" w:cs="宋体"/>
          <w:color w:val="auto"/>
          <w:sz w:val="21"/>
          <w:szCs w:val="21"/>
          <w:highlight w:val="none"/>
          <w:lang w:val="en-US" w:eastAsia="zh-CN"/>
        </w:rPr>
      </w:pPr>
      <w:r>
        <w:rPr>
          <w:rFonts w:hint="eastAsia" w:eastAsia="宋体" w:cs="宋体"/>
          <w:color w:val="auto"/>
          <w:sz w:val="21"/>
          <w:szCs w:val="21"/>
          <w:highlight w:val="none"/>
          <w:lang w:val="en-US" w:eastAsia="zh-CN"/>
        </w:rPr>
        <w:t>运营期前五年获评广东省五星级养老机构：自评定下一年起，政府返还当年合作收益分成 30%，返还累计不超过 3 年；</w:t>
      </w:r>
    </w:p>
    <w:p w14:paraId="1A75B659">
      <w:pPr>
        <w:pStyle w:val="9"/>
        <w:ind w:firstLine="420" w:firstLineChars="200"/>
        <w:rPr>
          <w:rFonts w:hint="eastAsia" w:eastAsia="宋体" w:cs="宋体"/>
          <w:color w:val="auto"/>
          <w:sz w:val="21"/>
          <w:szCs w:val="21"/>
          <w:highlight w:val="none"/>
          <w:lang w:val="en-US" w:eastAsia="zh-CN"/>
        </w:rPr>
      </w:pPr>
      <w:r>
        <w:rPr>
          <w:rFonts w:hint="eastAsia" w:eastAsia="宋体" w:cs="宋体"/>
          <w:color w:val="auto"/>
          <w:sz w:val="21"/>
          <w:szCs w:val="21"/>
          <w:highlight w:val="none"/>
          <w:lang w:val="en-US" w:eastAsia="zh-CN"/>
        </w:rPr>
        <w:t>运营期前五年未达四星级标准：无合作收益分成返还。</w:t>
      </w:r>
    </w:p>
    <w:p w14:paraId="7B7F91FB">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lang w:eastAsia="zh-CN"/>
        </w:rPr>
        <w:t>考核组织与监督</w:t>
      </w:r>
    </w:p>
    <w:p w14:paraId="2C02E5BB">
      <w:pPr>
        <w:keepNext w:val="0"/>
        <w:keepLines w:val="0"/>
        <w:pageBreakBefore w:val="0"/>
        <w:kinsoku/>
        <w:wordWrap w:val="0"/>
        <w:overflowPunct/>
        <w:topLinePunct w:val="0"/>
        <w:autoSpaceDE/>
        <w:autoSpaceDN/>
        <w:bidi w:val="0"/>
        <w:adjustRightInd w:val="0"/>
        <w:snapToGrid w:val="0"/>
        <w:spacing w:line="360" w:lineRule="auto"/>
        <w:ind w:firstLine="422" w:firstLineChars="200"/>
        <w:textAlignment w:val="auto"/>
        <w:rPr>
          <w:rFonts w:hint="default" w:asciiTheme="minorEastAsia" w:hAnsiTheme="minorEastAsia" w:eastAsiaTheme="minorEastAsia" w:cstheme="minorEastAsia"/>
          <w:color w:val="auto"/>
          <w:sz w:val="21"/>
          <w:szCs w:val="21"/>
          <w:highlight w:val="none"/>
          <w:lang w:val="en-US" w:eastAsia="zh-CN"/>
        </w:rPr>
      </w:pPr>
      <w:r>
        <w:rPr>
          <w:rFonts w:hint="default" w:asciiTheme="minorEastAsia" w:hAnsiTheme="minorEastAsia" w:eastAsiaTheme="minorEastAsia" w:cstheme="minorEastAsia"/>
          <w:b/>
          <w:bCs/>
          <w:color w:val="auto"/>
          <w:sz w:val="21"/>
          <w:szCs w:val="21"/>
          <w:highlight w:val="none"/>
          <w:lang w:val="en-US" w:eastAsia="zh-CN"/>
        </w:rPr>
        <w:t>政府监督：</w:t>
      </w:r>
      <w:r>
        <w:rPr>
          <w:rFonts w:hint="default" w:asciiTheme="minorEastAsia" w:hAnsiTheme="minorEastAsia" w:eastAsiaTheme="minorEastAsia" w:cstheme="minorEastAsia"/>
          <w:color w:val="auto"/>
          <w:sz w:val="21"/>
          <w:szCs w:val="21"/>
          <w:highlight w:val="none"/>
          <w:lang w:val="en-US" w:eastAsia="zh-CN"/>
        </w:rPr>
        <w:t>由武江区民政局牵头，联合财政局、卫健委、发改委、应急管理局、市场监管局等相关部门，组成政府监督小组，负责对项目运营情况进行常态化监督、专项检查及年度考核；</w:t>
      </w:r>
    </w:p>
    <w:p w14:paraId="26FDB7A7">
      <w:pPr>
        <w:keepNext w:val="0"/>
        <w:keepLines w:val="0"/>
        <w:pageBreakBefore w:val="0"/>
        <w:kinsoku/>
        <w:wordWrap w:val="0"/>
        <w:overflowPunct/>
        <w:topLinePunct w:val="0"/>
        <w:autoSpaceDE/>
        <w:autoSpaceDN/>
        <w:bidi w:val="0"/>
        <w:adjustRightInd w:val="0"/>
        <w:snapToGrid w:val="0"/>
        <w:spacing w:line="360" w:lineRule="auto"/>
        <w:ind w:firstLine="422" w:firstLineChars="200"/>
        <w:textAlignment w:val="auto"/>
        <w:rPr>
          <w:rFonts w:hint="eastAsia" w:ascii="宋体" w:hAnsi="宋体" w:eastAsia="宋体" w:cs="宋体"/>
          <w:color w:val="auto"/>
          <w:sz w:val="21"/>
          <w:szCs w:val="21"/>
          <w:highlight w:val="none"/>
          <w:lang w:eastAsia="zh-CN"/>
        </w:rPr>
      </w:pPr>
      <w:r>
        <w:rPr>
          <w:rFonts w:hint="default" w:asciiTheme="minorEastAsia" w:hAnsiTheme="minorEastAsia" w:eastAsiaTheme="minorEastAsia" w:cstheme="minorEastAsia"/>
          <w:b/>
          <w:bCs/>
          <w:color w:val="auto"/>
          <w:sz w:val="21"/>
          <w:szCs w:val="21"/>
          <w:lang w:val="en-US" w:eastAsia="zh-CN"/>
        </w:rPr>
        <w:t>运营方自律监督：</w:t>
      </w:r>
      <w:r>
        <w:rPr>
          <w:rFonts w:hint="default" w:asciiTheme="minorEastAsia" w:hAnsiTheme="minorEastAsia" w:eastAsiaTheme="minorEastAsia" w:cstheme="minorEastAsia"/>
          <w:color w:val="auto"/>
          <w:sz w:val="21"/>
          <w:szCs w:val="21"/>
          <w:lang w:val="en-US" w:eastAsia="zh-CN"/>
        </w:rPr>
        <w:t>运营方建立内部监督机制，成立内部监督小组（由院长牵头，各部门负责人、员工代表、老人代表组成），负责对内部运营管理、服务质量、安全管理、财务收支等情况进行日常监督、自查自纠；</w:t>
      </w:r>
    </w:p>
    <w:p w14:paraId="51F4BE0A">
      <w:pPr>
        <w:keepNext w:val="0"/>
        <w:keepLines w:val="0"/>
        <w:pageBreakBefore w:val="0"/>
        <w:kinsoku/>
        <w:wordWrap w:val="0"/>
        <w:overflowPunct/>
        <w:topLinePunct w:val="0"/>
        <w:autoSpaceDE/>
        <w:autoSpaceDN/>
        <w:bidi w:val="0"/>
        <w:adjustRightInd w:val="0"/>
        <w:snapToGrid w:val="0"/>
        <w:spacing w:line="360" w:lineRule="auto"/>
        <w:ind w:firstLine="422" w:firstLineChars="200"/>
        <w:textAlignment w:val="auto"/>
        <w:rPr>
          <w:rFonts w:hint="eastAsia" w:ascii="宋体" w:hAnsi="宋体" w:eastAsia="宋体" w:cs="宋体"/>
          <w:color w:val="auto"/>
          <w:sz w:val="21"/>
          <w:szCs w:val="21"/>
          <w:highlight w:val="none"/>
          <w:lang w:eastAsia="zh-CN"/>
        </w:rPr>
      </w:pPr>
      <w:r>
        <w:rPr>
          <w:rFonts w:hint="eastAsia" w:ascii="宋体" w:hAnsi="宋体" w:eastAsia="宋体" w:cs="宋体"/>
          <w:b/>
          <w:bCs/>
          <w:color w:val="auto"/>
          <w:sz w:val="21"/>
          <w:szCs w:val="21"/>
          <w:highlight w:val="none"/>
          <w:lang w:eastAsia="zh-CN"/>
        </w:rPr>
        <w:t>结果公示与申诉：</w:t>
      </w:r>
      <w:r>
        <w:rPr>
          <w:rFonts w:hint="eastAsia" w:ascii="宋体" w:hAnsi="宋体" w:eastAsia="宋体" w:cs="宋体"/>
          <w:color w:val="auto"/>
          <w:sz w:val="21"/>
          <w:szCs w:val="21"/>
          <w:highlight w:val="none"/>
          <w:lang w:eastAsia="zh-CN"/>
        </w:rPr>
        <w:t>考核结果在5个工作日内书面告知乙方，乙方有异议的可在7个工作日内提交申诉材料，考核小组15日内复核并反馈结果。</w:t>
      </w:r>
    </w:p>
    <w:p w14:paraId="02DA54AB">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5.</w:t>
      </w:r>
      <w:r>
        <w:rPr>
          <w:rFonts w:hint="eastAsia" w:ascii="宋体" w:hAnsi="宋体" w:eastAsia="宋体" w:cs="宋体"/>
          <w:color w:val="auto"/>
          <w:sz w:val="21"/>
          <w:szCs w:val="21"/>
          <w:highlight w:val="none"/>
          <w:lang w:eastAsia="zh-CN"/>
        </w:rPr>
        <w:t>考核内容涵盖以下核心维度：</w:t>
      </w:r>
    </w:p>
    <w:p w14:paraId="17746812">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1</w:t>
      </w:r>
      <w:r>
        <w:rPr>
          <w:rFonts w:hint="eastAsia" w:ascii="宋体" w:hAnsi="宋体" w:eastAsia="宋体" w:cs="宋体"/>
          <w:color w:val="auto"/>
          <w:sz w:val="21"/>
          <w:szCs w:val="21"/>
          <w:highlight w:val="none"/>
          <w:lang w:eastAsia="zh-CN"/>
        </w:rPr>
        <w:t>）服务质量：入住老人及家属对饮食、生活起居、照料护理、医养健康服务的满意度（通过问卷调查、访谈等方式，满意度需达85%以上）；特困供养人员零用钱按月足额发放情况（核查发放记录及老人签收凭证）；是否存在克扣钱物、降低服务档次等违规行为。</w:t>
      </w:r>
    </w:p>
    <w:p w14:paraId="08D0C5F0">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2</w:t>
      </w:r>
      <w:r>
        <w:rPr>
          <w:rFonts w:hint="eastAsia" w:ascii="宋体" w:hAnsi="宋体" w:eastAsia="宋体" w:cs="宋体"/>
          <w:color w:val="auto"/>
          <w:sz w:val="21"/>
          <w:szCs w:val="21"/>
          <w:highlight w:val="none"/>
          <w:lang w:eastAsia="zh-CN"/>
        </w:rPr>
        <w:t>）运营合规：固定资产（消防、燃气、电梯等）第三方年检及维护记录完整性；是否从事养老服务无关活动或违规出租、出借资产；养老机构等级标准（如四星级）达标情况。</w:t>
      </w:r>
    </w:p>
    <w:p w14:paraId="59DE75A1">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3</w:t>
      </w:r>
      <w:r>
        <w:rPr>
          <w:rFonts w:hint="eastAsia" w:ascii="宋体" w:hAnsi="宋体" w:eastAsia="宋体" w:cs="宋体"/>
          <w:color w:val="auto"/>
          <w:sz w:val="21"/>
          <w:szCs w:val="21"/>
          <w:highlight w:val="none"/>
          <w:lang w:eastAsia="zh-CN"/>
        </w:rPr>
        <w:t>）安全管理：是否存在安全隐患及整改闭环情况；是否发生欺老虐老事件、安全生产责任事故；应急预案的制定与演练效果。</w:t>
      </w:r>
    </w:p>
    <w:p w14:paraId="4657E66F">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社会责任</w:t>
      </w:r>
      <w:r>
        <w:rPr>
          <w:rFonts w:hint="eastAsia" w:ascii="宋体" w:hAnsi="宋体" w:eastAsia="宋体" w:cs="宋体"/>
          <w:color w:val="auto"/>
          <w:sz w:val="21"/>
          <w:szCs w:val="21"/>
          <w:highlight w:val="none"/>
          <w:lang w:eastAsia="zh-CN"/>
        </w:rPr>
        <w:t>：</w:t>
      </w:r>
      <w:r>
        <w:rPr>
          <w:rFonts w:hint="eastAsia" w:ascii="宋体" w:hAnsi="宋体" w:eastAsia="宋体" w:cs="宋体"/>
          <w:color w:val="auto"/>
          <w:sz w:val="21"/>
          <w:szCs w:val="21"/>
          <w:highlight w:val="none"/>
          <w:lang w:val="en-US" w:eastAsia="zh-CN"/>
        </w:rPr>
        <w:t>公益性服务开展情况</w:t>
      </w:r>
      <w:r>
        <w:rPr>
          <w:rFonts w:hint="eastAsia" w:ascii="宋体" w:hAnsi="宋体" w:eastAsia="宋体" w:cs="宋体"/>
          <w:color w:val="auto"/>
          <w:sz w:val="21"/>
          <w:szCs w:val="21"/>
          <w:highlight w:val="none"/>
          <w:lang w:eastAsia="zh-CN"/>
        </w:rPr>
        <w:t>。</w:t>
      </w:r>
    </w:p>
    <w:p w14:paraId="783C34F4">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val="en-US" w:eastAsia="zh-CN"/>
        </w:rPr>
        <w:t>6.考核指标与评分标准：</w:t>
      </w:r>
    </w:p>
    <w:tbl>
      <w:tblPr>
        <w:tblStyle w:val="18"/>
        <w:tblW w:w="906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811"/>
        <w:gridCol w:w="2307"/>
        <w:gridCol w:w="3933"/>
        <w:gridCol w:w="1010"/>
      </w:tblGrid>
      <w:tr w14:paraId="643C4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1" w:type="dxa"/>
            <w:vAlign w:val="center"/>
          </w:tcPr>
          <w:p w14:paraId="56364066">
            <w:pPr>
              <w:ind w:left="0" w:leftChars="0" w:firstLine="0" w:firstLineChars="0"/>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考核维度</w:t>
            </w:r>
          </w:p>
        </w:tc>
        <w:tc>
          <w:tcPr>
            <w:tcW w:w="2307" w:type="dxa"/>
            <w:vAlign w:val="center"/>
          </w:tcPr>
          <w:p w14:paraId="2A337A2A">
            <w:pPr>
              <w:ind w:left="0" w:leftChars="0" w:firstLine="0" w:firstLineChars="0"/>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细分指标</w:t>
            </w:r>
          </w:p>
        </w:tc>
        <w:tc>
          <w:tcPr>
            <w:tcW w:w="3933" w:type="dxa"/>
            <w:vAlign w:val="center"/>
          </w:tcPr>
          <w:p w14:paraId="6B2BB2DC">
            <w:pPr>
              <w:ind w:left="0" w:leftChars="0" w:firstLine="0" w:firstLineChars="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评分标准（量化）</w:t>
            </w:r>
          </w:p>
        </w:tc>
        <w:tc>
          <w:tcPr>
            <w:tcW w:w="1010" w:type="dxa"/>
            <w:vAlign w:val="center"/>
          </w:tcPr>
          <w:p w14:paraId="61EF3E5F">
            <w:pPr>
              <w:ind w:left="0" w:leftChars="0" w:firstLine="0" w:firstLineChars="0"/>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权重</w:t>
            </w:r>
          </w:p>
        </w:tc>
      </w:tr>
      <w:tr w14:paraId="4A5173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1" w:type="dxa"/>
            <w:vMerge w:val="restart"/>
            <w:vAlign w:val="center"/>
          </w:tcPr>
          <w:p w14:paraId="64A14760">
            <w:pPr>
              <w:ind w:left="0" w:leftChars="0" w:firstLine="0" w:firstLineChars="0"/>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服务质量（40分）</w:t>
            </w:r>
          </w:p>
        </w:tc>
        <w:tc>
          <w:tcPr>
            <w:tcW w:w="2307" w:type="dxa"/>
            <w:vAlign w:val="center"/>
          </w:tcPr>
          <w:p w14:paraId="0E0C5903">
            <w:pPr>
              <w:ind w:left="0" w:leftChars="0" w:firstLine="0" w:firstLineChars="0"/>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老人满意度</w:t>
            </w:r>
          </w:p>
        </w:tc>
        <w:tc>
          <w:tcPr>
            <w:tcW w:w="3933" w:type="dxa"/>
            <w:vAlign w:val="center"/>
          </w:tcPr>
          <w:p w14:paraId="2FEE5464">
            <w:pPr>
              <w:ind w:left="0" w:leftChars="0" w:firstLine="0" w:firstLineChars="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满意度≥90分得10分，85%-89分得8分，80%-84分得5分，＜80分不得分（抽样比例≥30%）</w:t>
            </w:r>
          </w:p>
        </w:tc>
        <w:tc>
          <w:tcPr>
            <w:tcW w:w="1010" w:type="dxa"/>
            <w:vAlign w:val="center"/>
          </w:tcPr>
          <w:p w14:paraId="7D117BE6">
            <w:pPr>
              <w:ind w:left="0" w:leftChars="0" w:firstLine="0" w:firstLineChars="0"/>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10分</w:t>
            </w:r>
          </w:p>
        </w:tc>
      </w:tr>
      <w:tr w14:paraId="765AC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1" w:type="dxa"/>
            <w:vMerge w:val="continue"/>
            <w:vAlign w:val="center"/>
          </w:tcPr>
          <w:p w14:paraId="592C781E">
            <w:pPr>
              <w:jc w:val="center"/>
              <w:rPr>
                <w:rFonts w:hint="eastAsia" w:ascii="宋体" w:hAnsi="宋体" w:eastAsia="宋体" w:cs="宋体"/>
                <w:color w:val="auto"/>
                <w:sz w:val="21"/>
                <w:szCs w:val="21"/>
                <w:lang w:eastAsia="zh-CN"/>
              </w:rPr>
            </w:pPr>
          </w:p>
        </w:tc>
        <w:tc>
          <w:tcPr>
            <w:tcW w:w="2307" w:type="dxa"/>
            <w:vAlign w:val="center"/>
          </w:tcPr>
          <w:p w14:paraId="3862E600">
            <w:pPr>
              <w:ind w:left="0" w:leftChars="0" w:firstLine="0" w:firstLineChars="0"/>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特困人员零用钱发放</w:t>
            </w:r>
          </w:p>
        </w:tc>
        <w:tc>
          <w:tcPr>
            <w:tcW w:w="3933" w:type="dxa"/>
            <w:vAlign w:val="center"/>
          </w:tcPr>
          <w:p w14:paraId="64F14F55">
            <w:pPr>
              <w:ind w:left="0" w:leftChars="0" w:firstLine="0" w:firstLineChars="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按月足额发放得8分，漏发1次扣4分，扣完为止（核查发放记录与老人签收凭证）</w:t>
            </w:r>
          </w:p>
        </w:tc>
        <w:tc>
          <w:tcPr>
            <w:tcW w:w="1010" w:type="dxa"/>
            <w:vAlign w:val="center"/>
          </w:tcPr>
          <w:p w14:paraId="61E1EF90">
            <w:pPr>
              <w:ind w:left="0" w:leftChars="0" w:firstLine="0" w:firstLineChars="0"/>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8分</w:t>
            </w:r>
          </w:p>
        </w:tc>
      </w:tr>
      <w:tr w14:paraId="4EA627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1" w:type="dxa"/>
            <w:vMerge w:val="continue"/>
            <w:vAlign w:val="center"/>
          </w:tcPr>
          <w:p w14:paraId="336FF6CA">
            <w:pPr>
              <w:jc w:val="center"/>
              <w:rPr>
                <w:rFonts w:hint="eastAsia" w:ascii="宋体" w:hAnsi="宋体" w:eastAsia="宋体" w:cs="宋体"/>
                <w:color w:val="auto"/>
                <w:sz w:val="21"/>
                <w:szCs w:val="21"/>
                <w:lang w:eastAsia="zh-CN"/>
              </w:rPr>
            </w:pPr>
          </w:p>
        </w:tc>
        <w:tc>
          <w:tcPr>
            <w:tcW w:w="2307" w:type="dxa"/>
            <w:vAlign w:val="center"/>
          </w:tcPr>
          <w:p w14:paraId="35ED2206">
            <w:pPr>
              <w:ind w:left="0" w:leftChars="0" w:firstLine="0" w:firstLineChars="0"/>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护理服务合规性</w:t>
            </w:r>
          </w:p>
        </w:tc>
        <w:tc>
          <w:tcPr>
            <w:tcW w:w="3933" w:type="dxa"/>
            <w:vAlign w:val="center"/>
          </w:tcPr>
          <w:p w14:paraId="57AF1CF7">
            <w:pPr>
              <w:ind w:left="0" w:leftChars="0" w:firstLine="0" w:firstLineChars="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无违规操作得12分，发现1次操作不合规扣3分（随机抽查护理记录、现场实操考核）</w:t>
            </w:r>
          </w:p>
        </w:tc>
        <w:tc>
          <w:tcPr>
            <w:tcW w:w="1010" w:type="dxa"/>
            <w:vAlign w:val="center"/>
          </w:tcPr>
          <w:p w14:paraId="5CC95FB6">
            <w:pPr>
              <w:ind w:left="0" w:leftChars="0" w:firstLine="0" w:firstLineChars="0"/>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12分</w:t>
            </w:r>
          </w:p>
        </w:tc>
      </w:tr>
      <w:tr w14:paraId="35565D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1" w:type="dxa"/>
            <w:vMerge w:val="continue"/>
            <w:vAlign w:val="center"/>
          </w:tcPr>
          <w:p w14:paraId="5A84EEC9">
            <w:pPr>
              <w:jc w:val="center"/>
              <w:rPr>
                <w:rFonts w:hint="eastAsia" w:ascii="宋体" w:hAnsi="宋体" w:eastAsia="宋体" w:cs="宋体"/>
                <w:color w:val="auto"/>
                <w:sz w:val="21"/>
                <w:szCs w:val="21"/>
                <w:lang w:eastAsia="zh-CN"/>
              </w:rPr>
            </w:pPr>
          </w:p>
        </w:tc>
        <w:tc>
          <w:tcPr>
            <w:tcW w:w="2307" w:type="dxa"/>
            <w:vAlign w:val="center"/>
          </w:tcPr>
          <w:p w14:paraId="3C7A8FE1">
            <w:pPr>
              <w:ind w:left="0" w:leftChars="0" w:firstLine="0" w:firstLineChars="0"/>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饮食与生活服务</w:t>
            </w:r>
          </w:p>
        </w:tc>
        <w:tc>
          <w:tcPr>
            <w:tcW w:w="3933" w:type="dxa"/>
            <w:vAlign w:val="center"/>
          </w:tcPr>
          <w:p w14:paraId="408BF668">
            <w:pPr>
              <w:ind w:left="0" w:leftChars="0" w:firstLine="0" w:firstLineChars="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食谱公示及时、营养达标得10分，未公示扣5分，营养不达标扣3分</w:t>
            </w:r>
          </w:p>
        </w:tc>
        <w:tc>
          <w:tcPr>
            <w:tcW w:w="1010" w:type="dxa"/>
            <w:vAlign w:val="center"/>
          </w:tcPr>
          <w:p w14:paraId="2ACB0393">
            <w:pPr>
              <w:ind w:left="0" w:leftChars="0" w:firstLine="0" w:firstLineChars="0"/>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10分</w:t>
            </w:r>
          </w:p>
        </w:tc>
      </w:tr>
      <w:tr w14:paraId="46670A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1" w:type="dxa"/>
            <w:vMerge w:val="restart"/>
            <w:vAlign w:val="center"/>
          </w:tcPr>
          <w:p w14:paraId="4D4138CE">
            <w:pPr>
              <w:ind w:left="0" w:leftChars="0" w:firstLine="0" w:firstLineChars="0"/>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运营合规（30分）</w:t>
            </w:r>
          </w:p>
        </w:tc>
        <w:tc>
          <w:tcPr>
            <w:tcW w:w="2307" w:type="dxa"/>
            <w:vAlign w:val="center"/>
          </w:tcPr>
          <w:p w14:paraId="5B390E3F">
            <w:pPr>
              <w:ind w:left="0" w:leftChars="0" w:firstLine="0" w:firstLineChars="0"/>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资产合规管理</w:t>
            </w:r>
          </w:p>
        </w:tc>
        <w:tc>
          <w:tcPr>
            <w:tcW w:w="3933" w:type="dxa"/>
            <w:vAlign w:val="center"/>
          </w:tcPr>
          <w:p w14:paraId="64022D19">
            <w:pPr>
              <w:ind w:left="0" w:leftChars="0" w:firstLine="0" w:firstLineChars="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无违规处置资产得8分，违规1次扣8分（核查资产台账与现场核验）</w:t>
            </w:r>
          </w:p>
        </w:tc>
        <w:tc>
          <w:tcPr>
            <w:tcW w:w="1010" w:type="dxa"/>
            <w:vAlign w:val="center"/>
          </w:tcPr>
          <w:p w14:paraId="78B98D91">
            <w:pPr>
              <w:ind w:left="0" w:leftChars="0" w:firstLine="0" w:firstLineChars="0"/>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10分</w:t>
            </w:r>
          </w:p>
        </w:tc>
      </w:tr>
      <w:tr w14:paraId="1BB252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1" w:type="dxa"/>
            <w:vMerge w:val="continue"/>
            <w:vAlign w:val="center"/>
          </w:tcPr>
          <w:p w14:paraId="7336E88C">
            <w:pPr>
              <w:jc w:val="center"/>
              <w:rPr>
                <w:rFonts w:hint="eastAsia" w:ascii="宋体" w:hAnsi="宋体" w:eastAsia="宋体" w:cs="宋体"/>
                <w:color w:val="auto"/>
                <w:sz w:val="21"/>
                <w:szCs w:val="21"/>
                <w:lang w:eastAsia="zh-CN"/>
              </w:rPr>
            </w:pPr>
          </w:p>
        </w:tc>
        <w:tc>
          <w:tcPr>
            <w:tcW w:w="2307" w:type="dxa"/>
            <w:vAlign w:val="center"/>
          </w:tcPr>
          <w:p w14:paraId="4DC25F00">
            <w:pPr>
              <w:ind w:left="0" w:leftChars="0" w:firstLine="0" w:firstLineChars="0"/>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固定资产维护</w:t>
            </w:r>
          </w:p>
        </w:tc>
        <w:tc>
          <w:tcPr>
            <w:tcW w:w="3933" w:type="dxa"/>
            <w:vAlign w:val="center"/>
          </w:tcPr>
          <w:p w14:paraId="6EB1444A">
            <w:pPr>
              <w:ind w:left="0" w:leftChars="0" w:firstLine="0" w:firstLineChars="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年检记录完整、无安全隐患得7分，1项未年检扣2分（核查消防、电梯等年检报告）</w:t>
            </w:r>
          </w:p>
        </w:tc>
        <w:tc>
          <w:tcPr>
            <w:tcW w:w="1010" w:type="dxa"/>
            <w:vAlign w:val="center"/>
          </w:tcPr>
          <w:p w14:paraId="1D7949CF">
            <w:pPr>
              <w:ind w:left="0" w:leftChars="0" w:firstLine="0" w:firstLineChars="0"/>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10分</w:t>
            </w:r>
          </w:p>
        </w:tc>
      </w:tr>
      <w:tr w14:paraId="7F7B36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1" w:type="dxa"/>
            <w:vMerge w:val="continue"/>
            <w:vAlign w:val="center"/>
          </w:tcPr>
          <w:p w14:paraId="7E62194D">
            <w:pPr>
              <w:jc w:val="center"/>
              <w:rPr>
                <w:rFonts w:hint="eastAsia" w:ascii="宋体" w:hAnsi="宋体" w:eastAsia="宋体" w:cs="宋体"/>
                <w:color w:val="auto"/>
                <w:sz w:val="21"/>
                <w:szCs w:val="21"/>
                <w:lang w:eastAsia="zh-CN"/>
              </w:rPr>
            </w:pPr>
          </w:p>
        </w:tc>
        <w:tc>
          <w:tcPr>
            <w:tcW w:w="2307" w:type="dxa"/>
            <w:vAlign w:val="center"/>
          </w:tcPr>
          <w:p w14:paraId="5C24377E">
            <w:pPr>
              <w:ind w:left="0" w:leftChars="0" w:firstLine="0" w:firstLineChars="0"/>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财务规范</w:t>
            </w:r>
          </w:p>
        </w:tc>
        <w:tc>
          <w:tcPr>
            <w:tcW w:w="3933" w:type="dxa"/>
            <w:vAlign w:val="center"/>
          </w:tcPr>
          <w:p w14:paraId="02FA7D6E">
            <w:pPr>
              <w:ind w:left="0" w:leftChars="0" w:firstLine="0" w:firstLineChars="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报表按时报送、维修资金足额计提得8分，迟报1次扣2分，未足额计提扣5分</w:t>
            </w:r>
          </w:p>
        </w:tc>
        <w:tc>
          <w:tcPr>
            <w:tcW w:w="1010" w:type="dxa"/>
            <w:vAlign w:val="center"/>
          </w:tcPr>
          <w:p w14:paraId="0BB4BA13">
            <w:pPr>
              <w:ind w:left="0" w:leftChars="0" w:firstLine="0" w:firstLineChars="0"/>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10分</w:t>
            </w:r>
          </w:p>
        </w:tc>
      </w:tr>
      <w:tr w14:paraId="53E2D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1" w:type="dxa"/>
            <w:vMerge w:val="restart"/>
            <w:vAlign w:val="center"/>
          </w:tcPr>
          <w:p w14:paraId="446AB236">
            <w:pPr>
              <w:ind w:left="0" w:leftChars="0" w:firstLine="0" w:firstLineChars="0"/>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安全管理（20分）</w:t>
            </w:r>
          </w:p>
        </w:tc>
        <w:tc>
          <w:tcPr>
            <w:tcW w:w="2307" w:type="dxa"/>
            <w:vAlign w:val="center"/>
          </w:tcPr>
          <w:p w14:paraId="5E038E96">
            <w:pPr>
              <w:ind w:left="0" w:leftChars="0" w:firstLine="0" w:firstLineChars="0"/>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安全隐患整改</w:t>
            </w:r>
          </w:p>
        </w:tc>
        <w:tc>
          <w:tcPr>
            <w:tcW w:w="3933" w:type="dxa"/>
            <w:vAlign w:val="center"/>
          </w:tcPr>
          <w:p w14:paraId="31253FE8">
            <w:pPr>
              <w:ind w:left="0" w:leftChars="0" w:firstLine="0" w:firstLineChars="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无重大隐患得8分，发现1项未整改扣4分（现场查验与整改台账）</w:t>
            </w:r>
          </w:p>
        </w:tc>
        <w:tc>
          <w:tcPr>
            <w:tcW w:w="1010" w:type="dxa"/>
            <w:vAlign w:val="center"/>
          </w:tcPr>
          <w:p w14:paraId="4896D27E">
            <w:pPr>
              <w:ind w:left="0" w:leftChars="0" w:firstLine="0" w:firstLineChars="0"/>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8分</w:t>
            </w:r>
          </w:p>
        </w:tc>
      </w:tr>
      <w:tr w14:paraId="51E5C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1" w:type="dxa"/>
            <w:vMerge w:val="continue"/>
            <w:vAlign w:val="center"/>
          </w:tcPr>
          <w:p w14:paraId="199425C0">
            <w:pPr>
              <w:jc w:val="center"/>
              <w:rPr>
                <w:rFonts w:hint="eastAsia" w:ascii="宋体" w:hAnsi="宋体" w:eastAsia="宋体" w:cs="宋体"/>
                <w:color w:val="auto"/>
                <w:sz w:val="21"/>
                <w:szCs w:val="21"/>
                <w:lang w:eastAsia="zh-CN"/>
              </w:rPr>
            </w:pPr>
          </w:p>
        </w:tc>
        <w:tc>
          <w:tcPr>
            <w:tcW w:w="2307" w:type="dxa"/>
            <w:vAlign w:val="center"/>
          </w:tcPr>
          <w:p w14:paraId="3AA5E1E0">
            <w:pPr>
              <w:ind w:left="0" w:leftChars="0" w:firstLine="0" w:firstLineChars="0"/>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事故发生率</w:t>
            </w:r>
          </w:p>
        </w:tc>
        <w:tc>
          <w:tcPr>
            <w:tcW w:w="3933" w:type="dxa"/>
            <w:vAlign w:val="center"/>
          </w:tcPr>
          <w:p w14:paraId="6FB33D36">
            <w:pPr>
              <w:ind w:left="0" w:leftChars="0" w:firstLine="0" w:firstLineChars="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无安全事故得6分，一般事故1次扣3分，较大事故不得分</w:t>
            </w:r>
          </w:p>
        </w:tc>
        <w:tc>
          <w:tcPr>
            <w:tcW w:w="1010" w:type="dxa"/>
            <w:vAlign w:val="center"/>
          </w:tcPr>
          <w:p w14:paraId="6A932460">
            <w:pPr>
              <w:ind w:left="0" w:leftChars="0" w:firstLine="0" w:firstLineChars="0"/>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6分</w:t>
            </w:r>
          </w:p>
        </w:tc>
      </w:tr>
      <w:tr w14:paraId="06A05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11" w:type="dxa"/>
            <w:vMerge w:val="continue"/>
            <w:vAlign w:val="center"/>
          </w:tcPr>
          <w:p w14:paraId="3272BCDB">
            <w:pPr>
              <w:jc w:val="center"/>
              <w:rPr>
                <w:rFonts w:hint="eastAsia" w:ascii="宋体" w:hAnsi="宋体" w:eastAsia="宋体" w:cs="宋体"/>
                <w:color w:val="auto"/>
                <w:sz w:val="21"/>
                <w:szCs w:val="21"/>
                <w:lang w:eastAsia="zh-CN"/>
              </w:rPr>
            </w:pPr>
          </w:p>
        </w:tc>
        <w:tc>
          <w:tcPr>
            <w:tcW w:w="2307" w:type="dxa"/>
            <w:vAlign w:val="center"/>
          </w:tcPr>
          <w:p w14:paraId="7F3024AA">
            <w:pPr>
              <w:ind w:left="0" w:leftChars="0" w:firstLine="0" w:firstLineChars="0"/>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应急演练与预案</w:t>
            </w:r>
          </w:p>
        </w:tc>
        <w:tc>
          <w:tcPr>
            <w:tcW w:w="3933" w:type="dxa"/>
            <w:vAlign w:val="center"/>
          </w:tcPr>
          <w:p w14:paraId="165BA02A">
            <w:pPr>
              <w:ind w:left="0" w:leftChars="0" w:firstLine="0" w:firstLineChars="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每季度演练1次且预案完善得6分，少1次演练扣2分</w:t>
            </w:r>
          </w:p>
        </w:tc>
        <w:tc>
          <w:tcPr>
            <w:tcW w:w="1010" w:type="dxa"/>
            <w:vAlign w:val="center"/>
          </w:tcPr>
          <w:p w14:paraId="30721BA9">
            <w:pPr>
              <w:ind w:left="0" w:leftChars="0" w:firstLine="0" w:firstLineChars="0"/>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6分</w:t>
            </w:r>
          </w:p>
        </w:tc>
      </w:tr>
      <w:tr w14:paraId="36690E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trPr>
        <w:tc>
          <w:tcPr>
            <w:tcW w:w="1811" w:type="dxa"/>
            <w:vAlign w:val="center"/>
          </w:tcPr>
          <w:p w14:paraId="3A024F76">
            <w:pPr>
              <w:ind w:left="0" w:leftChars="0" w:firstLine="0" w:firstLineChars="0"/>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社会责任（10分）</w:t>
            </w:r>
          </w:p>
        </w:tc>
        <w:tc>
          <w:tcPr>
            <w:tcW w:w="2307" w:type="dxa"/>
            <w:vAlign w:val="center"/>
          </w:tcPr>
          <w:p w14:paraId="124A2017">
            <w:pPr>
              <w:ind w:left="0" w:leftChars="0" w:firstLine="0" w:firstLineChars="0"/>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公益服务开展</w:t>
            </w:r>
          </w:p>
        </w:tc>
        <w:tc>
          <w:tcPr>
            <w:tcW w:w="3933" w:type="dxa"/>
            <w:vAlign w:val="center"/>
          </w:tcPr>
          <w:p w14:paraId="5665B699">
            <w:pPr>
              <w:ind w:left="0" w:leftChars="0" w:firstLine="0" w:firstLineChars="0"/>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每年开展≥2次公益养老讲座/义诊得5分，未开展不得分</w:t>
            </w:r>
          </w:p>
        </w:tc>
        <w:tc>
          <w:tcPr>
            <w:tcW w:w="1010" w:type="dxa"/>
            <w:vAlign w:val="center"/>
          </w:tcPr>
          <w:p w14:paraId="49C25A79">
            <w:pPr>
              <w:ind w:left="0" w:leftChars="0" w:firstLine="0" w:firstLineChars="0"/>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val="en-US" w:eastAsia="zh-CN"/>
              </w:rPr>
              <w:t>10分</w:t>
            </w:r>
          </w:p>
        </w:tc>
      </w:tr>
    </w:tbl>
    <w:p w14:paraId="2488B636">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lang w:eastAsia="zh-CN"/>
        </w:rPr>
      </w:pPr>
    </w:p>
    <w:p w14:paraId="39D14EB8">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lang w:val="en-US" w:eastAsia="zh-CN"/>
        </w:rPr>
        <w:t>十一、</w:t>
      </w:r>
      <w:r>
        <w:rPr>
          <w:rFonts w:hint="eastAsia" w:ascii="宋体" w:hAnsi="宋体" w:eastAsia="宋体" w:cs="宋体"/>
          <w:b/>
          <w:bCs/>
          <w:color w:val="auto"/>
          <w:sz w:val="21"/>
          <w:szCs w:val="21"/>
          <w:highlight w:val="none"/>
        </w:rPr>
        <w:t>退出机制</w:t>
      </w:r>
    </w:p>
    <w:p w14:paraId="18A1BCD4">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（一）合同期满的退出</w:t>
      </w:r>
    </w:p>
    <w:p w14:paraId="10F0C746">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在合同期满时，社会化运营单位在无违约记录、考核合格的前提下享有优先续约权，若社会化运营单位选择不续约或未取得优先续约权，则按照合同约定办理移交手续并退出本项目。在经营期结束 6 个月前，由社会化运营单位和实施机构共同组成移交委员会，具体负责办理资产清算、老人安置、资料移交等工作，由社会化运营单位向实施机构无偿移交全部资产及运营资料。至此，社会化运营单位完全退出该项目，项目所有权益全部归属政府，项目回归其公共服务设施性质。</w:t>
      </w:r>
    </w:p>
    <w:p w14:paraId="567FE7EB">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（二）合同提前终止的退出</w:t>
      </w:r>
    </w:p>
    <w:p w14:paraId="0F2D58BD">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在以下情形下，项目可提前终止：社会资本方违约导致的提前终止、政府方违约导致的提前终止、不可抗力导致的提前终止，不同情形按合同约定分别处理，并依据项目合同计算合理的费用或赔偿金额。</w:t>
      </w:r>
    </w:p>
    <w:p w14:paraId="10FA7FE6">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1.社会化运营单位违约</w:t>
      </w:r>
    </w:p>
    <w:p w14:paraId="62E66F9B">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存在如下社会化运营单位违约事件时，政府方有权立即发出终止意向通知，兑取运营保障金，并要求社会资本方承担全部赔偿责任，情节严重的强制清退并没收场内所有固定投资：</w:t>
      </w:r>
    </w:p>
    <w:p w14:paraId="4C5294E9">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① 社会化运营单位擅自转让、出租、变相转包项目经营权；</w:t>
      </w:r>
    </w:p>
    <w:p w14:paraId="5883692D">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② 社会化运营单位擅自将所经营的项目财产进行处置、抵押、出借，或从事与养老服务无关的运营活动；</w:t>
      </w:r>
    </w:p>
    <w:p w14:paraId="4286A7ED">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③ 社会化运营单位因管理不善，发生较大及以上安全生产责任事故、医疗事故、消防安全事故、食品安全事故，或一年内发生 3 次及以上欺老虐老事件，且未妥善处理或拒不赔偿的；</w:t>
      </w:r>
    </w:p>
    <w:p w14:paraId="08A6EFEA">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④ 社会化运营单位擅自停业、歇业，严重影响到社会公共利益和安全；</w:t>
      </w:r>
    </w:p>
    <w:p w14:paraId="72765ACC">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⑤ 根据中国法律社会化运营单位进行清算或资不抵债；</w:t>
      </w:r>
    </w:p>
    <w:p w14:paraId="17F4DC28">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⑥ 社会化运营单位在签订合同时的任何声明被证明在做出时即有严重错误，使社会化运营单位履行合同的能力受到严重的不利影响；</w:t>
      </w:r>
    </w:p>
    <w:p w14:paraId="741798B8">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⑦ 社会化运营单位未能根据合同规定提交并保持运营保障金足额有效，逾期 7 个工作日未补足的；</w:t>
      </w:r>
    </w:p>
    <w:p w14:paraId="7BBB2E18">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⑧ 绩效考核连续 2 次年度不合格或累计 3 次季度不合格，或重大违规经整改仍不到位的；</w:t>
      </w:r>
    </w:p>
    <w:p w14:paraId="3E699C23">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⑨ 社会化运营单位未按约定在武江区注册成立项目管理公司、未按要求投保相关保险、未足额计提维修资金等，经书面催告后 30 日内仍未整改的；</w:t>
      </w:r>
    </w:p>
    <w:p w14:paraId="3FA9550A">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⑩ 拖欠合作收益分成累计达 6 个月、拖欠工人工资累计达 3 个月未整改的；</w:t>
      </w:r>
    </w:p>
    <w:p w14:paraId="410F2E6E">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⑪ 项目运营至第五年年末，未评上四星级及以上养老机构且存在重大运营问题的。</w:t>
      </w:r>
    </w:p>
    <w:p w14:paraId="2F6986B0">
      <w:pPr>
        <w:keepNext w:val="0"/>
        <w:keepLines w:val="0"/>
        <w:pageBreakBefore w:val="0"/>
        <w:wordWrap/>
        <w:overflowPunct/>
        <w:topLinePunct w:val="0"/>
        <w:bidi w:val="0"/>
        <w:adjustRightInd w:val="0"/>
        <w:snapToGrid w:val="0"/>
        <w:spacing w:beforeAutospacing="0" w:afterAutospacing="0" w:line="360" w:lineRule="auto"/>
        <w:ind w:left="0" w:right="0" w:firstLine="420" w:firstLineChars="200"/>
        <w:jc w:val="both"/>
        <w:textAlignment w:val="baseline"/>
        <w:outlineLvl w:val="9"/>
        <w:rPr>
          <w:rFonts w:hint="eastAsia" w:ascii="宋体" w:hAnsi="宋体" w:eastAsia="宋体" w:cs="宋体"/>
          <w:b w:val="0"/>
          <w:bCs w:val="0"/>
          <w:color w:val="auto"/>
          <w:kern w:val="0"/>
          <w:sz w:val="21"/>
          <w:szCs w:val="24"/>
          <w:highlight w:val="none"/>
          <w:lang w:val="en-US" w:eastAsia="zh-CN"/>
        </w:rPr>
      </w:pPr>
      <w:r>
        <w:rPr>
          <w:rFonts w:hint="eastAsia" w:ascii="宋体" w:hAnsi="宋体" w:eastAsia="宋体" w:cs="宋体"/>
          <w:color w:val="auto"/>
          <w:kern w:val="0"/>
          <w:sz w:val="21"/>
          <w:szCs w:val="24"/>
          <w:highlight w:val="none"/>
          <w:lang w:val="en-US" w:eastAsia="zh-CN"/>
        </w:rPr>
        <w:t>2.</w:t>
      </w:r>
      <w:r>
        <w:rPr>
          <w:rFonts w:hint="eastAsia" w:ascii="宋体" w:hAnsi="宋体" w:eastAsia="宋体" w:cs="宋体"/>
          <w:b w:val="0"/>
          <w:bCs w:val="0"/>
          <w:color w:val="auto"/>
          <w:kern w:val="0"/>
          <w:sz w:val="21"/>
          <w:szCs w:val="24"/>
          <w:highlight w:val="none"/>
          <w:lang w:val="en-US" w:eastAsia="zh-CN"/>
        </w:rPr>
        <w:t>若因乙方单方面原因，发生擅自中止运营、无故解除合同、拒绝履约、严重违约且经甲方限期整改后仍未纠正等根本性违约行为，导致本项目合同无法继续履行、合同目的无法实现的，乙方应承担全部违约责任。</w:t>
      </w:r>
      <w:r>
        <w:rPr>
          <w:rFonts w:hint="eastAsia" w:ascii="宋体" w:hAnsi="宋体" w:eastAsia="宋体" w:cs="宋体"/>
          <w:color w:val="auto"/>
          <w:kern w:val="0"/>
          <w:sz w:val="21"/>
          <w:szCs w:val="24"/>
          <w:highlight w:val="none"/>
          <w:lang w:val="en-US" w:eastAsia="zh-CN"/>
        </w:rPr>
        <w:t>包括但不限于没收运营保障金以及经营性损失。</w:t>
      </w:r>
    </w:p>
    <w:p w14:paraId="70613719">
      <w:pPr>
        <w:keepNext w:val="0"/>
        <w:keepLines w:val="0"/>
        <w:pageBreakBefore w:val="0"/>
        <w:wordWrap/>
        <w:overflowPunct/>
        <w:topLinePunct w:val="0"/>
        <w:bidi w:val="0"/>
        <w:adjustRightInd w:val="0"/>
        <w:snapToGrid w:val="0"/>
        <w:spacing w:beforeAutospacing="0" w:afterAutospacing="0" w:line="360" w:lineRule="auto"/>
        <w:ind w:right="0"/>
        <w:jc w:val="both"/>
        <w:textAlignment w:val="baseline"/>
        <w:outlineLvl w:val="9"/>
        <w:rPr>
          <w:rFonts w:hint="eastAsia" w:ascii="宋体" w:hAnsi="宋体" w:eastAsia="宋体" w:cs="宋体"/>
          <w:color w:val="auto"/>
          <w:kern w:val="0"/>
          <w:sz w:val="21"/>
          <w:szCs w:val="24"/>
          <w:highlight w:val="none"/>
          <w:lang w:val="en-US" w:eastAsia="zh-CN"/>
        </w:rPr>
      </w:pPr>
      <w:r>
        <w:rPr>
          <w:rFonts w:hint="eastAsia" w:ascii="宋体" w:hAnsi="宋体" w:eastAsia="宋体" w:cs="宋体"/>
          <w:color w:val="auto"/>
          <w:kern w:val="0"/>
          <w:sz w:val="21"/>
          <w:szCs w:val="24"/>
          <w:highlight w:val="none"/>
          <w:lang w:val="en-US" w:eastAsia="zh-CN"/>
        </w:rPr>
        <w:t>经营性损失将参照基准收益模式（即基准收益标准不低于3.1元/平方米/月，每三年递增4%）进行违约赔偿，即可履约期间的合作收益分成与对标履约期间的收益总额之间的差额进行赔偿。具体以双方签订合同为准。</w:t>
      </w:r>
    </w:p>
    <w:p w14:paraId="7830748E">
      <w:pPr>
        <w:keepNext w:val="0"/>
        <w:keepLines w:val="0"/>
        <w:pageBreakBefore w:val="0"/>
        <w:wordWrap/>
        <w:overflowPunct/>
        <w:topLinePunct w:val="0"/>
        <w:bidi w:val="0"/>
        <w:adjustRightInd w:val="0"/>
        <w:snapToGrid w:val="0"/>
        <w:spacing w:beforeAutospacing="0" w:afterAutospacing="0" w:line="360" w:lineRule="auto"/>
        <w:ind w:right="0"/>
        <w:jc w:val="both"/>
        <w:textAlignment w:val="baseline"/>
        <w:outlineLvl w:val="9"/>
        <w:rPr>
          <w:rFonts w:hint="eastAsia" w:ascii="宋体" w:hAnsi="宋体" w:eastAsia="宋体" w:cs="宋体"/>
          <w:color w:val="auto"/>
          <w:kern w:val="0"/>
          <w:sz w:val="21"/>
          <w:szCs w:val="24"/>
          <w:highlight w:val="none"/>
          <w:lang w:val="en-US" w:eastAsia="zh-CN"/>
        </w:rPr>
      </w:pPr>
      <w:r>
        <w:rPr>
          <w:rFonts w:hint="eastAsia" w:ascii="宋体" w:hAnsi="宋体" w:eastAsia="宋体" w:cs="宋体"/>
          <w:color w:val="auto"/>
          <w:kern w:val="0"/>
          <w:sz w:val="21"/>
          <w:szCs w:val="24"/>
          <w:highlight w:val="none"/>
          <w:lang w:val="en-US" w:eastAsia="zh-CN"/>
        </w:rPr>
        <w:t>赔偿金额参照如下标准：</w:t>
      </w:r>
    </w:p>
    <w:tbl>
      <w:tblPr>
        <w:tblStyle w:val="17"/>
        <w:tblpPr w:leftFromText="180" w:rightFromText="180" w:vertAnchor="text" w:horzAnchor="page" w:tblpX="1519" w:tblpY="92"/>
        <w:tblOverlap w:val="never"/>
        <w:tblW w:w="938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469"/>
        <w:gridCol w:w="644"/>
        <w:gridCol w:w="970"/>
        <w:gridCol w:w="1137"/>
        <w:gridCol w:w="546"/>
        <w:gridCol w:w="1164"/>
        <w:gridCol w:w="1164"/>
        <w:gridCol w:w="1164"/>
        <w:gridCol w:w="1236"/>
        <w:gridCol w:w="886"/>
      </w:tblGrid>
      <w:tr w14:paraId="3E623B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50" w:hRule="atLeast"/>
          <w:tblHeader/>
        </w:trPr>
        <w:tc>
          <w:tcPr>
            <w:tcW w:w="9380" w:type="dxa"/>
            <w:gridSpan w:val="10"/>
            <w:tcBorders>
              <w:tl2br w:val="nil"/>
              <w:tr2bl w:val="nil"/>
            </w:tcBorders>
            <w:shd w:val="clear" w:color="auto" w:fill="auto"/>
            <w:noWrap/>
            <w:vAlign w:val="center"/>
          </w:tcPr>
          <w:p w14:paraId="13DF01AB">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基准收益模式</w:t>
            </w:r>
          </w:p>
        </w:tc>
      </w:tr>
      <w:tr w14:paraId="28AA40C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453" w:hRule="atLeast"/>
          <w:tblHeader/>
        </w:trPr>
        <w:tc>
          <w:tcPr>
            <w:tcW w:w="469" w:type="dxa"/>
            <w:tcBorders>
              <w:tl2br w:val="nil"/>
              <w:tr2bl w:val="nil"/>
            </w:tcBorders>
            <w:shd w:val="clear" w:color="auto" w:fill="auto"/>
            <w:noWrap/>
            <w:vAlign w:val="center"/>
          </w:tcPr>
          <w:p w14:paraId="7FD5BC44">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序号</w:t>
            </w:r>
          </w:p>
        </w:tc>
        <w:tc>
          <w:tcPr>
            <w:tcW w:w="644" w:type="dxa"/>
            <w:tcBorders>
              <w:tl2br w:val="nil"/>
              <w:tr2bl w:val="nil"/>
            </w:tcBorders>
            <w:shd w:val="clear" w:color="auto" w:fill="auto"/>
            <w:vAlign w:val="center"/>
          </w:tcPr>
          <w:p w14:paraId="001FDD79">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年份</w:t>
            </w:r>
            <w:r>
              <w:rPr>
                <w:rStyle w:val="107"/>
                <w:rFonts w:hint="eastAsia" w:asciiTheme="minorEastAsia" w:hAnsiTheme="minorEastAsia" w:eastAsiaTheme="minorEastAsia" w:cstheme="minorEastAsia"/>
                <w:color w:val="auto"/>
                <w:sz w:val="21"/>
                <w:szCs w:val="21"/>
                <w:lang w:val="en-US" w:eastAsia="zh-CN" w:bidi="ar"/>
              </w:rPr>
              <w:t>​</w:t>
            </w:r>
          </w:p>
        </w:tc>
        <w:tc>
          <w:tcPr>
            <w:tcW w:w="970" w:type="dxa"/>
            <w:tcBorders>
              <w:tl2br w:val="nil"/>
              <w:tr2bl w:val="nil"/>
            </w:tcBorders>
            <w:shd w:val="clear" w:color="auto" w:fill="auto"/>
            <w:vAlign w:val="center"/>
          </w:tcPr>
          <w:p w14:paraId="7B4C5F9B">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运营面积（㎡）</w:t>
            </w:r>
          </w:p>
        </w:tc>
        <w:tc>
          <w:tcPr>
            <w:tcW w:w="1137" w:type="dxa"/>
            <w:tcBorders>
              <w:tl2br w:val="nil"/>
              <w:tr2bl w:val="nil"/>
            </w:tcBorders>
            <w:shd w:val="clear" w:color="auto" w:fill="auto"/>
            <w:vAlign w:val="center"/>
          </w:tcPr>
          <w:p w14:paraId="7CE88EFC">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宋体" w:hAnsi="宋体" w:eastAsia="宋体" w:cs="宋体"/>
                <w:b/>
                <w:bCs/>
                <w:color w:val="auto"/>
                <w:kern w:val="0"/>
                <w:sz w:val="21"/>
                <w:szCs w:val="24"/>
                <w:highlight w:val="none"/>
                <w:lang w:val="en-US" w:eastAsia="zh-CN"/>
              </w:rPr>
              <w:t>基准收益金</w:t>
            </w:r>
            <w:r>
              <w:rPr>
                <w:rFonts w:hint="eastAsia" w:asciiTheme="minorEastAsia" w:hAnsiTheme="minorEastAsia" w:eastAsiaTheme="minorEastAsia" w:cstheme="minorEastAsia"/>
                <w:b/>
                <w:bCs/>
                <w:i w:val="0"/>
                <w:iCs w:val="0"/>
                <w:color w:val="auto"/>
                <w:kern w:val="0"/>
                <w:sz w:val="21"/>
                <w:szCs w:val="21"/>
                <w:u w:val="none"/>
                <w:lang w:val="en-US" w:eastAsia="zh-CN" w:bidi="ar"/>
              </w:rPr>
              <w:t>（元/㎡/月）</w:t>
            </w:r>
            <w:r>
              <w:rPr>
                <w:rStyle w:val="107"/>
                <w:rFonts w:hint="eastAsia" w:asciiTheme="minorEastAsia" w:hAnsiTheme="minorEastAsia" w:eastAsiaTheme="minorEastAsia" w:cstheme="minorEastAsia"/>
                <w:color w:val="auto"/>
                <w:sz w:val="21"/>
                <w:szCs w:val="21"/>
                <w:lang w:val="en-US" w:eastAsia="zh-CN" w:bidi="ar"/>
              </w:rPr>
              <w:t>​</w:t>
            </w:r>
          </w:p>
        </w:tc>
        <w:tc>
          <w:tcPr>
            <w:tcW w:w="546" w:type="dxa"/>
            <w:tcBorders>
              <w:tl2br w:val="nil"/>
              <w:tr2bl w:val="nil"/>
            </w:tcBorders>
            <w:shd w:val="clear" w:color="auto" w:fill="auto"/>
            <w:vAlign w:val="center"/>
          </w:tcPr>
          <w:p w14:paraId="2E79BBD2">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递增</w:t>
            </w:r>
          </w:p>
        </w:tc>
        <w:tc>
          <w:tcPr>
            <w:tcW w:w="1164" w:type="dxa"/>
            <w:tcBorders>
              <w:tl2br w:val="nil"/>
              <w:tr2bl w:val="nil"/>
            </w:tcBorders>
            <w:shd w:val="clear" w:color="auto" w:fill="auto"/>
            <w:vAlign w:val="center"/>
          </w:tcPr>
          <w:p w14:paraId="49A1F4F3">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月收益（元）</w:t>
            </w:r>
          </w:p>
        </w:tc>
        <w:tc>
          <w:tcPr>
            <w:tcW w:w="1164" w:type="dxa"/>
            <w:tcBorders>
              <w:tl2br w:val="nil"/>
              <w:tr2bl w:val="nil"/>
            </w:tcBorders>
            <w:shd w:val="clear" w:color="auto" w:fill="auto"/>
            <w:vAlign w:val="center"/>
          </w:tcPr>
          <w:p w14:paraId="4BC0B363">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年收益（元）</w:t>
            </w:r>
            <w:r>
              <w:rPr>
                <w:rStyle w:val="107"/>
                <w:rFonts w:hint="eastAsia" w:asciiTheme="minorEastAsia" w:hAnsiTheme="minorEastAsia" w:eastAsiaTheme="minorEastAsia" w:cstheme="minorEastAsia"/>
                <w:color w:val="auto"/>
                <w:sz w:val="21"/>
                <w:szCs w:val="21"/>
                <w:lang w:val="en-US" w:eastAsia="zh-CN" w:bidi="ar"/>
              </w:rPr>
              <w:t>​</w:t>
            </w:r>
          </w:p>
        </w:tc>
        <w:tc>
          <w:tcPr>
            <w:tcW w:w="1164" w:type="dxa"/>
            <w:tcBorders>
              <w:tl2br w:val="nil"/>
              <w:tr2bl w:val="nil"/>
            </w:tcBorders>
            <w:shd w:val="clear" w:color="auto" w:fill="auto"/>
            <w:vAlign w:val="center"/>
          </w:tcPr>
          <w:p w14:paraId="4E9880D6">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期间收益</w:t>
            </w:r>
          </w:p>
        </w:tc>
        <w:tc>
          <w:tcPr>
            <w:tcW w:w="1236" w:type="dxa"/>
            <w:tcBorders>
              <w:tl2br w:val="nil"/>
              <w:tr2bl w:val="nil"/>
            </w:tcBorders>
            <w:shd w:val="clear" w:color="auto" w:fill="auto"/>
            <w:vAlign w:val="center"/>
          </w:tcPr>
          <w:p w14:paraId="59EF5E7D">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累计总收益（元）</w:t>
            </w:r>
            <w:r>
              <w:rPr>
                <w:rStyle w:val="107"/>
                <w:rFonts w:hint="eastAsia" w:asciiTheme="minorEastAsia" w:hAnsiTheme="minorEastAsia" w:eastAsiaTheme="minorEastAsia" w:cstheme="minorEastAsia"/>
                <w:color w:val="auto"/>
                <w:sz w:val="21"/>
                <w:szCs w:val="21"/>
                <w:lang w:val="en-US" w:eastAsia="zh-CN" w:bidi="ar"/>
              </w:rPr>
              <w:t>​</w:t>
            </w:r>
          </w:p>
        </w:tc>
        <w:tc>
          <w:tcPr>
            <w:tcW w:w="886" w:type="dxa"/>
            <w:tcBorders>
              <w:tl2br w:val="nil"/>
              <w:tr2bl w:val="nil"/>
            </w:tcBorders>
            <w:shd w:val="clear" w:color="auto" w:fill="auto"/>
            <w:noWrap/>
            <w:vAlign w:val="center"/>
          </w:tcPr>
          <w:p w14:paraId="27129344">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备注</w:t>
            </w:r>
          </w:p>
        </w:tc>
      </w:tr>
      <w:tr w14:paraId="7B95835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453" w:hRule="atLeast"/>
        </w:trPr>
        <w:tc>
          <w:tcPr>
            <w:tcW w:w="469" w:type="dxa"/>
            <w:tcBorders>
              <w:tl2br w:val="nil"/>
              <w:tr2bl w:val="nil"/>
            </w:tcBorders>
            <w:shd w:val="clear" w:color="auto" w:fill="auto"/>
            <w:noWrap/>
            <w:vAlign w:val="center"/>
          </w:tcPr>
          <w:p w14:paraId="37622A49">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w:t>
            </w:r>
          </w:p>
        </w:tc>
        <w:tc>
          <w:tcPr>
            <w:tcW w:w="644" w:type="dxa"/>
            <w:tcBorders>
              <w:tl2br w:val="nil"/>
              <w:tr2bl w:val="nil"/>
            </w:tcBorders>
            <w:shd w:val="clear" w:color="auto" w:fill="auto"/>
            <w:vAlign w:val="center"/>
          </w:tcPr>
          <w:p w14:paraId="694C5B49">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1-3</w:t>
            </w:r>
          </w:p>
        </w:tc>
        <w:tc>
          <w:tcPr>
            <w:tcW w:w="970" w:type="dxa"/>
            <w:vMerge w:val="restart"/>
            <w:tcBorders>
              <w:tl2br w:val="nil"/>
              <w:tr2bl w:val="nil"/>
            </w:tcBorders>
            <w:shd w:val="clear" w:color="auto" w:fill="auto"/>
            <w:vAlign w:val="center"/>
          </w:tcPr>
          <w:p w14:paraId="18C583CA">
            <w:pPr>
              <w:keepNext w:val="0"/>
              <w:keepLines w:val="0"/>
              <w:widowControl/>
              <w:suppressLineNumbers w:val="0"/>
              <w:snapToGrid w:val="0"/>
              <w:ind w:left="0" w:leftChars="0" w:right="0" w:rightChars="0" w:firstLine="0" w:firstLineChars="0"/>
              <w:jc w:val="right"/>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20,509.91</w:t>
            </w:r>
          </w:p>
        </w:tc>
        <w:tc>
          <w:tcPr>
            <w:tcW w:w="1137" w:type="dxa"/>
            <w:tcBorders>
              <w:tl2br w:val="nil"/>
              <w:tr2bl w:val="nil"/>
            </w:tcBorders>
            <w:shd w:val="clear" w:color="auto" w:fill="auto"/>
            <w:vAlign w:val="center"/>
          </w:tcPr>
          <w:p w14:paraId="5A7A6E28">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3.1</w:t>
            </w:r>
          </w:p>
        </w:tc>
        <w:tc>
          <w:tcPr>
            <w:tcW w:w="546" w:type="dxa"/>
            <w:tcBorders>
              <w:tl2br w:val="nil"/>
              <w:tr2bl w:val="nil"/>
            </w:tcBorders>
            <w:shd w:val="clear" w:color="auto" w:fill="auto"/>
            <w:vAlign w:val="center"/>
          </w:tcPr>
          <w:p w14:paraId="25A530FA">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w:t>
            </w:r>
          </w:p>
        </w:tc>
        <w:tc>
          <w:tcPr>
            <w:tcW w:w="1164" w:type="dxa"/>
            <w:tcBorders>
              <w:tl2br w:val="nil"/>
              <w:tr2bl w:val="nil"/>
            </w:tcBorders>
            <w:shd w:val="clear" w:color="auto" w:fill="auto"/>
            <w:vAlign w:val="center"/>
          </w:tcPr>
          <w:p w14:paraId="7AF8A4F5">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63580.721</w:t>
            </w:r>
          </w:p>
        </w:tc>
        <w:tc>
          <w:tcPr>
            <w:tcW w:w="1164" w:type="dxa"/>
            <w:tcBorders>
              <w:tl2br w:val="nil"/>
              <w:tr2bl w:val="nil"/>
            </w:tcBorders>
            <w:shd w:val="clear" w:color="auto" w:fill="auto"/>
            <w:vAlign w:val="center"/>
          </w:tcPr>
          <w:p w14:paraId="3BFC3FCC">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762968.652</w:t>
            </w:r>
          </w:p>
        </w:tc>
        <w:tc>
          <w:tcPr>
            <w:tcW w:w="1164" w:type="dxa"/>
            <w:tcBorders>
              <w:tl2br w:val="nil"/>
              <w:tr2bl w:val="nil"/>
            </w:tcBorders>
            <w:shd w:val="clear" w:color="auto" w:fill="auto"/>
            <w:vAlign w:val="center"/>
          </w:tcPr>
          <w:p w14:paraId="69EBE15D">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1907421.63</w:t>
            </w:r>
          </w:p>
        </w:tc>
        <w:tc>
          <w:tcPr>
            <w:tcW w:w="1236" w:type="dxa"/>
            <w:tcBorders>
              <w:tl2br w:val="nil"/>
              <w:tr2bl w:val="nil"/>
            </w:tcBorders>
            <w:shd w:val="clear" w:color="auto" w:fill="auto"/>
            <w:vAlign w:val="center"/>
          </w:tcPr>
          <w:p w14:paraId="3A9BC615">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1,907,421.63</w:t>
            </w:r>
          </w:p>
        </w:tc>
        <w:tc>
          <w:tcPr>
            <w:tcW w:w="886" w:type="dxa"/>
            <w:tcBorders>
              <w:tl2br w:val="nil"/>
              <w:tr2bl w:val="nil"/>
            </w:tcBorders>
            <w:shd w:val="clear" w:color="auto" w:fill="auto"/>
            <w:noWrap/>
            <w:vAlign w:val="center"/>
          </w:tcPr>
          <w:p w14:paraId="389DE5ED">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免收益分成期6个月。</w:t>
            </w:r>
          </w:p>
        </w:tc>
      </w:tr>
      <w:tr w14:paraId="59146E1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402" w:hRule="atLeast"/>
        </w:trPr>
        <w:tc>
          <w:tcPr>
            <w:tcW w:w="469" w:type="dxa"/>
            <w:tcBorders>
              <w:tl2br w:val="nil"/>
              <w:tr2bl w:val="nil"/>
            </w:tcBorders>
            <w:shd w:val="clear" w:color="auto" w:fill="auto"/>
            <w:noWrap/>
            <w:vAlign w:val="center"/>
          </w:tcPr>
          <w:p w14:paraId="06317FA9">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w:t>
            </w:r>
          </w:p>
        </w:tc>
        <w:tc>
          <w:tcPr>
            <w:tcW w:w="644" w:type="dxa"/>
            <w:tcBorders>
              <w:tl2br w:val="nil"/>
              <w:tr2bl w:val="nil"/>
            </w:tcBorders>
            <w:shd w:val="clear" w:color="auto" w:fill="auto"/>
            <w:vAlign w:val="center"/>
          </w:tcPr>
          <w:p w14:paraId="0B18D0D0">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4-6</w:t>
            </w:r>
          </w:p>
        </w:tc>
        <w:tc>
          <w:tcPr>
            <w:tcW w:w="970" w:type="dxa"/>
            <w:vMerge w:val="continue"/>
            <w:tcBorders>
              <w:tl2br w:val="nil"/>
              <w:tr2bl w:val="nil"/>
            </w:tcBorders>
            <w:shd w:val="clear" w:color="auto" w:fill="auto"/>
            <w:vAlign w:val="center"/>
          </w:tcPr>
          <w:p w14:paraId="0914ACCF">
            <w:pPr>
              <w:keepNext w:val="0"/>
              <w:keepLines w:val="0"/>
              <w:widowControl/>
              <w:suppressLineNumbers w:val="0"/>
              <w:snapToGrid w:val="0"/>
              <w:ind w:left="0" w:leftChars="0" w:right="0" w:rightChars="0" w:firstLine="0" w:firstLineChars="0"/>
              <w:jc w:val="right"/>
              <w:textAlignment w:val="center"/>
              <w:rPr>
                <w:rFonts w:hint="eastAsia" w:asciiTheme="minorEastAsia" w:hAnsiTheme="minorEastAsia" w:eastAsiaTheme="minorEastAsia" w:cstheme="minorEastAsia"/>
                <w:i w:val="0"/>
                <w:iCs w:val="0"/>
                <w:color w:val="auto"/>
                <w:sz w:val="21"/>
                <w:szCs w:val="21"/>
                <w:u w:val="none"/>
              </w:rPr>
            </w:pPr>
          </w:p>
        </w:tc>
        <w:tc>
          <w:tcPr>
            <w:tcW w:w="1137" w:type="dxa"/>
            <w:tcBorders>
              <w:tl2br w:val="nil"/>
              <w:tr2bl w:val="nil"/>
            </w:tcBorders>
            <w:shd w:val="clear" w:color="auto" w:fill="auto"/>
            <w:vAlign w:val="center"/>
          </w:tcPr>
          <w:p w14:paraId="3E68255E">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3.224</w:t>
            </w:r>
          </w:p>
        </w:tc>
        <w:tc>
          <w:tcPr>
            <w:tcW w:w="546" w:type="dxa"/>
            <w:tcBorders>
              <w:tl2br w:val="nil"/>
              <w:tr2bl w:val="nil"/>
            </w:tcBorders>
            <w:shd w:val="clear" w:color="auto" w:fill="auto"/>
            <w:vAlign w:val="center"/>
          </w:tcPr>
          <w:p w14:paraId="52F5E5BC">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0.04</w:t>
            </w:r>
          </w:p>
        </w:tc>
        <w:tc>
          <w:tcPr>
            <w:tcW w:w="1164" w:type="dxa"/>
            <w:tcBorders>
              <w:tl2br w:val="nil"/>
              <w:tr2bl w:val="nil"/>
            </w:tcBorders>
            <w:shd w:val="clear" w:color="auto" w:fill="auto"/>
            <w:vAlign w:val="center"/>
          </w:tcPr>
          <w:p w14:paraId="502972F3">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66123.94984</w:t>
            </w:r>
          </w:p>
        </w:tc>
        <w:tc>
          <w:tcPr>
            <w:tcW w:w="1164" w:type="dxa"/>
            <w:tcBorders>
              <w:tl2br w:val="nil"/>
              <w:tr2bl w:val="nil"/>
            </w:tcBorders>
            <w:shd w:val="clear" w:color="auto" w:fill="auto"/>
            <w:vAlign w:val="center"/>
          </w:tcPr>
          <w:p w14:paraId="42647CCF">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793487.3981</w:t>
            </w:r>
          </w:p>
        </w:tc>
        <w:tc>
          <w:tcPr>
            <w:tcW w:w="1164" w:type="dxa"/>
            <w:tcBorders>
              <w:tl2br w:val="nil"/>
              <w:tr2bl w:val="nil"/>
            </w:tcBorders>
            <w:shd w:val="clear" w:color="auto" w:fill="auto"/>
            <w:vAlign w:val="center"/>
          </w:tcPr>
          <w:p w14:paraId="08129C90">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2380462.194</w:t>
            </w:r>
          </w:p>
        </w:tc>
        <w:tc>
          <w:tcPr>
            <w:tcW w:w="1236" w:type="dxa"/>
            <w:tcBorders>
              <w:tl2br w:val="nil"/>
              <w:tr2bl w:val="nil"/>
            </w:tcBorders>
            <w:shd w:val="clear" w:color="auto" w:fill="auto"/>
            <w:vAlign w:val="center"/>
          </w:tcPr>
          <w:p w14:paraId="35FDE33C">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4287883.824</w:t>
            </w:r>
          </w:p>
        </w:tc>
        <w:tc>
          <w:tcPr>
            <w:tcW w:w="886" w:type="dxa"/>
            <w:tcBorders>
              <w:tl2br w:val="nil"/>
              <w:tr2bl w:val="nil"/>
            </w:tcBorders>
            <w:shd w:val="clear" w:color="auto" w:fill="auto"/>
            <w:noWrap/>
            <w:vAlign w:val="center"/>
          </w:tcPr>
          <w:p w14:paraId="0181B086">
            <w:pPr>
              <w:snapToGrid w:val="0"/>
              <w:ind w:left="0" w:leftChars="0" w:right="0" w:rightChars="0" w:firstLine="0" w:firstLineChars="0"/>
              <w:jc w:val="center"/>
              <w:rPr>
                <w:rFonts w:hint="eastAsia" w:asciiTheme="minorEastAsia" w:hAnsiTheme="minorEastAsia" w:eastAsiaTheme="minorEastAsia" w:cstheme="minorEastAsia"/>
                <w:i w:val="0"/>
                <w:iCs w:val="0"/>
                <w:color w:val="auto"/>
                <w:sz w:val="21"/>
                <w:szCs w:val="21"/>
                <w:u w:val="none"/>
              </w:rPr>
            </w:pPr>
          </w:p>
        </w:tc>
      </w:tr>
      <w:tr w14:paraId="7B70C8D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402" w:hRule="atLeast"/>
        </w:trPr>
        <w:tc>
          <w:tcPr>
            <w:tcW w:w="469" w:type="dxa"/>
            <w:tcBorders>
              <w:tl2br w:val="nil"/>
              <w:tr2bl w:val="nil"/>
            </w:tcBorders>
            <w:shd w:val="clear" w:color="auto" w:fill="auto"/>
            <w:noWrap/>
            <w:vAlign w:val="center"/>
          </w:tcPr>
          <w:p w14:paraId="004351A2">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w:t>
            </w:r>
          </w:p>
        </w:tc>
        <w:tc>
          <w:tcPr>
            <w:tcW w:w="644" w:type="dxa"/>
            <w:tcBorders>
              <w:tl2br w:val="nil"/>
              <w:tr2bl w:val="nil"/>
            </w:tcBorders>
            <w:shd w:val="clear" w:color="auto" w:fill="auto"/>
            <w:vAlign w:val="center"/>
          </w:tcPr>
          <w:p w14:paraId="45724F0E">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7-9</w:t>
            </w:r>
          </w:p>
        </w:tc>
        <w:tc>
          <w:tcPr>
            <w:tcW w:w="970" w:type="dxa"/>
            <w:vMerge w:val="continue"/>
            <w:tcBorders>
              <w:tl2br w:val="nil"/>
              <w:tr2bl w:val="nil"/>
            </w:tcBorders>
            <w:shd w:val="clear" w:color="auto" w:fill="auto"/>
            <w:vAlign w:val="center"/>
          </w:tcPr>
          <w:p w14:paraId="5A35387A">
            <w:pPr>
              <w:keepNext w:val="0"/>
              <w:keepLines w:val="0"/>
              <w:widowControl/>
              <w:suppressLineNumbers w:val="0"/>
              <w:snapToGrid w:val="0"/>
              <w:ind w:left="0" w:leftChars="0" w:right="0" w:rightChars="0" w:firstLine="0" w:firstLineChars="0"/>
              <w:jc w:val="right"/>
              <w:textAlignment w:val="center"/>
              <w:rPr>
                <w:rFonts w:hint="eastAsia" w:asciiTheme="minorEastAsia" w:hAnsiTheme="minorEastAsia" w:eastAsiaTheme="minorEastAsia" w:cstheme="minorEastAsia"/>
                <w:i w:val="0"/>
                <w:iCs w:val="0"/>
                <w:color w:val="auto"/>
                <w:sz w:val="21"/>
                <w:szCs w:val="21"/>
                <w:u w:val="none"/>
              </w:rPr>
            </w:pPr>
          </w:p>
        </w:tc>
        <w:tc>
          <w:tcPr>
            <w:tcW w:w="1137" w:type="dxa"/>
            <w:tcBorders>
              <w:tl2br w:val="nil"/>
              <w:tr2bl w:val="nil"/>
            </w:tcBorders>
            <w:shd w:val="clear" w:color="auto" w:fill="auto"/>
            <w:vAlign w:val="center"/>
          </w:tcPr>
          <w:p w14:paraId="45D7B38D">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3.35296</w:t>
            </w:r>
          </w:p>
        </w:tc>
        <w:tc>
          <w:tcPr>
            <w:tcW w:w="546" w:type="dxa"/>
            <w:tcBorders>
              <w:tl2br w:val="nil"/>
              <w:tr2bl w:val="nil"/>
            </w:tcBorders>
            <w:shd w:val="clear" w:color="auto" w:fill="auto"/>
            <w:vAlign w:val="center"/>
          </w:tcPr>
          <w:p w14:paraId="7B619D32">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0.04</w:t>
            </w:r>
          </w:p>
        </w:tc>
        <w:tc>
          <w:tcPr>
            <w:tcW w:w="1164" w:type="dxa"/>
            <w:tcBorders>
              <w:tl2br w:val="nil"/>
              <w:tr2bl w:val="nil"/>
            </w:tcBorders>
            <w:shd w:val="clear" w:color="auto" w:fill="auto"/>
            <w:vAlign w:val="center"/>
          </w:tcPr>
          <w:p w14:paraId="49FCC70F">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68768.90783</w:t>
            </w:r>
          </w:p>
        </w:tc>
        <w:tc>
          <w:tcPr>
            <w:tcW w:w="1164" w:type="dxa"/>
            <w:tcBorders>
              <w:tl2br w:val="nil"/>
              <w:tr2bl w:val="nil"/>
            </w:tcBorders>
            <w:shd w:val="clear" w:color="auto" w:fill="auto"/>
            <w:vAlign w:val="center"/>
          </w:tcPr>
          <w:p w14:paraId="4002E515">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825226.894</w:t>
            </w:r>
          </w:p>
        </w:tc>
        <w:tc>
          <w:tcPr>
            <w:tcW w:w="1164" w:type="dxa"/>
            <w:tcBorders>
              <w:tl2br w:val="nil"/>
              <w:tr2bl w:val="nil"/>
            </w:tcBorders>
            <w:shd w:val="clear" w:color="auto" w:fill="auto"/>
            <w:vAlign w:val="center"/>
          </w:tcPr>
          <w:p w14:paraId="421046AD">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2475680.682</w:t>
            </w:r>
          </w:p>
        </w:tc>
        <w:tc>
          <w:tcPr>
            <w:tcW w:w="1236" w:type="dxa"/>
            <w:tcBorders>
              <w:tl2br w:val="nil"/>
              <w:tr2bl w:val="nil"/>
            </w:tcBorders>
            <w:shd w:val="clear" w:color="auto" w:fill="auto"/>
            <w:vAlign w:val="center"/>
          </w:tcPr>
          <w:p w14:paraId="57A5F24F">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6763564.506</w:t>
            </w:r>
          </w:p>
        </w:tc>
        <w:tc>
          <w:tcPr>
            <w:tcW w:w="886" w:type="dxa"/>
            <w:tcBorders>
              <w:tl2br w:val="nil"/>
              <w:tr2bl w:val="nil"/>
            </w:tcBorders>
            <w:shd w:val="clear" w:color="auto" w:fill="auto"/>
            <w:noWrap/>
            <w:vAlign w:val="center"/>
          </w:tcPr>
          <w:p w14:paraId="1AA813ED">
            <w:pPr>
              <w:snapToGrid w:val="0"/>
              <w:ind w:left="0" w:leftChars="0" w:right="0" w:rightChars="0" w:firstLine="0" w:firstLineChars="0"/>
              <w:jc w:val="center"/>
              <w:rPr>
                <w:rFonts w:hint="eastAsia" w:asciiTheme="minorEastAsia" w:hAnsiTheme="minorEastAsia" w:eastAsiaTheme="minorEastAsia" w:cstheme="minorEastAsia"/>
                <w:i w:val="0"/>
                <w:iCs w:val="0"/>
                <w:color w:val="auto"/>
                <w:sz w:val="21"/>
                <w:szCs w:val="21"/>
                <w:u w:val="none"/>
              </w:rPr>
            </w:pPr>
          </w:p>
        </w:tc>
      </w:tr>
      <w:tr w14:paraId="0141CEF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402" w:hRule="atLeast"/>
        </w:trPr>
        <w:tc>
          <w:tcPr>
            <w:tcW w:w="469" w:type="dxa"/>
            <w:tcBorders>
              <w:tl2br w:val="nil"/>
              <w:tr2bl w:val="nil"/>
            </w:tcBorders>
            <w:shd w:val="clear" w:color="auto" w:fill="auto"/>
            <w:noWrap/>
            <w:vAlign w:val="center"/>
          </w:tcPr>
          <w:p w14:paraId="7D1A01DC">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4</w:t>
            </w:r>
          </w:p>
        </w:tc>
        <w:tc>
          <w:tcPr>
            <w:tcW w:w="644" w:type="dxa"/>
            <w:tcBorders>
              <w:tl2br w:val="nil"/>
              <w:tr2bl w:val="nil"/>
            </w:tcBorders>
            <w:shd w:val="clear" w:color="auto" w:fill="auto"/>
            <w:vAlign w:val="center"/>
          </w:tcPr>
          <w:p w14:paraId="0823C9FE">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10-12</w:t>
            </w:r>
          </w:p>
        </w:tc>
        <w:tc>
          <w:tcPr>
            <w:tcW w:w="970" w:type="dxa"/>
            <w:vMerge w:val="continue"/>
            <w:tcBorders>
              <w:tl2br w:val="nil"/>
              <w:tr2bl w:val="nil"/>
            </w:tcBorders>
            <w:shd w:val="clear" w:color="auto" w:fill="auto"/>
            <w:vAlign w:val="center"/>
          </w:tcPr>
          <w:p w14:paraId="2738F5B8">
            <w:pPr>
              <w:keepNext w:val="0"/>
              <w:keepLines w:val="0"/>
              <w:widowControl/>
              <w:suppressLineNumbers w:val="0"/>
              <w:snapToGrid w:val="0"/>
              <w:ind w:left="0" w:leftChars="0" w:right="0" w:rightChars="0" w:firstLine="0" w:firstLineChars="0"/>
              <w:jc w:val="right"/>
              <w:textAlignment w:val="center"/>
              <w:rPr>
                <w:rFonts w:hint="eastAsia" w:asciiTheme="minorEastAsia" w:hAnsiTheme="minorEastAsia" w:eastAsiaTheme="minorEastAsia" w:cstheme="minorEastAsia"/>
                <w:i w:val="0"/>
                <w:iCs w:val="0"/>
                <w:color w:val="auto"/>
                <w:sz w:val="21"/>
                <w:szCs w:val="21"/>
                <w:u w:val="none"/>
              </w:rPr>
            </w:pPr>
          </w:p>
        </w:tc>
        <w:tc>
          <w:tcPr>
            <w:tcW w:w="1137" w:type="dxa"/>
            <w:tcBorders>
              <w:tl2br w:val="nil"/>
              <w:tr2bl w:val="nil"/>
            </w:tcBorders>
            <w:shd w:val="clear" w:color="auto" w:fill="auto"/>
            <w:vAlign w:val="center"/>
          </w:tcPr>
          <w:p w14:paraId="1B904323">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3.4870784</w:t>
            </w:r>
          </w:p>
        </w:tc>
        <w:tc>
          <w:tcPr>
            <w:tcW w:w="546" w:type="dxa"/>
            <w:tcBorders>
              <w:tl2br w:val="nil"/>
              <w:tr2bl w:val="nil"/>
            </w:tcBorders>
            <w:shd w:val="clear" w:color="auto" w:fill="auto"/>
            <w:vAlign w:val="center"/>
          </w:tcPr>
          <w:p w14:paraId="31F04938">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0.04</w:t>
            </w:r>
          </w:p>
        </w:tc>
        <w:tc>
          <w:tcPr>
            <w:tcW w:w="1164" w:type="dxa"/>
            <w:tcBorders>
              <w:tl2br w:val="nil"/>
              <w:tr2bl w:val="nil"/>
            </w:tcBorders>
            <w:shd w:val="clear" w:color="auto" w:fill="auto"/>
            <w:vAlign w:val="center"/>
          </w:tcPr>
          <w:p w14:paraId="3611AA6C">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71519.66415</w:t>
            </w:r>
          </w:p>
        </w:tc>
        <w:tc>
          <w:tcPr>
            <w:tcW w:w="1164" w:type="dxa"/>
            <w:tcBorders>
              <w:tl2br w:val="nil"/>
              <w:tr2bl w:val="nil"/>
            </w:tcBorders>
            <w:shd w:val="clear" w:color="auto" w:fill="auto"/>
            <w:vAlign w:val="center"/>
          </w:tcPr>
          <w:p w14:paraId="130E4706">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858235.9698</w:t>
            </w:r>
          </w:p>
        </w:tc>
        <w:tc>
          <w:tcPr>
            <w:tcW w:w="1164" w:type="dxa"/>
            <w:tcBorders>
              <w:tl2br w:val="nil"/>
              <w:tr2bl w:val="nil"/>
            </w:tcBorders>
            <w:shd w:val="clear" w:color="auto" w:fill="auto"/>
            <w:vAlign w:val="center"/>
          </w:tcPr>
          <w:p w14:paraId="12C63541">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2574707.909</w:t>
            </w:r>
          </w:p>
        </w:tc>
        <w:tc>
          <w:tcPr>
            <w:tcW w:w="1236" w:type="dxa"/>
            <w:tcBorders>
              <w:tl2br w:val="nil"/>
              <w:tr2bl w:val="nil"/>
            </w:tcBorders>
            <w:shd w:val="clear" w:color="auto" w:fill="auto"/>
            <w:vAlign w:val="center"/>
          </w:tcPr>
          <w:p w14:paraId="0C7ED6AD">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9338272.416</w:t>
            </w:r>
          </w:p>
        </w:tc>
        <w:tc>
          <w:tcPr>
            <w:tcW w:w="886" w:type="dxa"/>
            <w:tcBorders>
              <w:tl2br w:val="nil"/>
              <w:tr2bl w:val="nil"/>
            </w:tcBorders>
            <w:shd w:val="clear" w:color="auto" w:fill="auto"/>
            <w:noWrap/>
            <w:vAlign w:val="center"/>
          </w:tcPr>
          <w:p w14:paraId="6B7D284A">
            <w:pPr>
              <w:snapToGrid w:val="0"/>
              <w:ind w:left="0" w:leftChars="0" w:right="0" w:rightChars="0" w:firstLine="0" w:firstLineChars="0"/>
              <w:jc w:val="center"/>
              <w:rPr>
                <w:rFonts w:hint="eastAsia" w:asciiTheme="minorEastAsia" w:hAnsiTheme="minorEastAsia" w:eastAsiaTheme="minorEastAsia" w:cstheme="minorEastAsia"/>
                <w:i w:val="0"/>
                <w:iCs w:val="0"/>
                <w:color w:val="auto"/>
                <w:sz w:val="21"/>
                <w:szCs w:val="21"/>
                <w:u w:val="none"/>
              </w:rPr>
            </w:pPr>
          </w:p>
        </w:tc>
      </w:tr>
      <w:tr w14:paraId="75242C8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402" w:hRule="atLeast"/>
        </w:trPr>
        <w:tc>
          <w:tcPr>
            <w:tcW w:w="469" w:type="dxa"/>
            <w:tcBorders>
              <w:tl2br w:val="nil"/>
              <w:tr2bl w:val="nil"/>
            </w:tcBorders>
            <w:shd w:val="clear" w:color="auto" w:fill="auto"/>
            <w:noWrap/>
            <w:vAlign w:val="center"/>
          </w:tcPr>
          <w:p w14:paraId="63FE17AA">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5</w:t>
            </w:r>
          </w:p>
        </w:tc>
        <w:tc>
          <w:tcPr>
            <w:tcW w:w="644" w:type="dxa"/>
            <w:tcBorders>
              <w:tl2br w:val="nil"/>
              <w:tr2bl w:val="nil"/>
            </w:tcBorders>
            <w:shd w:val="clear" w:color="auto" w:fill="auto"/>
            <w:vAlign w:val="center"/>
          </w:tcPr>
          <w:p w14:paraId="609CD164">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13-15</w:t>
            </w:r>
          </w:p>
        </w:tc>
        <w:tc>
          <w:tcPr>
            <w:tcW w:w="970" w:type="dxa"/>
            <w:vMerge w:val="continue"/>
            <w:tcBorders>
              <w:tl2br w:val="nil"/>
              <w:tr2bl w:val="nil"/>
            </w:tcBorders>
            <w:shd w:val="clear" w:color="auto" w:fill="auto"/>
            <w:vAlign w:val="center"/>
          </w:tcPr>
          <w:p w14:paraId="5C994F65">
            <w:pPr>
              <w:keepNext w:val="0"/>
              <w:keepLines w:val="0"/>
              <w:widowControl/>
              <w:suppressLineNumbers w:val="0"/>
              <w:snapToGrid w:val="0"/>
              <w:ind w:left="0" w:leftChars="0" w:right="0" w:rightChars="0" w:firstLine="0" w:firstLineChars="0"/>
              <w:jc w:val="right"/>
              <w:textAlignment w:val="center"/>
              <w:rPr>
                <w:rFonts w:hint="eastAsia" w:asciiTheme="minorEastAsia" w:hAnsiTheme="minorEastAsia" w:eastAsiaTheme="minorEastAsia" w:cstheme="minorEastAsia"/>
                <w:i w:val="0"/>
                <w:iCs w:val="0"/>
                <w:color w:val="auto"/>
                <w:sz w:val="21"/>
                <w:szCs w:val="21"/>
                <w:u w:val="none"/>
              </w:rPr>
            </w:pPr>
          </w:p>
        </w:tc>
        <w:tc>
          <w:tcPr>
            <w:tcW w:w="1137" w:type="dxa"/>
            <w:tcBorders>
              <w:tl2br w:val="nil"/>
              <w:tr2bl w:val="nil"/>
            </w:tcBorders>
            <w:shd w:val="clear" w:color="auto" w:fill="auto"/>
            <w:vAlign w:val="center"/>
          </w:tcPr>
          <w:p w14:paraId="06FA2B12">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3.626561536</w:t>
            </w:r>
          </w:p>
        </w:tc>
        <w:tc>
          <w:tcPr>
            <w:tcW w:w="546" w:type="dxa"/>
            <w:tcBorders>
              <w:tl2br w:val="nil"/>
              <w:tr2bl w:val="nil"/>
            </w:tcBorders>
            <w:shd w:val="clear" w:color="auto" w:fill="auto"/>
            <w:vAlign w:val="center"/>
          </w:tcPr>
          <w:p w14:paraId="1F16EA78">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0.04</w:t>
            </w:r>
          </w:p>
        </w:tc>
        <w:tc>
          <w:tcPr>
            <w:tcW w:w="1164" w:type="dxa"/>
            <w:tcBorders>
              <w:tl2br w:val="nil"/>
              <w:tr2bl w:val="nil"/>
            </w:tcBorders>
            <w:shd w:val="clear" w:color="auto" w:fill="auto"/>
            <w:vAlign w:val="center"/>
          </w:tcPr>
          <w:p w14:paraId="4812C235">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74380.45071</w:t>
            </w:r>
          </w:p>
        </w:tc>
        <w:tc>
          <w:tcPr>
            <w:tcW w:w="1164" w:type="dxa"/>
            <w:tcBorders>
              <w:tl2br w:val="nil"/>
              <w:tr2bl w:val="nil"/>
            </w:tcBorders>
            <w:shd w:val="clear" w:color="auto" w:fill="auto"/>
            <w:vAlign w:val="center"/>
          </w:tcPr>
          <w:p w14:paraId="367488F3">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892565.4086</w:t>
            </w:r>
          </w:p>
        </w:tc>
        <w:tc>
          <w:tcPr>
            <w:tcW w:w="1164" w:type="dxa"/>
            <w:tcBorders>
              <w:tl2br w:val="nil"/>
              <w:tr2bl w:val="nil"/>
            </w:tcBorders>
            <w:shd w:val="clear" w:color="auto" w:fill="auto"/>
            <w:vAlign w:val="center"/>
          </w:tcPr>
          <w:p w14:paraId="5F7526C2">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2677696.226</w:t>
            </w:r>
          </w:p>
        </w:tc>
        <w:tc>
          <w:tcPr>
            <w:tcW w:w="1236" w:type="dxa"/>
            <w:tcBorders>
              <w:tl2br w:val="nil"/>
              <w:tr2bl w:val="nil"/>
            </w:tcBorders>
            <w:shd w:val="clear" w:color="auto" w:fill="auto"/>
            <w:vAlign w:val="center"/>
          </w:tcPr>
          <w:p w14:paraId="2756DFA4">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12015968.64</w:t>
            </w:r>
          </w:p>
        </w:tc>
        <w:tc>
          <w:tcPr>
            <w:tcW w:w="886" w:type="dxa"/>
            <w:tcBorders>
              <w:tl2br w:val="nil"/>
              <w:tr2bl w:val="nil"/>
            </w:tcBorders>
            <w:shd w:val="clear" w:color="auto" w:fill="auto"/>
            <w:noWrap/>
            <w:vAlign w:val="center"/>
          </w:tcPr>
          <w:p w14:paraId="5502283D">
            <w:pPr>
              <w:snapToGrid w:val="0"/>
              <w:ind w:left="0" w:leftChars="0" w:right="0" w:rightChars="0" w:firstLine="0" w:firstLineChars="0"/>
              <w:jc w:val="center"/>
              <w:rPr>
                <w:rFonts w:hint="eastAsia" w:asciiTheme="minorEastAsia" w:hAnsiTheme="minorEastAsia" w:eastAsiaTheme="minorEastAsia" w:cstheme="minorEastAsia"/>
                <w:i w:val="0"/>
                <w:iCs w:val="0"/>
                <w:color w:val="auto"/>
                <w:sz w:val="21"/>
                <w:szCs w:val="21"/>
                <w:u w:val="none"/>
              </w:rPr>
            </w:pPr>
          </w:p>
        </w:tc>
      </w:tr>
      <w:tr w14:paraId="0189D9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402" w:hRule="atLeast"/>
        </w:trPr>
        <w:tc>
          <w:tcPr>
            <w:tcW w:w="469" w:type="dxa"/>
            <w:tcBorders>
              <w:tl2br w:val="nil"/>
              <w:tr2bl w:val="nil"/>
            </w:tcBorders>
            <w:shd w:val="clear" w:color="auto" w:fill="auto"/>
            <w:noWrap/>
            <w:vAlign w:val="center"/>
          </w:tcPr>
          <w:p w14:paraId="067EAC43">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6</w:t>
            </w:r>
          </w:p>
        </w:tc>
        <w:tc>
          <w:tcPr>
            <w:tcW w:w="644" w:type="dxa"/>
            <w:tcBorders>
              <w:tl2br w:val="nil"/>
              <w:tr2bl w:val="nil"/>
            </w:tcBorders>
            <w:shd w:val="clear" w:color="auto" w:fill="auto"/>
            <w:vAlign w:val="center"/>
          </w:tcPr>
          <w:p w14:paraId="32657373">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16-18</w:t>
            </w:r>
          </w:p>
        </w:tc>
        <w:tc>
          <w:tcPr>
            <w:tcW w:w="970" w:type="dxa"/>
            <w:vMerge w:val="continue"/>
            <w:tcBorders>
              <w:tl2br w:val="nil"/>
              <w:tr2bl w:val="nil"/>
            </w:tcBorders>
            <w:shd w:val="clear" w:color="auto" w:fill="auto"/>
            <w:vAlign w:val="center"/>
          </w:tcPr>
          <w:p w14:paraId="143F84EF">
            <w:pPr>
              <w:keepNext w:val="0"/>
              <w:keepLines w:val="0"/>
              <w:widowControl/>
              <w:suppressLineNumbers w:val="0"/>
              <w:snapToGrid w:val="0"/>
              <w:ind w:left="0" w:leftChars="0" w:right="0" w:rightChars="0" w:firstLine="0" w:firstLineChars="0"/>
              <w:jc w:val="right"/>
              <w:textAlignment w:val="center"/>
              <w:rPr>
                <w:rFonts w:hint="eastAsia" w:asciiTheme="minorEastAsia" w:hAnsiTheme="minorEastAsia" w:eastAsiaTheme="minorEastAsia" w:cstheme="minorEastAsia"/>
                <w:i w:val="0"/>
                <w:iCs w:val="0"/>
                <w:color w:val="auto"/>
                <w:sz w:val="21"/>
                <w:szCs w:val="21"/>
                <w:u w:val="none"/>
              </w:rPr>
            </w:pPr>
          </w:p>
        </w:tc>
        <w:tc>
          <w:tcPr>
            <w:tcW w:w="1137" w:type="dxa"/>
            <w:tcBorders>
              <w:tl2br w:val="nil"/>
              <w:tr2bl w:val="nil"/>
            </w:tcBorders>
            <w:shd w:val="clear" w:color="auto" w:fill="auto"/>
            <w:vAlign w:val="center"/>
          </w:tcPr>
          <w:p w14:paraId="7A224A85">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3.771623997</w:t>
            </w:r>
          </w:p>
        </w:tc>
        <w:tc>
          <w:tcPr>
            <w:tcW w:w="546" w:type="dxa"/>
            <w:tcBorders>
              <w:tl2br w:val="nil"/>
              <w:tr2bl w:val="nil"/>
            </w:tcBorders>
            <w:shd w:val="clear" w:color="auto" w:fill="auto"/>
            <w:vAlign w:val="center"/>
          </w:tcPr>
          <w:p w14:paraId="08A75E68">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0.04</w:t>
            </w:r>
          </w:p>
        </w:tc>
        <w:tc>
          <w:tcPr>
            <w:tcW w:w="1164" w:type="dxa"/>
            <w:tcBorders>
              <w:tl2br w:val="nil"/>
              <w:tr2bl w:val="nil"/>
            </w:tcBorders>
            <w:shd w:val="clear" w:color="auto" w:fill="auto"/>
            <w:vAlign w:val="center"/>
          </w:tcPr>
          <w:p w14:paraId="4D9580EB">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77355.66874</w:t>
            </w:r>
          </w:p>
        </w:tc>
        <w:tc>
          <w:tcPr>
            <w:tcW w:w="1164" w:type="dxa"/>
            <w:tcBorders>
              <w:tl2br w:val="nil"/>
              <w:tr2bl w:val="nil"/>
            </w:tcBorders>
            <w:shd w:val="clear" w:color="auto" w:fill="auto"/>
            <w:vAlign w:val="center"/>
          </w:tcPr>
          <w:p w14:paraId="32DAA296">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928268.0249</w:t>
            </w:r>
          </w:p>
        </w:tc>
        <w:tc>
          <w:tcPr>
            <w:tcW w:w="1164" w:type="dxa"/>
            <w:tcBorders>
              <w:tl2br w:val="nil"/>
              <w:tr2bl w:val="nil"/>
            </w:tcBorders>
            <w:shd w:val="clear" w:color="auto" w:fill="auto"/>
            <w:vAlign w:val="center"/>
          </w:tcPr>
          <w:p w14:paraId="2BF3694A">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2784804.075</w:t>
            </w:r>
          </w:p>
        </w:tc>
        <w:tc>
          <w:tcPr>
            <w:tcW w:w="1236" w:type="dxa"/>
            <w:tcBorders>
              <w:tl2br w:val="nil"/>
              <w:tr2bl w:val="nil"/>
            </w:tcBorders>
            <w:shd w:val="clear" w:color="auto" w:fill="auto"/>
            <w:vAlign w:val="center"/>
          </w:tcPr>
          <w:p w14:paraId="15E2ACCC">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14800772.72</w:t>
            </w:r>
          </w:p>
        </w:tc>
        <w:tc>
          <w:tcPr>
            <w:tcW w:w="886" w:type="dxa"/>
            <w:tcBorders>
              <w:tl2br w:val="nil"/>
              <w:tr2bl w:val="nil"/>
            </w:tcBorders>
            <w:shd w:val="clear" w:color="auto" w:fill="auto"/>
            <w:noWrap/>
            <w:vAlign w:val="center"/>
          </w:tcPr>
          <w:p w14:paraId="1E7D22AE">
            <w:pPr>
              <w:snapToGrid w:val="0"/>
              <w:ind w:left="0" w:leftChars="0" w:right="0" w:rightChars="0" w:firstLine="0" w:firstLineChars="0"/>
              <w:jc w:val="center"/>
              <w:rPr>
                <w:rFonts w:hint="eastAsia" w:asciiTheme="minorEastAsia" w:hAnsiTheme="minorEastAsia" w:eastAsiaTheme="minorEastAsia" w:cstheme="minorEastAsia"/>
                <w:i w:val="0"/>
                <w:iCs w:val="0"/>
                <w:color w:val="auto"/>
                <w:sz w:val="21"/>
                <w:szCs w:val="21"/>
                <w:u w:val="none"/>
              </w:rPr>
            </w:pPr>
          </w:p>
        </w:tc>
      </w:tr>
      <w:tr w14:paraId="0D20D90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402" w:hRule="atLeast"/>
        </w:trPr>
        <w:tc>
          <w:tcPr>
            <w:tcW w:w="469" w:type="dxa"/>
            <w:tcBorders>
              <w:tl2br w:val="nil"/>
              <w:tr2bl w:val="nil"/>
            </w:tcBorders>
            <w:shd w:val="clear" w:color="auto" w:fill="auto"/>
            <w:noWrap/>
            <w:vAlign w:val="center"/>
          </w:tcPr>
          <w:p w14:paraId="13971F35">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7</w:t>
            </w:r>
          </w:p>
        </w:tc>
        <w:tc>
          <w:tcPr>
            <w:tcW w:w="644" w:type="dxa"/>
            <w:tcBorders>
              <w:tl2br w:val="nil"/>
              <w:tr2bl w:val="nil"/>
            </w:tcBorders>
            <w:shd w:val="clear" w:color="auto" w:fill="auto"/>
            <w:vAlign w:val="center"/>
          </w:tcPr>
          <w:p w14:paraId="05060C68">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19-20</w:t>
            </w:r>
          </w:p>
        </w:tc>
        <w:tc>
          <w:tcPr>
            <w:tcW w:w="970" w:type="dxa"/>
            <w:vMerge w:val="continue"/>
            <w:tcBorders>
              <w:tl2br w:val="nil"/>
              <w:tr2bl w:val="nil"/>
            </w:tcBorders>
            <w:shd w:val="clear" w:color="auto" w:fill="auto"/>
            <w:vAlign w:val="center"/>
          </w:tcPr>
          <w:p w14:paraId="30B54B7A">
            <w:pPr>
              <w:keepNext w:val="0"/>
              <w:keepLines w:val="0"/>
              <w:widowControl/>
              <w:suppressLineNumbers w:val="0"/>
              <w:snapToGrid w:val="0"/>
              <w:ind w:left="0" w:leftChars="0" w:right="0" w:rightChars="0" w:firstLine="0" w:firstLineChars="0"/>
              <w:jc w:val="right"/>
              <w:textAlignment w:val="center"/>
              <w:rPr>
                <w:rFonts w:hint="eastAsia" w:asciiTheme="minorEastAsia" w:hAnsiTheme="minorEastAsia" w:eastAsiaTheme="minorEastAsia" w:cstheme="minorEastAsia"/>
                <w:i w:val="0"/>
                <w:iCs w:val="0"/>
                <w:color w:val="auto"/>
                <w:sz w:val="21"/>
                <w:szCs w:val="21"/>
                <w:u w:val="none"/>
              </w:rPr>
            </w:pPr>
          </w:p>
        </w:tc>
        <w:tc>
          <w:tcPr>
            <w:tcW w:w="1137" w:type="dxa"/>
            <w:tcBorders>
              <w:tl2br w:val="nil"/>
              <w:tr2bl w:val="nil"/>
            </w:tcBorders>
            <w:shd w:val="clear" w:color="auto" w:fill="auto"/>
            <w:vAlign w:val="center"/>
          </w:tcPr>
          <w:p w14:paraId="21F4E6A2">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3.922488957</w:t>
            </w:r>
          </w:p>
        </w:tc>
        <w:tc>
          <w:tcPr>
            <w:tcW w:w="546" w:type="dxa"/>
            <w:tcBorders>
              <w:tl2br w:val="nil"/>
              <w:tr2bl w:val="nil"/>
            </w:tcBorders>
            <w:shd w:val="clear" w:color="auto" w:fill="auto"/>
            <w:vAlign w:val="center"/>
          </w:tcPr>
          <w:p w14:paraId="68148F5B">
            <w:pPr>
              <w:snapToGrid w:val="0"/>
              <w:ind w:left="0" w:leftChars="0" w:right="0" w:rightChars="0" w:firstLine="0" w:firstLineChars="0"/>
              <w:jc w:val="center"/>
              <w:rPr>
                <w:rFonts w:hint="eastAsia" w:asciiTheme="minorEastAsia" w:hAnsiTheme="minorEastAsia" w:eastAsiaTheme="minorEastAsia" w:cstheme="minorEastAsia"/>
                <w:i w:val="0"/>
                <w:iCs w:val="0"/>
                <w:color w:val="auto"/>
                <w:sz w:val="21"/>
                <w:szCs w:val="21"/>
                <w:u w:val="none"/>
              </w:rPr>
            </w:pPr>
          </w:p>
        </w:tc>
        <w:tc>
          <w:tcPr>
            <w:tcW w:w="1164" w:type="dxa"/>
            <w:tcBorders>
              <w:tl2br w:val="nil"/>
              <w:tr2bl w:val="nil"/>
            </w:tcBorders>
            <w:shd w:val="clear" w:color="auto" w:fill="auto"/>
            <w:vAlign w:val="center"/>
          </w:tcPr>
          <w:p w14:paraId="3661E747">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80449.89549</w:t>
            </w:r>
          </w:p>
        </w:tc>
        <w:tc>
          <w:tcPr>
            <w:tcW w:w="1164" w:type="dxa"/>
            <w:tcBorders>
              <w:tl2br w:val="nil"/>
              <w:tr2bl w:val="nil"/>
            </w:tcBorders>
            <w:shd w:val="clear" w:color="auto" w:fill="auto"/>
            <w:vAlign w:val="center"/>
          </w:tcPr>
          <w:p w14:paraId="5590B034">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965398.7459</w:t>
            </w:r>
          </w:p>
        </w:tc>
        <w:tc>
          <w:tcPr>
            <w:tcW w:w="1164" w:type="dxa"/>
            <w:tcBorders>
              <w:tl2br w:val="nil"/>
              <w:tr2bl w:val="nil"/>
            </w:tcBorders>
            <w:shd w:val="clear" w:color="auto" w:fill="auto"/>
            <w:vAlign w:val="center"/>
          </w:tcPr>
          <w:p w14:paraId="2B661021">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1930797.492</w:t>
            </w:r>
          </w:p>
        </w:tc>
        <w:tc>
          <w:tcPr>
            <w:tcW w:w="1236" w:type="dxa"/>
            <w:tcBorders>
              <w:tl2br w:val="nil"/>
              <w:tr2bl w:val="nil"/>
            </w:tcBorders>
            <w:shd w:val="clear" w:color="auto" w:fill="auto"/>
            <w:vAlign w:val="center"/>
          </w:tcPr>
          <w:p w14:paraId="43155979">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16731570.21</w:t>
            </w:r>
          </w:p>
        </w:tc>
        <w:tc>
          <w:tcPr>
            <w:tcW w:w="886" w:type="dxa"/>
            <w:tcBorders>
              <w:tl2br w:val="nil"/>
              <w:tr2bl w:val="nil"/>
            </w:tcBorders>
            <w:shd w:val="clear" w:color="auto" w:fill="auto"/>
            <w:noWrap/>
            <w:vAlign w:val="center"/>
          </w:tcPr>
          <w:p w14:paraId="2D842FD1">
            <w:pPr>
              <w:snapToGrid w:val="0"/>
              <w:ind w:left="0" w:leftChars="0" w:right="0" w:rightChars="0" w:firstLine="0" w:firstLineChars="0"/>
              <w:jc w:val="center"/>
              <w:rPr>
                <w:rFonts w:hint="eastAsia" w:asciiTheme="minorEastAsia" w:hAnsiTheme="minorEastAsia" w:eastAsiaTheme="minorEastAsia" w:cstheme="minorEastAsia"/>
                <w:i w:val="0"/>
                <w:iCs w:val="0"/>
                <w:color w:val="auto"/>
                <w:sz w:val="21"/>
                <w:szCs w:val="21"/>
                <w:u w:val="none"/>
              </w:rPr>
            </w:pPr>
          </w:p>
        </w:tc>
      </w:tr>
      <w:tr w14:paraId="777A034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402" w:hRule="atLeast"/>
        </w:trPr>
        <w:tc>
          <w:tcPr>
            <w:tcW w:w="1113" w:type="dxa"/>
            <w:gridSpan w:val="2"/>
            <w:tcBorders>
              <w:tl2br w:val="nil"/>
              <w:tr2bl w:val="nil"/>
            </w:tcBorders>
            <w:shd w:val="clear" w:color="auto" w:fill="auto"/>
            <w:vAlign w:val="center"/>
          </w:tcPr>
          <w:p w14:paraId="2A151644">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合计：</w:t>
            </w:r>
          </w:p>
        </w:tc>
        <w:tc>
          <w:tcPr>
            <w:tcW w:w="970" w:type="dxa"/>
            <w:tcBorders>
              <w:tl2br w:val="nil"/>
              <w:tr2bl w:val="nil"/>
            </w:tcBorders>
            <w:shd w:val="clear" w:color="auto" w:fill="auto"/>
            <w:noWrap/>
            <w:vAlign w:val="center"/>
          </w:tcPr>
          <w:p w14:paraId="33EF9FD8">
            <w:pPr>
              <w:snapToGrid w:val="0"/>
              <w:ind w:left="0" w:leftChars="0" w:right="0" w:rightChars="0" w:firstLine="0" w:firstLineChars="0"/>
              <w:jc w:val="center"/>
              <w:rPr>
                <w:rFonts w:hint="eastAsia" w:asciiTheme="minorEastAsia" w:hAnsiTheme="minorEastAsia" w:eastAsiaTheme="minorEastAsia" w:cstheme="minorEastAsia"/>
                <w:b/>
                <w:i w:val="0"/>
                <w:iCs w:val="0"/>
                <w:color w:val="auto"/>
                <w:sz w:val="21"/>
                <w:szCs w:val="21"/>
                <w:u w:val="none"/>
              </w:rPr>
            </w:pPr>
          </w:p>
        </w:tc>
        <w:tc>
          <w:tcPr>
            <w:tcW w:w="1137" w:type="dxa"/>
            <w:tcBorders>
              <w:tl2br w:val="nil"/>
              <w:tr2bl w:val="nil"/>
            </w:tcBorders>
            <w:shd w:val="clear" w:color="auto" w:fill="auto"/>
            <w:noWrap/>
            <w:vAlign w:val="center"/>
          </w:tcPr>
          <w:p w14:paraId="14C29A50">
            <w:pPr>
              <w:snapToGrid w:val="0"/>
              <w:ind w:left="0" w:leftChars="0" w:right="0" w:rightChars="0" w:firstLine="0" w:firstLineChars="0"/>
              <w:jc w:val="center"/>
              <w:rPr>
                <w:rFonts w:hint="eastAsia" w:asciiTheme="minorEastAsia" w:hAnsiTheme="minorEastAsia" w:eastAsiaTheme="minorEastAsia" w:cstheme="minorEastAsia"/>
                <w:b/>
                <w:i w:val="0"/>
                <w:iCs w:val="0"/>
                <w:color w:val="auto"/>
                <w:sz w:val="21"/>
                <w:szCs w:val="21"/>
                <w:u w:val="none"/>
              </w:rPr>
            </w:pPr>
          </w:p>
        </w:tc>
        <w:tc>
          <w:tcPr>
            <w:tcW w:w="546" w:type="dxa"/>
            <w:tcBorders>
              <w:tl2br w:val="nil"/>
              <w:tr2bl w:val="nil"/>
            </w:tcBorders>
            <w:shd w:val="clear" w:color="auto" w:fill="auto"/>
            <w:noWrap/>
            <w:vAlign w:val="center"/>
          </w:tcPr>
          <w:p w14:paraId="6273192F">
            <w:pPr>
              <w:snapToGrid w:val="0"/>
              <w:ind w:left="0" w:leftChars="0" w:right="0" w:rightChars="0" w:firstLine="0" w:firstLineChars="0"/>
              <w:jc w:val="center"/>
              <w:rPr>
                <w:rFonts w:hint="eastAsia" w:asciiTheme="minorEastAsia" w:hAnsiTheme="minorEastAsia" w:eastAsiaTheme="minorEastAsia" w:cstheme="minorEastAsia"/>
                <w:b/>
                <w:i w:val="0"/>
                <w:iCs w:val="0"/>
                <w:color w:val="auto"/>
                <w:sz w:val="21"/>
                <w:szCs w:val="21"/>
                <w:u w:val="none"/>
              </w:rPr>
            </w:pPr>
          </w:p>
        </w:tc>
        <w:tc>
          <w:tcPr>
            <w:tcW w:w="1164" w:type="dxa"/>
            <w:tcBorders>
              <w:tl2br w:val="nil"/>
              <w:tr2bl w:val="nil"/>
            </w:tcBorders>
            <w:shd w:val="clear" w:color="auto" w:fill="auto"/>
            <w:noWrap/>
            <w:vAlign w:val="center"/>
          </w:tcPr>
          <w:p w14:paraId="2C23BC5D">
            <w:pPr>
              <w:snapToGrid w:val="0"/>
              <w:ind w:left="0" w:leftChars="0" w:right="0" w:rightChars="0" w:firstLine="0" w:firstLineChars="0"/>
              <w:jc w:val="center"/>
              <w:rPr>
                <w:rFonts w:hint="eastAsia" w:asciiTheme="minorEastAsia" w:hAnsiTheme="minorEastAsia" w:eastAsiaTheme="minorEastAsia" w:cstheme="minorEastAsia"/>
                <w:b/>
                <w:i w:val="0"/>
                <w:iCs w:val="0"/>
                <w:color w:val="auto"/>
                <w:sz w:val="21"/>
                <w:szCs w:val="21"/>
                <w:u w:val="none"/>
              </w:rPr>
            </w:pPr>
          </w:p>
        </w:tc>
        <w:tc>
          <w:tcPr>
            <w:tcW w:w="1164" w:type="dxa"/>
            <w:tcBorders>
              <w:tl2br w:val="nil"/>
              <w:tr2bl w:val="nil"/>
            </w:tcBorders>
            <w:shd w:val="clear" w:color="auto" w:fill="auto"/>
            <w:noWrap/>
            <w:vAlign w:val="center"/>
          </w:tcPr>
          <w:p w14:paraId="45091057">
            <w:pPr>
              <w:snapToGrid w:val="0"/>
              <w:ind w:left="0" w:leftChars="0" w:right="0" w:rightChars="0" w:firstLine="0" w:firstLineChars="0"/>
              <w:jc w:val="center"/>
              <w:rPr>
                <w:rFonts w:hint="eastAsia" w:asciiTheme="minorEastAsia" w:hAnsiTheme="minorEastAsia" w:eastAsiaTheme="minorEastAsia" w:cstheme="minorEastAsia"/>
                <w:b/>
                <w:i w:val="0"/>
                <w:iCs w:val="0"/>
                <w:color w:val="auto"/>
                <w:sz w:val="21"/>
                <w:szCs w:val="21"/>
                <w:u w:val="none"/>
              </w:rPr>
            </w:pPr>
          </w:p>
        </w:tc>
        <w:tc>
          <w:tcPr>
            <w:tcW w:w="1164" w:type="dxa"/>
            <w:tcBorders>
              <w:tl2br w:val="nil"/>
              <w:tr2bl w:val="nil"/>
            </w:tcBorders>
            <w:shd w:val="clear" w:color="auto" w:fill="auto"/>
            <w:noWrap/>
            <w:vAlign w:val="center"/>
          </w:tcPr>
          <w:p w14:paraId="1E5C9773">
            <w:pPr>
              <w:keepNext w:val="0"/>
              <w:keepLines w:val="0"/>
              <w:widowControl/>
              <w:suppressLineNumbers w:val="0"/>
              <w:snapToGrid w:val="0"/>
              <w:ind w:left="0" w:leftChars="0" w:right="0" w:rightChars="0" w:firstLine="0" w:firstLineChars="0"/>
              <w:jc w:val="center"/>
              <w:textAlignment w:val="center"/>
              <w:rPr>
                <w:rFonts w:hint="eastAsia" w:asciiTheme="minorEastAsia" w:hAnsiTheme="minorEastAsia" w:eastAsiaTheme="minorEastAsia" w:cstheme="minorEastAsia"/>
                <w:b/>
                <w:bCs/>
                <w:i w:val="0"/>
                <w:iCs w:val="0"/>
                <w:color w:val="auto"/>
                <w:sz w:val="21"/>
                <w:szCs w:val="21"/>
                <w:u w:val="none"/>
              </w:rPr>
            </w:pPr>
            <w:r>
              <w:rPr>
                <w:rFonts w:hint="eastAsia" w:asciiTheme="minorEastAsia" w:hAnsiTheme="minorEastAsia" w:eastAsiaTheme="minorEastAsia" w:cstheme="minorEastAsia"/>
                <w:b/>
                <w:bCs/>
                <w:i w:val="0"/>
                <w:iCs w:val="0"/>
                <w:color w:val="auto"/>
                <w:kern w:val="0"/>
                <w:sz w:val="21"/>
                <w:szCs w:val="21"/>
                <w:u w:val="none"/>
                <w:lang w:val="en-US" w:eastAsia="zh-CN" w:bidi="ar"/>
              </w:rPr>
              <w:t>16731570.21</w:t>
            </w:r>
          </w:p>
        </w:tc>
        <w:tc>
          <w:tcPr>
            <w:tcW w:w="1236" w:type="dxa"/>
            <w:tcBorders>
              <w:tl2br w:val="nil"/>
              <w:tr2bl w:val="nil"/>
            </w:tcBorders>
            <w:shd w:val="clear" w:color="auto" w:fill="auto"/>
            <w:noWrap/>
            <w:vAlign w:val="center"/>
          </w:tcPr>
          <w:p w14:paraId="243E888D">
            <w:pPr>
              <w:snapToGrid w:val="0"/>
              <w:ind w:left="0" w:leftChars="0" w:right="0" w:rightChars="0" w:firstLine="0" w:firstLineChars="0"/>
              <w:jc w:val="center"/>
              <w:rPr>
                <w:rFonts w:hint="eastAsia" w:asciiTheme="minorEastAsia" w:hAnsiTheme="minorEastAsia" w:eastAsiaTheme="minorEastAsia" w:cstheme="minorEastAsia"/>
                <w:b/>
                <w:i w:val="0"/>
                <w:iCs w:val="0"/>
                <w:color w:val="auto"/>
                <w:sz w:val="21"/>
                <w:szCs w:val="21"/>
                <w:u w:val="none"/>
              </w:rPr>
            </w:pPr>
          </w:p>
        </w:tc>
        <w:tc>
          <w:tcPr>
            <w:tcW w:w="886" w:type="dxa"/>
            <w:tcBorders>
              <w:tl2br w:val="nil"/>
              <w:tr2bl w:val="nil"/>
            </w:tcBorders>
            <w:shd w:val="clear" w:color="auto" w:fill="auto"/>
            <w:noWrap/>
            <w:vAlign w:val="center"/>
          </w:tcPr>
          <w:p w14:paraId="3E931523">
            <w:pPr>
              <w:snapToGrid w:val="0"/>
              <w:ind w:left="0" w:leftChars="0" w:right="0" w:rightChars="0" w:firstLine="0" w:firstLineChars="0"/>
              <w:jc w:val="center"/>
              <w:rPr>
                <w:rFonts w:hint="eastAsia" w:asciiTheme="minorEastAsia" w:hAnsiTheme="minorEastAsia" w:eastAsiaTheme="minorEastAsia" w:cstheme="minorEastAsia"/>
                <w:b/>
                <w:i w:val="0"/>
                <w:iCs w:val="0"/>
                <w:color w:val="auto"/>
                <w:sz w:val="21"/>
                <w:szCs w:val="21"/>
                <w:u w:val="none"/>
              </w:rPr>
            </w:pPr>
          </w:p>
        </w:tc>
      </w:tr>
      <w:tr w14:paraId="1BAF6C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617" w:hRule="atLeast"/>
        </w:trPr>
        <w:tc>
          <w:tcPr>
            <w:tcW w:w="9380" w:type="dxa"/>
            <w:gridSpan w:val="10"/>
            <w:tcBorders>
              <w:tl2br w:val="nil"/>
              <w:tr2bl w:val="nil"/>
            </w:tcBorders>
            <w:shd w:val="clear" w:color="auto" w:fill="auto"/>
            <w:vAlign w:val="center"/>
          </w:tcPr>
          <w:p w14:paraId="49572D9E">
            <w:pPr>
              <w:keepNext w:val="0"/>
              <w:keepLines w:val="0"/>
              <w:widowControl/>
              <w:suppressLineNumbers w:val="0"/>
              <w:snapToGrid w:val="0"/>
              <w:ind w:left="0" w:leftChars="0" w:right="0" w:rightChars="0" w:firstLine="0" w:firstLineChars="0"/>
              <w:jc w:val="left"/>
              <w:textAlignment w:val="center"/>
              <w:rPr>
                <w:rFonts w:hint="eastAsia" w:asciiTheme="minorEastAsia" w:hAnsiTheme="minorEastAsia" w:eastAsiaTheme="minorEastAsia" w:cstheme="minorEastAsia"/>
                <w:i w:val="0"/>
                <w:iCs w:val="0"/>
                <w:color w:val="auto"/>
                <w:sz w:val="21"/>
                <w:szCs w:val="21"/>
                <w:u w:val="none"/>
              </w:rPr>
            </w:pPr>
            <w:r>
              <w:rPr>
                <w:rFonts w:hint="eastAsia" w:asciiTheme="minorEastAsia" w:hAnsiTheme="minorEastAsia" w:eastAsiaTheme="minorEastAsia" w:cstheme="minorEastAsia"/>
                <w:i w:val="0"/>
                <w:iCs w:val="0"/>
                <w:color w:val="auto"/>
                <w:kern w:val="0"/>
                <w:sz w:val="21"/>
                <w:szCs w:val="21"/>
                <w:u w:val="none"/>
                <w:lang w:val="en-US" w:eastAsia="zh-CN" w:bidi="ar"/>
              </w:rPr>
              <w:t>备注：起始收益金：3.1元/㎡/月；运营面积：20,509.91㎡；递增规则：每3年复利递增4%；免收益分成期：6个月；测算周期：20年。</w:t>
            </w:r>
          </w:p>
        </w:tc>
      </w:tr>
    </w:tbl>
    <w:p w14:paraId="7CA143AE">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3.政府方违约</w:t>
      </w:r>
    </w:p>
    <w:p w14:paraId="477D4CD5">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存在如下政府方违约事件时，社会化运营单位有权立即发出终止意向通知，并有权按照实际损失要求政府方赔偿，政府方全额退还运营保障金：</w:t>
      </w:r>
    </w:p>
    <w:p w14:paraId="32266E84">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① 非政策变动及不可抗力因素，政府方要求社会化运营单位强制退出的；</w:t>
      </w:r>
    </w:p>
    <w:p w14:paraId="4500E60D">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② 政府方未履行其在合同项下的任何其它义务构成对合同的实质性违约，导致社会资本方无法正常运营的。</w:t>
      </w:r>
    </w:p>
    <w:p w14:paraId="024BC342">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lang w:val="en-US" w:eastAsia="zh-CN"/>
        </w:rPr>
      </w:pPr>
      <w:r>
        <w:rPr>
          <w:rFonts w:hint="eastAsia" w:ascii="宋体" w:hAnsi="宋体" w:eastAsia="宋体" w:cs="宋体"/>
          <w:b w:val="0"/>
          <w:bCs w:val="0"/>
          <w:color w:val="auto"/>
          <w:sz w:val="21"/>
          <w:szCs w:val="21"/>
          <w:highlight w:val="none"/>
          <w:lang w:val="en-US" w:eastAsia="zh-CN"/>
        </w:rPr>
        <w:t>3.因不可抗力事件导致退出</w:t>
      </w:r>
    </w:p>
    <w:p w14:paraId="7465A485">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highlight w:val="none"/>
        </w:rPr>
      </w:pPr>
      <w:r>
        <w:rPr>
          <w:rFonts w:hint="eastAsia" w:ascii="宋体" w:hAnsi="宋体" w:eastAsia="宋体" w:cs="宋体"/>
          <w:b w:val="0"/>
          <w:bCs w:val="0"/>
          <w:color w:val="auto"/>
          <w:sz w:val="21"/>
          <w:szCs w:val="21"/>
          <w:highlight w:val="none"/>
          <w:lang w:val="en-US" w:eastAsia="zh-CN"/>
        </w:rPr>
        <w:t>在合同执行过程中，确系人力不可抗拒因素（如征拆、地震、台风、洪水、战争等）影响合同执行时，双方视具体情况酌情处理，政府方全额退还运营保障金，社会资本方配合做好老人安置及资产移交工作，双方互不承担违约责任。</w:t>
      </w:r>
    </w:p>
    <w:p w14:paraId="04F6B6A7">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b/>
          <w:bCs/>
          <w:color w:val="auto"/>
          <w:sz w:val="21"/>
          <w:szCs w:val="21"/>
          <w:highlight w:val="none"/>
        </w:rPr>
      </w:pPr>
    </w:p>
    <w:p w14:paraId="63F6B658">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b/>
          <w:bCs/>
          <w:color w:val="auto"/>
          <w:sz w:val="21"/>
          <w:szCs w:val="21"/>
          <w:highlight w:val="none"/>
        </w:rPr>
      </w:pPr>
      <w:r>
        <w:rPr>
          <w:rFonts w:hint="eastAsia" w:ascii="宋体" w:hAnsi="宋体" w:eastAsia="宋体" w:cs="宋体"/>
          <w:b/>
          <w:bCs/>
          <w:color w:val="auto"/>
          <w:sz w:val="21"/>
          <w:szCs w:val="21"/>
          <w:highlight w:val="none"/>
        </w:rPr>
        <w:t>十</w:t>
      </w:r>
      <w:r>
        <w:rPr>
          <w:rFonts w:hint="eastAsia" w:ascii="宋体" w:hAnsi="宋体" w:eastAsia="宋体" w:cs="宋体"/>
          <w:b/>
          <w:bCs/>
          <w:color w:val="auto"/>
          <w:sz w:val="21"/>
          <w:szCs w:val="21"/>
          <w:highlight w:val="none"/>
          <w:lang w:val="en-US" w:eastAsia="zh-CN"/>
        </w:rPr>
        <w:t>二</w:t>
      </w:r>
      <w:r>
        <w:rPr>
          <w:rFonts w:hint="eastAsia" w:ascii="宋体" w:hAnsi="宋体" w:eastAsia="宋体" w:cs="宋体"/>
          <w:b/>
          <w:bCs/>
          <w:color w:val="auto"/>
          <w:sz w:val="21"/>
          <w:szCs w:val="21"/>
          <w:highlight w:val="none"/>
        </w:rPr>
        <w:t>、违约责任与赔偿损失</w:t>
      </w:r>
    </w:p>
    <w:p w14:paraId="059DC1A9">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（一）甲方应保证：</w:t>
      </w:r>
    </w:p>
    <w:p w14:paraId="11BBB75B">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1.享有对</w:t>
      </w:r>
      <w:r>
        <w:rPr>
          <w:rFonts w:hint="eastAsia" w:ascii="宋体" w:hAnsi="宋体" w:eastAsia="宋体" w:cs="宋体"/>
          <w:color w:val="auto"/>
          <w:sz w:val="21"/>
          <w:szCs w:val="21"/>
          <w:highlight w:val="none"/>
          <w:lang w:eastAsia="zh-CN"/>
        </w:rPr>
        <w:t>韶关市武江区养老服务中心（一期）</w:t>
      </w:r>
      <w:r>
        <w:rPr>
          <w:rFonts w:hint="eastAsia" w:ascii="宋体" w:hAnsi="宋体" w:eastAsia="宋体" w:cs="宋体"/>
          <w:color w:val="auto"/>
          <w:sz w:val="21"/>
          <w:szCs w:val="21"/>
          <w:highlight w:val="none"/>
        </w:rPr>
        <w:t>不动产包括土地、房屋及移交给乙方的有关设施的所有权和使用权，如因权属产生争议，甲方应予解决，如因此造成乙方无法正常运营的，应赔偿乙方的损失；</w:t>
      </w:r>
    </w:p>
    <w:p w14:paraId="632BBE85">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2.不得无理对乙方的自主运营进行干涉，或以国家法律法规及政策以外的情况变化为由要求乙方停止运营；</w:t>
      </w:r>
    </w:p>
    <w:p w14:paraId="05D0E25A">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3.不得无理扣押或侵占应支付给乙方的财政拨款，从而影响乙方的正常运营。</w:t>
      </w:r>
    </w:p>
    <w:p w14:paraId="1D216A63">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（二）乙方应保证：</w:t>
      </w:r>
    </w:p>
    <w:p w14:paraId="1E117262">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1.按时足额投入资金，保证</w:t>
      </w:r>
      <w:r>
        <w:rPr>
          <w:rFonts w:hint="eastAsia" w:ascii="宋体" w:hAnsi="宋体" w:eastAsia="宋体" w:cs="宋体"/>
          <w:color w:val="auto"/>
          <w:sz w:val="21"/>
          <w:szCs w:val="21"/>
          <w:highlight w:val="none"/>
          <w:lang w:eastAsia="zh-CN"/>
        </w:rPr>
        <w:t>韶关市武江区养老服务中心（一期）</w:t>
      </w:r>
      <w:r>
        <w:rPr>
          <w:rFonts w:hint="eastAsia" w:ascii="宋体" w:hAnsi="宋体" w:eastAsia="宋体" w:cs="宋体"/>
          <w:color w:val="auto"/>
          <w:sz w:val="21"/>
          <w:szCs w:val="21"/>
          <w:highlight w:val="none"/>
        </w:rPr>
        <w:t>的正常运营和运作；</w:t>
      </w:r>
    </w:p>
    <w:p w14:paraId="3280A5E4">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2.按相关的法律法规、规章的规定运营；</w:t>
      </w:r>
    </w:p>
    <w:p w14:paraId="13A61614">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3.保护甲方提供的设施设备，不得存在蓄意破坏、抵押或质押甲方财产的行为；</w:t>
      </w:r>
    </w:p>
    <w:p w14:paraId="2F537796">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4.保证</w:t>
      </w:r>
      <w:r>
        <w:rPr>
          <w:rFonts w:hint="eastAsia" w:ascii="宋体" w:hAnsi="宋体" w:eastAsia="宋体" w:cs="宋体"/>
          <w:color w:val="auto"/>
          <w:sz w:val="21"/>
          <w:szCs w:val="21"/>
          <w:highlight w:val="none"/>
          <w:lang w:eastAsia="zh-CN"/>
        </w:rPr>
        <w:t>韶关市武江区养老服务中心（一期）</w:t>
      </w:r>
      <w:r>
        <w:rPr>
          <w:rFonts w:hint="eastAsia" w:ascii="宋体" w:hAnsi="宋体" w:eastAsia="宋体" w:cs="宋体"/>
          <w:color w:val="auto"/>
          <w:sz w:val="21"/>
          <w:szCs w:val="21"/>
          <w:highlight w:val="none"/>
        </w:rPr>
        <w:t>在合同约定的期限内达</w:t>
      </w:r>
      <w:r>
        <w:rPr>
          <w:rFonts w:hint="eastAsia" w:ascii="宋体" w:hAnsi="宋体" w:eastAsia="宋体" w:cs="宋体"/>
          <w:color w:val="auto"/>
          <w:sz w:val="21"/>
          <w:szCs w:val="21"/>
          <w:highlight w:val="none"/>
          <w:lang w:val="en-US" w:eastAsia="zh-CN"/>
        </w:rPr>
        <w:t>到招标文件内招标需求的标准</w:t>
      </w:r>
      <w:r>
        <w:rPr>
          <w:rFonts w:hint="eastAsia" w:ascii="宋体" w:hAnsi="宋体" w:eastAsia="宋体" w:cs="宋体"/>
          <w:color w:val="auto"/>
          <w:sz w:val="21"/>
          <w:szCs w:val="21"/>
          <w:highlight w:val="none"/>
        </w:rPr>
        <w:t>；</w:t>
      </w:r>
    </w:p>
    <w:p w14:paraId="2684278D">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5.保障安全运营。如存在违约行为，造成甲方损失的应予赔偿；如因此造成甲方损失巨大或无法继续运营，甲方可以单方解除合同，收回</w:t>
      </w:r>
      <w:r>
        <w:rPr>
          <w:rFonts w:hint="eastAsia" w:ascii="宋体" w:hAnsi="宋体" w:eastAsia="宋体" w:cs="宋体"/>
          <w:color w:val="auto"/>
          <w:sz w:val="21"/>
          <w:szCs w:val="21"/>
          <w:lang w:eastAsia="zh-CN"/>
        </w:rPr>
        <w:t>韶关市武江区养老服务中心（一期）</w:t>
      </w:r>
      <w:r>
        <w:rPr>
          <w:rFonts w:hint="eastAsia" w:ascii="宋体" w:hAnsi="宋体" w:eastAsia="宋体" w:cs="宋体"/>
          <w:color w:val="auto"/>
          <w:sz w:val="21"/>
          <w:szCs w:val="21"/>
        </w:rPr>
        <w:t>的运营权，</w:t>
      </w:r>
      <w:r>
        <w:rPr>
          <w:rFonts w:hint="eastAsia" w:ascii="宋体" w:hAnsi="宋体" w:eastAsia="宋体" w:cs="宋体"/>
          <w:color w:val="auto"/>
          <w:sz w:val="21"/>
          <w:szCs w:val="21"/>
          <w:lang w:eastAsia="zh-CN"/>
        </w:rPr>
        <w:t>韶关市武江区养老服务中心（一期）</w:t>
      </w:r>
      <w:r>
        <w:rPr>
          <w:rFonts w:hint="eastAsia" w:ascii="宋体" w:hAnsi="宋体" w:eastAsia="宋体" w:cs="宋体"/>
          <w:color w:val="auto"/>
          <w:sz w:val="21"/>
          <w:szCs w:val="21"/>
        </w:rPr>
        <w:t>届时所添设的设施设备等财产，归甲方所有；乙方还需赔偿甲方违约金，违约金为全额运营保障金，违约金不足以弥补甲方损失的，乙方应赔偿甲方未能弥补所有遭受的损失。本款中的违约金责任，适用所有本合同中甲方解除合同的情形。</w:t>
      </w:r>
    </w:p>
    <w:p w14:paraId="3C44B35B">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6.乙方未按约定期限缴足管理发展基金，且经甲方书面催告后仍未补足的，甲方有权要求乙方每日承担未补足金额万分之二的违约金，逾期超过90日，甲方有权解除本合同，并从运营保障金中扣除相应违约金数额。</w:t>
      </w:r>
    </w:p>
    <w:p w14:paraId="12AF6B37">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（三）出现以下情况甲方有权全额扣除其运营保障金甚至终止乙方的运营资格：</w:t>
      </w:r>
    </w:p>
    <w:p w14:paraId="67B6AD5E">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1.未经甲方同意，乙方擅自出租、质押、转让</w:t>
      </w:r>
      <w:r>
        <w:rPr>
          <w:rFonts w:hint="eastAsia" w:ascii="宋体" w:hAnsi="宋体" w:eastAsia="宋体" w:cs="宋体"/>
          <w:color w:val="auto"/>
          <w:sz w:val="21"/>
          <w:szCs w:val="21"/>
          <w:lang w:eastAsia="zh-CN"/>
        </w:rPr>
        <w:t>韶关市武江区养老服务中心（一期）</w:t>
      </w:r>
      <w:r>
        <w:rPr>
          <w:rFonts w:hint="eastAsia" w:ascii="宋体" w:hAnsi="宋体" w:eastAsia="宋体" w:cs="宋体"/>
          <w:color w:val="auto"/>
          <w:sz w:val="21"/>
          <w:szCs w:val="21"/>
        </w:rPr>
        <w:t>甲方资产的；</w:t>
      </w:r>
    </w:p>
    <w:p w14:paraId="3256D1EC">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2.因乙方原因造成重大安全生产责任事故，乙方不妥善处理或拒不赔偿的；</w:t>
      </w:r>
    </w:p>
    <w:p w14:paraId="48E3F46E">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3.违反国家有关法律法规，严重损害了公众利益的；</w:t>
      </w:r>
    </w:p>
    <w:p w14:paraId="4AD13C9A">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4.擅自停业、歇业，严重影响社会公共利益的；</w:t>
      </w:r>
    </w:p>
    <w:p w14:paraId="1FE9BC96">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5.没有遵守国家有关养老规范和本合同规定，没有按本合同规定接收甲方指定的老人入住，入住老人没有得到应有的护理照料和相关服务，以及其他造成严重不良影响的情况。</w:t>
      </w:r>
    </w:p>
    <w:p w14:paraId="4BF6F774">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（四）在本合同有效期内，乙方除本合同约定的情形外，不得擅自终止本合同约定的运营管理义务，由此造成甲方损失的，乙方应承担相应的法律和经济责任。</w:t>
      </w:r>
    </w:p>
    <w:p w14:paraId="0F60A41D">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（五）在乙方履行本合同运营过程中，甲方违反本合同约定，单方面解除本合同，乙方有权要求甲方全额退回运营保障金，并赔偿乙方因此遭受的损失。</w:t>
      </w:r>
    </w:p>
    <w:p w14:paraId="74E60A8B">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（六）因国家建设需要征收</w:t>
      </w:r>
      <w:r>
        <w:rPr>
          <w:rFonts w:hint="eastAsia" w:ascii="宋体" w:hAnsi="宋体" w:eastAsia="宋体" w:cs="宋体"/>
          <w:color w:val="auto"/>
          <w:sz w:val="21"/>
          <w:szCs w:val="21"/>
          <w:lang w:eastAsia="zh-CN"/>
        </w:rPr>
        <w:t>韶关市武江区养老服务中心（一期）</w:t>
      </w:r>
      <w:r>
        <w:rPr>
          <w:rFonts w:hint="eastAsia" w:ascii="宋体" w:hAnsi="宋体" w:eastAsia="宋体" w:cs="宋体"/>
          <w:color w:val="auto"/>
          <w:sz w:val="21"/>
          <w:szCs w:val="21"/>
        </w:rPr>
        <w:t>用地，造成</w:t>
      </w:r>
      <w:r>
        <w:rPr>
          <w:rFonts w:hint="eastAsia" w:ascii="宋体" w:hAnsi="宋体" w:eastAsia="宋体" w:cs="宋体"/>
          <w:color w:val="auto"/>
          <w:sz w:val="21"/>
          <w:szCs w:val="21"/>
          <w:lang w:eastAsia="zh-CN"/>
        </w:rPr>
        <w:t>韶关市武江区养老服务中心（一期）</w:t>
      </w:r>
      <w:r>
        <w:rPr>
          <w:rFonts w:hint="eastAsia" w:ascii="宋体" w:hAnsi="宋体" w:eastAsia="宋体" w:cs="宋体"/>
          <w:color w:val="auto"/>
          <w:sz w:val="21"/>
          <w:szCs w:val="21"/>
        </w:rPr>
        <w:t>无法继续运营，甲方应全额退回运营保障金，相关事宜按合同约定和法律法规规定处理。</w:t>
      </w:r>
    </w:p>
    <w:p w14:paraId="467E9118">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rPr>
      </w:pPr>
      <w:r>
        <w:rPr>
          <w:rFonts w:hint="eastAsia" w:ascii="宋体" w:hAnsi="宋体" w:eastAsia="宋体" w:cs="宋体"/>
          <w:b w:val="0"/>
          <w:bCs w:val="0"/>
          <w:color w:val="auto"/>
          <w:sz w:val="21"/>
          <w:szCs w:val="21"/>
        </w:rPr>
        <w:t>（七）乙方违反本合同第六条第（七）项保险约定，未按要求投保或续保的，甲方有权要求乙方限期整改，逾期未整改的，扣除运营保障金</w:t>
      </w:r>
      <w:r>
        <w:rPr>
          <w:rFonts w:hint="eastAsia" w:ascii="宋体" w:hAnsi="宋体" w:eastAsia="宋体" w:cs="宋体"/>
          <w:b w:val="0"/>
          <w:bCs w:val="0"/>
          <w:color w:val="auto"/>
          <w:sz w:val="21"/>
          <w:szCs w:val="21"/>
          <w:lang w:val="en-US" w:eastAsia="zh-CN"/>
        </w:rPr>
        <w:t>总额的</w:t>
      </w:r>
      <w:r>
        <w:rPr>
          <w:rFonts w:hint="eastAsia" w:ascii="宋体" w:hAnsi="宋体" w:eastAsia="宋体" w:cs="宋体"/>
          <w:b w:val="0"/>
          <w:bCs w:val="0"/>
          <w:color w:val="auto"/>
          <w:sz w:val="21"/>
          <w:szCs w:val="21"/>
        </w:rPr>
        <w:t>50%；造成损失的，乙方承担全部赔偿责任。</w:t>
      </w:r>
    </w:p>
    <w:p w14:paraId="5E5F7C3B">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b w:val="0"/>
          <w:bCs w:val="0"/>
          <w:color w:val="auto"/>
          <w:sz w:val="21"/>
          <w:szCs w:val="21"/>
        </w:rPr>
      </w:pPr>
      <w:r>
        <w:rPr>
          <w:rFonts w:hint="eastAsia" w:ascii="宋体" w:hAnsi="宋体" w:eastAsia="宋体" w:cs="宋体"/>
          <w:b w:val="0"/>
          <w:bCs w:val="0"/>
          <w:color w:val="auto"/>
          <w:sz w:val="21"/>
          <w:szCs w:val="21"/>
        </w:rPr>
        <w:t>（八）乙方违反本合同第六条第（八）项隐私保护约定，泄露老人个人信息的，每次扣除运营保障金</w:t>
      </w:r>
      <w:r>
        <w:rPr>
          <w:rFonts w:hint="eastAsia" w:ascii="宋体" w:hAnsi="宋体" w:eastAsia="宋体" w:cs="宋体"/>
          <w:b w:val="0"/>
          <w:bCs w:val="0"/>
          <w:color w:val="auto"/>
          <w:sz w:val="21"/>
          <w:szCs w:val="21"/>
          <w:lang w:val="en-US" w:eastAsia="zh-CN"/>
        </w:rPr>
        <w:t>总额的</w:t>
      </w:r>
      <w:r>
        <w:rPr>
          <w:rFonts w:hint="eastAsia" w:ascii="宋体" w:hAnsi="宋体" w:eastAsia="宋体" w:cs="宋体"/>
          <w:b w:val="0"/>
          <w:bCs w:val="0"/>
          <w:color w:val="auto"/>
          <w:sz w:val="21"/>
          <w:szCs w:val="21"/>
        </w:rPr>
        <w:t>10%；造成严重后果的，甲方有权解除合同并没收剩余运营保障金。</w:t>
      </w:r>
    </w:p>
    <w:p w14:paraId="35269DC5">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b/>
          <w:bCs/>
          <w:color w:val="auto"/>
          <w:sz w:val="21"/>
          <w:szCs w:val="21"/>
        </w:rPr>
      </w:pPr>
    </w:p>
    <w:p w14:paraId="27FC0566">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b/>
          <w:bCs/>
          <w:color w:val="auto"/>
          <w:sz w:val="21"/>
          <w:szCs w:val="21"/>
        </w:rPr>
      </w:pPr>
      <w:r>
        <w:rPr>
          <w:rFonts w:hint="eastAsia" w:ascii="宋体" w:hAnsi="宋体" w:eastAsia="宋体" w:cs="宋体"/>
          <w:b/>
          <w:bCs/>
          <w:color w:val="auto"/>
          <w:sz w:val="21"/>
          <w:szCs w:val="21"/>
        </w:rPr>
        <w:t>十</w:t>
      </w:r>
      <w:r>
        <w:rPr>
          <w:rFonts w:hint="eastAsia" w:ascii="宋体" w:hAnsi="宋体" w:eastAsia="宋体" w:cs="宋体"/>
          <w:b/>
          <w:bCs/>
          <w:color w:val="auto"/>
          <w:sz w:val="21"/>
          <w:szCs w:val="21"/>
          <w:lang w:eastAsia="zh-CN"/>
        </w:rPr>
        <w:t>三</w:t>
      </w:r>
      <w:r>
        <w:rPr>
          <w:rFonts w:hint="eastAsia" w:ascii="宋体" w:hAnsi="宋体" w:eastAsia="宋体" w:cs="宋体"/>
          <w:b/>
          <w:bCs/>
          <w:color w:val="auto"/>
          <w:sz w:val="21"/>
          <w:szCs w:val="21"/>
        </w:rPr>
        <w:t>、不可抗力</w:t>
      </w:r>
    </w:p>
    <w:p w14:paraId="0E664E16">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任何一方由于不可抗力原因不能履行合同时，应在不可抗力事件结束后3日内向对方通报，以减轻可能给对方造成的损失，在取得有关机构的不可抗力证明或双方谅解确认后，允许延期履行或修订合同，并根据情况可部分或全部免于承担违约责任。</w:t>
      </w:r>
    </w:p>
    <w:p w14:paraId="101F858B">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lang w:val="en-US" w:eastAsia="zh-CN"/>
        </w:rPr>
        <w:t>如果因政策变动需要更改运营模式，</w:t>
      </w:r>
      <w:r>
        <w:rPr>
          <w:rFonts w:hint="eastAsia" w:ascii="宋体" w:hAnsi="宋体" w:eastAsia="宋体" w:cs="宋体"/>
          <w:color w:val="auto"/>
          <w:sz w:val="21"/>
          <w:szCs w:val="21"/>
          <w:highlight w:val="none"/>
        </w:rPr>
        <w:t>则乙方需无偿放弃运营。</w:t>
      </w:r>
    </w:p>
    <w:p w14:paraId="47422E87">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b/>
          <w:bCs/>
          <w:color w:val="auto"/>
          <w:sz w:val="21"/>
          <w:szCs w:val="21"/>
        </w:rPr>
      </w:pPr>
    </w:p>
    <w:p w14:paraId="4C450377">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b/>
          <w:bCs/>
          <w:color w:val="auto"/>
          <w:sz w:val="21"/>
          <w:szCs w:val="21"/>
        </w:rPr>
      </w:pPr>
      <w:r>
        <w:rPr>
          <w:rFonts w:hint="eastAsia" w:ascii="宋体" w:hAnsi="宋体" w:eastAsia="宋体" w:cs="宋体"/>
          <w:b/>
          <w:bCs/>
          <w:color w:val="auto"/>
          <w:sz w:val="21"/>
          <w:szCs w:val="21"/>
        </w:rPr>
        <w:t>十</w:t>
      </w:r>
      <w:r>
        <w:rPr>
          <w:rFonts w:hint="eastAsia" w:ascii="宋体" w:hAnsi="宋体" w:eastAsia="宋体" w:cs="宋体"/>
          <w:b/>
          <w:bCs/>
          <w:color w:val="auto"/>
          <w:sz w:val="21"/>
          <w:szCs w:val="21"/>
          <w:lang w:eastAsia="zh-CN"/>
        </w:rPr>
        <w:t>四</w:t>
      </w:r>
      <w:r>
        <w:rPr>
          <w:rFonts w:hint="eastAsia" w:ascii="宋体" w:hAnsi="宋体" w:eastAsia="宋体" w:cs="宋体"/>
          <w:b/>
          <w:bCs/>
          <w:color w:val="auto"/>
          <w:sz w:val="21"/>
          <w:szCs w:val="21"/>
        </w:rPr>
        <w:t>、适用法律及争议解决</w:t>
      </w:r>
    </w:p>
    <w:p w14:paraId="7D194093">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（一）适用法律</w:t>
      </w:r>
    </w:p>
    <w:p w14:paraId="607EA367">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本合同适用中华人民共和国法律法规和部省规章。</w:t>
      </w:r>
    </w:p>
    <w:p w14:paraId="041D4218">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（二）争议解决</w:t>
      </w:r>
    </w:p>
    <w:p w14:paraId="2105E257">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1.协商</w:t>
      </w:r>
    </w:p>
    <w:p w14:paraId="392A2DFF">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因解释或履行本合同过程中产生的任何争议通过甲、乙双方进行友好协商或提请相关业务主管部门协调解决。</w:t>
      </w:r>
    </w:p>
    <w:p w14:paraId="46318BC1">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2.争议解决</w:t>
      </w:r>
    </w:p>
    <w:p w14:paraId="1CC54CBB">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若协商不成，任何一方均可向</w:t>
      </w:r>
      <w:r>
        <w:rPr>
          <w:rFonts w:hint="eastAsia" w:ascii="宋体" w:hAnsi="宋体" w:eastAsia="宋体" w:cs="宋体"/>
          <w:color w:val="auto"/>
          <w:sz w:val="21"/>
          <w:szCs w:val="21"/>
          <w:lang w:eastAsia="zh-CN"/>
        </w:rPr>
        <w:t>武江区</w:t>
      </w:r>
      <w:r>
        <w:rPr>
          <w:rFonts w:hint="eastAsia" w:ascii="宋体" w:hAnsi="宋体" w:eastAsia="宋体" w:cs="宋体"/>
          <w:color w:val="auto"/>
          <w:sz w:val="21"/>
          <w:szCs w:val="21"/>
        </w:rPr>
        <w:t>人民法院提起诉讼。</w:t>
      </w:r>
    </w:p>
    <w:p w14:paraId="2772D33C">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3.争议解决期间的继续履行</w:t>
      </w:r>
    </w:p>
    <w:p w14:paraId="3985690C">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在争议解决期间，各方在争议得到解决前继续履行其在本合同项下的各项义务并继续享有其在本合同项下的所有权利，而不影响以后根据上述判决进行最终调整。</w:t>
      </w:r>
    </w:p>
    <w:p w14:paraId="7668BD3C">
      <w:pPr>
        <w:keepNext w:val="0"/>
        <w:keepLines w:val="0"/>
        <w:pageBreakBefore w:val="0"/>
        <w:kinsoku/>
        <w:wordWrap w:val="0"/>
        <w:overflowPunct/>
        <w:topLinePunct w:val="0"/>
        <w:autoSpaceDE/>
        <w:autoSpaceDN/>
        <w:bidi w:val="0"/>
        <w:adjustRightInd w:val="0"/>
        <w:snapToGrid w:val="0"/>
        <w:spacing w:line="360" w:lineRule="auto"/>
        <w:ind w:firstLine="420" w:firstLineChars="20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本合同一式五份，经双方签字盖章即生效，甲乙双方各执两份，招标代理执一份，</w:t>
      </w:r>
      <w:r>
        <w:rPr>
          <w:rFonts w:hint="eastAsia" w:ascii="宋体" w:hAnsi="宋体" w:eastAsia="宋体" w:cs="宋体"/>
          <w:color w:val="auto"/>
          <w:sz w:val="21"/>
          <w:szCs w:val="21"/>
          <w:lang w:eastAsia="zh-CN"/>
        </w:rPr>
        <w:t>具有</w:t>
      </w:r>
      <w:r>
        <w:rPr>
          <w:rFonts w:hint="eastAsia" w:ascii="宋体" w:hAnsi="宋体" w:eastAsia="宋体" w:cs="宋体"/>
          <w:color w:val="auto"/>
          <w:sz w:val="21"/>
          <w:szCs w:val="21"/>
        </w:rPr>
        <w:t>同等法律效力。</w:t>
      </w:r>
    </w:p>
    <w:p w14:paraId="72AD7F2C">
      <w:pPr>
        <w:spacing w:line="360" w:lineRule="auto"/>
        <w:rPr>
          <w:rFonts w:hint="eastAsia" w:ascii="宋体" w:hAnsi="宋体" w:eastAsia="宋体" w:cs="宋体"/>
          <w:color w:val="auto"/>
          <w:sz w:val="21"/>
          <w:szCs w:val="21"/>
          <w:lang w:eastAsia="zh-CN"/>
        </w:rPr>
      </w:pPr>
      <w:r>
        <w:rPr>
          <w:rFonts w:hint="eastAsia" w:ascii="宋体" w:hAnsi="宋体" w:eastAsia="宋体" w:cs="宋体"/>
          <w:color w:val="auto"/>
          <w:sz w:val="21"/>
          <w:szCs w:val="21"/>
        </w:rPr>
        <w:t>----------------以下为签字页-------------------</w:t>
      </w:r>
    </w:p>
    <w:p w14:paraId="1854114A">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甲方（盖章）：</w:t>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法定代表人或授权代理人（签字）：</w:t>
      </w:r>
    </w:p>
    <w:p w14:paraId="09C83572">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乙方（盖章）：</w:t>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法定代表人或授权代理人（签字）：</w:t>
      </w:r>
    </w:p>
    <w:p w14:paraId="57DED7A4">
      <w:pPr>
        <w:keepNext w:val="0"/>
        <w:keepLines w:val="0"/>
        <w:pageBreakBefore w:val="0"/>
        <w:kinsoku/>
        <w:wordWrap w:val="0"/>
        <w:overflowPunct/>
        <w:topLinePunct w:val="0"/>
        <w:autoSpaceDE/>
        <w:autoSpaceDN/>
        <w:bidi w:val="0"/>
        <w:adjustRightInd w:val="0"/>
        <w:snapToGrid w:val="0"/>
        <w:spacing w:line="360" w:lineRule="auto"/>
        <w:ind w:firstLine="0" w:firstLineChars="0"/>
        <w:textAlignment w:val="auto"/>
        <w:rPr>
          <w:rFonts w:hint="eastAsia" w:ascii="宋体" w:hAnsi="宋体" w:eastAsia="宋体" w:cs="宋体"/>
          <w:color w:val="auto"/>
          <w:sz w:val="21"/>
          <w:szCs w:val="21"/>
        </w:rPr>
      </w:pPr>
      <w:r>
        <w:rPr>
          <w:rFonts w:hint="eastAsia" w:ascii="宋体" w:hAnsi="宋体" w:eastAsia="宋体" w:cs="宋体"/>
          <w:color w:val="auto"/>
          <w:sz w:val="21"/>
          <w:szCs w:val="21"/>
        </w:rPr>
        <w:t>签约日期：</w:t>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签约地点：</w:t>
      </w:r>
    </w:p>
    <w:p w14:paraId="7AD29F83">
      <w:pPr>
        <w:keepNext w:val="0"/>
        <w:keepLines w:val="0"/>
        <w:pageBreakBefore w:val="0"/>
        <w:kinsoku/>
        <w:wordWrap w:val="0"/>
        <w:overflowPunct/>
        <w:topLinePunct w:val="0"/>
        <w:autoSpaceDE/>
        <w:autoSpaceDN/>
        <w:bidi w:val="0"/>
        <w:adjustRightInd w:val="0"/>
        <w:snapToGrid w:val="0"/>
        <w:spacing w:line="360" w:lineRule="auto"/>
        <w:jc w:val="left"/>
        <w:textAlignment w:val="auto"/>
        <w:rPr>
          <w:rFonts w:hint="eastAsia" w:asciiTheme="majorEastAsia" w:hAnsiTheme="majorEastAsia" w:eastAsiaTheme="majorEastAsia" w:cstheme="majorEastAsia"/>
          <w:color w:val="auto"/>
          <w:szCs w:val="21"/>
          <w:highlight w:val="none"/>
        </w:rPr>
      </w:pPr>
      <w:r>
        <w:rPr>
          <w:rFonts w:hint="eastAsia" w:ascii="宋体" w:hAnsi="宋体" w:eastAsia="宋体" w:cs="宋体"/>
          <w:color w:val="auto"/>
          <w:sz w:val="21"/>
          <w:szCs w:val="21"/>
        </w:rPr>
        <w:t>甲方联</w:t>
      </w:r>
      <w:r>
        <w:rPr>
          <w:rFonts w:hint="eastAsia" w:ascii="宋体" w:hAnsi="宋体" w:eastAsia="宋体" w:cs="宋体"/>
          <w:color w:val="auto"/>
          <w:sz w:val="21"/>
          <w:szCs w:val="21"/>
          <w:lang w:val="en-US" w:eastAsia="zh-CN"/>
        </w:rPr>
        <w:t>系</w:t>
      </w:r>
      <w:r>
        <w:rPr>
          <w:rFonts w:hint="eastAsia" w:ascii="宋体" w:hAnsi="宋体" w:eastAsia="宋体" w:cs="宋体"/>
          <w:color w:val="auto"/>
          <w:sz w:val="21"/>
          <w:szCs w:val="21"/>
        </w:rPr>
        <w:t>人及电话：</w:t>
      </w:r>
      <w:r>
        <w:rPr>
          <w:rFonts w:hint="eastAsia" w:ascii="宋体" w:hAnsi="宋体" w:eastAsia="宋体" w:cs="宋体"/>
          <w:color w:val="auto"/>
          <w:sz w:val="21"/>
          <w:szCs w:val="21"/>
          <w:lang w:val="en-US" w:eastAsia="zh-CN"/>
        </w:rPr>
        <w:t xml:space="preserve">       </w:t>
      </w:r>
      <w:r>
        <w:rPr>
          <w:rFonts w:hint="eastAsia" w:ascii="宋体" w:hAnsi="宋体" w:eastAsia="宋体" w:cs="宋体"/>
          <w:color w:val="auto"/>
          <w:sz w:val="21"/>
          <w:szCs w:val="21"/>
        </w:rPr>
        <w:t>乙方联</w:t>
      </w:r>
      <w:r>
        <w:rPr>
          <w:rFonts w:hint="eastAsia" w:ascii="宋体" w:hAnsi="宋体" w:eastAsia="宋体" w:cs="宋体"/>
          <w:color w:val="auto"/>
          <w:sz w:val="21"/>
          <w:szCs w:val="21"/>
          <w:lang w:val="en-US" w:eastAsia="zh-CN"/>
        </w:rPr>
        <w:t>系</w:t>
      </w:r>
      <w:r>
        <w:rPr>
          <w:rFonts w:hint="eastAsia" w:ascii="宋体" w:hAnsi="宋体" w:eastAsia="宋体" w:cs="宋体"/>
          <w:color w:val="auto"/>
          <w:sz w:val="21"/>
          <w:szCs w:val="21"/>
        </w:rPr>
        <w:t>人及电话：</w:t>
      </w:r>
    </w:p>
    <w:sectPr>
      <w:pgSz w:w="11906" w:h="16838"/>
      <w:pgMar w:top="1440" w:right="1803" w:bottom="1440" w:left="1803" w:header="851" w:footer="992" w:gutter="0"/>
      <w:pgBorders>
        <w:top w:val="none" w:sz="0" w:space="0"/>
        <w:left w:val="none" w:sz="0" w:space="0"/>
        <w:bottom w:val="none" w:sz="0" w:space="0"/>
        <w:right w:val="none" w:sz="0" w:space="0"/>
      </w:pgBorders>
      <w:pgNumType w:fmt="decimal"/>
      <w:cols w:space="720" w:num="1"/>
      <w:docGrid w:type="lines" w:linePitch="31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1"/>
    <w:family w:val="roman"/>
    <w:pitch w:val="default"/>
    <w:sig w:usb0="E0002EFF" w:usb1="C000785B" w:usb2="00000009" w:usb3="00000000" w:csb0="400001FF" w:csb1="FFFF0000"/>
  </w:font>
  <w:font w:name="宋体">
    <w:panose1 w:val="02010600030101010101"/>
    <w:charset w:val="78"/>
    <w:family w:val="swiss"/>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4E702092-DE6A-4EC9-AD3A-6926309817B4}"/>
  </w:font>
  <w:font w:name="Arial">
    <w:panose1 w:val="020B0604020202020204"/>
    <w:charset w:val="01"/>
    <w:family w:val="swiss"/>
    <w:pitch w:val="default"/>
    <w:sig w:usb0="E0002EFF" w:usb1="C000785B" w:usb2="00000009" w:usb3="00000000" w:csb0="400001FF" w:csb1="FFFF0000"/>
    <w:embedRegular r:id="rId2" w:fontKey="{B07195C2-0DD1-4407-B98C-EF0CF26A7198}"/>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swiss"/>
    <w:pitch w:val="default"/>
    <w:sig w:usb0="80000287" w:usb1="2ACF3C50" w:usb2="00000016" w:usb3="00000000" w:csb0="0004001F" w:csb1="00000000"/>
  </w:font>
  <w:font w:name="华文楷体">
    <w:altName w:val="宋体"/>
    <w:panose1 w:val="02010600040101010101"/>
    <w:charset w:val="86"/>
    <w:family w:val="auto"/>
    <w:pitch w:val="default"/>
    <w:sig w:usb0="00000000" w:usb1="00000000" w:usb2="00000000" w:usb3="00000000" w:csb0="0004009F" w:csb1="DFD70000"/>
  </w:font>
  <w:font w:name="仿宋_GB2312">
    <w:altName w:val="仿宋"/>
    <w:panose1 w:val="02010609030101010101"/>
    <w:charset w:val="86"/>
    <w:family w:val="auto"/>
    <w:pitch w:val="default"/>
    <w:sig w:usb0="00000000" w:usb1="00000000" w:usb2="00000000" w:usb3="00000000" w:csb0="00040000" w:csb1="00000000"/>
  </w:font>
  <w:font w:name="等线">
    <w:panose1 w:val="02010600030101010101"/>
    <w:charset w:val="86"/>
    <w:family w:val="auto"/>
    <w:pitch w:val="default"/>
    <w:sig w:usb0="A00002BF" w:usb1="38CF7CFA" w:usb2="00000016" w:usb3="00000000" w:csb0="0004000F" w:csb1="00000000"/>
  </w:font>
  <w:font w:name="方正仿宋_GB2312">
    <w:panose1 w:val="02000000000000000000"/>
    <w:charset w:val="86"/>
    <w:family w:val="auto"/>
    <w:pitch w:val="default"/>
    <w:sig w:usb0="A00002BF" w:usb1="184F6CFA" w:usb2="00000012" w:usb3="00000000" w:csb0="00040001" w:csb1="00000000"/>
    <w:embedRegular r:id="rId3" w:fontKey="{97CEE8DF-8A3E-485A-895C-48F380A3D158}"/>
  </w:font>
  <w:font w:name="WPSEMBED9">
    <w:panose1 w:val="02000000000000000000"/>
    <w:charset w:val="86"/>
    <w:family w:val="auto"/>
    <w:pitch w:val="default"/>
    <w:sig w:usb0="A00002BF" w:usb1="184F6CFA" w:usb2="00000012" w:usb3="00000000" w:csb0="00040001" w:csb1="0000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42418E">
    <w:pPr>
      <w:pStyle w:val="9"/>
      <w:spacing w:line="209" w:lineRule="auto"/>
      <w:ind w:left="4345"/>
      <w:rPr>
        <w:sz w:val="18"/>
        <w:szCs w:val="18"/>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E97C690">
                          <w:pPr>
                            <w:pStyle w:val="12"/>
                          </w:pPr>
                          <w:r>
                            <w:t xml:space="preserve">第 </w:t>
                          </w:r>
                          <w:r>
                            <w:fldChar w:fldCharType="begin"/>
                          </w:r>
                          <w:r>
                            <w:instrText xml:space="preserve"> PAGE  \* MERGEFORMAT </w:instrText>
                          </w:r>
                          <w:r>
                            <w:fldChar w:fldCharType="separate"/>
                          </w:r>
                          <w:r>
                            <w:t>1</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H+OrREyAgAAY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OO1lWHsruAvrMs&#10;bPXO8pgmCunt6hggZqtxFKhTpdcNnddWqZ+S2Np/7tuopz/D8h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f46tETICAABhBAAADgAAAAAAAAABACAAAAAfAQAAZHJzL2Uyb0RvYy54bWxQSwUG&#10;AAAAAAYABgBZAQAAwwUAAAAA&#10;">
              <v:fill on="f" focussize="0,0"/>
              <v:stroke on="f" weight="0.5pt"/>
              <v:imagedata o:title=""/>
              <o:lock v:ext="edit" aspectratio="f"/>
              <v:textbox inset="0mm,0mm,0mm,0mm" style="mso-fit-shape-to-text:t;">
                <w:txbxContent>
                  <w:p w14:paraId="3E97C690">
                    <w:pPr>
                      <w:pStyle w:val="12"/>
                    </w:pPr>
                    <w:r>
                      <w:t xml:space="preserve">第 </w:t>
                    </w:r>
                    <w:r>
                      <w:fldChar w:fldCharType="begin"/>
                    </w:r>
                    <w:r>
                      <w:instrText xml:space="preserve"> PAGE  \* MERGEFORMAT </w:instrText>
                    </w:r>
                    <w:r>
                      <w:fldChar w:fldCharType="separate"/>
                    </w:r>
                    <w:r>
                      <w:t>1</w:t>
                    </w:r>
                    <w:r>
                      <w:fldChar w:fldCharType="end"/>
                    </w:r>
                    <w:r>
                      <w:t xml:space="preserve"> 页</w:t>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066AB4">
    <w:pPr>
      <w:pStyle w:val="12"/>
      <w:jc w:val="cente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0" name="文本框 1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7065083">
                          <w:pPr>
                            <w:pStyle w:val="12"/>
                          </w:pPr>
                          <w:r>
                            <w:t xml:space="preserve">第 </w:t>
                          </w:r>
                          <w:r>
                            <w:fldChar w:fldCharType="begin"/>
                          </w:r>
                          <w:r>
                            <w:instrText xml:space="preserve"> PAGE  \* MERGEFORMAT </w:instrText>
                          </w:r>
                          <w:r>
                            <w:fldChar w:fldCharType="separate"/>
                          </w:r>
                          <w:r>
                            <w:t>30</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mor5Ux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gt0AiQxTKPil+/fLj9+&#10;XX5+JTiDQLULc8TtHCJj89Y2CB7OAw4T76b0On3BiMAPrPNVXtFEwtOl2XQ2G8PF4Rs2wM8erzsf&#10;4jthNUlGTj3q18rKTtsQu9AhJGUzdiOVamuoDKlzevP6zbi9cPUAXBnkSCS6xyYrNvumZ7a3xRnE&#10;vO16Izi+kUi+ZSE+MI9mwIMxLvEeS6ksktjeoqSy/su/zlM8agQvJTWaK6cGs0SJem9QOwDGwfCD&#10;sR8Mc9R3Ft06wRg63pq44KMazNJb/RkztEo54GKGI1NO42Dexa7BMYNcrFZt0NF5eai6C+g8x+LW&#10;7BxPaZKQwa2OEWK2GieBOlV63dB7bZX6OUnN/ee+jXr8Nyx/A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CpqK+VMQIAAGMEAAAOAAAAAAAAAAEAIAAAAB8BAABkcnMvZTJvRG9jLnhtbFBLBQYA&#10;AAAABgAGAFkBAADCBQAAAAA=&#10;">
              <v:fill on="f" focussize="0,0"/>
              <v:stroke on="f" weight="0.5pt"/>
              <v:imagedata o:title=""/>
              <o:lock v:ext="edit" aspectratio="f"/>
              <v:textbox inset="0mm,0mm,0mm,0mm" style="mso-fit-shape-to-text:t;">
                <w:txbxContent>
                  <w:p w14:paraId="07065083">
                    <w:pPr>
                      <w:pStyle w:val="12"/>
                    </w:pPr>
                    <w:r>
                      <w:t xml:space="preserve">第 </w:t>
                    </w:r>
                    <w:r>
                      <w:fldChar w:fldCharType="begin"/>
                    </w:r>
                    <w:r>
                      <w:instrText xml:space="preserve"> PAGE  \* MERGEFORMAT </w:instrText>
                    </w:r>
                    <w:r>
                      <w:fldChar w:fldCharType="separate"/>
                    </w:r>
                    <w:r>
                      <w:t>30</w:t>
                    </w:r>
                    <w:r>
                      <w:fldChar w:fldCharType="end"/>
                    </w:r>
                    <w:r>
                      <w:t xml:space="preserve"> 页</w:t>
                    </w:r>
                  </w:p>
                </w:txbxContent>
              </v:textbox>
            </v:shape>
          </w:pict>
        </mc:Fallback>
      </mc:AlternateContent>
    </w:r>
  </w:p>
  <w:p w14:paraId="4EA124BF">
    <w:pPr>
      <w:pStyle w:val="12"/>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2D8DFB">
    <w:pPr>
      <w:pStyle w:val="13"/>
      <w:pBdr>
        <w:bottom w:val="none" w:color="auto" w:sz="0" w:space="1"/>
      </w:pBdr>
      <w:ind w:left="7440" w:hanging="7440" w:hangingChars="3100"/>
      <w:jc w:val="left"/>
    </w:pPr>
    <w:r>
      <w:rPr>
        <w:rFonts w:hint="eastAsia" w:ascii="宋体" w:hAnsi="宋体" w:cs="宋体"/>
        <w:sz w:val="24"/>
      </w:rPr>
      <w:drawing>
        <wp:anchor distT="0" distB="0" distL="114300" distR="114300" simplePos="0" relativeHeight="251662336" behindDoc="1" locked="0" layoutInCell="1" allowOverlap="1">
          <wp:simplePos x="0" y="0"/>
          <wp:positionH relativeFrom="column">
            <wp:posOffset>146050</wp:posOffset>
          </wp:positionH>
          <wp:positionV relativeFrom="paragraph">
            <wp:posOffset>-424180</wp:posOffset>
          </wp:positionV>
          <wp:extent cx="3006725" cy="589915"/>
          <wp:effectExtent l="0" t="0" r="3175" b="635"/>
          <wp:wrapNone/>
          <wp:docPr id="3" name="图片 3" descr="b0c1b9a8b59dfc2201fe54339c8dea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b0c1b9a8b59dfc2201fe54339c8deac1"/>
                  <pic:cNvPicPr>
                    <a:picLocks noChangeAspect="1"/>
                  </pic:cNvPicPr>
                </pic:nvPicPr>
                <pic:blipFill>
                  <a:blip r:embed="rId1"/>
                  <a:srcRect t="6954" b="8363"/>
                  <a:stretch>
                    <a:fillRect/>
                  </a:stretch>
                </pic:blipFill>
                <pic:spPr>
                  <a:xfrm>
                    <a:off x="0" y="0"/>
                    <a:ext cx="3006725" cy="589915"/>
                  </a:xfrm>
                  <a:prstGeom prst="rect">
                    <a:avLst/>
                  </a:prstGeom>
                </pic:spPr>
              </pic:pic>
            </a:graphicData>
          </a:graphic>
        </wp:anchor>
      </w:drawing>
    </w:r>
    <w:r>
      <w:rPr>
        <w:rFonts w:hint="eastAsia" w:ascii="宋体" w:hAnsi="宋体" w:cs="宋体"/>
        <w:sz w:val="24"/>
      </w:rPr>
      <w:t xml:space="preserve">              </w:t>
    </w:r>
    <w:r>
      <w:rPr>
        <w:rFonts w:hint="eastAsia" w:ascii="宋体" w:hAnsi="宋体" w:cs="宋体"/>
        <w:sz w:val="24"/>
        <w:lang w:val="en-US" w:eastAsia="zh-CN"/>
      </w:rPr>
      <w:t xml:space="preserve">                                              </w:t>
    </w:r>
    <w:r>
      <w:rPr>
        <w:rFonts w:hint="eastAsia" w:ascii="宋体" w:hAnsi="宋体" w:cs="宋体"/>
        <w:sz w:val="21"/>
        <w:szCs w:val="21"/>
      </w:rPr>
      <w:t>|道同志合 平心持正|</w:t>
    </w:r>
  </w:p>
  <w:p w14:paraId="06232C90">
    <w:pPr>
      <w:spacing w:line="14" w:lineRule="auto"/>
      <w:rPr>
        <w:rFonts w:ascii="Arial"/>
        <w:sz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66AFFD">
    <w:pPr>
      <w:pStyle w:val="13"/>
      <w:pBdr>
        <w:bottom w:val="none" w:color="auto" w:sz="0" w:space="1"/>
      </w:pBdr>
      <w:ind w:left="7440" w:hanging="7440" w:hangingChars="3100"/>
      <w:jc w:val="left"/>
    </w:pPr>
    <w:r>
      <w:rPr>
        <w:rFonts w:hint="eastAsia" w:ascii="宋体" w:hAnsi="宋体" w:cs="宋体"/>
        <w:sz w:val="24"/>
      </w:rPr>
      <w:drawing>
        <wp:anchor distT="0" distB="0" distL="114300" distR="114300" simplePos="0" relativeHeight="251663360" behindDoc="1" locked="0" layoutInCell="1" allowOverlap="1">
          <wp:simplePos x="0" y="0"/>
          <wp:positionH relativeFrom="column">
            <wp:posOffset>-67945</wp:posOffset>
          </wp:positionH>
          <wp:positionV relativeFrom="paragraph">
            <wp:posOffset>-245745</wp:posOffset>
          </wp:positionV>
          <wp:extent cx="3006725" cy="589915"/>
          <wp:effectExtent l="0" t="0" r="3175" b="635"/>
          <wp:wrapNone/>
          <wp:docPr id="1" name="图片 1" descr="b0c1b9a8b59dfc2201fe54339c8dea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b0c1b9a8b59dfc2201fe54339c8deac1"/>
                  <pic:cNvPicPr>
                    <a:picLocks noChangeAspect="1"/>
                  </pic:cNvPicPr>
                </pic:nvPicPr>
                <pic:blipFill>
                  <a:blip r:embed="rId1"/>
                  <a:srcRect t="6954" b="8363"/>
                  <a:stretch>
                    <a:fillRect/>
                  </a:stretch>
                </pic:blipFill>
                <pic:spPr>
                  <a:xfrm>
                    <a:off x="0" y="0"/>
                    <a:ext cx="3006725" cy="589915"/>
                  </a:xfrm>
                  <a:prstGeom prst="rect">
                    <a:avLst/>
                  </a:prstGeom>
                </pic:spPr>
              </pic:pic>
            </a:graphicData>
          </a:graphic>
        </wp:anchor>
      </w:drawing>
    </w:r>
    <w:r>
      <w:rPr>
        <w:rFonts w:hint="eastAsia" w:ascii="宋体" w:hAnsi="宋体" w:cs="宋体"/>
        <w:sz w:val="24"/>
      </w:rPr>
      <w:t xml:space="preserve">           </w:t>
    </w:r>
    <w:r>
      <w:rPr>
        <w:rFonts w:hint="eastAsia" w:ascii="宋体" w:hAnsi="宋体" w:cs="宋体"/>
        <w:sz w:val="24"/>
        <w:lang w:val="en-US" w:eastAsia="zh-CN"/>
      </w:rPr>
      <w:t xml:space="preserve">                                         </w:t>
    </w:r>
    <w:r>
      <w:rPr>
        <w:rFonts w:hint="eastAsia" w:ascii="宋体" w:hAnsi="宋体" w:cs="宋体"/>
        <w:sz w:val="21"/>
        <w:szCs w:val="21"/>
      </w:rPr>
      <w:t>|道同志合 平心持正|</w:t>
    </w:r>
  </w:p>
  <w:p w14:paraId="021C4AD9">
    <w:pPr>
      <w:pStyle w:val="13"/>
      <w:pBdr>
        <w:bottom w:val="none" w:color="auto" w:sz="0" w:space="1"/>
      </w:pBdr>
      <w:jc w:val="both"/>
      <w:rPr>
        <w:b/>
        <w:bC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D7800A4"/>
    <w:multiLevelType w:val="singleLevel"/>
    <w:tmpl w:val="8D7800A4"/>
    <w:lvl w:ilvl="0" w:tentative="0">
      <w:start w:val="1"/>
      <w:numFmt w:val="chineseCounting"/>
      <w:suff w:val="space"/>
      <w:lvlText w:val="第%1章"/>
      <w:lvlJc w:val="left"/>
      <w:rPr>
        <w:rFonts w:hint="eastAsia"/>
      </w:rPr>
    </w:lvl>
  </w:abstractNum>
  <w:abstractNum w:abstractNumId="1">
    <w:nsid w:val="A9396156"/>
    <w:multiLevelType w:val="singleLevel"/>
    <w:tmpl w:val="A9396156"/>
    <w:lvl w:ilvl="0" w:tentative="0">
      <w:start w:val="5"/>
      <w:numFmt w:val="decimal"/>
      <w:suff w:val="nothing"/>
      <w:lvlText w:val="（%1）"/>
      <w:lvlJc w:val="left"/>
    </w:lvl>
  </w:abstractNum>
  <w:abstractNum w:abstractNumId="2">
    <w:nsid w:val="B4FDF470"/>
    <w:multiLevelType w:val="singleLevel"/>
    <w:tmpl w:val="B4FDF470"/>
    <w:lvl w:ilvl="0" w:tentative="0">
      <w:start w:val="1"/>
      <w:numFmt w:val="decimal"/>
      <w:suff w:val="nothing"/>
      <w:lvlText w:val="（%1）"/>
      <w:lvlJc w:val="left"/>
    </w:lvl>
  </w:abstractNum>
  <w:abstractNum w:abstractNumId="3">
    <w:nsid w:val="D94E9609"/>
    <w:multiLevelType w:val="multilevel"/>
    <w:tmpl w:val="D94E9609"/>
    <w:lvl w:ilvl="0" w:tentative="0">
      <w:start w:val="18"/>
      <w:numFmt w:val="decimal"/>
      <w:suff w:val="space"/>
      <w:lvlText w:val="%1."/>
      <w:lvlJc w:val="left"/>
    </w:lvl>
    <w:lvl w:ilvl="1" w:tentative="0">
      <w:start w:val="1"/>
      <w:numFmt w:val="decimal"/>
      <w:suff w:val="space"/>
      <w:lvlText w:val="%1.%2"/>
      <w:lvlJc w:val="left"/>
      <w:pPr>
        <w:ind w:left="0" w:leftChars="0" w:firstLine="0" w:firstLineChars="0"/>
      </w:pPr>
      <w:rPr>
        <w:rFonts w:hint="default"/>
        <w:b/>
        <w:bCs/>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4">
    <w:nsid w:val="27E8E525"/>
    <w:multiLevelType w:val="singleLevel"/>
    <w:tmpl w:val="27E8E525"/>
    <w:lvl w:ilvl="0" w:tentative="0">
      <w:start w:val="1"/>
      <w:numFmt w:val="decimal"/>
      <w:suff w:val="nothing"/>
      <w:lvlText w:val="（%1）"/>
      <w:lvlJc w:val="left"/>
    </w:lvl>
  </w:abstractNum>
  <w:abstractNum w:abstractNumId="5">
    <w:nsid w:val="420C153B"/>
    <w:multiLevelType w:val="multilevel"/>
    <w:tmpl w:val="420C153B"/>
    <w:lvl w:ilvl="0" w:tentative="0">
      <w:start w:val="1"/>
      <w:numFmt w:val="decimal"/>
      <w:pStyle w:val="85"/>
      <w:lvlText w:val="%1."/>
      <w:lvlJc w:val="left"/>
      <w:pPr>
        <w:tabs>
          <w:tab w:val="left" w:pos="709"/>
        </w:tabs>
        <w:ind w:left="709" w:hanging="709"/>
      </w:pPr>
      <w:rPr>
        <w:rFonts w:hint="eastAsia"/>
      </w:rPr>
    </w:lvl>
    <w:lvl w:ilvl="1" w:tentative="0">
      <w:start w:val="1"/>
      <w:numFmt w:val="decimal"/>
      <w:lvlText w:val="%1.%2"/>
      <w:lvlJc w:val="left"/>
      <w:pPr>
        <w:tabs>
          <w:tab w:val="left" w:pos="709"/>
        </w:tabs>
        <w:ind w:left="709" w:hanging="709"/>
      </w:pPr>
      <w:rPr>
        <w:rFonts w:hint="eastAsia"/>
      </w:rPr>
    </w:lvl>
    <w:lvl w:ilvl="2" w:tentative="0">
      <w:start w:val="1"/>
      <w:numFmt w:val="decimal"/>
      <w:lvlText w:val="%1.%2.%3."/>
      <w:lvlJc w:val="left"/>
      <w:pPr>
        <w:tabs>
          <w:tab w:val="left" w:pos="425"/>
        </w:tabs>
        <w:ind w:left="425" w:hanging="425"/>
      </w:pPr>
      <w:rPr>
        <w:rFonts w:hint="eastAsia"/>
      </w:rPr>
    </w:lvl>
    <w:lvl w:ilvl="3" w:tentative="0">
      <w:start w:val="1"/>
      <w:numFmt w:val="decimal"/>
      <w:lvlText w:val="%1.%2.%3.%4."/>
      <w:lvlJc w:val="left"/>
      <w:pPr>
        <w:tabs>
          <w:tab w:val="left" w:pos="851"/>
        </w:tabs>
        <w:ind w:left="851" w:hanging="851"/>
      </w:pPr>
      <w:rPr>
        <w:rFonts w:hint="eastAsia"/>
      </w:rPr>
    </w:lvl>
    <w:lvl w:ilvl="4" w:tentative="0">
      <w:start w:val="1"/>
      <w:numFmt w:val="decimal"/>
      <w:lvlText w:val="%1.%2.%3.%4.%5."/>
      <w:lvlJc w:val="left"/>
      <w:pPr>
        <w:tabs>
          <w:tab w:val="left" w:pos="992"/>
        </w:tabs>
        <w:ind w:left="992" w:hanging="992"/>
      </w:pPr>
      <w:rPr>
        <w:rFonts w:hint="eastAsia"/>
      </w:rPr>
    </w:lvl>
    <w:lvl w:ilvl="5" w:tentative="0">
      <w:start w:val="1"/>
      <w:numFmt w:val="decimal"/>
      <w:lvlText w:val="%1.%2.%3.%4.%5.%6."/>
      <w:lvlJc w:val="left"/>
      <w:pPr>
        <w:tabs>
          <w:tab w:val="left" w:pos="1134"/>
        </w:tabs>
        <w:ind w:left="1134" w:hanging="1134"/>
      </w:pPr>
      <w:rPr>
        <w:rFonts w:hint="eastAsia"/>
      </w:rPr>
    </w:lvl>
    <w:lvl w:ilvl="6" w:tentative="0">
      <w:start w:val="1"/>
      <w:numFmt w:val="decimal"/>
      <w:lvlText w:val="%1.%2.%3.%4.%5.%6.%7."/>
      <w:lvlJc w:val="left"/>
      <w:pPr>
        <w:tabs>
          <w:tab w:val="left" w:pos="1276"/>
        </w:tabs>
        <w:ind w:left="1276" w:hanging="1276"/>
      </w:pPr>
      <w:rPr>
        <w:rFonts w:hint="eastAsia"/>
      </w:rPr>
    </w:lvl>
    <w:lvl w:ilvl="7" w:tentative="0">
      <w:start w:val="1"/>
      <w:numFmt w:val="decimal"/>
      <w:lvlText w:val="%1.%2.%3.%4.%5.%6.%7.%8."/>
      <w:lvlJc w:val="left"/>
      <w:pPr>
        <w:tabs>
          <w:tab w:val="left" w:pos="1418"/>
        </w:tabs>
        <w:ind w:left="1418" w:hanging="1418"/>
      </w:pPr>
      <w:rPr>
        <w:rFonts w:hint="eastAsia"/>
      </w:rPr>
    </w:lvl>
    <w:lvl w:ilvl="8" w:tentative="0">
      <w:start w:val="1"/>
      <w:numFmt w:val="decimal"/>
      <w:lvlText w:val="%1.%2.%3.%4.%5.%6.%7.%8.%9."/>
      <w:lvlJc w:val="left"/>
      <w:pPr>
        <w:tabs>
          <w:tab w:val="left" w:pos="1559"/>
        </w:tabs>
        <w:ind w:left="1559" w:hanging="1559"/>
      </w:pPr>
      <w:rPr>
        <w:rFonts w:hint="eastAsia"/>
      </w:rPr>
    </w:lvl>
  </w:abstractNum>
  <w:abstractNum w:abstractNumId="6">
    <w:nsid w:val="4DE76CC5"/>
    <w:multiLevelType w:val="multilevel"/>
    <w:tmpl w:val="4DE76CC5"/>
    <w:lvl w:ilvl="0" w:tentative="0">
      <w:start w:val="1"/>
      <w:numFmt w:val="chineseCountingThousand"/>
      <w:pStyle w:val="96"/>
      <w:isLgl/>
      <w:lvlText w:val="第%1章"/>
      <w:lvlJc w:val="left"/>
      <w:pPr>
        <w:ind w:left="0" w:firstLine="0"/>
      </w:pPr>
      <w:rPr>
        <w:rFonts w:hint="eastAsia" w:eastAsia="黑体"/>
        <w:b/>
        <w:i w:val="0"/>
        <w:sz w:val="44"/>
        <w:szCs w:val="32"/>
      </w:rPr>
    </w:lvl>
    <w:lvl w:ilvl="1" w:tentative="0">
      <w:start w:val="1"/>
      <w:numFmt w:val="decimal"/>
      <w:isLgl/>
      <w:lvlText w:val="%1.%2"/>
      <w:lvlJc w:val="left"/>
      <w:pPr>
        <w:ind w:left="0" w:firstLine="0"/>
      </w:pPr>
      <w:rPr>
        <w:rFonts w:hint="eastAsia" w:eastAsia="黑体"/>
        <w:b/>
        <w:i w:val="0"/>
        <w:sz w:val="32"/>
      </w:rPr>
    </w:lvl>
    <w:lvl w:ilvl="2" w:tentative="0">
      <w:start w:val="1"/>
      <w:numFmt w:val="lowerLetter"/>
      <w:lvlText w:val="%3)"/>
      <w:lvlJc w:val="left"/>
      <w:pPr>
        <w:ind w:left="0" w:firstLine="0"/>
      </w:pPr>
      <w:rPr>
        <w:rFonts w:hint="eastAsia"/>
        <w:b/>
        <w:i w:val="0"/>
        <w:sz w:val="24"/>
        <w:szCs w:val="24"/>
      </w:rPr>
    </w:lvl>
    <w:lvl w:ilvl="3" w:tentative="0">
      <w:start w:val="1"/>
      <w:numFmt w:val="decimal"/>
      <w:lvlText w:val="%4)"/>
      <w:lvlJc w:val="left"/>
      <w:pPr>
        <w:ind w:left="0" w:firstLine="0"/>
      </w:pPr>
      <w:rPr>
        <w:rFonts w:hint="eastAsia"/>
        <w:b/>
        <w:i w:val="0"/>
        <w:sz w:val="24"/>
        <w:szCs w:val="24"/>
      </w:rPr>
    </w:lvl>
    <w:lvl w:ilvl="4" w:tentative="0">
      <w:start w:val="1"/>
      <w:numFmt w:val="lowerLetter"/>
      <w:lvlText w:val="%5)"/>
      <w:lvlJc w:val="left"/>
      <w:pPr>
        <w:ind w:left="0" w:firstLine="0"/>
      </w:pPr>
      <w:rPr>
        <w:rFonts w:hint="eastAsia"/>
      </w:rPr>
    </w:lvl>
    <w:lvl w:ilvl="5" w:tentative="0">
      <w:start w:val="1"/>
      <w:numFmt w:val="decimal"/>
      <w:isLgl/>
      <w:lvlText w:val="%1.%2.%3.%4.%5.%6"/>
      <w:lvlJc w:val="left"/>
      <w:pPr>
        <w:ind w:left="0" w:firstLine="0"/>
      </w:pPr>
      <w:rPr>
        <w:rFonts w:hint="eastAsia"/>
      </w:rPr>
    </w:lvl>
    <w:lvl w:ilvl="6" w:tentative="0">
      <w:start w:val="1"/>
      <w:numFmt w:val="decimal"/>
      <w:lvlText w:val="%1.%2.%3.%4.%5.%6.%7"/>
      <w:lvlJc w:val="left"/>
      <w:pPr>
        <w:ind w:left="0" w:firstLine="0"/>
      </w:pPr>
      <w:rPr>
        <w:rFonts w:hint="eastAsia"/>
      </w:rPr>
    </w:lvl>
    <w:lvl w:ilvl="7" w:tentative="0">
      <w:start w:val="1"/>
      <w:numFmt w:val="decimal"/>
      <w:lvlText w:val="%1.%2.%3.%4.%5.%6.%7.%8"/>
      <w:lvlJc w:val="left"/>
      <w:pPr>
        <w:ind w:left="0" w:firstLine="0"/>
      </w:pPr>
      <w:rPr>
        <w:rFonts w:hint="eastAsia"/>
      </w:rPr>
    </w:lvl>
    <w:lvl w:ilvl="8" w:tentative="0">
      <w:start w:val="1"/>
      <w:numFmt w:val="decimal"/>
      <w:lvlText w:val="%1.%2.%3.%4.%5.%6.%7.%8.%9"/>
      <w:lvlJc w:val="left"/>
      <w:pPr>
        <w:ind w:left="0" w:firstLine="0"/>
      </w:pPr>
      <w:rPr>
        <w:rFonts w:hint="eastAsia"/>
      </w:rPr>
    </w:lvl>
  </w:abstractNum>
  <w:abstractNum w:abstractNumId="7">
    <w:nsid w:val="6CB3DE2F"/>
    <w:multiLevelType w:val="singleLevel"/>
    <w:tmpl w:val="6CB3DE2F"/>
    <w:lvl w:ilvl="0" w:tentative="0">
      <w:start w:val="17"/>
      <w:numFmt w:val="decimal"/>
      <w:suff w:val="space"/>
      <w:lvlText w:val="%1."/>
      <w:lvlJc w:val="left"/>
    </w:lvl>
  </w:abstractNum>
  <w:abstractNum w:abstractNumId="8">
    <w:nsid w:val="76778866"/>
    <w:multiLevelType w:val="multilevel"/>
    <w:tmpl w:val="76778866"/>
    <w:lvl w:ilvl="0" w:tentative="0">
      <w:start w:val="8"/>
      <w:numFmt w:val="decimal"/>
      <w:lvlText w:val="%1."/>
      <w:lvlJc w:val="left"/>
      <w:pPr>
        <w:tabs>
          <w:tab w:val="left" w:pos="312"/>
        </w:tabs>
      </w:pPr>
    </w:lvl>
    <w:lvl w:ilvl="1" w:tentative="0">
      <w:start w:val="1"/>
      <w:numFmt w:val="decimal"/>
      <w:suff w:val="space"/>
      <w:lvlText w:val="%1.%2"/>
      <w:lvlJc w:val="left"/>
      <w:pPr>
        <w:ind w:left="0" w:firstLine="0"/>
      </w:pPr>
      <w:rPr>
        <w:rFonts w:hint="default"/>
      </w:rPr>
    </w:lvl>
    <w:lvl w:ilvl="2" w:tentative="0">
      <w:start w:val="1"/>
      <w:numFmt w:val="decimal"/>
      <w:suff w:val="space"/>
      <w:lvlText w:val="%1.%2.%3"/>
      <w:lvlJc w:val="left"/>
      <w:pPr>
        <w:ind w:left="0" w:firstLine="0"/>
      </w:pPr>
      <w:rPr>
        <w:rFonts w:hint="default"/>
      </w:rPr>
    </w:lvl>
    <w:lvl w:ilvl="3" w:tentative="0">
      <w:start w:val="1"/>
      <w:numFmt w:val="decimal"/>
      <w:suff w:val="space"/>
      <w:lvlText w:val="%1.%2.%3.%4"/>
      <w:lvlJc w:val="left"/>
      <w:pPr>
        <w:ind w:left="0" w:firstLine="0"/>
      </w:pPr>
      <w:rPr>
        <w:rFonts w:hint="default"/>
      </w:rPr>
    </w:lvl>
    <w:lvl w:ilvl="4" w:tentative="0">
      <w:start w:val="1"/>
      <w:numFmt w:val="decimal"/>
      <w:suff w:val="space"/>
      <w:lvlText w:val="%1.%2.%3.%4.%5"/>
      <w:lvlJc w:val="left"/>
      <w:pPr>
        <w:ind w:left="0" w:firstLine="0"/>
      </w:pPr>
      <w:rPr>
        <w:rFonts w:hint="default"/>
      </w:rPr>
    </w:lvl>
    <w:lvl w:ilvl="5" w:tentative="0">
      <w:start w:val="1"/>
      <w:numFmt w:val="decimal"/>
      <w:suff w:val="space"/>
      <w:lvlText w:val="%1.%2.%3.%4.%5.%6"/>
      <w:lvlJc w:val="left"/>
      <w:pPr>
        <w:ind w:left="0" w:firstLine="0"/>
      </w:pPr>
      <w:rPr>
        <w:rFonts w:hint="default"/>
      </w:rPr>
    </w:lvl>
    <w:lvl w:ilvl="6" w:tentative="0">
      <w:start w:val="1"/>
      <w:numFmt w:val="decimal"/>
      <w:suff w:val="space"/>
      <w:lvlText w:val="%1.%2.%3.%4.%5.%6.%7"/>
      <w:lvlJc w:val="left"/>
      <w:pPr>
        <w:ind w:left="0" w:firstLine="0"/>
      </w:pPr>
      <w:rPr>
        <w:rFonts w:hint="default"/>
      </w:rPr>
    </w:lvl>
    <w:lvl w:ilvl="7" w:tentative="0">
      <w:start w:val="1"/>
      <w:numFmt w:val="decimal"/>
      <w:suff w:val="space"/>
      <w:lvlText w:val="%1.%2.%3.%4.%5.%6.%7.%8"/>
      <w:lvlJc w:val="left"/>
      <w:pPr>
        <w:ind w:left="0" w:firstLine="0"/>
      </w:pPr>
      <w:rPr>
        <w:rFonts w:hint="default"/>
      </w:rPr>
    </w:lvl>
    <w:lvl w:ilvl="8" w:tentative="0">
      <w:start w:val="1"/>
      <w:numFmt w:val="decimal"/>
      <w:suff w:val="space"/>
      <w:lvlText w:val="%1.%2.%3.%4.%5.%6.%7.%8.%9"/>
      <w:lvlJc w:val="left"/>
      <w:pPr>
        <w:ind w:left="0" w:firstLine="0"/>
      </w:pPr>
      <w:rPr>
        <w:rFonts w:hint="default"/>
      </w:rPr>
    </w:lvl>
  </w:abstractNum>
  <w:num w:numId="1">
    <w:abstractNumId w:val="5"/>
  </w:num>
  <w:num w:numId="2">
    <w:abstractNumId w:val="6"/>
  </w:num>
  <w:num w:numId="3">
    <w:abstractNumId w:val="1"/>
  </w:num>
  <w:num w:numId="4">
    <w:abstractNumId w:val="8"/>
  </w:num>
  <w:num w:numId="5">
    <w:abstractNumId w:val="0"/>
  </w:num>
  <w:num w:numId="6">
    <w:abstractNumId w:val="7"/>
  </w:num>
  <w:num w:numId="7">
    <w:abstractNumId w:val="3"/>
  </w:num>
  <w:num w:numId="8">
    <w:abstractNumId w:val="2"/>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saveSubsetFonts/>
  <w:bordersDoNotSurroundHeader w:val="0"/>
  <w:bordersDoNotSurroundFooter w:val="0"/>
  <w:documentProtection w:enforcement="0"/>
  <w:defaultTabStop w:val="420"/>
  <w:hyphenationZone w:val="360"/>
  <w:drawingGridVerticalSpacing w:val="159"/>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MyOWJlODNjY2E1NzJmNTdiYmIxMjdjZWNhMDFlZTcifQ=="/>
    <w:docVar w:name="KSO_WPS_MARK_KEY" w:val="7e9b7307-f205-4894-b144-972786b662e7"/>
  </w:docVars>
  <w:rsids>
    <w:rsidRoot w:val="35AB3B2B"/>
    <w:rsid w:val="00043144"/>
    <w:rsid w:val="00051172"/>
    <w:rsid w:val="000A696E"/>
    <w:rsid w:val="000C3DA7"/>
    <w:rsid w:val="000E5816"/>
    <w:rsid w:val="00112D2F"/>
    <w:rsid w:val="00191629"/>
    <w:rsid w:val="001D4F4F"/>
    <w:rsid w:val="00285E04"/>
    <w:rsid w:val="002B7AA0"/>
    <w:rsid w:val="003216E0"/>
    <w:rsid w:val="0033690E"/>
    <w:rsid w:val="0035078C"/>
    <w:rsid w:val="00351550"/>
    <w:rsid w:val="003879AD"/>
    <w:rsid w:val="00440750"/>
    <w:rsid w:val="00465D3D"/>
    <w:rsid w:val="0048013C"/>
    <w:rsid w:val="004A1A92"/>
    <w:rsid w:val="004C5563"/>
    <w:rsid w:val="004E3769"/>
    <w:rsid w:val="004E4BAC"/>
    <w:rsid w:val="00502E90"/>
    <w:rsid w:val="00513444"/>
    <w:rsid w:val="0055604D"/>
    <w:rsid w:val="0055608C"/>
    <w:rsid w:val="00575A00"/>
    <w:rsid w:val="00635F97"/>
    <w:rsid w:val="00642EAC"/>
    <w:rsid w:val="00684C44"/>
    <w:rsid w:val="006F2901"/>
    <w:rsid w:val="007C2CCC"/>
    <w:rsid w:val="00851CC2"/>
    <w:rsid w:val="0085543B"/>
    <w:rsid w:val="00A66F03"/>
    <w:rsid w:val="00A82127"/>
    <w:rsid w:val="00B2258B"/>
    <w:rsid w:val="00B34B5B"/>
    <w:rsid w:val="00BB1D83"/>
    <w:rsid w:val="00BB6AEE"/>
    <w:rsid w:val="00BC22DA"/>
    <w:rsid w:val="00BF2574"/>
    <w:rsid w:val="00C85AB7"/>
    <w:rsid w:val="00D8435D"/>
    <w:rsid w:val="00DB10A5"/>
    <w:rsid w:val="00DB41F3"/>
    <w:rsid w:val="00DD084B"/>
    <w:rsid w:val="00E01590"/>
    <w:rsid w:val="00EC4BCA"/>
    <w:rsid w:val="00EE68FA"/>
    <w:rsid w:val="00F05317"/>
    <w:rsid w:val="00F2137E"/>
    <w:rsid w:val="00F3061C"/>
    <w:rsid w:val="00F64DEA"/>
    <w:rsid w:val="00F9432B"/>
    <w:rsid w:val="00FC15F9"/>
    <w:rsid w:val="01007E42"/>
    <w:rsid w:val="01275D20"/>
    <w:rsid w:val="014557C2"/>
    <w:rsid w:val="01556EA9"/>
    <w:rsid w:val="017734C4"/>
    <w:rsid w:val="01864D83"/>
    <w:rsid w:val="019A5532"/>
    <w:rsid w:val="01B3097E"/>
    <w:rsid w:val="01CC0D9F"/>
    <w:rsid w:val="02271F96"/>
    <w:rsid w:val="022D0673"/>
    <w:rsid w:val="02313125"/>
    <w:rsid w:val="02393D62"/>
    <w:rsid w:val="02405F8A"/>
    <w:rsid w:val="029E7AD0"/>
    <w:rsid w:val="02B250DA"/>
    <w:rsid w:val="02C300D1"/>
    <w:rsid w:val="02D23086"/>
    <w:rsid w:val="02DD4F9C"/>
    <w:rsid w:val="02F545EC"/>
    <w:rsid w:val="02FA30D3"/>
    <w:rsid w:val="02FF1F50"/>
    <w:rsid w:val="03090322"/>
    <w:rsid w:val="031C07A5"/>
    <w:rsid w:val="032759B1"/>
    <w:rsid w:val="033F1FD5"/>
    <w:rsid w:val="033F6241"/>
    <w:rsid w:val="03640239"/>
    <w:rsid w:val="036F159C"/>
    <w:rsid w:val="03804DFA"/>
    <w:rsid w:val="03942A31"/>
    <w:rsid w:val="03A07AD7"/>
    <w:rsid w:val="03BB041B"/>
    <w:rsid w:val="03D96696"/>
    <w:rsid w:val="042C4A18"/>
    <w:rsid w:val="045C1399"/>
    <w:rsid w:val="047C02C2"/>
    <w:rsid w:val="04803322"/>
    <w:rsid w:val="04AC6B21"/>
    <w:rsid w:val="04AC72EC"/>
    <w:rsid w:val="05056200"/>
    <w:rsid w:val="05190704"/>
    <w:rsid w:val="056D353A"/>
    <w:rsid w:val="057B7AFF"/>
    <w:rsid w:val="057C552B"/>
    <w:rsid w:val="0580226C"/>
    <w:rsid w:val="058D14E6"/>
    <w:rsid w:val="059B2E14"/>
    <w:rsid w:val="05AA531D"/>
    <w:rsid w:val="05B66E6A"/>
    <w:rsid w:val="05CD3179"/>
    <w:rsid w:val="05D067D9"/>
    <w:rsid w:val="05DE2D7B"/>
    <w:rsid w:val="06055520"/>
    <w:rsid w:val="0609510A"/>
    <w:rsid w:val="06191E5A"/>
    <w:rsid w:val="061D6D0E"/>
    <w:rsid w:val="0639166E"/>
    <w:rsid w:val="06750C66"/>
    <w:rsid w:val="068E082F"/>
    <w:rsid w:val="069464FB"/>
    <w:rsid w:val="069F3FEC"/>
    <w:rsid w:val="06CD51CF"/>
    <w:rsid w:val="06CF4120"/>
    <w:rsid w:val="06DB7470"/>
    <w:rsid w:val="06DF5D71"/>
    <w:rsid w:val="06EF58D3"/>
    <w:rsid w:val="07116147"/>
    <w:rsid w:val="072D4D2F"/>
    <w:rsid w:val="073001EA"/>
    <w:rsid w:val="074107DA"/>
    <w:rsid w:val="075E76FE"/>
    <w:rsid w:val="07936827"/>
    <w:rsid w:val="079B0BC0"/>
    <w:rsid w:val="07B34DB3"/>
    <w:rsid w:val="084A21A0"/>
    <w:rsid w:val="0855720F"/>
    <w:rsid w:val="085B4F44"/>
    <w:rsid w:val="088D5F5C"/>
    <w:rsid w:val="08987A66"/>
    <w:rsid w:val="08F63846"/>
    <w:rsid w:val="09007CEC"/>
    <w:rsid w:val="092F7B18"/>
    <w:rsid w:val="09475E50"/>
    <w:rsid w:val="094C565A"/>
    <w:rsid w:val="096D5AA7"/>
    <w:rsid w:val="0997077C"/>
    <w:rsid w:val="09AB7B18"/>
    <w:rsid w:val="09B0234C"/>
    <w:rsid w:val="09C12E52"/>
    <w:rsid w:val="09ED6CA1"/>
    <w:rsid w:val="09FD11BF"/>
    <w:rsid w:val="0A091FDE"/>
    <w:rsid w:val="0A260FC3"/>
    <w:rsid w:val="0A261F09"/>
    <w:rsid w:val="0A2B6A3F"/>
    <w:rsid w:val="0A6842D0"/>
    <w:rsid w:val="0AB823C4"/>
    <w:rsid w:val="0ACA4546"/>
    <w:rsid w:val="0AF27E57"/>
    <w:rsid w:val="0AF357B1"/>
    <w:rsid w:val="0AF542EF"/>
    <w:rsid w:val="0B41349E"/>
    <w:rsid w:val="0B753148"/>
    <w:rsid w:val="0B825441"/>
    <w:rsid w:val="0BA525D8"/>
    <w:rsid w:val="0BA537F2"/>
    <w:rsid w:val="0BB71F8D"/>
    <w:rsid w:val="0BD50CE3"/>
    <w:rsid w:val="0BDA2FAB"/>
    <w:rsid w:val="0BDC0B16"/>
    <w:rsid w:val="0C0A7D34"/>
    <w:rsid w:val="0C2F6006"/>
    <w:rsid w:val="0C426CB3"/>
    <w:rsid w:val="0C454256"/>
    <w:rsid w:val="0C5056AF"/>
    <w:rsid w:val="0C51597A"/>
    <w:rsid w:val="0C5B37C6"/>
    <w:rsid w:val="0C602928"/>
    <w:rsid w:val="0C8352C9"/>
    <w:rsid w:val="0C88726E"/>
    <w:rsid w:val="0CCB7B51"/>
    <w:rsid w:val="0CEA36C2"/>
    <w:rsid w:val="0D164A4D"/>
    <w:rsid w:val="0D7910E2"/>
    <w:rsid w:val="0D8F1B47"/>
    <w:rsid w:val="0D936E4C"/>
    <w:rsid w:val="0DB56D9E"/>
    <w:rsid w:val="0DB73DA5"/>
    <w:rsid w:val="0DC134A7"/>
    <w:rsid w:val="0DE6032D"/>
    <w:rsid w:val="0DF90060"/>
    <w:rsid w:val="0E235597"/>
    <w:rsid w:val="0E2475FA"/>
    <w:rsid w:val="0E343F36"/>
    <w:rsid w:val="0E4D03C4"/>
    <w:rsid w:val="0E511C4A"/>
    <w:rsid w:val="0E512BF8"/>
    <w:rsid w:val="0ECD6DF7"/>
    <w:rsid w:val="0ED45967"/>
    <w:rsid w:val="0ED939EE"/>
    <w:rsid w:val="0EE34DB9"/>
    <w:rsid w:val="0EE82D0D"/>
    <w:rsid w:val="0EEF4FBF"/>
    <w:rsid w:val="0EF46240"/>
    <w:rsid w:val="0F2316E5"/>
    <w:rsid w:val="0F465E03"/>
    <w:rsid w:val="0F4B0AC5"/>
    <w:rsid w:val="0F5A7458"/>
    <w:rsid w:val="0F620FFF"/>
    <w:rsid w:val="0F681E22"/>
    <w:rsid w:val="0F6C20F8"/>
    <w:rsid w:val="0F9262E5"/>
    <w:rsid w:val="0FA11886"/>
    <w:rsid w:val="0FD018B6"/>
    <w:rsid w:val="0FED28F4"/>
    <w:rsid w:val="0FEE60A0"/>
    <w:rsid w:val="100B5B75"/>
    <w:rsid w:val="10306B91"/>
    <w:rsid w:val="10390CED"/>
    <w:rsid w:val="105651B6"/>
    <w:rsid w:val="105D45B9"/>
    <w:rsid w:val="10741C20"/>
    <w:rsid w:val="10760AEF"/>
    <w:rsid w:val="10797991"/>
    <w:rsid w:val="108D7FEC"/>
    <w:rsid w:val="10C34A85"/>
    <w:rsid w:val="10E86A85"/>
    <w:rsid w:val="10EB0A61"/>
    <w:rsid w:val="10F96CD3"/>
    <w:rsid w:val="10FD1C16"/>
    <w:rsid w:val="110D477C"/>
    <w:rsid w:val="11230728"/>
    <w:rsid w:val="1134494C"/>
    <w:rsid w:val="114317C8"/>
    <w:rsid w:val="1149436B"/>
    <w:rsid w:val="11551C27"/>
    <w:rsid w:val="116F7948"/>
    <w:rsid w:val="117E3EBF"/>
    <w:rsid w:val="11A63895"/>
    <w:rsid w:val="11AA0E33"/>
    <w:rsid w:val="11D465DE"/>
    <w:rsid w:val="11DC0024"/>
    <w:rsid w:val="11F35E10"/>
    <w:rsid w:val="121E003E"/>
    <w:rsid w:val="12313361"/>
    <w:rsid w:val="123238F4"/>
    <w:rsid w:val="124675EC"/>
    <w:rsid w:val="124E6914"/>
    <w:rsid w:val="129B7938"/>
    <w:rsid w:val="12AA4371"/>
    <w:rsid w:val="12CC26ED"/>
    <w:rsid w:val="12D84CD4"/>
    <w:rsid w:val="12E84200"/>
    <w:rsid w:val="12F51579"/>
    <w:rsid w:val="12F65A31"/>
    <w:rsid w:val="12F86B39"/>
    <w:rsid w:val="12FD7CCA"/>
    <w:rsid w:val="13042B7A"/>
    <w:rsid w:val="131909C4"/>
    <w:rsid w:val="131F2662"/>
    <w:rsid w:val="137139DD"/>
    <w:rsid w:val="13852ECA"/>
    <w:rsid w:val="13BA2040"/>
    <w:rsid w:val="13C139AF"/>
    <w:rsid w:val="13E01C4A"/>
    <w:rsid w:val="14032E1B"/>
    <w:rsid w:val="142B3045"/>
    <w:rsid w:val="14333776"/>
    <w:rsid w:val="1437543F"/>
    <w:rsid w:val="14450EEB"/>
    <w:rsid w:val="144E16AB"/>
    <w:rsid w:val="144F6715"/>
    <w:rsid w:val="14740A1C"/>
    <w:rsid w:val="147A16BB"/>
    <w:rsid w:val="14AA5797"/>
    <w:rsid w:val="14D53C37"/>
    <w:rsid w:val="15283DF9"/>
    <w:rsid w:val="154D743D"/>
    <w:rsid w:val="15667555"/>
    <w:rsid w:val="1588503E"/>
    <w:rsid w:val="15997A33"/>
    <w:rsid w:val="15A97268"/>
    <w:rsid w:val="15B52B26"/>
    <w:rsid w:val="15CF1DD7"/>
    <w:rsid w:val="15E224A7"/>
    <w:rsid w:val="16150220"/>
    <w:rsid w:val="164342FA"/>
    <w:rsid w:val="16482398"/>
    <w:rsid w:val="16536803"/>
    <w:rsid w:val="16573DB1"/>
    <w:rsid w:val="165770B0"/>
    <w:rsid w:val="16777D74"/>
    <w:rsid w:val="16900E36"/>
    <w:rsid w:val="16A22BEB"/>
    <w:rsid w:val="16C43712"/>
    <w:rsid w:val="16CB645F"/>
    <w:rsid w:val="16D74B46"/>
    <w:rsid w:val="16FC1F08"/>
    <w:rsid w:val="170830C2"/>
    <w:rsid w:val="171820A2"/>
    <w:rsid w:val="171877C6"/>
    <w:rsid w:val="17571001"/>
    <w:rsid w:val="17707BBF"/>
    <w:rsid w:val="17776970"/>
    <w:rsid w:val="17996410"/>
    <w:rsid w:val="179E6119"/>
    <w:rsid w:val="17B374D2"/>
    <w:rsid w:val="17B80644"/>
    <w:rsid w:val="17BA1FA3"/>
    <w:rsid w:val="17C7601A"/>
    <w:rsid w:val="17CF624F"/>
    <w:rsid w:val="181270D8"/>
    <w:rsid w:val="183A7AB3"/>
    <w:rsid w:val="183C74C7"/>
    <w:rsid w:val="18402742"/>
    <w:rsid w:val="185C4B83"/>
    <w:rsid w:val="18930869"/>
    <w:rsid w:val="18B01FA4"/>
    <w:rsid w:val="190C0B53"/>
    <w:rsid w:val="19434185"/>
    <w:rsid w:val="19540841"/>
    <w:rsid w:val="1962480C"/>
    <w:rsid w:val="196A5697"/>
    <w:rsid w:val="196F11D7"/>
    <w:rsid w:val="19A60971"/>
    <w:rsid w:val="1A4C517C"/>
    <w:rsid w:val="1A6257C6"/>
    <w:rsid w:val="1A695C0A"/>
    <w:rsid w:val="1A7B185F"/>
    <w:rsid w:val="1AA66E7A"/>
    <w:rsid w:val="1ABD41C4"/>
    <w:rsid w:val="1ACA77FB"/>
    <w:rsid w:val="1ACC5BF8"/>
    <w:rsid w:val="1AD774CB"/>
    <w:rsid w:val="1AE95C52"/>
    <w:rsid w:val="1B124510"/>
    <w:rsid w:val="1B1A33C4"/>
    <w:rsid w:val="1B1E67F8"/>
    <w:rsid w:val="1B200CF6"/>
    <w:rsid w:val="1B373C75"/>
    <w:rsid w:val="1B390BDC"/>
    <w:rsid w:val="1B440CBF"/>
    <w:rsid w:val="1B5C1AF3"/>
    <w:rsid w:val="1B770817"/>
    <w:rsid w:val="1B8972B8"/>
    <w:rsid w:val="1B8E7170"/>
    <w:rsid w:val="1BA55443"/>
    <w:rsid w:val="1BAD7680"/>
    <w:rsid w:val="1BBD111D"/>
    <w:rsid w:val="1BE0443F"/>
    <w:rsid w:val="1BEF6F49"/>
    <w:rsid w:val="1C13053F"/>
    <w:rsid w:val="1C471722"/>
    <w:rsid w:val="1C5C588F"/>
    <w:rsid w:val="1C821221"/>
    <w:rsid w:val="1C983F97"/>
    <w:rsid w:val="1CB1569A"/>
    <w:rsid w:val="1CB313F6"/>
    <w:rsid w:val="1CEF0D6A"/>
    <w:rsid w:val="1CFB6B14"/>
    <w:rsid w:val="1D3C3AC6"/>
    <w:rsid w:val="1D3C45B0"/>
    <w:rsid w:val="1D4028B0"/>
    <w:rsid w:val="1D9F75B3"/>
    <w:rsid w:val="1DD9385C"/>
    <w:rsid w:val="1E00462C"/>
    <w:rsid w:val="1E1C5E73"/>
    <w:rsid w:val="1E1C7453"/>
    <w:rsid w:val="1E3D5BFF"/>
    <w:rsid w:val="1E3F5B0A"/>
    <w:rsid w:val="1E402DD2"/>
    <w:rsid w:val="1E590153"/>
    <w:rsid w:val="1E5B585E"/>
    <w:rsid w:val="1E703E54"/>
    <w:rsid w:val="1EA0459D"/>
    <w:rsid w:val="1EAE00EE"/>
    <w:rsid w:val="1EB21D4C"/>
    <w:rsid w:val="1EBC5938"/>
    <w:rsid w:val="1EBD353C"/>
    <w:rsid w:val="1ECC5D06"/>
    <w:rsid w:val="1ED42809"/>
    <w:rsid w:val="1EF26162"/>
    <w:rsid w:val="1EFC4C0E"/>
    <w:rsid w:val="1F6A2CF4"/>
    <w:rsid w:val="1F796CCC"/>
    <w:rsid w:val="1F8D685B"/>
    <w:rsid w:val="1F9F2549"/>
    <w:rsid w:val="1FC81641"/>
    <w:rsid w:val="1FCC5382"/>
    <w:rsid w:val="1FD86B10"/>
    <w:rsid w:val="1FFD6FC8"/>
    <w:rsid w:val="1FFE3AC1"/>
    <w:rsid w:val="202279CC"/>
    <w:rsid w:val="202E28C0"/>
    <w:rsid w:val="20322F5E"/>
    <w:rsid w:val="20441B19"/>
    <w:rsid w:val="20550C1B"/>
    <w:rsid w:val="205A3A16"/>
    <w:rsid w:val="20663493"/>
    <w:rsid w:val="2069018D"/>
    <w:rsid w:val="20A0219D"/>
    <w:rsid w:val="20A0784C"/>
    <w:rsid w:val="20B87A68"/>
    <w:rsid w:val="20BF45FE"/>
    <w:rsid w:val="20C70459"/>
    <w:rsid w:val="20E94DEB"/>
    <w:rsid w:val="2102069D"/>
    <w:rsid w:val="21072432"/>
    <w:rsid w:val="21082292"/>
    <w:rsid w:val="216C5A83"/>
    <w:rsid w:val="21A06E5B"/>
    <w:rsid w:val="21C9221A"/>
    <w:rsid w:val="21DF2C72"/>
    <w:rsid w:val="21E8394E"/>
    <w:rsid w:val="21EC0C0F"/>
    <w:rsid w:val="21F00C93"/>
    <w:rsid w:val="21FB5C14"/>
    <w:rsid w:val="21FB60D3"/>
    <w:rsid w:val="220C72DA"/>
    <w:rsid w:val="22160B82"/>
    <w:rsid w:val="22166C27"/>
    <w:rsid w:val="2265761B"/>
    <w:rsid w:val="228952D6"/>
    <w:rsid w:val="2297314D"/>
    <w:rsid w:val="229F23A9"/>
    <w:rsid w:val="22A23130"/>
    <w:rsid w:val="22A279E3"/>
    <w:rsid w:val="22A30143"/>
    <w:rsid w:val="22BA2B41"/>
    <w:rsid w:val="22C179E6"/>
    <w:rsid w:val="22C8396D"/>
    <w:rsid w:val="22D26F9A"/>
    <w:rsid w:val="22E3461C"/>
    <w:rsid w:val="22F15352"/>
    <w:rsid w:val="23186548"/>
    <w:rsid w:val="23280DAF"/>
    <w:rsid w:val="23305E7B"/>
    <w:rsid w:val="235D05EE"/>
    <w:rsid w:val="2374034F"/>
    <w:rsid w:val="23A3664D"/>
    <w:rsid w:val="23AB72AF"/>
    <w:rsid w:val="23AF69F1"/>
    <w:rsid w:val="23B12896"/>
    <w:rsid w:val="23CB0902"/>
    <w:rsid w:val="23EF0A76"/>
    <w:rsid w:val="23F316BB"/>
    <w:rsid w:val="240D4FC4"/>
    <w:rsid w:val="245C759D"/>
    <w:rsid w:val="246F2CB5"/>
    <w:rsid w:val="24763848"/>
    <w:rsid w:val="247C12B5"/>
    <w:rsid w:val="24827E18"/>
    <w:rsid w:val="24963225"/>
    <w:rsid w:val="24BE4734"/>
    <w:rsid w:val="24C31569"/>
    <w:rsid w:val="252D0794"/>
    <w:rsid w:val="25377C12"/>
    <w:rsid w:val="25442225"/>
    <w:rsid w:val="255505B4"/>
    <w:rsid w:val="255D0A7D"/>
    <w:rsid w:val="25902E9C"/>
    <w:rsid w:val="259C15A5"/>
    <w:rsid w:val="25B0273C"/>
    <w:rsid w:val="25D45C3E"/>
    <w:rsid w:val="25DD61F7"/>
    <w:rsid w:val="25E81861"/>
    <w:rsid w:val="26034EF6"/>
    <w:rsid w:val="260E6047"/>
    <w:rsid w:val="263D5C2C"/>
    <w:rsid w:val="264E5AA3"/>
    <w:rsid w:val="268100BF"/>
    <w:rsid w:val="26811426"/>
    <w:rsid w:val="268C4476"/>
    <w:rsid w:val="26AE1FC0"/>
    <w:rsid w:val="26AF70B6"/>
    <w:rsid w:val="26AF716B"/>
    <w:rsid w:val="26F55B81"/>
    <w:rsid w:val="27126E5B"/>
    <w:rsid w:val="27331CE1"/>
    <w:rsid w:val="27437FDF"/>
    <w:rsid w:val="276E7580"/>
    <w:rsid w:val="277B5D96"/>
    <w:rsid w:val="2797604D"/>
    <w:rsid w:val="279E1806"/>
    <w:rsid w:val="279F27E3"/>
    <w:rsid w:val="28133675"/>
    <w:rsid w:val="281E11E4"/>
    <w:rsid w:val="2858552C"/>
    <w:rsid w:val="28776B74"/>
    <w:rsid w:val="28936921"/>
    <w:rsid w:val="28B92147"/>
    <w:rsid w:val="292875F4"/>
    <w:rsid w:val="293624BD"/>
    <w:rsid w:val="29453D02"/>
    <w:rsid w:val="294D49C5"/>
    <w:rsid w:val="296231D6"/>
    <w:rsid w:val="29BA0A21"/>
    <w:rsid w:val="2A0E67EA"/>
    <w:rsid w:val="2A19597B"/>
    <w:rsid w:val="2A23324E"/>
    <w:rsid w:val="2A667B8C"/>
    <w:rsid w:val="2A6C2D68"/>
    <w:rsid w:val="2A6F5C00"/>
    <w:rsid w:val="2A7439F6"/>
    <w:rsid w:val="2A822FFD"/>
    <w:rsid w:val="2ACA1805"/>
    <w:rsid w:val="2AE95FFB"/>
    <w:rsid w:val="2AFD4EC5"/>
    <w:rsid w:val="2AFF1738"/>
    <w:rsid w:val="2B046437"/>
    <w:rsid w:val="2B1B420B"/>
    <w:rsid w:val="2B376F2C"/>
    <w:rsid w:val="2B417276"/>
    <w:rsid w:val="2B5A5895"/>
    <w:rsid w:val="2B780DBB"/>
    <w:rsid w:val="2BB619B3"/>
    <w:rsid w:val="2BDA5C4B"/>
    <w:rsid w:val="2BF8505C"/>
    <w:rsid w:val="2C13295B"/>
    <w:rsid w:val="2C297A7F"/>
    <w:rsid w:val="2C3F2C8B"/>
    <w:rsid w:val="2C4E7FB0"/>
    <w:rsid w:val="2C5A2AE8"/>
    <w:rsid w:val="2C685386"/>
    <w:rsid w:val="2C852F06"/>
    <w:rsid w:val="2C905476"/>
    <w:rsid w:val="2C981CCD"/>
    <w:rsid w:val="2C9F53AF"/>
    <w:rsid w:val="2CA13945"/>
    <w:rsid w:val="2CAE2083"/>
    <w:rsid w:val="2CB84072"/>
    <w:rsid w:val="2CBA641B"/>
    <w:rsid w:val="2CDF7FCA"/>
    <w:rsid w:val="2CED6B8B"/>
    <w:rsid w:val="2CFD0054"/>
    <w:rsid w:val="2D040C32"/>
    <w:rsid w:val="2D0757A6"/>
    <w:rsid w:val="2D11636C"/>
    <w:rsid w:val="2D576C63"/>
    <w:rsid w:val="2D7A4E0A"/>
    <w:rsid w:val="2D982E0B"/>
    <w:rsid w:val="2DB53B3B"/>
    <w:rsid w:val="2DB63DDF"/>
    <w:rsid w:val="2DBD030B"/>
    <w:rsid w:val="2DCC44FF"/>
    <w:rsid w:val="2DD744DA"/>
    <w:rsid w:val="2E072654"/>
    <w:rsid w:val="2E5E1319"/>
    <w:rsid w:val="2E6F38EF"/>
    <w:rsid w:val="2E7D4B79"/>
    <w:rsid w:val="2EC24EAE"/>
    <w:rsid w:val="2EC3575E"/>
    <w:rsid w:val="2EF91817"/>
    <w:rsid w:val="2F466CCF"/>
    <w:rsid w:val="2F47109C"/>
    <w:rsid w:val="2F4B2213"/>
    <w:rsid w:val="2F9075F6"/>
    <w:rsid w:val="2F990904"/>
    <w:rsid w:val="2F9A594D"/>
    <w:rsid w:val="2FE778C1"/>
    <w:rsid w:val="2FF3519E"/>
    <w:rsid w:val="302B69D3"/>
    <w:rsid w:val="305F6960"/>
    <w:rsid w:val="307B4A76"/>
    <w:rsid w:val="30E14F3B"/>
    <w:rsid w:val="30ED5CE0"/>
    <w:rsid w:val="313279B0"/>
    <w:rsid w:val="317053CB"/>
    <w:rsid w:val="317F3D7D"/>
    <w:rsid w:val="31960D20"/>
    <w:rsid w:val="31A435DE"/>
    <w:rsid w:val="31AB42A0"/>
    <w:rsid w:val="31CD0C24"/>
    <w:rsid w:val="31D66DA6"/>
    <w:rsid w:val="31F0559B"/>
    <w:rsid w:val="31FF60CF"/>
    <w:rsid w:val="322963D4"/>
    <w:rsid w:val="324C7494"/>
    <w:rsid w:val="324E528F"/>
    <w:rsid w:val="32642296"/>
    <w:rsid w:val="328949F5"/>
    <w:rsid w:val="329655CE"/>
    <w:rsid w:val="32A01606"/>
    <w:rsid w:val="32C1089D"/>
    <w:rsid w:val="32C94A9C"/>
    <w:rsid w:val="32D217C2"/>
    <w:rsid w:val="32D91662"/>
    <w:rsid w:val="32D93D68"/>
    <w:rsid w:val="32E120A3"/>
    <w:rsid w:val="32E7407C"/>
    <w:rsid w:val="32E752BB"/>
    <w:rsid w:val="32F84566"/>
    <w:rsid w:val="332D454F"/>
    <w:rsid w:val="332E5CC1"/>
    <w:rsid w:val="334E1463"/>
    <w:rsid w:val="33A61841"/>
    <w:rsid w:val="33C54B71"/>
    <w:rsid w:val="33C87A09"/>
    <w:rsid w:val="33F16F60"/>
    <w:rsid w:val="34126ECB"/>
    <w:rsid w:val="348C0A37"/>
    <w:rsid w:val="348C6C89"/>
    <w:rsid w:val="348E3F5F"/>
    <w:rsid w:val="34997580"/>
    <w:rsid w:val="34A07D70"/>
    <w:rsid w:val="34A65EB2"/>
    <w:rsid w:val="34A9791B"/>
    <w:rsid w:val="34AE125F"/>
    <w:rsid w:val="34D84426"/>
    <w:rsid w:val="34D85063"/>
    <w:rsid w:val="34E70363"/>
    <w:rsid w:val="350318B2"/>
    <w:rsid w:val="351729F7"/>
    <w:rsid w:val="351F5D4F"/>
    <w:rsid w:val="352548D7"/>
    <w:rsid w:val="352A70A8"/>
    <w:rsid w:val="35740CF0"/>
    <w:rsid w:val="35981787"/>
    <w:rsid w:val="359B5E22"/>
    <w:rsid w:val="359C1AAB"/>
    <w:rsid w:val="35A63D95"/>
    <w:rsid w:val="35AB3B2B"/>
    <w:rsid w:val="35B11597"/>
    <w:rsid w:val="35B828FE"/>
    <w:rsid w:val="35C366DA"/>
    <w:rsid w:val="35C54E2A"/>
    <w:rsid w:val="35F7478C"/>
    <w:rsid w:val="360B3E62"/>
    <w:rsid w:val="3632560E"/>
    <w:rsid w:val="364E1FAC"/>
    <w:rsid w:val="36502FEF"/>
    <w:rsid w:val="36552544"/>
    <w:rsid w:val="365878E4"/>
    <w:rsid w:val="367F29FE"/>
    <w:rsid w:val="36927BAE"/>
    <w:rsid w:val="36B06732"/>
    <w:rsid w:val="36C24DA9"/>
    <w:rsid w:val="36C26B8E"/>
    <w:rsid w:val="36C940D3"/>
    <w:rsid w:val="36E41E01"/>
    <w:rsid w:val="36F42649"/>
    <w:rsid w:val="370020BB"/>
    <w:rsid w:val="370945C1"/>
    <w:rsid w:val="37250D2B"/>
    <w:rsid w:val="373B4B09"/>
    <w:rsid w:val="3744619F"/>
    <w:rsid w:val="375F48B5"/>
    <w:rsid w:val="376D2DA2"/>
    <w:rsid w:val="37797AAB"/>
    <w:rsid w:val="37965565"/>
    <w:rsid w:val="37EE4E6A"/>
    <w:rsid w:val="37FF7C7E"/>
    <w:rsid w:val="3842422E"/>
    <w:rsid w:val="384348C7"/>
    <w:rsid w:val="386D6DD1"/>
    <w:rsid w:val="386F48F8"/>
    <w:rsid w:val="389649C5"/>
    <w:rsid w:val="3971655D"/>
    <w:rsid w:val="39735B4B"/>
    <w:rsid w:val="39912D3E"/>
    <w:rsid w:val="39915221"/>
    <w:rsid w:val="39BA1ADC"/>
    <w:rsid w:val="39BE0E02"/>
    <w:rsid w:val="39C2243E"/>
    <w:rsid w:val="39EC3774"/>
    <w:rsid w:val="39EF0137"/>
    <w:rsid w:val="3A1B2D69"/>
    <w:rsid w:val="3A5E59CC"/>
    <w:rsid w:val="3A735F50"/>
    <w:rsid w:val="3A8202CA"/>
    <w:rsid w:val="3A854074"/>
    <w:rsid w:val="3A8D08BE"/>
    <w:rsid w:val="3ABB3E24"/>
    <w:rsid w:val="3AC740E5"/>
    <w:rsid w:val="3AE83416"/>
    <w:rsid w:val="3B0D21A6"/>
    <w:rsid w:val="3B1E1277"/>
    <w:rsid w:val="3B241639"/>
    <w:rsid w:val="3B2958E9"/>
    <w:rsid w:val="3B340B10"/>
    <w:rsid w:val="3B4342F2"/>
    <w:rsid w:val="3BAC54A0"/>
    <w:rsid w:val="3BB450D2"/>
    <w:rsid w:val="3BB83A55"/>
    <w:rsid w:val="3BF97AD4"/>
    <w:rsid w:val="3C016259"/>
    <w:rsid w:val="3C07263B"/>
    <w:rsid w:val="3C1F6635"/>
    <w:rsid w:val="3C4E319D"/>
    <w:rsid w:val="3C70334F"/>
    <w:rsid w:val="3C797D13"/>
    <w:rsid w:val="3C806348"/>
    <w:rsid w:val="3CD2615F"/>
    <w:rsid w:val="3D11205B"/>
    <w:rsid w:val="3D385754"/>
    <w:rsid w:val="3D3D55B3"/>
    <w:rsid w:val="3D50398D"/>
    <w:rsid w:val="3D5619DA"/>
    <w:rsid w:val="3D5F6A55"/>
    <w:rsid w:val="3D604ED5"/>
    <w:rsid w:val="3D780336"/>
    <w:rsid w:val="3DC92CFC"/>
    <w:rsid w:val="3DE25DB3"/>
    <w:rsid w:val="3DE6670E"/>
    <w:rsid w:val="3E0D2B9C"/>
    <w:rsid w:val="3E1E1446"/>
    <w:rsid w:val="3E445CEF"/>
    <w:rsid w:val="3E4D7BE8"/>
    <w:rsid w:val="3E5325C6"/>
    <w:rsid w:val="3E7A463F"/>
    <w:rsid w:val="3E925B12"/>
    <w:rsid w:val="3EA45827"/>
    <w:rsid w:val="3EB10774"/>
    <w:rsid w:val="3EF07329"/>
    <w:rsid w:val="3EFB0FE0"/>
    <w:rsid w:val="3F0128C7"/>
    <w:rsid w:val="3F12480E"/>
    <w:rsid w:val="3F3428F7"/>
    <w:rsid w:val="3F50722A"/>
    <w:rsid w:val="3F645D9C"/>
    <w:rsid w:val="3F8E1AF4"/>
    <w:rsid w:val="3F95733A"/>
    <w:rsid w:val="3FA35235"/>
    <w:rsid w:val="3FA82D7F"/>
    <w:rsid w:val="3FC12F2F"/>
    <w:rsid w:val="3FCB2B69"/>
    <w:rsid w:val="3FCF3ECE"/>
    <w:rsid w:val="3FFD4490"/>
    <w:rsid w:val="4026608A"/>
    <w:rsid w:val="402823B4"/>
    <w:rsid w:val="405A34BE"/>
    <w:rsid w:val="40650AB8"/>
    <w:rsid w:val="40A73A11"/>
    <w:rsid w:val="40D50F73"/>
    <w:rsid w:val="40E765BD"/>
    <w:rsid w:val="40F97CA8"/>
    <w:rsid w:val="410D6E30"/>
    <w:rsid w:val="41271078"/>
    <w:rsid w:val="412A6279"/>
    <w:rsid w:val="41412351"/>
    <w:rsid w:val="414E6719"/>
    <w:rsid w:val="416D4D8C"/>
    <w:rsid w:val="417A46D4"/>
    <w:rsid w:val="419345E1"/>
    <w:rsid w:val="41940CDA"/>
    <w:rsid w:val="41AA2509"/>
    <w:rsid w:val="41CF0BCF"/>
    <w:rsid w:val="41D427C4"/>
    <w:rsid w:val="41E04248"/>
    <w:rsid w:val="41FF785B"/>
    <w:rsid w:val="42027434"/>
    <w:rsid w:val="42042CCA"/>
    <w:rsid w:val="42073265"/>
    <w:rsid w:val="425A3F23"/>
    <w:rsid w:val="42812A86"/>
    <w:rsid w:val="42817701"/>
    <w:rsid w:val="428F4403"/>
    <w:rsid w:val="42A86998"/>
    <w:rsid w:val="42B56350"/>
    <w:rsid w:val="42EA15F6"/>
    <w:rsid w:val="432C5504"/>
    <w:rsid w:val="43365770"/>
    <w:rsid w:val="43423D8B"/>
    <w:rsid w:val="43482809"/>
    <w:rsid w:val="436D237B"/>
    <w:rsid w:val="43727FC7"/>
    <w:rsid w:val="43794BD1"/>
    <w:rsid w:val="438815DB"/>
    <w:rsid w:val="439006C3"/>
    <w:rsid w:val="43942E6F"/>
    <w:rsid w:val="43A22025"/>
    <w:rsid w:val="44085AC7"/>
    <w:rsid w:val="440A33D6"/>
    <w:rsid w:val="440D2E29"/>
    <w:rsid w:val="44211E13"/>
    <w:rsid w:val="445B0426"/>
    <w:rsid w:val="449C1209"/>
    <w:rsid w:val="44C409AF"/>
    <w:rsid w:val="44CB6471"/>
    <w:rsid w:val="44D70159"/>
    <w:rsid w:val="44E977E0"/>
    <w:rsid w:val="4504471C"/>
    <w:rsid w:val="45152417"/>
    <w:rsid w:val="4567448A"/>
    <w:rsid w:val="45791C6C"/>
    <w:rsid w:val="45B002FD"/>
    <w:rsid w:val="45D05F89"/>
    <w:rsid w:val="45E16709"/>
    <w:rsid w:val="460008CE"/>
    <w:rsid w:val="46155582"/>
    <w:rsid w:val="46212412"/>
    <w:rsid w:val="46A301C2"/>
    <w:rsid w:val="46A83331"/>
    <w:rsid w:val="46B215A3"/>
    <w:rsid w:val="46C36755"/>
    <w:rsid w:val="46D027AA"/>
    <w:rsid w:val="46D611A0"/>
    <w:rsid w:val="471A1ED2"/>
    <w:rsid w:val="471D2A87"/>
    <w:rsid w:val="473531B0"/>
    <w:rsid w:val="47396823"/>
    <w:rsid w:val="476D5EBB"/>
    <w:rsid w:val="47711558"/>
    <w:rsid w:val="47723768"/>
    <w:rsid w:val="479512C3"/>
    <w:rsid w:val="47D9353C"/>
    <w:rsid w:val="47E54F55"/>
    <w:rsid w:val="48056A06"/>
    <w:rsid w:val="48652BD4"/>
    <w:rsid w:val="48693454"/>
    <w:rsid w:val="488D6950"/>
    <w:rsid w:val="489062EC"/>
    <w:rsid w:val="48961FF5"/>
    <w:rsid w:val="48A25DD0"/>
    <w:rsid w:val="48DD2962"/>
    <w:rsid w:val="48DF5182"/>
    <w:rsid w:val="48F467BF"/>
    <w:rsid w:val="49490BB1"/>
    <w:rsid w:val="494B36B3"/>
    <w:rsid w:val="494D47E1"/>
    <w:rsid w:val="49692915"/>
    <w:rsid w:val="496E65D0"/>
    <w:rsid w:val="49902920"/>
    <w:rsid w:val="49CA7BE0"/>
    <w:rsid w:val="49D05CD3"/>
    <w:rsid w:val="49FE271D"/>
    <w:rsid w:val="4A111CB3"/>
    <w:rsid w:val="4A3847B0"/>
    <w:rsid w:val="4A3F772C"/>
    <w:rsid w:val="4A492B02"/>
    <w:rsid w:val="4A584C12"/>
    <w:rsid w:val="4A653EE0"/>
    <w:rsid w:val="4A6603DD"/>
    <w:rsid w:val="4A6E7668"/>
    <w:rsid w:val="4A8E08A1"/>
    <w:rsid w:val="4A9D3546"/>
    <w:rsid w:val="4ABC719B"/>
    <w:rsid w:val="4AFF5FAF"/>
    <w:rsid w:val="4B040E73"/>
    <w:rsid w:val="4B054806"/>
    <w:rsid w:val="4B217C72"/>
    <w:rsid w:val="4B323DAD"/>
    <w:rsid w:val="4B5779C0"/>
    <w:rsid w:val="4B6C0448"/>
    <w:rsid w:val="4B78366B"/>
    <w:rsid w:val="4B992729"/>
    <w:rsid w:val="4BB548C0"/>
    <w:rsid w:val="4BD22D93"/>
    <w:rsid w:val="4BF14E5C"/>
    <w:rsid w:val="4BF21670"/>
    <w:rsid w:val="4BF6455A"/>
    <w:rsid w:val="4C2C72E7"/>
    <w:rsid w:val="4C2F6420"/>
    <w:rsid w:val="4C4E0422"/>
    <w:rsid w:val="4CA960C3"/>
    <w:rsid w:val="4CB2203E"/>
    <w:rsid w:val="4CD3679A"/>
    <w:rsid w:val="4D2F1ADF"/>
    <w:rsid w:val="4D397E04"/>
    <w:rsid w:val="4D3C28B7"/>
    <w:rsid w:val="4D5B3007"/>
    <w:rsid w:val="4D6400B9"/>
    <w:rsid w:val="4D815039"/>
    <w:rsid w:val="4D83282D"/>
    <w:rsid w:val="4D98594B"/>
    <w:rsid w:val="4DA70238"/>
    <w:rsid w:val="4DA8648A"/>
    <w:rsid w:val="4DA92202"/>
    <w:rsid w:val="4DB91463"/>
    <w:rsid w:val="4DBC3CE3"/>
    <w:rsid w:val="4DD26CD8"/>
    <w:rsid w:val="4DE16570"/>
    <w:rsid w:val="4DF64A7C"/>
    <w:rsid w:val="4E546612"/>
    <w:rsid w:val="4E663FE6"/>
    <w:rsid w:val="4E7543F1"/>
    <w:rsid w:val="4E802F63"/>
    <w:rsid w:val="4EA355D2"/>
    <w:rsid w:val="4EBC4081"/>
    <w:rsid w:val="4ECB206C"/>
    <w:rsid w:val="4ED02D42"/>
    <w:rsid w:val="4F377CE8"/>
    <w:rsid w:val="4F4026F2"/>
    <w:rsid w:val="4F48599F"/>
    <w:rsid w:val="4F604C84"/>
    <w:rsid w:val="4F7A0880"/>
    <w:rsid w:val="4F96706C"/>
    <w:rsid w:val="4F9B3924"/>
    <w:rsid w:val="4FA060F5"/>
    <w:rsid w:val="4FC915F8"/>
    <w:rsid w:val="4FD05E0A"/>
    <w:rsid w:val="4FDF63AF"/>
    <w:rsid w:val="500B0F52"/>
    <w:rsid w:val="50421741"/>
    <w:rsid w:val="504E4277"/>
    <w:rsid w:val="50532ED8"/>
    <w:rsid w:val="506F3038"/>
    <w:rsid w:val="507256E0"/>
    <w:rsid w:val="508E3509"/>
    <w:rsid w:val="50B02BCA"/>
    <w:rsid w:val="50B213CE"/>
    <w:rsid w:val="50CC1832"/>
    <w:rsid w:val="50F07683"/>
    <w:rsid w:val="51316332"/>
    <w:rsid w:val="515B3813"/>
    <w:rsid w:val="516C70A1"/>
    <w:rsid w:val="52195BA8"/>
    <w:rsid w:val="52264998"/>
    <w:rsid w:val="52854FEC"/>
    <w:rsid w:val="528A6B3C"/>
    <w:rsid w:val="52C62A59"/>
    <w:rsid w:val="52ED3DDA"/>
    <w:rsid w:val="5302247A"/>
    <w:rsid w:val="5322669A"/>
    <w:rsid w:val="53315390"/>
    <w:rsid w:val="533A5121"/>
    <w:rsid w:val="533E1D5A"/>
    <w:rsid w:val="534B0C47"/>
    <w:rsid w:val="534E5872"/>
    <w:rsid w:val="5360776D"/>
    <w:rsid w:val="53620E89"/>
    <w:rsid w:val="53676546"/>
    <w:rsid w:val="537261AA"/>
    <w:rsid w:val="53E411F3"/>
    <w:rsid w:val="53EC4002"/>
    <w:rsid w:val="54481B45"/>
    <w:rsid w:val="544D59FD"/>
    <w:rsid w:val="54A2438E"/>
    <w:rsid w:val="54AF3BD4"/>
    <w:rsid w:val="54B24092"/>
    <w:rsid w:val="54B73456"/>
    <w:rsid w:val="54F70838"/>
    <w:rsid w:val="54FD0B04"/>
    <w:rsid w:val="550479F9"/>
    <w:rsid w:val="553065EA"/>
    <w:rsid w:val="554051FA"/>
    <w:rsid w:val="554054D5"/>
    <w:rsid w:val="554C3CA8"/>
    <w:rsid w:val="5565242B"/>
    <w:rsid w:val="55717AA9"/>
    <w:rsid w:val="558B0EF2"/>
    <w:rsid w:val="55974F06"/>
    <w:rsid w:val="55A7171D"/>
    <w:rsid w:val="55DA0787"/>
    <w:rsid w:val="55EE5892"/>
    <w:rsid w:val="56195DC5"/>
    <w:rsid w:val="561F7505"/>
    <w:rsid w:val="56396D9A"/>
    <w:rsid w:val="564B02FA"/>
    <w:rsid w:val="565C42B5"/>
    <w:rsid w:val="56624044"/>
    <w:rsid w:val="5671771B"/>
    <w:rsid w:val="56735D02"/>
    <w:rsid w:val="56835CE6"/>
    <w:rsid w:val="569F5204"/>
    <w:rsid w:val="56A40F80"/>
    <w:rsid w:val="56CE6835"/>
    <w:rsid w:val="56E30A23"/>
    <w:rsid w:val="56E7781E"/>
    <w:rsid w:val="56F805D3"/>
    <w:rsid w:val="572F2122"/>
    <w:rsid w:val="5732282D"/>
    <w:rsid w:val="573F41BC"/>
    <w:rsid w:val="57513E3C"/>
    <w:rsid w:val="575E71D1"/>
    <w:rsid w:val="57656AAF"/>
    <w:rsid w:val="57780285"/>
    <w:rsid w:val="57895841"/>
    <w:rsid w:val="578D66F1"/>
    <w:rsid w:val="57CB7122"/>
    <w:rsid w:val="57D64F3C"/>
    <w:rsid w:val="580F49BF"/>
    <w:rsid w:val="58167EF7"/>
    <w:rsid w:val="58280B32"/>
    <w:rsid w:val="58371999"/>
    <w:rsid w:val="58726008"/>
    <w:rsid w:val="58C67724"/>
    <w:rsid w:val="58F74373"/>
    <w:rsid w:val="59002D5A"/>
    <w:rsid w:val="590F1AB3"/>
    <w:rsid w:val="5913685F"/>
    <w:rsid w:val="5915699E"/>
    <w:rsid w:val="591E3AA4"/>
    <w:rsid w:val="592B2BC8"/>
    <w:rsid w:val="5932697F"/>
    <w:rsid w:val="593C03CE"/>
    <w:rsid w:val="5945570A"/>
    <w:rsid w:val="59843CBF"/>
    <w:rsid w:val="598A1022"/>
    <w:rsid w:val="59B44E5D"/>
    <w:rsid w:val="59B93578"/>
    <w:rsid w:val="59BD32BD"/>
    <w:rsid w:val="59C60319"/>
    <w:rsid w:val="5A636A25"/>
    <w:rsid w:val="5A643739"/>
    <w:rsid w:val="5A6F0DB4"/>
    <w:rsid w:val="5A967AC9"/>
    <w:rsid w:val="5A9F0C15"/>
    <w:rsid w:val="5AC36C93"/>
    <w:rsid w:val="5B0D5B7E"/>
    <w:rsid w:val="5B207244"/>
    <w:rsid w:val="5B2335F4"/>
    <w:rsid w:val="5B5267B9"/>
    <w:rsid w:val="5B5F034D"/>
    <w:rsid w:val="5B64318C"/>
    <w:rsid w:val="5B7A2A80"/>
    <w:rsid w:val="5B9242D5"/>
    <w:rsid w:val="5B931DA5"/>
    <w:rsid w:val="5BC00E23"/>
    <w:rsid w:val="5BC05588"/>
    <w:rsid w:val="5BCC5A39"/>
    <w:rsid w:val="5BD42E24"/>
    <w:rsid w:val="5BE21F66"/>
    <w:rsid w:val="5BFB37A6"/>
    <w:rsid w:val="5C166CB5"/>
    <w:rsid w:val="5C240C7B"/>
    <w:rsid w:val="5C2F7D76"/>
    <w:rsid w:val="5C871C50"/>
    <w:rsid w:val="5C8D51F6"/>
    <w:rsid w:val="5CA52AF5"/>
    <w:rsid w:val="5CB963A2"/>
    <w:rsid w:val="5CC41C0D"/>
    <w:rsid w:val="5CCE1A7B"/>
    <w:rsid w:val="5CE42D12"/>
    <w:rsid w:val="5CF36FF6"/>
    <w:rsid w:val="5D5D7AEC"/>
    <w:rsid w:val="5D7717CF"/>
    <w:rsid w:val="5DB07B64"/>
    <w:rsid w:val="5DB26EB1"/>
    <w:rsid w:val="5DDE2965"/>
    <w:rsid w:val="5DE55D4F"/>
    <w:rsid w:val="5E0B635A"/>
    <w:rsid w:val="5E1F1A63"/>
    <w:rsid w:val="5E203FCF"/>
    <w:rsid w:val="5E23390B"/>
    <w:rsid w:val="5E2C721B"/>
    <w:rsid w:val="5EA11D24"/>
    <w:rsid w:val="5EAD0956"/>
    <w:rsid w:val="5EBD3528"/>
    <w:rsid w:val="5ED02091"/>
    <w:rsid w:val="5EF54261"/>
    <w:rsid w:val="5EF66F80"/>
    <w:rsid w:val="5EFD3DCB"/>
    <w:rsid w:val="5F125E59"/>
    <w:rsid w:val="5F135E4F"/>
    <w:rsid w:val="5F323D85"/>
    <w:rsid w:val="5F3926B1"/>
    <w:rsid w:val="5F525098"/>
    <w:rsid w:val="5F5919A6"/>
    <w:rsid w:val="5F6C3883"/>
    <w:rsid w:val="5F82440E"/>
    <w:rsid w:val="5F8E3F26"/>
    <w:rsid w:val="5F9024AC"/>
    <w:rsid w:val="5FAF771F"/>
    <w:rsid w:val="5FD11E9D"/>
    <w:rsid w:val="5FE408D5"/>
    <w:rsid w:val="5FF0492B"/>
    <w:rsid w:val="6008628A"/>
    <w:rsid w:val="60210B27"/>
    <w:rsid w:val="602A5424"/>
    <w:rsid w:val="605E0C2A"/>
    <w:rsid w:val="60992FAF"/>
    <w:rsid w:val="60BD590C"/>
    <w:rsid w:val="60D93EBD"/>
    <w:rsid w:val="610B3038"/>
    <w:rsid w:val="613E79F6"/>
    <w:rsid w:val="6157463B"/>
    <w:rsid w:val="615E4968"/>
    <w:rsid w:val="617E4947"/>
    <w:rsid w:val="61834DEC"/>
    <w:rsid w:val="618C3680"/>
    <w:rsid w:val="619157A0"/>
    <w:rsid w:val="61A27E4A"/>
    <w:rsid w:val="61AD7FAC"/>
    <w:rsid w:val="61B9082C"/>
    <w:rsid w:val="61E1790B"/>
    <w:rsid w:val="61F43CFC"/>
    <w:rsid w:val="62012E19"/>
    <w:rsid w:val="62086704"/>
    <w:rsid w:val="620C4DF8"/>
    <w:rsid w:val="620D110D"/>
    <w:rsid w:val="62404A8B"/>
    <w:rsid w:val="62552691"/>
    <w:rsid w:val="62764FAB"/>
    <w:rsid w:val="6277148A"/>
    <w:rsid w:val="62835858"/>
    <w:rsid w:val="62AF39BF"/>
    <w:rsid w:val="62DB0C58"/>
    <w:rsid w:val="62FE72D8"/>
    <w:rsid w:val="63084F3B"/>
    <w:rsid w:val="631A52DC"/>
    <w:rsid w:val="63207C93"/>
    <w:rsid w:val="632259C4"/>
    <w:rsid w:val="63263D0D"/>
    <w:rsid w:val="633D0FCB"/>
    <w:rsid w:val="634D2D5C"/>
    <w:rsid w:val="63632B45"/>
    <w:rsid w:val="63644522"/>
    <w:rsid w:val="6373260F"/>
    <w:rsid w:val="63807109"/>
    <w:rsid w:val="63856413"/>
    <w:rsid w:val="63D201A3"/>
    <w:rsid w:val="64003D27"/>
    <w:rsid w:val="640C320C"/>
    <w:rsid w:val="64426F57"/>
    <w:rsid w:val="64432611"/>
    <w:rsid w:val="644763D7"/>
    <w:rsid w:val="646E04C5"/>
    <w:rsid w:val="646E335A"/>
    <w:rsid w:val="6489287E"/>
    <w:rsid w:val="649548FB"/>
    <w:rsid w:val="64AD388C"/>
    <w:rsid w:val="64B60830"/>
    <w:rsid w:val="64D81CF5"/>
    <w:rsid w:val="65420BAE"/>
    <w:rsid w:val="654912FD"/>
    <w:rsid w:val="655533F0"/>
    <w:rsid w:val="65A45561"/>
    <w:rsid w:val="660756DD"/>
    <w:rsid w:val="66324275"/>
    <w:rsid w:val="66342D40"/>
    <w:rsid w:val="66582833"/>
    <w:rsid w:val="66644AC0"/>
    <w:rsid w:val="667557A4"/>
    <w:rsid w:val="66C66E69"/>
    <w:rsid w:val="66FE3167"/>
    <w:rsid w:val="67015FBC"/>
    <w:rsid w:val="670771EC"/>
    <w:rsid w:val="671D276F"/>
    <w:rsid w:val="673D3AD3"/>
    <w:rsid w:val="67AA791C"/>
    <w:rsid w:val="67C1041C"/>
    <w:rsid w:val="67F862ED"/>
    <w:rsid w:val="681253D0"/>
    <w:rsid w:val="68464F3B"/>
    <w:rsid w:val="684A64D9"/>
    <w:rsid w:val="685A6D95"/>
    <w:rsid w:val="687F3E33"/>
    <w:rsid w:val="688A295A"/>
    <w:rsid w:val="689B44E8"/>
    <w:rsid w:val="68A32F09"/>
    <w:rsid w:val="68B94F59"/>
    <w:rsid w:val="68C0194D"/>
    <w:rsid w:val="68C65D6E"/>
    <w:rsid w:val="68CC2497"/>
    <w:rsid w:val="68F2680E"/>
    <w:rsid w:val="690600B1"/>
    <w:rsid w:val="6924250F"/>
    <w:rsid w:val="69271690"/>
    <w:rsid w:val="694C0E55"/>
    <w:rsid w:val="695D23C7"/>
    <w:rsid w:val="696033A5"/>
    <w:rsid w:val="696533DD"/>
    <w:rsid w:val="698E4AF7"/>
    <w:rsid w:val="69A16F46"/>
    <w:rsid w:val="69A53A2F"/>
    <w:rsid w:val="69C55233"/>
    <w:rsid w:val="69EB0D20"/>
    <w:rsid w:val="6A152A41"/>
    <w:rsid w:val="6A624D6D"/>
    <w:rsid w:val="6A6857B4"/>
    <w:rsid w:val="6A773014"/>
    <w:rsid w:val="6A8D6CDC"/>
    <w:rsid w:val="6A932B4B"/>
    <w:rsid w:val="6AAD2EDA"/>
    <w:rsid w:val="6AD246EE"/>
    <w:rsid w:val="6AE663EC"/>
    <w:rsid w:val="6AE866A8"/>
    <w:rsid w:val="6AF619D0"/>
    <w:rsid w:val="6B051D29"/>
    <w:rsid w:val="6B1225A1"/>
    <w:rsid w:val="6B405AFC"/>
    <w:rsid w:val="6B676306"/>
    <w:rsid w:val="6B6D718E"/>
    <w:rsid w:val="6B711B7A"/>
    <w:rsid w:val="6BA90A3A"/>
    <w:rsid w:val="6BAC0823"/>
    <w:rsid w:val="6BC61258"/>
    <w:rsid w:val="6BD43669"/>
    <w:rsid w:val="6BE8725E"/>
    <w:rsid w:val="6C034FFD"/>
    <w:rsid w:val="6C152647"/>
    <w:rsid w:val="6C255D33"/>
    <w:rsid w:val="6C2D4E30"/>
    <w:rsid w:val="6C2F6077"/>
    <w:rsid w:val="6C6608D6"/>
    <w:rsid w:val="6C6770B8"/>
    <w:rsid w:val="6C7D5484"/>
    <w:rsid w:val="6C9852E5"/>
    <w:rsid w:val="6C9C1458"/>
    <w:rsid w:val="6CBF541A"/>
    <w:rsid w:val="6CBF7509"/>
    <w:rsid w:val="6CD56718"/>
    <w:rsid w:val="6CD858AC"/>
    <w:rsid w:val="6CFA7D7F"/>
    <w:rsid w:val="6D0E31A9"/>
    <w:rsid w:val="6D0F6795"/>
    <w:rsid w:val="6D2A25C0"/>
    <w:rsid w:val="6D350F65"/>
    <w:rsid w:val="6D3A657B"/>
    <w:rsid w:val="6D422F21"/>
    <w:rsid w:val="6D6830E8"/>
    <w:rsid w:val="6D8D7A35"/>
    <w:rsid w:val="6DB3401A"/>
    <w:rsid w:val="6DBD1347"/>
    <w:rsid w:val="6DD26316"/>
    <w:rsid w:val="6E215D96"/>
    <w:rsid w:val="6E245261"/>
    <w:rsid w:val="6E2A7591"/>
    <w:rsid w:val="6E4F523E"/>
    <w:rsid w:val="6E5729A2"/>
    <w:rsid w:val="6E583A1F"/>
    <w:rsid w:val="6E6164B5"/>
    <w:rsid w:val="6E7D0E15"/>
    <w:rsid w:val="6EAA495D"/>
    <w:rsid w:val="6EAB742B"/>
    <w:rsid w:val="6EB0558D"/>
    <w:rsid w:val="6EC6113E"/>
    <w:rsid w:val="6EC97476"/>
    <w:rsid w:val="6EDF1648"/>
    <w:rsid w:val="6EFF1080"/>
    <w:rsid w:val="6F04792A"/>
    <w:rsid w:val="6F170E2C"/>
    <w:rsid w:val="6F1C670B"/>
    <w:rsid w:val="6F434E86"/>
    <w:rsid w:val="6F45287E"/>
    <w:rsid w:val="6FD44A65"/>
    <w:rsid w:val="6FD9207B"/>
    <w:rsid w:val="701E7698"/>
    <w:rsid w:val="70531535"/>
    <w:rsid w:val="70BF0D6E"/>
    <w:rsid w:val="70E01DD1"/>
    <w:rsid w:val="71033336"/>
    <w:rsid w:val="7112100E"/>
    <w:rsid w:val="71146B51"/>
    <w:rsid w:val="71147230"/>
    <w:rsid w:val="71161C74"/>
    <w:rsid w:val="714B51FB"/>
    <w:rsid w:val="715916C6"/>
    <w:rsid w:val="71597165"/>
    <w:rsid w:val="716A07BC"/>
    <w:rsid w:val="716B31A7"/>
    <w:rsid w:val="717256AD"/>
    <w:rsid w:val="717B2A34"/>
    <w:rsid w:val="718544F1"/>
    <w:rsid w:val="718715E5"/>
    <w:rsid w:val="719E2446"/>
    <w:rsid w:val="71C919AA"/>
    <w:rsid w:val="71DE2066"/>
    <w:rsid w:val="71EA30C1"/>
    <w:rsid w:val="720A152D"/>
    <w:rsid w:val="72197677"/>
    <w:rsid w:val="721F1D01"/>
    <w:rsid w:val="7222649A"/>
    <w:rsid w:val="72D11304"/>
    <w:rsid w:val="730C4186"/>
    <w:rsid w:val="7341102A"/>
    <w:rsid w:val="735323A8"/>
    <w:rsid w:val="736B0572"/>
    <w:rsid w:val="736B28F7"/>
    <w:rsid w:val="737974C3"/>
    <w:rsid w:val="73A17E6A"/>
    <w:rsid w:val="73D9089C"/>
    <w:rsid w:val="73E16D57"/>
    <w:rsid w:val="73EE0AE6"/>
    <w:rsid w:val="742858BD"/>
    <w:rsid w:val="7453624B"/>
    <w:rsid w:val="746049BA"/>
    <w:rsid w:val="74844CAB"/>
    <w:rsid w:val="74874E5A"/>
    <w:rsid w:val="74A227F4"/>
    <w:rsid w:val="74A2568B"/>
    <w:rsid w:val="74C47F76"/>
    <w:rsid w:val="74D11688"/>
    <w:rsid w:val="750962A6"/>
    <w:rsid w:val="750977FF"/>
    <w:rsid w:val="753F5CF6"/>
    <w:rsid w:val="754E3DD7"/>
    <w:rsid w:val="754F092D"/>
    <w:rsid w:val="7573132B"/>
    <w:rsid w:val="75DC3A8B"/>
    <w:rsid w:val="76021882"/>
    <w:rsid w:val="76124539"/>
    <w:rsid w:val="76160679"/>
    <w:rsid w:val="761715C6"/>
    <w:rsid w:val="76360C3D"/>
    <w:rsid w:val="766574D1"/>
    <w:rsid w:val="766C12B8"/>
    <w:rsid w:val="7671125F"/>
    <w:rsid w:val="767C3DB4"/>
    <w:rsid w:val="768F2CE9"/>
    <w:rsid w:val="76B80955"/>
    <w:rsid w:val="76CB0F80"/>
    <w:rsid w:val="76DE1045"/>
    <w:rsid w:val="76E8442E"/>
    <w:rsid w:val="770518F3"/>
    <w:rsid w:val="77132D44"/>
    <w:rsid w:val="771463D1"/>
    <w:rsid w:val="774A39DA"/>
    <w:rsid w:val="77777CEB"/>
    <w:rsid w:val="777C4360"/>
    <w:rsid w:val="7796379A"/>
    <w:rsid w:val="77993B8C"/>
    <w:rsid w:val="779B02BA"/>
    <w:rsid w:val="779C230C"/>
    <w:rsid w:val="77AD5663"/>
    <w:rsid w:val="77CA4292"/>
    <w:rsid w:val="77D64484"/>
    <w:rsid w:val="77E922B4"/>
    <w:rsid w:val="77EE5F88"/>
    <w:rsid w:val="78144598"/>
    <w:rsid w:val="782A7918"/>
    <w:rsid w:val="78391529"/>
    <w:rsid w:val="783C764B"/>
    <w:rsid w:val="785A31E0"/>
    <w:rsid w:val="786258A4"/>
    <w:rsid w:val="787A60AB"/>
    <w:rsid w:val="78CE1FD7"/>
    <w:rsid w:val="78D0463B"/>
    <w:rsid w:val="78FE2B52"/>
    <w:rsid w:val="7906595E"/>
    <w:rsid w:val="790A7749"/>
    <w:rsid w:val="7917686A"/>
    <w:rsid w:val="791E5362"/>
    <w:rsid w:val="794B7201"/>
    <w:rsid w:val="795B0ABE"/>
    <w:rsid w:val="798B1783"/>
    <w:rsid w:val="79A57B03"/>
    <w:rsid w:val="79B2108A"/>
    <w:rsid w:val="79CA4A60"/>
    <w:rsid w:val="79D43F4C"/>
    <w:rsid w:val="7A3B6881"/>
    <w:rsid w:val="7A417E6A"/>
    <w:rsid w:val="7A92024C"/>
    <w:rsid w:val="7A98347A"/>
    <w:rsid w:val="7AA222D1"/>
    <w:rsid w:val="7AAF5C10"/>
    <w:rsid w:val="7AE36BA0"/>
    <w:rsid w:val="7AE6285D"/>
    <w:rsid w:val="7B0B5BD1"/>
    <w:rsid w:val="7B2F707C"/>
    <w:rsid w:val="7B54666E"/>
    <w:rsid w:val="7B563349"/>
    <w:rsid w:val="7BA53398"/>
    <w:rsid w:val="7BC71689"/>
    <w:rsid w:val="7BE20360"/>
    <w:rsid w:val="7BEB3862"/>
    <w:rsid w:val="7C1A1A2B"/>
    <w:rsid w:val="7C1A5EF5"/>
    <w:rsid w:val="7C435CA9"/>
    <w:rsid w:val="7C6158D2"/>
    <w:rsid w:val="7C687374"/>
    <w:rsid w:val="7C727ADF"/>
    <w:rsid w:val="7C78688F"/>
    <w:rsid w:val="7C867510"/>
    <w:rsid w:val="7C932B86"/>
    <w:rsid w:val="7CC83BA3"/>
    <w:rsid w:val="7CF01DBB"/>
    <w:rsid w:val="7D21376C"/>
    <w:rsid w:val="7D622331"/>
    <w:rsid w:val="7D7FC625"/>
    <w:rsid w:val="7D8A3772"/>
    <w:rsid w:val="7D8B198E"/>
    <w:rsid w:val="7D934831"/>
    <w:rsid w:val="7DAC69B7"/>
    <w:rsid w:val="7DD75B87"/>
    <w:rsid w:val="7DDD367E"/>
    <w:rsid w:val="7DFC7E2B"/>
    <w:rsid w:val="7E0230E5"/>
    <w:rsid w:val="7E122B46"/>
    <w:rsid w:val="7E262275"/>
    <w:rsid w:val="7E2676D0"/>
    <w:rsid w:val="7E4F73AA"/>
    <w:rsid w:val="7E74200D"/>
    <w:rsid w:val="7E7B6F9A"/>
    <w:rsid w:val="7EA22277"/>
    <w:rsid w:val="7EC63541"/>
    <w:rsid w:val="7EED4B13"/>
    <w:rsid w:val="7F0B77BF"/>
    <w:rsid w:val="7F5A3940"/>
    <w:rsid w:val="7F8B1A78"/>
    <w:rsid w:val="7FA418D8"/>
    <w:rsid w:val="7FA92784"/>
    <w:rsid w:val="7FCE14D1"/>
    <w:rsid w:val="7FDD570F"/>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9"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iPriority="99"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iPriority="99"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99" w:semiHidden="0" w:name="Plain Text"/>
    <w:lsdException w:unhideWhenUsed="0" w:uiPriority="0" w:semiHidden="0" w:name="E-mail Signature"/>
    <w:lsdException w:qFormat="1"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semiHidden="0"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仿宋" w:cs="Times New Roman"/>
      <w:kern w:val="2"/>
      <w:sz w:val="21"/>
      <w:szCs w:val="24"/>
      <w:lang w:val="en-US" w:eastAsia="zh-CN" w:bidi="ar-SA"/>
    </w:rPr>
  </w:style>
  <w:style w:type="paragraph" w:styleId="2">
    <w:name w:val="heading 1"/>
    <w:basedOn w:val="1"/>
    <w:next w:val="1"/>
    <w:qFormat/>
    <w:uiPriority w:val="0"/>
    <w:pPr>
      <w:keepNext/>
      <w:keepLines/>
      <w:spacing w:before="120" w:after="120"/>
      <w:jc w:val="center"/>
      <w:outlineLvl w:val="0"/>
    </w:pPr>
    <w:rPr>
      <w:b/>
      <w:kern w:val="44"/>
      <w:sz w:val="44"/>
    </w:rPr>
  </w:style>
  <w:style w:type="paragraph" w:styleId="3">
    <w:name w:val="heading 2"/>
    <w:basedOn w:val="1"/>
    <w:next w:val="1"/>
    <w:qFormat/>
    <w:uiPriority w:val="0"/>
    <w:pPr>
      <w:keepNext/>
      <w:keepLines/>
      <w:spacing w:before="140" w:after="140" w:line="413" w:lineRule="auto"/>
      <w:jc w:val="center"/>
      <w:outlineLvl w:val="1"/>
    </w:pPr>
    <w:rPr>
      <w:rFonts w:ascii="Arial" w:hAnsi="Arial"/>
      <w:b/>
      <w:sz w:val="28"/>
    </w:rPr>
  </w:style>
  <w:style w:type="paragraph" w:styleId="4">
    <w:name w:val="heading 3"/>
    <w:basedOn w:val="1"/>
    <w:next w:val="1"/>
    <w:qFormat/>
    <w:uiPriority w:val="9"/>
    <w:pPr>
      <w:keepNext/>
      <w:keepLines/>
      <w:spacing w:line="360" w:lineRule="auto"/>
      <w:outlineLvl w:val="2"/>
    </w:pPr>
    <w:rPr>
      <w:b/>
      <w:bCs/>
      <w:szCs w:val="32"/>
    </w:rPr>
  </w:style>
  <w:style w:type="paragraph" w:styleId="5">
    <w:name w:val="heading 4"/>
    <w:basedOn w:val="1"/>
    <w:next w:val="1"/>
    <w:qFormat/>
    <w:uiPriority w:val="0"/>
    <w:pPr>
      <w:keepNext/>
      <w:keepLines/>
      <w:outlineLvl w:val="3"/>
    </w:pPr>
    <w:rPr>
      <w:rFonts w:ascii="Arial" w:hAnsi="Arial" w:eastAsia="黑体"/>
      <w:bCs/>
      <w:kern w:val="0"/>
      <w:sz w:val="24"/>
      <w:szCs w:val="28"/>
    </w:rPr>
  </w:style>
  <w:style w:type="character" w:default="1" w:styleId="19">
    <w:name w:val="Default Paragraph Font"/>
    <w:unhideWhenUsed/>
    <w:qFormat/>
    <w:uiPriority w:val="1"/>
  </w:style>
  <w:style w:type="table" w:default="1" w:styleId="17">
    <w:name w:val="Normal Table"/>
    <w:unhideWhenUsed/>
    <w:qFormat/>
    <w:uiPriority w:val="99"/>
    <w:tblPr>
      <w:tblCellMar>
        <w:top w:w="0" w:type="dxa"/>
        <w:left w:w="108" w:type="dxa"/>
        <w:bottom w:w="0" w:type="dxa"/>
        <w:right w:w="108" w:type="dxa"/>
      </w:tblCellMar>
    </w:tblPr>
  </w:style>
  <w:style w:type="paragraph" w:styleId="6">
    <w:name w:val="Normal Indent"/>
    <w:basedOn w:val="1"/>
    <w:qFormat/>
    <w:uiPriority w:val="0"/>
    <w:pPr>
      <w:ind w:firstLine="420" w:firstLineChars="200"/>
    </w:pPr>
    <w:rPr>
      <w:rFonts w:ascii="Times New Roman" w:hAnsi="Times New Roman"/>
    </w:rPr>
  </w:style>
  <w:style w:type="paragraph" w:styleId="7">
    <w:name w:val="caption"/>
    <w:basedOn w:val="1"/>
    <w:next w:val="1"/>
    <w:qFormat/>
    <w:uiPriority w:val="0"/>
    <w:rPr>
      <w:rFonts w:ascii="Arial" w:hAnsi="Arial" w:eastAsia="黑体" w:cs="Arial"/>
      <w:sz w:val="20"/>
      <w:szCs w:val="20"/>
    </w:rPr>
  </w:style>
  <w:style w:type="paragraph" w:styleId="8">
    <w:name w:val="annotation text"/>
    <w:basedOn w:val="1"/>
    <w:next w:val="1"/>
    <w:unhideWhenUsed/>
    <w:qFormat/>
    <w:uiPriority w:val="99"/>
    <w:pPr>
      <w:jc w:val="left"/>
    </w:pPr>
  </w:style>
  <w:style w:type="paragraph" w:styleId="9">
    <w:name w:val="Body Text"/>
    <w:basedOn w:val="1"/>
    <w:next w:val="1"/>
    <w:qFormat/>
    <w:uiPriority w:val="0"/>
    <w:pPr>
      <w:spacing w:after="120" w:afterLines="0"/>
    </w:pPr>
    <w:rPr>
      <w:rFonts w:ascii="宋体" w:hAnsi="宋体"/>
      <w:kern w:val="2"/>
      <w:sz w:val="28"/>
      <w:szCs w:val="52"/>
    </w:rPr>
  </w:style>
  <w:style w:type="paragraph" w:styleId="10">
    <w:name w:val="Plain Text"/>
    <w:basedOn w:val="1"/>
    <w:qFormat/>
    <w:uiPriority w:val="99"/>
    <w:rPr>
      <w:rFonts w:ascii="宋体" w:hAnsi="Courier New" w:cs="Courier New"/>
      <w:szCs w:val="21"/>
    </w:rPr>
  </w:style>
  <w:style w:type="paragraph" w:styleId="11">
    <w:name w:val="Balloon Text"/>
    <w:basedOn w:val="1"/>
    <w:link w:val="28"/>
    <w:qFormat/>
    <w:uiPriority w:val="0"/>
    <w:rPr>
      <w:sz w:val="18"/>
      <w:szCs w:val="18"/>
    </w:rPr>
  </w:style>
  <w:style w:type="paragraph" w:styleId="12">
    <w:name w:val="footer"/>
    <w:basedOn w:val="1"/>
    <w:link w:val="29"/>
    <w:qFormat/>
    <w:uiPriority w:val="99"/>
    <w:pPr>
      <w:tabs>
        <w:tab w:val="center" w:pos="4153"/>
        <w:tab w:val="right" w:pos="8306"/>
      </w:tabs>
      <w:snapToGrid w:val="0"/>
      <w:jc w:val="left"/>
    </w:pPr>
    <w:rPr>
      <w:sz w:val="18"/>
    </w:rPr>
  </w:style>
  <w:style w:type="paragraph" w:styleId="1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4">
    <w:name w:val="Subtitle"/>
    <w:basedOn w:val="1"/>
    <w:next w:val="1"/>
    <w:qFormat/>
    <w:uiPriority w:val="0"/>
    <w:pPr>
      <w:widowControl/>
      <w:spacing w:after="240" w:line="312" w:lineRule="auto"/>
      <w:jc w:val="left"/>
    </w:pPr>
    <w:rPr>
      <w:rFonts w:ascii="Times New Roman" w:hAnsi="Times New Roman"/>
      <w:color w:val="000000"/>
      <w:kern w:val="0"/>
      <w:sz w:val="24"/>
      <w:szCs w:val="20"/>
    </w:rPr>
  </w:style>
  <w:style w:type="paragraph" w:styleId="15">
    <w:name w:val="HTML Preformatted"/>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Arial" w:hAnsi="Arial" w:cs="Arial"/>
      <w:kern w:val="0"/>
      <w:sz w:val="24"/>
    </w:rPr>
  </w:style>
  <w:style w:type="paragraph" w:styleId="16">
    <w:name w:val="Normal (Web)"/>
    <w:basedOn w:val="1"/>
    <w:unhideWhenUsed/>
    <w:qFormat/>
    <w:uiPriority w:val="0"/>
    <w:pPr>
      <w:widowControl/>
      <w:spacing w:before="100" w:beforeAutospacing="1" w:after="100" w:afterAutospacing="1"/>
      <w:jc w:val="left"/>
    </w:pPr>
    <w:rPr>
      <w:rFonts w:ascii="宋体" w:hAnsi="宋体" w:eastAsia="宋体" w:cs="宋体"/>
      <w:kern w:val="0"/>
      <w:sz w:val="24"/>
    </w:rPr>
  </w:style>
  <w:style w:type="table" w:styleId="18">
    <w:name w:val="Table Grid"/>
    <w:basedOn w:val="1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20">
    <w:name w:val="Strong"/>
    <w:basedOn w:val="19"/>
    <w:qFormat/>
    <w:uiPriority w:val="0"/>
    <w:rPr>
      <w:b/>
    </w:rPr>
  </w:style>
  <w:style w:type="character" w:styleId="21">
    <w:name w:val="FollowedHyperlink"/>
    <w:qFormat/>
    <w:uiPriority w:val="0"/>
    <w:rPr>
      <w:rFonts w:ascii="微软雅黑" w:hAnsi="微软雅黑" w:eastAsia="微软雅黑" w:cs="微软雅黑"/>
      <w:color w:val="02396F"/>
      <w:u w:val="single"/>
    </w:rPr>
  </w:style>
  <w:style w:type="character" w:styleId="22">
    <w:name w:val="Emphasis"/>
    <w:basedOn w:val="19"/>
    <w:qFormat/>
    <w:uiPriority w:val="0"/>
    <w:rPr>
      <w:i/>
    </w:rPr>
  </w:style>
  <w:style w:type="character" w:styleId="23">
    <w:name w:val="Hyperlink"/>
    <w:qFormat/>
    <w:uiPriority w:val="0"/>
    <w:rPr>
      <w:rFonts w:hint="eastAsia" w:ascii="微软雅黑" w:hAnsi="微软雅黑" w:eastAsia="微软雅黑" w:cs="微软雅黑"/>
      <w:color w:val="02396F"/>
      <w:u w:val="single"/>
    </w:rPr>
  </w:style>
  <w:style w:type="character" w:styleId="24">
    <w:name w:val="annotation reference"/>
    <w:unhideWhenUsed/>
    <w:qFormat/>
    <w:uiPriority w:val="99"/>
    <w:rPr>
      <w:sz w:val="21"/>
      <w:szCs w:val="21"/>
    </w:rPr>
  </w:style>
  <w:style w:type="paragraph" w:customStyle="1" w:styleId="25">
    <w:name w:val="AONormal"/>
    <w:qFormat/>
    <w:uiPriority w:val="0"/>
    <w:pPr>
      <w:autoSpaceDE w:val="0"/>
      <w:autoSpaceDN w:val="0"/>
      <w:adjustRightInd w:val="0"/>
      <w:spacing w:line="400" w:lineRule="exact"/>
      <w:ind w:firstLine="440" w:firstLineChars="200"/>
    </w:pPr>
    <w:rPr>
      <w:rFonts w:ascii="华文楷体" w:hAnsi="华文楷体" w:eastAsia="华文楷体" w:cs="华文楷体"/>
      <w:sz w:val="22"/>
      <w:szCs w:val="21"/>
      <w:lang w:val="en-US" w:eastAsia="zh-CN" w:bidi="ar-SA"/>
    </w:rPr>
  </w:style>
  <w:style w:type="paragraph" w:customStyle="1" w:styleId="26">
    <w:name w:val="正文正"/>
    <w:basedOn w:val="27"/>
    <w:qFormat/>
    <w:uiPriority w:val="0"/>
    <w:pPr>
      <w:spacing w:line="560" w:lineRule="exact"/>
      <w:ind w:firstLine="561"/>
    </w:pPr>
    <w:rPr>
      <w:rFonts w:eastAsia="仿宋_GB2312"/>
      <w:sz w:val="28"/>
      <w:szCs w:val="24"/>
    </w:rPr>
  </w:style>
  <w:style w:type="paragraph" w:customStyle="1" w:styleId="27">
    <w:name w:val="正文 New New New New New New New"/>
    <w:qFormat/>
    <w:uiPriority w:val="0"/>
    <w:pPr>
      <w:widowControl w:val="0"/>
      <w:jc w:val="both"/>
    </w:pPr>
    <w:rPr>
      <w:rFonts w:ascii="宋体" w:hAnsi="宋体" w:eastAsia="宋体" w:cs="Times New Roman"/>
      <w:kern w:val="16"/>
      <w:sz w:val="21"/>
      <w:szCs w:val="24"/>
      <w:lang w:val="en-US" w:eastAsia="zh-CN" w:bidi="ar-SA"/>
    </w:rPr>
  </w:style>
  <w:style w:type="character" w:customStyle="1" w:styleId="28">
    <w:name w:val="批注框文本 字符"/>
    <w:link w:val="11"/>
    <w:qFormat/>
    <w:uiPriority w:val="0"/>
    <w:rPr>
      <w:rFonts w:ascii="Calibri" w:hAnsi="Calibri" w:eastAsia="仿宋" w:cs="Times New Roman"/>
      <w:kern w:val="2"/>
      <w:sz w:val="18"/>
      <w:szCs w:val="18"/>
    </w:rPr>
  </w:style>
  <w:style w:type="character" w:customStyle="1" w:styleId="29">
    <w:name w:val="页脚 字符"/>
    <w:link w:val="12"/>
    <w:qFormat/>
    <w:uiPriority w:val="99"/>
    <w:rPr>
      <w:rFonts w:eastAsia="仿宋"/>
      <w:kern w:val="2"/>
      <w:sz w:val="18"/>
      <w:szCs w:val="24"/>
    </w:rPr>
  </w:style>
  <w:style w:type="character" w:customStyle="1" w:styleId="30">
    <w:name w:val="xhebtnblocktag"/>
    <w:basedOn w:val="19"/>
    <w:qFormat/>
    <w:uiPriority w:val="0"/>
  </w:style>
  <w:style w:type="character" w:customStyle="1" w:styleId="31">
    <w:name w:val="xhebtnbold"/>
    <w:basedOn w:val="19"/>
    <w:qFormat/>
    <w:uiPriority w:val="0"/>
  </w:style>
  <w:style w:type="character" w:customStyle="1" w:styleId="32">
    <w:name w:val="xhebtnanchor"/>
    <w:basedOn w:val="19"/>
    <w:qFormat/>
    <w:uiPriority w:val="0"/>
  </w:style>
  <w:style w:type="character" w:customStyle="1" w:styleId="33">
    <w:name w:val="xhebtnindent"/>
    <w:basedOn w:val="19"/>
    <w:qFormat/>
    <w:uiPriority w:val="0"/>
  </w:style>
  <w:style w:type="character" w:customStyle="1" w:styleId="34">
    <w:name w:val="xheseparator"/>
    <w:basedOn w:val="19"/>
    <w:qFormat/>
    <w:uiPriority w:val="0"/>
  </w:style>
  <w:style w:type="character" w:customStyle="1" w:styleId="35">
    <w:name w:val="xhebtnprint"/>
    <w:basedOn w:val="19"/>
    <w:qFormat/>
    <w:uiPriority w:val="0"/>
  </w:style>
  <w:style w:type="character" w:customStyle="1" w:styleId="36">
    <w:name w:val="qxdate"/>
    <w:qFormat/>
    <w:uiPriority w:val="0"/>
    <w:rPr>
      <w:color w:val="333333"/>
      <w:sz w:val="18"/>
      <w:szCs w:val="18"/>
    </w:rPr>
  </w:style>
  <w:style w:type="character" w:customStyle="1" w:styleId="37">
    <w:name w:val="xhebtnstrikethrough"/>
    <w:basedOn w:val="19"/>
    <w:qFormat/>
    <w:uiPriority w:val="0"/>
  </w:style>
  <w:style w:type="character" w:customStyle="1" w:styleId="38">
    <w:name w:val="xhegend"/>
    <w:basedOn w:val="19"/>
    <w:qFormat/>
    <w:uiPriority w:val="0"/>
    <w:rPr>
      <w:vanish/>
    </w:rPr>
  </w:style>
  <w:style w:type="character" w:customStyle="1" w:styleId="39">
    <w:name w:val="redfilenumber"/>
    <w:qFormat/>
    <w:uiPriority w:val="0"/>
    <w:rPr>
      <w:color w:val="BA2636"/>
      <w:sz w:val="18"/>
      <w:szCs w:val="18"/>
    </w:rPr>
  </w:style>
  <w:style w:type="character" w:customStyle="1" w:styleId="40">
    <w:name w:val="xhebtnfontcolor"/>
    <w:basedOn w:val="19"/>
    <w:qFormat/>
    <w:uiPriority w:val="0"/>
  </w:style>
  <w:style w:type="character" w:customStyle="1" w:styleId="41">
    <w:name w:val="xhebtnunderline"/>
    <w:basedOn w:val="19"/>
    <w:qFormat/>
    <w:uiPriority w:val="0"/>
  </w:style>
  <w:style w:type="character" w:customStyle="1" w:styleId="42">
    <w:name w:val="xhebtnselectall"/>
    <w:basedOn w:val="19"/>
    <w:qFormat/>
    <w:uiPriority w:val="0"/>
  </w:style>
  <w:style w:type="character" w:customStyle="1" w:styleId="43">
    <w:name w:val="xhebtnpastetext"/>
    <w:basedOn w:val="19"/>
    <w:qFormat/>
    <w:uiPriority w:val="0"/>
  </w:style>
  <w:style w:type="character" w:customStyle="1" w:styleId="44">
    <w:name w:val="xhebtncopy"/>
    <w:basedOn w:val="19"/>
    <w:qFormat/>
    <w:uiPriority w:val="0"/>
  </w:style>
  <w:style w:type="character" w:customStyle="1" w:styleId="45">
    <w:name w:val="xhebtntable"/>
    <w:basedOn w:val="19"/>
    <w:qFormat/>
    <w:uiPriority w:val="0"/>
  </w:style>
  <w:style w:type="character" w:customStyle="1" w:styleId="46">
    <w:name w:val="xhebtnflash"/>
    <w:basedOn w:val="19"/>
    <w:qFormat/>
    <w:uiPriority w:val="0"/>
  </w:style>
  <w:style w:type="character" w:customStyle="1" w:styleId="47">
    <w:name w:val="xhebtnfontsize"/>
    <w:basedOn w:val="19"/>
    <w:qFormat/>
    <w:uiPriority w:val="0"/>
  </w:style>
  <w:style w:type="character" w:customStyle="1" w:styleId="48">
    <w:name w:val="xhebtnabout"/>
    <w:basedOn w:val="19"/>
    <w:qFormat/>
    <w:uiPriority w:val="0"/>
  </w:style>
  <w:style w:type="character" w:customStyle="1" w:styleId="49">
    <w:name w:val="gjfg"/>
    <w:basedOn w:val="19"/>
    <w:qFormat/>
    <w:uiPriority w:val="0"/>
  </w:style>
  <w:style w:type="character" w:customStyle="1" w:styleId="50">
    <w:name w:val="xhebtnlink"/>
    <w:basedOn w:val="19"/>
    <w:qFormat/>
    <w:uiPriority w:val="0"/>
  </w:style>
  <w:style w:type="character" w:customStyle="1" w:styleId="51">
    <w:name w:val="redfilefwwh"/>
    <w:qFormat/>
    <w:uiPriority w:val="0"/>
    <w:rPr>
      <w:color w:val="BA2636"/>
      <w:sz w:val="18"/>
      <w:szCs w:val="18"/>
    </w:rPr>
  </w:style>
  <w:style w:type="character" w:customStyle="1" w:styleId="52">
    <w:name w:val="xhebtnalign"/>
    <w:basedOn w:val="19"/>
    <w:qFormat/>
    <w:uiPriority w:val="0"/>
  </w:style>
  <w:style w:type="character" w:customStyle="1" w:styleId="53">
    <w:name w:val="xhebtnunlink"/>
    <w:basedOn w:val="19"/>
    <w:qFormat/>
    <w:uiPriority w:val="0"/>
  </w:style>
  <w:style w:type="character" w:customStyle="1" w:styleId="54">
    <w:name w:val="displayarti"/>
    <w:qFormat/>
    <w:uiPriority w:val="0"/>
    <w:rPr>
      <w:color w:val="FFFFFF"/>
      <w:shd w:val="clear" w:color="auto" w:fill="A00000"/>
    </w:rPr>
  </w:style>
  <w:style w:type="character" w:customStyle="1" w:styleId="55">
    <w:name w:val="xhebtnitalic"/>
    <w:basedOn w:val="19"/>
    <w:qFormat/>
    <w:uiPriority w:val="0"/>
  </w:style>
  <w:style w:type="character" w:customStyle="1" w:styleId="56">
    <w:name w:val="xhebtnmedia"/>
    <w:basedOn w:val="19"/>
    <w:qFormat/>
    <w:uiPriority w:val="0"/>
  </w:style>
  <w:style w:type="character" w:customStyle="1" w:styleId="57">
    <w:name w:val="xhebtncut"/>
    <w:basedOn w:val="19"/>
    <w:qFormat/>
    <w:uiPriority w:val="0"/>
  </w:style>
  <w:style w:type="character" w:customStyle="1" w:styleId="58">
    <w:name w:val="xhegstart"/>
    <w:basedOn w:val="19"/>
    <w:qFormat/>
    <w:uiPriority w:val="0"/>
    <w:rPr>
      <w:vanish/>
    </w:rPr>
  </w:style>
  <w:style w:type="character" w:customStyle="1" w:styleId="59">
    <w:name w:val="xheicon"/>
    <w:basedOn w:val="19"/>
    <w:qFormat/>
    <w:uiPriority w:val="0"/>
  </w:style>
  <w:style w:type="character" w:customStyle="1" w:styleId="60">
    <w:name w:val="tt-radio1"/>
    <w:basedOn w:val="19"/>
    <w:qFormat/>
    <w:uiPriority w:val="0"/>
  </w:style>
  <w:style w:type="character" w:customStyle="1" w:styleId="61">
    <w:name w:val="xhebtnremoveformat"/>
    <w:basedOn w:val="19"/>
    <w:qFormat/>
    <w:uiPriority w:val="0"/>
  </w:style>
  <w:style w:type="character" w:customStyle="1" w:styleId="62">
    <w:name w:val="xhebtnpaste"/>
    <w:basedOn w:val="19"/>
    <w:qFormat/>
    <w:uiPriority w:val="0"/>
  </w:style>
  <w:style w:type="character" w:customStyle="1" w:styleId="63">
    <w:name w:val="cfdate"/>
    <w:qFormat/>
    <w:uiPriority w:val="0"/>
    <w:rPr>
      <w:color w:val="333333"/>
      <w:sz w:val="18"/>
      <w:szCs w:val="18"/>
    </w:rPr>
  </w:style>
  <w:style w:type="character" w:customStyle="1" w:styleId="64">
    <w:name w:val="xhebtnfullscreen"/>
    <w:basedOn w:val="19"/>
    <w:qFormat/>
    <w:uiPriority w:val="0"/>
  </w:style>
  <w:style w:type="character" w:customStyle="1" w:styleId="65">
    <w:name w:val="xhebtnoutdent"/>
    <w:basedOn w:val="19"/>
    <w:qFormat/>
    <w:uiPriority w:val="0"/>
  </w:style>
  <w:style w:type="character" w:customStyle="1" w:styleId="66">
    <w:name w:val="xhebtnhr"/>
    <w:basedOn w:val="19"/>
    <w:qFormat/>
    <w:uiPriority w:val="0"/>
  </w:style>
  <w:style w:type="character" w:customStyle="1" w:styleId="67">
    <w:name w:val="xhebtnsource"/>
    <w:basedOn w:val="19"/>
    <w:qFormat/>
    <w:uiPriority w:val="0"/>
  </w:style>
  <w:style w:type="character" w:customStyle="1" w:styleId="68">
    <w:name w:val="xhebtnbackcolor"/>
    <w:basedOn w:val="19"/>
    <w:qFormat/>
    <w:uiPriority w:val="0"/>
  </w:style>
  <w:style w:type="character" w:customStyle="1" w:styleId="69">
    <w:name w:val="xhebtnlist"/>
    <w:basedOn w:val="19"/>
    <w:qFormat/>
    <w:uiPriority w:val="0"/>
  </w:style>
  <w:style w:type="character" w:customStyle="1" w:styleId="70">
    <w:name w:val="xhebtnimg"/>
    <w:basedOn w:val="19"/>
    <w:qFormat/>
    <w:uiPriority w:val="0"/>
  </w:style>
  <w:style w:type="character" w:customStyle="1" w:styleId="71">
    <w:name w:val="xhebtnpreview"/>
    <w:basedOn w:val="19"/>
    <w:qFormat/>
    <w:uiPriority w:val="0"/>
  </w:style>
  <w:style w:type="character" w:customStyle="1" w:styleId="72">
    <w:name w:val="xhebtnemot"/>
    <w:basedOn w:val="19"/>
    <w:qFormat/>
    <w:uiPriority w:val="0"/>
  </w:style>
  <w:style w:type="character" w:customStyle="1" w:styleId="73">
    <w:name w:val="xhebtnfontface"/>
    <w:basedOn w:val="19"/>
    <w:qFormat/>
    <w:uiPriority w:val="0"/>
  </w:style>
  <w:style w:type="paragraph" w:customStyle="1" w:styleId="74">
    <w:name w:val="列出段落11"/>
    <w:basedOn w:val="1"/>
    <w:qFormat/>
    <w:uiPriority w:val="34"/>
    <w:pPr>
      <w:ind w:firstLine="420" w:firstLineChars="200"/>
    </w:pPr>
    <w:rPr>
      <w:rFonts w:ascii="Calibri" w:hAnsi="Calibri" w:eastAsia="宋体" w:cs="Times New Roman"/>
      <w:szCs w:val="22"/>
      <w:lang w:val="zh-CN"/>
    </w:rPr>
  </w:style>
  <w:style w:type="paragraph" w:customStyle="1" w:styleId="75">
    <w:name w:val="正文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76">
    <w:name w:val="正文 New New New New New New New New New New New New New New New New New New New New New New New New New New New New New New New New New New New New New New New New New New New New New New New New New New New New New New New New New New New New New New 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77">
    <w:name w:val="样式N"/>
    <w:basedOn w:val="78"/>
    <w:qFormat/>
    <w:uiPriority w:val="0"/>
    <w:rPr>
      <w:sz w:val="30"/>
    </w:rPr>
  </w:style>
  <w:style w:type="paragraph" w:customStyle="1" w:styleId="78">
    <w:name w:val="样式H"/>
    <w:basedOn w:val="2"/>
    <w:next w:val="1"/>
    <w:qFormat/>
    <w:uiPriority w:val="0"/>
    <w:pPr>
      <w:spacing w:before="100" w:line="500" w:lineRule="exact"/>
    </w:pPr>
  </w:style>
  <w:style w:type="paragraph" w:customStyle="1" w:styleId="79">
    <w:name w:val="Normal New New New New"/>
    <w:qFormat/>
    <w:uiPriority w:val="0"/>
    <w:pPr>
      <w:widowControl w:val="0"/>
      <w:jc w:val="both"/>
    </w:pPr>
    <w:rPr>
      <w:rFonts w:hint="eastAsia" w:ascii="Times New Roman" w:hAnsi="Times New Roman" w:eastAsia="宋体" w:cs="Times New Roman"/>
      <w:kern w:val="2"/>
      <w:sz w:val="21"/>
      <w:lang w:val="en-US" w:eastAsia="zh-CN" w:bidi="ar-SA"/>
    </w:rPr>
  </w:style>
  <w:style w:type="paragraph" w:customStyle="1" w:styleId="80">
    <w:name w:val="WPSOffice手动目录 3"/>
    <w:qFormat/>
    <w:uiPriority w:val="0"/>
    <w:pPr>
      <w:ind w:left="400" w:leftChars="400"/>
    </w:pPr>
    <w:rPr>
      <w:rFonts w:ascii="Times New Roman" w:hAnsi="Times New Roman" w:eastAsia="宋体" w:cs="Times New Roman"/>
      <w:lang w:val="en-US" w:eastAsia="zh-CN" w:bidi="ar-SA"/>
    </w:rPr>
  </w:style>
  <w:style w:type="paragraph" w:customStyle="1" w:styleId="81">
    <w:name w:val="正文 New New New New New New New New New New"/>
    <w:qFormat/>
    <w:uiPriority w:val="0"/>
    <w:pPr>
      <w:widowControl w:val="0"/>
      <w:adjustRightInd w:val="0"/>
      <w:spacing w:before="60" w:after="60" w:line="360" w:lineRule="auto"/>
      <w:ind w:firstLine="200" w:firstLineChars="200"/>
      <w:jc w:val="both"/>
      <w:textAlignment w:val="baseline"/>
    </w:pPr>
    <w:rPr>
      <w:rFonts w:ascii="Times New Roman" w:hAnsi="Times New Roman" w:eastAsia="宋体" w:cs="Times New Roman"/>
      <w:sz w:val="21"/>
      <w:lang w:val="en-US" w:eastAsia="zh-CN" w:bidi="ar-SA"/>
    </w:rPr>
  </w:style>
  <w:style w:type="paragraph" w:customStyle="1" w:styleId="82">
    <w:name w:val="图"/>
    <w:basedOn w:val="1"/>
    <w:qFormat/>
    <w:uiPriority w:val="0"/>
    <w:pPr>
      <w:keepNext/>
      <w:adjustRightInd w:val="0"/>
      <w:spacing w:before="60" w:after="60" w:line="300" w:lineRule="auto"/>
      <w:jc w:val="center"/>
      <w:textAlignment w:val="center"/>
    </w:pPr>
    <w:rPr>
      <w:snapToGrid w:val="0"/>
      <w:spacing w:val="20"/>
      <w:kern w:val="0"/>
      <w:sz w:val="24"/>
      <w:szCs w:val="20"/>
    </w:rPr>
  </w:style>
  <w:style w:type="paragraph" w:styleId="83">
    <w:name w:val="List Paragraph"/>
    <w:basedOn w:val="1"/>
    <w:qFormat/>
    <w:uiPriority w:val="34"/>
    <w:pPr>
      <w:ind w:firstLine="420" w:firstLineChars="200"/>
    </w:pPr>
  </w:style>
  <w:style w:type="paragraph" w:customStyle="1" w:styleId="84">
    <w:name w:val="正文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85">
    <w:name w:val="样式1"/>
    <w:basedOn w:val="1"/>
    <w:qFormat/>
    <w:uiPriority w:val="0"/>
    <w:pPr>
      <w:numPr>
        <w:ilvl w:val="0"/>
        <w:numId w:val="1"/>
      </w:numPr>
      <w:adjustRightInd w:val="0"/>
      <w:textAlignment w:val="baseline"/>
    </w:pPr>
    <w:rPr>
      <w:rFonts w:ascii="宋体" w:hAnsi="宋体"/>
      <w:kern w:val="0"/>
      <w:szCs w:val="21"/>
    </w:rPr>
  </w:style>
  <w:style w:type="paragraph" w:customStyle="1" w:styleId="86">
    <w:name w:val="正文 New New New New New New New New New New New New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87">
    <w:name w:val="题注4"/>
    <w:basedOn w:val="1"/>
    <w:next w:val="7"/>
    <w:qFormat/>
    <w:uiPriority w:val="0"/>
    <w:pPr>
      <w:ind w:left="-132" w:leftChars="-64" w:right="-105" w:rightChars="-50" w:hanging="2"/>
      <w:jc w:val="center"/>
    </w:pPr>
    <w:rPr>
      <w:b/>
      <w:color w:val="FF0000"/>
      <w:szCs w:val="21"/>
      <w:lang w:val="en-GB"/>
    </w:rPr>
  </w:style>
  <w:style w:type="paragraph" w:customStyle="1" w:styleId="88">
    <w:name w:val="样式"/>
    <w:qFormat/>
    <w:uiPriority w:val="0"/>
    <w:pPr>
      <w:widowControl w:val="0"/>
      <w:autoSpaceDE w:val="0"/>
      <w:autoSpaceDN w:val="0"/>
      <w:adjustRightInd w:val="0"/>
    </w:pPr>
    <w:rPr>
      <w:rFonts w:ascii="宋体" w:hAnsi="宋体" w:eastAsia="宋体" w:cs="宋体"/>
      <w:sz w:val="24"/>
      <w:szCs w:val="24"/>
      <w:lang w:val="en-US" w:eastAsia="zh-CN" w:bidi="ar-SA"/>
    </w:rPr>
  </w:style>
  <w:style w:type="paragraph" w:customStyle="1" w:styleId="89">
    <w:name w:val="WPSOffice手动目录 2"/>
    <w:qFormat/>
    <w:uiPriority w:val="0"/>
    <w:pPr>
      <w:ind w:left="200" w:leftChars="200"/>
    </w:pPr>
    <w:rPr>
      <w:rFonts w:ascii="Times New Roman" w:hAnsi="Times New Roman" w:eastAsia="宋体" w:cs="Times New Roman"/>
      <w:lang w:val="en-US" w:eastAsia="zh-CN" w:bidi="ar-SA"/>
    </w:rPr>
  </w:style>
  <w:style w:type="paragraph" w:customStyle="1" w:styleId="90">
    <w:name w:val="WPSOffice手动目录 1"/>
    <w:qFormat/>
    <w:uiPriority w:val="0"/>
    <w:rPr>
      <w:rFonts w:ascii="Times New Roman" w:hAnsi="Times New Roman" w:eastAsia="宋体" w:cs="Times New Roman"/>
      <w:lang w:val="en-US" w:eastAsia="zh-CN" w:bidi="ar-SA"/>
    </w:rPr>
  </w:style>
  <w:style w:type="paragraph" w:customStyle="1" w:styleId="91">
    <w:name w:val="_Style 3"/>
    <w:basedOn w:val="1"/>
    <w:qFormat/>
    <w:uiPriority w:val="0"/>
    <w:pPr>
      <w:spacing w:line="360" w:lineRule="auto"/>
      <w:ind w:firstLine="420" w:firstLineChars="200"/>
    </w:pPr>
    <w:rPr>
      <w:rFonts w:ascii="Calibri" w:hAnsi="Calibri"/>
      <w:kern w:val="2"/>
      <w:sz w:val="21"/>
      <w:szCs w:val="22"/>
    </w:rPr>
  </w:style>
  <w:style w:type="paragraph" w:customStyle="1" w:styleId="92">
    <w:name w:val="Table Paragraph"/>
    <w:basedOn w:val="1"/>
    <w:qFormat/>
    <w:uiPriority w:val="1"/>
    <w:pPr>
      <w:autoSpaceDE w:val="0"/>
      <w:autoSpaceDN w:val="0"/>
      <w:jc w:val="left"/>
    </w:pPr>
    <w:rPr>
      <w:rFonts w:ascii="宋体" w:hAnsi="宋体" w:cs="宋体"/>
      <w:kern w:val="0"/>
      <w:sz w:val="22"/>
      <w:szCs w:val="22"/>
      <w:lang w:val="zh-CN" w:bidi="zh-CN"/>
    </w:rPr>
  </w:style>
  <w:style w:type="paragraph" w:customStyle="1" w:styleId="93">
    <w:name w:val="正文 New New New New New New New New New New New New New New New New New New New New New New New New New New New New New"/>
    <w:qFormat/>
    <w:uiPriority w:val="0"/>
    <w:pPr>
      <w:widowControl w:val="0"/>
      <w:jc w:val="both"/>
    </w:pPr>
    <w:rPr>
      <w:rFonts w:ascii="宋体" w:hAnsi="宋体" w:eastAsia="宋体" w:cs="Times New Roman"/>
      <w:kern w:val="16"/>
      <w:sz w:val="21"/>
      <w:szCs w:val="24"/>
      <w:lang w:val="en-US" w:eastAsia="zh-CN" w:bidi="ar-SA"/>
    </w:rPr>
  </w:style>
  <w:style w:type="paragraph" w:customStyle="1" w:styleId="94">
    <w:name w:val="正文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New"/>
    <w:qFormat/>
    <w:uiPriority w:val="0"/>
    <w:pPr>
      <w:widowControl w:val="0"/>
      <w:jc w:val="both"/>
    </w:pPr>
    <w:rPr>
      <w:rFonts w:ascii="宋体" w:hAnsi="宋体" w:eastAsia="宋体" w:cs="Times New Roman"/>
      <w:kern w:val="16"/>
      <w:sz w:val="21"/>
      <w:szCs w:val="24"/>
      <w:lang w:val="en-US" w:eastAsia="zh-CN" w:bidi="ar-SA"/>
    </w:rPr>
  </w:style>
  <w:style w:type="paragraph" w:customStyle="1" w:styleId="95">
    <w:name w:val="Default"/>
    <w:qFormat/>
    <w:uiPriority w:val="0"/>
    <w:pPr>
      <w:widowControl w:val="0"/>
      <w:autoSpaceDE w:val="0"/>
      <w:autoSpaceDN w:val="0"/>
      <w:adjustRightInd w:val="0"/>
    </w:pPr>
    <w:rPr>
      <w:rFonts w:ascii="宋体" w:hAnsi="Times New Roman" w:eastAsia="宋体" w:cs="宋体"/>
      <w:color w:val="000000"/>
      <w:kern w:val="0"/>
      <w:sz w:val="24"/>
      <w:szCs w:val="24"/>
      <w:lang w:val="en-US" w:eastAsia="zh-CN" w:bidi="ar-SA"/>
    </w:rPr>
  </w:style>
  <w:style w:type="paragraph" w:customStyle="1" w:styleId="96">
    <w:name w:val="正文 New New"/>
    <w:qFormat/>
    <w:uiPriority w:val="99"/>
    <w:pPr>
      <w:widowControl w:val="0"/>
      <w:numPr>
        <w:ilvl w:val="0"/>
        <w:numId w:val="2"/>
      </w:numPr>
      <w:jc w:val="both"/>
    </w:pPr>
    <w:rPr>
      <w:rFonts w:ascii="Times New Roman" w:hAnsi="Times New Roman" w:eastAsia="宋体" w:cs="Times New Roman"/>
      <w:kern w:val="2"/>
      <w:sz w:val="21"/>
      <w:szCs w:val="21"/>
      <w:lang w:val="en-US" w:eastAsia="zh-CN" w:bidi="ar-SA"/>
    </w:rPr>
  </w:style>
  <w:style w:type="paragraph" w:customStyle="1" w:styleId="97">
    <w:name w:val="正文_0"/>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98">
    <w:name w:val="样式 行距: 1.5 倍行距 首行缩进:  2 字符"/>
    <w:basedOn w:val="1"/>
    <w:qFormat/>
    <w:uiPriority w:val="0"/>
    <w:pPr>
      <w:adjustRightInd w:val="0"/>
      <w:snapToGrid w:val="0"/>
      <w:spacing w:line="460" w:lineRule="exact"/>
    </w:pPr>
    <w:rPr>
      <w:sz w:val="24"/>
    </w:rPr>
  </w:style>
  <w:style w:type="paragraph" w:customStyle="1" w:styleId="99">
    <w:name w:val="样式2"/>
    <w:basedOn w:val="1"/>
    <w:qFormat/>
    <w:uiPriority w:val="0"/>
    <w:pPr>
      <w:wordWrap w:val="0"/>
      <w:jc w:val="center"/>
    </w:pPr>
    <w:rPr>
      <w:sz w:val="22"/>
      <w:szCs w:val="22"/>
    </w:rPr>
  </w:style>
  <w:style w:type="paragraph" w:customStyle="1" w:styleId="100">
    <w:name w:val="Table Text"/>
    <w:basedOn w:val="1"/>
    <w:semiHidden/>
    <w:qFormat/>
    <w:uiPriority w:val="0"/>
    <w:rPr>
      <w:rFonts w:ascii="宋体" w:hAnsi="宋体" w:eastAsia="宋体" w:cs="宋体"/>
      <w:sz w:val="20"/>
      <w:szCs w:val="20"/>
      <w:lang w:val="en-US" w:eastAsia="en-US" w:bidi="ar-SA"/>
    </w:rPr>
  </w:style>
  <w:style w:type="table" w:customStyle="1" w:styleId="101">
    <w:name w:val="Table Normal"/>
    <w:semiHidden/>
    <w:unhideWhenUsed/>
    <w:qFormat/>
    <w:uiPriority w:val="0"/>
    <w:tblPr>
      <w:tblCellMar>
        <w:top w:w="0" w:type="dxa"/>
        <w:left w:w="0" w:type="dxa"/>
        <w:bottom w:w="0" w:type="dxa"/>
        <w:right w:w="0" w:type="dxa"/>
      </w:tblCellMar>
    </w:tblPr>
  </w:style>
  <w:style w:type="paragraph" w:customStyle="1" w:styleId="102">
    <w:name w:val="null3"/>
    <w:hidden/>
    <w:qFormat/>
    <w:uiPriority w:val="0"/>
    <w:rPr>
      <w:rFonts w:hint="eastAsia" w:asciiTheme="minorHAnsi" w:hAnsiTheme="minorHAnsi" w:eastAsiaTheme="minorEastAsia" w:cstheme="minorBidi"/>
      <w:lang w:val="en-US" w:eastAsia="zh-Hans"/>
    </w:rPr>
  </w:style>
  <w:style w:type="paragraph" w:customStyle="1" w:styleId="103">
    <w:name w:val="正文 New New New New"/>
    <w:qFormat/>
    <w:uiPriority w:val="0"/>
    <w:pPr>
      <w:widowControl w:val="0"/>
      <w:jc w:val="both"/>
    </w:pPr>
    <w:rPr>
      <w:rFonts w:ascii="Times New Roman" w:hAnsi="Times New Roman" w:eastAsia="仿宋_GB2312" w:cs="Times New Roman"/>
      <w:kern w:val="2"/>
      <w:sz w:val="32"/>
      <w:szCs w:val="24"/>
      <w:lang w:val="en-US" w:eastAsia="zh-CN" w:bidi="ar-SA"/>
    </w:rPr>
  </w:style>
  <w:style w:type="character" w:customStyle="1" w:styleId="104">
    <w:name w:val="font11"/>
    <w:basedOn w:val="19"/>
    <w:qFormat/>
    <w:uiPriority w:val="0"/>
    <w:rPr>
      <w:rFonts w:hint="eastAsia" w:ascii="宋体" w:hAnsi="宋体" w:eastAsia="宋体" w:cs="宋体"/>
      <w:b/>
      <w:color w:val="000000"/>
      <w:sz w:val="20"/>
      <w:szCs w:val="20"/>
      <w:u w:val="none"/>
    </w:rPr>
  </w:style>
  <w:style w:type="paragraph" w:customStyle="1" w:styleId="105">
    <w:name w:val="Heading 3"/>
    <w:qFormat/>
    <w:uiPriority w:val="0"/>
    <w:pPr>
      <w:spacing w:before="300" w:after="120" w:line="288" w:lineRule="auto"/>
      <w:ind w:left="0"/>
      <w:jc w:val="left"/>
      <w:outlineLvl w:val="2"/>
    </w:pPr>
    <w:rPr>
      <w:rFonts w:ascii="Arial" w:hAnsi="Arial" w:eastAsia="等线" w:cs="Arial"/>
      <w:b/>
      <w:bCs/>
      <w:sz w:val="30"/>
      <w:szCs w:val="30"/>
    </w:rPr>
  </w:style>
  <w:style w:type="paragraph" w:customStyle="1" w:styleId="106">
    <w:name w:val="_Style 13"/>
    <w:qFormat/>
    <w:uiPriority w:val="0"/>
    <w:pPr>
      <w:spacing w:before="120" w:after="120" w:line="288" w:lineRule="auto"/>
      <w:ind w:left="0"/>
      <w:jc w:val="left"/>
    </w:pPr>
    <w:rPr>
      <w:rFonts w:ascii="Arial" w:hAnsi="Arial" w:eastAsia="等线" w:cs="Arial"/>
      <w:sz w:val="22"/>
      <w:szCs w:val="22"/>
    </w:rPr>
  </w:style>
  <w:style w:type="character" w:customStyle="1" w:styleId="107">
    <w:name w:val="font61"/>
    <w:basedOn w:val="19"/>
    <w:qFormat/>
    <w:uiPriority w:val="0"/>
    <w:rPr>
      <w:rFonts w:hint="default" w:ascii="Times New Roman" w:hAnsi="Times New Roman" w:cs="Times New Roman"/>
      <w:b/>
      <w:bCs/>
      <w:color w:val="000000"/>
      <w:sz w:val="21"/>
      <w:szCs w:val="21"/>
      <w:u w:val="none"/>
    </w:rPr>
  </w:style>
  <w:style w:type="character" w:customStyle="1" w:styleId="108">
    <w:name w:val="font21"/>
    <w:basedOn w:val="19"/>
    <w:qFormat/>
    <w:uiPriority w:val="0"/>
    <w:rPr>
      <w:rFonts w:hint="eastAsia" w:ascii="宋体" w:hAnsi="宋体" w:eastAsia="宋体" w:cs="宋体"/>
      <w:b/>
      <w:bCs/>
      <w:color w:val="000000"/>
      <w:sz w:val="21"/>
      <w:szCs w:val="21"/>
      <w:u w:val="none"/>
    </w:rPr>
  </w:style>
</w:styles>
</file>

<file path=word/_rels/document.xml.rels><?xml version="1.0" encoding="UTF-8" standalone="yes"?>
<Relationships xmlns="http://schemas.openxmlformats.org/package/2006/relationships"><Relationship Id="rId9" Type="http://schemas.openxmlformats.org/officeDocument/2006/relationships/customXml" Target="../customXml/item1.xml"/><Relationship Id="rId8" Type="http://schemas.openxmlformats.org/officeDocument/2006/relationships/image" Target="media/image2.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63</Pages>
  <Words>48564</Words>
  <Characters>53209</Characters>
  <Lines>193</Lines>
  <Paragraphs>54</Paragraphs>
  <TotalTime>2</TotalTime>
  <ScaleCrop>false</ScaleCrop>
  <LinksUpToDate>false</LinksUpToDate>
  <CharactersWithSpaces>53828</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2018-10-31T00:31:00Z</dcterms:created>
  <dc:creator>meimei</dc:creator>
  <cp:lastModifiedBy>Daishaoc</cp:lastModifiedBy>
  <cp:lastPrinted>2026-06-18T02:24:00Z</cp:lastPrinted>
  <dcterms:modified xsi:type="dcterms:W3CDTF">2026-06-18T05:00:43Z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A3A50A707F7247EBA1DAC2E9172EE20C_13</vt:lpwstr>
  </property>
  <property fmtid="{D5CDD505-2E9C-101B-9397-08002B2CF9AE}" pid="4" name="KSOTemplateDocerSaveRecord">
    <vt:lpwstr>eyJoZGlkIjoiMDFhYmYyMDVmODQ2MTc2YTQyZTE3ZDE5ODU1MmU1ZTIiLCJ1c2VySWQiOiI2NTU3NzExNTAifQ==</vt:lpwstr>
  </property>
</Properties>
</file>