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1E4E7F8">
      <w:pPr>
        <w:pStyle w:val="105"/>
        <w:wordWrap w:val="0"/>
        <w:adjustRightInd w:val="0"/>
        <w:snapToGrid w:val="0"/>
        <w:spacing w:line="360" w:lineRule="auto"/>
        <w:jc w:val="center"/>
        <w:rPr>
          <w:rFonts w:hint="eastAsia" w:ascii="宋体" w:hAnsi="宋体" w:eastAsia="宋体" w:cs="宋体"/>
          <w:snapToGrid w:val="0"/>
          <w:color w:val="auto"/>
          <w:kern w:val="0"/>
          <w:sz w:val="36"/>
          <w:szCs w:val="20"/>
          <w:highlight w:val="none"/>
          <w:u w:val="single"/>
        </w:rPr>
      </w:pPr>
      <w:r>
        <w:rPr>
          <w:rFonts w:hint="eastAsia" w:ascii="宋体" w:hAnsi="宋体" w:eastAsia="宋体" w:cs="宋体"/>
          <w:b/>
          <w:snapToGrid w:val="0"/>
          <w:color w:val="auto"/>
          <w:kern w:val="0"/>
          <w:sz w:val="48"/>
          <w:szCs w:val="48"/>
          <w:highlight w:val="none"/>
          <w:lang w:val="en-US" w:eastAsia="zh-CN"/>
        </w:rPr>
        <w:t>乐昌市“花果世界”山水人家乡村振兴示范带（庆云段）项目施工（第二次）</w:t>
      </w:r>
    </w:p>
    <w:p w14:paraId="5542D802">
      <w:pPr>
        <w:pStyle w:val="105"/>
        <w:wordWrap w:val="0"/>
        <w:adjustRightInd w:val="0"/>
        <w:snapToGrid w:val="0"/>
        <w:spacing w:line="360" w:lineRule="auto"/>
        <w:rPr>
          <w:rFonts w:hint="eastAsia" w:ascii="宋体" w:hAnsi="宋体" w:eastAsia="宋体" w:cs="宋体"/>
          <w:snapToGrid w:val="0"/>
          <w:color w:val="auto"/>
          <w:kern w:val="0"/>
          <w:sz w:val="36"/>
          <w:highlight w:val="none"/>
          <w:u w:val="single"/>
        </w:rPr>
      </w:pPr>
    </w:p>
    <w:p w14:paraId="47F40127">
      <w:pPr>
        <w:rPr>
          <w:rFonts w:hint="eastAsia"/>
          <w:color w:val="auto"/>
          <w:highlight w:val="none"/>
        </w:rPr>
      </w:pPr>
    </w:p>
    <w:p w14:paraId="5A84CC65">
      <w:pPr>
        <w:pStyle w:val="6"/>
        <w:rPr>
          <w:rFonts w:hint="eastAsia"/>
          <w:color w:val="auto"/>
          <w:highlight w:val="none"/>
        </w:rPr>
      </w:pPr>
    </w:p>
    <w:p w14:paraId="468DC4E6">
      <w:pPr>
        <w:pStyle w:val="105"/>
        <w:wordWrap w:val="0"/>
        <w:adjustRightInd w:val="0"/>
        <w:snapToGrid w:val="0"/>
        <w:spacing w:line="360" w:lineRule="auto"/>
        <w:jc w:val="cente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pPr>
      <w:r>
        <w:rPr>
          <w:rFonts w:hint="eastAsia" w:ascii="宋体" w:hAnsi="宋体" w:eastAsia="宋体" w:cs="宋体"/>
          <w:b/>
          <w:bCs/>
          <w:snapToGrid w:val="0"/>
          <w:color w:val="auto"/>
          <w:kern w:val="0"/>
          <w:sz w:val="72"/>
          <w:szCs w:val="72"/>
          <w:highlight w:val="none"/>
          <w14:shadow w14:blurRad="50800" w14:dist="38100" w14:dir="2700000" w14:sx="100000" w14:sy="100000" w14:kx="0" w14:ky="0" w14:algn="tl">
            <w14:srgbClr w14:val="000000">
              <w14:alpha w14:val="60000"/>
            </w14:srgbClr>
          </w14:shadow>
        </w:rPr>
        <w:t>招标文件</w:t>
      </w:r>
    </w:p>
    <w:p w14:paraId="759BB127">
      <w:pPr>
        <w:wordWrap w:val="0"/>
        <w:adjustRightInd w:val="0"/>
        <w:snapToGrid w:val="0"/>
        <w:rPr>
          <w:rFonts w:hint="eastAsia" w:ascii="宋体" w:hAnsi="宋体" w:eastAsia="宋体" w:cs="宋体"/>
          <w:b/>
          <w:bCs/>
          <w:snapToGrid w:val="0"/>
          <w:color w:val="auto"/>
          <w:kern w:val="0"/>
          <w:sz w:val="48"/>
          <w:szCs w:val="48"/>
          <w:highlight w:val="none"/>
        </w:rPr>
      </w:pPr>
    </w:p>
    <w:p w14:paraId="33F67AC1">
      <w:pPr>
        <w:pStyle w:val="10"/>
        <w:rPr>
          <w:rFonts w:hint="eastAsia" w:ascii="宋体" w:hAnsi="宋体" w:eastAsia="宋体" w:cs="宋体"/>
          <w:color w:val="auto"/>
          <w:highlight w:val="none"/>
        </w:rPr>
      </w:pPr>
    </w:p>
    <w:tbl>
      <w:tblPr>
        <w:tblStyle w:val="31"/>
        <w:tblW w:w="9728" w:type="dxa"/>
        <w:tblInd w:w="-100" w:type="dxa"/>
        <w:tblLayout w:type="fixed"/>
        <w:tblCellMar>
          <w:top w:w="0" w:type="dxa"/>
          <w:left w:w="0" w:type="dxa"/>
          <w:bottom w:w="0" w:type="dxa"/>
          <w:right w:w="0" w:type="dxa"/>
        </w:tblCellMar>
      </w:tblPr>
      <w:tblGrid>
        <w:gridCol w:w="4708"/>
        <w:gridCol w:w="5020"/>
      </w:tblGrid>
      <w:tr w14:paraId="24803AE6">
        <w:tblPrEx>
          <w:tblCellMar>
            <w:top w:w="0" w:type="dxa"/>
            <w:left w:w="0" w:type="dxa"/>
            <w:bottom w:w="0" w:type="dxa"/>
            <w:right w:w="0" w:type="dxa"/>
          </w:tblCellMar>
        </w:tblPrEx>
        <w:trPr>
          <w:trHeight w:val="1205" w:hRule="atLeast"/>
        </w:trPr>
        <w:tc>
          <w:tcPr>
            <w:tcW w:w="4708" w:type="dxa"/>
            <w:noWrap w:val="0"/>
            <w:vAlign w:val="center"/>
          </w:tcPr>
          <w:p w14:paraId="0258E065">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人（盖单位章）：</w:t>
            </w:r>
          </w:p>
        </w:tc>
        <w:tc>
          <w:tcPr>
            <w:tcW w:w="5020" w:type="dxa"/>
            <w:noWrap w:val="0"/>
            <w:vAlign w:val="center"/>
          </w:tcPr>
          <w:p w14:paraId="10A9CB0B">
            <w:pPr>
              <w:pStyle w:val="133"/>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hAnsi="宋体" w:cs="宋体"/>
                <w:snapToGrid w:val="0"/>
                <w:color w:val="auto"/>
                <w:kern w:val="0"/>
                <w:sz w:val="28"/>
                <w:szCs w:val="28"/>
                <w:highlight w:val="none"/>
                <w:lang w:eastAsia="zh-CN"/>
              </w:rPr>
              <w:t>乐昌市庆云镇人民政府</w:t>
            </w:r>
          </w:p>
        </w:tc>
      </w:tr>
      <w:tr w14:paraId="505655B0">
        <w:tblPrEx>
          <w:tblCellMar>
            <w:top w:w="0" w:type="dxa"/>
            <w:left w:w="0" w:type="dxa"/>
            <w:bottom w:w="0" w:type="dxa"/>
            <w:right w:w="0" w:type="dxa"/>
          </w:tblCellMar>
        </w:tblPrEx>
        <w:trPr>
          <w:trHeight w:val="1130" w:hRule="atLeast"/>
        </w:trPr>
        <w:tc>
          <w:tcPr>
            <w:tcW w:w="4708" w:type="dxa"/>
            <w:noWrap w:val="0"/>
            <w:vAlign w:val="center"/>
          </w:tcPr>
          <w:p w14:paraId="0665CC3C">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招标人工作领导小组负责人（签字）：</w:t>
            </w:r>
          </w:p>
        </w:tc>
        <w:tc>
          <w:tcPr>
            <w:tcW w:w="5020" w:type="dxa"/>
            <w:noWrap w:val="0"/>
            <w:vAlign w:val="center"/>
          </w:tcPr>
          <w:p w14:paraId="67E41C51">
            <w:pPr>
              <w:pStyle w:val="133"/>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0A0EA0D6">
        <w:tblPrEx>
          <w:tblCellMar>
            <w:top w:w="0" w:type="dxa"/>
            <w:left w:w="0" w:type="dxa"/>
            <w:bottom w:w="0" w:type="dxa"/>
            <w:right w:w="0" w:type="dxa"/>
          </w:tblCellMar>
        </w:tblPrEx>
        <w:trPr>
          <w:trHeight w:val="1190" w:hRule="atLeast"/>
        </w:trPr>
        <w:tc>
          <w:tcPr>
            <w:tcW w:w="4708" w:type="dxa"/>
            <w:noWrap w:val="0"/>
            <w:vAlign w:val="center"/>
          </w:tcPr>
          <w:p w14:paraId="2F8964E4">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 标 代 理 机 构 （盖单位章）：</w:t>
            </w:r>
          </w:p>
        </w:tc>
        <w:tc>
          <w:tcPr>
            <w:tcW w:w="5020" w:type="dxa"/>
            <w:noWrap w:val="0"/>
            <w:vAlign w:val="center"/>
          </w:tcPr>
          <w:p w14:paraId="5904D003">
            <w:pPr>
              <w:pStyle w:val="133"/>
              <w:wordWrap w:val="0"/>
              <w:adjustRightInd w:val="0"/>
              <w:snapToGrid w:val="0"/>
              <w:spacing w:line="240" w:lineRule="auto"/>
              <w:rPr>
                <w:rFonts w:hint="eastAsia" w:ascii="宋体" w:hAnsi="宋体" w:eastAsia="宋体" w:cs="宋体"/>
                <w:snapToGrid w:val="0"/>
                <w:color w:val="auto"/>
                <w:kern w:val="0"/>
                <w:sz w:val="28"/>
                <w:szCs w:val="28"/>
                <w:highlight w:val="none"/>
              </w:rPr>
            </w:pPr>
            <w:r>
              <w:rPr>
                <w:rFonts w:hint="eastAsia" w:hAnsi="宋体" w:cs="宋体"/>
                <w:snapToGrid w:val="0"/>
                <w:color w:val="auto"/>
                <w:kern w:val="0"/>
                <w:sz w:val="28"/>
                <w:szCs w:val="28"/>
                <w:highlight w:val="none"/>
                <w:lang w:eastAsia="zh-CN"/>
              </w:rPr>
              <w:t>广州穗图项目管理有限公司</w:t>
            </w:r>
          </w:p>
        </w:tc>
      </w:tr>
      <w:tr w14:paraId="2A1D3D73">
        <w:tblPrEx>
          <w:tblCellMar>
            <w:top w:w="0" w:type="dxa"/>
            <w:left w:w="0" w:type="dxa"/>
            <w:bottom w:w="0" w:type="dxa"/>
            <w:right w:w="0" w:type="dxa"/>
          </w:tblCellMar>
        </w:tblPrEx>
        <w:trPr>
          <w:trHeight w:val="1185" w:hRule="atLeast"/>
        </w:trPr>
        <w:tc>
          <w:tcPr>
            <w:tcW w:w="4708" w:type="dxa"/>
            <w:noWrap w:val="0"/>
            <w:vAlign w:val="center"/>
          </w:tcPr>
          <w:p w14:paraId="7C63534D">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招标文件编制人（签字）：</w:t>
            </w:r>
          </w:p>
        </w:tc>
        <w:tc>
          <w:tcPr>
            <w:tcW w:w="5020" w:type="dxa"/>
            <w:noWrap w:val="0"/>
            <w:vAlign w:val="center"/>
          </w:tcPr>
          <w:p w14:paraId="0130EA5C">
            <w:pPr>
              <w:pStyle w:val="133"/>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12A406AF">
        <w:tblPrEx>
          <w:tblCellMar>
            <w:top w:w="0" w:type="dxa"/>
            <w:left w:w="0" w:type="dxa"/>
            <w:bottom w:w="0" w:type="dxa"/>
            <w:right w:w="0" w:type="dxa"/>
          </w:tblCellMar>
        </w:tblPrEx>
        <w:trPr>
          <w:trHeight w:val="1185" w:hRule="atLeast"/>
        </w:trPr>
        <w:tc>
          <w:tcPr>
            <w:tcW w:w="4708" w:type="dxa"/>
            <w:noWrap w:val="0"/>
            <w:vAlign w:val="center"/>
          </w:tcPr>
          <w:p w14:paraId="1E941685">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招标代理机构项目负责人（签字）：</w:t>
            </w:r>
          </w:p>
        </w:tc>
        <w:tc>
          <w:tcPr>
            <w:tcW w:w="5020" w:type="dxa"/>
            <w:noWrap w:val="0"/>
            <w:vAlign w:val="center"/>
          </w:tcPr>
          <w:p w14:paraId="76DD85E2">
            <w:pPr>
              <w:pStyle w:val="133"/>
              <w:wordWrap w:val="0"/>
              <w:adjustRightInd w:val="0"/>
              <w:snapToGrid w:val="0"/>
              <w:spacing w:line="240" w:lineRule="auto"/>
              <w:rPr>
                <w:rFonts w:hint="eastAsia" w:ascii="宋体" w:hAnsi="宋体" w:eastAsia="宋体" w:cs="宋体"/>
                <w:snapToGrid w:val="0"/>
                <w:color w:val="auto"/>
                <w:kern w:val="0"/>
                <w:sz w:val="28"/>
                <w:szCs w:val="28"/>
                <w:highlight w:val="none"/>
              </w:rPr>
            </w:pPr>
          </w:p>
        </w:tc>
      </w:tr>
      <w:tr w14:paraId="2AE31B85">
        <w:tblPrEx>
          <w:tblCellMar>
            <w:top w:w="0" w:type="dxa"/>
            <w:left w:w="0" w:type="dxa"/>
            <w:bottom w:w="0" w:type="dxa"/>
            <w:right w:w="0" w:type="dxa"/>
          </w:tblCellMar>
        </w:tblPrEx>
        <w:trPr>
          <w:trHeight w:val="892" w:hRule="atLeast"/>
        </w:trPr>
        <w:tc>
          <w:tcPr>
            <w:tcW w:w="4708" w:type="dxa"/>
            <w:noWrap w:val="0"/>
            <w:vAlign w:val="center"/>
          </w:tcPr>
          <w:p w14:paraId="769A6FE6">
            <w:pPr>
              <w:pStyle w:val="133"/>
              <w:wordWrap w:val="0"/>
              <w:adjustRightInd w:val="0"/>
              <w:snapToGrid w:val="0"/>
              <w:spacing w:line="240" w:lineRule="auto"/>
              <w:jc w:val="distribute"/>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rPr>
              <w:t xml:space="preserve"> 招标文件编制日期：</w:t>
            </w:r>
          </w:p>
        </w:tc>
        <w:tc>
          <w:tcPr>
            <w:tcW w:w="5020" w:type="dxa"/>
            <w:noWrap w:val="0"/>
            <w:vAlign w:val="center"/>
          </w:tcPr>
          <w:p w14:paraId="4065A6D2">
            <w:pPr>
              <w:pStyle w:val="133"/>
              <w:wordWrap w:val="0"/>
              <w:adjustRightInd w:val="0"/>
              <w:snapToGrid w:val="0"/>
              <w:spacing w:line="240" w:lineRule="auto"/>
              <w:rPr>
                <w:rFonts w:hint="eastAsia" w:ascii="宋体" w:hAnsi="宋体" w:eastAsia="宋体" w:cs="宋体"/>
                <w:snapToGrid w:val="0"/>
                <w:color w:val="auto"/>
                <w:kern w:val="0"/>
                <w:sz w:val="28"/>
                <w:highlight w:val="none"/>
              </w:rPr>
            </w:pPr>
            <w:r>
              <w:rPr>
                <w:rFonts w:hint="eastAsia" w:ascii="宋体" w:hAnsi="宋体" w:eastAsia="宋体" w:cs="宋体"/>
                <w:snapToGrid w:val="0"/>
                <w:color w:val="auto"/>
                <w:kern w:val="0"/>
                <w:sz w:val="28"/>
                <w:highlight w:val="none"/>
                <w:lang w:val="en-US" w:eastAsia="zh-CN"/>
              </w:rPr>
              <w:t>202</w:t>
            </w:r>
            <w:r>
              <w:rPr>
                <w:rFonts w:hint="eastAsia" w:hAnsi="宋体" w:cs="宋体"/>
                <w:snapToGrid w:val="0"/>
                <w:color w:val="auto"/>
                <w:kern w:val="0"/>
                <w:sz w:val="28"/>
                <w:highlight w:val="none"/>
                <w:lang w:val="en-US" w:eastAsia="zh-CN"/>
              </w:rPr>
              <w:t>5</w:t>
            </w:r>
            <w:r>
              <w:rPr>
                <w:rFonts w:hint="eastAsia" w:ascii="宋体" w:hAnsi="宋体" w:eastAsia="宋体" w:cs="宋体"/>
                <w:snapToGrid w:val="0"/>
                <w:color w:val="auto"/>
                <w:kern w:val="0"/>
                <w:sz w:val="28"/>
                <w:highlight w:val="none"/>
              </w:rPr>
              <w:t>年</w:t>
            </w:r>
            <w:r>
              <w:rPr>
                <w:rFonts w:hint="eastAsia" w:hAnsi="宋体" w:cs="宋体"/>
                <w:snapToGrid w:val="0"/>
                <w:color w:val="auto"/>
                <w:kern w:val="0"/>
                <w:sz w:val="28"/>
                <w:highlight w:val="none"/>
                <w:lang w:val="en-US" w:eastAsia="zh-CN"/>
              </w:rPr>
              <w:t>12</w:t>
            </w:r>
            <w:r>
              <w:rPr>
                <w:rFonts w:hint="eastAsia" w:ascii="宋体" w:hAnsi="宋体" w:eastAsia="宋体" w:cs="宋体"/>
                <w:snapToGrid w:val="0"/>
                <w:color w:val="auto"/>
                <w:kern w:val="0"/>
                <w:sz w:val="28"/>
                <w:highlight w:val="none"/>
              </w:rPr>
              <w:t>月</w:t>
            </w:r>
          </w:p>
        </w:tc>
      </w:tr>
    </w:tbl>
    <w:p w14:paraId="6D92AB77">
      <w:pPr>
        <w:tabs>
          <w:tab w:val="left" w:pos="4935"/>
        </w:tabs>
        <w:wordWrap w:val="0"/>
        <w:adjustRightInd w:val="0"/>
        <w:snapToGrid w:val="0"/>
        <w:jc w:val="center"/>
        <w:rPr>
          <w:rFonts w:hint="eastAsia" w:ascii="宋体" w:hAnsi="宋体" w:eastAsia="宋体" w:cs="宋体"/>
          <w:b/>
          <w:snapToGrid w:val="0"/>
          <w:color w:val="auto"/>
          <w:kern w:val="0"/>
          <w:sz w:val="28"/>
          <w:szCs w:val="28"/>
          <w:highlight w:val="none"/>
        </w:rPr>
        <w:sectPr>
          <w:footerReference r:id="rId5" w:type="default"/>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p>
    <w:p w14:paraId="5743CAD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C5A315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58A10D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472E15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6B92B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5F59A1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E27BFF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79A8B20">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D704B1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3A6C86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69B7F4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159F95D">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997E97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E64ADE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2D8204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3D7FE0B">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B4EE7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43C9A2C">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2253D997">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A1FCC3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9E69AA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41AC95EE">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CF439E8">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12DC3E91">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6360384">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3D0795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5C51944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795F6213">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3EF053CA">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0AE001D5">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p>
    <w:p w14:paraId="617161F4">
      <w:pP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br w:type="page"/>
      </w:r>
    </w:p>
    <w:p w14:paraId="597EAB36">
      <w:pPr>
        <w:tabs>
          <w:tab w:val="left" w:pos="4935"/>
        </w:tabs>
        <w:wordWrap w:val="0"/>
        <w:adjustRightInd w:val="0"/>
        <w:snapToGrid w:val="0"/>
        <w:spacing w:line="440" w:lineRule="exact"/>
        <w:ind w:left="0"/>
        <w:jc w:val="center"/>
        <w:rPr>
          <w:rFonts w:hint="eastAsia" w:ascii="宋体" w:hAnsi="宋体" w:eastAsia="宋体" w:cs="宋体"/>
          <w:b/>
          <w:snapToGrid w:val="0"/>
          <w:color w:val="auto"/>
          <w:kern w:val="0"/>
          <w:sz w:val="44"/>
          <w:szCs w:val="44"/>
          <w:highlight w:val="none"/>
          <w:lang w:val="en-US" w:eastAsia="zh-CN" w:bidi="ar-SA"/>
        </w:rPr>
      </w:pPr>
      <w:r>
        <w:rPr>
          <w:rFonts w:hint="eastAsia" w:ascii="宋体" w:hAnsi="宋体" w:eastAsia="宋体" w:cs="宋体"/>
          <w:b/>
          <w:snapToGrid w:val="0"/>
          <w:color w:val="auto"/>
          <w:kern w:val="0"/>
          <w:sz w:val="44"/>
          <w:szCs w:val="44"/>
          <w:highlight w:val="none"/>
          <w:lang w:val="en-US" w:eastAsia="zh-CN" w:bidi="ar-SA"/>
        </w:rPr>
        <w:t>目    录</w:t>
      </w:r>
    </w:p>
    <w:p w14:paraId="2E95E0AC">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TOC \o "1-3" \h \u </w:instrText>
      </w:r>
      <w:r>
        <w:rPr>
          <w:rFonts w:hint="eastAsia" w:ascii="宋体" w:hAnsi="宋体" w:eastAsia="宋体" w:cs="宋体"/>
          <w:color w:val="auto"/>
          <w:highlight w:val="none"/>
        </w:rPr>
        <w:fldChar w:fldCharType="separate"/>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_Toc14635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rPr>
        <w:t>第一章 投标人须知</w:t>
      </w:r>
      <w:r>
        <w:rPr>
          <w:rFonts w:hint="eastAsia" w:ascii="宋体" w:hAnsi="宋体" w:eastAsia="宋体" w:cs="宋体"/>
          <w:b/>
          <w:bCs/>
          <w:color w:val="auto"/>
          <w:highlight w:val="none"/>
        </w:rPr>
        <w:tab/>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PAGEREF _Toc14635 \h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highlight w:val="none"/>
        </w:rPr>
        <w:t>1</w:t>
      </w:r>
      <w:r>
        <w:rPr>
          <w:rFonts w:hint="eastAsia" w:ascii="宋体" w:hAnsi="宋体" w:eastAsia="宋体" w:cs="宋体"/>
          <w:b/>
          <w:bCs/>
          <w:color w:val="auto"/>
          <w:highlight w:val="none"/>
        </w:rPr>
        <w:fldChar w:fldCharType="end"/>
      </w:r>
      <w:r>
        <w:rPr>
          <w:rFonts w:hint="eastAsia" w:ascii="宋体" w:hAnsi="宋体" w:eastAsia="宋体" w:cs="宋体"/>
          <w:b/>
          <w:bCs/>
          <w:color w:val="auto"/>
          <w:highlight w:val="none"/>
        </w:rPr>
        <w:fldChar w:fldCharType="end"/>
      </w:r>
    </w:p>
    <w:p w14:paraId="7D21D9EF">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_Toc22622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第一节 投标人须知前附表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_Toc22622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D87D76C">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_Toc27937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第二节 重要事项时间地点一览表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_Toc27937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D70C156">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240"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_Toc30390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第三节 投标人须知正文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_Toc30390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A66191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_Toc25995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1．项目概况、招标范围和标段划分、投标费用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_Toc25995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FFD99F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_Toc14498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2．投标人资格要求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_Toc14498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06D6B72">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_Toc6745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3．招标文件的获取、提问和答疑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_Toc6745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9A96413">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_Toc10093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工期要求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_Toc10093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C6B950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_Toc762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5．质量标准和材料、机械要求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_Toc762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31FAF1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_Toc23462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6．施工条件及现场踏勘</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_Toc23462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4A7B6E9">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_Toc29845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7．招标文件的提问和答疑</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_Toc29845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143485F">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_Toc21026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8．</w:t>
      </w:r>
      <w:r>
        <w:rPr>
          <w:rFonts w:hint="eastAsia" w:ascii="宋体" w:hAnsi="宋体" w:eastAsia="宋体" w:cs="宋体"/>
          <w:strike w:val="0"/>
          <w:snapToGrid w:val="0"/>
          <w:color w:val="auto"/>
          <w:kern w:val="0"/>
          <w:sz w:val="24"/>
          <w:szCs w:val="24"/>
          <w:highlight w:val="none"/>
          <w:lang w:val="en-US" w:eastAsia="zh-CN"/>
        </w:rPr>
        <w:t>最高投标限价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_Toc21026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104ADA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_Toc19680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9．投标报价</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_Toc19680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2C82BB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_Toc15652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10．投标文件的编制要求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_Toc15652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396E509">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_Toc5963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11.电子投标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_Toc5963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9884DC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_Toc25051 </w:instrText>
      </w:r>
      <w:r>
        <w:rPr>
          <w:rFonts w:hint="eastAsia" w:ascii="宋体" w:hAnsi="宋体" w:eastAsia="宋体" w:cs="宋体"/>
          <w:color w:val="auto"/>
          <w:highlight w:val="none"/>
        </w:rPr>
        <w:fldChar w:fldCharType="separate"/>
      </w:r>
      <w:r>
        <w:rPr>
          <w:rFonts w:hint="eastAsia" w:ascii="宋体" w:hAnsi="宋体" w:eastAsia="宋体" w:cs="宋体"/>
          <w:color w:val="auto"/>
          <w:kern w:val="2"/>
          <w:szCs w:val="20"/>
          <w:highlight w:val="none"/>
          <w:lang w:val="en-US" w:eastAsia="zh-CN" w:bidi="ar-SA"/>
        </w:rPr>
        <w:t>12.电子投标及投标解密失败及突发情况的补救方案</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_Toc25051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81CCDCB">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_Toc31800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13．投标文件的提交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_Toc31800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2BEECCA">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_Toc358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14．开标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_Toc358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F8E85E9">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_Toc28090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15．评标</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_Toc28090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04ADDF0">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_Toc2839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16．中标候选人公示</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_Toc2839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C357389">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_Toc18979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1．资格评审环节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_Toc18979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83CD7CA">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_Toc19719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2．形式评审环节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_Toc19719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4FC4F28">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_Toc13299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3．响应性评审环节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_Toc13299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B3614CA">
      <w:pPr>
        <w:pStyle w:val="26"/>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_Toc24919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lang w:val="en-US" w:eastAsia="zh-CN"/>
        </w:rPr>
        <w:t>4．其他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_Toc24919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75738EC">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_Toc24543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第二章 中标人须知</w:t>
      </w:r>
      <w:r>
        <w:rPr>
          <w:rFonts w:hint="eastAsia" w:ascii="宋体" w:hAnsi="宋体" w:eastAsia="宋体" w:cs="宋体"/>
          <w:b/>
          <w:bCs/>
          <w:color w:val="auto"/>
          <w:highlight w:val="none"/>
        </w:rPr>
        <w:tab/>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PAGEREF _Toc24543 \h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highlight w:val="none"/>
        </w:rPr>
        <w:t>37</w:t>
      </w:r>
      <w:r>
        <w:rPr>
          <w:rFonts w:hint="eastAsia" w:ascii="宋体" w:hAnsi="宋体" w:eastAsia="宋体" w:cs="宋体"/>
          <w:b/>
          <w:bCs/>
          <w:color w:val="auto"/>
          <w:highlight w:val="none"/>
        </w:rPr>
        <w:fldChar w:fldCharType="end"/>
      </w:r>
      <w:r>
        <w:rPr>
          <w:rFonts w:hint="eastAsia" w:ascii="宋体" w:hAnsi="宋体" w:eastAsia="宋体" w:cs="宋体"/>
          <w:b/>
          <w:bCs/>
          <w:color w:val="auto"/>
          <w:highlight w:val="none"/>
        </w:rPr>
        <w:fldChar w:fldCharType="end"/>
      </w:r>
    </w:p>
    <w:p w14:paraId="15676B42">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_Toc24436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第三章 拟签订合同的主要条款</w:t>
      </w:r>
      <w:r>
        <w:rPr>
          <w:rFonts w:hint="eastAsia" w:ascii="宋体" w:hAnsi="宋体" w:eastAsia="宋体" w:cs="宋体"/>
          <w:b/>
          <w:bCs/>
          <w:color w:val="auto"/>
          <w:highlight w:val="none"/>
        </w:rPr>
        <w:tab/>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PAGEREF _Toc24436 \h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highlight w:val="none"/>
        </w:rPr>
        <w:t>40</w:t>
      </w:r>
      <w:r>
        <w:rPr>
          <w:rFonts w:hint="eastAsia" w:ascii="宋体" w:hAnsi="宋体" w:eastAsia="宋体" w:cs="宋体"/>
          <w:b/>
          <w:bCs/>
          <w:color w:val="auto"/>
          <w:highlight w:val="none"/>
        </w:rPr>
        <w:fldChar w:fldCharType="end"/>
      </w:r>
      <w:r>
        <w:rPr>
          <w:rFonts w:hint="eastAsia" w:ascii="宋体" w:hAnsi="宋体" w:eastAsia="宋体" w:cs="宋体"/>
          <w:b/>
          <w:bCs/>
          <w:color w:val="auto"/>
          <w:highlight w:val="none"/>
        </w:rPr>
        <w:fldChar w:fldCharType="end"/>
      </w:r>
    </w:p>
    <w:p w14:paraId="42B78DE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_Toc28441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1．工程承包方式</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_Toc28441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972CB1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_Toc27001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2．工程结算原则</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_Toc27001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9B7DE3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_Toc26653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3. 工程付款办法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_Toc26653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ECE95F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color w:val="auto"/>
          <w:highlight w:val="none"/>
          <w:lang w:val="en-US" w:eastAsia="zh-CN"/>
        </w:rPr>
      </w:pPr>
      <w:r>
        <w:rPr>
          <w:rFonts w:hint="eastAsia"/>
          <w:color w:val="auto"/>
          <w:highlight w:val="none"/>
          <w:lang w:val="en-US" w:eastAsia="zh-CN"/>
        </w:rPr>
        <w:t>4．其他专用合同条款...............................................</w:t>
      </w:r>
      <w:r>
        <w:rPr>
          <w:rFonts w:hint="eastAsia" w:ascii="宋体" w:hAnsi="宋体" w:eastAsia="宋体" w:cs="宋体"/>
          <w:color w:val="auto"/>
          <w:highlight w:val="none"/>
          <w:lang w:val="en-US" w:eastAsia="zh-CN"/>
        </w:rPr>
        <w:t>.....4</w:t>
      </w:r>
      <w:r>
        <w:rPr>
          <w:rFonts w:hint="eastAsia" w:hAnsi="宋体" w:cs="宋体"/>
          <w:color w:val="auto"/>
          <w:highlight w:val="none"/>
          <w:lang w:val="en-US" w:eastAsia="zh-CN"/>
        </w:rPr>
        <w:t>7</w:t>
      </w:r>
    </w:p>
    <w:p w14:paraId="726D6F5C">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_Toc9687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第四章 技术要求</w:t>
      </w:r>
      <w:r>
        <w:rPr>
          <w:rFonts w:hint="eastAsia" w:ascii="宋体" w:hAnsi="宋体" w:eastAsia="宋体" w:cs="宋体"/>
          <w:b/>
          <w:bCs/>
          <w:color w:val="auto"/>
          <w:highlight w:val="none"/>
        </w:rPr>
        <w:tab/>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PAGEREF _Toc9687 \h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highlight w:val="none"/>
        </w:rPr>
        <w:t>54</w:t>
      </w:r>
      <w:r>
        <w:rPr>
          <w:rFonts w:hint="eastAsia" w:ascii="宋体" w:hAnsi="宋体" w:eastAsia="宋体" w:cs="宋体"/>
          <w:b/>
          <w:bCs/>
          <w:color w:val="auto"/>
          <w:highlight w:val="none"/>
        </w:rPr>
        <w:fldChar w:fldCharType="end"/>
      </w:r>
      <w:r>
        <w:rPr>
          <w:rFonts w:hint="eastAsia" w:ascii="宋体" w:hAnsi="宋体" w:eastAsia="宋体" w:cs="宋体"/>
          <w:b/>
          <w:bCs/>
          <w:color w:val="auto"/>
          <w:highlight w:val="none"/>
        </w:rPr>
        <w:fldChar w:fldCharType="end"/>
      </w:r>
    </w:p>
    <w:p w14:paraId="138A42A6">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_Toc10987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第五章 图纸和招标工程量清单</w:t>
      </w:r>
      <w:r>
        <w:rPr>
          <w:rFonts w:hint="eastAsia" w:ascii="宋体" w:hAnsi="宋体" w:eastAsia="宋体" w:cs="宋体"/>
          <w:b/>
          <w:bCs/>
          <w:color w:val="auto"/>
          <w:highlight w:val="none"/>
        </w:rPr>
        <w:tab/>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PAGEREF _Toc10987 \h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highlight w:val="none"/>
        </w:rPr>
        <w:t>56</w:t>
      </w:r>
      <w:r>
        <w:rPr>
          <w:rFonts w:hint="eastAsia" w:ascii="宋体" w:hAnsi="宋体" w:eastAsia="宋体" w:cs="宋体"/>
          <w:b/>
          <w:bCs/>
          <w:color w:val="auto"/>
          <w:highlight w:val="none"/>
        </w:rPr>
        <w:fldChar w:fldCharType="end"/>
      </w:r>
      <w:r>
        <w:rPr>
          <w:rFonts w:hint="eastAsia" w:ascii="宋体" w:hAnsi="宋体" w:eastAsia="宋体" w:cs="宋体"/>
          <w:b/>
          <w:bCs/>
          <w:color w:val="auto"/>
          <w:highlight w:val="none"/>
        </w:rPr>
        <w:fldChar w:fldCharType="end"/>
      </w:r>
    </w:p>
    <w:p w14:paraId="3EF7BD92">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_Toc28153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1．图纸</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_Toc28153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4159BB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_Toc14740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2．招标工程量清单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_Toc14740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6D38419">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_Toc16415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lang w:val="en-US" w:eastAsia="zh-CN"/>
        </w:rPr>
        <w:t>第六章 投标文件格式</w:t>
      </w:r>
      <w:r>
        <w:rPr>
          <w:rFonts w:hint="eastAsia" w:ascii="宋体" w:hAnsi="宋体" w:eastAsia="宋体" w:cs="宋体"/>
          <w:b/>
          <w:bCs/>
          <w:color w:val="auto"/>
          <w:highlight w:val="none"/>
        </w:rPr>
        <w:tab/>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PAGEREF _Toc16415 \h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highlight w:val="none"/>
        </w:rPr>
        <w:t>57</w:t>
      </w:r>
      <w:r>
        <w:rPr>
          <w:rFonts w:hint="eastAsia" w:ascii="宋体" w:hAnsi="宋体" w:eastAsia="宋体" w:cs="宋体"/>
          <w:b/>
          <w:bCs/>
          <w:color w:val="auto"/>
          <w:highlight w:val="none"/>
        </w:rPr>
        <w:fldChar w:fldCharType="end"/>
      </w:r>
      <w:r>
        <w:rPr>
          <w:rFonts w:hint="eastAsia" w:ascii="宋体" w:hAnsi="宋体" w:eastAsia="宋体" w:cs="宋体"/>
          <w:b/>
          <w:bCs/>
          <w:color w:val="auto"/>
          <w:highlight w:val="none"/>
        </w:rPr>
        <w:fldChar w:fldCharType="end"/>
      </w:r>
    </w:p>
    <w:p w14:paraId="2EBB9D7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_Toc14677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格式一 封面</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_Toc14677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131E53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_Toc3166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格式二 投标函</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_Toc3166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316D938">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_Toc26367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格式三 各项承诺一览表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_Toc26367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4FB25E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_Toc1822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格式四 授权委托书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_Toc1822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5F750C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_Toc21377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格式五 法定代表人身份证明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_Toc21377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62</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0F43FD6">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_Toc191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格式六 联合体协议书</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_Toc191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1D8BCB7">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_Toc4289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格式七 投标人基本情况表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_Toc4289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9762921">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_Toc27834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格式八 项目经理简历表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_Toc27834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8987D5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_Toc21761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格式九 项目经理任职声明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_Toc21761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C4CCD3A">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_Toc12722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 项目技术负责人简历表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_Toc12722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68</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AE8E87D">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_Toc16727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格式十一 专职安全员简历表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_Toc16727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69</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6F91EEF5">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_Toc994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格式十二 项目管理机构组成表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_Toc994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70</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B55AE9C">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_Toc13555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 xml:space="preserve"> 建造师查询页</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_Toc13555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71</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235C9764">
      <w:pPr>
        <w:pStyle w:val="15"/>
        <w:keepNext w:val="0"/>
        <w:keepLines w:val="0"/>
        <w:pageBreakBefore w:val="0"/>
        <w:widowControl w:val="0"/>
        <w:tabs>
          <w:tab w:val="right" w:leader="dot" w:pos="8844"/>
        </w:tabs>
        <w:kinsoku/>
        <w:wordWrap/>
        <w:overflowPunct/>
        <w:topLinePunct w:val="0"/>
        <w:autoSpaceDE/>
        <w:autoSpaceDN/>
        <w:bidi w:val="0"/>
        <w:adjustRightInd/>
        <w:snapToGrid/>
        <w:spacing w:line="360" w:lineRule="auto"/>
        <w:ind w:left="0" w:firstLine="48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_Toc9569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rPr>
        <w:t xml:space="preserve"> 原件一览表</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_Toc9569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73</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203A2D5">
      <w:pPr>
        <w:pStyle w:val="22"/>
        <w:keepNext w:val="0"/>
        <w:keepLines w:val="0"/>
        <w:pageBreakBefore w:val="0"/>
        <w:widowControl w:val="0"/>
        <w:tabs>
          <w:tab w:val="right" w:leader="dot" w:pos="8844"/>
        </w:tabs>
        <w:kinsoku/>
        <w:wordWrap/>
        <w:overflowPunct/>
        <w:topLinePunct w:val="0"/>
        <w:autoSpaceDE/>
        <w:autoSpaceDN/>
        <w:bidi w:val="0"/>
        <w:adjustRightInd/>
        <w:snapToGrid/>
        <w:spacing w:before="0" w:beforeLines="0" w:after="0" w:afterLines="0" w:line="360" w:lineRule="auto"/>
        <w:ind w:left="0"/>
        <w:jc w:val="center"/>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HYPERLINK \l _Toc17586 </w:instrText>
      </w:r>
      <w:r>
        <w:rPr>
          <w:rFonts w:hint="eastAsia" w:ascii="宋体" w:hAnsi="宋体" w:eastAsia="宋体" w:cs="宋体"/>
          <w:b/>
          <w:bCs/>
          <w:color w:val="auto"/>
          <w:highlight w:val="none"/>
        </w:rPr>
        <w:fldChar w:fldCharType="separate"/>
      </w:r>
      <w:r>
        <w:rPr>
          <w:rFonts w:hint="eastAsia" w:ascii="宋体" w:hAnsi="宋体" w:eastAsia="宋体" w:cs="宋体"/>
          <w:b/>
          <w:bCs/>
          <w:snapToGrid w:val="0"/>
          <w:color w:val="auto"/>
          <w:highlight w:val="none"/>
        </w:rPr>
        <w:t>第七章 建设工程施工合同</w:t>
      </w:r>
      <w:r>
        <w:rPr>
          <w:rFonts w:hint="eastAsia" w:ascii="宋体" w:hAnsi="宋体" w:eastAsia="宋体" w:cs="宋体"/>
          <w:b/>
          <w:bCs/>
          <w:color w:val="auto"/>
          <w:highlight w:val="none"/>
        </w:rPr>
        <w:tab/>
      </w:r>
      <w:r>
        <w:rPr>
          <w:rFonts w:hint="eastAsia" w:ascii="宋体" w:hAnsi="宋体" w:eastAsia="宋体" w:cs="宋体"/>
          <w:b/>
          <w:bCs/>
          <w:color w:val="auto"/>
          <w:highlight w:val="none"/>
        </w:rPr>
        <w:fldChar w:fldCharType="begin"/>
      </w:r>
      <w:r>
        <w:rPr>
          <w:rFonts w:hint="eastAsia" w:ascii="宋体" w:hAnsi="宋体" w:eastAsia="宋体" w:cs="宋体"/>
          <w:b/>
          <w:bCs/>
          <w:color w:val="auto"/>
          <w:highlight w:val="none"/>
        </w:rPr>
        <w:instrText xml:space="preserve"> PAGEREF _Toc17586 \h </w:instrText>
      </w:r>
      <w:r>
        <w:rPr>
          <w:rFonts w:hint="eastAsia" w:ascii="宋体" w:hAnsi="宋体" w:eastAsia="宋体" w:cs="宋体"/>
          <w:b/>
          <w:bCs/>
          <w:color w:val="auto"/>
          <w:highlight w:val="none"/>
        </w:rPr>
        <w:fldChar w:fldCharType="separate"/>
      </w:r>
      <w:r>
        <w:rPr>
          <w:rFonts w:hint="eastAsia" w:ascii="宋体" w:hAnsi="宋体" w:eastAsia="宋体" w:cs="宋体"/>
          <w:b/>
          <w:bCs/>
          <w:color w:val="auto"/>
          <w:highlight w:val="none"/>
        </w:rPr>
        <w:t>74</w:t>
      </w:r>
      <w:r>
        <w:rPr>
          <w:rFonts w:hint="eastAsia" w:ascii="宋体" w:hAnsi="宋体" w:eastAsia="宋体" w:cs="宋体"/>
          <w:b/>
          <w:bCs/>
          <w:color w:val="auto"/>
          <w:highlight w:val="none"/>
        </w:rPr>
        <w:fldChar w:fldCharType="end"/>
      </w:r>
      <w:r>
        <w:rPr>
          <w:rFonts w:hint="eastAsia" w:ascii="宋体" w:hAnsi="宋体" w:eastAsia="宋体" w:cs="宋体"/>
          <w:b/>
          <w:bCs/>
          <w:color w:val="auto"/>
          <w:highlight w:val="none"/>
        </w:rPr>
        <w:fldChar w:fldCharType="end"/>
      </w:r>
    </w:p>
    <w:p w14:paraId="2E2595A9">
      <w:pPr>
        <w:pStyle w:val="6"/>
        <w:jc w:val="center"/>
        <w:rPr>
          <w:rFonts w:hint="eastAsia" w:ascii="宋体" w:hAnsi="宋体" w:eastAsia="宋体" w:cs="宋体"/>
          <w:color w:val="auto"/>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pgNumType w:start="1"/>
          <w:cols w:space="720" w:num="1"/>
          <w:docGrid w:linePitch="327" w:charSpace="0"/>
        </w:sectPr>
      </w:pPr>
      <w:r>
        <w:rPr>
          <w:rFonts w:hint="eastAsia" w:ascii="宋体" w:hAnsi="宋体" w:eastAsia="宋体" w:cs="宋体"/>
          <w:color w:val="auto"/>
          <w:highlight w:val="none"/>
        </w:rPr>
        <w:fldChar w:fldCharType="end"/>
      </w:r>
      <w:bookmarkStart w:id="0" w:name="_Hlt66104981"/>
      <w:bookmarkEnd w:id="0"/>
      <w:bookmarkStart w:id="1" w:name="_Hlt122423813"/>
      <w:bookmarkEnd w:id="1"/>
      <w:bookmarkStart w:id="2" w:name="_Hlt66153951"/>
      <w:bookmarkEnd w:id="2"/>
      <w:bookmarkStart w:id="3" w:name="_Toc14635"/>
      <w:bookmarkStart w:id="4" w:name="_Toc476739600"/>
      <w:bookmarkStart w:id="5" w:name="_Toc12558"/>
      <w:bookmarkStart w:id="6" w:name="_Toc14094"/>
      <w:bookmarkStart w:id="7" w:name="_Hlt111690251"/>
    </w:p>
    <w:p w14:paraId="41EDFD45">
      <w:pPr>
        <w:pStyle w:val="6"/>
        <w:jc w:val="center"/>
        <w:rPr>
          <w:rFonts w:hint="eastAsia" w:ascii="宋体" w:hAnsi="宋体" w:eastAsia="宋体" w:cs="宋体"/>
          <w:b/>
          <w:snapToGrid w:val="0"/>
          <w:color w:val="auto"/>
          <w:sz w:val="24"/>
          <w:highlight w:val="none"/>
        </w:rPr>
      </w:pPr>
      <w:r>
        <w:rPr>
          <w:rFonts w:hint="eastAsia" w:ascii="宋体" w:hAnsi="宋体" w:eastAsia="宋体" w:cs="宋体"/>
          <w:b/>
          <w:snapToGrid w:val="0"/>
          <w:color w:val="auto"/>
          <w:sz w:val="24"/>
          <w:highlight w:val="none"/>
        </w:rPr>
        <w:t>第一章 投标人须知</w:t>
      </w:r>
      <w:bookmarkEnd w:id="3"/>
      <w:bookmarkEnd w:id="4"/>
      <w:bookmarkEnd w:id="5"/>
      <w:bookmarkEnd w:id="6"/>
    </w:p>
    <w:p w14:paraId="423B509F">
      <w:pPr>
        <w:pStyle w:val="3"/>
        <w:bidi w:val="0"/>
        <w:rPr>
          <w:rFonts w:hint="eastAsia" w:ascii="宋体" w:hAnsi="宋体" w:eastAsia="宋体" w:cs="宋体"/>
          <w:color w:val="auto"/>
          <w:highlight w:val="none"/>
        </w:rPr>
      </w:pPr>
      <w:bookmarkStart w:id="8" w:name="_Hlt127175444"/>
      <w:bookmarkEnd w:id="8"/>
      <w:bookmarkStart w:id="9" w:name="_Toc117"/>
      <w:bookmarkStart w:id="10" w:name="_Toc22622"/>
      <w:bookmarkStart w:id="11" w:name="_Toc27520"/>
      <w:bookmarkStart w:id="12" w:name="_Hlt120077520"/>
      <w:r>
        <w:rPr>
          <w:rFonts w:hint="eastAsia" w:ascii="宋体" w:hAnsi="宋体" w:eastAsia="宋体" w:cs="宋体"/>
          <w:color w:val="auto"/>
          <w:highlight w:val="none"/>
        </w:rPr>
        <w:t>第一节 投标人须知前附表</w:t>
      </w:r>
      <w:bookmarkEnd w:id="9"/>
      <w:bookmarkEnd w:id="10"/>
      <w:bookmarkEnd w:id="11"/>
    </w:p>
    <w:tbl>
      <w:tblPr>
        <w:tblStyle w:val="31"/>
        <w:tblW w:w="1068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50"/>
        <w:gridCol w:w="1672"/>
        <w:gridCol w:w="8261"/>
      </w:tblGrid>
      <w:tr w14:paraId="330B0E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EEB4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序号</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57D574F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内容</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51F94000">
            <w:pPr>
              <w:pageBreakBefore w:val="0"/>
              <w:tabs>
                <w:tab w:val="left" w:pos="1180"/>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说明与要求</w:t>
            </w:r>
          </w:p>
        </w:tc>
      </w:tr>
      <w:tr w14:paraId="705CE2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EE53E8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30883B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项目名称</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7C114115">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乐昌市“花果世界”山水人家乡村振兴示范带（庆云段）项目施工（第二次）</w:t>
            </w:r>
          </w:p>
        </w:tc>
      </w:tr>
      <w:tr w14:paraId="697882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21D92A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6A5625B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项目业主</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316F7F7C">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hAnsi="宋体" w:cs="宋体"/>
                <w:snapToGrid w:val="0"/>
                <w:color w:val="auto"/>
                <w:kern w:val="0"/>
                <w:sz w:val="24"/>
                <w:szCs w:val="24"/>
                <w:highlight w:val="none"/>
                <w:lang w:eastAsia="zh-CN"/>
              </w:rPr>
              <w:t>乐昌市庆云镇人民政府</w:t>
            </w:r>
          </w:p>
        </w:tc>
      </w:tr>
      <w:tr w14:paraId="2A5114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0357C9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65ECA06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项目批准部门</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5F5DFE5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乐昌市发展和改革局</w:t>
            </w:r>
          </w:p>
        </w:tc>
      </w:tr>
      <w:tr w14:paraId="4454A5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30DEE4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6FF5846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项目批准文号</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146D068C">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乐发改投审〔2025〕55号</w:t>
            </w:r>
          </w:p>
        </w:tc>
      </w:tr>
      <w:tr w14:paraId="3F41B2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88413D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2683354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项目代码</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136B79C3">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2504-440281-04-01-407580</w:t>
            </w:r>
          </w:p>
        </w:tc>
      </w:tr>
      <w:tr w14:paraId="2EA78F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C1E1B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72AD943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资金来源</w:t>
            </w:r>
          </w:p>
          <w:p w14:paraId="5416F0B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及出资比例</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28EA66FA">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上级财政资金，不足部分由业主单位自筹解决；100%</w:t>
            </w:r>
          </w:p>
        </w:tc>
      </w:tr>
      <w:tr w14:paraId="344275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A9168D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284482F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78D4A9C0">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rPr>
            </w:pPr>
            <w:r>
              <w:rPr>
                <w:rFonts w:hint="eastAsia" w:hAnsi="宋体" w:cs="宋体"/>
                <w:snapToGrid w:val="0"/>
                <w:color w:val="auto"/>
                <w:kern w:val="0"/>
                <w:sz w:val="24"/>
                <w:szCs w:val="24"/>
                <w:highlight w:val="none"/>
                <w:lang w:val="en-US" w:eastAsia="zh-CN"/>
              </w:rPr>
              <w:t>乐昌市庆云镇人民政府</w:t>
            </w:r>
          </w:p>
        </w:tc>
      </w:tr>
      <w:tr w14:paraId="034A01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4CAFC1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06ED73F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2824CCA1">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广州穗图项目管理有限公司</w:t>
            </w:r>
          </w:p>
        </w:tc>
      </w:tr>
      <w:tr w14:paraId="0FB9D5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04240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1D520F3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设计单位</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6E2A0703">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eastAsia="zh-CN"/>
              </w:rPr>
            </w:pPr>
            <w:r>
              <w:rPr>
                <w:rFonts w:hint="eastAsia" w:hAnsi="宋体" w:cs="宋体"/>
                <w:color w:val="auto"/>
                <w:kern w:val="2"/>
                <w:sz w:val="24"/>
                <w:szCs w:val="24"/>
                <w:highlight w:val="none"/>
                <w:lang w:val="en-US" w:eastAsia="zh-CN" w:bidi="ar-SA"/>
              </w:rPr>
              <w:t>中亿国际设计集团有限公司</w:t>
            </w:r>
          </w:p>
        </w:tc>
      </w:tr>
      <w:tr w14:paraId="588CC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80A3A03">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3B67EC2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造价咨询单位</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365EADFD">
            <w:pPr>
              <w:pageBreakBefore w:val="0"/>
              <w:kinsoku/>
              <w:wordWrap w:val="0"/>
              <w:overflowPunct/>
              <w:topLinePunct w:val="0"/>
              <w:autoSpaceDE/>
              <w:autoSpaceDN/>
              <w:bidi w:val="0"/>
              <w:adjustRightInd w:val="0"/>
              <w:snapToGrid w:val="0"/>
              <w:spacing w:line="360" w:lineRule="auto"/>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w:t>
            </w:r>
            <w:r>
              <w:rPr>
                <w:rFonts w:hint="eastAsia" w:hAnsi="宋体" w:cs="宋体"/>
                <w:snapToGrid w:val="0"/>
                <w:color w:val="auto"/>
                <w:kern w:val="0"/>
                <w:sz w:val="24"/>
                <w:szCs w:val="24"/>
                <w:highlight w:val="none"/>
                <w:lang w:val="en-US" w:eastAsia="zh-CN"/>
              </w:rPr>
              <w:t>广东飞腾工程咨询有限公司</w:t>
            </w:r>
          </w:p>
        </w:tc>
      </w:tr>
      <w:tr w14:paraId="09E6FF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D21A04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740221A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监理单位</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60C9CBB0">
            <w:pPr>
              <w:pageBreakBefore w:val="0"/>
              <w:kinsoku/>
              <w:wordWrap w:val="0"/>
              <w:overflowPunct/>
              <w:topLinePunct w:val="0"/>
              <w:autoSpaceDE/>
              <w:autoSpaceDN/>
              <w:bidi w:val="0"/>
              <w:adjustRightInd w:val="0"/>
              <w:snapToGrid w:val="0"/>
              <w:spacing w:line="360" w:lineRule="auto"/>
              <w:jc w:val="both"/>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 xml:space="preserve">  广东合正项目管理有限公司</w:t>
            </w:r>
          </w:p>
        </w:tc>
      </w:tr>
      <w:tr w14:paraId="21C0FB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238661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3C450CF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建设地点</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25F426CC">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乐昌市庆云镇</w:t>
            </w:r>
          </w:p>
        </w:tc>
      </w:tr>
      <w:tr w14:paraId="117EDA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A50268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10B8260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建设内容和规模</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6DAFBF80">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涉及湾雷村、五里冲村等8个行政村，主要包括人居环境整治、排水沟整治、巷道硬化、闲置土地整理、三线捆扎、道路整治提升等。</w:t>
            </w:r>
          </w:p>
        </w:tc>
      </w:tr>
      <w:tr w14:paraId="2F144D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E8D64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0AF42C7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项目总投资</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3D5ADED5">
            <w:pPr>
              <w:keepNext w:val="0"/>
              <w:keepLines w:val="0"/>
              <w:pageBreakBefore w:val="0"/>
              <w:widowControl/>
              <w:suppressLineNumbers w:val="0"/>
              <w:kinsoku/>
              <w:overflowPunct/>
              <w:topLinePunct w:val="0"/>
              <w:autoSpaceDE/>
              <w:autoSpaceDN/>
              <w:bidi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项目估算总投资4563.17万元，其中：建安工程费用3909.04万元、工程建设其他费用524.84万元（含建设期利息费）、预备费用129.29万元。</w:t>
            </w:r>
          </w:p>
        </w:tc>
      </w:tr>
      <w:tr w14:paraId="759D80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FA8BE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2032F39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招标范围</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0D98BF2A">
            <w:pPr>
              <w:pageBreakBefore w:val="0"/>
              <w:kinsoku/>
              <w:wordWrap w:val="0"/>
              <w:overflowPunct/>
              <w:topLinePunct w:val="0"/>
              <w:autoSpaceDE/>
              <w:autoSpaceDN/>
              <w:bidi w:val="0"/>
              <w:adjustRightInd w:val="0"/>
              <w:snapToGrid w:val="0"/>
              <w:spacing w:line="360" w:lineRule="auto"/>
              <w:ind w:firstLine="240" w:firstLineChars="100"/>
              <w:jc w:val="both"/>
              <w:textAlignment w:val="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施工图纸和工程量清单范围内</w:t>
            </w:r>
            <w:r>
              <w:rPr>
                <w:rFonts w:hint="eastAsia" w:ascii="宋体" w:hAnsi="宋体" w:eastAsia="宋体" w:cs="宋体"/>
                <w:bCs/>
                <w:snapToGrid w:val="0"/>
                <w:color w:val="auto"/>
                <w:kern w:val="0"/>
                <w:sz w:val="24"/>
                <w:szCs w:val="24"/>
                <w:highlight w:val="none"/>
              </w:rPr>
              <w:t>等</w:t>
            </w:r>
            <w:r>
              <w:rPr>
                <w:rFonts w:hint="eastAsia" w:ascii="宋体" w:hAnsi="宋体" w:eastAsia="宋体" w:cs="宋体"/>
                <w:bCs/>
                <w:snapToGrid w:val="0"/>
                <w:color w:val="auto"/>
                <w:kern w:val="0"/>
                <w:sz w:val="24"/>
                <w:szCs w:val="24"/>
                <w:highlight w:val="none"/>
                <w:lang w:val="en-US" w:eastAsia="zh-CN"/>
              </w:rPr>
              <w:t>所有</w:t>
            </w:r>
            <w:r>
              <w:rPr>
                <w:rFonts w:hint="eastAsia" w:ascii="宋体" w:hAnsi="宋体" w:eastAsia="宋体" w:cs="宋体"/>
                <w:bCs/>
                <w:snapToGrid w:val="0"/>
                <w:color w:val="auto"/>
                <w:kern w:val="0"/>
                <w:sz w:val="24"/>
                <w:szCs w:val="24"/>
                <w:highlight w:val="none"/>
              </w:rPr>
              <w:t>工程</w:t>
            </w:r>
            <w:r>
              <w:rPr>
                <w:rFonts w:hint="eastAsia" w:hAnsi="宋体" w:cs="宋体"/>
                <w:bCs/>
                <w:snapToGrid w:val="0"/>
                <w:color w:val="auto"/>
                <w:kern w:val="0"/>
                <w:sz w:val="24"/>
                <w:szCs w:val="24"/>
                <w:highlight w:val="none"/>
                <w:lang w:val="en-US" w:eastAsia="zh-CN"/>
              </w:rPr>
              <w:t>施工</w:t>
            </w:r>
            <w:r>
              <w:rPr>
                <w:rFonts w:hint="eastAsia" w:ascii="宋体" w:hAnsi="宋体" w:eastAsia="宋体" w:cs="宋体"/>
                <w:bCs/>
                <w:snapToGrid w:val="0"/>
                <w:color w:val="auto"/>
                <w:kern w:val="0"/>
                <w:sz w:val="24"/>
                <w:szCs w:val="24"/>
                <w:highlight w:val="none"/>
              </w:rPr>
              <w:t>。</w:t>
            </w:r>
          </w:p>
        </w:tc>
      </w:tr>
      <w:tr w14:paraId="0FEEBB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9F5762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442098EB">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标段划分</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2E095A86">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本招标项目不划分标段。</w:t>
            </w:r>
          </w:p>
        </w:tc>
      </w:tr>
      <w:tr w14:paraId="6D4B92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5A0C05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37E6456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工期</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4C913188">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本招标项目施工工期为</w:t>
            </w:r>
            <w:r>
              <w:rPr>
                <w:rFonts w:hint="eastAsia" w:hAnsi="宋体" w:cs="宋体"/>
                <w:bCs/>
                <w:snapToGrid w:val="0"/>
                <w:color w:val="auto"/>
                <w:kern w:val="0"/>
                <w:sz w:val="24"/>
                <w:szCs w:val="24"/>
                <w:highlight w:val="none"/>
                <w:lang w:val="en-US" w:eastAsia="zh-CN"/>
              </w:rPr>
              <w:t>120</w:t>
            </w:r>
            <w:r>
              <w:rPr>
                <w:rFonts w:hint="eastAsia" w:ascii="宋体" w:hAnsi="宋体" w:eastAsia="宋体" w:cs="宋体"/>
                <w:bCs/>
                <w:snapToGrid w:val="0"/>
                <w:color w:val="auto"/>
                <w:kern w:val="0"/>
                <w:sz w:val="24"/>
                <w:szCs w:val="24"/>
                <w:highlight w:val="none"/>
              </w:rPr>
              <w:t>个日历天。</w:t>
            </w:r>
          </w:p>
        </w:tc>
      </w:tr>
      <w:tr w14:paraId="1BBB4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4208BCE">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268957F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质量标准</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0D8B1228">
            <w:pPr>
              <w:pStyle w:val="6"/>
              <w:pageBreakBefore w:val="0"/>
              <w:kinsoku/>
              <w:overflowPunct/>
              <w:topLinePunct w:val="0"/>
              <w:autoSpaceDE/>
              <w:autoSpaceDN/>
              <w:bidi w:val="0"/>
              <w:spacing w:before="0" w:beforeLines="0" w:after="0" w:afterLines="0" w:line="360" w:lineRule="auto"/>
              <w:ind w:firstLine="240" w:firstLineChars="100"/>
              <w:textAlignment w:val="auto"/>
              <w:rPr>
                <w:rFonts w:hint="default" w:ascii="宋体" w:hAnsi="宋体" w:eastAsia="宋体" w:cs="宋体"/>
                <w:color w:val="auto"/>
                <w:sz w:val="24"/>
                <w:szCs w:val="24"/>
                <w:highlight w:val="none"/>
                <w:lang w:val="en-US"/>
              </w:rPr>
            </w:pPr>
            <w:bookmarkStart w:id="13" w:name="_Hlt106417017"/>
            <w:bookmarkEnd w:id="13"/>
            <w:r>
              <w:rPr>
                <w:rFonts w:hint="eastAsia" w:ascii="宋体" w:hAnsi="宋体" w:eastAsia="宋体" w:cs="宋体"/>
                <w:bCs/>
                <w:snapToGrid w:val="0"/>
                <w:color w:val="auto"/>
                <w:kern w:val="0"/>
                <w:sz w:val="24"/>
                <w:szCs w:val="24"/>
                <w:highlight w:val="none"/>
                <w:lang w:val="en-US" w:eastAsia="zh-CN" w:bidi="ar-SA"/>
              </w:rPr>
              <w:t>符合现行国家有关工程施工质量验收规范和标准的要求</w:t>
            </w:r>
            <w:r>
              <w:rPr>
                <w:rFonts w:hint="eastAsia" w:ascii="宋体" w:hAnsi="宋体" w:cs="宋体"/>
                <w:bCs/>
                <w:snapToGrid w:val="0"/>
                <w:color w:val="auto"/>
                <w:kern w:val="0"/>
                <w:sz w:val="24"/>
                <w:szCs w:val="24"/>
                <w:highlight w:val="none"/>
                <w:lang w:val="en-US" w:eastAsia="zh-CN" w:bidi="ar-SA"/>
              </w:rPr>
              <w:t>，质量目标达到合格。</w:t>
            </w:r>
          </w:p>
        </w:tc>
      </w:tr>
      <w:tr w14:paraId="691EAE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CBC26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4034C32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房屋建筑工程</w:t>
            </w:r>
          </w:p>
          <w:p w14:paraId="1DD4BD2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绿色建筑标准</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1800BCC6">
            <w:pPr>
              <w:pStyle w:val="2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24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本招标项目不纳入绿色建设实施范围。</w:t>
            </w:r>
          </w:p>
        </w:tc>
      </w:tr>
      <w:tr w14:paraId="18BA857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7A2BF8C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19.1</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40E60F1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bidi="ar-SA"/>
              </w:rPr>
              <w:t>装配式建筑标准</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4E688130">
            <w:pPr>
              <w:pStyle w:val="29"/>
              <w:keepNext w:val="0"/>
              <w:keepLines w:val="0"/>
              <w:widowControl/>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0" w:lineRule="atLeast"/>
              <w:ind w:left="0" w:right="0" w:firstLine="240"/>
              <w:jc w:val="both"/>
              <w:rPr>
                <w:rFonts w:hint="eastAsia" w:ascii="宋体" w:hAnsi="宋体" w:eastAsia="宋体" w:cs="宋体"/>
                <w:bCs/>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本招标项目不纳入装配式建造建设实施范围。</w:t>
            </w:r>
          </w:p>
        </w:tc>
      </w:tr>
      <w:tr w14:paraId="45D7D1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1AFFC7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59378A7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trike w:val="0"/>
                <w:snapToGrid w:val="0"/>
                <w:color w:val="auto"/>
                <w:kern w:val="0"/>
                <w:sz w:val="24"/>
                <w:szCs w:val="24"/>
                <w:highlight w:val="none"/>
              </w:rPr>
            </w:pPr>
            <w:r>
              <w:rPr>
                <w:rFonts w:hint="eastAsia" w:ascii="宋体" w:hAnsi="宋体" w:eastAsia="宋体" w:cs="宋体"/>
                <w:strike w:val="0"/>
                <w:snapToGrid w:val="0"/>
                <w:color w:val="auto"/>
                <w:kern w:val="0"/>
                <w:sz w:val="24"/>
                <w:szCs w:val="24"/>
                <w:highlight w:val="none"/>
                <w:lang w:val="en-US" w:eastAsia="zh-CN"/>
              </w:rPr>
              <w:t>最高投标限价</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0DE3806E">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color w:val="auto"/>
                <w:highlight w:val="none"/>
                <w:lang w:val="en-US" w:eastAsia="zh-CN"/>
              </w:rPr>
            </w:pPr>
            <w:r>
              <w:rPr>
                <w:rFonts w:hint="eastAsia" w:ascii="宋体" w:hAnsi="宋体" w:eastAsia="宋体" w:cs="宋体"/>
                <w:color w:val="auto"/>
                <w:sz w:val="24"/>
                <w:szCs w:val="24"/>
                <w:highlight w:val="none"/>
                <w:shd w:val="clear" w:fill="FFFFFF"/>
              </w:rPr>
              <w:t>本项目的</w:t>
            </w:r>
            <w:r>
              <w:rPr>
                <w:rFonts w:hint="eastAsia" w:ascii="宋体" w:hAnsi="宋体" w:eastAsia="宋体" w:cs="宋体"/>
                <w:strike w:val="0"/>
                <w:snapToGrid w:val="0"/>
                <w:color w:val="auto"/>
                <w:kern w:val="0"/>
                <w:sz w:val="24"/>
                <w:szCs w:val="24"/>
                <w:highlight w:val="none"/>
                <w:lang w:val="en-US" w:eastAsia="zh-CN"/>
              </w:rPr>
              <w:t>最高投标限价</w:t>
            </w:r>
            <w:r>
              <w:rPr>
                <w:rFonts w:hint="eastAsia" w:ascii="宋体" w:hAnsi="宋体" w:eastAsia="宋体" w:cs="宋体"/>
                <w:color w:val="auto"/>
                <w:sz w:val="24"/>
                <w:szCs w:val="24"/>
                <w:highlight w:val="none"/>
                <w:shd w:val="clear" w:fill="FFFFFF"/>
              </w:rPr>
              <w:t>为人民币（大写）：</w:t>
            </w:r>
            <w:r>
              <w:rPr>
                <w:rFonts w:hint="eastAsia" w:ascii="宋体" w:hAnsi="宋体" w:eastAsia="宋体" w:cs="宋体"/>
                <w:color w:val="auto"/>
                <w:sz w:val="24"/>
                <w:szCs w:val="24"/>
                <w:highlight w:val="none"/>
                <w:shd w:val="clear" w:fill="FFFFFF"/>
                <w:lang w:val="en-US" w:eastAsia="zh-CN"/>
              </w:rPr>
              <w:t>贰仟零陆拾贰万叁仟柒佰柒拾柒元捌角捌分</w:t>
            </w:r>
            <w:r>
              <w:rPr>
                <w:rFonts w:hint="eastAsia" w:ascii="宋体" w:hAnsi="宋体" w:eastAsia="宋体" w:cs="宋体"/>
                <w:color w:val="auto"/>
                <w:sz w:val="24"/>
                <w:szCs w:val="24"/>
                <w:highlight w:val="none"/>
                <w:shd w:val="clear" w:fill="FFFFFF"/>
              </w:rPr>
              <w:t>(</w:t>
            </w:r>
            <w:r>
              <w:rPr>
                <w:rFonts w:hint="eastAsia" w:ascii="宋体" w:hAnsi="宋体" w:eastAsia="宋体" w:cs="宋体"/>
                <w:color w:val="auto"/>
                <w:sz w:val="24"/>
                <w:szCs w:val="24"/>
                <w:highlight w:val="none"/>
                <w:shd w:val="clear" w:fill="FFFFFF"/>
                <w:lang w:val="en-US" w:eastAsia="zh-CN"/>
              </w:rPr>
              <w:t>小写：</w:t>
            </w:r>
            <w:r>
              <w:rPr>
                <w:rFonts w:hint="eastAsia" w:ascii="宋体" w:hAnsi="宋体" w:eastAsia="宋体" w:cs="宋体"/>
                <w:color w:val="auto"/>
                <w:sz w:val="24"/>
                <w:szCs w:val="24"/>
                <w:highlight w:val="none"/>
                <w:shd w:val="clear" w:fill="FFFFFF"/>
              </w:rPr>
              <w:t>¥20623777.88元)；其中</w:t>
            </w:r>
            <w:r>
              <w:rPr>
                <w:rFonts w:hint="eastAsia" w:ascii="宋体" w:hAnsi="宋体" w:eastAsia="宋体" w:cs="宋体"/>
                <w:color w:val="auto"/>
                <w:sz w:val="24"/>
                <w:szCs w:val="24"/>
                <w:highlight w:val="none"/>
                <w:shd w:val="clear" w:fill="FFFFFF"/>
                <w:lang w:eastAsia="zh-CN"/>
              </w:rPr>
              <w:t>安全生产措施费不得少于</w:t>
            </w:r>
            <w:r>
              <w:rPr>
                <w:rFonts w:hint="eastAsia" w:ascii="宋体" w:hAnsi="宋体" w:eastAsia="宋体" w:cs="宋体"/>
                <w:color w:val="auto"/>
                <w:sz w:val="24"/>
                <w:szCs w:val="24"/>
                <w:highlight w:val="none"/>
                <w:shd w:val="clear" w:fill="FFFFFF"/>
              </w:rPr>
              <w:t>¥408076.64元，</w:t>
            </w:r>
            <w:r>
              <w:rPr>
                <w:rFonts w:hint="eastAsia" w:ascii="宋体" w:hAnsi="宋体" w:eastAsia="宋体" w:cs="宋体"/>
                <w:color w:val="auto"/>
                <w:sz w:val="24"/>
                <w:szCs w:val="24"/>
                <w:highlight w:val="none"/>
                <w:shd w:val="clear" w:fill="FFFFFF"/>
                <w:lang w:val="en-US" w:eastAsia="zh-CN"/>
              </w:rPr>
              <w:t>暂列金额</w:t>
            </w:r>
            <w:r>
              <w:rPr>
                <w:rFonts w:hint="eastAsia" w:ascii="宋体" w:hAnsi="宋体" w:eastAsia="宋体" w:cs="宋体"/>
                <w:color w:val="auto"/>
                <w:sz w:val="24"/>
                <w:szCs w:val="24"/>
                <w:highlight w:val="none"/>
                <w:shd w:val="clear" w:fill="FFFFFF"/>
              </w:rPr>
              <w:t>为¥</w:t>
            </w:r>
            <w:r>
              <w:rPr>
                <w:rFonts w:hint="eastAsia" w:ascii="宋体" w:hAnsi="宋体" w:eastAsia="宋体" w:cs="宋体"/>
                <w:color w:val="auto"/>
                <w:sz w:val="24"/>
                <w:szCs w:val="24"/>
                <w:highlight w:val="none"/>
                <w:shd w:val="clear" w:fill="FFFFFF"/>
                <w:lang w:val="en-US" w:eastAsia="zh-CN"/>
              </w:rPr>
              <w:t>630000.00</w:t>
            </w:r>
            <w:r>
              <w:rPr>
                <w:rFonts w:hint="eastAsia" w:ascii="宋体" w:hAnsi="宋体" w:eastAsia="宋体" w:cs="宋体"/>
                <w:color w:val="auto"/>
                <w:sz w:val="24"/>
                <w:szCs w:val="24"/>
                <w:highlight w:val="none"/>
                <w:shd w:val="clear" w:fill="FFFFFF"/>
              </w:rPr>
              <w:t>元</w:t>
            </w:r>
            <w:r>
              <w:rPr>
                <w:rFonts w:hint="eastAsia" w:ascii="宋体" w:hAnsi="宋体" w:eastAsia="宋体" w:cs="宋体"/>
                <w:color w:val="auto"/>
                <w:sz w:val="24"/>
                <w:szCs w:val="24"/>
                <w:highlight w:val="none"/>
                <w:shd w:val="clear" w:fill="FFFFFF"/>
                <w:lang w:eastAsia="zh-CN"/>
              </w:rPr>
              <w:t>，</w:t>
            </w:r>
            <w:r>
              <w:rPr>
                <w:rFonts w:hint="eastAsia" w:ascii="宋体" w:hAnsi="宋体" w:eastAsia="宋体" w:cs="宋体"/>
                <w:color w:val="auto"/>
                <w:sz w:val="24"/>
                <w:szCs w:val="24"/>
                <w:highlight w:val="none"/>
                <w:shd w:val="clear" w:fill="FFFFFF"/>
                <w:lang w:val="en-US" w:eastAsia="zh-CN"/>
              </w:rPr>
              <w:t>暂估价</w:t>
            </w:r>
            <w:r>
              <w:rPr>
                <w:rFonts w:hint="eastAsia" w:ascii="宋体" w:hAnsi="宋体" w:eastAsia="宋体" w:cs="宋体"/>
                <w:color w:val="auto"/>
                <w:sz w:val="24"/>
                <w:szCs w:val="24"/>
                <w:highlight w:val="none"/>
                <w:shd w:val="clear" w:fill="FFFFFF"/>
              </w:rPr>
              <w:t>为¥</w:t>
            </w:r>
            <w:r>
              <w:rPr>
                <w:rFonts w:hint="eastAsia" w:ascii="宋体" w:hAnsi="宋体" w:eastAsia="宋体" w:cs="宋体"/>
                <w:color w:val="auto"/>
                <w:sz w:val="24"/>
                <w:szCs w:val="24"/>
                <w:highlight w:val="none"/>
                <w:shd w:val="clear" w:fill="FFFFFF"/>
                <w:lang w:val="en-US" w:eastAsia="zh-CN"/>
              </w:rPr>
              <w:t>/</w:t>
            </w:r>
            <w:r>
              <w:rPr>
                <w:rFonts w:hint="eastAsia" w:ascii="宋体" w:hAnsi="宋体" w:eastAsia="宋体" w:cs="宋体"/>
                <w:color w:val="auto"/>
                <w:sz w:val="24"/>
                <w:szCs w:val="24"/>
                <w:highlight w:val="none"/>
                <w:shd w:val="clear" w:fill="FFFFFF"/>
              </w:rPr>
              <w:t>元。</w:t>
            </w:r>
          </w:p>
        </w:tc>
      </w:tr>
      <w:tr w14:paraId="7603C4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F9DBD2F">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6439991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投标人资格要求</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6CCB21FB">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1．本次招标</w:t>
            </w:r>
            <w:r>
              <w:rPr>
                <w:rFonts w:hint="eastAsia" w:hAnsi="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接受联合体投标</w:t>
            </w:r>
            <w:r>
              <w:rPr>
                <w:rFonts w:hint="eastAsia" w:hAnsi="宋体" w:cs="宋体"/>
                <w:snapToGrid w:val="0"/>
                <w:color w:val="auto"/>
                <w:kern w:val="0"/>
                <w:sz w:val="24"/>
                <w:szCs w:val="24"/>
                <w:highlight w:val="none"/>
                <w:lang w:eastAsia="zh-CN"/>
              </w:rPr>
              <w:t>。</w:t>
            </w:r>
          </w:p>
          <w:p w14:paraId="24756A3B">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2．资质要求</w:t>
            </w:r>
          </w:p>
          <w:p w14:paraId="589D85A6">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 投标人须具备独立法人资格，按国家法律经营。</w:t>
            </w:r>
          </w:p>
          <w:p w14:paraId="2D153965">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 投标人须持有建设行政主管部门颁发的企业资质证书及安全生产许可证。</w:t>
            </w:r>
          </w:p>
          <w:p w14:paraId="0EAB4BF2">
            <w:pPr>
              <w:pageBreakBefore w:val="0"/>
              <w:kinsoku/>
              <w:wordWrap w:val="0"/>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i w:val="0"/>
                <w:iCs w:val="0"/>
                <w:caps w:val="0"/>
                <w:color w:val="auto"/>
                <w:spacing w:val="0"/>
                <w:sz w:val="24"/>
                <w:szCs w:val="24"/>
                <w:highlight w:val="none"/>
                <w:u w:val="single"/>
                <w:shd w:val="clear" w:fill="FFFFFF"/>
              </w:rPr>
            </w:pPr>
            <w:r>
              <w:rPr>
                <w:rFonts w:hint="eastAsia" w:ascii="宋体" w:hAnsi="宋体" w:eastAsia="宋体" w:cs="宋体"/>
                <w:snapToGrid w:val="0"/>
                <w:color w:val="auto"/>
                <w:kern w:val="0"/>
                <w:sz w:val="24"/>
                <w:szCs w:val="24"/>
                <w:highlight w:val="none"/>
              </w:rPr>
              <w:t>2.3 投标人须具备以下资质：具备建设行政主管部门颁发的</w:t>
            </w:r>
            <w:r>
              <w:rPr>
                <w:rFonts w:hint="eastAsia" w:hAnsi="宋体" w:cs="宋体"/>
                <w:b w:val="0"/>
                <w:bCs w:val="0"/>
                <w:snapToGrid w:val="0"/>
                <w:color w:val="auto"/>
                <w:kern w:val="0"/>
                <w:sz w:val="24"/>
                <w:szCs w:val="24"/>
                <w:highlight w:val="none"/>
                <w:u w:val="single"/>
                <w:lang w:eastAsia="zh-CN"/>
              </w:rPr>
              <w:t>市政公用工程施工总承包</w:t>
            </w:r>
            <w:r>
              <w:rPr>
                <w:rFonts w:hint="eastAsia" w:hAnsi="宋体" w:cs="宋体"/>
                <w:b w:val="0"/>
                <w:bCs w:val="0"/>
                <w:snapToGrid w:val="0"/>
                <w:color w:val="auto"/>
                <w:kern w:val="0"/>
                <w:sz w:val="24"/>
                <w:szCs w:val="24"/>
                <w:highlight w:val="none"/>
                <w:u w:val="single"/>
                <w:lang w:val="en-US" w:eastAsia="zh-CN"/>
              </w:rPr>
              <w:t>三</w:t>
            </w:r>
            <w:r>
              <w:rPr>
                <w:rFonts w:hint="eastAsia" w:hAnsi="宋体" w:cs="宋体"/>
                <w:b w:val="0"/>
                <w:bCs w:val="0"/>
                <w:snapToGrid w:val="0"/>
                <w:color w:val="auto"/>
                <w:kern w:val="0"/>
                <w:sz w:val="24"/>
                <w:szCs w:val="24"/>
                <w:highlight w:val="none"/>
                <w:u w:val="single"/>
                <w:lang w:eastAsia="zh-CN"/>
              </w:rPr>
              <w:t>级以上（含</w:t>
            </w:r>
            <w:r>
              <w:rPr>
                <w:rFonts w:hint="eastAsia" w:hAnsi="宋体" w:cs="宋体"/>
                <w:b w:val="0"/>
                <w:bCs w:val="0"/>
                <w:snapToGrid w:val="0"/>
                <w:color w:val="auto"/>
                <w:kern w:val="0"/>
                <w:sz w:val="24"/>
                <w:szCs w:val="24"/>
                <w:highlight w:val="none"/>
                <w:u w:val="single"/>
                <w:lang w:val="en-US" w:eastAsia="zh-CN"/>
              </w:rPr>
              <w:t>三</w:t>
            </w:r>
            <w:r>
              <w:rPr>
                <w:rFonts w:hint="eastAsia" w:hAnsi="宋体" w:cs="宋体"/>
                <w:b w:val="0"/>
                <w:bCs w:val="0"/>
                <w:snapToGrid w:val="0"/>
                <w:color w:val="auto"/>
                <w:kern w:val="0"/>
                <w:sz w:val="24"/>
                <w:szCs w:val="24"/>
                <w:highlight w:val="none"/>
                <w:u w:val="single"/>
                <w:lang w:eastAsia="zh-CN"/>
              </w:rPr>
              <w:t>级）</w:t>
            </w:r>
            <w:r>
              <w:rPr>
                <w:rFonts w:hint="eastAsia" w:ascii="宋体" w:hAnsi="宋体" w:eastAsia="宋体" w:cs="宋体"/>
                <w:b w:val="0"/>
                <w:bCs w:val="0"/>
                <w:snapToGrid w:val="0"/>
                <w:color w:val="auto"/>
                <w:kern w:val="0"/>
                <w:sz w:val="24"/>
                <w:szCs w:val="24"/>
                <w:highlight w:val="none"/>
              </w:rPr>
              <w:t>资质。</w:t>
            </w:r>
          </w:p>
          <w:p w14:paraId="089BEBD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20B014B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3．相关人员要求</w:t>
            </w:r>
          </w:p>
          <w:p w14:paraId="7653A9B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3.1 </w:t>
            </w:r>
            <w:r>
              <w:rPr>
                <w:rFonts w:hint="eastAsia" w:ascii="宋体" w:hAnsi="宋体" w:eastAsia="宋体" w:cs="宋体"/>
                <w:color w:val="auto"/>
                <w:sz w:val="24"/>
                <w:szCs w:val="24"/>
                <w:highlight w:val="none"/>
              </w:rPr>
              <w:t>投标人拟派项目经理为</w:t>
            </w:r>
            <w:r>
              <w:rPr>
                <w:rFonts w:hint="eastAsia" w:ascii="宋体" w:hAnsi="宋体" w:eastAsia="宋体" w:cs="宋体"/>
                <w:b w:val="0"/>
                <w:bCs w:val="0"/>
                <w:color w:val="auto"/>
                <w:sz w:val="24"/>
                <w:szCs w:val="24"/>
                <w:highlight w:val="none"/>
                <w:u w:val="single"/>
              </w:rPr>
              <w:t>市政公用工程</w:t>
            </w:r>
            <w:r>
              <w:rPr>
                <w:rFonts w:hint="eastAsia" w:ascii="宋体" w:hAnsi="宋体" w:eastAsia="宋体" w:cs="宋体"/>
                <w:color w:val="auto"/>
                <w:sz w:val="24"/>
                <w:szCs w:val="24"/>
                <w:highlight w:val="none"/>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4A13E78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3.2 拟派项目技术负责人须具备</w:t>
            </w:r>
            <w:r>
              <w:rPr>
                <w:rFonts w:hint="eastAsia" w:hAnsi="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级以上（含</w:t>
            </w:r>
            <w:r>
              <w:rPr>
                <w:rFonts w:hint="eastAsia" w:hAnsi="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w:t>
            </w:r>
            <w:r>
              <w:rPr>
                <w:rFonts w:hint="eastAsia" w:ascii="宋体" w:hAnsi="宋体" w:eastAsia="宋体" w:cs="宋体"/>
                <w:snapToGrid w:val="0"/>
                <w:color w:val="auto"/>
                <w:kern w:val="0"/>
                <w:sz w:val="24"/>
                <w:szCs w:val="24"/>
                <w:highlight w:val="none"/>
              </w:rPr>
              <w:t>技术职称。</w:t>
            </w:r>
          </w:p>
          <w:p w14:paraId="5F9B4C4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3.3 拟派专职安全生产管理人员须具备有效安全生产考核合格证明（C证，安全生产考核合格证书或“广东省建筑施工企业管理人员安全生产考核信息系统”考核合格信息打印页），且不少于</w:t>
            </w:r>
            <w:r>
              <w:rPr>
                <w:rFonts w:hint="eastAsia" w:hAnsi="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rPr>
              <w:t>人</w:t>
            </w:r>
            <w:r>
              <w:rPr>
                <w:rFonts w:hint="eastAsia" w:ascii="宋体" w:hAnsi="宋体" w:eastAsia="宋体" w:cs="宋体"/>
                <w:snapToGrid w:val="0"/>
                <w:color w:val="auto"/>
                <w:kern w:val="0"/>
                <w:sz w:val="24"/>
                <w:szCs w:val="24"/>
                <w:highlight w:val="none"/>
              </w:rPr>
              <w:t xml:space="preserve">。 </w:t>
            </w:r>
          </w:p>
          <w:p w14:paraId="2ABE4404">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3.4 投标人与其拟派往本项目管理机构的所有人员之间必须具备合法、唯一的劳动聘用关系</w:t>
            </w:r>
            <w:r>
              <w:rPr>
                <w:rFonts w:hint="eastAsia" w:ascii="宋体" w:hAnsi="宋体" w:eastAsia="宋体" w:cs="宋体"/>
                <w:color w:val="auto"/>
                <w:highlight w:val="none"/>
              </w:rPr>
              <w:t>（提供社保证明或劳动合同）</w:t>
            </w:r>
            <w:r>
              <w:rPr>
                <w:rFonts w:hint="eastAsia" w:ascii="宋体" w:hAnsi="宋体" w:eastAsia="宋体" w:cs="宋体"/>
                <w:snapToGrid w:val="0"/>
                <w:color w:val="auto"/>
                <w:kern w:val="0"/>
                <w:sz w:val="24"/>
                <w:szCs w:val="24"/>
                <w:highlight w:val="none"/>
              </w:rPr>
              <w:t>。拟派人员中具备注册执业资格的，其注册单位须与投标人保持一致。</w:t>
            </w:r>
          </w:p>
          <w:p w14:paraId="4108B95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4．禁止投标条款：</w:t>
            </w:r>
          </w:p>
          <w:p w14:paraId="6666391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4.1 投标人不得存在下列情形之一：    </w:t>
            </w:r>
          </w:p>
          <w:p w14:paraId="12187784">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（1）为招标人不具有独立法人资格的附属机构（单位）；</w:t>
            </w:r>
          </w:p>
          <w:p w14:paraId="38403E7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（2）为本招标项目前期准备提供设计或咨询服务的；</w:t>
            </w:r>
          </w:p>
          <w:p w14:paraId="24894662">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（3）与本招标项目的其他投标人为同一个单位负责人；</w:t>
            </w:r>
          </w:p>
          <w:p w14:paraId="27901649">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（4）与本招标项目的其他投标人存在控股、管理关系；</w:t>
            </w:r>
          </w:p>
          <w:p w14:paraId="091BC19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（5）为本招标项目的监理人；</w:t>
            </w:r>
          </w:p>
          <w:p w14:paraId="1A3C08C5">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（6）为本招标项目的代建人；</w:t>
            </w:r>
          </w:p>
          <w:p w14:paraId="27D6F5BD">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（7）为本招标项目的招标代理机构；</w:t>
            </w:r>
          </w:p>
          <w:p w14:paraId="4B279A2E">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（8）与本招标项目的监理人或代建人或招标代理机构同为一个法定代表人；</w:t>
            </w:r>
          </w:p>
          <w:p w14:paraId="19C2B53C">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（9）与本招标项目的监理人或代建人或招标代理机构存在控股或参股关系；</w:t>
            </w:r>
          </w:p>
          <w:p w14:paraId="2B641147">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（10）与本招标项目的监理人或代建人或招标代理机构存在相互任职或工作关系；</w:t>
            </w:r>
          </w:p>
          <w:p w14:paraId="558AB604">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（11）被依法暂停或者取消投标资格；</w:t>
            </w:r>
          </w:p>
          <w:p w14:paraId="7233EE1B">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（12）被责令停产停业、暂扣或者吊销许可证、暂扣或者吊销执照；</w:t>
            </w:r>
          </w:p>
          <w:p w14:paraId="394C68C5">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（13）进入清算程序，或被宣告破产，或其他丧失履约能力的情形；</w:t>
            </w:r>
          </w:p>
          <w:p w14:paraId="7B0BB09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4FCF465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0085428D">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4.2 招标人拒绝以下名单中的单位参加本次投标：</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3791"/>
              <w:gridCol w:w="3627"/>
            </w:tblGrid>
            <w:tr w14:paraId="17970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92" w:type="dxa"/>
                  <w:noWrap w:val="0"/>
                  <w:vAlign w:val="center"/>
                </w:tcPr>
                <w:p w14:paraId="5E50EC5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791" w:type="dxa"/>
                  <w:noWrap w:val="0"/>
                  <w:vAlign w:val="center"/>
                </w:tcPr>
                <w:p w14:paraId="5B8422B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627" w:type="dxa"/>
                  <w:noWrap w:val="0"/>
                  <w:vAlign w:val="center"/>
                </w:tcPr>
                <w:p w14:paraId="748EC6D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1903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92" w:type="dxa"/>
                  <w:noWrap w:val="0"/>
                  <w:vAlign w:val="center"/>
                </w:tcPr>
                <w:p w14:paraId="1E4ECAC8">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p>
              </w:tc>
              <w:tc>
                <w:tcPr>
                  <w:tcW w:w="3791" w:type="dxa"/>
                  <w:noWrap w:val="0"/>
                  <w:vAlign w:val="center"/>
                </w:tcPr>
                <w:p w14:paraId="08AF106A">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color w:val="auto"/>
                      <w:kern w:val="2"/>
                      <w:sz w:val="24"/>
                      <w:szCs w:val="24"/>
                      <w:highlight w:val="none"/>
                      <w:lang w:val="en-US" w:eastAsia="zh-CN" w:bidi="ar-SA"/>
                    </w:rPr>
                    <w:t>广东飞腾工程咨询有限公司</w:t>
                  </w:r>
                </w:p>
              </w:tc>
              <w:tc>
                <w:tcPr>
                  <w:tcW w:w="3627" w:type="dxa"/>
                  <w:noWrap w:val="0"/>
                  <w:vAlign w:val="center"/>
                </w:tcPr>
                <w:p w14:paraId="15AF4C4B">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0217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92" w:type="dxa"/>
                  <w:noWrap w:val="0"/>
                  <w:vAlign w:val="center"/>
                </w:tcPr>
                <w:p w14:paraId="166D187C">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3791" w:type="dxa"/>
                  <w:noWrap w:val="0"/>
                  <w:vAlign w:val="center"/>
                </w:tcPr>
                <w:p w14:paraId="4348A36F">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color w:val="auto"/>
                      <w:kern w:val="2"/>
                      <w:sz w:val="24"/>
                      <w:szCs w:val="24"/>
                      <w:highlight w:val="none"/>
                      <w:lang w:val="en-US" w:eastAsia="zh-CN" w:bidi="ar-SA"/>
                    </w:rPr>
                    <w:t>中亿国际设计集团有限公司</w:t>
                  </w:r>
                </w:p>
              </w:tc>
              <w:tc>
                <w:tcPr>
                  <w:tcW w:w="3627" w:type="dxa"/>
                  <w:noWrap w:val="0"/>
                  <w:vAlign w:val="center"/>
                </w:tcPr>
                <w:p w14:paraId="002E16E4">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为本招标项目的设计单位</w:t>
                  </w:r>
                </w:p>
              </w:tc>
            </w:tr>
            <w:tr w14:paraId="6EB4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92" w:type="dxa"/>
                  <w:noWrap w:val="0"/>
                  <w:vAlign w:val="center"/>
                </w:tcPr>
                <w:p w14:paraId="26598700">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w:t>
                  </w:r>
                </w:p>
              </w:tc>
              <w:tc>
                <w:tcPr>
                  <w:tcW w:w="3791" w:type="dxa"/>
                  <w:noWrap w:val="0"/>
                  <w:vAlign w:val="center"/>
                </w:tcPr>
                <w:p w14:paraId="370173F6">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广州穗图项目管理有限公司</w:t>
                  </w:r>
                </w:p>
              </w:tc>
              <w:tc>
                <w:tcPr>
                  <w:tcW w:w="3627" w:type="dxa"/>
                  <w:noWrap w:val="0"/>
                  <w:vAlign w:val="center"/>
                </w:tcPr>
                <w:p w14:paraId="4B85756D">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46C3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92" w:type="dxa"/>
                  <w:noWrap w:val="0"/>
                  <w:vAlign w:val="center"/>
                </w:tcPr>
                <w:p w14:paraId="4FB93B3F">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c>
                <w:tcPr>
                  <w:tcW w:w="3791" w:type="dxa"/>
                  <w:noWrap w:val="0"/>
                  <w:vAlign w:val="center"/>
                </w:tcPr>
                <w:p w14:paraId="65722431">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乐昌市庆云镇人民政府</w:t>
                  </w:r>
                </w:p>
              </w:tc>
              <w:tc>
                <w:tcPr>
                  <w:tcW w:w="3627" w:type="dxa"/>
                  <w:noWrap w:val="0"/>
                  <w:vAlign w:val="center"/>
                </w:tcPr>
                <w:p w14:paraId="75AEA8AC">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70B66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92" w:type="dxa"/>
                  <w:noWrap w:val="0"/>
                  <w:vAlign w:val="center"/>
                </w:tcPr>
                <w:p w14:paraId="0888F255">
                  <w:pPr>
                    <w:pStyle w:val="137"/>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3791" w:type="dxa"/>
                  <w:noWrap w:val="0"/>
                  <w:vAlign w:val="center"/>
                </w:tcPr>
                <w:p w14:paraId="0C92E66B">
                  <w:pPr>
                    <w:pStyle w:val="137"/>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乐昌市农业农村局(乐昌市乡村振兴局)</w:t>
                  </w:r>
                </w:p>
              </w:tc>
              <w:tc>
                <w:tcPr>
                  <w:tcW w:w="3627" w:type="dxa"/>
                  <w:noWrap w:val="0"/>
                  <w:vAlign w:val="center"/>
                </w:tcPr>
                <w:p w14:paraId="79E0A10E">
                  <w:pPr>
                    <w:pStyle w:val="137"/>
                    <w:wordWrap w:val="0"/>
                    <w:adjustRightInd w:val="0"/>
                    <w:snapToGrid w:val="0"/>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15BD9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92" w:type="dxa"/>
                  <w:noWrap w:val="0"/>
                  <w:vAlign w:val="center"/>
                </w:tcPr>
                <w:p w14:paraId="2A9F32D1">
                  <w:pPr>
                    <w:pStyle w:val="137"/>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3791" w:type="dxa"/>
                  <w:noWrap w:val="0"/>
                  <w:vAlign w:val="center"/>
                </w:tcPr>
                <w:p w14:paraId="3A0F59F1">
                  <w:pPr>
                    <w:pStyle w:val="137"/>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世纪工程项目管理有限公司</w:t>
                  </w:r>
                </w:p>
              </w:tc>
              <w:tc>
                <w:tcPr>
                  <w:tcW w:w="3627" w:type="dxa"/>
                  <w:noWrap w:val="0"/>
                  <w:vAlign w:val="center"/>
                </w:tcPr>
                <w:p w14:paraId="57C269EF">
                  <w:pPr>
                    <w:pStyle w:val="13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可研编制</w:t>
                  </w:r>
                  <w:r>
                    <w:rPr>
                      <w:rFonts w:hint="eastAsia" w:ascii="宋体" w:hAnsi="宋体" w:eastAsia="宋体" w:cs="宋体"/>
                      <w:snapToGrid w:val="0"/>
                      <w:color w:val="auto"/>
                      <w:kern w:val="0"/>
                      <w:sz w:val="24"/>
                      <w:szCs w:val="24"/>
                      <w:highlight w:val="none"/>
                      <w:lang w:val="en-US" w:eastAsia="zh-CN"/>
                    </w:rPr>
                    <w:t>单位</w:t>
                  </w:r>
                </w:p>
              </w:tc>
            </w:tr>
            <w:tr w14:paraId="6778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92" w:type="dxa"/>
                  <w:noWrap w:val="0"/>
                  <w:vAlign w:val="center"/>
                </w:tcPr>
                <w:p w14:paraId="678A548F">
                  <w:pPr>
                    <w:pStyle w:val="137"/>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3791" w:type="dxa"/>
                  <w:noWrap w:val="0"/>
                  <w:vAlign w:val="center"/>
                </w:tcPr>
                <w:p w14:paraId="1F93A15A">
                  <w:pPr>
                    <w:pStyle w:val="137"/>
                    <w:wordWrap w:val="0"/>
                    <w:adjustRightInd w:val="0"/>
                    <w:snapToGrid w:val="0"/>
                    <w:spacing w:line="360" w:lineRule="auto"/>
                    <w:jc w:val="cente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韶关市腾宇测绘技术有限公司</w:t>
                  </w:r>
                </w:p>
              </w:tc>
              <w:tc>
                <w:tcPr>
                  <w:tcW w:w="3627" w:type="dxa"/>
                  <w:noWrap w:val="0"/>
                  <w:vAlign w:val="center"/>
                </w:tcPr>
                <w:p w14:paraId="444D6666">
                  <w:pPr>
                    <w:pStyle w:val="13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为本招标项目的测绘</w:t>
                  </w:r>
                  <w:r>
                    <w:rPr>
                      <w:rFonts w:hint="eastAsia" w:ascii="宋体" w:hAnsi="宋体" w:cs="宋体"/>
                      <w:snapToGrid w:val="0"/>
                      <w:color w:val="auto"/>
                      <w:kern w:val="0"/>
                      <w:sz w:val="24"/>
                      <w:szCs w:val="24"/>
                      <w:highlight w:val="none"/>
                      <w:lang w:val="en-US" w:eastAsia="zh-CN"/>
                    </w:rPr>
                    <w:t>单位</w:t>
                  </w:r>
                </w:p>
              </w:tc>
            </w:tr>
            <w:tr w14:paraId="7385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92" w:type="dxa"/>
                  <w:noWrap w:val="0"/>
                  <w:vAlign w:val="center"/>
                </w:tcPr>
                <w:p w14:paraId="2618647F">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3791" w:type="dxa"/>
                  <w:noWrap w:val="0"/>
                  <w:vAlign w:val="center"/>
                </w:tcPr>
                <w:p w14:paraId="5228CE50">
                  <w:pPr>
                    <w:pStyle w:val="137"/>
                    <w:wordWrap w:val="0"/>
                    <w:adjustRightInd w:val="0"/>
                    <w:snapToGrid w:val="0"/>
                    <w:spacing w:line="360" w:lineRule="auto"/>
                    <w:jc w:val="cente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广东合正项目管理有限公司</w:t>
                  </w:r>
                </w:p>
              </w:tc>
              <w:tc>
                <w:tcPr>
                  <w:tcW w:w="3627" w:type="dxa"/>
                  <w:noWrap w:val="0"/>
                  <w:vAlign w:val="center"/>
                </w:tcPr>
                <w:p w14:paraId="1F6C4760">
                  <w:pPr>
                    <w:pStyle w:val="13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监理单位</w:t>
                  </w:r>
                </w:p>
              </w:tc>
            </w:tr>
          </w:tbl>
          <w:p w14:paraId="538A8C34">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5．其他要求</w:t>
            </w:r>
          </w:p>
          <w:p w14:paraId="56AE9B8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784A48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2A19BAA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692D62B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0A7A7B42">
            <w:pPr>
              <w:pageBreakBefore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1．投标人须缴纳金额为人民币</w:t>
            </w:r>
            <w:r>
              <w:rPr>
                <w:rFonts w:hint="eastAsia" w:hAnsi="宋体" w:cs="宋体"/>
                <w:b/>
                <w:bCs/>
                <w:snapToGrid w:val="0"/>
                <w:color w:val="auto"/>
                <w:kern w:val="0"/>
                <w:sz w:val="24"/>
                <w:szCs w:val="24"/>
                <w:highlight w:val="none"/>
                <w:u w:val="single"/>
                <w:lang w:val="en-US" w:eastAsia="zh-CN"/>
              </w:rPr>
              <w:t>40</w:t>
            </w:r>
            <w:r>
              <w:rPr>
                <w:rFonts w:hint="eastAsia" w:ascii="宋体" w:hAnsi="宋体" w:eastAsia="宋体" w:cs="宋体"/>
                <w:b/>
                <w:bCs/>
                <w:snapToGrid w:val="0"/>
                <w:color w:val="auto"/>
                <w:kern w:val="0"/>
                <w:sz w:val="24"/>
                <w:szCs w:val="24"/>
                <w:highlight w:val="none"/>
                <w:u w:val="single"/>
                <w:lang w:val="en-US" w:eastAsia="zh-CN"/>
              </w:rPr>
              <w:t>万元</w:t>
            </w:r>
            <w:r>
              <w:rPr>
                <w:rFonts w:hint="eastAsia" w:ascii="宋体" w:hAnsi="宋体" w:eastAsia="宋体" w:cs="宋体"/>
                <w:snapToGrid w:val="0"/>
                <w:color w:val="auto"/>
                <w:kern w:val="0"/>
                <w:sz w:val="24"/>
                <w:szCs w:val="24"/>
                <w:highlight w:val="none"/>
              </w:rPr>
              <w:t xml:space="preserve">的投标保证。 </w:t>
            </w:r>
          </w:p>
          <w:p w14:paraId="26F672E2">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2．投标保证的形式包括投标保证金、投标保证担保、投标保证保险三种，由投标人自主选择。</w:t>
            </w:r>
          </w:p>
          <w:p w14:paraId="26C2B298">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6EB1F79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60B0260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w:t>
            </w:r>
            <w:r>
              <w:rPr>
                <w:rFonts w:hint="eastAsia" w:ascii="宋体" w:hAnsi="宋体" w:eastAsia="宋体" w:cs="宋体"/>
                <w:snapToGrid w:val="0"/>
                <w:color w:val="auto"/>
                <w:kern w:val="0"/>
                <w:sz w:val="24"/>
                <w:szCs w:val="24"/>
                <w:highlight w:val="none"/>
                <w:lang w:eastAsia="zh-CN"/>
              </w:rPr>
              <w:t>在【服务指南】栏目中下载《韶关市公共资源建设工程交易系统-投标人操作指南》，了解网上投保具体操作流程。逾期投保的，其投标无效。</w:t>
            </w:r>
          </w:p>
          <w:p w14:paraId="0F727622">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2C05EA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3F50505C">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3C09B4A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投标有效期</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72E485B6">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本次招标的投标有效期为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u w:val="single"/>
                <w:lang w:val="en-US" w:eastAsia="zh-CN"/>
              </w:rPr>
              <w:t>90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个日历天。</w:t>
            </w:r>
          </w:p>
        </w:tc>
      </w:tr>
      <w:tr w14:paraId="1427636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77EA2C9">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667F7007">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w:t>
            </w:r>
          </w:p>
          <w:p w14:paraId="06F0D81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组成</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2F37758E">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投标文件包括商务标书、经济标书、施工组织设计三个分册。</w:t>
            </w:r>
          </w:p>
        </w:tc>
      </w:tr>
      <w:tr w14:paraId="43F66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88347E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53E016C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施工组织设计</w:t>
            </w:r>
          </w:p>
          <w:p w14:paraId="0A9BB15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评审方式</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40ECE600">
            <w:pPr>
              <w:pageBreakBefore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本次招标施工组织设计</w:t>
            </w:r>
            <w:r>
              <w:rPr>
                <w:rFonts w:hint="eastAsia" w:ascii="宋体" w:hAnsi="宋体" w:eastAsia="宋体" w:cs="宋体"/>
                <w:snapToGrid w:val="0"/>
                <w:color w:val="auto"/>
                <w:kern w:val="0"/>
                <w:sz w:val="24"/>
                <w:szCs w:val="24"/>
                <w:highlight w:val="none"/>
                <w:u w:val="single"/>
              </w:rPr>
              <w:t xml:space="preserve"> 不采用 </w:t>
            </w:r>
            <w:r>
              <w:rPr>
                <w:rFonts w:hint="eastAsia" w:ascii="宋体" w:hAnsi="宋体" w:eastAsia="宋体" w:cs="宋体"/>
                <w:snapToGrid w:val="0"/>
                <w:color w:val="auto"/>
                <w:kern w:val="0"/>
                <w:sz w:val="24"/>
                <w:szCs w:val="24"/>
                <w:highlight w:val="none"/>
              </w:rPr>
              <w:t>“暗标”方式进行评审。</w:t>
            </w:r>
          </w:p>
        </w:tc>
      </w:tr>
      <w:tr w14:paraId="74CCD3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BFE7B6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07374124">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2CFF8923">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评标委员会由</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 xml:space="preserve"> 0 </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 xml:space="preserve"> 5 </w:t>
            </w:r>
            <w:r>
              <w:rPr>
                <w:rFonts w:hint="eastAsia" w:ascii="宋体" w:hAnsi="宋体" w:eastAsia="宋体" w:cs="宋体"/>
                <w:snapToGrid w:val="0"/>
                <w:color w:val="auto"/>
                <w:kern w:val="0"/>
                <w:sz w:val="24"/>
                <w:szCs w:val="24"/>
                <w:highlight w:val="none"/>
              </w:rPr>
              <w:t>人。专家从</w:t>
            </w:r>
            <w:r>
              <w:rPr>
                <w:rFonts w:hint="eastAsia" w:ascii="宋体" w:hAnsi="宋体" w:eastAsia="宋体" w:cs="宋体"/>
                <w:snapToGrid w:val="0"/>
                <w:color w:val="auto"/>
                <w:kern w:val="0"/>
                <w:sz w:val="24"/>
                <w:szCs w:val="24"/>
                <w:highlight w:val="none"/>
                <w:u w:val="single"/>
              </w:rPr>
              <w:t>广东省综合评标评审专家库</w:t>
            </w:r>
            <w:r>
              <w:rPr>
                <w:rFonts w:hint="eastAsia" w:hAnsi="宋体" w:cs="宋体"/>
                <w:snapToGrid w:val="0"/>
                <w:color w:val="auto"/>
                <w:kern w:val="0"/>
                <w:sz w:val="24"/>
                <w:szCs w:val="24"/>
                <w:highlight w:val="none"/>
                <w:u w:val="single"/>
                <w:lang w:val="en-US" w:eastAsia="zh-CN"/>
              </w:rPr>
              <w:t>-韶关区域</w:t>
            </w:r>
            <w:r>
              <w:rPr>
                <w:rFonts w:hint="eastAsia" w:ascii="宋体" w:hAnsi="宋体" w:eastAsia="宋体" w:cs="宋体"/>
                <w:snapToGrid w:val="0"/>
                <w:color w:val="auto"/>
                <w:kern w:val="0"/>
                <w:sz w:val="24"/>
                <w:szCs w:val="24"/>
                <w:highlight w:val="none"/>
              </w:rPr>
              <w:t>中随机抽取，其中技术类专家</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w:t>
            </w:r>
          </w:p>
        </w:tc>
      </w:tr>
      <w:tr w14:paraId="2A7062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5093028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7558F162">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评标方法</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0570777E">
            <w:pPr>
              <w:pageBreakBefore w:val="0"/>
              <w:kinsoku/>
              <w:wordWrap w:val="0"/>
              <w:overflowPunct/>
              <w:topLinePunct w:val="0"/>
              <w:autoSpaceDE/>
              <w:autoSpaceDN/>
              <w:bidi w:val="0"/>
              <w:adjustRightInd w:val="0"/>
              <w:snapToGrid w:val="0"/>
              <w:spacing w:line="360" w:lineRule="auto"/>
              <w:ind w:firstLine="240" w:firstLineChars="1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综合评估法</w:t>
            </w:r>
          </w:p>
        </w:tc>
      </w:tr>
      <w:tr w14:paraId="6B285C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12654BE0">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28</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4B1B277A">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w:t>
            </w:r>
          </w:p>
          <w:p w14:paraId="3091053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409F7E50">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乐昌市庆云镇人民政府</w:t>
            </w:r>
          </w:p>
          <w:p w14:paraId="3BFFA57B">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w:t>
            </w:r>
            <w:r>
              <w:rPr>
                <w:rFonts w:hint="eastAsia" w:hAnsi="宋体" w:cs="宋体"/>
                <w:snapToGrid w:val="0"/>
                <w:color w:val="auto"/>
                <w:kern w:val="0"/>
                <w:sz w:val="24"/>
                <w:szCs w:val="24"/>
                <w:highlight w:val="none"/>
                <w:lang w:val="en-US" w:eastAsia="zh-CN"/>
              </w:rPr>
              <w:t>韶关市</w:t>
            </w:r>
            <w:r>
              <w:rPr>
                <w:rFonts w:hint="eastAsia" w:hAnsi="宋体" w:cs="宋体"/>
                <w:snapToGrid w:val="0"/>
                <w:color w:val="auto"/>
                <w:kern w:val="0"/>
                <w:sz w:val="24"/>
                <w:szCs w:val="24"/>
                <w:highlight w:val="none"/>
                <w:lang w:eastAsia="zh-CN"/>
              </w:rPr>
              <w:t>乐昌市庆云镇人民政府</w:t>
            </w:r>
          </w:p>
          <w:p w14:paraId="5487D853">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联系人（部门）：</w:t>
            </w:r>
            <w:r>
              <w:rPr>
                <w:rFonts w:hint="eastAsia" w:hAnsi="宋体" w:cs="宋体"/>
                <w:snapToGrid w:val="0"/>
                <w:color w:val="auto"/>
                <w:kern w:val="0"/>
                <w:sz w:val="24"/>
                <w:szCs w:val="24"/>
                <w:highlight w:val="none"/>
                <w:lang w:val="en-US" w:eastAsia="zh-CN"/>
              </w:rPr>
              <w:t>张工</w:t>
            </w:r>
          </w:p>
          <w:p w14:paraId="5C15E1B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w:t>
            </w:r>
            <w:r>
              <w:rPr>
                <w:rFonts w:hint="eastAsia" w:hAnsi="宋体" w:cs="宋体"/>
                <w:snapToGrid w:val="0"/>
                <w:color w:val="auto"/>
                <w:kern w:val="0"/>
                <w:sz w:val="24"/>
                <w:szCs w:val="24"/>
                <w:highlight w:val="none"/>
                <w:lang w:val="en-US" w:eastAsia="zh-CN"/>
              </w:rPr>
              <w:t>0751-</w:t>
            </w:r>
            <w:r>
              <w:rPr>
                <w:rFonts w:hint="eastAsia" w:ascii="宋体" w:hAnsi="宋体" w:eastAsia="宋体" w:cs="宋体"/>
                <w:snapToGrid w:val="0"/>
                <w:color w:val="auto"/>
                <w:kern w:val="0"/>
                <w:sz w:val="24"/>
                <w:szCs w:val="24"/>
                <w:highlight w:val="none"/>
              </w:rPr>
              <w:t>5700168</w:t>
            </w:r>
          </w:p>
        </w:tc>
      </w:tr>
      <w:tr w14:paraId="48514A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4EC472E4">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29</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048657C0">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招标代理机构</w:t>
            </w:r>
          </w:p>
          <w:p w14:paraId="6A9BD538">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39AA795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单位名称：</w:t>
            </w:r>
            <w:r>
              <w:rPr>
                <w:rFonts w:hint="eastAsia" w:hAnsi="宋体" w:cs="宋体"/>
                <w:snapToGrid w:val="0"/>
                <w:color w:val="auto"/>
                <w:kern w:val="0"/>
                <w:sz w:val="24"/>
                <w:szCs w:val="24"/>
                <w:highlight w:val="none"/>
                <w:lang w:eastAsia="zh-CN"/>
              </w:rPr>
              <w:t>广州穗图项目管理有限公司</w:t>
            </w:r>
          </w:p>
          <w:p w14:paraId="1DD7830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办公地址：韶关市武江区西联镇老阳山323线旁新五洲国际汽配用品商贸城A1幢404、405号房(五洲创客中心4楼）</w:t>
            </w:r>
          </w:p>
          <w:p w14:paraId="2CA81316">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联系人（</w:t>
            </w:r>
            <w:r>
              <w:rPr>
                <w:rFonts w:hint="eastAsia" w:ascii="宋体" w:hAnsi="宋体" w:eastAsia="宋体" w:cs="宋体"/>
                <w:snapToGrid w:val="0"/>
                <w:color w:val="auto"/>
                <w:kern w:val="0"/>
                <w:sz w:val="24"/>
                <w:szCs w:val="24"/>
                <w:highlight w:val="none"/>
                <w:lang w:eastAsia="zh-CN"/>
              </w:rPr>
              <w:t>部门）：</w:t>
            </w:r>
            <w:r>
              <w:rPr>
                <w:rFonts w:hint="eastAsia" w:hAnsi="宋体" w:cs="宋体"/>
                <w:snapToGrid w:val="0"/>
                <w:color w:val="auto"/>
                <w:kern w:val="0"/>
                <w:sz w:val="24"/>
                <w:szCs w:val="24"/>
                <w:highlight w:val="none"/>
                <w:lang w:val="en-US" w:eastAsia="zh-CN"/>
              </w:rPr>
              <w:t>毛工</w:t>
            </w:r>
          </w:p>
          <w:p w14:paraId="1C3C899A">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default" w:ascii="宋体" w:hAnsi="宋体" w:eastAsia="宋体" w:cs="宋体"/>
                <w:snapToGrid w:val="0"/>
                <w:color w:val="auto"/>
                <w:kern w:val="0"/>
                <w:sz w:val="24"/>
                <w:szCs w:val="24"/>
                <w:highlight w:val="none"/>
                <w:lang w:val="en-US"/>
              </w:rPr>
            </w:pPr>
            <w:r>
              <w:rPr>
                <w:rFonts w:hint="eastAsia" w:ascii="宋体" w:hAnsi="宋体" w:eastAsia="宋体" w:cs="宋体"/>
                <w:snapToGrid w:val="0"/>
                <w:color w:val="auto"/>
                <w:kern w:val="0"/>
                <w:sz w:val="24"/>
                <w:szCs w:val="24"/>
                <w:highlight w:val="none"/>
              </w:rPr>
              <w:t>联系电</w:t>
            </w:r>
            <w:r>
              <w:rPr>
                <w:rFonts w:hint="eastAsia" w:ascii="宋体" w:hAnsi="宋体" w:eastAsia="宋体" w:cs="宋体"/>
                <w:snapToGrid w:val="0"/>
                <w:color w:val="auto"/>
                <w:kern w:val="0"/>
                <w:sz w:val="24"/>
                <w:szCs w:val="24"/>
                <w:highlight w:val="none"/>
                <w:lang w:eastAsia="zh-CN"/>
              </w:rPr>
              <w:t>话：</w:t>
            </w:r>
            <w:r>
              <w:rPr>
                <w:rFonts w:hint="eastAsia" w:hAnsi="宋体" w:cs="宋体"/>
                <w:snapToGrid w:val="0"/>
                <w:color w:val="auto"/>
                <w:kern w:val="0"/>
                <w:sz w:val="24"/>
                <w:szCs w:val="24"/>
                <w:highlight w:val="none"/>
                <w:lang w:val="en-US" w:eastAsia="zh-CN"/>
              </w:rPr>
              <w:t>18927850072</w:t>
            </w:r>
          </w:p>
        </w:tc>
      </w:tr>
      <w:tr w14:paraId="30B03E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D4C4B73">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snapToGrid w:val="0"/>
                <w:color w:val="auto"/>
                <w:kern w:val="0"/>
                <w:sz w:val="24"/>
                <w:szCs w:val="24"/>
                <w:highlight w:val="none"/>
                <w:lang w:val="en-US" w:eastAsia="zh-CN"/>
              </w:rPr>
              <w:t>30</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4CBBDC81">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交易场所</w:t>
            </w:r>
          </w:p>
          <w:p w14:paraId="611DC366">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2CACC71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单位名称：韶关市公共资源交易中心</w:t>
            </w:r>
          </w:p>
          <w:p w14:paraId="5FD9BC2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办公地址：乐昌市昌山北路23号韶关市公共资源交易中心乐昌分中心</w:t>
            </w:r>
          </w:p>
          <w:p w14:paraId="1DE11547">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联系人（部门）：工程交易部</w:t>
            </w:r>
          </w:p>
          <w:p w14:paraId="479D247D">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联系电话：0751-5570106</w:t>
            </w:r>
          </w:p>
        </w:tc>
      </w:tr>
      <w:bookmarkEnd w:id="12"/>
      <w:tr w14:paraId="19F118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0" w:hRule="atLeast"/>
          <w:jc w:val="center"/>
        </w:trPr>
        <w:tc>
          <w:tcPr>
            <w:tcW w:w="750" w:type="dxa"/>
            <w:tcBorders>
              <w:top w:val="single" w:color="auto" w:sz="4" w:space="0"/>
              <w:left w:val="single" w:color="auto" w:sz="4" w:space="0"/>
              <w:bottom w:val="single" w:color="auto" w:sz="4" w:space="0"/>
              <w:right w:val="single" w:color="auto" w:sz="4" w:space="0"/>
            </w:tcBorders>
            <w:noWrap w:val="0"/>
            <w:vAlign w:val="center"/>
          </w:tcPr>
          <w:p w14:paraId="6AD3700C">
            <w:pPr>
              <w:pageBreakBefore w:val="0"/>
              <w:kinsoku/>
              <w:wordWrap w:val="0"/>
              <w:overflowPunct/>
              <w:topLinePunct w:val="0"/>
              <w:autoSpaceDE/>
              <w:autoSpaceDN/>
              <w:bidi w:val="0"/>
              <w:adjustRightInd w:val="0"/>
              <w:snapToGrid w:val="0"/>
              <w:spacing w:line="360" w:lineRule="auto"/>
              <w:jc w:val="center"/>
              <w:textAlignment w:val="auto"/>
              <w:rPr>
                <w:rFonts w:hint="default" w:ascii="宋体" w:hAnsi="宋体" w:eastAsia="宋体" w:cs="宋体"/>
                <w:snapToGrid w:val="0"/>
                <w:color w:val="auto"/>
                <w:kern w:val="0"/>
                <w:sz w:val="24"/>
                <w:szCs w:val="24"/>
                <w:highlight w:val="none"/>
                <w:lang w:val="en-US" w:eastAsia="zh-CN"/>
              </w:rPr>
            </w:pPr>
            <w:bookmarkStart w:id="14" w:name="_Toc122671103"/>
            <w:bookmarkStart w:id="15" w:name="_Toc122859103"/>
            <w:bookmarkStart w:id="16" w:name="_Toc122769943"/>
            <w:bookmarkStart w:id="17" w:name="_Toc5853"/>
            <w:r>
              <w:rPr>
                <w:rFonts w:hint="eastAsia" w:hAnsi="宋体" w:cs="宋体"/>
                <w:snapToGrid w:val="0"/>
                <w:color w:val="auto"/>
                <w:kern w:val="0"/>
                <w:sz w:val="24"/>
                <w:szCs w:val="24"/>
                <w:highlight w:val="none"/>
                <w:lang w:val="en-US" w:eastAsia="zh-CN"/>
              </w:rPr>
              <w:t>31</w:t>
            </w:r>
          </w:p>
        </w:tc>
        <w:tc>
          <w:tcPr>
            <w:tcW w:w="1672" w:type="dxa"/>
            <w:tcBorders>
              <w:top w:val="single" w:color="auto" w:sz="4" w:space="0"/>
              <w:left w:val="single" w:color="auto" w:sz="4" w:space="0"/>
              <w:bottom w:val="single" w:color="auto" w:sz="4" w:space="0"/>
              <w:right w:val="single" w:color="auto" w:sz="4" w:space="0"/>
            </w:tcBorders>
            <w:noWrap w:val="0"/>
            <w:vAlign w:val="center"/>
          </w:tcPr>
          <w:p w14:paraId="158360D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行政监督部门</w:t>
            </w:r>
          </w:p>
          <w:p w14:paraId="232A140D">
            <w:pPr>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联系方式</w:t>
            </w:r>
          </w:p>
        </w:tc>
        <w:tc>
          <w:tcPr>
            <w:tcW w:w="8261" w:type="dxa"/>
            <w:tcBorders>
              <w:top w:val="single" w:color="auto" w:sz="4" w:space="0"/>
              <w:left w:val="single" w:color="auto" w:sz="4" w:space="0"/>
              <w:bottom w:val="single" w:color="auto" w:sz="4" w:space="0"/>
              <w:right w:val="single" w:color="auto" w:sz="4" w:space="0"/>
            </w:tcBorders>
            <w:noWrap w:val="0"/>
            <w:vAlign w:val="center"/>
          </w:tcPr>
          <w:p w14:paraId="6EB4152E">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单位名称：乐昌市农业农村局(乐昌市乡村振兴局)</w:t>
            </w:r>
          </w:p>
          <w:p w14:paraId="2063A265">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办公地址：韶关市乐昌市大昌路54号</w:t>
            </w:r>
          </w:p>
          <w:p w14:paraId="19EC1422">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联系人(部门)：</w:t>
            </w:r>
            <w:r>
              <w:rPr>
                <w:rFonts w:hint="eastAsia" w:ascii="宋体" w:hAnsi="宋体" w:eastAsia="宋体" w:cs="宋体"/>
                <w:color w:val="auto"/>
                <w:sz w:val="24"/>
                <w:szCs w:val="24"/>
                <w:highlight w:val="none"/>
              </w:rPr>
              <w:t>监督股</w:t>
            </w:r>
          </w:p>
          <w:p w14:paraId="27EED064">
            <w:pPr>
              <w:pageBreakBefore w:val="0"/>
              <w:kinsoku/>
              <w:wordWrap w:val="0"/>
              <w:overflowPunct/>
              <w:topLinePunct w:val="0"/>
              <w:autoSpaceDE/>
              <w:autoSpaceDN/>
              <w:bidi w:val="0"/>
              <w:adjustRightInd w:val="0"/>
              <w:snapToGrid w:val="0"/>
              <w:spacing w:line="360" w:lineRule="auto"/>
              <w:ind w:firstLine="240" w:firstLineChars="1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联系电话：0751-5502889</w:t>
            </w:r>
          </w:p>
        </w:tc>
      </w:tr>
      <w:bookmarkEnd w:id="14"/>
      <w:bookmarkEnd w:id="15"/>
      <w:bookmarkEnd w:id="16"/>
      <w:bookmarkEnd w:id="17"/>
    </w:tbl>
    <w:p w14:paraId="38C9FC7C">
      <w:pPr>
        <w:pStyle w:val="3"/>
        <w:wordWrap w:val="0"/>
        <w:autoSpaceDE/>
        <w:autoSpaceDN/>
        <w:snapToGrid w:val="0"/>
        <w:spacing w:before="260" w:after="260" w:line="360" w:lineRule="exact"/>
        <w:jc w:val="both"/>
        <w:rPr>
          <w:rFonts w:hint="eastAsia" w:ascii="宋体" w:hAnsi="宋体" w:eastAsia="宋体" w:cs="宋体"/>
          <w:b/>
          <w:snapToGrid w:val="0"/>
          <w:color w:val="auto"/>
          <w:highlight w:val="none"/>
        </w:rPr>
        <w:sectPr>
          <w:footerReference r:id="rId6" w:type="default"/>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pgNumType w:start="1"/>
          <w:cols w:space="720" w:num="1"/>
          <w:docGrid w:linePitch="327" w:charSpace="0"/>
        </w:sectPr>
      </w:pPr>
    </w:p>
    <w:p w14:paraId="4B582186">
      <w:pPr>
        <w:pStyle w:val="3"/>
        <w:bidi w:val="0"/>
        <w:rPr>
          <w:rFonts w:hint="eastAsia" w:ascii="宋体" w:hAnsi="宋体" w:eastAsia="宋体" w:cs="宋体"/>
          <w:color w:val="auto"/>
          <w:highlight w:val="none"/>
        </w:rPr>
      </w:pPr>
      <w:bookmarkStart w:id="18" w:name="_Toc12786"/>
      <w:bookmarkStart w:id="19" w:name="_Toc27937"/>
      <w:bookmarkStart w:id="20" w:name="_Toc27075"/>
      <w:r>
        <w:rPr>
          <w:rFonts w:hint="eastAsia" w:ascii="宋体" w:hAnsi="宋体" w:eastAsia="宋体" w:cs="宋体"/>
          <w:color w:val="auto"/>
          <w:highlight w:val="none"/>
        </w:rPr>
        <w:t>第二节 重要事项时间地点一</w:t>
      </w:r>
      <w:r>
        <w:rPr>
          <w:rFonts w:hint="eastAsia" w:ascii="宋体" w:hAnsi="宋体" w:eastAsia="宋体" w:cs="宋体"/>
          <w:color w:val="auto"/>
          <w:highlight w:val="none"/>
        </w:rPr>
        <w:t>览表</w:t>
      </w:r>
      <w:bookmarkEnd w:id="18"/>
      <w:bookmarkEnd w:id="19"/>
      <w:bookmarkEnd w:id="20"/>
    </w:p>
    <w:tbl>
      <w:tblPr>
        <w:tblStyle w:val="31"/>
        <w:tblW w:w="9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576"/>
        <w:gridCol w:w="7786"/>
      </w:tblGrid>
      <w:tr w14:paraId="4078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573" w:type="dxa"/>
            <w:noWrap w:val="0"/>
            <w:vAlign w:val="center"/>
          </w:tcPr>
          <w:p w14:paraId="235FF4E7">
            <w:pPr>
              <w:pStyle w:val="137"/>
              <w:widowControl/>
              <w:spacing w:line="430" w:lineRule="atLeast"/>
              <w:jc w:val="center"/>
              <w:rPr>
                <w:rFonts w:hint="eastAsia" w:ascii="宋体" w:hAnsi="宋体" w:eastAsia="宋体" w:cs="宋体"/>
                <w:color w:val="auto"/>
                <w:kern w:val="0"/>
                <w:sz w:val="24"/>
                <w:szCs w:val="24"/>
                <w:highlight w:val="none"/>
              </w:rPr>
            </w:pPr>
            <w:bookmarkStart w:id="21" w:name="OLE_LINK2"/>
            <w:r>
              <w:rPr>
                <w:rFonts w:hint="eastAsia" w:ascii="宋体" w:hAnsi="宋体" w:eastAsia="宋体" w:cs="宋体"/>
                <w:color w:val="auto"/>
                <w:kern w:val="0"/>
                <w:sz w:val="24"/>
                <w:szCs w:val="24"/>
                <w:highlight w:val="none"/>
              </w:rPr>
              <w:t>1</w:t>
            </w:r>
          </w:p>
        </w:tc>
        <w:tc>
          <w:tcPr>
            <w:tcW w:w="1576" w:type="dxa"/>
            <w:noWrap w:val="0"/>
            <w:vAlign w:val="center"/>
          </w:tcPr>
          <w:p w14:paraId="7CC2106B">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招标公告</w:t>
            </w:r>
          </w:p>
          <w:p w14:paraId="41C5AB17">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发布时间</w:t>
            </w:r>
          </w:p>
        </w:tc>
        <w:tc>
          <w:tcPr>
            <w:tcW w:w="7786" w:type="dxa"/>
            <w:noWrap w:val="0"/>
            <w:vAlign w:val="center"/>
          </w:tcPr>
          <w:p w14:paraId="26DEBEC8">
            <w:pPr>
              <w:keepNext w:val="0"/>
              <w:keepLines w:val="0"/>
              <w:pageBreakBefore w:val="0"/>
              <w:kinsoku/>
              <w:wordWrap/>
              <w:overflowPunct/>
              <w:topLinePunct w:val="0"/>
              <w:autoSpaceDE/>
              <w:autoSpaceDN/>
              <w:bidi w:val="0"/>
              <w:adjustRightInd/>
              <w:snapToGrid/>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2025</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12</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29</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17</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w:t>
            </w:r>
          </w:p>
        </w:tc>
      </w:tr>
      <w:tr w14:paraId="419AC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573" w:type="dxa"/>
            <w:noWrap w:val="0"/>
            <w:vAlign w:val="center"/>
          </w:tcPr>
          <w:p w14:paraId="2BB06A7D">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576" w:type="dxa"/>
            <w:noWrap w:val="0"/>
            <w:vAlign w:val="center"/>
          </w:tcPr>
          <w:p w14:paraId="1F1756AA">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获取招标文件截止时间</w:t>
            </w:r>
          </w:p>
        </w:tc>
        <w:tc>
          <w:tcPr>
            <w:tcW w:w="7786" w:type="dxa"/>
            <w:noWrap w:val="0"/>
            <w:vAlign w:val="center"/>
          </w:tcPr>
          <w:p w14:paraId="787B8CAC">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68CE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573" w:type="dxa"/>
            <w:noWrap w:val="0"/>
            <w:vAlign w:val="center"/>
          </w:tcPr>
          <w:p w14:paraId="4B956692">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1576" w:type="dxa"/>
            <w:noWrap w:val="0"/>
            <w:vAlign w:val="center"/>
          </w:tcPr>
          <w:p w14:paraId="58ED66E1">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网上提问</w:t>
            </w:r>
          </w:p>
          <w:p w14:paraId="50B88E34">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7023F229">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6D2B7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573" w:type="dxa"/>
            <w:noWrap w:val="0"/>
            <w:vAlign w:val="center"/>
          </w:tcPr>
          <w:p w14:paraId="38760C47">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576" w:type="dxa"/>
            <w:noWrap w:val="0"/>
            <w:vAlign w:val="center"/>
          </w:tcPr>
          <w:p w14:paraId="33E9F6EE">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网上答疑</w:t>
            </w:r>
          </w:p>
          <w:p w14:paraId="379B8CD8">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时间</w:t>
            </w:r>
          </w:p>
        </w:tc>
        <w:tc>
          <w:tcPr>
            <w:tcW w:w="7786" w:type="dxa"/>
            <w:noWrap w:val="0"/>
            <w:vAlign w:val="center"/>
          </w:tcPr>
          <w:p w14:paraId="0CB4BCDB">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日</w:t>
            </w:r>
            <w:bookmarkStart w:id="371" w:name="_GoBack"/>
            <w:bookmarkEnd w:id="371"/>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13</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16</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19FC9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1" w:hRule="atLeast"/>
          <w:jc w:val="center"/>
        </w:trPr>
        <w:tc>
          <w:tcPr>
            <w:tcW w:w="573" w:type="dxa"/>
            <w:noWrap w:val="0"/>
            <w:vAlign w:val="center"/>
          </w:tcPr>
          <w:p w14:paraId="0B2F7D73">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1576" w:type="dxa"/>
            <w:noWrap w:val="0"/>
            <w:vAlign w:val="center"/>
          </w:tcPr>
          <w:p w14:paraId="553C2906">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投标保证缴</w:t>
            </w:r>
          </w:p>
          <w:p w14:paraId="5B798642">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纳截止时间</w:t>
            </w:r>
          </w:p>
        </w:tc>
        <w:tc>
          <w:tcPr>
            <w:tcW w:w="7786" w:type="dxa"/>
            <w:noWrap w:val="0"/>
            <w:vAlign w:val="center"/>
          </w:tcPr>
          <w:p w14:paraId="70704A2E">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投标保证金到账截止时间：</w:t>
            </w: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19</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p w14:paraId="459B53B1">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投标保证担保上传截止时间：</w:t>
            </w: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19</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p w14:paraId="32299DE7">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投标保证保险投保截止时间：</w:t>
            </w: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19</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597FA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573" w:type="dxa"/>
            <w:noWrap w:val="0"/>
            <w:vAlign w:val="center"/>
          </w:tcPr>
          <w:p w14:paraId="50583DEA">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576" w:type="dxa"/>
            <w:noWrap w:val="0"/>
            <w:vAlign w:val="center"/>
          </w:tcPr>
          <w:p w14:paraId="39925305">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电子投标</w:t>
            </w:r>
          </w:p>
          <w:p w14:paraId="38E6D448">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截止时间</w:t>
            </w:r>
          </w:p>
        </w:tc>
        <w:tc>
          <w:tcPr>
            <w:tcW w:w="7786" w:type="dxa"/>
            <w:noWrap w:val="0"/>
            <w:vAlign w:val="center"/>
          </w:tcPr>
          <w:p w14:paraId="45DAA868">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7906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573" w:type="dxa"/>
            <w:noWrap w:val="0"/>
            <w:vAlign w:val="center"/>
          </w:tcPr>
          <w:p w14:paraId="04D9EF02">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1576" w:type="dxa"/>
            <w:noWrap w:val="0"/>
            <w:vAlign w:val="center"/>
          </w:tcPr>
          <w:p w14:paraId="2CDA6021">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33A5EAB1">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0BFAAA7E">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09</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30</w:t>
            </w:r>
            <w:r>
              <w:rPr>
                <w:rFonts w:hint="eastAsia" w:ascii="宋体" w:hAnsi="宋体" w:eastAsia="宋体" w:cs="宋体"/>
                <w:color w:val="auto"/>
                <w:kern w:val="0"/>
                <w:sz w:val="24"/>
                <w:szCs w:val="24"/>
                <w:highlight w:val="none"/>
              </w:rPr>
              <w:t>分至</w:t>
            </w: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626B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8" w:hRule="atLeast"/>
          <w:jc w:val="center"/>
        </w:trPr>
        <w:tc>
          <w:tcPr>
            <w:tcW w:w="573" w:type="dxa"/>
            <w:noWrap w:val="0"/>
            <w:vAlign w:val="center"/>
          </w:tcPr>
          <w:p w14:paraId="469C6330">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1576" w:type="dxa"/>
            <w:noWrap w:val="0"/>
            <w:vAlign w:val="center"/>
          </w:tcPr>
          <w:p w14:paraId="14D3CC13">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投标相关资料（如有）</w:t>
            </w:r>
          </w:p>
          <w:p w14:paraId="0B3D776A">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递交时间</w:t>
            </w:r>
          </w:p>
        </w:tc>
        <w:tc>
          <w:tcPr>
            <w:tcW w:w="7786" w:type="dxa"/>
            <w:noWrap w:val="0"/>
            <w:vAlign w:val="center"/>
          </w:tcPr>
          <w:p w14:paraId="202FE131">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递交场所：韶关市公共资源交易中心</w:t>
            </w:r>
          </w:p>
          <w:p w14:paraId="77BF6396">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地址：韶关市公共资源交易中心乐昌分中心（地址：乐昌市昌山北路23号），具体递交场所以当日现场通知为准。</w:t>
            </w:r>
          </w:p>
        </w:tc>
      </w:tr>
      <w:tr w14:paraId="21DC5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573" w:type="dxa"/>
            <w:noWrap w:val="0"/>
            <w:vAlign w:val="center"/>
          </w:tcPr>
          <w:p w14:paraId="08429796">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1576" w:type="dxa"/>
            <w:noWrap w:val="0"/>
            <w:vAlign w:val="center"/>
          </w:tcPr>
          <w:p w14:paraId="40D0E022">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开标时间</w:t>
            </w:r>
          </w:p>
        </w:tc>
        <w:tc>
          <w:tcPr>
            <w:tcW w:w="7786" w:type="dxa"/>
            <w:noWrap w:val="0"/>
            <w:vAlign w:val="center"/>
          </w:tcPr>
          <w:p w14:paraId="3F12EE2D">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2026</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lang w:val="en-US" w:eastAsia="zh-CN"/>
              </w:rPr>
              <w:t>01</w:t>
            </w:r>
            <w:r>
              <w:rPr>
                <w:rFonts w:hint="eastAsia" w:ascii="宋体" w:hAnsi="宋体" w:eastAsia="宋体" w:cs="宋体"/>
                <w:color w:val="auto"/>
                <w:kern w:val="0"/>
                <w:sz w:val="24"/>
                <w:szCs w:val="24"/>
                <w:highlight w:val="none"/>
              </w:rPr>
              <w:t>月</w:t>
            </w:r>
            <w:r>
              <w:rPr>
                <w:rFonts w:hint="eastAsia" w:ascii="宋体" w:hAnsi="宋体" w:eastAsia="宋体" w:cs="宋体"/>
                <w:color w:val="auto"/>
                <w:kern w:val="0"/>
                <w:sz w:val="24"/>
                <w:szCs w:val="24"/>
                <w:highlight w:val="none"/>
                <w:lang w:val="en-US" w:eastAsia="zh-CN"/>
              </w:rPr>
              <w:t>20</w:t>
            </w:r>
            <w:r>
              <w:rPr>
                <w:rFonts w:hint="eastAsia" w:ascii="宋体" w:hAnsi="宋体" w:eastAsia="宋体" w:cs="宋体"/>
                <w:color w:val="auto"/>
                <w:kern w:val="0"/>
                <w:sz w:val="24"/>
                <w:szCs w:val="24"/>
                <w:highlight w:val="none"/>
              </w:rPr>
              <w:t>日</w:t>
            </w:r>
            <w:r>
              <w:rPr>
                <w:rFonts w:hint="eastAsia" w:ascii="宋体" w:hAnsi="宋体" w:eastAsia="宋体" w:cs="宋体"/>
                <w:color w:val="auto"/>
                <w:kern w:val="0"/>
                <w:sz w:val="24"/>
                <w:szCs w:val="24"/>
                <w:highlight w:val="none"/>
                <w:lang w:val="en-US" w:eastAsia="zh-CN"/>
              </w:rPr>
              <w:t>10</w:t>
            </w:r>
            <w:r>
              <w:rPr>
                <w:rFonts w:hint="eastAsia" w:ascii="宋体" w:hAnsi="宋体" w:eastAsia="宋体" w:cs="宋体"/>
                <w:color w:val="auto"/>
                <w:kern w:val="0"/>
                <w:sz w:val="24"/>
                <w:szCs w:val="24"/>
                <w:highlight w:val="none"/>
              </w:rPr>
              <w:t>时</w:t>
            </w:r>
            <w:r>
              <w:rPr>
                <w:rFonts w:hint="eastAsia" w:ascii="宋体" w:hAnsi="宋体" w:eastAsia="宋体" w:cs="宋体"/>
                <w:color w:val="auto"/>
                <w:kern w:val="0"/>
                <w:sz w:val="24"/>
                <w:szCs w:val="24"/>
                <w:highlight w:val="none"/>
                <w:lang w:val="en-US" w:eastAsia="zh-CN"/>
              </w:rPr>
              <w:t>00</w:t>
            </w:r>
            <w:r>
              <w:rPr>
                <w:rFonts w:hint="eastAsia" w:ascii="宋体" w:hAnsi="宋体" w:eastAsia="宋体" w:cs="宋体"/>
                <w:color w:val="auto"/>
                <w:kern w:val="0"/>
                <w:sz w:val="24"/>
                <w:szCs w:val="24"/>
                <w:highlight w:val="none"/>
              </w:rPr>
              <w:t>分</w:t>
            </w:r>
          </w:p>
        </w:tc>
      </w:tr>
      <w:tr w14:paraId="448B7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573" w:type="dxa"/>
            <w:noWrap w:val="0"/>
            <w:vAlign w:val="center"/>
          </w:tcPr>
          <w:p w14:paraId="0E9E0516">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1576" w:type="dxa"/>
            <w:noWrap w:val="0"/>
            <w:vAlign w:val="center"/>
          </w:tcPr>
          <w:p w14:paraId="45085988">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开标地点</w:t>
            </w:r>
          </w:p>
        </w:tc>
        <w:tc>
          <w:tcPr>
            <w:tcW w:w="7786" w:type="dxa"/>
            <w:noWrap w:val="0"/>
            <w:vAlign w:val="center"/>
          </w:tcPr>
          <w:p w14:paraId="5AD82464">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开标场所：韶关市公共资源交易中心</w:t>
            </w:r>
          </w:p>
          <w:p w14:paraId="2B7CB05D">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地址：韶关市公共资源交易中心乐昌分中心（地址：乐昌市昌山北路23号），具体开标室以当日现场通知为准。</w:t>
            </w:r>
          </w:p>
        </w:tc>
      </w:tr>
      <w:tr w14:paraId="4528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2149" w:type="dxa"/>
            <w:gridSpan w:val="2"/>
            <w:noWrap w:val="0"/>
            <w:vAlign w:val="center"/>
          </w:tcPr>
          <w:p w14:paraId="1063E9AD">
            <w:pPr>
              <w:pStyle w:val="137"/>
              <w:widowControl/>
              <w:spacing w:line="430" w:lineRule="atLeast"/>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备注</w:t>
            </w:r>
          </w:p>
        </w:tc>
        <w:tc>
          <w:tcPr>
            <w:tcW w:w="7786" w:type="dxa"/>
            <w:noWrap w:val="0"/>
            <w:vAlign w:val="center"/>
          </w:tcPr>
          <w:p w14:paraId="09263508">
            <w:pPr>
              <w:pStyle w:val="137"/>
              <w:keepNext w:val="0"/>
              <w:keepLines w:val="0"/>
              <w:pageBreakBefore w:val="0"/>
              <w:widowControl/>
              <w:kinsoku/>
              <w:wordWrap/>
              <w:overflowPunct/>
              <w:topLinePunct w:val="0"/>
              <w:autoSpaceDE/>
              <w:autoSpaceDN/>
              <w:bidi w:val="0"/>
              <w:adjustRightInd/>
              <w:snapToGrid/>
              <w:spacing w:line="430" w:lineRule="atLeast"/>
              <w:ind w:firstLine="240" w:firstLineChars="1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bookmarkEnd w:id="21"/>
    </w:tbl>
    <w:p w14:paraId="772F04C2">
      <w:pPr>
        <w:pStyle w:val="2"/>
        <w:tabs>
          <w:tab w:val="left" w:pos="885"/>
        </w:tabs>
        <w:wordWrap w:val="0"/>
        <w:autoSpaceDE/>
        <w:autoSpaceDN/>
        <w:snapToGrid w:val="0"/>
        <w:spacing w:line="440" w:lineRule="exact"/>
        <w:ind w:left="885" w:hanging="885"/>
        <w:jc w:val="center"/>
        <w:rPr>
          <w:rFonts w:hint="eastAsia" w:ascii="宋体" w:hAnsi="宋体" w:eastAsia="宋体" w:cs="宋体"/>
          <w:snapToGrid w:val="0"/>
          <w:color w:val="auto"/>
          <w:sz w:val="24"/>
          <w:highlight w:val="none"/>
        </w:rPr>
        <w:sectPr>
          <w:endnotePr>
            <w:numFmt w:val="decimal"/>
          </w:endnotePr>
          <w:pgSz w:w="11906" w:h="16838"/>
          <w:pgMar w:top="1134" w:right="1134" w:bottom="1134" w:left="1134" w:header="850" w:footer="992" w:gutter="0"/>
          <w:pgBorders>
            <w:top w:val="none" w:sz="0" w:space="0"/>
            <w:left w:val="none" w:sz="0" w:space="0"/>
            <w:bottom w:val="none" w:sz="0" w:space="0"/>
            <w:right w:val="none" w:sz="0" w:space="0"/>
          </w:pgBorders>
          <w:cols w:space="720" w:num="1"/>
          <w:docGrid w:linePitch="327" w:charSpace="0"/>
        </w:sectPr>
      </w:pPr>
    </w:p>
    <w:p w14:paraId="7814AF46">
      <w:pPr>
        <w:pStyle w:val="3"/>
        <w:bidi w:val="0"/>
        <w:rPr>
          <w:rFonts w:hint="eastAsia" w:ascii="宋体" w:hAnsi="宋体" w:eastAsia="宋体" w:cs="宋体"/>
          <w:color w:val="auto"/>
          <w:highlight w:val="none"/>
        </w:rPr>
      </w:pPr>
      <w:bookmarkStart w:id="22" w:name="_Hlt87793819"/>
      <w:bookmarkEnd w:id="22"/>
      <w:bookmarkStart w:id="23" w:name="_Toc16803"/>
      <w:bookmarkStart w:id="24" w:name="_Toc30390"/>
      <w:bookmarkStart w:id="25" w:name="_Toc5895"/>
      <w:bookmarkStart w:id="26" w:name="_Hlt69698705"/>
      <w:bookmarkStart w:id="27" w:name="_Hlt69698754"/>
      <w:bookmarkStart w:id="28" w:name="_Toc18202"/>
      <w:r>
        <w:rPr>
          <w:rFonts w:hint="eastAsia" w:ascii="宋体" w:hAnsi="宋体" w:eastAsia="宋体" w:cs="宋体"/>
          <w:color w:val="auto"/>
          <w:highlight w:val="none"/>
        </w:rPr>
        <w:t>第三节 投标人须知</w:t>
      </w:r>
      <w:bookmarkEnd w:id="23"/>
      <w:bookmarkStart w:id="29" w:name="_Hlt69669159"/>
      <w:bookmarkEnd w:id="29"/>
      <w:r>
        <w:rPr>
          <w:rFonts w:hint="eastAsia" w:ascii="宋体" w:hAnsi="宋体" w:eastAsia="宋体" w:cs="宋体"/>
          <w:color w:val="auto"/>
          <w:highlight w:val="none"/>
        </w:rPr>
        <w:t>正文</w:t>
      </w:r>
      <w:bookmarkEnd w:id="24"/>
      <w:bookmarkEnd w:id="25"/>
      <w:bookmarkEnd w:id="26"/>
      <w:bookmarkEnd w:id="27"/>
      <w:bookmarkEnd w:id="28"/>
    </w:p>
    <w:p w14:paraId="744F5028">
      <w:pPr>
        <w:pageBreakBefore w:val="0"/>
        <w:kinsoku/>
        <w:overflowPunct/>
        <w:topLinePunct w:val="0"/>
        <w:autoSpaceDE/>
        <w:autoSpaceDN/>
        <w:bidi w:val="0"/>
        <w:spacing w:line="360" w:lineRule="auto"/>
        <w:ind w:firstLine="480" w:firstLineChars="200"/>
        <w:textAlignment w:val="auto"/>
        <w:rPr>
          <w:rFonts w:hint="eastAsia" w:ascii="宋体" w:hAnsi="宋体" w:eastAsia="宋体" w:cs="宋体"/>
          <w:b/>
          <w:snapToGrid w:val="0"/>
          <w:color w:val="auto"/>
          <w:highlight w:val="none"/>
        </w:rPr>
      </w:pPr>
      <w:bookmarkStart w:id="30" w:name="_Hlt119991399"/>
      <w:bookmarkEnd w:id="30"/>
      <w:bookmarkStart w:id="31" w:name="_Hlt109358474"/>
      <w:bookmarkEnd w:id="31"/>
      <w:bookmarkStart w:id="32" w:name="_Hlt74474735"/>
      <w:bookmarkEnd w:id="32"/>
      <w:bookmarkStart w:id="33" w:name="_Hlt78795222"/>
      <w:bookmarkEnd w:id="33"/>
      <w:bookmarkStart w:id="34" w:name="_Hlt87948285"/>
      <w:bookmarkEnd w:id="34"/>
      <w:bookmarkStart w:id="35" w:name="_Toc26083"/>
      <w:r>
        <w:rPr>
          <w:rFonts w:hint="eastAsia" w:hAnsi="宋体" w:cs="宋体"/>
          <w:snapToGrid w:val="0"/>
          <w:color w:val="auto"/>
          <w:kern w:val="0"/>
          <w:sz w:val="24"/>
          <w:szCs w:val="24"/>
          <w:highlight w:val="none"/>
          <w:u w:val="single"/>
          <w:lang w:val="en-US" w:eastAsia="zh-CN"/>
        </w:rPr>
        <w:t>乐昌市“花果世界”山水人家乡村振兴示范带（庆云段）项目</w:t>
      </w:r>
      <w:r>
        <w:rPr>
          <w:rFonts w:hint="eastAsia" w:ascii="宋体" w:hAnsi="宋体" w:eastAsia="宋体" w:cs="宋体"/>
          <w:snapToGrid w:val="0"/>
          <w:color w:val="auto"/>
          <w:kern w:val="0"/>
          <w:sz w:val="24"/>
          <w:szCs w:val="24"/>
          <w:highlight w:val="none"/>
        </w:rPr>
        <w:t>业经</w:t>
      </w:r>
      <w:r>
        <w:rPr>
          <w:rFonts w:hint="eastAsia" w:ascii="宋体" w:hAnsi="宋体" w:eastAsia="宋体" w:cs="宋体"/>
          <w:snapToGrid w:val="0"/>
          <w:color w:val="auto"/>
          <w:kern w:val="0"/>
          <w:sz w:val="24"/>
          <w:szCs w:val="24"/>
          <w:highlight w:val="none"/>
          <w:u w:val="single"/>
          <w:lang w:val="en-US" w:eastAsia="zh-CN"/>
        </w:rPr>
        <w:t>乐昌市发展和改革局关于乐昌市“花果世界”山水人家乡村振兴示范带（庆云段）项目可行性研究报告的批复</w:t>
      </w:r>
      <w:r>
        <w:rPr>
          <w:rFonts w:hint="eastAsia" w:ascii="宋体" w:hAnsi="宋体" w:eastAsia="宋体" w:cs="宋体"/>
          <w:snapToGrid w:val="0"/>
          <w:color w:val="auto"/>
          <w:kern w:val="0"/>
          <w:szCs w:val="24"/>
          <w:highlight w:val="none"/>
          <w:u w:val="single"/>
        </w:rPr>
        <w:t>（</w:t>
      </w:r>
      <w:r>
        <w:rPr>
          <w:rFonts w:hint="eastAsia" w:ascii="宋体" w:hAnsi="宋体" w:eastAsia="宋体" w:cs="宋体"/>
          <w:snapToGrid w:val="0"/>
          <w:color w:val="auto"/>
          <w:kern w:val="0"/>
          <w:szCs w:val="24"/>
          <w:highlight w:val="none"/>
          <w:u w:val="single"/>
          <w:lang w:val="en-US" w:eastAsia="zh-CN"/>
        </w:rPr>
        <w:t>乐发改投审〔2025〕55号</w:t>
      </w:r>
      <w:r>
        <w:rPr>
          <w:rFonts w:hint="eastAsia" w:ascii="宋体" w:hAnsi="宋体" w:eastAsia="宋体" w:cs="宋体"/>
          <w:snapToGrid w:val="0"/>
          <w:color w:val="auto"/>
          <w:kern w:val="0"/>
          <w:szCs w:val="24"/>
          <w:highlight w:val="none"/>
          <w:u w:val="single"/>
        </w:rPr>
        <w:t>）</w:t>
      </w:r>
      <w:r>
        <w:rPr>
          <w:rStyle w:val="150"/>
          <w:rFonts w:hint="eastAsia" w:ascii="宋体" w:hAnsi="宋体" w:eastAsia="宋体" w:cs="宋体"/>
          <w:color w:val="auto"/>
          <w:kern w:val="0"/>
          <w:szCs w:val="24"/>
          <w:highlight w:val="none"/>
        </w:rPr>
        <w:t>批准建设</w:t>
      </w:r>
      <w:r>
        <w:rPr>
          <w:rFonts w:hint="eastAsia" w:ascii="宋体" w:hAnsi="宋体" w:eastAsia="宋体" w:cs="宋体"/>
          <w:snapToGrid w:val="0"/>
          <w:color w:val="auto"/>
          <w:kern w:val="0"/>
          <w:szCs w:val="24"/>
          <w:highlight w:val="none"/>
        </w:rPr>
        <w:t>，项目代码为</w:t>
      </w:r>
      <w:r>
        <w:rPr>
          <w:rFonts w:hint="eastAsia" w:hAnsi="宋体" w:cs="宋体"/>
          <w:snapToGrid w:val="0"/>
          <w:color w:val="auto"/>
          <w:kern w:val="0"/>
          <w:szCs w:val="24"/>
          <w:highlight w:val="none"/>
          <w:u w:val="single"/>
          <w:lang w:val="en-US" w:eastAsia="zh-CN"/>
        </w:rPr>
        <w:t>2504-440281-04-01-407580</w:t>
      </w:r>
      <w:r>
        <w:rPr>
          <w:rFonts w:hint="eastAsia" w:ascii="宋体" w:hAnsi="宋体" w:eastAsia="宋体" w:cs="宋体"/>
          <w:snapToGrid w:val="0"/>
          <w:color w:val="auto"/>
          <w:kern w:val="0"/>
          <w:szCs w:val="24"/>
          <w:highlight w:val="none"/>
        </w:rPr>
        <w:t>。本项目业主为</w:t>
      </w:r>
      <w:r>
        <w:rPr>
          <w:rFonts w:hint="eastAsia" w:hAnsi="宋体" w:cs="宋体"/>
          <w:i w:val="0"/>
          <w:iCs w:val="0"/>
          <w:caps w:val="0"/>
          <w:color w:val="auto"/>
          <w:spacing w:val="0"/>
          <w:sz w:val="24"/>
          <w:szCs w:val="24"/>
          <w:highlight w:val="none"/>
          <w:u w:val="single"/>
          <w:shd w:val="clear" w:color="auto" w:fill="FFFFFF"/>
          <w:lang w:eastAsia="zh-CN"/>
        </w:rPr>
        <w:t>乐昌市庆云镇人民政府</w:t>
      </w:r>
      <w:r>
        <w:rPr>
          <w:rFonts w:hint="eastAsia" w:ascii="宋体" w:hAnsi="宋体" w:eastAsia="宋体" w:cs="宋体"/>
          <w:snapToGrid w:val="0"/>
          <w:color w:val="auto"/>
          <w:kern w:val="0"/>
          <w:szCs w:val="24"/>
          <w:highlight w:val="none"/>
        </w:rPr>
        <w:t>，建设资金来自</w:t>
      </w:r>
      <w:r>
        <w:rPr>
          <w:rFonts w:hint="eastAsia" w:ascii="宋体" w:hAnsi="宋体" w:eastAsia="宋体" w:cs="宋体"/>
          <w:snapToGrid w:val="0"/>
          <w:color w:val="auto"/>
          <w:kern w:val="0"/>
          <w:szCs w:val="24"/>
          <w:highlight w:val="none"/>
          <w:u w:val="single"/>
          <w:lang w:val="en-US" w:eastAsia="zh-CN"/>
        </w:rPr>
        <w:t>上级财政资金，不足部分由业主单位自筹解决</w:t>
      </w:r>
      <w:r>
        <w:rPr>
          <w:rStyle w:val="150"/>
          <w:rFonts w:hint="eastAsia" w:ascii="宋体" w:hAnsi="宋体" w:eastAsia="宋体" w:cs="宋体"/>
          <w:color w:val="auto"/>
          <w:kern w:val="0"/>
          <w:szCs w:val="24"/>
          <w:highlight w:val="none"/>
        </w:rPr>
        <w:t>，出资比例为</w:t>
      </w:r>
      <w:r>
        <w:rPr>
          <w:rFonts w:hint="eastAsia" w:ascii="宋体" w:hAnsi="宋体" w:eastAsia="宋体" w:cs="宋体"/>
          <w:snapToGrid w:val="0"/>
          <w:color w:val="auto"/>
          <w:kern w:val="0"/>
          <w:szCs w:val="24"/>
          <w:highlight w:val="none"/>
          <w:u w:val="single"/>
        </w:rPr>
        <w:t>100%</w:t>
      </w:r>
      <w:r>
        <w:rPr>
          <w:rFonts w:hint="eastAsia" w:ascii="宋体" w:hAnsi="宋体" w:eastAsia="宋体" w:cs="宋体"/>
          <w:snapToGrid w:val="0"/>
          <w:color w:val="auto"/>
          <w:kern w:val="0"/>
          <w:szCs w:val="24"/>
          <w:highlight w:val="none"/>
        </w:rPr>
        <w:t>，招标人为</w:t>
      </w:r>
      <w:r>
        <w:rPr>
          <w:rFonts w:hint="eastAsia" w:hAnsi="宋体" w:cs="宋体"/>
          <w:color w:val="auto"/>
          <w:kern w:val="0"/>
          <w:szCs w:val="24"/>
          <w:highlight w:val="none"/>
          <w:u w:val="single"/>
          <w:lang w:eastAsia="zh-CN"/>
        </w:rPr>
        <w:t>乐昌市庆云镇人民政府</w:t>
      </w:r>
      <w:r>
        <w:rPr>
          <w:rFonts w:hint="eastAsia" w:ascii="宋体" w:hAnsi="宋体" w:eastAsia="宋体" w:cs="宋体"/>
          <w:snapToGrid w:val="0"/>
          <w:color w:val="auto"/>
          <w:kern w:val="0"/>
          <w:szCs w:val="24"/>
          <w:highlight w:val="none"/>
        </w:rPr>
        <w:t>，招标代理机构为</w:t>
      </w:r>
      <w:r>
        <w:rPr>
          <w:rFonts w:hint="eastAsia" w:hAnsi="宋体" w:cs="宋体"/>
          <w:color w:val="auto"/>
          <w:kern w:val="0"/>
          <w:szCs w:val="24"/>
          <w:highlight w:val="none"/>
          <w:u w:val="single"/>
          <w:lang w:eastAsia="zh-CN"/>
        </w:rPr>
        <w:t>广州穗图项目管理有限公司</w:t>
      </w:r>
      <w:r>
        <w:rPr>
          <w:rFonts w:hint="eastAsia" w:ascii="宋体" w:hAnsi="宋体" w:eastAsia="宋体" w:cs="宋体"/>
          <w:snapToGrid w:val="0"/>
          <w:color w:val="auto"/>
          <w:kern w:val="0"/>
          <w:szCs w:val="24"/>
          <w:highlight w:val="none"/>
        </w:rPr>
        <w:t>。项目已具备招标条件，现对该项目的</w:t>
      </w:r>
      <w:r>
        <w:rPr>
          <w:rFonts w:hint="eastAsia" w:ascii="宋体" w:hAnsi="宋体" w:eastAsia="宋体" w:cs="宋体"/>
          <w:snapToGrid w:val="0"/>
          <w:color w:val="auto"/>
          <w:kern w:val="0"/>
          <w:szCs w:val="24"/>
          <w:highlight w:val="none"/>
          <w:u w:val="single"/>
        </w:rPr>
        <w:t>施工</w:t>
      </w:r>
      <w:r>
        <w:rPr>
          <w:rFonts w:hint="eastAsia" w:ascii="宋体" w:hAnsi="宋体" w:eastAsia="宋体" w:cs="宋体"/>
          <w:snapToGrid w:val="0"/>
          <w:color w:val="auto"/>
          <w:kern w:val="0"/>
          <w:szCs w:val="24"/>
          <w:highlight w:val="none"/>
        </w:rPr>
        <w:t>进行公开招标。</w:t>
      </w:r>
    </w:p>
    <w:p w14:paraId="31132700">
      <w:pPr>
        <w:pStyle w:val="4"/>
        <w:pageBreakBefore w:val="0"/>
        <w:kinsoku/>
        <w:overflowPunct/>
        <w:topLinePunct w:val="0"/>
        <w:autoSpaceDE/>
        <w:autoSpaceDN/>
        <w:bidi w:val="0"/>
        <w:spacing w:beforeLines="0" w:afterLines="0" w:line="360" w:lineRule="auto"/>
        <w:ind w:firstLine="482" w:firstLineChars="200"/>
        <w:textAlignment w:val="auto"/>
        <w:rPr>
          <w:rFonts w:hint="eastAsia" w:ascii="宋体" w:hAnsi="宋体" w:eastAsia="宋体" w:cs="宋体"/>
          <w:color w:val="auto"/>
          <w:highlight w:val="none"/>
        </w:rPr>
      </w:pPr>
      <w:bookmarkStart w:id="36" w:name="_Toc25995"/>
      <w:r>
        <w:rPr>
          <w:rFonts w:hint="eastAsia" w:ascii="宋体" w:hAnsi="宋体" w:eastAsia="宋体" w:cs="宋体"/>
          <w:color w:val="auto"/>
          <w:highlight w:val="none"/>
        </w:rPr>
        <w:t>1．项目概况、招标范围和标段划分、投标费用</w:t>
      </w:r>
      <w:bookmarkEnd w:id="36"/>
    </w:p>
    <w:p w14:paraId="58F7CAB7">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rPr>
      </w:pPr>
      <w:r>
        <w:rPr>
          <w:rFonts w:hint="eastAsia" w:ascii="宋体" w:hAnsi="宋体" w:eastAsia="宋体" w:cs="宋体"/>
          <w:b/>
          <w:bCs/>
          <w:snapToGrid w:val="0"/>
          <w:color w:val="auto"/>
          <w:kern w:val="0"/>
          <w:sz w:val="24"/>
          <w:highlight w:val="none"/>
        </w:rPr>
        <w:t>1.1</w:t>
      </w:r>
      <w:r>
        <w:rPr>
          <w:rFonts w:hint="eastAsia" w:ascii="宋体" w:hAnsi="宋体" w:eastAsia="宋体" w:cs="宋体"/>
          <w:snapToGrid w:val="0"/>
          <w:color w:val="auto"/>
          <w:kern w:val="0"/>
          <w:sz w:val="24"/>
          <w:highlight w:val="none"/>
        </w:rPr>
        <w:t xml:space="preserve"> 项目概况</w:t>
      </w:r>
    </w:p>
    <w:p w14:paraId="0308C9A8">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建设地点：</w:t>
      </w:r>
      <w:r>
        <w:rPr>
          <w:rFonts w:hint="eastAsia" w:ascii="宋体" w:hAnsi="宋体" w:eastAsia="宋体" w:cs="宋体"/>
          <w:snapToGrid w:val="0"/>
          <w:color w:val="auto"/>
          <w:kern w:val="0"/>
          <w:sz w:val="24"/>
          <w:szCs w:val="24"/>
          <w:highlight w:val="none"/>
          <w:u w:val="single"/>
          <w:lang w:val="en-US" w:eastAsia="zh-CN"/>
        </w:rPr>
        <w:t>乐昌市</w:t>
      </w:r>
      <w:r>
        <w:rPr>
          <w:rFonts w:hint="eastAsia" w:ascii="宋体" w:hAnsi="宋体" w:cs="宋体"/>
          <w:snapToGrid w:val="0"/>
          <w:color w:val="auto"/>
          <w:kern w:val="0"/>
          <w:sz w:val="24"/>
          <w:szCs w:val="24"/>
          <w:highlight w:val="none"/>
          <w:u w:val="single"/>
          <w:lang w:val="en-US" w:eastAsia="zh-CN"/>
        </w:rPr>
        <w:t>庆云镇。</w:t>
      </w:r>
    </w:p>
    <w:p w14:paraId="68344DA7">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u w:val="single"/>
          <w:lang w:val="en-US" w:eastAsia="zh-CN"/>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建设内容和规模：</w:t>
      </w:r>
      <w:r>
        <w:rPr>
          <w:rFonts w:hint="eastAsia" w:ascii="宋体" w:hAnsi="宋体" w:eastAsia="宋体" w:cs="宋体"/>
          <w:snapToGrid w:val="0"/>
          <w:color w:val="auto"/>
          <w:kern w:val="0"/>
          <w:sz w:val="24"/>
          <w:szCs w:val="24"/>
          <w:highlight w:val="none"/>
          <w:u w:val="single"/>
          <w:lang w:val="en-US" w:eastAsia="zh-CN"/>
        </w:rPr>
        <w:t>涉及湾雷村、五里冲村等8个行政村，主要包括人居环境整治、排水沟整治、巷道硬化、闲置土地整理、三线捆扎、道路整治提升等。</w:t>
      </w:r>
    </w:p>
    <w:p w14:paraId="2A879CCC">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szCs w:val="24"/>
          <w:highlight w:val="none"/>
          <w:u w:val="single"/>
          <w:lang w:val="en-US" w:eastAsia="zh-CN"/>
        </w:rPr>
      </w:pPr>
      <w:r>
        <w:rPr>
          <w:rFonts w:hint="eastAsia" w:ascii="宋体" w:hAnsi="宋体" w:eastAsia="宋体" w:cs="宋体"/>
          <w:b/>
          <w:bCs/>
          <w:snapToGrid w:val="0"/>
          <w:color w:val="auto"/>
          <w:kern w:val="0"/>
          <w:sz w:val="24"/>
          <w:szCs w:val="24"/>
          <w:highlight w:val="none"/>
          <w:u w:val="none"/>
          <w:lang w:val="en-US" w:eastAsia="zh-CN"/>
        </w:rPr>
        <w:t>1.1.3</w:t>
      </w:r>
      <w:r>
        <w:rPr>
          <w:rFonts w:hint="eastAsia" w:ascii="宋体" w:hAnsi="宋体" w:eastAsia="宋体" w:cs="宋体"/>
          <w:snapToGrid w:val="0"/>
          <w:color w:val="auto"/>
          <w:kern w:val="0"/>
          <w:sz w:val="24"/>
          <w:szCs w:val="24"/>
          <w:highlight w:val="none"/>
          <w:u w:val="none"/>
          <w:lang w:val="en-US" w:eastAsia="zh-CN"/>
        </w:rPr>
        <w:t xml:space="preserve"> 项目总投资：</w:t>
      </w:r>
      <w:r>
        <w:rPr>
          <w:rFonts w:hint="eastAsia" w:ascii="宋体" w:hAnsi="宋体" w:eastAsia="宋体" w:cs="宋体"/>
          <w:snapToGrid w:val="0"/>
          <w:color w:val="auto"/>
          <w:kern w:val="0"/>
          <w:sz w:val="24"/>
          <w:szCs w:val="24"/>
          <w:highlight w:val="none"/>
          <w:u w:val="single"/>
          <w:lang w:val="en-US" w:eastAsia="zh-CN"/>
        </w:rPr>
        <w:t>项目估算总投资4563.17万元，其中：建安工程费用3909.04万元、工程建设其他费用524.84万元（含建设期利息费）、预备费用129.29万元。</w:t>
      </w:r>
    </w:p>
    <w:p w14:paraId="0AEAEA06">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b/>
          <w:bCs/>
          <w:snapToGrid w:val="0"/>
          <w:color w:val="auto"/>
          <w:kern w:val="0"/>
          <w:sz w:val="24"/>
          <w:highlight w:val="none"/>
        </w:rPr>
      </w:pPr>
      <w:r>
        <w:rPr>
          <w:rFonts w:hint="eastAsia" w:ascii="宋体" w:hAnsi="宋体" w:eastAsia="宋体" w:cs="宋体"/>
          <w:b/>
          <w:bCs/>
          <w:snapToGrid w:val="0"/>
          <w:color w:val="auto"/>
          <w:kern w:val="0"/>
          <w:sz w:val="24"/>
          <w:highlight w:val="none"/>
        </w:rPr>
        <w:t xml:space="preserve">1.2 </w:t>
      </w:r>
      <w:r>
        <w:rPr>
          <w:rFonts w:hint="eastAsia" w:ascii="宋体" w:hAnsi="宋体" w:eastAsia="宋体" w:cs="宋体"/>
          <w:snapToGrid w:val="0"/>
          <w:color w:val="auto"/>
          <w:kern w:val="0"/>
          <w:sz w:val="24"/>
          <w:highlight w:val="none"/>
        </w:rPr>
        <w:t>招标范围和标段划分</w:t>
      </w:r>
    </w:p>
    <w:p w14:paraId="21E58119">
      <w:pPr>
        <w:pStyle w:val="137"/>
        <w:pageBreakBefore w:val="0"/>
        <w:kinsoku/>
        <w:wordWrap w:val="0"/>
        <w:overflowPunct/>
        <w:topLinePunct w:val="0"/>
        <w:autoSpaceDE/>
        <w:autoSpaceDN/>
        <w:bidi w:val="0"/>
        <w:adjustRightInd w:val="0"/>
        <w:snapToGrid w:val="0"/>
        <w:spacing w:line="360" w:lineRule="auto"/>
        <w:ind w:firstLine="482" w:firstLineChars="200"/>
        <w:jc w:val="left"/>
        <w:textAlignment w:val="auto"/>
        <w:rPr>
          <w:rFonts w:hint="eastAsia" w:ascii="宋体" w:hAnsi="宋体" w:eastAsia="宋体" w:cs="宋体"/>
          <w:snapToGrid w:val="0"/>
          <w:color w:val="auto"/>
          <w:kern w:val="0"/>
          <w:sz w:val="24"/>
          <w:highlight w:val="none"/>
          <w:u w:val="none"/>
        </w:rPr>
      </w:pPr>
      <w:r>
        <w:rPr>
          <w:rFonts w:hint="eastAsia" w:ascii="宋体" w:hAnsi="宋体" w:eastAsia="宋体" w:cs="宋体"/>
          <w:b/>
          <w:bCs/>
          <w:snapToGrid w:val="0"/>
          <w:color w:val="auto"/>
          <w:kern w:val="0"/>
          <w:sz w:val="24"/>
          <w:highlight w:val="none"/>
        </w:rPr>
        <w:t>1.2.1</w:t>
      </w:r>
      <w:r>
        <w:rPr>
          <w:rFonts w:hint="eastAsia" w:ascii="宋体" w:hAnsi="宋体" w:eastAsia="宋体" w:cs="宋体"/>
          <w:snapToGrid w:val="0"/>
          <w:color w:val="auto"/>
          <w:kern w:val="0"/>
          <w:sz w:val="24"/>
          <w:highlight w:val="none"/>
        </w:rPr>
        <w:t xml:space="preserve"> 招标范围：</w:t>
      </w:r>
      <w:r>
        <w:rPr>
          <w:rFonts w:hint="eastAsia" w:ascii="宋体" w:hAnsi="宋体" w:eastAsia="宋体" w:cs="宋体"/>
          <w:snapToGrid w:val="0"/>
          <w:color w:val="auto"/>
          <w:kern w:val="0"/>
          <w:sz w:val="24"/>
          <w:highlight w:val="none"/>
          <w:u w:val="single"/>
          <w:lang w:val="en-US" w:eastAsia="zh-CN"/>
        </w:rPr>
        <w:t>施工图纸和工程量清单范围内</w:t>
      </w:r>
      <w:r>
        <w:rPr>
          <w:rFonts w:hint="eastAsia" w:ascii="宋体" w:hAnsi="宋体" w:eastAsia="宋体" w:cs="宋体"/>
          <w:snapToGrid w:val="0"/>
          <w:color w:val="auto"/>
          <w:kern w:val="0"/>
          <w:sz w:val="24"/>
          <w:highlight w:val="none"/>
          <w:u w:val="single"/>
        </w:rPr>
        <w:t>等</w:t>
      </w:r>
      <w:r>
        <w:rPr>
          <w:rFonts w:hint="eastAsia" w:ascii="宋体" w:hAnsi="宋体" w:eastAsia="宋体" w:cs="宋体"/>
          <w:snapToGrid w:val="0"/>
          <w:color w:val="auto"/>
          <w:kern w:val="0"/>
          <w:sz w:val="24"/>
          <w:highlight w:val="none"/>
          <w:u w:val="single"/>
          <w:lang w:val="en-US" w:eastAsia="zh-CN"/>
        </w:rPr>
        <w:t>所有</w:t>
      </w:r>
      <w:r>
        <w:rPr>
          <w:rFonts w:hint="eastAsia" w:ascii="宋体" w:hAnsi="宋体" w:eastAsia="宋体" w:cs="宋体"/>
          <w:snapToGrid w:val="0"/>
          <w:color w:val="auto"/>
          <w:kern w:val="0"/>
          <w:sz w:val="24"/>
          <w:highlight w:val="none"/>
          <w:u w:val="single"/>
        </w:rPr>
        <w:t>工程</w:t>
      </w:r>
      <w:r>
        <w:rPr>
          <w:rFonts w:hint="eastAsia" w:ascii="宋体" w:hAnsi="宋体" w:cs="宋体"/>
          <w:snapToGrid w:val="0"/>
          <w:color w:val="auto"/>
          <w:kern w:val="0"/>
          <w:sz w:val="24"/>
          <w:highlight w:val="none"/>
          <w:u w:val="single"/>
          <w:lang w:val="en-US" w:eastAsia="zh-CN"/>
        </w:rPr>
        <w:t>施工</w:t>
      </w:r>
      <w:r>
        <w:rPr>
          <w:rFonts w:hint="eastAsia" w:ascii="宋体" w:hAnsi="宋体" w:eastAsia="宋体" w:cs="宋体"/>
          <w:snapToGrid w:val="0"/>
          <w:color w:val="auto"/>
          <w:kern w:val="0"/>
          <w:sz w:val="24"/>
          <w:highlight w:val="none"/>
          <w:u w:val="single"/>
        </w:rPr>
        <w:t>。</w:t>
      </w:r>
      <w:r>
        <w:rPr>
          <w:rFonts w:hint="eastAsia" w:ascii="宋体" w:hAnsi="宋体" w:eastAsia="宋体" w:cs="宋体"/>
          <w:snapToGrid w:val="0"/>
          <w:color w:val="auto"/>
          <w:kern w:val="0"/>
          <w:sz w:val="24"/>
          <w:highlight w:val="none"/>
          <w:u w:val="none"/>
        </w:rPr>
        <w:t xml:space="preserve">       </w:t>
      </w:r>
    </w:p>
    <w:p w14:paraId="36E61988">
      <w:pPr>
        <w:pStyle w:val="3"/>
        <w:pageBreakBefore w:val="0"/>
        <w:kinsoku/>
        <w:wordWrap w:val="0"/>
        <w:overflowPunct/>
        <w:topLinePunct w:val="0"/>
        <w:autoSpaceDE/>
        <w:autoSpaceDN/>
        <w:bidi w:val="0"/>
        <w:snapToGrid w:val="0"/>
        <w:spacing w:line="360" w:lineRule="auto"/>
        <w:ind w:firstLine="482" w:firstLineChars="200"/>
        <w:jc w:val="both"/>
        <w:textAlignment w:val="auto"/>
        <w:rPr>
          <w:rFonts w:hint="eastAsia" w:ascii="宋体" w:hAnsi="宋体" w:eastAsia="宋体" w:cs="宋体"/>
          <w:b/>
          <w:snapToGrid w:val="0"/>
          <w:color w:val="auto"/>
          <w:highlight w:val="none"/>
        </w:rPr>
      </w:pPr>
      <w:bookmarkStart w:id="37" w:name="_Toc19291"/>
      <w:bookmarkStart w:id="38" w:name="_Toc3268"/>
      <w:bookmarkStart w:id="39" w:name="_Toc9332"/>
      <w:r>
        <w:rPr>
          <w:rFonts w:hint="eastAsia" w:ascii="宋体" w:hAnsi="宋体" w:eastAsia="宋体" w:cs="宋体"/>
          <w:b/>
          <w:bCs/>
          <w:snapToGrid w:val="0"/>
          <w:color w:val="auto"/>
          <w:highlight w:val="none"/>
        </w:rPr>
        <w:t>1.2.2</w:t>
      </w:r>
      <w:r>
        <w:rPr>
          <w:rFonts w:hint="eastAsia" w:ascii="宋体" w:hAnsi="宋体" w:eastAsia="宋体" w:cs="宋体"/>
          <w:snapToGrid w:val="0"/>
          <w:color w:val="auto"/>
          <w:highlight w:val="none"/>
        </w:rPr>
        <w:t xml:space="preserve"> 标段划分：本招标项目不划分标段。</w:t>
      </w:r>
      <w:bookmarkEnd w:id="35"/>
      <w:bookmarkEnd w:id="37"/>
      <w:bookmarkEnd w:id="38"/>
      <w:bookmarkEnd w:id="39"/>
    </w:p>
    <w:p w14:paraId="4E614AA0">
      <w:pPr>
        <w:pageBreakBefore w:val="0"/>
        <w:tabs>
          <w:tab w:val="left" w:pos="7020"/>
        </w:tabs>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1.3</w:t>
      </w:r>
      <w:r>
        <w:rPr>
          <w:rFonts w:hint="eastAsia" w:ascii="宋体" w:hAnsi="宋体" w:eastAsia="宋体" w:cs="宋体"/>
          <w:snapToGrid w:val="0"/>
          <w:color w:val="auto"/>
          <w:kern w:val="0"/>
          <w:szCs w:val="24"/>
          <w:highlight w:val="none"/>
        </w:rPr>
        <w:t xml:space="preserve"> 投标费用</w:t>
      </w:r>
      <w:r>
        <w:rPr>
          <w:rFonts w:hint="eastAsia" w:ascii="宋体" w:hAnsi="宋体" w:eastAsia="宋体" w:cs="宋体"/>
          <w:snapToGrid w:val="0"/>
          <w:color w:val="auto"/>
          <w:kern w:val="0"/>
          <w:highlight w:val="none"/>
        </w:rPr>
        <w:t>：投标人应承担所有准备和参加投标的相关费用，不论投标结果如何，招标人均无义务和责任承担这些费用。</w:t>
      </w:r>
    </w:p>
    <w:p w14:paraId="333E7109">
      <w:pPr>
        <w:pStyle w:val="3"/>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40" w:name="_Toc18676"/>
      <w:bookmarkStart w:id="41" w:name="_Toc15329"/>
    </w:p>
    <w:p w14:paraId="614F2D29">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highlight w:val="none"/>
        </w:rPr>
      </w:pPr>
      <w:bookmarkStart w:id="42" w:name="_Toc14498"/>
      <w:r>
        <w:rPr>
          <w:rFonts w:hint="eastAsia" w:ascii="宋体" w:hAnsi="宋体" w:eastAsia="宋体" w:cs="宋体"/>
          <w:color w:val="auto"/>
          <w:sz w:val="24"/>
          <w:szCs w:val="24"/>
          <w:highlight w:val="none"/>
        </w:rPr>
        <w:t>2．投标人资格要求</w:t>
      </w:r>
      <w:bookmarkEnd w:id="40"/>
      <w:bookmarkEnd w:id="41"/>
      <w:bookmarkEnd w:id="42"/>
      <w:bookmarkStart w:id="43" w:name="_Hlt74496495"/>
      <w:bookmarkEnd w:id="43"/>
    </w:p>
    <w:p w14:paraId="0905E36C">
      <w:pPr>
        <w:wordWrap w:val="0"/>
        <w:adjustRightInd w:val="0"/>
        <w:snapToGrid w:val="0"/>
        <w:spacing w:line="360" w:lineRule="auto"/>
        <w:ind w:firstLine="482" w:firstLineChars="200"/>
        <w:jc w:val="left"/>
        <w:rPr>
          <w:rFonts w:hint="eastAsia" w:ascii="宋体" w:hAnsi="宋体" w:eastAsia="宋体" w:cs="宋体"/>
          <w:snapToGrid w:val="0"/>
          <w:color w:val="auto"/>
          <w:kern w:val="0"/>
          <w:highlight w:val="none"/>
        </w:rPr>
      </w:pPr>
      <w:r>
        <w:rPr>
          <w:rFonts w:hint="eastAsia" w:hAnsi="宋体" w:cs="宋体"/>
          <w:b/>
          <w:bCs/>
          <w:snapToGrid w:val="0"/>
          <w:color w:val="auto"/>
          <w:kern w:val="0"/>
          <w:highlight w:val="none"/>
          <w:lang w:val="en-US" w:eastAsia="zh-CN"/>
        </w:rPr>
        <w:t>2.</w:t>
      </w:r>
      <w:r>
        <w:rPr>
          <w:rFonts w:hint="eastAsia" w:ascii="宋体" w:hAnsi="宋体" w:eastAsia="宋体" w:cs="宋体"/>
          <w:b/>
          <w:bCs/>
          <w:snapToGrid w:val="0"/>
          <w:color w:val="auto"/>
          <w:kern w:val="0"/>
          <w:highlight w:val="none"/>
        </w:rPr>
        <w:t>1</w:t>
      </w:r>
      <w:r>
        <w:rPr>
          <w:rFonts w:hint="eastAsia" w:ascii="宋体" w:hAnsi="宋体" w:eastAsia="宋体" w:cs="宋体"/>
          <w:snapToGrid w:val="0"/>
          <w:color w:val="auto"/>
          <w:kern w:val="0"/>
          <w:highlight w:val="none"/>
        </w:rPr>
        <w:t>本次招标</w:t>
      </w:r>
      <w:r>
        <w:rPr>
          <w:rFonts w:hint="eastAsia" w:hAnsi="宋体" w:cs="宋体"/>
          <w:snapToGrid w:val="0"/>
          <w:color w:val="auto"/>
          <w:kern w:val="0"/>
          <w:highlight w:val="none"/>
          <w:lang w:val="en-US" w:eastAsia="zh-CN"/>
        </w:rPr>
        <w:t>不</w:t>
      </w:r>
      <w:r>
        <w:rPr>
          <w:rFonts w:hint="eastAsia" w:ascii="宋体" w:hAnsi="宋体" w:eastAsia="宋体" w:cs="宋体"/>
          <w:snapToGrid w:val="0"/>
          <w:color w:val="auto"/>
          <w:kern w:val="0"/>
          <w:highlight w:val="none"/>
        </w:rPr>
        <w:t>接受联合体投标。</w:t>
      </w:r>
    </w:p>
    <w:p w14:paraId="5CB01E52">
      <w:pPr>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w:t>
      </w:r>
      <w:r>
        <w:rPr>
          <w:rFonts w:hint="eastAsia" w:ascii="宋体" w:hAnsi="宋体" w:eastAsia="宋体" w:cs="宋体"/>
          <w:snapToGrid w:val="0"/>
          <w:color w:val="auto"/>
          <w:kern w:val="0"/>
          <w:sz w:val="24"/>
          <w:szCs w:val="24"/>
          <w:highlight w:val="none"/>
        </w:rPr>
        <w:t xml:space="preserve"> 资格资质要求</w:t>
      </w:r>
    </w:p>
    <w:p w14:paraId="617B3711">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2.2.1</w:t>
      </w:r>
      <w:r>
        <w:rPr>
          <w:rFonts w:hint="eastAsia" w:ascii="宋体" w:hAnsi="宋体" w:eastAsia="宋体" w:cs="宋体"/>
          <w:snapToGrid w:val="0"/>
          <w:color w:val="auto"/>
          <w:kern w:val="0"/>
          <w:sz w:val="24"/>
          <w:szCs w:val="24"/>
          <w:highlight w:val="none"/>
        </w:rPr>
        <w:t xml:space="preserve"> 投标人须具备独立法人资格，按国家法律经营。</w:t>
      </w:r>
    </w:p>
    <w:p w14:paraId="38A5A45D">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2.2.2</w:t>
      </w:r>
      <w:r>
        <w:rPr>
          <w:rFonts w:hint="eastAsia" w:ascii="宋体" w:hAnsi="宋体" w:eastAsia="宋体" w:cs="宋体"/>
          <w:snapToGrid w:val="0"/>
          <w:color w:val="auto"/>
          <w:kern w:val="0"/>
          <w:sz w:val="24"/>
          <w:szCs w:val="24"/>
          <w:highlight w:val="none"/>
        </w:rPr>
        <w:t xml:space="preserve"> 投标人须持有建设行政主管部门颁发的企业资质证书及安全生产许可证。</w:t>
      </w:r>
    </w:p>
    <w:p w14:paraId="06089417">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2.2.3</w:t>
      </w:r>
      <w:r>
        <w:rPr>
          <w:rFonts w:hint="eastAsia" w:ascii="宋体" w:hAnsi="宋体" w:eastAsia="宋体" w:cs="宋体"/>
          <w:snapToGrid w:val="0"/>
          <w:color w:val="auto"/>
          <w:kern w:val="0"/>
          <w:sz w:val="24"/>
          <w:szCs w:val="24"/>
          <w:highlight w:val="none"/>
        </w:rPr>
        <w:t xml:space="preserve"> 投标人须具备以下资质：具备建设行政主管部门颁发的</w:t>
      </w:r>
      <w:r>
        <w:rPr>
          <w:rFonts w:hint="eastAsia" w:hAnsi="宋体" w:cs="宋体"/>
          <w:b w:val="0"/>
          <w:bCs w:val="0"/>
          <w:snapToGrid w:val="0"/>
          <w:color w:val="auto"/>
          <w:kern w:val="0"/>
          <w:sz w:val="24"/>
          <w:szCs w:val="24"/>
          <w:highlight w:val="none"/>
          <w:u w:val="single"/>
          <w:lang w:eastAsia="zh-CN"/>
        </w:rPr>
        <w:t>市政公用工程施工总承包</w:t>
      </w:r>
      <w:r>
        <w:rPr>
          <w:rFonts w:hint="eastAsia" w:hAnsi="宋体" w:cs="宋体"/>
          <w:b w:val="0"/>
          <w:bCs w:val="0"/>
          <w:snapToGrid w:val="0"/>
          <w:color w:val="auto"/>
          <w:kern w:val="0"/>
          <w:sz w:val="24"/>
          <w:szCs w:val="24"/>
          <w:highlight w:val="none"/>
          <w:u w:val="single"/>
          <w:lang w:val="en-US" w:eastAsia="zh-CN"/>
        </w:rPr>
        <w:t>三</w:t>
      </w:r>
      <w:r>
        <w:rPr>
          <w:rFonts w:hint="eastAsia" w:hAnsi="宋体" w:cs="宋体"/>
          <w:b w:val="0"/>
          <w:bCs w:val="0"/>
          <w:snapToGrid w:val="0"/>
          <w:color w:val="auto"/>
          <w:kern w:val="0"/>
          <w:sz w:val="24"/>
          <w:szCs w:val="24"/>
          <w:highlight w:val="none"/>
          <w:u w:val="single"/>
          <w:lang w:eastAsia="zh-CN"/>
        </w:rPr>
        <w:t>级以上（含</w:t>
      </w:r>
      <w:r>
        <w:rPr>
          <w:rFonts w:hint="eastAsia" w:hAnsi="宋体" w:cs="宋体"/>
          <w:b w:val="0"/>
          <w:bCs w:val="0"/>
          <w:snapToGrid w:val="0"/>
          <w:color w:val="auto"/>
          <w:kern w:val="0"/>
          <w:sz w:val="24"/>
          <w:szCs w:val="24"/>
          <w:highlight w:val="none"/>
          <w:u w:val="single"/>
          <w:lang w:val="en-US" w:eastAsia="zh-CN"/>
        </w:rPr>
        <w:t>三</w:t>
      </w:r>
      <w:r>
        <w:rPr>
          <w:rFonts w:hint="eastAsia" w:hAnsi="宋体" w:cs="宋体"/>
          <w:b w:val="0"/>
          <w:bCs w:val="0"/>
          <w:snapToGrid w:val="0"/>
          <w:color w:val="auto"/>
          <w:kern w:val="0"/>
          <w:sz w:val="24"/>
          <w:szCs w:val="24"/>
          <w:highlight w:val="none"/>
          <w:u w:val="single"/>
          <w:lang w:eastAsia="zh-CN"/>
        </w:rPr>
        <w:t>级）</w:t>
      </w:r>
      <w:r>
        <w:rPr>
          <w:rFonts w:hint="eastAsia" w:ascii="宋体" w:hAnsi="宋体" w:eastAsia="宋体" w:cs="宋体"/>
          <w:b w:val="0"/>
          <w:bCs w:val="0"/>
          <w:snapToGrid w:val="0"/>
          <w:color w:val="auto"/>
          <w:kern w:val="0"/>
          <w:sz w:val="24"/>
          <w:szCs w:val="24"/>
          <w:highlight w:val="none"/>
        </w:rPr>
        <w:t>资质。</w:t>
      </w:r>
    </w:p>
    <w:p w14:paraId="7C96D109">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2.2.4</w:t>
      </w:r>
      <w:r>
        <w:rPr>
          <w:rFonts w:hint="eastAsia" w:ascii="宋体" w:hAnsi="宋体" w:eastAsia="宋体" w:cs="宋体"/>
          <w:snapToGrid w:val="0"/>
          <w:color w:val="auto"/>
          <w:kern w:val="0"/>
          <w:sz w:val="24"/>
          <w:szCs w:val="24"/>
          <w:highlight w:val="none"/>
        </w:rPr>
        <w:t xml:space="preserve"> 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34CD375A">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w:t>
      </w:r>
      <w:r>
        <w:rPr>
          <w:rFonts w:hint="eastAsia" w:ascii="宋体" w:hAnsi="宋体" w:eastAsia="宋体" w:cs="宋体"/>
          <w:snapToGrid w:val="0"/>
          <w:color w:val="auto"/>
          <w:kern w:val="0"/>
          <w:sz w:val="24"/>
          <w:szCs w:val="24"/>
          <w:highlight w:val="none"/>
        </w:rPr>
        <w:t xml:space="preserve"> 相关人员要求</w:t>
      </w:r>
    </w:p>
    <w:p w14:paraId="0419F19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投标人拟派项目经理为</w:t>
      </w:r>
      <w:r>
        <w:rPr>
          <w:rFonts w:hint="eastAsia" w:ascii="宋体" w:hAnsi="宋体" w:eastAsia="宋体" w:cs="宋体"/>
          <w:b w:val="0"/>
          <w:bCs w:val="0"/>
          <w:color w:val="auto"/>
          <w:sz w:val="24"/>
          <w:szCs w:val="24"/>
          <w:highlight w:val="none"/>
          <w:u w:val="single"/>
        </w:rPr>
        <w:t>市政公用工程</w:t>
      </w:r>
      <w:r>
        <w:rPr>
          <w:rFonts w:hint="eastAsia" w:ascii="宋体" w:hAnsi="宋体" w:eastAsia="宋体" w:cs="宋体"/>
          <w:b w:val="0"/>
          <w:bCs w:val="0"/>
          <w:color w:val="auto"/>
          <w:sz w:val="24"/>
          <w:szCs w:val="24"/>
          <w:highlight w:val="none"/>
        </w:rPr>
        <w:t>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512E4BF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2.3.2</w:t>
      </w:r>
      <w:r>
        <w:rPr>
          <w:rFonts w:hint="eastAsia" w:ascii="宋体" w:hAnsi="宋体" w:eastAsia="宋体" w:cs="宋体"/>
          <w:b/>
          <w:bCs/>
          <w:snapToGrid w:val="0"/>
          <w:color w:val="auto"/>
          <w:kern w:val="0"/>
          <w:sz w:val="24"/>
          <w:szCs w:val="24"/>
          <w:highlight w:val="none"/>
        </w:rPr>
        <w:t xml:space="preserve"> </w:t>
      </w:r>
      <w:r>
        <w:rPr>
          <w:rFonts w:hint="eastAsia" w:ascii="宋体" w:hAnsi="宋体" w:eastAsia="宋体" w:cs="宋体"/>
          <w:b w:val="0"/>
          <w:bCs w:val="0"/>
          <w:snapToGrid w:val="0"/>
          <w:color w:val="auto"/>
          <w:kern w:val="0"/>
          <w:sz w:val="24"/>
          <w:szCs w:val="24"/>
          <w:highlight w:val="none"/>
        </w:rPr>
        <w:t>拟派项目技术负责人须具备</w:t>
      </w:r>
      <w:r>
        <w:rPr>
          <w:rFonts w:hint="eastAsia" w:hAnsi="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级以上（含</w:t>
      </w:r>
      <w:r>
        <w:rPr>
          <w:rFonts w:hint="eastAsia" w:hAnsi="宋体" w:cs="宋体"/>
          <w:b w:val="0"/>
          <w:bCs w:val="0"/>
          <w:snapToGrid w:val="0"/>
          <w:color w:val="auto"/>
          <w:kern w:val="0"/>
          <w:sz w:val="24"/>
          <w:szCs w:val="24"/>
          <w:highlight w:val="none"/>
          <w:u w:val="single"/>
          <w:lang w:val="en-US" w:eastAsia="zh-CN"/>
        </w:rPr>
        <w:t>中</w:t>
      </w:r>
      <w:r>
        <w:rPr>
          <w:rFonts w:hint="eastAsia" w:ascii="宋体" w:hAnsi="宋体" w:eastAsia="宋体" w:cs="宋体"/>
          <w:b w:val="0"/>
          <w:bCs w:val="0"/>
          <w:snapToGrid w:val="0"/>
          <w:color w:val="auto"/>
          <w:kern w:val="0"/>
          <w:sz w:val="24"/>
          <w:szCs w:val="24"/>
          <w:highlight w:val="none"/>
        </w:rPr>
        <w:t>级）技术职称。</w:t>
      </w:r>
    </w:p>
    <w:p w14:paraId="3B1EE08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2.3.3</w:t>
      </w:r>
      <w:r>
        <w:rPr>
          <w:rFonts w:hint="eastAsia" w:ascii="宋体" w:hAnsi="宋体" w:eastAsia="宋体" w:cs="宋体"/>
          <w:snapToGrid w:val="0"/>
          <w:color w:val="auto"/>
          <w:kern w:val="0"/>
          <w:sz w:val="24"/>
          <w:szCs w:val="24"/>
          <w:highlight w:val="none"/>
        </w:rPr>
        <w:t xml:space="preserve"> 拟派专职安全生产管理人员须具备有效安全生产考核合格证明（C证，安全生产考核合格证书或“广东省建筑施工企业管理人员安全生产考核信息系统”考核合格信息打印页），且不少于</w:t>
      </w:r>
      <w:r>
        <w:rPr>
          <w:rFonts w:hint="eastAsia" w:ascii="宋体" w:hAnsi="宋体" w:eastAsia="宋体" w:cs="宋体"/>
          <w:b/>
          <w:bCs/>
          <w:snapToGrid w:val="0"/>
          <w:color w:val="auto"/>
          <w:kern w:val="0"/>
          <w:sz w:val="24"/>
          <w:szCs w:val="24"/>
          <w:highlight w:val="none"/>
          <w:u w:val="single"/>
        </w:rPr>
        <w:t xml:space="preserve"> </w:t>
      </w:r>
      <w:r>
        <w:rPr>
          <w:rFonts w:hint="eastAsia" w:hAnsi="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 xml:space="preserve">人。 </w:t>
      </w:r>
    </w:p>
    <w:p w14:paraId="3053D1C5">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2.3.4</w:t>
      </w:r>
      <w:r>
        <w:rPr>
          <w:rFonts w:hint="eastAsia" w:ascii="宋体" w:hAnsi="宋体" w:eastAsia="宋体" w:cs="宋体"/>
          <w:snapToGrid w:val="0"/>
          <w:color w:val="auto"/>
          <w:kern w:val="0"/>
          <w:sz w:val="24"/>
          <w:szCs w:val="24"/>
          <w:highlight w:val="none"/>
        </w:rPr>
        <w:t xml:space="preserve"> 投标人与其拟派往本项目管理机构的所有人员之间必须具备合法、唯一的劳动聘用关系（提供社保证明或劳动合同）。拟派人员中具备注册执业资格的，其注册单位须与投标人保持一致。</w:t>
      </w:r>
    </w:p>
    <w:p w14:paraId="2D1FB1FB">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w:t>
      </w:r>
      <w:r>
        <w:rPr>
          <w:rFonts w:hint="eastAsia" w:ascii="宋体" w:hAnsi="宋体" w:eastAsia="宋体" w:cs="宋体"/>
          <w:snapToGrid w:val="0"/>
          <w:color w:val="auto"/>
          <w:kern w:val="0"/>
          <w:sz w:val="24"/>
          <w:szCs w:val="24"/>
          <w:highlight w:val="none"/>
        </w:rPr>
        <w:t xml:space="preserve"> 禁止投标条款</w:t>
      </w:r>
    </w:p>
    <w:p w14:paraId="0C20DC31">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2.4.1</w:t>
      </w:r>
      <w:r>
        <w:rPr>
          <w:rFonts w:hint="eastAsia" w:ascii="宋体" w:hAnsi="宋体" w:eastAsia="宋体" w:cs="宋体"/>
          <w:snapToGrid w:val="0"/>
          <w:color w:val="auto"/>
          <w:kern w:val="0"/>
          <w:sz w:val="24"/>
          <w:szCs w:val="24"/>
          <w:highlight w:val="none"/>
        </w:rPr>
        <w:t xml:space="preserve"> 投标人不得存在下列情形之一：</w:t>
      </w:r>
    </w:p>
    <w:p w14:paraId="5A630184">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（1）为招标人不具有独立法人资格的附属机构（单位）；</w:t>
      </w:r>
    </w:p>
    <w:p w14:paraId="37AACD8F">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（2）为本招标项目前期准备提供设计或咨询服务的；</w:t>
      </w:r>
    </w:p>
    <w:p w14:paraId="6ED5380C">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（3）与本招标项目的其他投标人为同一个单位负责人；</w:t>
      </w:r>
    </w:p>
    <w:p w14:paraId="45D1E826">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（4）与本招标项目的其他投标人存在控股、管理关系；</w:t>
      </w:r>
    </w:p>
    <w:p w14:paraId="48C03CCF">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（5）为本招标项目的监理人；</w:t>
      </w:r>
    </w:p>
    <w:p w14:paraId="26427379">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（6）为本招标项目的代建人；</w:t>
      </w:r>
    </w:p>
    <w:p w14:paraId="21AD29A6">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（7）为本招标项目的招标代理机构；</w:t>
      </w:r>
    </w:p>
    <w:p w14:paraId="32386F3B">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（8）与本招标项目的监理人或代建人或招标代理机构同为一个法定代表人；</w:t>
      </w:r>
    </w:p>
    <w:p w14:paraId="6E6DF385">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（9）与本招标项目的监理人或代建人或招标代理机构存在控股或参股关系；</w:t>
      </w:r>
    </w:p>
    <w:p w14:paraId="676F3247">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（10）与本招标项目的监理人或代建人或招标代理机构存在相互任职或工作关系；</w:t>
      </w:r>
    </w:p>
    <w:p w14:paraId="1AABBAF7">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（11）被依法暂停或者取消投标资格；</w:t>
      </w:r>
    </w:p>
    <w:p w14:paraId="42A8425B">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（12）被责令停产停业、暂扣或者吊销许可证、暂扣或者吊销执照；</w:t>
      </w:r>
    </w:p>
    <w:p w14:paraId="4E7DF616">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（13）进入清算程序，或被宣告破产，或其他丧失履约能力的情形；</w:t>
      </w:r>
    </w:p>
    <w:p w14:paraId="4A09F6A2">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（14）在最近三年内发生重大工程质量或安全问题（以相关行业主管部门的行政处罚决定或司法机关出具的有关法律文书为准）；</w:t>
      </w:r>
    </w:p>
    <w:p w14:paraId="3FAD7B0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（15）被“信用中国”网站（https://www.creditchina.gov.cn）发布的《</w:t>
      </w:r>
      <w:r>
        <w:rPr>
          <w:rFonts w:hint="eastAsia" w:ascii="宋体" w:hAnsi="宋体" w:eastAsia="宋体" w:cs="宋体"/>
          <w:snapToGrid w:val="0"/>
          <w:color w:val="auto"/>
          <w:kern w:val="0"/>
          <w:sz w:val="24"/>
          <w:szCs w:val="24"/>
          <w:highlight w:val="none"/>
          <w:lang w:eastAsia="zh-CN"/>
        </w:rPr>
        <w:t>法人和非法人组织公共信用信息报告</w:t>
      </w:r>
      <w:r>
        <w:rPr>
          <w:rFonts w:hint="eastAsia" w:ascii="宋体" w:hAnsi="宋体" w:eastAsia="宋体" w:cs="宋体"/>
          <w:snapToGrid w:val="0"/>
          <w:color w:val="auto"/>
          <w:kern w:val="0"/>
          <w:sz w:val="24"/>
          <w:szCs w:val="24"/>
          <w:highlight w:val="none"/>
        </w:rPr>
        <w:t>》列为严重失信主体名单的。</w:t>
      </w:r>
    </w:p>
    <w:p w14:paraId="71572E2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rPr>
        <w:t>2.4.2</w:t>
      </w:r>
      <w:r>
        <w:rPr>
          <w:rFonts w:hint="eastAsia" w:ascii="宋体" w:hAnsi="宋体" w:eastAsia="宋体" w:cs="宋体"/>
          <w:snapToGrid w:val="0"/>
          <w:color w:val="auto"/>
          <w:kern w:val="0"/>
          <w:sz w:val="24"/>
          <w:szCs w:val="24"/>
          <w:highlight w:val="none"/>
        </w:rPr>
        <w:t xml:space="preserve"> 招标人拒绝以下名单中的单位参加本次投标：</w:t>
      </w:r>
    </w:p>
    <w:tbl>
      <w:tblPr>
        <w:tblStyle w:val="31"/>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4368"/>
        <w:gridCol w:w="3690"/>
      </w:tblGrid>
      <w:tr w14:paraId="0796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765" w:type="dxa"/>
            <w:noWrap w:val="0"/>
            <w:vAlign w:val="center"/>
          </w:tcPr>
          <w:p w14:paraId="25A1B51C">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368" w:type="dxa"/>
            <w:noWrap w:val="0"/>
            <w:vAlign w:val="center"/>
          </w:tcPr>
          <w:p w14:paraId="02669242">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3690" w:type="dxa"/>
            <w:noWrap w:val="0"/>
            <w:vAlign w:val="center"/>
          </w:tcPr>
          <w:p w14:paraId="7C48B829">
            <w:pPr>
              <w:pageBreakBefore w:val="0"/>
              <w:kinsoku/>
              <w:wordWrap w:val="0"/>
              <w:overflowPunct/>
              <w:topLinePunct w:val="0"/>
              <w:autoSpaceDE/>
              <w:autoSpaceDN/>
              <w:bidi w:val="0"/>
              <w:adjustRightInd w:val="0"/>
              <w:snapToGrid w:val="0"/>
              <w:spacing w:line="360" w:lineRule="auto"/>
              <w:ind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拒绝原因</w:t>
            </w:r>
          </w:p>
        </w:tc>
      </w:tr>
      <w:tr w14:paraId="3057E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5" w:type="dxa"/>
            <w:noWrap w:val="0"/>
            <w:vAlign w:val="center"/>
          </w:tcPr>
          <w:p w14:paraId="4336E695">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4368" w:type="dxa"/>
            <w:noWrap w:val="0"/>
            <w:vAlign w:val="center"/>
          </w:tcPr>
          <w:p w14:paraId="1374F252">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color w:val="auto"/>
                <w:kern w:val="2"/>
                <w:sz w:val="24"/>
                <w:szCs w:val="24"/>
                <w:highlight w:val="none"/>
                <w:lang w:val="en-US" w:eastAsia="zh-CN" w:bidi="ar-SA"/>
              </w:rPr>
              <w:t>广东飞腾工程咨询有限公司</w:t>
            </w:r>
          </w:p>
        </w:tc>
        <w:tc>
          <w:tcPr>
            <w:tcW w:w="3690" w:type="dxa"/>
            <w:noWrap w:val="0"/>
            <w:vAlign w:val="center"/>
          </w:tcPr>
          <w:p w14:paraId="03F38670">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w:t>
            </w:r>
            <w:r>
              <w:rPr>
                <w:rFonts w:hint="eastAsia" w:ascii="宋体" w:hAnsi="宋体" w:eastAsia="宋体" w:cs="宋体"/>
                <w:color w:val="auto"/>
                <w:sz w:val="24"/>
                <w:szCs w:val="24"/>
                <w:highlight w:val="none"/>
                <w:lang w:val="en-US" w:eastAsia="zh-CN"/>
              </w:rPr>
              <w:t>造价</w:t>
            </w:r>
            <w:r>
              <w:rPr>
                <w:rFonts w:hint="eastAsia" w:ascii="宋体" w:hAnsi="宋体" w:eastAsia="宋体" w:cs="宋体"/>
                <w:color w:val="auto"/>
                <w:sz w:val="24"/>
                <w:szCs w:val="24"/>
                <w:highlight w:val="none"/>
              </w:rPr>
              <w:t>单位</w:t>
            </w:r>
          </w:p>
        </w:tc>
      </w:tr>
      <w:tr w14:paraId="0E4C7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65" w:type="dxa"/>
            <w:noWrap w:val="0"/>
            <w:vAlign w:val="center"/>
          </w:tcPr>
          <w:p w14:paraId="69099EE8">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4368" w:type="dxa"/>
            <w:noWrap w:val="0"/>
            <w:vAlign w:val="center"/>
          </w:tcPr>
          <w:p w14:paraId="4F1D218D">
            <w:pPr>
              <w:pageBreakBefore w:val="0"/>
              <w:tabs>
                <w:tab w:val="left" w:pos="1180"/>
              </w:tabs>
              <w:kinsoku/>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hAnsi="宋体" w:cs="宋体"/>
                <w:color w:val="auto"/>
                <w:kern w:val="2"/>
                <w:sz w:val="24"/>
                <w:szCs w:val="24"/>
                <w:highlight w:val="none"/>
                <w:lang w:val="en-US" w:eastAsia="zh-CN" w:bidi="ar-SA"/>
              </w:rPr>
              <w:t>中亿国际设计集团有限公司</w:t>
            </w:r>
          </w:p>
        </w:tc>
        <w:tc>
          <w:tcPr>
            <w:tcW w:w="3690" w:type="dxa"/>
            <w:noWrap w:val="0"/>
            <w:vAlign w:val="center"/>
          </w:tcPr>
          <w:p w14:paraId="7655CC5B">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为本招标项目的设计单位</w:t>
            </w:r>
          </w:p>
        </w:tc>
      </w:tr>
      <w:tr w14:paraId="4768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65" w:type="dxa"/>
            <w:noWrap w:val="0"/>
            <w:vAlign w:val="center"/>
          </w:tcPr>
          <w:p w14:paraId="1EEFA53E">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4368" w:type="dxa"/>
            <w:noWrap w:val="0"/>
            <w:vAlign w:val="center"/>
          </w:tcPr>
          <w:p w14:paraId="50679C12">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广州穗图项目管理有限公司</w:t>
            </w:r>
          </w:p>
        </w:tc>
        <w:tc>
          <w:tcPr>
            <w:tcW w:w="3690" w:type="dxa"/>
            <w:noWrap w:val="0"/>
            <w:vAlign w:val="center"/>
          </w:tcPr>
          <w:p w14:paraId="1ADDACC2">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为本招标项目的招标代理机构</w:t>
            </w:r>
          </w:p>
        </w:tc>
      </w:tr>
      <w:tr w14:paraId="3C113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65" w:type="dxa"/>
            <w:noWrap w:val="0"/>
            <w:vAlign w:val="center"/>
          </w:tcPr>
          <w:p w14:paraId="1E8109E4">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p>
        </w:tc>
        <w:tc>
          <w:tcPr>
            <w:tcW w:w="4368" w:type="dxa"/>
            <w:noWrap w:val="0"/>
            <w:vAlign w:val="center"/>
          </w:tcPr>
          <w:p w14:paraId="64368625">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eastAsia="zh-CN"/>
              </w:rPr>
              <w:t>乐昌市庆云镇人民政府</w:t>
            </w:r>
          </w:p>
        </w:tc>
        <w:tc>
          <w:tcPr>
            <w:tcW w:w="3690" w:type="dxa"/>
            <w:noWrap w:val="0"/>
            <w:vAlign w:val="center"/>
          </w:tcPr>
          <w:p w14:paraId="2198F98C">
            <w:pPr>
              <w:pStyle w:val="137"/>
              <w:pageBreakBefore w:val="0"/>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为本招标项目的招标人</w:t>
            </w:r>
          </w:p>
        </w:tc>
      </w:tr>
      <w:tr w14:paraId="44FA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462D0013">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4368" w:type="dxa"/>
            <w:noWrap w:val="0"/>
            <w:vAlign w:val="center"/>
          </w:tcPr>
          <w:p w14:paraId="53A63BE4">
            <w:pPr>
              <w:pStyle w:val="137"/>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乐昌市农业农村局(乐昌市乡村振兴局)</w:t>
            </w:r>
          </w:p>
        </w:tc>
        <w:tc>
          <w:tcPr>
            <w:tcW w:w="3690" w:type="dxa"/>
            <w:noWrap w:val="0"/>
            <w:vAlign w:val="center"/>
          </w:tcPr>
          <w:p w14:paraId="02D74343">
            <w:pPr>
              <w:pStyle w:val="137"/>
              <w:wordWrap w:val="0"/>
              <w:adjustRightInd w:val="0"/>
              <w:snapToGri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val="en-US" w:eastAsia="zh-CN"/>
              </w:rPr>
              <w:t>监督单位</w:t>
            </w:r>
          </w:p>
        </w:tc>
      </w:tr>
      <w:tr w14:paraId="3241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272061D0">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4368" w:type="dxa"/>
            <w:noWrap w:val="0"/>
            <w:vAlign w:val="center"/>
          </w:tcPr>
          <w:p w14:paraId="4765AB9D">
            <w:pPr>
              <w:pStyle w:val="137"/>
              <w:wordWrap w:val="0"/>
              <w:adjustRightInd w:val="0"/>
              <w:snapToGri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世纪工程项目管理有限公司</w:t>
            </w:r>
          </w:p>
        </w:tc>
        <w:tc>
          <w:tcPr>
            <w:tcW w:w="3690" w:type="dxa"/>
            <w:noWrap w:val="0"/>
            <w:vAlign w:val="center"/>
          </w:tcPr>
          <w:p w14:paraId="14C39424">
            <w:pPr>
              <w:pStyle w:val="13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可研编制</w:t>
            </w:r>
            <w:r>
              <w:rPr>
                <w:rFonts w:hint="eastAsia" w:ascii="宋体" w:hAnsi="宋体" w:eastAsia="宋体" w:cs="宋体"/>
                <w:snapToGrid w:val="0"/>
                <w:color w:val="auto"/>
                <w:kern w:val="0"/>
                <w:sz w:val="24"/>
                <w:szCs w:val="24"/>
                <w:highlight w:val="none"/>
                <w:lang w:val="en-US" w:eastAsia="zh-CN"/>
              </w:rPr>
              <w:t>单位</w:t>
            </w:r>
          </w:p>
        </w:tc>
      </w:tr>
      <w:tr w14:paraId="2D68B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0A5A9F1D">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4368" w:type="dxa"/>
            <w:noWrap w:val="0"/>
            <w:vAlign w:val="center"/>
          </w:tcPr>
          <w:p w14:paraId="337AFA38">
            <w:pPr>
              <w:pStyle w:val="137"/>
              <w:wordWrap w:val="0"/>
              <w:adjustRightInd w:val="0"/>
              <w:snapToGrid w:val="0"/>
              <w:spacing w:line="360" w:lineRule="auto"/>
              <w:jc w:val="cente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韶关市腾宇测绘技术有限公司</w:t>
            </w:r>
          </w:p>
        </w:tc>
        <w:tc>
          <w:tcPr>
            <w:tcW w:w="3690" w:type="dxa"/>
            <w:noWrap w:val="0"/>
            <w:vAlign w:val="center"/>
          </w:tcPr>
          <w:p w14:paraId="575A69B0">
            <w:pPr>
              <w:pStyle w:val="137"/>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为本招标项目的测绘</w:t>
            </w:r>
            <w:r>
              <w:rPr>
                <w:rFonts w:hint="eastAsia" w:ascii="宋体" w:hAnsi="宋体" w:cs="宋体"/>
                <w:snapToGrid w:val="0"/>
                <w:color w:val="auto"/>
                <w:kern w:val="0"/>
                <w:sz w:val="24"/>
                <w:szCs w:val="24"/>
                <w:highlight w:val="none"/>
                <w:lang w:val="en-US" w:eastAsia="zh-CN"/>
              </w:rPr>
              <w:t>单位</w:t>
            </w:r>
          </w:p>
        </w:tc>
      </w:tr>
      <w:tr w14:paraId="74B4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765" w:type="dxa"/>
            <w:noWrap w:val="0"/>
            <w:vAlign w:val="center"/>
          </w:tcPr>
          <w:p w14:paraId="0A73C3F6">
            <w:pPr>
              <w:pStyle w:val="137"/>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0" w:firstLineChars="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w:t>
            </w:r>
          </w:p>
        </w:tc>
        <w:tc>
          <w:tcPr>
            <w:tcW w:w="4368" w:type="dxa"/>
            <w:noWrap w:val="0"/>
            <w:vAlign w:val="center"/>
          </w:tcPr>
          <w:p w14:paraId="48F1735F">
            <w:pPr>
              <w:pStyle w:val="137"/>
              <w:wordWrap w:val="0"/>
              <w:adjustRightInd w:val="0"/>
              <w:snapToGrid w:val="0"/>
              <w:spacing w:line="360" w:lineRule="auto"/>
              <w:jc w:val="center"/>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eastAsia="zh-CN"/>
              </w:rPr>
              <w:t>广东合正项目管理有限公司</w:t>
            </w:r>
          </w:p>
        </w:tc>
        <w:tc>
          <w:tcPr>
            <w:tcW w:w="3690" w:type="dxa"/>
            <w:noWrap w:val="0"/>
            <w:vAlign w:val="center"/>
          </w:tcPr>
          <w:p w14:paraId="1FC5D15C">
            <w:pPr>
              <w:pStyle w:val="13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为本招标项目的</w:t>
            </w:r>
            <w:r>
              <w:rPr>
                <w:rFonts w:hint="eastAsia" w:ascii="宋体" w:hAnsi="宋体" w:cs="宋体"/>
                <w:snapToGrid w:val="0"/>
                <w:color w:val="auto"/>
                <w:kern w:val="0"/>
                <w:sz w:val="24"/>
                <w:szCs w:val="24"/>
                <w:highlight w:val="none"/>
                <w:lang w:val="en-US" w:eastAsia="zh-CN"/>
              </w:rPr>
              <w:t>监理单位</w:t>
            </w:r>
          </w:p>
        </w:tc>
      </w:tr>
    </w:tbl>
    <w:p w14:paraId="5E9B2F75">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2.5</w:t>
      </w:r>
      <w:r>
        <w:rPr>
          <w:rFonts w:hint="eastAsia" w:ascii="宋体" w:hAnsi="宋体" w:eastAsia="宋体" w:cs="宋体"/>
          <w:snapToGrid w:val="0"/>
          <w:color w:val="auto"/>
          <w:kern w:val="0"/>
          <w:sz w:val="24"/>
          <w:szCs w:val="24"/>
          <w:highlight w:val="none"/>
        </w:rPr>
        <w:t xml:space="preserve"> 其他要求</w:t>
      </w:r>
    </w:p>
    <w:p w14:paraId="3ED53606">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bookmarkStart w:id="44" w:name="_Toc22815"/>
      <w:bookmarkStart w:id="45" w:name="_Toc4046"/>
      <w:bookmarkStart w:id="46" w:name="_Toc7546"/>
      <w:bookmarkStart w:id="47" w:name="_Toc6745"/>
    </w:p>
    <w:p w14:paraId="09B3CBD5">
      <w:pPr>
        <w:rPr>
          <w:rFonts w:hint="eastAsia"/>
        </w:rPr>
      </w:pPr>
    </w:p>
    <w:p w14:paraId="50A33841">
      <w:pPr>
        <w:pStyle w:val="4"/>
        <w:keepNext/>
        <w:keepLines/>
        <w:pageBreakBefore w:val="0"/>
        <w:widowControl/>
        <w:kinsoku/>
        <w:wordWrap/>
        <w:overflowPunct/>
        <w:topLinePunct w:val="0"/>
        <w:autoSpaceDE/>
        <w:autoSpaceDN/>
        <w:bidi w:val="0"/>
        <w:adjustRightInd/>
        <w:snapToGrid/>
        <w:spacing w:beforeLines="0" w:afterLines="0"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3．招标文件的获取</w:t>
      </w:r>
      <w:bookmarkEnd w:id="44"/>
      <w:bookmarkEnd w:id="45"/>
      <w:bookmarkEnd w:id="46"/>
      <w:bookmarkEnd w:id="47"/>
    </w:p>
    <w:p w14:paraId="1562302D">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3.1 </w:t>
      </w:r>
      <w:r>
        <w:rPr>
          <w:rFonts w:hint="eastAsia" w:ascii="宋体" w:hAnsi="宋体" w:eastAsia="宋体" w:cs="宋体"/>
          <w:snapToGrid w:val="0"/>
          <w:color w:val="auto"/>
          <w:kern w:val="0"/>
          <w:sz w:val="24"/>
          <w:szCs w:val="24"/>
          <w:highlight w:val="none"/>
        </w:rPr>
        <w:t>本次招标实行电子投标。</w:t>
      </w:r>
    </w:p>
    <w:p w14:paraId="5028BEF8">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本次招标实行电子投标。本项目招标文件随招标公告一并在</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网站发布。招标文件一经在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发布，视为</w:t>
      </w:r>
      <w:r>
        <w:rPr>
          <w:rFonts w:hint="eastAsia" w:ascii="宋体" w:hAnsi="宋体" w:eastAsia="宋体" w:cs="宋体"/>
          <w:snapToGrid w:val="0"/>
          <w:color w:val="auto"/>
          <w:kern w:val="0"/>
          <w:sz w:val="24"/>
          <w:szCs w:val="24"/>
          <w:highlight w:val="none"/>
          <w:lang w:eastAsia="zh-CN"/>
        </w:rPr>
        <w:t>发送</w:t>
      </w:r>
      <w:r>
        <w:rPr>
          <w:rFonts w:hint="eastAsia" w:ascii="宋体" w:hAnsi="宋体" w:eastAsia="宋体" w:cs="宋体"/>
          <w:snapToGrid w:val="0"/>
          <w:color w:val="auto"/>
          <w:kern w:val="0"/>
          <w:sz w:val="24"/>
          <w:szCs w:val="24"/>
          <w:highlight w:val="none"/>
        </w:rPr>
        <w:t>投标人，招标文件及相关附件由投标人自行在</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网站下载。请于招标文件获取期间,（见本章第二节“重要事项时间地点一览表”）招标文件获取期间与招标公告发布时间一致，投标人须登录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，使用新建设工程交易系统进行下载招标文件及相关附件，并于电子投标截止时间（见本章第二节“重要事项时间地点一览表”）前完成电子投标。投标人可登录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，在【</w:t>
      </w:r>
      <w:r>
        <w:rPr>
          <w:rFonts w:hint="eastAsia" w:ascii="宋体" w:hAnsi="宋体" w:eastAsia="宋体" w:cs="宋体"/>
          <w:snapToGrid w:val="0"/>
          <w:color w:val="auto"/>
          <w:kern w:val="0"/>
          <w:sz w:val="24"/>
          <w:szCs w:val="24"/>
          <w:highlight w:val="none"/>
          <w:lang w:val="en-US" w:eastAsia="zh-CN"/>
        </w:rPr>
        <w:t>服务指南</w:t>
      </w:r>
      <w:r>
        <w:rPr>
          <w:rFonts w:hint="eastAsia" w:ascii="宋体" w:hAnsi="宋体" w:eastAsia="宋体" w:cs="宋体"/>
          <w:snapToGrid w:val="0"/>
          <w:color w:val="auto"/>
          <w:kern w:val="0"/>
          <w:sz w:val="24"/>
          <w:szCs w:val="24"/>
          <w:highlight w:val="none"/>
        </w:rPr>
        <w:t>】栏目中建设工程交易中下载《韶关市公共资源一体化平台——建设工程交易投标人操作指南（电子评标）》（附件</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），了解网上获取招标文件操作流程。技术咨询电话：0751-8379671 伍先生，业务咨询电话：0751-8633211、8379023。</w:t>
      </w:r>
    </w:p>
    <w:p w14:paraId="04BC3524">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3.2 </w:t>
      </w:r>
      <w:r>
        <w:rPr>
          <w:rFonts w:hint="eastAsia" w:ascii="宋体" w:hAnsi="宋体" w:eastAsia="宋体" w:cs="宋体"/>
          <w:snapToGrid w:val="0"/>
          <w:color w:val="auto"/>
          <w:kern w:val="0"/>
          <w:sz w:val="24"/>
          <w:szCs w:val="24"/>
          <w:highlight w:val="none"/>
        </w:rPr>
        <w:t>只有申领了数字证书（CA）、“粤企签”或GDCA/SZCA/NETCA等符合法律法规规定的电子印章，并在交易系统中完成企业信息数据入库的投标人，方可使用建设工程交易系统进行招标文件及附件获取和电子投标。</w:t>
      </w:r>
    </w:p>
    <w:p w14:paraId="0F65984B">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首次在韶关市参与建设工程招标投标活动的投标人，必须在平台系统上传企业相关资料办理企业入库事宜。投标人可登录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办理办理企业入库、数字证书及电子印章事宜，具体请在平台查阅相应的交易指引。</w:t>
      </w:r>
    </w:p>
    <w:p w14:paraId="355CC6E4">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已入库企业有关信息（如单位名称、基本账号、资质、人员等）发生变化的，须及时在交易系统进行相应变更。投标人未及时变更信息而造成的损失和后果，由投标人自行承担。</w:t>
      </w:r>
    </w:p>
    <w:p w14:paraId="6EA60F7D">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p>
    <w:p w14:paraId="5533CA0C">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投标保证</w:t>
      </w:r>
    </w:p>
    <w:p w14:paraId="0941DE31">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3.3.1</w:t>
      </w:r>
      <w:r>
        <w:rPr>
          <w:rFonts w:hint="eastAsia" w:ascii="宋体" w:hAnsi="宋体" w:eastAsia="宋体" w:cs="宋体"/>
          <w:snapToGrid w:val="0"/>
          <w:color w:val="auto"/>
          <w:kern w:val="0"/>
          <w:sz w:val="24"/>
          <w:szCs w:val="24"/>
          <w:highlight w:val="none"/>
        </w:rPr>
        <w:t xml:space="preserve"> 投标人须缴纳金额为人民币</w:t>
      </w:r>
      <w:r>
        <w:rPr>
          <w:rFonts w:hint="eastAsia" w:hAnsi="宋体" w:cs="宋体"/>
          <w:b/>
          <w:bCs/>
          <w:snapToGrid w:val="0"/>
          <w:color w:val="auto"/>
          <w:kern w:val="0"/>
          <w:sz w:val="24"/>
          <w:szCs w:val="24"/>
          <w:highlight w:val="none"/>
          <w:u w:val="single"/>
          <w:lang w:val="en-US" w:eastAsia="zh-CN"/>
        </w:rPr>
        <w:t>40</w:t>
      </w:r>
      <w:r>
        <w:rPr>
          <w:rFonts w:hint="eastAsia" w:ascii="宋体" w:hAnsi="宋体" w:eastAsia="宋体" w:cs="宋体"/>
          <w:b/>
          <w:bCs/>
          <w:snapToGrid w:val="0"/>
          <w:color w:val="auto"/>
          <w:kern w:val="0"/>
          <w:sz w:val="24"/>
          <w:szCs w:val="24"/>
          <w:highlight w:val="none"/>
          <w:u w:val="single"/>
          <w:lang w:val="en-US" w:eastAsia="zh-CN"/>
        </w:rPr>
        <w:t>万元</w:t>
      </w:r>
      <w:r>
        <w:rPr>
          <w:rFonts w:hint="eastAsia" w:ascii="宋体" w:hAnsi="宋体" w:eastAsia="宋体" w:cs="宋体"/>
          <w:snapToGrid w:val="0"/>
          <w:color w:val="auto"/>
          <w:kern w:val="0"/>
          <w:sz w:val="24"/>
          <w:szCs w:val="24"/>
          <w:highlight w:val="none"/>
        </w:rPr>
        <w:t xml:space="preserve">的投标保证。  </w:t>
      </w:r>
    </w:p>
    <w:p w14:paraId="0D951AB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3.3.2</w:t>
      </w:r>
      <w:r>
        <w:rPr>
          <w:rFonts w:hint="eastAsia" w:ascii="宋体" w:hAnsi="宋体" w:eastAsia="宋体" w:cs="宋体"/>
          <w:snapToGrid w:val="0"/>
          <w:color w:val="auto"/>
          <w:kern w:val="0"/>
          <w:sz w:val="24"/>
          <w:szCs w:val="24"/>
          <w:highlight w:val="none"/>
        </w:rPr>
        <w:t xml:space="preserve"> 投标保证的形式包括投标保证金、投标保证担保、投标保证保险三种，由投标人自主选择。</w:t>
      </w:r>
    </w:p>
    <w:p w14:paraId="469F208C">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投标保证金的，投标人在建设工程交易系统获取招标文件完毕后，即可在系统申请缴纳投标保证金，获取本次招标投标保证金缴纳账号。投标人必须于投标保证金到账截止时间（见本章第二节“重要事项时间地点一览表”）前，从其基本账户将投标保证金转账到指定的缴纳账号。逾期到账的、从非投标人基本账户转出的，其投标无效。</w:t>
      </w:r>
    </w:p>
    <w:p w14:paraId="47608B81">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采用投标保证担保的，投标人应提交有效的电子保函或保证保险，电子保函或保证保险的有效期不得短于投标有效期。投标人必须在投标保证担保截止时间（见本章第二节“重要事项时间地点一览表”）前，使用工程建设交易系统完成网上办理电子保函或保证保险。</w:t>
      </w:r>
    </w:p>
    <w:p w14:paraId="13E6C517">
      <w:pPr>
        <w:pageBreakBefore w:val="0"/>
        <w:tabs>
          <w:tab w:val="left" w:pos="7020"/>
        </w:tabs>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color w:val="auto"/>
          <w:sz w:val="24"/>
          <w:szCs w:val="24"/>
          <w:highlight w:val="none"/>
        </w:rPr>
      </w:pPr>
      <w:r>
        <w:rPr>
          <w:rFonts w:hint="eastAsia" w:ascii="宋体" w:hAnsi="宋体" w:eastAsia="宋体" w:cs="宋体"/>
          <w:snapToGrid w:val="0"/>
          <w:color w:val="auto"/>
          <w:kern w:val="0"/>
          <w:sz w:val="24"/>
          <w:szCs w:val="24"/>
          <w:highlight w:val="none"/>
        </w:rPr>
        <w:t>（3）采用投标保证保险的，投标人须在投标保证保险投保截止时间（见本章第二节“重要事项时间地点一览表”）前，使用建设工程交易系统完成网上投保。投标人可在系统选择保险机构、录入投保信息、支付保费、打印电子保单，电子保单的有效期不得短于投标有效期。投标人可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在【服务指南】栏目中下载《韶关市公共资源建设工程交易系统-投标人操作指南》，了解网上投保具体操作流程。逾期投保的，其投标无效。</w:t>
      </w:r>
      <w:r>
        <w:rPr>
          <w:rFonts w:hint="eastAsia" w:ascii="宋体" w:hAnsi="宋体" w:eastAsia="宋体" w:cs="宋体"/>
          <w:color w:val="auto"/>
          <w:sz w:val="24"/>
          <w:szCs w:val="24"/>
          <w:highlight w:val="none"/>
        </w:rPr>
        <w:t xml:space="preserve">    </w:t>
      </w:r>
    </w:p>
    <w:p w14:paraId="7D1E5CAA">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4"/>
          <w:szCs w:val="24"/>
          <w:highlight w:val="none"/>
        </w:rPr>
        <w:t>温馨提醒：</w:t>
      </w:r>
      <w:r>
        <w:rPr>
          <w:rFonts w:hint="eastAsia" w:ascii="宋体" w:hAnsi="宋体" w:eastAsia="宋体" w:cs="宋体"/>
          <w:color w:val="auto"/>
          <w:sz w:val="24"/>
          <w:szCs w:val="24"/>
          <w:highlight w:val="none"/>
        </w:rPr>
        <w:t>1.投标人采用投标保证担保或投标保证保险的，为避免在评标过程中因有效期发生争议，建议投标人将银行保函或电子保单有效期设置为较招标文件规定的投标有效期延长不少于20个日历天。</w:t>
      </w:r>
    </w:p>
    <w:p w14:paraId="62682BE6">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 w:val="24"/>
          <w:szCs w:val="24"/>
          <w:highlight w:val="none"/>
        </w:rPr>
        <w:t>2.根据《建设工程质量保证金管理办法》等有关规定，发包人应按照合同约定方式预留保证金（按规定，比例不得高于工程价款结算总额的3%）。合同约定由承包人以银行保函替代预留保证金的，保函金额不得高于工程价款结算总额的3%。</w:t>
      </w:r>
    </w:p>
    <w:p w14:paraId="76A40EFE">
      <w:pPr>
        <w:pStyle w:val="2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 w:val="24"/>
          <w:szCs w:val="24"/>
          <w:highlight w:val="none"/>
        </w:rPr>
        <w:t>3.根据《保障农民工工资支付条例》，发包人必须落实工程款支付担保制度，需有项目预付款。2017年2月，国务院出台《关于促进建筑业持续健康发展的意见》，要求“严格执行工程预付款制度，及时按合同约定足额向承包单位支付预付款。通过工程款支付担保等经济、法律手段约束建设单位履约行为，预防拖欠工程款。”</w:t>
      </w:r>
    </w:p>
    <w:p w14:paraId="6A8AEEFC">
      <w:pPr>
        <w:pStyle w:val="29"/>
        <w:keepNext w:val="0"/>
        <w:keepLines w:val="0"/>
        <w:pageBreakBefore w:val="0"/>
        <w:widowControl w:val="0"/>
        <w:suppressLineNumbers w:val="0"/>
        <w:pBdr>
          <w:top w:val="none" w:color="auto" w:sz="0" w:space="0"/>
          <w:left w:val="none" w:color="auto" w:sz="0" w:space="0"/>
          <w:bottom w:val="none" w:color="auto" w:sz="0" w:space="0"/>
          <w:right w:val="none" w:color="auto" w:sz="0" w:space="0"/>
          <w:between w:val="none" w:color="auto" w:sz="0" w:space="0"/>
        </w:pBdr>
        <w:tabs>
          <w:tab w:val="left" w:pos="7026"/>
        </w:tabs>
        <w:kinsoku/>
        <w:wordWrap/>
        <w:overflowPunct/>
        <w:topLinePunct w:val="0"/>
        <w:autoSpaceDE/>
        <w:autoSpaceDN/>
        <w:bidi w:val="0"/>
        <w:adjustRightInd/>
        <w:snapToGrid/>
        <w:spacing w:before="0" w:beforeAutospacing="0" w:after="0" w:afterAutospacing="0" w:line="360" w:lineRule="auto"/>
        <w:ind w:left="0" w:firstLine="480" w:firstLineChars="200"/>
        <w:jc w:val="both"/>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color w:val="auto"/>
          <w:sz w:val="24"/>
          <w:szCs w:val="24"/>
          <w:highlight w:val="none"/>
        </w:rPr>
        <w:t>4.根据《关于印发广东省根治欠薪冬季专项行动工作方案的通知》（粤治欠办函〔2021〕49号）要求，鼓励项目采用担保，担保形式可包括银行保函、工程保证保险以及专业工程担保公司保函等。</w:t>
      </w:r>
    </w:p>
    <w:p w14:paraId="148B7AEB">
      <w:pPr>
        <w:pageBreakBefore w:val="0"/>
        <w:tabs>
          <w:tab w:val="left" w:pos="7020"/>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若投标人因自身原因未能正确完成</w:t>
      </w:r>
      <w:r>
        <w:rPr>
          <w:rFonts w:hint="eastAsia" w:ascii="宋体" w:hAnsi="宋体" w:eastAsia="宋体" w:cs="宋体"/>
          <w:snapToGrid w:val="0"/>
          <w:color w:val="auto"/>
          <w:kern w:val="0"/>
          <w:sz w:val="24"/>
          <w:szCs w:val="24"/>
          <w:highlight w:val="none"/>
          <w:lang w:eastAsia="zh-CN"/>
        </w:rPr>
        <w:t>获取招标文件</w:t>
      </w:r>
      <w:r>
        <w:rPr>
          <w:rFonts w:hint="eastAsia" w:ascii="宋体" w:hAnsi="宋体" w:eastAsia="宋体" w:cs="宋体"/>
          <w:snapToGrid w:val="0"/>
          <w:color w:val="auto"/>
          <w:kern w:val="0"/>
          <w:sz w:val="24"/>
          <w:szCs w:val="24"/>
          <w:highlight w:val="none"/>
        </w:rPr>
        <w:t>、电子投标、缴纳投标保证的，其投标无效。</w:t>
      </w:r>
    </w:p>
    <w:p w14:paraId="0D225CE9">
      <w:pPr>
        <w:pageBreakBefore w:val="0"/>
        <w:numPr>
          <w:ilvl w:val="0"/>
          <w:numId w:val="0"/>
        </w:numPr>
        <w:tabs>
          <w:tab w:val="left" w:pos="288"/>
        </w:tabs>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lang w:val="en-US" w:eastAsia="zh-CN" w:bidi="ar-SA"/>
        </w:rPr>
      </w:pPr>
    </w:p>
    <w:p w14:paraId="53AE0C50">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highlight w:val="none"/>
        </w:rPr>
      </w:pPr>
      <w:bookmarkStart w:id="48" w:name="_Toc10093"/>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工期要求</w:t>
      </w:r>
      <w:bookmarkEnd w:id="48"/>
      <w:bookmarkStart w:id="49" w:name="_Toc7508"/>
    </w:p>
    <w:p w14:paraId="271E14BC">
      <w:pPr>
        <w:pStyle w:val="6"/>
        <w:keepNext/>
        <w:keepLines/>
        <w:pageBreakBefore w:val="0"/>
        <w:widowControl w:val="0"/>
        <w:kinsoku/>
        <w:wordWrap/>
        <w:overflowPunct/>
        <w:topLinePunct w:val="0"/>
        <w:autoSpaceDE/>
        <w:autoSpaceDN/>
        <w:bidi w:val="0"/>
        <w:adjustRightInd/>
        <w:snapToGrid/>
        <w:spacing w:before="0" w:beforeLines="0" w:after="0" w:afterLines="0" w:line="360" w:lineRule="auto"/>
        <w:ind w:left="0" w:leftChars="0" w:right="0" w:firstLine="480" w:firstLineChars="200"/>
        <w:textAlignment w:val="auto"/>
        <w:rPr>
          <w:rFonts w:hint="default" w:ascii="宋体" w:hAnsi="宋体" w:eastAsia="宋体" w:cs="宋体"/>
          <w:b w:val="0"/>
          <w:bCs/>
          <w:snapToGrid w:val="0"/>
          <w:color w:val="auto"/>
          <w:sz w:val="24"/>
          <w:szCs w:val="24"/>
          <w:highlight w:val="none"/>
          <w:lang w:val="en-US" w:eastAsia="zh-CN"/>
        </w:rPr>
      </w:pPr>
      <w:bookmarkStart w:id="50" w:name="_Toc16606"/>
      <w:bookmarkStart w:id="51" w:name="_Toc3615"/>
      <w:r>
        <w:rPr>
          <w:rFonts w:hint="eastAsia" w:ascii="宋体" w:hAnsi="宋体" w:eastAsia="宋体" w:cs="宋体"/>
          <w:b w:val="0"/>
          <w:bCs/>
          <w:snapToGrid w:val="0"/>
          <w:color w:val="auto"/>
          <w:sz w:val="24"/>
          <w:szCs w:val="24"/>
          <w:highlight w:val="none"/>
        </w:rPr>
        <w:t>本招标项目施工工期为</w:t>
      </w:r>
      <w:r>
        <w:rPr>
          <w:rFonts w:hint="eastAsia" w:ascii="宋体" w:hAnsi="宋体" w:cs="宋体"/>
          <w:b w:val="0"/>
          <w:bCs/>
          <w:snapToGrid w:val="0"/>
          <w:color w:val="auto"/>
          <w:sz w:val="24"/>
          <w:szCs w:val="24"/>
          <w:highlight w:val="none"/>
          <w:u w:val="single"/>
          <w:lang w:val="en-US" w:eastAsia="zh-CN"/>
        </w:rPr>
        <w:t>120</w:t>
      </w:r>
      <w:r>
        <w:rPr>
          <w:rFonts w:hint="eastAsia" w:ascii="宋体" w:hAnsi="宋体" w:eastAsia="宋体" w:cs="宋体"/>
          <w:b w:val="0"/>
          <w:bCs/>
          <w:snapToGrid w:val="0"/>
          <w:color w:val="auto"/>
          <w:sz w:val="24"/>
          <w:szCs w:val="24"/>
          <w:highlight w:val="none"/>
        </w:rPr>
        <w:t>个日历天</w:t>
      </w:r>
      <w:r>
        <w:rPr>
          <w:rFonts w:hint="eastAsia" w:ascii="宋体" w:hAnsi="宋体" w:cs="宋体"/>
          <w:b w:val="0"/>
          <w:bCs/>
          <w:snapToGrid w:val="0"/>
          <w:color w:val="auto"/>
          <w:sz w:val="24"/>
          <w:szCs w:val="24"/>
          <w:highlight w:val="none"/>
          <w:lang w:eastAsia="zh-CN"/>
        </w:rPr>
        <w:t>，</w:t>
      </w:r>
      <w:r>
        <w:rPr>
          <w:rFonts w:hint="eastAsia" w:ascii="宋体" w:hAnsi="宋体" w:cs="宋体"/>
          <w:b w:val="0"/>
          <w:bCs/>
          <w:snapToGrid w:val="0"/>
          <w:color w:val="auto"/>
          <w:sz w:val="24"/>
          <w:szCs w:val="24"/>
          <w:highlight w:val="none"/>
          <w:lang w:val="en-US" w:eastAsia="zh-CN"/>
        </w:rPr>
        <w:t>中标人必须在招标工期内完成招标范围内的全部内容。</w:t>
      </w:r>
    </w:p>
    <w:p w14:paraId="37EC3B82">
      <w:pPr>
        <w:rPr>
          <w:rFonts w:hint="eastAsia"/>
          <w:color w:val="auto"/>
          <w:sz w:val="13"/>
          <w:szCs w:val="8"/>
          <w:highlight w:val="none"/>
        </w:rPr>
      </w:pPr>
      <w:bookmarkStart w:id="52" w:name="_Toc762"/>
    </w:p>
    <w:p w14:paraId="7DA76FA1">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5．质量标准和材料、机械要求</w:t>
      </w:r>
      <w:bookmarkEnd w:id="49"/>
      <w:bookmarkEnd w:id="50"/>
      <w:bookmarkEnd w:id="51"/>
      <w:bookmarkEnd w:id="52"/>
    </w:p>
    <w:p w14:paraId="6A1DD7B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施工工艺严格按照国家和广东省的有关现行施工技术规范及标准执行，工程质量标准须达到</w:t>
      </w:r>
      <w:r>
        <w:rPr>
          <w:rFonts w:hint="eastAsia" w:ascii="宋体" w:hAnsi="宋体" w:eastAsia="宋体" w:cs="宋体"/>
          <w:snapToGrid w:val="0"/>
          <w:color w:val="auto"/>
          <w:kern w:val="0"/>
          <w:sz w:val="24"/>
          <w:szCs w:val="24"/>
          <w:highlight w:val="none"/>
          <w:u w:val="single"/>
          <w:lang w:val="en-US" w:eastAsia="zh-CN"/>
        </w:rPr>
        <w:t>符合现行国家有关工程施工质量验收规范和标准的要求，质量目标达到合格</w:t>
      </w:r>
      <w:r>
        <w:rPr>
          <w:rFonts w:hint="eastAsia" w:ascii="宋体" w:hAnsi="宋体" w:eastAsia="宋体" w:cs="宋体"/>
          <w:snapToGrid w:val="0"/>
          <w:color w:val="auto"/>
          <w:kern w:val="0"/>
          <w:sz w:val="24"/>
          <w:szCs w:val="24"/>
          <w:highlight w:val="none"/>
          <w:u w:val="single"/>
        </w:rPr>
        <w:t>。如未达到合格标准，则按合同价款的 1 %向招标人返纳质量违约金，并由中标人负责返修至合格标准，返修费用由中标人承担，同时承担所有的责任及经济损失。</w:t>
      </w:r>
    </w:p>
    <w:p w14:paraId="384D25A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中标人在施工中如果工程质量不符合设计要求和有关规定，招标人或监理单位要求停工和返工的必须立即执行，并承担由此产生的各种费用，工期不予顺延。</w:t>
      </w:r>
    </w:p>
    <w:p w14:paraId="21E1F18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5.3</w:t>
      </w:r>
      <w:r>
        <w:rPr>
          <w:rFonts w:hint="eastAsia" w:ascii="宋体" w:hAnsi="宋体" w:eastAsia="宋体" w:cs="宋体"/>
          <w:snapToGrid w:val="0"/>
          <w:color w:val="auto"/>
          <w:kern w:val="0"/>
          <w:sz w:val="24"/>
          <w:szCs w:val="24"/>
          <w:highlight w:val="none"/>
        </w:rPr>
        <w:t xml:space="preserve"> 保修期限按《建设工程质量管理条例》（中华人民共和国国务院令第279号）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73DF636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5.4</w:t>
      </w:r>
      <w:r>
        <w:rPr>
          <w:rFonts w:hint="eastAsia" w:ascii="宋体" w:hAnsi="宋体" w:eastAsia="宋体" w:cs="宋体"/>
          <w:snapToGrid w:val="0"/>
          <w:color w:val="auto"/>
          <w:kern w:val="0"/>
          <w:sz w:val="24"/>
          <w:szCs w:val="24"/>
          <w:highlight w:val="none"/>
        </w:rPr>
        <w:t xml:space="preserve"> 工程使用的主要材料质量要求不低于招标工程量清单所列的要求。主要材料必须先提供样板给招标人确定其颜色、等级等，</w:t>
      </w:r>
      <w:r>
        <w:rPr>
          <w:rFonts w:hint="eastAsia" w:ascii="宋体" w:hAnsi="宋体" w:eastAsia="宋体" w:cs="宋体"/>
          <w:snapToGrid w:val="0"/>
          <w:color w:val="auto"/>
          <w:kern w:val="0"/>
          <w:sz w:val="24"/>
          <w:szCs w:val="24"/>
          <w:highlight w:val="none"/>
          <w:lang w:val="zh-CN"/>
        </w:rPr>
        <w:t>并经检测部门检测合格</w:t>
      </w:r>
      <w:r>
        <w:rPr>
          <w:rFonts w:hint="eastAsia" w:ascii="宋体" w:hAnsi="宋体" w:eastAsia="宋体" w:cs="宋体"/>
          <w:snapToGrid w:val="0"/>
          <w:color w:val="auto"/>
          <w:kern w:val="0"/>
          <w:sz w:val="24"/>
          <w:szCs w:val="24"/>
          <w:highlight w:val="none"/>
        </w:rPr>
        <w:t>方可使用，所有材料必须使用合格产品。</w:t>
      </w:r>
    </w:p>
    <w:p w14:paraId="5453B2A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i/>
          <w:iCs/>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5.5</w:t>
      </w:r>
      <w:r>
        <w:rPr>
          <w:rFonts w:hint="eastAsia" w:ascii="宋体" w:hAnsi="宋体" w:eastAsia="宋体" w:cs="宋体"/>
          <w:snapToGrid w:val="0"/>
          <w:color w:val="auto"/>
          <w:kern w:val="0"/>
          <w:sz w:val="24"/>
          <w:szCs w:val="24"/>
          <w:highlight w:val="none"/>
        </w:rPr>
        <w:t xml:space="preserve"> 根据韶关市人民政府《关于加快推进全市绿色建筑发展工作的通知》（韶府办明电〔2013〕277号）有关规定，本招标项目</w:t>
      </w:r>
      <w:r>
        <w:rPr>
          <w:rFonts w:hint="eastAsia" w:ascii="宋体" w:hAnsi="宋体" w:eastAsia="宋体" w:cs="宋体"/>
          <w:snapToGrid w:val="0"/>
          <w:color w:val="auto"/>
          <w:kern w:val="0"/>
          <w:sz w:val="24"/>
          <w:szCs w:val="24"/>
          <w:highlight w:val="none"/>
          <w:lang w:val="en-US" w:eastAsia="zh-CN"/>
        </w:rPr>
        <w:t>不</w:t>
      </w:r>
      <w:r>
        <w:rPr>
          <w:rFonts w:hint="eastAsia" w:ascii="宋体" w:hAnsi="宋体" w:eastAsia="宋体" w:cs="宋体"/>
          <w:snapToGrid w:val="0"/>
          <w:color w:val="auto"/>
          <w:kern w:val="0"/>
          <w:sz w:val="24"/>
          <w:szCs w:val="24"/>
          <w:highlight w:val="none"/>
        </w:rPr>
        <w:t>纳入绿色建设实施范围</w:t>
      </w:r>
      <w:r>
        <w:rPr>
          <w:rFonts w:hint="eastAsia" w:ascii="宋体" w:hAnsi="宋体" w:eastAsia="宋体" w:cs="宋体"/>
          <w:snapToGrid w:val="0"/>
          <w:color w:val="auto"/>
          <w:kern w:val="0"/>
          <w:sz w:val="24"/>
          <w:szCs w:val="24"/>
          <w:highlight w:val="none"/>
          <w:lang w:eastAsia="zh-CN"/>
        </w:rPr>
        <w:t>。</w:t>
      </w:r>
    </w:p>
    <w:p w14:paraId="6BBD86A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bookmarkStart w:id="53" w:name="_Hlt121563076"/>
      <w:bookmarkEnd w:id="53"/>
      <w:bookmarkStart w:id="54" w:name="_Hlt111690342"/>
      <w:bookmarkEnd w:id="54"/>
      <w:bookmarkStart w:id="55" w:name="_Hlt74496537"/>
      <w:bookmarkEnd w:id="55"/>
      <w:bookmarkStart w:id="56" w:name="_Hlt69699204"/>
      <w:bookmarkEnd w:id="56"/>
      <w:bookmarkStart w:id="57" w:name="_Hlt69356505"/>
      <w:bookmarkEnd w:id="57"/>
      <w:bookmarkStart w:id="58" w:name="_Hlt88974078"/>
      <w:bookmarkEnd w:id="58"/>
      <w:bookmarkStart w:id="59" w:name="_Hlt120502666"/>
      <w:bookmarkEnd w:id="59"/>
      <w:bookmarkStart w:id="60" w:name="_Hlt74493474"/>
      <w:bookmarkEnd w:id="60"/>
      <w:bookmarkStart w:id="61" w:name="_Toc2679"/>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则中标人必须使用合格材料或设备，主要材料和设备在使用之前通知监理工程师验收，经验收合格后方可使用。</w:t>
      </w:r>
    </w:p>
    <w:p w14:paraId="7719640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5.</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工程使用的主要材料质量要求：不低于强制标准所列的要求，主要材料必须先提供样板或相关资料给招标人同意确定其规格、型号、颜色、等级等，</w:t>
      </w:r>
      <w:r>
        <w:rPr>
          <w:rFonts w:hint="eastAsia" w:ascii="宋体" w:hAnsi="宋体" w:eastAsia="宋体" w:cs="宋体"/>
          <w:color w:val="auto"/>
          <w:sz w:val="24"/>
          <w:szCs w:val="24"/>
          <w:highlight w:val="none"/>
          <w:lang w:val="zh-CN"/>
        </w:rPr>
        <w:t>并经发包人委托的第三方检测部门检测合格</w:t>
      </w:r>
      <w:r>
        <w:rPr>
          <w:rFonts w:hint="eastAsia" w:ascii="宋体" w:hAnsi="宋体" w:eastAsia="宋体" w:cs="宋体"/>
          <w:color w:val="auto"/>
          <w:sz w:val="24"/>
          <w:szCs w:val="24"/>
          <w:highlight w:val="none"/>
        </w:rPr>
        <w:t>方可使用，所有材料必须使用合格产品。</w:t>
      </w:r>
      <w:bookmarkStart w:id="62" w:name="_Toc2752"/>
      <w:bookmarkStart w:id="63" w:name="_Toc26469"/>
    </w:p>
    <w:p w14:paraId="08FCA397">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p w14:paraId="19E19CD1">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highlight w:val="none"/>
        </w:rPr>
      </w:pPr>
      <w:bookmarkStart w:id="64" w:name="_Toc23462"/>
      <w:r>
        <w:rPr>
          <w:rFonts w:hint="eastAsia" w:ascii="宋体" w:hAnsi="宋体" w:eastAsia="宋体" w:cs="宋体"/>
          <w:color w:val="auto"/>
          <w:sz w:val="24"/>
          <w:szCs w:val="24"/>
          <w:highlight w:val="none"/>
        </w:rPr>
        <w:t>6．施工条件及现场踏勘</w:t>
      </w:r>
      <w:bookmarkEnd w:id="61"/>
      <w:bookmarkEnd w:id="62"/>
      <w:bookmarkEnd w:id="63"/>
      <w:bookmarkEnd w:id="64"/>
    </w:p>
    <w:p w14:paraId="7851656B">
      <w:pPr>
        <w:pStyle w:val="12"/>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6.1</w:t>
      </w:r>
      <w:r>
        <w:rPr>
          <w:rFonts w:hint="eastAsia" w:ascii="宋体" w:hAnsi="宋体" w:eastAsia="宋体" w:cs="宋体"/>
          <w:snapToGrid w:val="0"/>
          <w:color w:val="auto"/>
          <w:kern w:val="0"/>
          <w:sz w:val="24"/>
          <w:szCs w:val="24"/>
          <w:highlight w:val="none"/>
        </w:rPr>
        <w:t xml:space="preserve"> 招标人仅在本招标项目征地红线范围内提供场地，其他一切场地费用由中标人自行负责（含临时道路）。</w:t>
      </w:r>
    </w:p>
    <w:p w14:paraId="2BAA9CA2">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6.2</w:t>
      </w:r>
      <w:r>
        <w:rPr>
          <w:rFonts w:hint="eastAsia" w:ascii="宋体" w:hAnsi="宋体" w:eastAsia="宋体" w:cs="宋体"/>
          <w:snapToGrid w:val="0"/>
          <w:color w:val="auto"/>
          <w:kern w:val="0"/>
          <w:sz w:val="24"/>
          <w:szCs w:val="24"/>
          <w:highlight w:val="none"/>
        </w:rPr>
        <w:t xml:space="preserve"> 施工用水：</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6D0CB70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6.3</w:t>
      </w:r>
      <w:r>
        <w:rPr>
          <w:rFonts w:hint="eastAsia" w:ascii="宋体" w:hAnsi="宋体" w:eastAsia="宋体" w:cs="宋体"/>
          <w:snapToGrid w:val="0"/>
          <w:color w:val="auto"/>
          <w:kern w:val="0"/>
          <w:sz w:val="24"/>
          <w:szCs w:val="24"/>
          <w:highlight w:val="none"/>
        </w:rPr>
        <w:t xml:space="preserve"> 施工用电：</w:t>
      </w:r>
      <w:r>
        <w:rPr>
          <w:rFonts w:hint="eastAsia" w:ascii="宋体" w:hAnsi="宋体" w:eastAsia="宋体" w:cs="宋体"/>
          <w:snapToGrid w:val="0"/>
          <w:color w:val="auto"/>
          <w:kern w:val="0"/>
          <w:sz w:val="24"/>
          <w:szCs w:val="24"/>
          <w:highlight w:val="none"/>
          <w:u w:val="single"/>
        </w:rPr>
        <w:t xml:space="preserve"> 由中标人自行解决，费用考虑在投标报价中。</w:t>
      </w:r>
    </w:p>
    <w:p w14:paraId="2FF3539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highlight w:val="none"/>
        </w:rPr>
        <w:t>施工用水、用电各提供一驳接点</w:t>
      </w:r>
      <w:r>
        <w:rPr>
          <w:rFonts w:hint="eastAsia" w:hAnsi="宋体" w:cs="宋体"/>
          <w:snapToGrid w:val="0"/>
          <w:color w:val="auto"/>
          <w:kern w:val="0"/>
          <w:highlight w:val="none"/>
          <w:lang w:val="en-US" w:eastAsia="zh-CN"/>
        </w:rPr>
        <w:t>到现场旁边</w:t>
      </w:r>
      <w:r>
        <w:rPr>
          <w:rFonts w:hint="eastAsia" w:ascii="宋体" w:hAnsi="宋体" w:eastAsia="宋体" w:cs="宋体"/>
          <w:snapToGrid w:val="0"/>
          <w:color w:val="auto"/>
          <w:kern w:val="0"/>
          <w:highlight w:val="none"/>
        </w:rPr>
        <w:t>。要求中标人单独安装水表、电表，其水、电费按项目所在地</w:t>
      </w:r>
      <w:r>
        <w:rPr>
          <w:rFonts w:hint="eastAsia" w:ascii="宋体" w:hAnsi="宋体" w:eastAsia="宋体" w:cs="宋体"/>
          <w:snapToGrid w:val="0"/>
          <w:color w:val="auto"/>
          <w:kern w:val="0"/>
          <w:highlight w:val="none"/>
          <w:u w:val="single"/>
        </w:rPr>
        <w:t>乐昌市</w:t>
      </w:r>
      <w:r>
        <w:rPr>
          <w:rFonts w:hint="eastAsia" w:ascii="宋体" w:hAnsi="宋体" w:eastAsia="宋体" w:cs="宋体"/>
          <w:snapToGrid w:val="0"/>
          <w:color w:val="auto"/>
          <w:kern w:val="0"/>
          <w:highlight w:val="none"/>
        </w:rPr>
        <w:t>基建工程水、电计费标准计算并由中标人缴纳。</w:t>
      </w:r>
    </w:p>
    <w:p w14:paraId="7467803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6.5</w:t>
      </w:r>
      <w:r>
        <w:rPr>
          <w:rFonts w:hint="eastAsia" w:ascii="宋体" w:hAnsi="宋体" w:eastAsia="宋体" w:cs="宋体"/>
          <w:snapToGrid w:val="0"/>
          <w:color w:val="auto"/>
          <w:kern w:val="0"/>
          <w:sz w:val="24"/>
          <w:szCs w:val="24"/>
          <w:highlight w:val="none"/>
        </w:rPr>
        <w:t xml:space="preserve"> 招标人不组织现场踏勘，但会在招标文件及有关设计文件中明确告知招标项目的具体位置和周边环境，并在现场设置足以识别的标识或提供足以表明招标项目具体位置的文字或图片。投标人需要了解现场情况的，可自行进行现场踏勘。</w:t>
      </w:r>
    </w:p>
    <w:p w14:paraId="12C0155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6.6</w:t>
      </w:r>
      <w:r>
        <w:rPr>
          <w:rFonts w:hint="eastAsia" w:ascii="宋体" w:hAnsi="宋体" w:eastAsia="宋体" w:cs="宋体"/>
          <w:snapToGrid w:val="0"/>
          <w:color w:val="auto"/>
          <w:kern w:val="0"/>
          <w:sz w:val="24"/>
          <w:szCs w:val="24"/>
          <w:highlight w:val="none"/>
        </w:rPr>
        <w:t xml:space="preserve"> 在现场踏勘过程中，投标人应确保自身安全，投标人如果发生人身伤亡、财物或其他损失，法律法规有规定的按有关规定处理，没有规定的由投标人自行负责。</w:t>
      </w:r>
    </w:p>
    <w:p w14:paraId="1CF7804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6.7</w:t>
      </w:r>
      <w:r>
        <w:rPr>
          <w:rFonts w:hint="eastAsia" w:ascii="宋体" w:hAnsi="宋体" w:eastAsia="宋体" w:cs="宋体"/>
          <w:snapToGrid w:val="0"/>
          <w:color w:val="auto"/>
          <w:kern w:val="0"/>
          <w:sz w:val="24"/>
          <w:szCs w:val="24"/>
          <w:highlight w:val="none"/>
        </w:rPr>
        <w:t xml:space="preserve"> 现场踏勘期间的交通、食宿由投标人自行安排，费用自理。</w:t>
      </w:r>
      <w:bookmarkStart w:id="65" w:name="_Toc18204"/>
    </w:p>
    <w:p w14:paraId="24C56DCB">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66" w:name="_Toc7565"/>
      <w:bookmarkStart w:id="67" w:name="_Toc17908"/>
    </w:p>
    <w:p w14:paraId="32888A14">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highlight w:val="none"/>
        </w:rPr>
      </w:pPr>
      <w:bookmarkStart w:id="68" w:name="_Toc29845"/>
      <w:r>
        <w:rPr>
          <w:rFonts w:hint="eastAsia" w:ascii="宋体" w:hAnsi="宋体" w:eastAsia="宋体" w:cs="宋体"/>
          <w:color w:val="auto"/>
          <w:sz w:val="24"/>
          <w:szCs w:val="24"/>
          <w:highlight w:val="none"/>
        </w:rPr>
        <w:t>7．招标文件的提问和答疑</w:t>
      </w:r>
      <w:bookmarkEnd w:id="65"/>
      <w:bookmarkEnd w:id="66"/>
      <w:bookmarkEnd w:id="67"/>
      <w:bookmarkEnd w:id="68"/>
      <w:bookmarkStart w:id="69" w:name="_Hlt74496410"/>
      <w:bookmarkEnd w:id="69"/>
    </w:p>
    <w:p w14:paraId="691B5C1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lang w:bidi="ar"/>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投标人若对招标文件（含施工图、招标工程量清单）有疑问，应在提问截止时间（见本章第二节“重要事项时间地点一览表”）前使用建设工程交易系统提出问题。未在指定时间前、未采用指定方式提出的，招标人不予受理</w:t>
      </w:r>
      <w:r>
        <w:rPr>
          <w:rFonts w:hint="eastAsia" w:ascii="宋体" w:hAnsi="宋体" w:eastAsia="宋体" w:cs="宋体"/>
          <w:snapToGrid w:val="0"/>
          <w:color w:val="auto"/>
          <w:kern w:val="0"/>
          <w:sz w:val="24"/>
          <w:szCs w:val="24"/>
          <w:highlight w:val="none"/>
          <w:lang w:bidi="ar"/>
        </w:rPr>
        <w:t>。</w:t>
      </w:r>
    </w:p>
    <w:p w14:paraId="322C7C4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7.2 </w:t>
      </w:r>
      <w:r>
        <w:rPr>
          <w:rFonts w:hint="eastAsia" w:ascii="宋体" w:hAnsi="宋体" w:eastAsia="宋体" w:cs="宋体"/>
          <w:snapToGrid w:val="0"/>
          <w:color w:val="auto"/>
          <w:kern w:val="0"/>
          <w:sz w:val="24"/>
          <w:szCs w:val="24"/>
          <w:highlight w:val="none"/>
        </w:rPr>
        <w:t>招标人在提问截止时间（见本章第二节“重要事项时间地点一览表”）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74BD811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招标人对招标文件所作的答疑（或修改）公告，构成招标文件的组成部分。</w:t>
      </w:r>
      <w:bookmarkStart w:id="70" w:name="_Hlt92513715"/>
      <w:bookmarkEnd w:id="70"/>
      <w:bookmarkStart w:id="71" w:name="_Hlt69699188"/>
      <w:bookmarkEnd w:id="71"/>
      <w:bookmarkStart w:id="72" w:name="_Hlt92513711"/>
      <w:bookmarkEnd w:id="72"/>
      <w:bookmarkStart w:id="73" w:name="_Toc12685"/>
      <w:bookmarkStart w:id="74" w:name="_Toc15556"/>
      <w:bookmarkStart w:id="75" w:name="_Toc29680"/>
    </w:p>
    <w:p w14:paraId="7161F84D">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bookmarkEnd w:id="73"/>
    <w:bookmarkEnd w:id="74"/>
    <w:p w14:paraId="170D590C">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highlight w:val="none"/>
        </w:rPr>
      </w:pPr>
      <w:bookmarkStart w:id="76" w:name="_Toc21026"/>
      <w:r>
        <w:rPr>
          <w:rFonts w:hint="eastAsia" w:ascii="宋体" w:hAnsi="宋体" w:eastAsia="宋体" w:cs="宋体"/>
          <w:color w:val="auto"/>
          <w:sz w:val="24"/>
          <w:szCs w:val="24"/>
          <w:highlight w:val="none"/>
        </w:rPr>
        <w:t>8．</w:t>
      </w:r>
      <w:bookmarkEnd w:id="76"/>
      <w:r>
        <w:rPr>
          <w:rFonts w:hint="eastAsia" w:ascii="宋体" w:hAnsi="宋体" w:eastAsia="宋体" w:cs="宋体"/>
          <w:strike w:val="0"/>
          <w:snapToGrid w:val="0"/>
          <w:color w:val="auto"/>
          <w:kern w:val="0"/>
          <w:sz w:val="24"/>
          <w:szCs w:val="24"/>
          <w:highlight w:val="none"/>
          <w:lang w:val="en-US" w:eastAsia="zh-CN"/>
        </w:rPr>
        <w:t>最高投标限价</w:t>
      </w:r>
    </w:p>
    <w:p w14:paraId="569EAAB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8.1</w:t>
      </w:r>
      <w:r>
        <w:rPr>
          <w:rFonts w:hint="eastAsia" w:ascii="宋体" w:hAnsi="宋体" w:eastAsia="宋体" w:cs="宋体"/>
          <w:snapToGrid w:val="0"/>
          <w:color w:val="auto"/>
          <w:kern w:val="0"/>
          <w:sz w:val="24"/>
          <w:szCs w:val="24"/>
          <w:highlight w:val="none"/>
        </w:rPr>
        <w:t xml:space="preserve"> 本招标项目按照以下依据编制</w:t>
      </w:r>
      <w:r>
        <w:rPr>
          <w:rFonts w:hint="eastAsia" w:ascii="宋体" w:hAnsi="宋体" w:eastAsia="宋体" w:cs="宋体"/>
          <w:strike w:val="0"/>
          <w:snapToGrid w:val="0"/>
          <w:color w:val="auto"/>
          <w:kern w:val="0"/>
          <w:sz w:val="24"/>
          <w:szCs w:val="24"/>
          <w:highlight w:val="none"/>
          <w:lang w:val="en-US" w:eastAsia="zh-CN"/>
        </w:rPr>
        <w:t>最高投标限价</w:t>
      </w:r>
      <w:r>
        <w:rPr>
          <w:rFonts w:hint="eastAsia" w:ascii="宋体" w:hAnsi="宋体" w:eastAsia="宋体" w:cs="宋体"/>
          <w:snapToGrid w:val="0"/>
          <w:color w:val="auto"/>
          <w:kern w:val="0"/>
          <w:sz w:val="24"/>
          <w:szCs w:val="24"/>
          <w:highlight w:val="none"/>
        </w:rPr>
        <w:t>：</w:t>
      </w:r>
    </w:p>
    <w:p w14:paraId="78D837A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 w:val="24"/>
          <w:szCs w:val="24"/>
          <w:highlight w:val="none"/>
        </w:rPr>
        <w:t>；</w:t>
      </w:r>
    </w:p>
    <w:p w14:paraId="517A743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75DF131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）施工图及相关资料；</w:t>
      </w:r>
    </w:p>
    <w:p w14:paraId="769F831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）招标文件及招标工程量清单；</w:t>
      </w:r>
    </w:p>
    <w:p w14:paraId="5CC36838">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）施工现场情况、工程特点及常规施工方案；</w:t>
      </w:r>
    </w:p>
    <w:p w14:paraId="00CF2A5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）项目所在地工程造价管理机构发布的工程造价信息，工程造价信息缺项的，参照市场价格；</w:t>
      </w:r>
    </w:p>
    <w:p w14:paraId="3B78A1B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）与建设项目相关的标准、规范、技术资料。</w:t>
      </w:r>
    </w:p>
    <w:p w14:paraId="5F063D32">
      <w:pPr>
        <w:wordWrap w:val="0"/>
        <w:adjustRightInd w:val="0"/>
        <w:snapToGrid w:val="0"/>
        <w:spacing w:line="360" w:lineRule="auto"/>
        <w:ind w:firstLine="482" w:firstLineChars="200"/>
        <w:rPr>
          <w:rFonts w:hint="eastAsia" w:ascii="宋体" w:hAnsi="宋体" w:eastAsia="宋体" w:cs="宋体"/>
          <w:b/>
          <w:bCs/>
          <w:snapToGrid w:val="0"/>
          <w:color w:val="auto"/>
          <w:kern w:val="0"/>
          <w:sz w:val="24"/>
          <w:szCs w:val="24"/>
          <w:highlight w:val="yellow"/>
        </w:rPr>
      </w:pPr>
      <w:r>
        <w:rPr>
          <w:rFonts w:hint="eastAsia" w:hAnsi="宋体" w:cs="宋体"/>
          <w:b/>
          <w:bCs/>
          <w:color w:val="auto"/>
          <w:sz w:val="24"/>
          <w:szCs w:val="24"/>
          <w:highlight w:val="none"/>
          <w:shd w:val="clear" w:fill="FFFFFF"/>
          <w:lang w:val="en-US" w:eastAsia="zh-CN"/>
        </w:rPr>
        <w:t>8.2</w:t>
      </w:r>
      <w:r>
        <w:rPr>
          <w:rFonts w:hint="eastAsia" w:ascii="宋体" w:hAnsi="宋体" w:eastAsia="宋体" w:cs="宋体"/>
          <w:b/>
          <w:bCs/>
          <w:color w:val="auto"/>
          <w:sz w:val="24"/>
          <w:szCs w:val="24"/>
          <w:highlight w:val="none"/>
          <w:shd w:val="clear" w:fill="FFFFFF"/>
        </w:rPr>
        <w:t>本项目的</w:t>
      </w:r>
      <w:r>
        <w:rPr>
          <w:rFonts w:hint="eastAsia" w:ascii="宋体" w:hAnsi="宋体" w:eastAsia="宋体" w:cs="宋体"/>
          <w:b/>
          <w:bCs/>
          <w:strike w:val="0"/>
          <w:snapToGrid w:val="0"/>
          <w:color w:val="auto"/>
          <w:kern w:val="0"/>
          <w:sz w:val="24"/>
          <w:szCs w:val="24"/>
          <w:highlight w:val="none"/>
          <w:lang w:val="en-US" w:eastAsia="zh-CN"/>
        </w:rPr>
        <w:t>最高投标限价</w:t>
      </w:r>
      <w:r>
        <w:rPr>
          <w:rFonts w:hint="eastAsia" w:ascii="宋体" w:hAnsi="宋体" w:eastAsia="宋体" w:cs="宋体"/>
          <w:b/>
          <w:bCs/>
          <w:color w:val="auto"/>
          <w:sz w:val="24"/>
          <w:szCs w:val="24"/>
          <w:highlight w:val="none"/>
          <w:shd w:val="clear" w:fill="FFFFFF"/>
        </w:rPr>
        <w:t>为人民币（大写）：</w:t>
      </w:r>
      <w:r>
        <w:rPr>
          <w:rFonts w:hint="eastAsia" w:hAnsi="宋体" w:cs="宋体"/>
          <w:b/>
          <w:bCs/>
          <w:color w:val="auto"/>
          <w:sz w:val="24"/>
          <w:szCs w:val="24"/>
          <w:highlight w:val="none"/>
          <w:u w:val="single"/>
          <w:shd w:val="clear" w:fill="FFFFFF"/>
          <w:lang w:val="en-US" w:eastAsia="zh-CN"/>
        </w:rPr>
        <w:t>贰仟零陆拾贰万叁仟柒佰柒拾柒元捌角捌分</w:t>
      </w:r>
      <w:r>
        <w:rPr>
          <w:rFonts w:hint="eastAsia" w:ascii="宋体" w:hAnsi="宋体" w:eastAsia="宋体" w:cs="宋体"/>
          <w:b/>
          <w:bCs/>
          <w:color w:val="auto"/>
          <w:sz w:val="24"/>
          <w:szCs w:val="24"/>
          <w:highlight w:val="none"/>
          <w:u w:val="single"/>
          <w:shd w:val="clear" w:fill="FFFFFF"/>
        </w:rPr>
        <w:t>(</w:t>
      </w:r>
      <w:r>
        <w:rPr>
          <w:rFonts w:hint="eastAsia" w:ascii="宋体" w:hAnsi="宋体" w:eastAsia="宋体" w:cs="宋体"/>
          <w:b/>
          <w:bCs/>
          <w:color w:val="auto"/>
          <w:sz w:val="24"/>
          <w:szCs w:val="24"/>
          <w:highlight w:val="none"/>
          <w:u w:val="single"/>
          <w:shd w:val="clear" w:fill="FFFFFF"/>
          <w:lang w:val="en-US" w:eastAsia="zh-CN"/>
        </w:rPr>
        <w:t>小写：</w:t>
      </w:r>
      <w:r>
        <w:rPr>
          <w:rFonts w:hint="eastAsia" w:ascii="宋体" w:hAnsi="宋体" w:eastAsia="宋体" w:cs="宋体"/>
          <w:b/>
          <w:bCs/>
          <w:snapToGrid w:val="0"/>
          <w:color w:val="auto"/>
          <w:kern w:val="0"/>
          <w:highlight w:val="none"/>
          <w:u w:val="single"/>
        </w:rPr>
        <w:t>¥20623777.88</w:t>
      </w:r>
      <w:r>
        <w:rPr>
          <w:rFonts w:hint="eastAsia" w:ascii="宋体" w:hAnsi="宋体" w:eastAsia="宋体" w:cs="宋体"/>
          <w:b/>
          <w:bCs/>
          <w:color w:val="auto"/>
          <w:sz w:val="24"/>
          <w:szCs w:val="24"/>
          <w:highlight w:val="none"/>
          <w:u w:val="single"/>
          <w:shd w:val="clear" w:fill="FFFFFF"/>
        </w:rPr>
        <w:t>元)；其中</w:t>
      </w:r>
      <w:r>
        <w:rPr>
          <w:rFonts w:hint="eastAsia" w:hAnsi="宋体" w:cs="宋体"/>
          <w:b/>
          <w:bCs/>
          <w:color w:val="auto"/>
          <w:sz w:val="24"/>
          <w:szCs w:val="24"/>
          <w:highlight w:val="none"/>
          <w:u w:val="single"/>
          <w:shd w:val="clear" w:fill="FFFFFF"/>
          <w:lang w:eastAsia="zh-CN"/>
        </w:rPr>
        <w:t>安全生产措施费不得少于</w:t>
      </w:r>
      <w:r>
        <w:rPr>
          <w:rFonts w:hint="eastAsia" w:ascii="宋体" w:hAnsi="宋体" w:eastAsia="宋体" w:cs="宋体"/>
          <w:b/>
          <w:bCs/>
          <w:color w:val="auto"/>
          <w:sz w:val="24"/>
          <w:szCs w:val="24"/>
          <w:highlight w:val="none"/>
          <w:u w:val="single"/>
          <w:shd w:val="clear" w:fill="FFFFFF"/>
        </w:rPr>
        <w:t>¥408076.64元，</w:t>
      </w:r>
      <w:r>
        <w:rPr>
          <w:rFonts w:hint="eastAsia" w:ascii="宋体" w:hAnsi="宋体" w:eastAsia="宋体" w:cs="宋体"/>
          <w:b/>
          <w:bCs/>
          <w:color w:val="auto"/>
          <w:sz w:val="24"/>
          <w:szCs w:val="24"/>
          <w:highlight w:val="none"/>
          <w:u w:val="single"/>
          <w:shd w:val="clear" w:fill="FFFFFF"/>
          <w:lang w:val="en-US" w:eastAsia="zh-CN"/>
        </w:rPr>
        <w:t>暂列金</w:t>
      </w:r>
      <w:r>
        <w:rPr>
          <w:rFonts w:hint="eastAsia" w:hAnsi="宋体" w:cs="宋体"/>
          <w:b/>
          <w:bCs/>
          <w:color w:val="auto"/>
          <w:sz w:val="24"/>
          <w:szCs w:val="24"/>
          <w:highlight w:val="none"/>
          <w:u w:val="single"/>
          <w:shd w:val="clear" w:fill="FFFFFF"/>
          <w:lang w:val="en-US" w:eastAsia="zh-CN"/>
        </w:rPr>
        <w:t>额</w:t>
      </w:r>
      <w:r>
        <w:rPr>
          <w:rFonts w:hint="eastAsia" w:ascii="宋体" w:hAnsi="宋体" w:eastAsia="宋体" w:cs="宋体"/>
          <w:b/>
          <w:bCs/>
          <w:color w:val="auto"/>
          <w:sz w:val="24"/>
          <w:szCs w:val="24"/>
          <w:highlight w:val="none"/>
          <w:u w:val="single"/>
          <w:shd w:val="clear" w:fill="FFFFFF"/>
        </w:rPr>
        <w:t>为</w:t>
      </w:r>
      <w:r>
        <w:rPr>
          <w:rFonts w:hint="eastAsia" w:ascii="宋体" w:hAnsi="宋体" w:eastAsia="宋体" w:cs="宋体"/>
          <w:b/>
          <w:bCs/>
          <w:snapToGrid w:val="0"/>
          <w:color w:val="auto"/>
          <w:kern w:val="0"/>
          <w:highlight w:val="none"/>
          <w:u w:val="single"/>
        </w:rPr>
        <w:t>¥</w:t>
      </w:r>
      <w:r>
        <w:rPr>
          <w:rFonts w:hint="eastAsia" w:hAnsi="宋体" w:cs="宋体"/>
          <w:b/>
          <w:bCs/>
          <w:color w:val="auto"/>
          <w:sz w:val="24"/>
          <w:szCs w:val="24"/>
          <w:highlight w:val="none"/>
          <w:u w:val="single"/>
          <w:shd w:val="clear" w:fill="FFFFFF"/>
          <w:lang w:val="en-US" w:eastAsia="zh-CN"/>
        </w:rPr>
        <w:t>630000.00</w:t>
      </w:r>
      <w:r>
        <w:rPr>
          <w:rFonts w:hint="eastAsia" w:ascii="宋体" w:hAnsi="宋体" w:eastAsia="宋体" w:cs="宋体"/>
          <w:b/>
          <w:bCs/>
          <w:color w:val="auto"/>
          <w:sz w:val="24"/>
          <w:szCs w:val="24"/>
          <w:highlight w:val="none"/>
          <w:u w:val="single"/>
          <w:shd w:val="clear" w:fill="FFFFFF"/>
        </w:rPr>
        <w:t>元</w:t>
      </w:r>
      <w:r>
        <w:rPr>
          <w:rFonts w:hint="eastAsia" w:ascii="宋体" w:hAnsi="宋体" w:eastAsia="宋体" w:cs="宋体"/>
          <w:b/>
          <w:bCs/>
          <w:color w:val="auto"/>
          <w:sz w:val="24"/>
          <w:szCs w:val="24"/>
          <w:highlight w:val="none"/>
          <w:u w:val="single"/>
          <w:shd w:val="clear" w:fill="FFFFFF"/>
          <w:lang w:eastAsia="zh-CN"/>
        </w:rPr>
        <w:t>，</w:t>
      </w:r>
      <w:r>
        <w:rPr>
          <w:rFonts w:hint="eastAsia" w:ascii="宋体" w:hAnsi="宋体" w:eastAsia="宋体" w:cs="宋体"/>
          <w:b/>
          <w:bCs/>
          <w:color w:val="auto"/>
          <w:sz w:val="24"/>
          <w:szCs w:val="24"/>
          <w:highlight w:val="none"/>
          <w:u w:val="single"/>
          <w:shd w:val="clear" w:fill="FFFFFF"/>
          <w:lang w:val="en-US" w:eastAsia="zh-CN"/>
        </w:rPr>
        <w:t>暂估价</w:t>
      </w:r>
      <w:r>
        <w:rPr>
          <w:rFonts w:hint="eastAsia" w:ascii="宋体" w:hAnsi="宋体" w:eastAsia="宋体" w:cs="宋体"/>
          <w:b/>
          <w:bCs/>
          <w:color w:val="auto"/>
          <w:sz w:val="24"/>
          <w:szCs w:val="24"/>
          <w:highlight w:val="none"/>
          <w:u w:val="single"/>
          <w:shd w:val="clear" w:fill="FFFFFF"/>
        </w:rPr>
        <w:t>为</w:t>
      </w:r>
      <w:r>
        <w:rPr>
          <w:rFonts w:hint="eastAsia" w:ascii="宋体" w:hAnsi="宋体" w:eastAsia="宋体" w:cs="宋体"/>
          <w:b/>
          <w:bCs/>
          <w:snapToGrid w:val="0"/>
          <w:color w:val="auto"/>
          <w:kern w:val="0"/>
          <w:highlight w:val="none"/>
          <w:u w:val="single"/>
        </w:rPr>
        <w:t>¥</w:t>
      </w:r>
      <w:r>
        <w:rPr>
          <w:rFonts w:hint="eastAsia" w:hAnsi="宋体" w:cs="宋体"/>
          <w:b/>
          <w:bCs/>
          <w:color w:val="auto"/>
          <w:sz w:val="24"/>
          <w:szCs w:val="24"/>
          <w:highlight w:val="none"/>
          <w:u w:val="single"/>
          <w:shd w:val="clear" w:fill="FFFFFF"/>
          <w:lang w:val="en-US" w:eastAsia="zh-CN"/>
        </w:rPr>
        <w:t>/</w:t>
      </w:r>
      <w:r>
        <w:rPr>
          <w:rFonts w:hint="eastAsia" w:ascii="宋体" w:hAnsi="宋体" w:eastAsia="宋体" w:cs="宋体"/>
          <w:b/>
          <w:bCs/>
          <w:color w:val="auto"/>
          <w:sz w:val="24"/>
          <w:szCs w:val="24"/>
          <w:highlight w:val="none"/>
          <w:u w:val="single"/>
          <w:shd w:val="clear" w:fill="FFFFFF"/>
        </w:rPr>
        <w:t>元。</w:t>
      </w:r>
    </w:p>
    <w:p w14:paraId="26E433D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8.3</w:t>
      </w:r>
      <w:r>
        <w:rPr>
          <w:rFonts w:hint="eastAsia" w:ascii="宋体" w:hAnsi="宋体" w:eastAsia="宋体" w:cs="宋体"/>
          <w:snapToGrid w:val="0"/>
          <w:color w:val="auto"/>
          <w:kern w:val="0"/>
          <w:sz w:val="24"/>
          <w:szCs w:val="24"/>
          <w:highlight w:val="none"/>
        </w:rPr>
        <w:t xml:space="preserve"> 暂估价指招标工程量清单中提供的用于支付必然发生但暂时不能确定价格的材料、工程设备的单价以及专业工程的金额；暂列金额指招标工程量清单中暂定并包括在合同价款中的一笔款项，用于工程合同签订时尚未确定或者不可预见的所需材料、工程设备、服务的采购，施工中可能发生的工程变更、合同约定调整因素出现时的合同价款调整以及发生的索赔、现场签证确认等的费用。</w:t>
      </w:r>
    </w:p>
    <w:p w14:paraId="5DDF4C56">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8.4</w:t>
      </w:r>
      <w:r>
        <w:rPr>
          <w:rFonts w:hint="eastAsia" w:ascii="宋体" w:hAnsi="宋体" w:eastAsia="宋体" w:cs="宋体"/>
          <w:snapToGrid w:val="0"/>
          <w:color w:val="auto"/>
          <w:kern w:val="0"/>
          <w:sz w:val="24"/>
          <w:szCs w:val="24"/>
          <w:highlight w:val="none"/>
        </w:rPr>
        <w:t xml:space="preserve"> 本招标项目以暂估价形式列入招标工程量清单中的材料、工程设备、专业工程（以下统称“暂估价项目”）包括：</w:t>
      </w:r>
      <w:r>
        <w:rPr>
          <w:rFonts w:hint="eastAsia" w:ascii="宋体" w:hAnsi="宋体" w:eastAsia="宋体" w:cs="宋体"/>
          <w:snapToGrid w:val="0"/>
          <w:color w:val="auto"/>
          <w:kern w:val="0"/>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r>
        <w:rPr>
          <w:rFonts w:hint="eastAsia" w:ascii="宋体" w:hAnsi="宋体" w:eastAsia="宋体" w:cs="宋体"/>
          <w:snapToGrid w:val="0"/>
          <w:color w:val="auto"/>
          <w:kern w:val="0"/>
          <w:sz w:val="24"/>
          <w:szCs w:val="24"/>
          <w:highlight w:val="none"/>
        </w:rPr>
        <w:t>。</w:t>
      </w:r>
    </w:p>
    <w:p w14:paraId="6E91E6D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kern w:val="0"/>
          <w:sz w:val="24"/>
          <w:szCs w:val="24"/>
          <w:highlight w:val="none"/>
        </w:rPr>
        <w:t xml:space="preserve"> 当暂估价项目的内容、标准、要求在项目实施过程中得以深化、明确、固定后，按以下原则发包：</w:t>
      </w:r>
    </w:p>
    <w:p w14:paraId="1A0A573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（1）暂估价项目按工程、货物（指材料或工程设备，下同）的类别分类汇总的金额，达到必须招标规模标准的，由</w:t>
      </w:r>
      <w:r>
        <w:rPr>
          <w:rFonts w:hint="eastAsia" w:ascii="宋体" w:hAnsi="宋体" w:eastAsia="宋体" w:cs="宋体"/>
          <w:snapToGrid w:val="0"/>
          <w:color w:val="auto"/>
          <w:kern w:val="0"/>
          <w:sz w:val="24"/>
          <w:szCs w:val="24"/>
          <w:highlight w:val="none"/>
          <w:u w:val="single"/>
        </w:rPr>
        <w:t xml:space="preserve"> 中标人招标，招标人参与管理 </w:t>
      </w:r>
      <w:r>
        <w:rPr>
          <w:rFonts w:hint="eastAsia" w:ascii="宋体" w:hAnsi="宋体" w:eastAsia="宋体" w:cs="宋体"/>
          <w:snapToGrid w:val="0"/>
          <w:color w:val="auto"/>
          <w:kern w:val="0"/>
          <w:sz w:val="24"/>
          <w:szCs w:val="24"/>
          <w:highlight w:val="none"/>
        </w:rPr>
        <w:t>，确定专业工程承包人（或材料、工程设备供应商）和合同价格。</w:t>
      </w:r>
    </w:p>
    <w:p w14:paraId="6FE7774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49BC859B">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暂估价项目按工程、货物的类别分类汇总的金额，未达到必须招标规模标准也不适用政府采购规定，中标人具备相应资格条件的，由中标人承包；中标人不具备相应资格条件但具备分包权的，由中标人分包，招标人同中标人结算原则按本招标文件相关条款执行。</w:t>
      </w:r>
    </w:p>
    <w:p w14:paraId="01F343F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（4）暂估价项目按工程、货物的类别分类汇总的金额，未达到必须招标规模标准也不适用政府采购规定，中标人既不具备相应资格条件又不具备分包权的，由招标人另行发包。</w:t>
      </w:r>
    </w:p>
    <w:p w14:paraId="3E0DBD3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（5）暂估价项目由其他承包人承包的，纳入中标人的管理和协调范围，由其他承包人向中标人承担质量、安全、文明施工、工期责任，中标人向招标人承担责任。</w:t>
      </w:r>
    </w:p>
    <w:p w14:paraId="258019D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sz w:val="24"/>
          <w:szCs w:val="24"/>
          <w:highlight w:val="none"/>
        </w:rPr>
      </w:pPr>
      <w:r>
        <w:rPr>
          <w:rFonts w:hint="eastAsia" w:ascii="宋体" w:hAnsi="宋体" w:eastAsia="宋体" w:cs="宋体"/>
          <w:b/>
          <w:bCs/>
          <w:snapToGrid w:val="0"/>
          <w:color w:val="auto"/>
          <w:kern w:val="0"/>
          <w:sz w:val="24"/>
          <w:szCs w:val="24"/>
          <w:highlight w:val="none"/>
        </w:rPr>
        <w:t>8.6</w:t>
      </w:r>
      <w:r>
        <w:rPr>
          <w:rFonts w:hint="eastAsia" w:ascii="宋体" w:hAnsi="宋体" w:eastAsia="宋体" w:cs="宋体"/>
          <w:snapToGrid w:val="0"/>
          <w:color w:val="auto"/>
          <w:kern w:val="0"/>
          <w:sz w:val="24"/>
          <w:szCs w:val="24"/>
          <w:highlight w:val="none"/>
        </w:rPr>
        <w:t xml:space="preserve"> 本招标项目以</w:t>
      </w:r>
      <w:r>
        <w:rPr>
          <w:rFonts w:hint="eastAsia" w:ascii="宋体" w:hAnsi="宋体" w:eastAsia="宋体" w:cs="宋体"/>
          <w:snapToGrid w:val="0"/>
          <w:color w:val="auto"/>
          <w:sz w:val="24"/>
          <w:szCs w:val="24"/>
          <w:highlight w:val="none"/>
        </w:rPr>
        <w:t>暂列金额</w:t>
      </w:r>
      <w:r>
        <w:rPr>
          <w:rFonts w:hint="eastAsia" w:ascii="宋体" w:hAnsi="宋体" w:eastAsia="宋体" w:cs="宋体"/>
          <w:snapToGrid w:val="0"/>
          <w:color w:val="auto"/>
          <w:kern w:val="0"/>
          <w:sz w:val="24"/>
          <w:szCs w:val="24"/>
          <w:highlight w:val="none"/>
        </w:rPr>
        <w:t>形式列入招标工程量清单中的</w:t>
      </w:r>
      <w:r>
        <w:rPr>
          <w:rFonts w:hint="eastAsia" w:ascii="宋体" w:hAnsi="宋体" w:eastAsia="宋体" w:cs="宋体"/>
          <w:snapToGrid w:val="0"/>
          <w:color w:val="auto"/>
          <w:sz w:val="24"/>
          <w:szCs w:val="24"/>
          <w:highlight w:val="none"/>
        </w:rPr>
        <w:t>所需货物和服务的采购</w:t>
      </w:r>
      <w:r>
        <w:rPr>
          <w:rFonts w:hint="eastAsia" w:ascii="宋体" w:hAnsi="宋体" w:eastAsia="宋体" w:cs="宋体"/>
          <w:snapToGrid w:val="0"/>
          <w:color w:val="auto"/>
          <w:kern w:val="0"/>
          <w:sz w:val="24"/>
          <w:szCs w:val="24"/>
          <w:highlight w:val="none"/>
        </w:rPr>
        <w:t>（以下统称“暂列金额项目”）若有</w:t>
      </w:r>
      <w:r>
        <w:rPr>
          <w:rFonts w:hint="eastAsia" w:ascii="宋体" w:hAnsi="宋体" w:eastAsia="宋体" w:cs="宋体"/>
          <w:snapToGrid w:val="0"/>
          <w:color w:val="auto"/>
          <w:sz w:val="24"/>
          <w:szCs w:val="24"/>
          <w:highlight w:val="none"/>
        </w:rPr>
        <w:t>发生，按照本节第</w:t>
      </w:r>
      <w:r>
        <w:rPr>
          <w:rFonts w:hint="eastAsia" w:ascii="宋体" w:hAnsi="宋体" w:eastAsia="宋体" w:cs="宋体"/>
          <w:b/>
          <w:bCs/>
          <w:snapToGrid w:val="0"/>
          <w:color w:val="auto"/>
          <w:kern w:val="0"/>
          <w:sz w:val="24"/>
          <w:szCs w:val="24"/>
          <w:highlight w:val="none"/>
        </w:rPr>
        <w:t>8.5</w:t>
      </w:r>
      <w:r>
        <w:rPr>
          <w:rFonts w:hint="eastAsia" w:ascii="宋体" w:hAnsi="宋体" w:eastAsia="宋体" w:cs="宋体"/>
          <w:snapToGrid w:val="0"/>
          <w:color w:val="auto"/>
          <w:sz w:val="24"/>
          <w:szCs w:val="24"/>
          <w:highlight w:val="none"/>
        </w:rPr>
        <w:t>条的规定确定货物（或服务）供应商和合同价格。暂列金额项目由其他承包人承包的，纳入中标人的管理和协调范围，由其他承包人向中标人承担质量、安全、文明施工、工期责任，中标人向招标人承担责任。</w:t>
      </w:r>
    </w:p>
    <w:p w14:paraId="77B2F1D7">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bookmarkStart w:id="77" w:name="_Toc17205"/>
      <w:bookmarkStart w:id="78" w:name="_Toc8163"/>
    </w:p>
    <w:p w14:paraId="6F87D27A">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highlight w:val="none"/>
        </w:rPr>
      </w:pPr>
      <w:bookmarkStart w:id="79" w:name="_Toc19680"/>
      <w:r>
        <w:rPr>
          <w:rFonts w:hint="eastAsia" w:ascii="宋体" w:hAnsi="宋体" w:eastAsia="宋体" w:cs="宋体"/>
          <w:color w:val="auto"/>
          <w:sz w:val="24"/>
          <w:szCs w:val="24"/>
          <w:highlight w:val="none"/>
        </w:rPr>
        <w:t>9．投标报价</w:t>
      </w:r>
      <w:bookmarkEnd w:id="75"/>
      <w:bookmarkEnd w:id="77"/>
      <w:bookmarkEnd w:id="78"/>
      <w:bookmarkEnd w:id="79"/>
      <w:bookmarkStart w:id="80" w:name="_Hlt74498519"/>
      <w:bookmarkEnd w:id="80"/>
    </w:p>
    <w:p w14:paraId="1EDAD06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snapToGrid w:val="0"/>
          <w:color w:val="auto"/>
          <w:kern w:val="0"/>
          <w:sz w:val="24"/>
          <w:szCs w:val="24"/>
          <w:highlight w:val="none"/>
        </w:rPr>
        <w:t xml:space="preserve"> 投标人应按照以下依据编制投标报价：</w:t>
      </w:r>
    </w:p>
    <w:p w14:paraId="0CE2ACB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（1）</w:t>
      </w:r>
      <w:r>
        <w:rPr>
          <w:rFonts w:hint="eastAsia" w:hAnsi="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 w:val="24"/>
          <w:szCs w:val="24"/>
          <w:highlight w:val="none"/>
        </w:rPr>
        <w:t>；</w:t>
      </w:r>
    </w:p>
    <w:p w14:paraId="78B1CF2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3A15E6F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）企业定额；</w:t>
      </w:r>
    </w:p>
    <w:p w14:paraId="5E48E41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）招标文件及其答疑（或修改）公告、招标工程量清单；</w:t>
      </w:r>
    </w:p>
    <w:p w14:paraId="75C244C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）施工图及相关资料；</w:t>
      </w:r>
    </w:p>
    <w:p w14:paraId="7BD286A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）施工现场情况、工程特点及投标时拟定的施工组织设计或施工方案；</w:t>
      </w:r>
    </w:p>
    <w:p w14:paraId="3E2BF5D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）市场价格信息或项目所在地工程造价管理机构发布的工程造价信息；</w:t>
      </w:r>
    </w:p>
    <w:p w14:paraId="1DC0034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）与建设项目相关的标准、规范、技术资料。</w:t>
      </w:r>
    </w:p>
    <w:p w14:paraId="6924CD5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投标人应根据招标工程量清单、工程量清单计价规范中的工作内容、设计文件和有关要求、施工现场实际情况、投标人拟定的施工组织设计、本单位的企业定额和市场价格进行编制，自行报价，并承担一定范围内的风险费用。</w:t>
      </w:r>
      <w:bookmarkStart w:id="81" w:name="_Hlt66594003"/>
      <w:bookmarkEnd w:id="81"/>
      <w:r>
        <w:rPr>
          <w:rFonts w:hint="eastAsia" w:ascii="宋体" w:hAnsi="宋体" w:eastAsia="宋体" w:cs="宋体"/>
          <w:snapToGrid w:val="0"/>
          <w:color w:val="auto"/>
          <w:kern w:val="0"/>
          <w:sz w:val="24"/>
          <w:szCs w:val="24"/>
          <w:highlight w:val="none"/>
        </w:rPr>
        <w:t>所谓“一定范围内的风险”是指合同约定的风险。</w:t>
      </w:r>
      <w:bookmarkStart w:id="82" w:name="_Hlt69335755"/>
      <w:bookmarkEnd w:id="82"/>
    </w:p>
    <w:p w14:paraId="5ED40A6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招标人及招标代理机构不集中组织现场踏勘，投标人需要了解现场情况的，可自行进行现场踏勘。各投标人应勘察施工现场及周围环境、地形、地貌、水文、交通等情况，以获得一切可能影响到投标的直</w:t>
      </w:r>
      <w:bookmarkStart w:id="83" w:name="_Hlt66509056"/>
      <w:bookmarkEnd w:id="83"/>
      <w:r>
        <w:rPr>
          <w:rFonts w:hint="eastAsia" w:ascii="宋体" w:hAnsi="宋体" w:eastAsia="宋体" w:cs="宋体"/>
          <w:snapToGrid w:val="0"/>
          <w:color w:val="auto"/>
          <w:kern w:val="0"/>
          <w:sz w:val="24"/>
          <w:szCs w:val="24"/>
          <w:highlight w:val="none"/>
        </w:rPr>
        <w:t>接资料。投标人应针对现场情况编制施工组织设计，并在编制投标报价时考虑现场情况的影响。</w:t>
      </w:r>
    </w:p>
    <w:p w14:paraId="77A5400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9.4</w:t>
      </w:r>
      <w:r>
        <w:rPr>
          <w:rFonts w:hint="eastAsia" w:ascii="宋体" w:hAnsi="宋体" w:eastAsia="宋体" w:cs="宋体"/>
          <w:snapToGrid w:val="0"/>
          <w:color w:val="auto"/>
          <w:kern w:val="0"/>
          <w:sz w:val="24"/>
          <w:szCs w:val="24"/>
          <w:highlight w:val="none"/>
        </w:rPr>
        <w:t xml:space="preserve"> 招标人向投标人提供的有关现场的数据和资料，是招标人现有的能被投标人利用的资料，招标人对投标人做出的任何推论、理解和结论均不负责任。</w:t>
      </w:r>
    </w:p>
    <w:p w14:paraId="7BFC179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9.5</w:t>
      </w:r>
      <w:r>
        <w:rPr>
          <w:rFonts w:hint="eastAsia" w:ascii="宋体" w:hAnsi="宋体" w:eastAsia="宋体" w:cs="宋体"/>
          <w:snapToGrid w:val="0"/>
          <w:color w:val="auto"/>
          <w:kern w:val="0"/>
          <w:sz w:val="24"/>
          <w:szCs w:val="24"/>
          <w:highlight w:val="none"/>
        </w:rPr>
        <w:t xml:space="preserve"> 投标人必须按照招标工程量清单及表格填报价格。项目编码、项目名称、项目特征、计量单位、工程量必须与招标工程量清单一致。所有报价均以人民币“元”为单位，并保留小数点后两位。</w:t>
      </w:r>
    </w:p>
    <w:p w14:paraId="7C6B3BE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9.6</w:t>
      </w:r>
      <w:r>
        <w:rPr>
          <w:rFonts w:hint="eastAsia" w:ascii="宋体" w:hAnsi="宋体" w:eastAsia="宋体" w:cs="宋体"/>
          <w:snapToGrid w:val="0"/>
          <w:color w:val="auto"/>
          <w:kern w:val="0"/>
          <w:sz w:val="24"/>
          <w:szCs w:val="24"/>
          <w:highlight w:val="none"/>
        </w:rPr>
        <w:t xml:space="preserve"> 投标人只允许有一个投标总价。投标总价必须同时用大、小写表示，大、小写报价应保持一致，若不一致，以大写报价为准。招标工程量清单与计价表中列明的所有需要填写单价和合价的项目，投标人均应填写且只允许有一个报价。未填写单价和合价的项目，视为此项费用已包含在已标价工程量清单其他项目的单价和合价中，竣工结算时不得重新组价和调整。</w:t>
      </w:r>
    </w:p>
    <w:p w14:paraId="44F45FE9">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9.7</w:t>
      </w:r>
      <w:r>
        <w:rPr>
          <w:rFonts w:hint="eastAsia" w:ascii="宋体" w:hAnsi="宋体" w:eastAsia="宋体" w:cs="宋体"/>
          <w:snapToGrid w:val="0"/>
          <w:color w:val="auto"/>
          <w:kern w:val="0"/>
          <w:sz w:val="24"/>
          <w:szCs w:val="24"/>
          <w:highlight w:val="none"/>
        </w:rPr>
        <w:t xml:space="preserve"> 投标人的投标总价不得高于</w:t>
      </w:r>
      <w:r>
        <w:rPr>
          <w:rFonts w:hint="eastAsia" w:ascii="宋体" w:hAnsi="宋体" w:eastAsia="宋体" w:cs="宋体"/>
          <w:snapToGrid w:val="0"/>
          <w:color w:val="auto"/>
          <w:kern w:val="0"/>
          <w:sz w:val="24"/>
          <w:szCs w:val="24"/>
          <w:highlight w:val="none"/>
          <w:lang w:val="en-US" w:eastAsia="zh-CN"/>
        </w:rPr>
        <w:t>最高投标限价</w:t>
      </w:r>
      <w:r>
        <w:rPr>
          <w:rFonts w:hint="eastAsia" w:ascii="宋体" w:hAnsi="宋体" w:eastAsia="宋体" w:cs="宋体"/>
          <w:snapToGrid w:val="0"/>
          <w:color w:val="auto"/>
          <w:kern w:val="0"/>
          <w:sz w:val="24"/>
          <w:szCs w:val="24"/>
          <w:highlight w:val="none"/>
        </w:rPr>
        <w:t>，也不得低于工程成本。投标人对投标总价的所有优惠（降价、让利等），均应当反映在具体清单项目或其综合单价的报价上。</w:t>
      </w:r>
      <w:r>
        <w:rPr>
          <w:rFonts w:hint="eastAsia" w:ascii="宋体" w:hAnsi="宋体" w:eastAsia="宋体" w:cs="宋体"/>
          <w:b w:val="0"/>
          <w:bCs/>
          <w:snapToGrid w:val="0"/>
          <w:color w:val="auto"/>
          <w:kern w:val="0"/>
          <w:sz w:val="24"/>
          <w:szCs w:val="24"/>
          <w:highlight w:val="none"/>
        </w:rPr>
        <w:t>如果投标人的投标总价下浮率（投标总价下浮率＝100%－投标总价÷</w:t>
      </w:r>
      <w:r>
        <w:rPr>
          <w:rFonts w:hint="eastAsia" w:hAnsi="宋体" w:cs="宋体"/>
          <w:b w:val="0"/>
          <w:bCs/>
          <w:snapToGrid w:val="0"/>
          <w:color w:val="auto"/>
          <w:kern w:val="0"/>
          <w:sz w:val="24"/>
          <w:szCs w:val="24"/>
          <w:highlight w:val="none"/>
          <w:lang w:eastAsia="zh-CN"/>
        </w:rPr>
        <w:t>最高投标限价</w:t>
      </w:r>
      <w:r>
        <w:rPr>
          <w:rFonts w:hint="eastAsia" w:ascii="宋体" w:hAnsi="宋体" w:eastAsia="宋体" w:cs="宋体"/>
          <w:b w:val="0"/>
          <w:bCs/>
          <w:snapToGrid w:val="0"/>
          <w:color w:val="auto"/>
          <w:kern w:val="0"/>
          <w:sz w:val="24"/>
          <w:szCs w:val="24"/>
          <w:highlight w:val="none"/>
        </w:rPr>
        <w:t>×100%）高于15%时，投标人必须在投标文件中专项作出详细合理的书面说明并提供以往类似工程详细成本分析报告供评标委员会审查。</w:t>
      </w:r>
    </w:p>
    <w:p w14:paraId="4F1621F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9.8</w:t>
      </w:r>
      <w:r>
        <w:rPr>
          <w:rFonts w:hint="eastAsia" w:ascii="宋体" w:hAnsi="宋体" w:eastAsia="宋体" w:cs="宋体"/>
          <w:snapToGrid w:val="0"/>
          <w:color w:val="auto"/>
          <w:kern w:val="0"/>
          <w:sz w:val="24"/>
          <w:szCs w:val="24"/>
          <w:highlight w:val="none"/>
        </w:rPr>
        <w:t xml:space="preserve"> 投标人的</w:t>
      </w:r>
      <w:r>
        <w:rPr>
          <w:rFonts w:hint="eastAsia" w:hAnsi="宋体" w:cs="宋体"/>
          <w:b/>
          <w:bCs/>
          <w:snapToGrid w:val="0"/>
          <w:color w:val="auto"/>
          <w:kern w:val="0"/>
          <w:sz w:val="24"/>
          <w:szCs w:val="24"/>
          <w:highlight w:val="none"/>
          <w:lang w:eastAsia="zh-CN"/>
        </w:rPr>
        <w:t>安全生产措施费</w:t>
      </w:r>
      <w:r>
        <w:rPr>
          <w:rFonts w:hint="eastAsia" w:ascii="宋体" w:hAnsi="宋体" w:eastAsia="宋体" w:cs="宋体"/>
          <w:b/>
          <w:bCs/>
          <w:snapToGrid w:val="0"/>
          <w:color w:val="auto"/>
          <w:kern w:val="0"/>
          <w:sz w:val="24"/>
          <w:szCs w:val="24"/>
          <w:highlight w:val="none"/>
        </w:rPr>
        <w:t>报价必须达到或超过招标</w:t>
      </w:r>
      <w:r>
        <w:rPr>
          <w:rFonts w:hint="eastAsia" w:hAnsi="宋体" w:cs="宋体"/>
          <w:b/>
          <w:bCs/>
          <w:snapToGrid w:val="0"/>
          <w:color w:val="auto"/>
          <w:kern w:val="0"/>
          <w:sz w:val="24"/>
          <w:szCs w:val="24"/>
          <w:highlight w:val="none"/>
          <w:lang w:val="en-US" w:eastAsia="zh-CN"/>
        </w:rPr>
        <w:t>文件</w:t>
      </w:r>
      <w:r>
        <w:rPr>
          <w:rFonts w:hint="eastAsia" w:ascii="宋体" w:hAnsi="宋体" w:eastAsia="宋体" w:cs="宋体"/>
          <w:b/>
          <w:bCs/>
          <w:snapToGrid w:val="0"/>
          <w:color w:val="auto"/>
          <w:kern w:val="0"/>
          <w:sz w:val="24"/>
          <w:szCs w:val="24"/>
          <w:highlight w:val="none"/>
        </w:rPr>
        <w:t>中提供的</w:t>
      </w:r>
      <w:r>
        <w:rPr>
          <w:rFonts w:hint="eastAsia" w:hAnsi="宋体" w:cs="宋体"/>
          <w:b/>
          <w:bCs/>
          <w:snapToGrid w:val="0"/>
          <w:color w:val="auto"/>
          <w:kern w:val="0"/>
          <w:sz w:val="24"/>
          <w:szCs w:val="24"/>
          <w:highlight w:val="none"/>
          <w:lang w:eastAsia="zh-CN"/>
        </w:rPr>
        <w:t>安全生产措施费</w:t>
      </w:r>
      <w:r>
        <w:rPr>
          <w:rFonts w:hint="eastAsia" w:ascii="宋体" w:hAnsi="宋体" w:eastAsia="宋体" w:cs="宋体"/>
          <w:snapToGrid w:val="0"/>
          <w:color w:val="auto"/>
          <w:kern w:val="0"/>
          <w:sz w:val="24"/>
          <w:szCs w:val="24"/>
          <w:highlight w:val="none"/>
        </w:rPr>
        <w:t>。</w:t>
      </w:r>
    </w:p>
    <w:p w14:paraId="72E6963D">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sz w:val="24"/>
          <w:szCs w:val="24"/>
          <w:highlight w:val="none"/>
        </w:rPr>
      </w:pPr>
      <w:r>
        <w:rPr>
          <w:rFonts w:hint="eastAsia" w:ascii="宋体" w:hAnsi="宋体" w:eastAsia="宋体" w:cs="宋体"/>
          <w:b/>
          <w:bCs/>
          <w:snapToGrid w:val="0"/>
          <w:color w:val="auto"/>
          <w:kern w:val="0"/>
          <w:sz w:val="24"/>
          <w:szCs w:val="24"/>
          <w:highlight w:val="none"/>
        </w:rPr>
        <w:t>9.9</w:t>
      </w:r>
      <w:r>
        <w:rPr>
          <w:rFonts w:hint="eastAsia" w:ascii="宋体" w:hAnsi="宋体" w:eastAsia="宋体" w:cs="宋体"/>
          <w:snapToGrid w:val="0"/>
          <w:color w:val="auto"/>
          <w:kern w:val="0"/>
          <w:sz w:val="24"/>
          <w:szCs w:val="24"/>
          <w:highlight w:val="none"/>
        </w:rPr>
        <w:t xml:space="preserve"> 投标人必须按照招标工程量清单中提供的暂列金额和暂估价统一报价。投标人应充分考虑暂估价项目（或暂列金额项目）的管理和协调所发生的费用，并将其纳入已标价工程量清单中的适当项目。招标人视该项管理和协调所发生的费用已包含在其它有价款的竞争性报价内，不再另行支付。</w:t>
      </w:r>
      <w:bookmarkStart w:id="84" w:name="_（十）投标文件的编制、包装、密封"/>
      <w:bookmarkEnd w:id="84"/>
      <w:bookmarkStart w:id="85" w:name="_Toc28889"/>
      <w:bookmarkStart w:id="86" w:name="_Toc721"/>
      <w:bookmarkStart w:id="87" w:name="_Toc11437"/>
    </w:p>
    <w:p w14:paraId="68ED725C">
      <w:pPr>
        <w:pStyle w:val="3"/>
        <w:pageBreakBefore w:val="0"/>
        <w:kinsoku/>
        <w:wordWrap w:val="0"/>
        <w:overflowPunct/>
        <w:topLinePunct w:val="0"/>
        <w:autoSpaceDE/>
        <w:autoSpaceDN/>
        <w:bidi w:val="0"/>
        <w:snapToGrid w:val="0"/>
        <w:spacing w:line="360" w:lineRule="auto"/>
        <w:ind w:left="0" w:leftChars="0" w:right="0" w:firstLine="482" w:firstLineChars="200"/>
        <w:jc w:val="both"/>
        <w:rPr>
          <w:rFonts w:hint="eastAsia" w:ascii="宋体" w:hAnsi="宋体" w:eastAsia="宋体" w:cs="宋体"/>
          <w:b/>
          <w:snapToGrid w:val="0"/>
          <w:color w:val="auto"/>
          <w:sz w:val="24"/>
          <w:szCs w:val="24"/>
          <w:highlight w:val="none"/>
        </w:rPr>
      </w:pPr>
    </w:p>
    <w:bookmarkEnd w:id="85"/>
    <w:bookmarkEnd w:id="86"/>
    <w:bookmarkEnd w:id="87"/>
    <w:p w14:paraId="1D853762">
      <w:pPr>
        <w:pStyle w:val="4"/>
        <w:pageBreakBefore w:val="0"/>
        <w:kinsoku/>
        <w:overflowPunct/>
        <w:topLinePunct w:val="0"/>
        <w:autoSpaceDE/>
        <w:autoSpaceDN/>
        <w:bidi w:val="0"/>
        <w:spacing w:beforeLines="0" w:afterLines="0" w:line="360" w:lineRule="auto"/>
        <w:ind w:left="0" w:leftChars="0" w:right="0" w:firstLine="482" w:firstLineChars="200"/>
        <w:rPr>
          <w:rFonts w:hint="eastAsia" w:ascii="宋体" w:hAnsi="宋体" w:eastAsia="宋体" w:cs="宋体"/>
          <w:color w:val="auto"/>
          <w:sz w:val="24"/>
          <w:szCs w:val="24"/>
          <w:highlight w:val="none"/>
        </w:rPr>
      </w:pPr>
      <w:bookmarkStart w:id="88" w:name="_Toc15652"/>
      <w:bookmarkStart w:id="89" w:name="_Hlt121629839"/>
      <w:r>
        <w:rPr>
          <w:rFonts w:hint="eastAsia" w:ascii="宋体" w:hAnsi="宋体" w:eastAsia="宋体" w:cs="宋体"/>
          <w:color w:val="auto"/>
          <w:sz w:val="24"/>
          <w:szCs w:val="24"/>
          <w:highlight w:val="none"/>
        </w:rPr>
        <w:t>10．投标文件的编制</w:t>
      </w:r>
      <w:bookmarkStart w:id="90" w:name="_Hlt69208262"/>
      <w:bookmarkEnd w:id="90"/>
      <w:bookmarkStart w:id="91" w:name="_Hlt69332370"/>
      <w:bookmarkEnd w:id="91"/>
      <w:r>
        <w:rPr>
          <w:rFonts w:hint="eastAsia" w:ascii="宋体" w:hAnsi="宋体" w:eastAsia="宋体" w:cs="宋体"/>
          <w:color w:val="auto"/>
          <w:sz w:val="24"/>
          <w:szCs w:val="24"/>
          <w:highlight w:val="none"/>
        </w:rPr>
        <w:t>要求</w:t>
      </w:r>
      <w:bookmarkEnd w:id="88"/>
      <w:bookmarkStart w:id="92" w:name="_Hlt74495594"/>
      <w:bookmarkEnd w:id="92"/>
      <w:bookmarkStart w:id="93" w:name="_Hlt78768224"/>
      <w:bookmarkEnd w:id="93"/>
      <w:bookmarkStart w:id="94" w:name="_Hlt74497202"/>
      <w:bookmarkEnd w:id="94"/>
      <w:bookmarkStart w:id="95" w:name="_Toc17114"/>
    </w:p>
    <w:p w14:paraId="59672748">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snapToGrid w:val="0"/>
          <w:color w:val="auto"/>
          <w:kern w:val="0"/>
          <w:sz w:val="24"/>
          <w:szCs w:val="24"/>
          <w:highlight w:val="none"/>
        </w:rPr>
      </w:pPr>
      <w:bookmarkStart w:id="96" w:name="_Toc8710"/>
      <w:bookmarkStart w:id="97" w:name="_Toc32090"/>
      <w:bookmarkStart w:id="98" w:name="_Toc3493"/>
      <w:bookmarkStart w:id="99" w:name="_Toc15062"/>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bCs/>
          <w:snapToGrid w:val="0"/>
          <w:color w:val="auto"/>
          <w:kern w:val="0"/>
          <w:sz w:val="24"/>
          <w:szCs w:val="24"/>
          <w:highlight w:val="none"/>
        </w:rPr>
        <w:t xml:space="preserve"> 一般要求</w:t>
      </w:r>
      <w:bookmarkEnd w:id="95"/>
      <w:bookmarkEnd w:id="96"/>
      <w:bookmarkEnd w:id="97"/>
      <w:bookmarkEnd w:id="98"/>
      <w:bookmarkEnd w:id="99"/>
    </w:p>
    <w:p w14:paraId="7042858A">
      <w:pPr>
        <w:pStyle w:val="12"/>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投标文件应按第六章 投标文件格式规定的内容，投标人提交的投标文件应当使用招标文件所提供的投标文件全部格式。</w:t>
      </w:r>
    </w:p>
    <w:p w14:paraId="4B261205">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10.1.1</w:t>
      </w:r>
      <w:r>
        <w:rPr>
          <w:rFonts w:hint="eastAsia" w:ascii="宋体" w:hAnsi="宋体" w:eastAsia="宋体" w:cs="宋体"/>
          <w:snapToGrid w:val="0"/>
          <w:color w:val="auto"/>
          <w:kern w:val="0"/>
          <w:sz w:val="24"/>
          <w:szCs w:val="24"/>
          <w:highlight w:val="none"/>
        </w:rPr>
        <w:t xml:space="preserve"> 投标人必须响应招标文件，并在充分理解招标人提供的全部文件、设计图纸、资料及现场条件的基础</w:t>
      </w:r>
      <w:bookmarkStart w:id="100" w:name="_Hlt78709790"/>
      <w:bookmarkEnd w:id="100"/>
      <w:r>
        <w:rPr>
          <w:rFonts w:hint="eastAsia" w:ascii="宋体" w:hAnsi="宋体" w:eastAsia="宋体" w:cs="宋体"/>
          <w:snapToGrid w:val="0"/>
          <w:color w:val="auto"/>
          <w:kern w:val="0"/>
          <w:sz w:val="24"/>
          <w:szCs w:val="24"/>
          <w:highlight w:val="none"/>
        </w:rPr>
        <w:t>上编制投标文件。因投标文件不符合招标文件的要求而造成的损失和后果，由投标人自行承担。</w:t>
      </w:r>
      <w:bookmarkStart w:id="101" w:name="_Hlt74496890"/>
      <w:bookmarkEnd w:id="101"/>
    </w:p>
    <w:p w14:paraId="4FBAC89E">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10.1.2</w:t>
      </w:r>
      <w:r>
        <w:rPr>
          <w:rFonts w:hint="eastAsia" w:ascii="宋体" w:hAnsi="宋体" w:eastAsia="宋体" w:cs="宋体"/>
          <w:snapToGrid w:val="0"/>
          <w:color w:val="auto"/>
          <w:kern w:val="0"/>
          <w:sz w:val="24"/>
          <w:szCs w:val="24"/>
          <w:highlight w:val="none"/>
        </w:rPr>
        <w:t xml:space="preserve">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eastAsia="宋体" w:cs="宋体"/>
          <w:snapToGrid w:val="0"/>
          <w:color w:val="auto"/>
          <w:kern w:val="0"/>
          <w:sz w:val="24"/>
          <w:szCs w:val="24"/>
          <w:highlight w:val="none"/>
          <w:lang w:eastAsia="zh-CN"/>
        </w:rPr>
        <w:t>全国公共资源交易平台（广东省·韶关市）</w:t>
      </w:r>
      <w:r>
        <w:rPr>
          <w:rFonts w:hint="eastAsia" w:ascii="宋体" w:hAnsi="宋体" w:eastAsia="宋体" w:cs="宋体"/>
          <w:snapToGrid w:val="0"/>
          <w:color w:val="auto"/>
          <w:kern w:val="0"/>
          <w:sz w:val="24"/>
          <w:szCs w:val="24"/>
          <w:highlight w:val="none"/>
        </w:rPr>
        <w:t>交易指引。</w:t>
      </w:r>
    </w:p>
    <w:p w14:paraId="3188623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w:t>
      </w:r>
      <w:r>
        <w:rPr>
          <w:rFonts w:hint="eastAsia" w:ascii="宋体" w:hAnsi="宋体" w:eastAsia="宋体" w:cs="宋体"/>
          <w:snapToGrid w:val="0"/>
          <w:color w:val="auto"/>
          <w:kern w:val="0"/>
          <w:sz w:val="24"/>
          <w:szCs w:val="24"/>
          <w:highlight w:val="none"/>
        </w:rPr>
        <w:t>投标文件需按以下要求签字、盖章：电子投标文件：</w:t>
      </w:r>
    </w:p>
    <w:p w14:paraId="6012A029">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10.1.3.1</w:t>
      </w:r>
      <w:r>
        <w:rPr>
          <w:rFonts w:hint="eastAsia" w:ascii="宋体" w:hAnsi="宋体" w:eastAsia="宋体" w:cs="宋体"/>
          <w:snapToGrid w:val="0"/>
          <w:color w:val="auto"/>
          <w:kern w:val="0"/>
          <w:sz w:val="24"/>
          <w:szCs w:val="24"/>
          <w:highlight w:val="none"/>
        </w:rPr>
        <w:t xml:space="preserve"> 投标文件封面、组成内容中凡注明“签字”处由要求的人员签字或电子签章；凡注明“签字或盖章”处由要求的人员签字或盖其私章（电子印章）；凡注明“签字并盖执业印章”处由要求的人员签字并盖其执业印章。</w:t>
      </w:r>
    </w:p>
    <w:p w14:paraId="65CB7E9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10.1.3.2</w:t>
      </w:r>
      <w:r>
        <w:rPr>
          <w:rFonts w:hint="eastAsia" w:ascii="宋体" w:hAnsi="宋体" w:eastAsia="宋体" w:cs="宋体"/>
          <w:snapToGrid w:val="0"/>
          <w:color w:val="auto"/>
          <w:kern w:val="0"/>
          <w:sz w:val="24"/>
          <w:szCs w:val="24"/>
          <w:highlight w:val="none"/>
        </w:rPr>
        <w:t>投标文件封套、封面、组成内容中凡要求录入投标人名称且注明“盖单位章”处盖单位法人公章（电子印章）。</w:t>
      </w:r>
    </w:p>
    <w:p w14:paraId="76BF475D">
      <w:pPr>
        <w:pStyle w:val="12"/>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10.1.3.3 </w:t>
      </w:r>
      <w:r>
        <w:rPr>
          <w:rFonts w:hint="eastAsia" w:ascii="宋体" w:hAnsi="宋体" w:eastAsia="宋体" w:cs="宋体"/>
          <w:snapToGrid w:val="0"/>
          <w:color w:val="auto"/>
          <w:kern w:val="0"/>
          <w:sz w:val="24"/>
          <w:szCs w:val="24"/>
          <w:highlight w:val="none"/>
        </w:rPr>
        <w:t>投标文件的签字均为签字人本人亲笔署名或签章（电子印章），其余部分的复印件无须另行签字、盖章。</w:t>
      </w:r>
    </w:p>
    <w:p w14:paraId="557D78D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10.1.3.4</w:t>
      </w:r>
      <w:r>
        <w:rPr>
          <w:rFonts w:hint="eastAsia" w:ascii="宋体" w:hAnsi="宋体" w:eastAsia="宋体" w:cs="宋体"/>
          <w:snapToGrid w:val="0"/>
          <w:color w:val="auto"/>
          <w:kern w:val="0"/>
          <w:sz w:val="24"/>
          <w:szCs w:val="24"/>
          <w:highlight w:val="none"/>
        </w:rPr>
        <w:t xml:space="preserve"> 联合体投标的，除《联合体协议书》外，由联合体牵头人按以上要求签亲笔署名或签章（电子印章）即可。</w:t>
      </w:r>
      <w:bookmarkStart w:id="102" w:name="_Toc29774"/>
      <w:bookmarkStart w:id="103" w:name="_Toc274313880"/>
      <w:bookmarkStart w:id="104" w:name="_Toc257031159"/>
    </w:p>
    <w:p w14:paraId="56CC41CD">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val="0"/>
          <w:bCs w:val="0"/>
          <w:snapToGrid w:val="0"/>
          <w:color w:val="auto"/>
          <w:kern w:val="0"/>
          <w:sz w:val="24"/>
          <w:szCs w:val="24"/>
          <w:highlight w:val="none"/>
        </w:rPr>
      </w:pPr>
      <w:bookmarkStart w:id="105" w:name="_Toc2278"/>
      <w:bookmarkStart w:id="106" w:name="_Toc18037"/>
      <w:bookmarkStart w:id="107" w:name="_Toc27367"/>
      <w:bookmarkStart w:id="108" w:name="_Toc3004"/>
      <w:r>
        <w:rPr>
          <w:rFonts w:hint="eastAsia" w:ascii="宋体" w:hAnsi="宋体" w:eastAsia="宋体" w:cs="宋体"/>
          <w:b/>
          <w:bCs/>
          <w:snapToGrid w:val="0"/>
          <w:color w:val="auto"/>
          <w:kern w:val="0"/>
          <w:sz w:val="24"/>
          <w:szCs w:val="24"/>
          <w:highlight w:val="none"/>
        </w:rPr>
        <w:t xml:space="preserve">10.2 </w:t>
      </w:r>
      <w:r>
        <w:rPr>
          <w:rFonts w:hint="eastAsia" w:ascii="宋体" w:hAnsi="宋体" w:eastAsia="宋体" w:cs="宋体"/>
          <w:b w:val="0"/>
          <w:bCs w:val="0"/>
          <w:snapToGrid w:val="0"/>
          <w:color w:val="auto"/>
          <w:kern w:val="0"/>
          <w:sz w:val="24"/>
          <w:szCs w:val="24"/>
          <w:highlight w:val="none"/>
        </w:rPr>
        <w:t>商务标书的编制要求</w:t>
      </w:r>
      <w:bookmarkEnd w:id="102"/>
      <w:bookmarkEnd w:id="103"/>
      <w:bookmarkEnd w:id="104"/>
      <w:bookmarkEnd w:id="105"/>
      <w:bookmarkEnd w:id="106"/>
      <w:bookmarkEnd w:id="107"/>
      <w:bookmarkEnd w:id="108"/>
    </w:p>
    <w:p w14:paraId="6599076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u w:val="single"/>
        </w:rPr>
      </w:pP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w:t>
      </w:r>
      <w:r>
        <w:rPr>
          <w:rFonts w:hint="eastAsia" w:ascii="宋体" w:hAnsi="宋体" w:eastAsia="宋体" w:cs="宋体"/>
          <w:snapToGrid w:val="0"/>
          <w:color w:val="auto"/>
          <w:kern w:val="0"/>
          <w:sz w:val="24"/>
          <w:szCs w:val="24"/>
          <w:highlight w:val="none"/>
        </w:rPr>
        <w:t>包括但不限于以下内容：</w:t>
      </w:r>
    </w:p>
    <w:p w14:paraId="57244A7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334047B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259C4E9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11BEC83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37F2EC2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3969470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25A3E1B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（7）《联合体协议书》（格式六）及所附资料；</w:t>
      </w:r>
    </w:p>
    <w:p w14:paraId="3EA17C4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（8）投标保证缴纳证明（投标人采用投标保证金的，附建设工程交易系统《缴纳投标保证金通知书》页面截图打印件和银行转账单</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；采用投标保证担保的，附银行保函</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；采用投标保证保险的，附电子保单和</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韶关市公共资源交易一体化平台保证金缴纳信息</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snapToGrid w:val="0"/>
          <w:color w:val="auto"/>
          <w:kern w:val="0"/>
          <w:sz w:val="24"/>
          <w:szCs w:val="24"/>
          <w:highlight w:val="none"/>
        </w:rPr>
        <w:t>页面截图）；</w:t>
      </w:r>
    </w:p>
    <w:p w14:paraId="0D262DD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（9）《投标人基本情况表》（格式七）及所附资料；</w:t>
      </w:r>
    </w:p>
    <w:p w14:paraId="3180A4A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trike/>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（10）《项目经理简历表》（格式八）及所附资料；</w:t>
      </w:r>
    </w:p>
    <w:p w14:paraId="479569D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（11）《项目经理任职声明》（格式九）；</w:t>
      </w:r>
    </w:p>
    <w:p w14:paraId="55D40E7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（12）《项目技术负责人简历表》（格式十）及所附资料；</w:t>
      </w:r>
    </w:p>
    <w:p w14:paraId="17540D2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13</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《专职安全员简历表》（格式十一）及所附资料</w:t>
      </w:r>
      <w:r>
        <w:rPr>
          <w:rFonts w:hint="eastAsia" w:ascii="宋体" w:hAnsi="宋体" w:eastAsia="宋体" w:cs="宋体"/>
          <w:snapToGrid w:val="0"/>
          <w:color w:val="auto"/>
          <w:kern w:val="0"/>
          <w:sz w:val="24"/>
          <w:szCs w:val="24"/>
          <w:highlight w:val="none"/>
          <w:lang w:val="en-US" w:eastAsia="zh-CN"/>
        </w:rPr>
        <w:t>；</w:t>
      </w:r>
    </w:p>
    <w:p w14:paraId="2338B1D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）《项目管理机构组成表》（格式十</w:t>
      </w:r>
      <w:r>
        <w:rPr>
          <w:rFonts w:hint="eastAsia" w:ascii="宋体" w:hAnsi="宋体" w:eastAsia="宋体" w:cs="宋体"/>
          <w:snapToGrid w:val="0"/>
          <w:color w:val="auto"/>
          <w:kern w:val="0"/>
          <w:sz w:val="24"/>
          <w:szCs w:val="24"/>
          <w:highlight w:val="none"/>
          <w:lang w:val="en-US" w:eastAsia="zh-CN"/>
        </w:rPr>
        <w:t>二</w:t>
      </w:r>
      <w:r>
        <w:rPr>
          <w:rFonts w:hint="eastAsia" w:ascii="宋体" w:hAnsi="宋体" w:eastAsia="宋体" w:cs="宋体"/>
          <w:snapToGrid w:val="0"/>
          <w:color w:val="auto"/>
          <w:kern w:val="0"/>
          <w:sz w:val="24"/>
          <w:szCs w:val="24"/>
          <w:highlight w:val="none"/>
        </w:rPr>
        <w:t>）及所附资料；</w:t>
      </w:r>
    </w:p>
    <w:p w14:paraId="10DE681F">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）本节第15.5.1目“评标方法”要求提供的评审资料；</w:t>
      </w:r>
    </w:p>
    <w:p w14:paraId="0A54ABB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w:t>
      </w:r>
    </w:p>
    <w:p w14:paraId="2106DCE8">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但非联合体投标的，无需提供第（7）项内容。</w:t>
      </w:r>
    </w:p>
    <w:p w14:paraId="2E24DA0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b w:val="0"/>
          <w:bCs w:val="0"/>
          <w:snapToGrid w:val="0"/>
          <w:color w:val="auto"/>
          <w:kern w:val="0"/>
          <w:sz w:val="24"/>
          <w:szCs w:val="24"/>
          <w:highlight w:val="none"/>
          <w:lang w:val="en-US" w:eastAsia="zh-CN"/>
        </w:rPr>
        <w:t>商务标书的组成内容按本节第 10.2.1 目规定的顺序整理、编排后，逐页（页码起始从封面开始）连续标记页码。</w:t>
      </w:r>
    </w:p>
    <w:p w14:paraId="5E0D2034">
      <w:pPr>
        <w:pStyle w:val="4"/>
        <w:keepNext w:val="0"/>
        <w:keepLines w:val="0"/>
        <w:pageBreakBefore w:val="0"/>
        <w:kinsoku/>
        <w:wordWrap w:val="0"/>
        <w:overflowPunct/>
        <w:topLinePunct w:val="0"/>
        <w:autoSpaceDE/>
        <w:autoSpaceDN/>
        <w:bidi w:val="0"/>
        <w:adjustRightInd w:val="0"/>
        <w:snapToGrid w:val="0"/>
        <w:spacing w:beforeLines="0" w:afterLines="0" w:line="360" w:lineRule="auto"/>
        <w:ind w:left="0" w:leftChars="0" w:right="0" w:firstLine="482" w:firstLineChars="200"/>
        <w:jc w:val="both"/>
        <w:rPr>
          <w:rFonts w:hint="eastAsia" w:ascii="宋体" w:hAnsi="宋体" w:eastAsia="宋体" w:cs="宋体"/>
          <w:b/>
          <w:bCs/>
          <w:snapToGrid w:val="0"/>
          <w:color w:val="auto"/>
          <w:kern w:val="0"/>
          <w:sz w:val="24"/>
          <w:szCs w:val="24"/>
          <w:highlight w:val="none"/>
        </w:rPr>
      </w:pPr>
      <w:bookmarkStart w:id="109" w:name="_Toc30069"/>
      <w:bookmarkStart w:id="110" w:name="_Toc6621"/>
      <w:bookmarkStart w:id="111" w:name="_Toc23486"/>
      <w:bookmarkStart w:id="112" w:name="_Toc1257"/>
      <w:bookmarkStart w:id="113" w:name="_Toc274313881"/>
      <w:bookmarkStart w:id="114" w:name="_Toc24061"/>
      <w:r>
        <w:rPr>
          <w:rFonts w:hint="eastAsia" w:ascii="宋体" w:hAnsi="宋体" w:eastAsia="宋体" w:cs="宋体"/>
          <w:b/>
          <w:bCs/>
          <w:snapToGrid w:val="0"/>
          <w:color w:val="auto"/>
          <w:kern w:val="0"/>
          <w:sz w:val="24"/>
          <w:szCs w:val="24"/>
          <w:highlight w:val="none"/>
        </w:rPr>
        <w:t>10.3</w:t>
      </w:r>
      <w:bookmarkStart w:id="115" w:name="_Hlt69670035"/>
      <w:bookmarkEnd w:id="115"/>
      <w:r>
        <w:rPr>
          <w:rFonts w:hint="eastAsia" w:ascii="宋体" w:hAnsi="宋体" w:eastAsia="宋体" w:cs="宋体"/>
          <w:b/>
          <w:bCs/>
          <w:snapToGrid w:val="0"/>
          <w:color w:val="auto"/>
          <w:kern w:val="0"/>
          <w:sz w:val="24"/>
          <w:szCs w:val="24"/>
          <w:highlight w:val="none"/>
        </w:rPr>
        <w:t xml:space="preserve"> 经济标书的编制要求</w:t>
      </w:r>
      <w:bookmarkEnd w:id="109"/>
      <w:bookmarkEnd w:id="110"/>
      <w:bookmarkEnd w:id="111"/>
      <w:bookmarkEnd w:id="112"/>
      <w:bookmarkEnd w:id="113"/>
      <w:bookmarkEnd w:id="114"/>
    </w:p>
    <w:p w14:paraId="7CEA28A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19ADA4F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00FD861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185A08A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（3）《投标总价》；</w:t>
      </w:r>
    </w:p>
    <w:p w14:paraId="1D9C0D4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w:t>
      </w:r>
      <w:r>
        <w:rPr>
          <w:rFonts w:hint="eastAsia" w:hAnsi="宋体" w:cs="宋体"/>
          <w:snapToGrid w:val="0"/>
          <w:color w:val="auto"/>
          <w:kern w:val="0"/>
          <w:sz w:val="24"/>
          <w:szCs w:val="24"/>
          <w:highlight w:val="none"/>
          <w:lang w:eastAsia="zh-CN"/>
        </w:rPr>
        <w:t>《建设工程工程量清单计价标准》(GB/T50500-2024)</w:t>
      </w:r>
      <w:r>
        <w:rPr>
          <w:rFonts w:hint="eastAsia" w:ascii="宋体" w:hAnsi="宋体" w:eastAsia="宋体" w:cs="宋体"/>
          <w:snapToGrid w:val="0"/>
          <w:color w:val="auto"/>
          <w:kern w:val="0"/>
          <w:sz w:val="24"/>
          <w:szCs w:val="24"/>
          <w:highlight w:val="none"/>
        </w:rPr>
        <w:t>执行，并应满足以下要求：</w:t>
      </w:r>
    </w:p>
    <w:p w14:paraId="62970EB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w:t>
      </w:r>
      <w:r>
        <w:rPr>
          <w:rFonts w:hint="eastAsia" w:ascii="宋体" w:hAnsi="宋体" w:eastAsia="宋体" w:cs="宋体"/>
          <w:color w:val="auto"/>
          <w:spacing w:val="-2"/>
          <w:sz w:val="24"/>
          <w:szCs w:val="24"/>
          <w:highlight w:val="none"/>
        </w:rPr>
        <w:t>《投标总价》后应附编制人的造价工程师注册证书彩色扫描件（须扫描至变更注册栏，</w:t>
      </w:r>
      <w:r>
        <w:rPr>
          <w:rFonts w:hint="eastAsia" w:ascii="宋体" w:hAnsi="宋体" w:eastAsia="宋体" w:cs="宋体"/>
          <w:b w:val="0"/>
          <w:bCs w:val="0"/>
          <w:color w:val="auto"/>
          <w:spacing w:val="-2"/>
          <w:sz w:val="24"/>
          <w:szCs w:val="24"/>
          <w:highlight w:val="none"/>
        </w:rPr>
        <w:t>一级造价师或二级造价师均可提供电子证书</w:t>
      </w:r>
      <w:r>
        <w:rPr>
          <w:rFonts w:hint="eastAsia" w:ascii="宋体" w:hAnsi="宋体" w:eastAsia="宋体" w:cs="宋体"/>
          <w:color w:val="auto"/>
          <w:spacing w:val="-2"/>
          <w:sz w:val="24"/>
          <w:szCs w:val="24"/>
          <w:highlight w:val="none"/>
        </w:rPr>
        <w:t>）；投标人委托造价咨询单位编制《投标总价》的，在该页“投标人 ”栏目加盖造价</w:t>
      </w:r>
      <w:r>
        <w:rPr>
          <w:rFonts w:hint="eastAsia" w:ascii="宋体" w:hAnsi="宋体" w:eastAsia="宋体" w:cs="宋体"/>
          <w:color w:val="auto"/>
          <w:spacing w:val="-7"/>
          <w:sz w:val="24"/>
          <w:szCs w:val="24"/>
          <w:highlight w:val="none"/>
        </w:rPr>
        <w:t>咨询人公章，</w:t>
      </w:r>
      <w:r>
        <w:rPr>
          <w:rFonts w:hint="eastAsia" w:ascii="宋体" w:hAnsi="宋体" w:eastAsia="宋体" w:cs="宋体"/>
          <w:color w:val="auto"/>
          <w:spacing w:val="-1"/>
          <w:sz w:val="24"/>
          <w:szCs w:val="24"/>
          <w:highlight w:val="none"/>
        </w:rPr>
        <w:t>并在该页后附造价咨询人的营业执照扫描件。</w:t>
      </w:r>
    </w:p>
    <w:p w14:paraId="37409A4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w:t>
      </w:r>
      <w:bookmarkStart w:id="116" w:name="_Hlt69699579"/>
      <w:bookmarkEnd w:id="116"/>
      <w:r>
        <w:rPr>
          <w:rFonts w:hint="eastAsia" w:ascii="宋体" w:hAnsi="宋体" w:eastAsia="宋体" w:cs="宋体"/>
          <w:snapToGrid w:val="0"/>
          <w:color w:val="auto"/>
          <w:kern w:val="0"/>
          <w:sz w:val="24"/>
          <w:szCs w:val="24"/>
          <w:highlight w:val="none"/>
        </w:rPr>
        <w:t>投标人认为有必要补充的其他资料（例如关于投标总价下浮率超过15%的书面说明和佐证材料）。</w:t>
      </w:r>
    </w:p>
    <w:p w14:paraId="18AF6EA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117" w:name="_Hlt145127239"/>
      <w:bookmarkEnd w:id="117"/>
      <w:bookmarkStart w:id="118" w:name="_Toc7035"/>
      <w:r>
        <w:rPr>
          <w:rFonts w:hint="eastAsia" w:ascii="宋体" w:hAnsi="宋体" w:eastAsia="宋体" w:cs="宋体"/>
          <w:snapToGrid w:val="0"/>
          <w:color w:val="auto"/>
          <w:kern w:val="0"/>
          <w:sz w:val="24"/>
          <w:szCs w:val="24"/>
          <w:highlight w:val="none"/>
        </w:rPr>
        <w:t>。</w:t>
      </w:r>
    </w:p>
    <w:p w14:paraId="4DC1329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经济标书的组成内容按本节第10.3.1目规定的顺序整理、编排后，逐页（页码起始从封面开始）连续标记页码。</w:t>
      </w:r>
    </w:p>
    <w:p w14:paraId="1108FDA3">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w:t>
      </w:r>
      <w:r>
        <w:rPr>
          <w:rFonts w:hint="eastAsia" w:ascii="宋体" w:hAnsi="宋体" w:eastAsia="宋体" w:cs="宋体"/>
          <w:bCs/>
          <w:snapToGrid w:val="0"/>
          <w:color w:val="auto"/>
          <w:kern w:val="0"/>
          <w:sz w:val="24"/>
          <w:szCs w:val="24"/>
          <w:highlight w:val="none"/>
        </w:rPr>
        <w:t xml:space="preserve"> 施工组织设计的编制要求</w:t>
      </w:r>
    </w:p>
    <w:p w14:paraId="53FC768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4792F47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0089846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7FFDB39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77A22E1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5F6096B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0FF00AE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215DB10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118F7F6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0418AE0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2941539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059C77A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5247D07A">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1993F8D7">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2608709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p>
    <w:p w14:paraId="0CB5FB94">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设备及仓储、供电、供水、卫生、生活、道路、消防等设施的情况和布置）；</w:t>
      </w:r>
    </w:p>
    <w:p w14:paraId="7D2AA36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i/>
          <w:i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579062E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40970C5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535615B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color w:val="auto"/>
          <w:sz w:val="24"/>
          <w:szCs w:val="24"/>
          <w:highlight w:val="none"/>
        </w:rPr>
        <w:t>施工组织设计的组成内容按本节第10.4.2目规定的顺序整理、编排后，逐页（页码起始从封面开始）连续标记页码。</w:t>
      </w:r>
      <w:r>
        <w:rPr>
          <w:rFonts w:hint="eastAsia" w:ascii="宋体" w:hAnsi="宋体" w:eastAsia="宋体" w:cs="宋体"/>
          <w:snapToGrid w:val="0"/>
          <w:color w:val="auto"/>
          <w:kern w:val="0"/>
          <w:sz w:val="24"/>
          <w:szCs w:val="24"/>
          <w:highlight w:val="none"/>
        </w:rPr>
        <w:t xml:space="preserve">  </w:t>
      </w:r>
    </w:p>
    <w:bookmarkEnd w:id="118"/>
    <w:p w14:paraId="52E748F8">
      <w:pPr>
        <w:rPr>
          <w:rFonts w:hint="eastAsia"/>
          <w:color w:val="auto"/>
          <w:highlight w:val="none"/>
        </w:rPr>
      </w:pPr>
      <w:bookmarkStart w:id="119" w:name="_Toc18012"/>
      <w:bookmarkStart w:id="120" w:name="_Toc32203"/>
    </w:p>
    <w:p w14:paraId="7A9E63DC">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Fonts w:hint="eastAsia" w:ascii="宋体" w:hAnsi="宋体" w:eastAsia="宋体" w:cs="宋体"/>
          <w:bCs/>
          <w:snapToGrid w:val="0"/>
          <w:color w:val="auto"/>
          <w:sz w:val="24"/>
          <w:szCs w:val="24"/>
          <w:highlight w:val="none"/>
        </w:rPr>
      </w:pPr>
      <w:bookmarkStart w:id="121" w:name="_Toc5963"/>
      <w:r>
        <w:rPr>
          <w:rStyle w:val="155"/>
          <w:rFonts w:hint="eastAsia" w:ascii="宋体" w:hAnsi="宋体" w:eastAsia="宋体" w:cs="宋体"/>
          <w:color w:val="auto"/>
          <w:sz w:val="24"/>
          <w:szCs w:val="24"/>
          <w:highlight w:val="none"/>
          <w:lang w:val="en-US" w:eastAsia="zh-CN"/>
        </w:rPr>
        <w:t>11.电子投标</w:t>
      </w:r>
      <w:bookmarkEnd w:id="119"/>
      <w:bookmarkEnd w:id="121"/>
    </w:p>
    <w:p w14:paraId="31CB50F9">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snapToGrid w:val="0"/>
          <w:color w:val="auto"/>
          <w:sz w:val="24"/>
          <w:szCs w:val="24"/>
          <w:highlight w:val="none"/>
        </w:rPr>
      </w:pPr>
      <w:bookmarkStart w:id="122" w:name="_Hlt88627590"/>
      <w:bookmarkEnd w:id="122"/>
      <w:r>
        <w:rPr>
          <w:rFonts w:hint="eastAsia" w:ascii="宋体" w:hAnsi="宋体" w:eastAsia="宋体" w:cs="宋体"/>
          <w:b/>
          <w:bCs w:val="0"/>
          <w:snapToGrid w:val="0"/>
          <w:color w:val="auto"/>
          <w:sz w:val="24"/>
          <w:szCs w:val="24"/>
          <w:highlight w:val="none"/>
        </w:rPr>
        <w:t>11.1</w:t>
      </w:r>
      <w:r>
        <w:rPr>
          <w:rFonts w:hint="eastAsia" w:ascii="宋体" w:hAnsi="宋体" w:eastAsia="宋体" w:cs="宋体"/>
          <w:b w:val="0"/>
          <w:bCs/>
          <w:snapToGrid w:val="0"/>
          <w:color w:val="auto"/>
          <w:sz w:val="24"/>
          <w:szCs w:val="24"/>
          <w:highlight w:val="none"/>
          <w:lang w:val="en-US" w:eastAsia="zh-CN"/>
        </w:rPr>
        <w:t>在建设工程交易系统上传加盖了电子印章的投标文件、录入相关信息及标书页码信息，（页码起始从封面开始）并提交投标标书。提交标书为已加密投标文件。具体操作参照《韶关市公共资源建设工程交易系统-投标人操作指南（电子评标）》。本项目评标采用全流程电子化进行招标投标（投标人应根据韶关市公共资源建设工程交易系统进行编辑投标相关内容、按招标文件电子投标要求上传已加盖电子印章投标文件，否则将自行承担不利后果）。投标文件完成上传后，投标人应使用 CA 数字证书对投标文件进行文件加密，形成加密的投标文件并提交标书。</w:t>
      </w:r>
    </w:p>
    <w:p w14:paraId="7D2DB26E">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bookmarkStart w:id="123" w:name="_Hlt127590288"/>
      <w:bookmarkEnd w:id="123"/>
      <w:r>
        <w:rPr>
          <w:rFonts w:hint="eastAsia" w:ascii="宋体" w:hAnsi="宋体" w:eastAsia="宋体" w:cs="宋体"/>
          <w:b/>
          <w:bCs w:val="0"/>
          <w:snapToGrid w:val="0"/>
          <w:color w:val="auto"/>
          <w:sz w:val="24"/>
          <w:szCs w:val="24"/>
          <w:highlight w:val="none"/>
        </w:rPr>
        <w:t>11.2</w:t>
      </w:r>
      <w:r>
        <w:rPr>
          <w:rFonts w:hint="eastAsia" w:ascii="宋体" w:hAnsi="宋体" w:eastAsia="宋体" w:cs="宋体"/>
          <w:bCs/>
          <w:snapToGrid w:val="0"/>
          <w:color w:val="auto"/>
          <w:sz w:val="24"/>
          <w:szCs w:val="24"/>
          <w:highlight w:val="none"/>
        </w:rPr>
        <w:t>电子投标文件的修改、撤回：在提交投标文件截止时间前，投标人可以修改或撤回未解密的电子投标文件，并于提交投标文件截止时间前将重新上传修改后的电子投标文件至系统，到达投标文件提交截止时间后投标人不得撤回、补充、修改和更换投标文件。</w:t>
      </w:r>
      <w:bookmarkEnd w:id="120"/>
    </w:p>
    <w:p w14:paraId="1CE24FDD">
      <w:pPr>
        <w:rPr>
          <w:rFonts w:hint="eastAsia"/>
          <w:color w:val="auto"/>
          <w:highlight w:val="none"/>
          <w:lang w:val="en-US" w:eastAsia="zh-CN"/>
        </w:rPr>
      </w:pPr>
      <w:bookmarkStart w:id="124" w:name="_Toc25051"/>
    </w:p>
    <w:p w14:paraId="28E13027">
      <w:pPr>
        <w:pStyle w:val="137"/>
        <w:keepNext w:val="0"/>
        <w:keepLines w:val="0"/>
        <w:pageBreakBefore w:val="0"/>
        <w:widowControl w:val="0"/>
        <w:kinsoku/>
        <w:wordWrap w:val="0"/>
        <w:overflowPunct/>
        <w:topLinePunct w:val="0"/>
        <w:autoSpaceDE/>
        <w:autoSpaceDN/>
        <w:bidi w:val="0"/>
        <w:adjustRightInd w:val="0"/>
        <w:snapToGrid w:val="0"/>
        <w:spacing w:line="360" w:lineRule="auto"/>
        <w:ind w:right="0" w:firstLine="482" w:firstLineChars="200"/>
        <w:jc w:val="left"/>
        <w:textAlignment w:val="auto"/>
        <w:rPr>
          <w:rStyle w:val="155"/>
          <w:rFonts w:hint="eastAsia" w:ascii="宋体" w:hAnsi="宋体" w:eastAsia="宋体" w:cs="宋体"/>
          <w:color w:val="auto"/>
          <w:kern w:val="2"/>
          <w:sz w:val="24"/>
          <w:szCs w:val="24"/>
          <w:highlight w:val="none"/>
          <w:lang w:val="en-US" w:eastAsia="zh-CN" w:bidi="ar-SA"/>
        </w:rPr>
      </w:pPr>
      <w:r>
        <w:rPr>
          <w:rStyle w:val="155"/>
          <w:rFonts w:hint="eastAsia" w:ascii="宋体" w:hAnsi="宋体" w:eastAsia="宋体" w:cs="宋体"/>
          <w:color w:val="auto"/>
          <w:kern w:val="2"/>
          <w:sz w:val="24"/>
          <w:szCs w:val="24"/>
          <w:highlight w:val="none"/>
          <w:lang w:val="en-US" w:eastAsia="zh-CN" w:bidi="ar-SA"/>
        </w:rPr>
        <w:t>12.电子投标及投标解密失败及突发情况的补救方案</w:t>
      </w:r>
    </w:p>
    <w:bookmarkEnd w:id="124"/>
    <w:p w14:paraId="2A11A4DB">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12.1</w:t>
      </w:r>
      <w:r>
        <w:rPr>
          <w:rFonts w:hint="eastAsia" w:ascii="宋体" w:hAnsi="宋体" w:eastAsia="宋体" w:cs="宋体"/>
          <w:bCs/>
          <w:snapToGrid w:val="0"/>
          <w:color w:val="auto"/>
          <w:sz w:val="24"/>
          <w:szCs w:val="24"/>
          <w:highlight w:val="none"/>
        </w:rPr>
        <w:t xml:space="preserve">按照交易平台关于全流程电子化项目的相关指南进行操作。详见：全国公共资源交易平台（广东省·韶关市）（https://ygp.gdzwfw.gov.cn/ggzy-portal/#/440200/index）交易指引栏目发布的最新版操作指引。  </w:t>
      </w:r>
    </w:p>
    <w:p w14:paraId="5A18F35F">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12.2</w:t>
      </w:r>
      <w:r>
        <w:rPr>
          <w:rFonts w:hint="eastAsia" w:ascii="宋体" w:hAnsi="宋体" w:eastAsia="宋体" w:cs="宋体"/>
          <w:bCs/>
          <w:snapToGrid w:val="0"/>
          <w:color w:val="auto"/>
          <w:sz w:val="24"/>
          <w:szCs w:val="24"/>
          <w:highlight w:val="none"/>
        </w:rPr>
        <w:t>补救方案：</w:t>
      </w:r>
    </w:p>
    <w:p w14:paraId="73FF47F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textAlignment w:val="auto"/>
        <w:rPr>
          <w:rFonts w:hint="eastAsia" w:ascii="宋体" w:hAnsi="宋体" w:eastAsia="宋体" w:cs="宋体"/>
          <w:bCs/>
          <w:snapToGrid w:val="0"/>
          <w:color w:val="auto"/>
          <w:sz w:val="24"/>
          <w:szCs w:val="24"/>
          <w:highlight w:val="none"/>
        </w:rPr>
      </w:pPr>
      <w:r>
        <w:rPr>
          <w:rFonts w:hint="eastAsia" w:ascii="宋体" w:hAnsi="宋体" w:eastAsia="宋体" w:cs="宋体"/>
          <w:b/>
          <w:bCs w:val="0"/>
          <w:snapToGrid w:val="0"/>
          <w:color w:val="auto"/>
          <w:sz w:val="24"/>
          <w:szCs w:val="24"/>
          <w:highlight w:val="none"/>
          <w:lang w:val="en-US" w:eastAsia="zh-CN"/>
        </w:rPr>
        <w:t>12.2.1</w:t>
      </w:r>
      <w:r>
        <w:rPr>
          <w:rFonts w:hint="eastAsia" w:ascii="宋体" w:hAnsi="宋体" w:eastAsia="宋体" w:cs="宋体"/>
          <w:bCs/>
          <w:snapToGrid w:val="0"/>
          <w:color w:val="auto"/>
          <w:sz w:val="24"/>
          <w:szCs w:val="24"/>
          <w:highlight w:val="none"/>
        </w:rPr>
        <w:t>投标文件解密失败的补救方案：</w:t>
      </w:r>
    </w:p>
    <w:p w14:paraId="58EDECDB">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w:t>
      </w:r>
    </w:p>
    <w:p w14:paraId="2778DE7F">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sz w:val="24"/>
          <w:szCs w:val="24"/>
          <w:highlight w:val="none"/>
        </w:rPr>
      </w:pPr>
      <w:r>
        <w:rPr>
          <w:rFonts w:hint="eastAsia" w:ascii="宋体" w:hAnsi="宋体" w:eastAsia="宋体" w:cs="宋体"/>
          <w:b/>
          <w:bCs w:val="0"/>
          <w:snapToGrid w:val="0"/>
          <w:color w:val="auto"/>
          <w:sz w:val="24"/>
          <w:szCs w:val="24"/>
          <w:highlight w:val="none"/>
          <w:lang w:val="en-US" w:eastAsia="zh-CN"/>
        </w:rPr>
        <w:t>12.2.2</w:t>
      </w:r>
      <w:r>
        <w:rPr>
          <w:rFonts w:hint="eastAsia" w:ascii="宋体" w:hAnsi="宋体" w:eastAsia="宋体" w:cs="宋体"/>
          <w:bCs/>
          <w:snapToGrid w:val="0"/>
          <w:color w:val="auto"/>
          <w:sz w:val="24"/>
          <w:szCs w:val="24"/>
          <w:highlight w:val="none"/>
        </w:rPr>
        <w:t>评标时突发情况的补救方案</w:t>
      </w:r>
    </w:p>
    <w:p w14:paraId="02506F98">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Cs/>
          <w:snapToGrid w:val="0"/>
          <w:color w:val="auto"/>
          <w:sz w:val="24"/>
          <w:szCs w:val="24"/>
          <w:highlight w:val="none"/>
        </w:rPr>
      </w:pPr>
      <w:r>
        <w:rPr>
          <w:rFonts w:hint="eastAsia" w:ascii="宋体" w:hAnsi="宋体" w:eastAsia="宋体" w:cs="宋体"/>
          <w:bCs/>
          <w:snapToGrid w:val="0"/>
          <w:color w:val="auto"/>
          <w:sz w:val="24"/>
          <w:szCs w:val="24"/>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p>
    <w:p w14:paraId="107179AD">
      <w:pPr>
        <w:pageBreakBefore w:val="0"/>
        <w:kinsoku/>
        <w:wordWrap w:val="0"/>
        <w:overflowPunct/>
        <w:topLinePunct w:val="0"/>
        <w:autoSpaceDE/>
        <w:autoSpaceDN/>
        <w:bidi w:val="0"/>
        <w:adjustRightInd w:val="0"/>
        <w:spacing w:line="360" w:lineRule="auto"/>
        <w:ind w:left="0" w:leftChars="0" w:right="0" w:firstLine="482" w:firstLineChars="200"/>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b/>
          <w:bCs w:val="0"/>
          <w:snapToGrid w:val="0"/>
          <w:color w:val="auto"/>
          <w:sz w:val="24"/>
          <w:szCs w:val="24"/>
          <w:highlight w:val="none"/>
          <w:lang w:val="en-US" w:eastAsia="zh-CN"/>
        </w:rPr>
        <w:t>12.2.3</w:t>
      </w:r>
      <w:r>
        <w:rPr>
          <w:rFonts w:hint="eastAsia" w:ascii="宋体" w:hAnsi="宋体" w:eastAsia="宋体" w:cs="宋体"/>
          <w:b w:val="0"/>
          <w:bCs/>
          <w:snapToGrid w:val="0"/>
          <w:color w:val="auto"/>
          <w:sz w:val="24"/>
          <w:szCs w:val="24"/>
          <w:highlight w:val="none"/>
          <w:lang w:val="en-US" w:eastAsia="zh-CN"/>
        </w:rPr>
        <w:t>除发生上述情况外，开标评标均以投标人（联合体投标的，由联合体牵头人）通过交易平台网上递交的电子投标文件为准。</w:t>
      </w:r>
    </w:p>
    <w:p w14:paraId="42346281">
      <w:pPr>
        <w:rPr>
          <w:rFonts w:hint="eastAsia"/>
          <w:color w:val="auto"/>
          <w:highlight w:val="none"/>
        </w:rPr>
      </w:pPr>
    </w:p>
    <w:p w14:paraId="34E872B4">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5"/>
          <w:rFonts w:hint="eastAsia" w:ascii="宋体" w:hAnsi="宋体" w:eastAsia="宋体" w:cs="宋体"/>
          <w:color w:val="auto"/>
          <w:sz w:val="24"/>
          <w:szCs w:val="24"/>
          <w:highlight w:val="none"/>
          <w:lang w:val="en-US" w:eastAsia="zh-CN"/>
        </w:rPr>
      </w:pPr>
      <w:bookmarkStart w:id="125" w:name="_Toc31800"/>
      <w:r>
        <w:rPr>
          <w:rStyle w:val="155"/>
          <w:rFonts w:hint="eastAsia" w:ascii="宋体" w:hAnsi="宋体" w:eastAsia="宋体" w:cs="宋体"/>
          <w:color w:val="auto"/>
          <w:sz w:val="24"/>
          <w:szCs w:val="24"/>
          <w:highlight w:val="none"/>
          <w:lang w:val="en-US" w:eastAsia="zh-CN"/>
        </w:rPr>
        <w:t>13．投标文件的提交</w:t>
      </w:r>
      <w:bookmarkEnd w:id="125"/>
    </w:p>
    <w:p w14:paraId="5BEEDFBF">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13.1</w:t>
      </w:r>
      <w:r>
        <w:rPr>
          <w:rFonts w:hint="eastAsia" w:ascii="宋体" w:hAnsi="宋体" w:eastAsia="宋体" w:cs="宋体"/>
          <w:snapToGrid w:val="0"/>
          <w:color w:val="auto"/>
          <w:kern w:val="0"/>
          <w:sz w:val="24"/>
          <w:szCs w:val="24"/>
          <w:highlight w:val="none"/>
        </w:rPr>
        <w:t>在投标文件提交截止时间前，投标人通过</w:t>
      </w:r>
      <w:r>
        <w:rPr>
          <w:rFonts w:hint="eastAsia" w:ascii="宋体" w:hAnsi="宋体" w:eastAsia="宋体" w:cs="宋体"/>
          <w:bCs/>
          <w:snapToGrid w:val="0"/>
          <w:color w:val="auto"/>
          <w:sz w:val="24"/>
          <w:szCs w:val="24"/>
          <w:highlight w:val="none"/>
        </w:rPr>
        <w:t>全国公共资源交易平台（广东省·韶关市）</w:t>
      </w:r>
      <w:r>
        <w:rPr>
          <w:rFonts w:hint="eastAsia" w:ascii="宋体" w:hAnsi="宋体" w:eastAsia="宋体" w:cs="宋体"/>
          <w:snapToGrid w:val="0"/>
          <w:color w:val="auto"/>
          <w:kern w:val="0"/>
          <w:sz w:val="24"/>
          <w:szCs w:val="24"/>
          <w:highlight w:val="none"/>
        </w:rPr>
        <w:t>提交已加密投标文件。逾期提交的电子投标文件，</w:t>
      </w:r>
      <w:r>
        <w:rPr>
          <w:rFonts w:hint="eastAsia" w:ascii="宋体" w:hAnsi="宋体" w:eastAsia="宋体" w:cs="宋体"/>
          <w:bCs/>
          <w:snapToGrid w:val="0"/>
          <w:color w:val="auto"/>
          <w:sz w:val="24"/>
          <w:szCs w:val="24"/>
          <w:highlight w:val="none"/>
        </w:rPr>
        <w:t>全国公共资源交易平台（广东省·韶关市）</w:t>
      </w:r>
      <w:r>
        <w:rPr>
          <w:rFonts w:hint="eastAsia" w:ascii="宋体" w:hAnsi="宋体" w:eastAsia="宋体" w:cs="宋体"/>
          <w:snapToGrid w:val="0"/>
          <w:color w:val="auto"/>
          <w:kern w:val="0"/>
          <w:sz w:val="24"/>
          <w:szCs w:val="24"/>
          <w:highlight w:val="none"/>
        </w:rPr>
        <w:t>将予以拒收。</w:t>
      </w:r>
    </w:p>
    <w:p w14:paraId="3A86658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13.2</w:t>
      </w:r>
      <w:r>
        <w:rPr>
          <w:rFonts w:hint="eastAsia" w:ascii="宋体" w:hAnsi="宋体" w:eastAsia="宋体" w:cs="宋体"/>
          <w:snapToGrid w:val="0"/>
          <w:color w:val="auto"/>
          <w:kern w:val="0"/>
          <w:sz w:val="24"/>
          <w:szCs w:val="24"/>
          <w:highlight w:val="none"/>
        </w:rPr>
        <w:t>提交时间和地点：见本章第二节“重要事项时间地点一览表”</w:t>
      </w:r>
    </w:p>
    <w:p w14:paraId="447F6263">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sz w:val="24"/>
          <w:szCs w:val="24"/>
          <w:highlight w:val="none"/>
        </w:rPr>
        <w:t xml:space="preserve">13.3 </w:t>
      </w:r>
      <w:r>
        <w:rPr>
          <w:rFonts w:hint="eastAsia" w:ascii="宋体" w:hAnsi="宋体" w:eastAsia="宋体" w:cs="宋体"/>
          <w:snapToGrid w:val="0"/>
          <w:color w:val="auto"/>
          <w:kern w:val="0"/>
          <w:sz w:val="24"/>
          <w:szCs w:val="24"/>
          <w:highlight w:val="none"/>
        </w:rPr>
        <w:t>递交时间和地点：投标人如有招标文件要求提交的用于评审的证书、证件、证明原件（附一式两份清单），由投标人法定代表人或其委托代理人在指定的时间和地点递交（见“重要事项时间地点一览表”）</w:t>
      </w:r>
    </w:p>
    <w:p w14:paraId="3B250463">
      <w:pPr>
        <w:pStyle w:val="10"/>
        <w:keepNext w:val="0"/>
        <w:keepLines w:val="0"/>
        <w:pageBreakBefore w:val="0"/>
        <w:widowControl w:val="0"/>
        <w:kinsoku/>
        <w:overflowPunct/>
        <w:topLinePunct w:val="0"/>
        <w:autoSpaceDE/>
        <w:autoSpaceDN/>
        <w:bidi w:val="0"/>
        <w:spacing w:line="360" w:lineRule="auto"/>
        <w:ind w:left="0" w:leftChars="0" w:right="0" w:firstLine="482" w:firstLineChars="200"/>
        <w:rPr>
          <w:rFonts w:hint="default" w:ascii="宋体" w:hAnsi="宋体" w:eastAsia="宋体" w:cs="宋体"/>
          <w:bCs/>
          <w:snapToGrid w:val="0"/>
          <w:color w:val="auto"/>
          <w:sz w:val="24"/>
          <w:szCs w:val="24"/>
          <w:highlight w:val="none"/>
          <w:lang w:val="en-US" w:eastAsia="zh-CN"/>
        </w:rPr>
      </w:pPr>
      <w:r>
        <w:rPr>
          <w:rFonts w:hint="eastAsia" w:hAnsi="宋体" w:cs="宋体"/>
          <w:b/>
          <w:bCs w:val="0"/>
          <w:snapToGrid w:val="0"/>
          <w:color w:val="auto"/>
          <w:sz w:val="24"/>
          <w:szCs w:val="24"/>
          <w:highlight w:val="none"/>
          <w:lang w:val="en-US" w:eastAsia="zh-CN"/>
        </w:rPr>
        <w:t xml:space="preserve">13.4 </w:t>
      </w:r>
      <w:r>
        <w:rPr>
          <w:rFonts w:hint="eastAsia" w:ascii="宋体" w:hAnsi="宋体" w:eastAsia="宋体" w:cs="宋体"/>
          <w:snapToGrid w:val="0"/>
          <w:color w:val="auto"/>
          <w:kern w:val="0"/>
          <w:sz w:val="24"/>
          <w:szCs w:val="24"/>
          <w:highlight w:val="none"/>
        </w:rPr>
        <w:t>代理机构对因不可抗力事件造成的投标文件的损坏、丢失的，不承担责任。</w:t>
      </w:r>
    </w:p>
    <w:p w14:paraId="0D98FEB5">
      <w:pPr>
        <w:pStyle w:val="10"/>
        <w:keepNext w:val="0"/>
        <w:keepLines w:val="0"/>
        <w:pageBreakBefore w:val="0"/>
        <w:widowControl w:val="0"/>
        <w:kinsoku/>
        <w:overflowPunct/>
        <w:topLinePunct w:val="0"/>
        <w:autoSpaceDE/>
        <w:autoSpaceDN/>
        <w:bidi w:val="0"/>
        <w:spacing w:line="360" w:lineRule="auto"/>
        <w:ind w:left="0" w:leftChars="0" w:right="0" w:firstLine="480" w:firstLineChars="200"/>
        <w:rPr>
          <w:rFonts w:hint="eastAsia" w:ascii="宋体" w:hAnsi="宋体" w:eastAsia="宋体" w:cs="宋体"/>
          <w:strike/>
          <w:dstrike w:val="0"/>
          <w:snapToGrid w:val="0"/>
          <w:color w:val="auto"/>
          <w:kern w:val="0"/>
          <w:sz w:val="24"/>
          <w:szCs w:val="24"/>
          <w:highlight w:val="none"/>
        </w:rPr>
      </w:pPr>
      <w:r>
        <w:rPr>
          <w:rFonts w:hint="eastAsia" w:ascii="宋体" w:hAnsi="宋体" w:eastAsia="宋体" w:cs="宋体"/>
          <w:bCs/>
          <w:snapToGrid w:val="0"/>
          <w:color w:val="auto"/>
          <w:sz w:val="24"/>
          <w:szCs w:val="24"/>
          <w:highlight w:val="none"/>
        </w:rPr>
        <w:t>投标人法定代表人或其委托代理人（以下简称“投标人代表”）应在指定的时间和地点递交投标相关资料（如有）。</w:t>
      </w:r>
    </w:p>
    <w:p w14:paraId="444F38A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13.</w:t>
      </w:r>
      <w:r>
        <w:rPr>
          <w:rFonts w:hint="eastAsia" w:hAnsi="宋体" w:cs="宋体"/>
          <w:b/>
          <w:bCs/>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出现下述情形之一，属于未成功提交投标文件，按无效投标处理：</w:t>
      </w:r>
    </w:p>
    <w:p w14:paraId="102CFAE0">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（1）</w:t>
      </w:r>
      <w:r>
        <w:rPr>
          <w:rFonts w:hint="eastAsia" w:ascii="宋体" w:hAnsi="宋体" w:eastAsia="宋体" w:cs="宋体"/>
          <w:snapToGrid w:val="0"/>
          <w:color w:val="auto"/>
          <w:kern w:val="0"/>
          <w:sz w:val="24"/>
          <w:szCs w:val="24"/>
          <w:highlight w:val="none"/>
        </w:rPr>
        <w:t>至提交投标文件截止时，投标文件未完整上传及提交标书；</w:t>
      </w:r>
    </w:p>
    <w:p w14:paraId="1F4ECA62">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w:t>
      </w:r>
      <w:r>
        <w:rPr>
          <w:rFonts w:hint="eastAsia" w:hAnsi="宋体" w:cs="宋体"/>
          <w:snapToGrid w:val="0"/>
          <w:color w:val="auto"/>
          <w:kern w:val="0"/>
          <w:sz w:val="24"/>
          <w:szCs w:val="24"/>
          <w:highlight w:val="none"/>
          <w:lang w:val="en-US" w:eastAsia="zh-CN" w:bidi="ar-SA"/>
        </w:rPr>
        <w:t>2</w:t>
      </w:r>
      <w:r>
        <w:rPr>
          <w:rFonts w:hint="eastAsia" w:ascii="宋体" w:hAnsi="宋体" w:eastAsia="宋体" w:cs="宋体"/>
          <w:snapToGrid w:val="0"/>
          <w:color w:val="auto"/>
          <w:kern w:val="0"/>
          <w:sz w:val="24"/>
          <w:szCs w:val="24"/>
          <w:highlight w:val="none"/>
          <w:lang w:val="en-US" w:eastAsia="zh-CN" w:bidi="ar-SA"/>
        </w:rPr>
        <w:t>）</w:t>
      </w:r>
      <w:r>
        <w:rPr>
          <w:rFonts w:hint="eastAsia" w:ascii="宋体" w:hAnsi="宋体" w:eastAsia="宋体" w:cs="宋体"/>
          <w:snapToGrid w:val="0"/>
          <w:color w:val="auto"/>
          <w:kern w:val="0"/>
          <w:sz w:val="24"/>
          <w:szCs w:val="24"/>
          <w:highlight w:val="none"/>
        </w:rPr>
        <w:t>解密失败且在规定时间内未重新提交投标文件的</w:t>
      </w:r>
      <w:r>
        <w:rPr>
          <w:rFonts w:hint="eastAsia" w:ascii="宋体" w:hAnsi="宋体" w:eastAsia="宋体" w:cs="宋体"/>
          <w:snapToGrid w:val="0"/>
          <w:color w:val="auto"/>
          <w:kern w:val="0"/>
          <w:sz w:val="24"/>
          <w:szCs w:val="24"/>
          <w:highlight w:val="none"/>
          <w:lang w:eastAsia="zh-CN"/>
        </w:rPr>
        <w:t>；</w:t>
      </w:r>
    </w:p>
    <w:p w14:paraId="4B336C96">
      <w:pPr>
        <w:keepNext w:val="0"/>
        <w:keepLines w:val="0"/>
        <w:pageBreakBefore w:val="0"/>
        <w:widowControl w:val="0"/>
        <w:numPr>
          <w:ilvl w:val="0"/>
          <w:numId w:val="0"/>
        </w:numPr>
        <w:kinsoku/>
        <w:overflowPunct/>
        <w:topLinePunct w:val="0"/>
        <w:autoSpaceDE/>
        <w:autoSpaceDN/>
        <w:bidi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val="en-US" w:eastAsia="zh-CN" w:bidi="ar-SA"/>
        </w:rPr>
        <w:t>（</w:t>
      </w:r>
      <w:r>
        <w:rPr>
          <w:rFonts w:hint="eastAsia" w:hAnsi="宋体" w:cs="宋体"/>
          <w:snapToGrid w:val="0"/>
          <w:color w:val="auto"/>
          <w:kern w:val="0"/>
          <w:sz w:val="24"/>
          <w:szCs w:val="24"/>
          <w:highlight w:val="none"/>
          <w:lang w:val="en-US" w:eastAsia="zh-CN" w:bidi="ar-SA"/>
        </w:rPr>
        <w:t>3</w:t>
      </w:r>
      <w:r>
        <w:rPr>
          <w:rFonts w:hint="eastAsia" w:ascii="宋体" w:hAnsi="宋体" w:eastAsia="宋体" w:cs="宋体"/>
          <w:snapToGrid w:val="0"/>
          <w:color w:val="auto"/>
          <w:kern w:val="0"/>
          <w:sz w:val="24"/>
          <w:szCs w:val="24"/>
          <w:highlight w:val="none"/>
          <w:lang w:val="en-US" w:eastAsia="zh-CN" w:bidi="ar-SA"/>
        </w:rPr>
        <w:t>）</w:t>
      </w:r>
      <w:r>
        <w:rPr>
          <w:rFonts w:hint="eastAsia" w:ascii="宋体" w:hAnsi="宋体" w:eastAsia="宋体" w:cs="宋体"/>
          <w:snapToGrid w:val="0"/>
          <w:color w:val="auto"/>
          <w:kern w:val="0"/>
          <w:sz w:val="24"/>
          <w:szCs w:val="24"/>
          <w:highlight w:val="none"/>
        </w:rPr>
        <w:t>投标文件损坏或格式不正确的；</w:t>
      </w:r>
    </w:p>
    <w:p w14:paraId="56ACA964">
      <w:pPr>
        <w:keepNext w:val="0"/>
        <w:keepLines w:val="0"/>
        <w:pageBreakBefore w:val="0"/>
        <w:widowControl w:val="0"/>
        <w:numPr>
          <w:ilvl w:val="0"/>
          <w:numId w:val="0"/>
        </w:numPr>
        <w:kinsoku/>
        <w:overflowPunct/>
        <w:topLinePunct w:val="0"/>
        <w:autoSpaceDE/>
        <w:autoSpaceDN/>
        <w:bidi w:val="0"/>
        <w:spacing w:line="360" w:lineRule="auto"/>
        <w:ind w:left="0" w:leftChars="0" w:right="0" w:firstLine="482" w:firstLineChars="200"/>
        <w:textAlignment w:val="auto"/>
        <w:rPr>
          <w:rFonts w:hint="default" w:ascii="宋体" w:hAnsi="宋体" w:eastAsia="宋体" w:cs="宋体"/>
          <w:snapToGrid w:val="0"/>
          <w:color w:val="auto"/>
          <w:kern w:val="0"/>
          <w:sz w:val="24"/>
          <w:szCs w:val="24"/>
          <w:highlight w:val="none"/>
          <w:lang w:val="en-US" w:eastAsia="zh-CN"/>
        </w:rPr>
      </w:pPr>
      <w:r>
        <w:rPr>
          <w:rFonts w:hint="eastAsia" w:hAnsi="宋体" w:cs="宋体"/>
          <w:b/>
          <w:bCs/>
          <w:snapToGrid w:val="0"/>
          <w:color w:val="auto"/>
          <w:kern w:val="0"/>
          <w:sz w:val="24"/>
          <w:szCs w:val="24"/>
          <w:highlight w:val="none"/>
          <w:lang w:val="en-US" w:eastAsia="zh-CN"/>
        </w:rPr>
        <w:t>13.6</w:t>
      </w:r>
      <w:r>
        <w:rPr>
          <w:rFonts w:hint="eastAsia" w:hAnsi="宋体" w:cs="宋体"/>
          <w:snapToGrid w:val="0"/>
          <w:color w:val="auto"/>
          <w:kern w:val="0"/>
          <w:sz w:val="24"/>
          <w:szCs w:val="24"/>
          <w:highlight w:val="none"/>
          <w:lang w:val="en-US" w:eastAsia="zh-CN"/>
        </w:rPr>
        <w:t xml:space="preserve"> 联合体投标的，由联合体牵头人按以上要求递交相关资料。</w:t>
      </w:r>
    </w:p>
    <w:p w14:paraId="5BA01358">
      <w:pPr>
        <w:keepNext w:val="0"/>
        <w:keepLines w:val="0"/>
        <w:pageBreakBefore w:val="0"/>
        <w:widowControl w:val="0"/>
        <w:kinsoku/>
        <w:overflowPunct/>
        <w:topLinePunct w:val="0"/>
        <w:autoSpaceDE/>
        <w:autoSpaceDN/>
        <w:bidi w:val="0"/>
        <w:spacing w:line="360" w:lineRule="auto"/>
        <w:ind w:left="0" w:leftChars="0" w:right="0"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13.</w:t>
      </w:r>
      <w:r>
        <w:rPr>
          <w:rFonts w:hint="eastAsia" w:hAnsi="宋体" w:cs="宋体"/>
          <w:b/>
          <w:bCs/>
          <w:color w:val="auto"/>
          <w:sz w:val="24"/>
          <w:szCs w:val="24"/>
          <w:highlight w:val="none"/>
          <w:lang w:val="en-US" w:eastAsia="zh-CN"/>
        </w:rPr>
        <w:t>7</w:t>
      </w:r>
      <w:r>
        <w:rPr>
          <w:rFonts w:hint="eastAsia" w:ascii="宋体" w:hAnsi="宋体" w:eastAsia="宋体" w:cs="宋体"/>
          <w:color w:val="auto"/>
          <w:sz w:val="24"/>
          <w:szCs w:val="24"/>
          <w:highlight w:val="none"/>
        </w:rPr>
        <w:t>招标人或其授权的招标代理机构核对、接收投标人递交的投标相关资料后，应向投标人出具标明签收人和签收时间的凭证，并妥善保管。</w:t>
      </w:r>
    </w:p>
    <w:p w14:paraId="68A4EE6B">
      <w:pPr>
        <w:pageBreakBefore w:val="0"/>
        <w:kinsoku/>
        <w:overflowPunct/>
        <w:topLinePunct w:val="0"/>
        <w:autoSpaceDE/>
        <w:autoSpaceDN/>
        <w:bidi w:val="0"/>
        <w:spacing w:line="360" w:lineRule="auto"/>
        <w:ind w:left="0" w:leftChars="0" w:right="0" w:firstLine="482" w:firstLineChars="200"/>
        <w:rPr>
          <w:rFonts w:hint="eastAsia"/>
          <w:color w:val="auto"/>
          <w:highlight w:val="none"/>
        </w:rPr>
      </w:pPr>
      <w:r>
        <w:rPr>
          <w:rFonts w:hint="eastAsia" w:ascii="宋体" w:hAnsi="宋体" w:eastAsia="宋体" w:cs="宋体"/>
          <w:b/>
          <w:bCs/>
          <w:color w:val="auto"/>
          <w:sz w:val="24"/>
          <w:szCs w:val="24"/>
          <w:highlight w:val="none"/>
        </w:rPr>
        <w:t>13.</w:t>
      </w:r>
      <w:r>
        <w:rPr>
          <w:rFonts w:hint="eastAsia" w:hAnsi="宋体" w:cs="宋体"/>
          <w:b/>
          <w:bCs/>
          <w:color w:val="auto"/>
          <w:sz w:val="24"/>
          <w:szCs w:val="24"/>
          <w:highlight w:val="none"/>
          <w:lang w:val="en-US" w:eastAsia="zh-CN"/>
        </w:rPr>
        <w:t>8</w:t>
      </w:r>
      <w:r>
        <w:rPr>
          <w:rFonts w:hint="eastAsia" w:ascii="宋体" w:hAnsi="宋体" w:eastAsia="宋体" w:cs="宋体"/>
          <w:color w:val="auto"/>
          <w:sz w:val="24"/>
          <w:szCs w:val="24"/>
          <w:highlight w:val="none"/>
        </w:rPr>
        <w:t>本次招标投标有效期为</w:t>
      </w:r>
      <w:r>
        <w:rPr>
          <w:rFonts w:hint="eastAsia" w:ascii="宋体" w:hAnsi="宋体" w:eastAsia="宋体" w:cs="宋体"/>
          <w:color w:val="auto"/>
          <w:sz w:val="24"/>
          <w:szCs w:val="24"/>
          <w:highlight w:val="none"/>
          <w:lang w:val="en-US" w:eastAsia="zh-CN"/>
        </w:rPr>
        <w:t>90</w:t>
      </w:r>
      <w:r>
        <w:rPr>
          <w:rFonts w:hint="eastAsia" w:ascii="宋体" w:hAnsi="宋体" w:eastAsia="宋体" w:cs="宋体"/>
          <w:color w:val="auto"/>
          <w:sz w:val="24"/>
          <w:szCs w:val="24"/>
          <w:highlight w:val="none"/>
        </w:rPr>
        <w:t>个日历天，投标有效期从提交投标文件的截止之日起计算。在此期间，投标人不得撤销或修改其投标文件，否则其投标保证不予退还。</w:t>
      </w:r>
    </w:p>
    <w:p w14:paraId="1F956CB3">
      <w:pPr>
        <w:keepNext w:val="0"/>
        <w:keepLines w:val="0"/>
        <w:pageBreakBefore w:val="0"/>
        <w:widowControl w:val="0"/>
        <w:kinsoku/>
        <w:wordWrap/>
        <w:overflowPunct/>
        <w:topLinePunct w:val="0"/>
        <w:autoSpaceDE/>
        <w:autoSpaceDN/>
        <w:bidi w:val="0"/>
        <w:adjustRightInd/>
        <w:snapToGrid/>
        <w:spacing w:line="360" w:lineRule="auto"/>
        <w:ind w:left="0" w:leftChars="0" w:right="0" w:firstLine="482" w:firstLineChars="200"/>
        <w:textAlignment w:val="auto"/>
        <w:outlineLvl w:val="1"/>
        <w:rPr>
          <w:rStyle w:val="155"/>
          <w:rFonts w:hint="eastAsia" w:ascii="宋体" w:hAnsi="宋体" w:eastAsia="宋体" w:cs="宋体"/>
          <w:color w:val="auto"/>
          <w:sz w:val="24"/>
          <w:szCs w:val="24"/>
          <w:highlight w:val="none"/>
          <w:lang w:val="en-US" w:eastAsia="zh-CN"/>
        </w:rPr>
      </w:pPr>
      <w:bookmarkStart w:id="126" w:name="_Toc358"/>
      <w:r>
        <w:rPr>
          <w:rStyle w:val="155"/>
          <w:rFonts w:hint="eastAsia" w:ascii="宋体" w:hAnsi="宋体" w:eastAsia="宋体" w:cs="宋体"/>
          <w:color w:val="auto"/>
          <w:sz w:val="24"/>
          <w:szCs w:val="24"/>
          <w:highlight w:val="none"/>
          <w:lang w:val="en-US" w:eastAsia="zh-CN"/>
        </w:rPr>
        <w:t>14．开标</w:t>
      </w:r>
      <w:bookmarkEnd w:id="126"/>
    </w:p>
    <w:p w14:paraId="29C3732F">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w:t>
      </w:r>
      <w:r>
        <w:rPr>
          <w:rFonts w:hint="eastAsia" w:ascii="宋体" w:hAnsi="宋体" w:eastAsia="宋体" w:cs="宋体"/>
          <w:snapToGrid w:val="0"/>
          <w:color w:val="auto"/>
          <w:kern w:val="0"/>
          <w:sz w:val="24"/>
          <w:szCs w:val="24"/>
          <w:highlight w:val="none"/>
        </w:rPr>
        <w:t xml:space="preserve"> 招标人邀请所有正确获取招标文件、电子投标、缴纳投标保证的投标人参加开标，投标人可自主决定是否参加。投标人可登陆交易平台观看开标实况、提出异议或进行澄清、确认等操作（具体按招标文件和系统操作手册为准）。投标人不参加开标的，视其默认开标结果，以及放弃在开标期间见证、监督、投诉、申辩的权利。</w:t>
      </w:r>
    </w:p>
    <w:p w14:paraId="74FDBAFD">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14.1.1</w:t>
      </w:r>
      <w:r>
        <w:rPr>
          <w:rFonts w:hint="eastAsia" w:ascii="宋体" w:hAnsi="宋体" w:eastAsia="宋体" w:cs="宋体"/>
          <w:snapToGrid w:val="0"/>
          <w:color w:val="auto"/>
          <w:kern w:val="0"/>
          <w:sz w:val="24"/>
          <w:szCs w:val="24"/>
          <w:highlight w:val="none"/>
        </w:rPr>
        <w:t xml:space="preserve"> 开标时间和地点：见本章第二节“重要事项时间地点一览表”。</w:t>
      </w:r>
    </w:p>
    <w:p w14:paraId="7AB82DEA">
      <w:pPr>
        <w:pStyle w:val="137"/>
        <w:pageBreakBefore w:val="0"/>
        <w:kinsoku/>
        <w:wordWrap w:val="0"/>
        <w:overflowPunct/>
        <w:topLinePunct w:val="0"/>
        <w:autoSpaceDE/>
        <w:autoSpaceDN/>
        <w:bidi w:val="0"/>
        <w:adjustRightInd w:val="0"/>
        <w:snapToGrid w:val="0"/>
        <w:spacing w:line="360" w:lineRule="auto"/>
        <w:ind w:left="0" w:leftChars="0" w:right="0"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14.1.2</w:t>
      </w:r>
      <w:r>
        <w:rPr>
          <w:rFonts w:hint="eastAsia" w:ascii="宋体" w:hAnsi="宋体" w:eastAsia="宋体" w:cs="宋体"/>
          <w:snapToGrid w:val="0"/>
          <w:color w:val="auto"/>
          <w:kern w:val="0"/>
          <w:sz w:val="24"/>
          <w:szCs w:val="24"/>
          <w:highlight w:val="none"/>
        </w:rPr>
        <w:t xml:space="preserve"> 开标前24小时，若建设工程交易系统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查询是否发布了取消开标活动的相关信息。</w:t>
      </w:r>
    </w:p>
    <w:p w14:paraId="5FC547AC">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14.1.3</w:t>
      </w:r>
      <w:r>
        <w:rPr>
          <w:rFonts w:hint="eastAsia" w:ascii="宋体" w:hAnsi="宋体" w:eastAsia="宋体" w:cs="宋体"/>
          <w:snapToGrid w:val="0"/>
          <w:color w:val="auto"/>
          <w:kern w:val="0"/>
          <w:sz w:val="24"/>
          <w:szCs w:val="24"/>
          <w:highlight w:val="none"/>
        </w:rPr>
        <w:t>本项目实行全流程电子化招标投标，投标人在交易平台按要求上传加盖电子印章并经加密的电子投标文件，并在交易平台录入准确的页码信息即可完成在线投标。由于投标人原因导致未按投标截至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1810519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14.2</w:t>
      </w:r>
      <w:r>
        <w:rPr>
          <w:rFonts w:hint="eastAsia" w:ascii="宋体" w:hAnsi="宋体" w:eastAsia="宋体" w:cs="宋体"/>
          <w:snapToGrid w:val="0"/>
          <w:color w:val="auto"/>
          <w:kern w:val="0"/>
          <w:sz w:val="24"/>
          <w:szCs w:val="24"/>
          <w:highlight w:val="none"/>
        </w:rPr>
        <w:t xml:space="preserve"> 开标程序</w:t>
      </w:r>
      <w:bookmarkStart w:id="127" w:name="_Toc1282"/>
      <w:bookmarkStart w:id="128" w:name="_Toc7418"/>
    </w:p>
    <w:p w14:paraId="19BC455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（1）主持人（招标人代表或招标人授权的招标代理机构人员）宣读开标纪律。</w:t>
      </w:r>
      <w:bookmarkEnd w:id="127"/>
      <w:bookmarkEnd w:id="128"/>
      <w:bookmarkStart w:id="129" w:name="_Toc4807"/>
      <w:bookmarkStart w:id="130" w:name="_Toc30474"/>
    </w:p>
    <w:p w14:paraId="1C5847E5">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（2）主持人宣布唱标人、记录人、见证人、监督人等有关人员姓名。</w:t>
      </w:r>
      <w:bookmarkEnd w:id="129"/>
      <w:bookmarkEnd w:id="130"/>
      <w:bookmarkStart w:id="131" w:name="_Toc28242"/>
      <w:bookmarkStart w:id="132" w:name="_Toc3180"/>
    </w:p>
    <w:p w14:paraId="1EA7D9B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（3）唱标人公布在投标截止时间前进行投标文件的投标人数量和名称</w:t>
      </w:r>
      <w:bookmarkEnd w:id="131"/>
      <w:bookmarkEnd w:id="132"/>
      <w:bookmarkStart w:id="133" w:name="_Toc29778"/>
      <w:bookmarkStart w:id="134" w:name="_Toc10498"/>
      <w:r>
        <w:rPr>
          <w:rFonts w:hint="eastAsia" w:ascii="宋体" w:hAnsi="宋体" w:eastAsia="宋体" w:cs="宋体"/>
          <w:snapToGrid w:val="0"/>
          <w:color w:val="auto"/>
          <w:kern w:val="0"/>
          <w:sz w:val="24"/>
          <w:szCs w:val="24"/>
          <w:highlight w:val="none"/>
          <w:lang w:eastAsia="zh-CN"/>
        </w:rPr>
        <w:t>。</w:t>
      </w:r>
    </w:p>
    <w:p w14:paraId="61B11B3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color w:val="auto"/>
          <w:sz w:val="24"/>
          <w:szCs w:val="24"/>
          <w:highlight w:val="none"/>
        </w:rPr>
      </w:pPr>
      <w:r>
        <w:rPr>
          <w:rFonts w:hint="eastAsia" w:ascii="宋体" w:hAnsi="宋体" w:eastAsia="宋体" w:cs="宋体"/>
          <w:snapToGrid w:val="0"/>
          <w:color w:val="auto"/>
          <w:kern w:val="0"/>
          <w:sz w:val="24"/>
          <w:szCs w:val="24"/>
          <w:highlight w:val="none"/>
        </w:rPr>
        <w:t>（4）招标代理机构</w:t>
      </w:r>
      <w:r>
        <w:rPr>
          <w:rFonts w:hint="eastAsia" w:hAnsi="宋体" w:cs="宋体"/>
          <w:snapToGrid w:val="0"/>
          <w:color w:val="auto"/>
          <w:kern w:val="0"/>
          <w:sz w:val="24"/>
          <w:szCs w:val="24"/>
          <w:highlight w:val="none"/>
          <w:lang w:val="en-US" w:eastAsia="zh-CN"/>
        </w:rPr>
        <w:t>在</w:t>
      </w:r>
      <w:r>
        <w:rPr>
          <w:rFonts w:hint="eastAsia" w:ascii="宋体" w:hAnsi="宋体" w:eastAsia="宋体" w:cs="宋体"/>
          <w:snapToGrid w:val="0"/>
          <w:color w:val="auto"/>
          <w:kern w:val="0"/>
          <w:sz w:val="24"/>
          <w:szCs w:val="24"/>
          <w:highlight w:val="none"/>
        </w:rPr>
        <w:t>交易场所工作人员</w:t>
      </w:r>
      <w:r>
        <w:rPr>
          <w:rFonts w:hint="eastAsia" w:hAnsi="宋体" w:cs="宋体"/>
          <w:snapToGrid w:val="0"/>
          <w:color w:val="auto"/>
          <w:kern w:val="0"/>
          <w:sz w:val="24"/>
          <w:szCs w:val="24"/>
          <w:highlight w:val="none"/>
          <w:lang w:val="en-US" w:eastAsia="zh-CN"/>
        </w:rPr>
        <w:t>见证下</w:t>
      </w:r>
      <w:r>
        <w:rPr>
          <w:rFonts w:hint="eastAsia" w:ascii="宋体" w:hAnsi="宋体" w:eastAsia="宋体" w:cs="宋体"/>
          <w:snapToGrid w:val="0"/>
          <w:color w:val="auto"/>
          <w:kern w:val="0"/>
          <w:sz w:val="24"/>
          <w:szCs w:val="24"/>
          <w:highlight w:val="none"/>
        </w:rPr>
        <w:t>对投标人的电子投标信息进行解密，建设工程交易系统自动生成《投标保证缴纳情况表》和《开标一览表》。</w:t>
      </w:r>
      <w:bookmarkEnd w:id="133"/>
      <w:bookmarkEnd w:id="134"/>
    </w:p>
    <w:p w14:paraId="174B74FB">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color w:val="auto"/>
          <w:sz w:val="24"/>
          <w:szCs w:val="24"/>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508A6E4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14.3</w:t>
      </w:r>
      <w:r>
        <w:rPr>
          <w:rFonts w:hint="eastAsia" w:ascii="宋体" w:hAnsi="宋体" w:eastAsia="宋体" w:cs="宋体"/>
          <w:snapToGrid w:val="0"/>
          <w:color w:val="auto"/>
          <w:kern w:val="0"/>
          <w:sz w:val="24"/>
          <w:szCs w:val="24"/>
          <w:highlight w:val="none"/>
        </w:rPr>
        <w:t xml:space="preserve"> 投标人对开标相关事项（如开标程序等）有异议的，必须在开标期间和开标现场提出，招标人或其授权的招标代理机构应当场作出答复，并记录在案。对开标事项的异议未在开标期间和开标现场提出的，招标人不予受理。</w:t>
      </w:r>
    </w:p>
    <w:p w14:paraId="2959DE12">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14.</w:t>
      </w:r>
      <w:bookmarkStart w:id="135" w:name="_Hlt127093805"/>
      <w:bookmarkEnd w:id="135"/>
      <w:r>
        <w:rPr>
          <w:rFonts w:hint="eastAsia" w:ascii="宋体" w:hAnsi="宋体" w:eastAsia="宋体" w:cs="宋体"/>
          <w:b/>
          <w:bCs/>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招标代理机构将资料原件</w:t>
      </w:r>
      <w:r>
        <w:rPr>
          <w:rFonts w:hint="eastAsia" w:ascii="宋体" w:hAnsi="宋体" w:eastAsia="宋体" w:cs="宋体"/>
          <w:snapToGrid w:val="0"/>
          <w:color w:val="auto"/>
          <w:kern w:val="0"/>
          <w:sz w:val="24"/>
          <w:szCs w:val="24"/>
          <w:highlight w:val="none"/>
          <w:lang w:eastAsia="zh-CN"/>
        </w:rPr>
        <w:t>（如有）</w:t>
      </w:r>
      <w:r>
        <w:rPr>
          <w:rFonts w:hint="eastAsia" w:ascii="宋体" w:hAnsi="宋体" w:eastAsia="宋体" w:cs="宋体"/>
          <w:snapToGrid w:val="0"/>
          <w:color w:val="auto"/>
          <w:kern w:val="0"/>
          <w:sz w:val="24"/>
          <w:szCs w:val="24"/>
          <w:highlight w:val="none"/>
        </w:rPr>
        <w:t>、《开标一览表》以及其他有关资料移交评标委员会。</w:t>
      </w:r>
    </w:p>
    <w:p w14:paraId="368AF657">
      <w:pPr>
        <w:keepNext w:val="0"/>
        <w:keepLines w:val="0"/>
        <w:pageBreakBefore w:val="0"/>
        <w:widowControl w:val="0"/>
        <w:kinsoku/>
        <w:wordWrap/>
        <w:overflowPunct/>
        <w:topLinePunct w:val="0"/>
        <w:autoSpaceDE/>
        <w:autoSpaceDN/>
        <w:bidi w:val="0"/>
        <w:adjustRightInd/>
        <w:snapToGrid/>
        <w:spacing w:line="360" w:lineRule="auto"/>
        <w:ind w:right="0" w:firstLine="482" w:firstLineChars="200"/>
        <w:textAlignment w:val="auto"/>
        <w:outlineLvl w:val="1"/>
        <w:rPr>
          <w:rStyle w:val="155"/>
          <w:rFonts w:hint="eastAsia" w:ascii="宋体" w:hAnsi="宋体" w:eastAsia="宋体" w:cs="宋体"/>
          <w:color w:val="auto"/>
          <w:sz w:val="24"/>
          <w:szCs w:val="24"/>
          <w:highlight w:val="none"/>
          <w:lang w:val="en-US" w:eastAsia="zh-CN"/>
        </w:rPr>
      </w:pPr>
      <w:bookmarkStart w:id="136" w:name="_Toc28090"/>
      <w:r>
        <w:rPr>
          <w:rStyle w:val="155"/>
          <w:rFonts w:hint="eastAsia" w:ascii="宋体" w:hAnsi="宋体" w:eastAsia="宋体" w:cs="宋体"/>
          <w:color w:val="auto"/>
          <w:sz w:val="24"/>
          <w:szCs w:val="24"/>
          <w:highlight w:val="none"/>
          <w:lang w:val="en-US" w:eastAsia="zh-CN"/>
        </w:rPr>
        <w:t>15．评标</w:t>
      </w:r>
      <w:bookmarkEnd w:id="136"/>
    </w:p>
    <w:p w14:paraId="7D30E67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评标分为初步评审和详细评审两个阶段，由评标委员会在有关部门的监督下，严格按照本招标文件指定的评标方法，对投标人的投标文件进行审查、评审。评标委员会完成评标后，向招标人推荐</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个中标候选人，并向招标人提交由全体评标委员会成员签字的评标报告。</w:t>
      </w:r>
    </w:p>
    <w:p w14:paraId="78DD948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评标委员会</w:t>
      </w:r>
    </w:p>
    <w:p w14:paraId="6149B2D5">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15.1.1</w:t>
      </w:r>
      <w:r>
        <w:rPr>
          <w:rFonts w:hint="eastAsia" w:ascii="宋体" w:hAnsi="宋体" w:eastAsia="宋体" w:cs="宋体"/>
          <w:snapToGrid w:val="0"/>
          <w:color w:val="auto"/>
          <w:kern w:val="0"/>
          <w:sz w:val="24"/>
          <w:szCs w:val="24"/>
          <w:highlight w:val="none"/>
        </w:rPr>
        <w:t xml:space="preserve"> 评标委员会由</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人组成，其中招标人代表</w:t>
      </w:r>
      <w:r>
        <w:rPr>
          <w:rFonts w:hint="eastAsia" w:ascii="宋体" w:hAnsi="宋体" w:eastAsia="宋体" w:cs="宋体"/>
          <w:snapToGrid w:val="0"/>
          <w:color w:val="auto"/>
          <w:kern w:val="0"/>
          <w:sz w:val="24"/>
          <w:szCs w:val="24"/>
          <w:highlight w:val="none"/>
          <w:u w:val="single"/>
        </w:rPr>
        <w:t>0</w:t>
      </w:r>
      <w:r>
        <w:rPr>
          <w:rFonts w:hint="eastAsia" w:ascii="宋体" w:hAnsi="宋体" w:eastAsia="宋体" w:cs="宋体"/>
          <w:snapToGrid w:val="0"/>
          <w:color w:val="auto"/>
          <w:kern w:val="0"/>
          <w:sz w:val="24"/>
          <w:szCs w:val="24"/>
          <w:highlight w:val="none"/>
        </w:rPr>
        <w:t>人，专家</w:t>
      </w:r>
      <w:r>
        <w:rPr>
          <w:rFonts w:hint="eastAsia" w:ascii="宋体" w:hAnsi="宋体" w:eastAsia="宋体" w:cs="宋体"/>
          <w:snapToGrid w:val="0"/>
          <w:color w:val="auto"/>
          <w:kern w:val="0"/>
          <w:sz w:val="24"/>
          <w:szCs w:val="24"/>
          <w:highlight w:val="none"/>
          <w:u w:val="single"/>
        </w:rPr>
        <w:t>5</w:t>
      </w:r>
      <w:r>
        <w:rPr>
          <w:rFonts w:hint="eastAsia" w:ascii="宋体" w:hAnsi="宋体" w:eastAsia="宋体" w:cs="宋体"/>
          <w:snapToGrid w:val="0"/>
          <w:color w:val="auto"/>
          <w:kern w:val="0"/>
          <w:sz w:val="24"/>
          <w:szCs w:val="24"/>
          <w:highlight w:val="none"/>
        </w:rPr>
        <w:t>人。</w:t>
      </w:r>
      <w:r>
        <w:rPr>
          <w:rFonts w:hint="eastAsia" w:ascii="宋体" w:hAnsi="宋体" w:eastAsia="宋体" w:cs="宋体"/>
          <w:b w:val="0"/>
          <w:bCs w:val="0"/>
          <w:snapToGrid w:val="0"/>
          <w:color w:val="auto"/>
          <w:kern w:val="0"/>
          <w:sz w:val="24"/>
          <w:szCs w:val="24"/>
          <w:highlight w:val="none"/>
          <w:u w:val="none"/>
        </w:rPr>
        <w:t>专家从广东省综合评标评审专家库</w:t>
      </w:r>
      <w:r>
        <w:rPr>
          <w:rFonts w:hint="eastAsia" w:hAnsi="宋体" w:cs="宋体"/>
          <w:b w:val="0"/>
          <w:bCs w:val="0"/>
          <w:snapToGrid w:val="0"/>
          <w:color w:val="auto"/>
          <w:kern w:val="0"/>
          <w:sz w:val="24"/>
          <w:szCs w:val="24"/>
          <w:highlight w:val="none"/>
          <w:u w:val="none"/>
          <w:lang w:val="en-US" w:eastAsia="zh-CN"/>
        </w:rPr>
        <w:t>-韶关区域中</w:t>
      </w:r>
      <w:r>
        <w:rPr>
          <w:rFonts w:hint="eastAsia" w:ascii="宋体" w:hAnsi="宋体" w:eastAsia="宋体" w:cs="宋体"/>
          <w:b w:val="0"/>
          <w:bCs w:val="0"/>
          <w:snapToGrid w:val="0"/>
          <w:color w:val="auto"/>
          <w:kern w:val="0"/>
          <w:sz w:val="24"/>
          <w:szCs w:val="24"/>
          <w:highlight w:val="none"/>
          <w:u w:val="none"/>
        </w:rPr>
        <w:t>随机抽取，</w:t>
      </w:r>
      <w:r>
        <w:rPr>
          <w:rFonts w:hint="eastAsia" w:ascii="宋体" w:hAnsi="宋体" w:eastAsia="宋体" w:cs="宋体"/>
          <w:snapToGrid w:val="0"/>
          <w:color w:val="auto"/>
          <w:kern w:val="0"/>
          <w:sz w:val="24"/>
          <w:szCs w:val="24"/>
          <w:highlight w:val="none"/>
        </w:rPr>
        <w:t>其中技术类专家</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人，经济类专家</w:t>
      </w:r>
      <w:r>
        <w:rPr>
          <w:rFonts w:hint="eastAsia" w:ascii="宋体" w:hAnsi="宋体" w:eastAsia="宋体" w:cs="宋体"/>
          <w:snapToGrid w:val="0"/>
          <w:color w:val="auto"/>
          <w:kern w:val="0"/>
          <w:sz w:val="24"/>
          <w:szCs w:val="24"/>
          <w:highlight w:val="none"/>
          <w:u w:val="single"/>
        </w:rPr>
        <w:t xml:space="preserve"> 2 </w:t>
      </w:r>
      <w:r>
        <w:rPr>
          <w:rFonts w:hint="eastAsia" w:ascii="宋体" w:hAnsi="宋体" w:eastAsia="宋体" w:cs="宋体"/>
          <w:snapToGrid w:val="0"/>
          <w:color w:val="auto"/>
          <w:kern w:val="0"/>
          <w:sz w:val="24"/>
          <w:szCs w:val="24"/>
          <w:highlight w:val="none"/>
        </w:rPr>
        <w:t>人。评标委员会设负责人，由评标委员会成员推举产生。评标委员会负责人与评标委员会的其他成员有同等的表决权。</w:t>
      </w:r>
    </w:p>
    <w:p w14:paraId="63B4E1F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15.1.2</w:t>
      </w:r>
      <w:r>
        <w:rPr>
          <w:rFonts w:hint="eastAsia" w:ascii="宋体" w:hAnsi="宋体" w:eastAsia="宋体" w:cs="宋体"/>
          <w:snapToGrid w:val="0"/>
          <w:color w:val="auto"/>
          <w:kern w:val="0"/>
          <w:sz w:val="24"/>
          <w:szCs w:val="24"/>
          <w:highlight w:val="none"/>
        </w:rPr>
        <w:t xml:space="preserve"> 评标委员会应认真、公正、诚实、廉洁地履行职责。有下列情形之一的，不得担任评标委员会成员：</w:t>
      </w:r>
    </w:p>
    <w:p w14:paraId="344982C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（1）投标人或投标人主要负责人的近亲属；</w:t>
      </w:r>
    </w:p>
    <w:p w14:paraId="6C0B912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（2）项目主管部门或者行政监督部门的人员；</w:t>
      </w:r>
    </w:p>
    <w:p w14:paraId="7522E6D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（3）与投标人有经济利益关系，可能影响对投标公正评审的；</w:t>
      </w:r>
    </w:p>
    <w:p w14:paraId="6995E11C">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（4）曾因在招标、评标以及其他与招标投标有关活动中从事违法行为而受过行政处罚或刑事处罚的。</w:t>
      </w:r>
    </w:p>
    <w:p w14:paraId="6042B65D">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评标委员会成员有以上情形之一的，应主动提出回避。</w:t>
      </w:r>
    </w:p>
    <w:p w14:paraId="7ED48367">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15.1.3</w:t>
      </w:r>
      <w:r>
        <w:rPr>
          <w:rFonts w:hint="eastAsia" w:ascii="宋体" w:hAnsi="宋体" w:eastAsia="宋体" w:cs="宋体"/>
          <w:snapToGrid w:val="0"/>
          <w:color w:val="auto"/>
          <w:kern w:val="0"/>
          <w:sz w:val="24"/>
          <w:szCs w:val="24"/>
          <w:highlight w:val="none"/>
        </w:rPr>
        <w:t xml:space="preserve"> 评标全过程实行封闭式管理，在中标结果公布前，禁止评标委员会成员以任何方式私下接触投标人。</w:t>
      </w:r>
    </w:p>
    <w:p w14:paraId="3C89B68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15.1.4</w:t>
      </w:r>
      <w:r>
        <w:rPr>
          <w:rFonts w:hint="eastAsia" w:ascii="宋体" w:hAnsi="宋体" w:eastAsia="宋体" w:cs="宋体"/>
          <w:snapToGrid w:val="0"/>
          <w:color w:val="auto"/>
          <w:kern w:val="0"/>
          <w:sz w:val="24"/>
          <w:szCs w:val="24"/>
          <w:highlight w:val="none"/>
        </w:rPr>
        <w:t xml:space="preserve">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63D9DF4A">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15.1.5</w:t>
      </w:r>
      <w:r>
        <w:rPr>
          <w:rFonts w:hint="eastAsia" w:ascii="宋体" w:hAnsi="宋体" w:eastAsia="宋体" w:cs="宋体"/>
          <w:snapToGrid w:val="0"/>
          <w:color w:val="auto"/>
          <w:kern w:val="0"/>
          <w:sz w:val="24"/>
          <w:szCs w:val="24"/>
          <w:highlight w:val="none"/>
        </w:rPr>
        <w:t xml:space="preserve">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7799B01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评标方法</w:t>
      </w:r>
    </w:p>
    <w:p w14:paraId="4C7343E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根据有关法律、法规的相关规定，结合本招标项目资金来源和规模特点，本次招标采用</w:t>
      </w:r>
      <w:r>
        <w:rPr>
          <w:rFonts w:hint="eastAsia" w:ascii="宋体" w:hAnsi="宋体" w:eastAsia="宋体" w:cs="宋体"/>
          <w:b/>
          <w:bCs/>
          <w:snapToGrid w:val="0"/>
          <w:color w:val="auto"/>
          <w:kern w:val="0"/>
          <w:sz w:val="24"/>
          <w:szCs w:val="24"/>
          <w:highlight w:val="none"/>
          <w:u w:val="single"/>
        </w:rPr>
        <w:t>综合评估法</w:t>
      </w:r>
      <w:r>
        <w:rPr>
          <w:rFonts w:hint="eastAsia" w:ascii="宋体" w:hAnsi="宋体" w:eastAsia="宋体" w:cs="宋体"/>
          <w:snapToGrid w:val="0"/>
          <w:color w:val="auto"/>
          <w:kern w:val="0"/>
          <w:sz w:val="24"/>
          <w:szCs w:val="24"/>
          <w:highlight w:val="none"/>
        </w:rPr>
        <w:t>（评标方法名称）进行评标。</w:t>
      </w:r>
    </w:p>
    <w:p w14:paraId="1EB910AE">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15.3 </w:t>
      </w:r>
      <w:r>
        <w:rPr>
          <w:rFonts w:hint="eastAsia" w:ascii="宋体" w:hAnsi="宋体" w:eastAsia="宋体" w:cs="宋体"/>
          <w:snapToGrid w:val="0"/>
          <w:color w:val="auto"/>
          <w:kern w:val="0"/>
          <w:sz w:val="24"/>
          <w:szCs w:val="24"/>
          <w:highlight w:val="none"/>
        </w:rPr>
        <w:t>评审范围：评标委员会应对所有投标人的投标文件进行评审。</w:t>
      </w:r>
    </w:p>
    <w:p w14:paraId="4C44A4C4">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snapToGrid w:val="0"/>
          <w:color w:val="auto"/>
          <w:kern w:val="0"/>
          <w:sz w:val="24"/>
          <w:szCs w:val="24"/>
          <w:highlight w:val="none"/>
        </w:rPr>
        <w:t xml:space="preserve"> 初步评审阶段</w:t>
      </w:r>
    </w:p>
    <w:p w14:paraId="6EF661E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初步评审阶段分为资格评审、形式评审和响应性评审三个环节。</w:t>
      </w:r>
    </w:p>
    <w:p w14:paraId="0A45EA58">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15.4.1</w:t>
      </w:r>
      <w:r>
        <w:rPr>
          <w:rFonts w:hint="eastAsia" w:ascii="宋体" w:hAnsi="宋体" w:eastAsia="宋体" w:cs="宋体"/>
          <w:snapToGrid w:val="0"/>
          <w:color w:val="auto"/>
          <w:kern w:val="0"/>
          <w:sz w:val="24"/>
          <w:szCs w:val="24"/>
          <w:highlight w:val="none"/>
        </w:rPr>
        <w:t xml:space="preserve"> 资格评审环节</w:t>
      </w:r>
    </w:p>
    <w:p w14:paraId="66EC6A7E">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资格评审事项包括：</w:t>
      </w:r>
    </w:p>
    <w:p w14:paraId="1E1D6D9E">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（1）投标人是否符合本章第三节第2.4条“禁止投标条款”规定。</w:t>
      </w:r>
    </w:p>
    <w:p w14:paraId="282D605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5AFD67B3">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（3）投标人的资质是否符合招标文件规定；其营业执照、资质证书、安全生产许可证是否合法、有效、准确。</w:t>
      </w:r>
    </w:p>
    <w:p w14:paraId="222F0511">
      <w:pPr>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r>
        <w:rPr>
          <w:rFonts w:hint="eastAsia" w:ascii="宋体" w:hAnsi="宋体" w:eastAsia="宋体" w:cs="宋体"/>
          <w:color w:val="auto"/>
          <w:sz w:val="24"/>
          <w:szCs w:val="24"/>
          <w:highlight w:val="none"/>
        </w:rPr>
        <w:t>《项目经理简历表》中拟派项目经理是否与《开标一览表》一致。</w:t>
      </w:r>
    </w:p>
    <w:p w14:paraId="1391DD89">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拟派项目经理、项目技术负责人、专职安全员的条件是否符合招标文件规定；项目管理机构组成人员的各类证书、证件、证明是否合法、有效、准确；是否擅自修改、遗漏《项目经理任职声明》的实质性内容。</w:t>
      </w:r>
    </w:p>
    <w:p w14:paraId="7CC8CA5A">
      <w:pPr>
        <w:pStyle w:val="137"/>
        <w:pageBreakBefore w:val="0"/>
        <w:kinsoku/>
        <w:wordWrap w:val="0"/>
        <w:overflowPunct/>
        <w:topLinePunct w:val="0"/>
        <w:autoSpaceDE/>
        <w:autoSpaceDN/>
        <w:bidi w:val="0"/>
        <w:adjustRightInd w:val="0"/>
        <w:snapToGrid w:val="0"/>
        <w:spacing w:line="360" w:lineRule="auto"/>
        <w:ind w:left="0" w:leftChars="0" w:right="0"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7C7FDDA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jc w:val="left"/>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15.4.2</w:t>
      </w:r>
      <w:r>
        <w:rPr>
          <w:rFonts w:hint="eastAsia" w:ascii="宋体" w:hAnsi="宋体" w:eastAsia="宋体" w:cs="宋体"/>
          <w:snapToGrid w:val="0"/>
          <w:color w:val="auto"/>
          <w:kern w:val="0"/>
          <w:sz w:val="24"/>
          <w:szCs w:val="24"/>
          <w:highlight w:val="none"/>
        </w:rPr>
        <w:t xml:space="preserve"> 形式评审环节</w:t>
      </w:r>
    </w:p>
    <w:p w14:paraId="0303D0E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形式评审事项包括：</w:t>
      </w:r>
    </w:p>
    <w:p w14:paraId="42F2801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各分册是否按招标文件规定加盖电子印章。</w:t>
      </w:r>
    </w:p>
    <w:p w14:paraId="67184E70">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）本节第10.2.2目、第10.3.2目、第10.4.3目中规定的“所有投标人均应提供”的组成内容（包括该组成内容的所附资料）是否完整、齐全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p>
    <w:p w14:paraId="666AF00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15.4.3</w:t>
      </w:r>
      <w:r>
        <w:rPr>
          <w:rFonts w:hint="eastAsia" w:ascii="宋体" w:hAnsi="宋体" w:eastAsia="宋体" w:cs="宋体"/>
          <w:snapToGrid w:val="0"/>
          <w:color w:val="auto"/>
          <w:kern w:val="0"/>
          <w:sz w:val="24"/>
          <w:szCs w:val="24"/>
          <w:highlight w:val="none"/>
        </w:rPr>
        <w:t xml:space="preserve"> 响应性评审环节</w:t>
      </w:r>
    </w:p>
    <w:p w14:paraId="179454E3">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5ED68A82">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2F181F2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3A8C3B06">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（3）投标人委托造价咨询单位编制《投标总价》的，是否在《投标总价》“投标人”栏目加盖造价咨询人公章；是否提供造价咨询人的营业执照</w:t>
      </w:r>
      <w:r>
        <w:rPr>
          <w:rFonts w:hint="eastAsia" w:ascii="宋体" w:hAnsi="宋体" w:eastAsia="宋体" w:cs="宋体"/>
          <w:snapToGrid w:val="0"/>
          <w:color w:val="auto"/>
          <w:kern w:val="0"/>
          <w:sz w:val="24"/>
          <w:szCs w:val="24"/>
          <w:highlight w:val="none"/>
          <w:lang w:eastAsia="zh-CN"/>
        </w:rPr>
        <w:t>扫描件</w:t>
      </w:r>
      <w:r>
        <w:rPr>
          <w:rFonts w:hint="eastAsia" w:ascii="宋体" w:hAnsi="宋体" w:eastAsia="宋体" w:cs="宋体"/>
          <w:snapToGrid w:val="0"/>
          <w:color w:val="auto"/>
          <w:kern w:val="0"/>
          <w:sz w:val="24"/>
          <w:szCs w:val="24"/>
          <w:highlight w:val="none"/>
        </w:rPr>
        <w:t>；</w:t>
      </w:r>
    </w:p>
    <w:p w14:paraId="693F49D1">
      <w:pPr>
        <w:pageBreakBefore w:val="0"/>
        <w:kinsoku/>
        <w:wordWrap w:val="0"/>
        <w:overflowPunct/>
        <w:topLinePunct w:val="0"/>
        <w:autoSpaceDE/>
        <w:autoSpaceDN/>
        <w:bidi w:val="0"/>
        <w:adjustRightInd w:val="0"/>
        <w:snapToGrid w:val="0"/>
        <w:spacing w:line="360" w:lineRule="auto"/>
        <w:ind w:left="0" w:leftChars="0" w:right="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w:t>
      </w:r>
      <w:r>
        <w:rPr>
          <w:rFonts w:hint="eastAsia" w:hAnsi="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w:t>
      </w:r>
      <w:r>
        <w:rPr>
          <w:rFonts w:hint="eastAsia" w:hAnsi="宋体" w:cs="宋体"/>
          <w:snapToGrid w:val="0"/>
          <w:color w:val="auto"/>
          <w:kern w:val="0"/>
          <w:sz w:val="24"/>
          <w:szCs w:val="24"/>
          <w:highlight w:val="none"/>
          <w:lang w:eastAsia="zh-CN"/>
        </w:rPr>
        <w:t>安全生产措施费</w:t>
      </w:r>
      <w:r>
        <w:rPr>
          <w:rFonts w:hint="eastAsia" w:ascii="宋体" w:hAnsi="宋体" w:eastAsia="宋体" w:cs="宋体"/>
          <w:snapToGrid w:val="0"/>
          <w:color w:val="auto"/>
          <w:kern w:val="0"/>
          <w:sz w:val="24"/>
          <w:szCs w:val="24"/>
          <w:highlight w:val="none"/>
        </w:rPr>
        <w:t>是否达到最低要求；暂列金额、暂估价是否按照招标工程量清单统一报价；投标人是否以低于成本的价格竞标。</w:t>
      </w:r>
    </w:p>
    <w:p w14:paraId="5B28F3E0">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w:t>
      </w:r>
      <w:r>
        <w:rPr>
          <w:rFonts w:hint="eastAsia" w:hAnsi="宋体" w:cs="宋体"/>
          <w:b/>
          <w:bCs/>
          <w:snapToGrid w:val="0"/>
          <w:color w:val="auto"/>
          <w:kern w:val="0"/>
          <w:sz w:val="24"/>
          <w:szCs w:val="24"/>
          <w:highlight w:val="none"/>
          <w:lang w:eastAsia="zh-CN"/>
        </w:rPr>
        <w:t>最高投标限价</w:t>
      </w:r>
      <w:r>
        <w:rPr>
          <w:rFonts w:hint="eastAsia" w:ascii="宋体" w:hAnsi="宋体" w:eastAsia="宋体" w:cs="宋体"/>
          <w:b/>
          <w:bCs/>
          <w:snapToGrid w:val="0"/>
          <w:color w:val="auto"/>
          <w:kern w:val="0"/>
          <w:sz w:val="24"/>
          <w:szCs w:val="24"/>
          <w:highlight w:val="none"/>
        </w:rPr>
        <w:t>×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67EFFC5A">
      <w:pPr>
        <w:pageBreakBefore w:val="0"/>
        <w:kinsoku/>
        <w:wordWrap w:val="0"/>
        <w:overflowPunct/>
        <w:topLinePunct w:val="0"/>
        <w:autoSpaceDE/>
        <w:autoSpaceDN/>
        <w:bidi w:val="0"/>
        <w:adjustRightInd w:val="0"/>
        <w:spacing w:line="360" w:lineRule="auto"/>
        <w:ind w:left="0" w:leftChars="0" w:right="0" w:firstLine="480" w:firstLineChars="20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（5）施工组织设计的质量、进度保障措施是否符合国家和省市现行有关规范、规定、标准，是否能实现工程质量、进度管理目标。  </w:t>
      </w:r>
    </w:p>
    <w:p w14:paraId="1F78BC51">
      <w:pPr>
        <w:pageBreakBefore w:val="0"/>
        <w:kinsoku/>
        <w:wordWrap w:val="0"/>
        <w:overflowPunct/>
        <w:topLinePunct w:val="0"/>
        <w:autoSpaceDE/>
        <w:autoSpaceDN/>
        <w:bidi w:val="0"/>
        <w:adjustRightInd w:val="0"/>
        <w:snapToGrid w:val="0"/>
        <w:spacing w:line="360" w:lineRule="auto"/>
        <w:ind w:left="0" w:leftChars="0" w:right="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15.4.4</w:t>
      </w:r>
      <w:r>
        <w:rPr>
          <w:rFonts w:hint="eastAsia" w:ascii="宋体" w:hAnsi="宋体" w:eastAsia="宋体" w:cs="宋体"/>
          <w:snapToGrid w:val="0"/>
          <w:color w:val="auto"/>
          <w:kern w:val="0"/>
          <w:sz w:val="24"/>
          <w:szCs w:val="24"/>
          <w:highlight w:val="none"/>
        </w:rPr>
        <w:t xml:space="preserve"> 否决投标说明</w:t>
      </w:r>
    </w:p>
    <w:p w14:paraId="71E2841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591D577B">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w:t>
      </w:r>
      <w:r>
        <w:rPr>
          <w:rFonts w:hint="eastAsia" w:ascii="宋体" w:hAnsi="宋体" w:eastAsia="宋体" w:cs="宋体"/>
          <w:snapToGrid w:val="0"/>
          <w:color w:val="auto"/>
          <w:kern w:val="0"/>
          <w:sz w:val="24"/>
          <w:szCs w:val="24"/>
          <w:highlight w:val="none"/>
        </w:rPr>
        <w:t xml:space="preserve"> 详细评审阶段</w:t>
      </w:r>
    </w:p>
    <w:p w14:paraId="6F5ABB79">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15.5.1</w:t>
      </w:r>
      <w:r>
        <w:rPr>
          <w:rFonts w:hint="eastAsia" w:ascii="宋体" w:hAnsi="宋体" w:eastAsia="宋体" w:cs="宋体"/>
          <w:bCs/>
          <w:snapToGrid w:val="0"/>
          <w:color w:val="auto"/>
          <w:kern w:val="0"/>
          <w:sz w:val="24"/>
          <w:szCs w:val="24"/>
          <w:highlight w:val="none"/>
        </w:rPr>
        <w:t xml:space="preserve"> “综合评估法”评审程序</w:t>
      </w:r>
    </w:p>
    <w:p w14:paraId="43B4D432">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评审内容分为商务技术和投标报价两大部分。其中，商务技术合计满分</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100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u w:val="single"/>
          <w:lang w:val="en-US" w:eastAsia="zh-CN"/>
        </w:rPr>
        <w:t>40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%；投标报价满分</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分，权重为</w:t>
      </w:r>
      <w:r>
        <w:rPr>
          <w:rFonts w:hint="eastAsia" w:ascii="宋体" w:hAnsi="宋体" w:eastAsia="宋体" w:cs="宋体"/>
          <w:snapToGrid w:val="0"/>
          <w:color w:val="auto"/>
          <w:kern w:val="0"/>
          <w:sz w:val="24"/>
          <w:szCs w:val="24"/>
          <w:highlight w:val="none"/>
          <w:u w:val="single"/>
          <w:lang w:val="en-US" w:eastAsia="zh-CN"/>
        </w:rPr>
        <w:t>60</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%。两大部分权重之和应为</w:t>
      </w:r>
      <w:r>
        <w:rPr>
          <w:rFonts w:hint="eastAsia" w:ascii="宋体" w:hAnsi="宋体" w:eastAsia="宋体" w:cs="宋体"/>
          <w:snapToGrid w:val="0"/>
          <w:color w:val="auto"/>
          <w:kern w:val="0"/>
          <w:sz w:val="24"/>
          <w:szCs w:val="24"/>
          <w:highlight w:val="none"/>
          <w:u w:val="single"/>
        </w:rPr>
        <w:t>100</w:t>
      </w:r>
      <w:r>
        <w:rPr>
          <w:rFonts w:hint="eastAsia" w:ascii="宋体" w:hAnsi="宋体" w:eastAsia="宋体" w:cs="宋体"/>
          <w:snapToGrid w:val="0"/>
          <w:color w:val="auto"/>
          <w:kern w:val="0"/>
          <w:sz w:val="24"/>
          <w:szCs w:val="24"/>
          <w:highlight w:val="none"/>
        </w:rPr>
        <w:t>%。</w:t>
      </w:r>
    </w:p>
    <w:p w14:paraId="6800A85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除特别注明外，综合得分以及商务技术得分、投标报价得分的中间过程计算值和最终值，均按“四舍五入”原则精确到两位小数。</w:t>
      </w:r>
    </w:p>
    <w:p w14:paraId="3800178D">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（1）商务技术得分M</w:t>
      </w:r>
    </w:p>
    <w:p w14:paraId="27315233">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．评标委员会按照《综合评分表》商务部分指定的评分标准对各评分因素进行打分。各评分因素得分之和即为某投标人的商务得分M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w:t>
      </w:r>
    </w:p>
    <w:p w14:paraId="52A417F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评标委员会各成员独立按照《综合评分表》技术部分（施工组织设计）指定的评分标准对各评分因素进行打分，累加后得出技术评分。将评标委员会所有成员的技术评分去掉最高分和最低分后，取算术平均值，即为某投标人的技术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w:t>
      </w:r>
    </w:p>
    <w:p w14:paraId="643640C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c</w:t>
      </w:r>
      <w:r>
        <w:rPr>
          <w:rFonts w:hint="eastAsia" w:ascii="宋体" w:hAnsi="宋体" w:eastAsia="宋体" w:cs="宋体"/>
          <w:snapToGrid w:val="0"/>
          <w:color w:val="auto"/>
          <w:kern w:val="0"/>
          <w:sz w:val="24"/>
          <w:szCs w:val="24"/>
          <w:highlight w:val="none"/>
        </w:rPr>
        <w:t>．M＝M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＋M</w:t>
      </w:r>
      <w:r>
        <w:rPr>
          <w:rFonts w:hint="eastAsia" w:ascii="宋体" w:hAnsi="宋体" w:eastAsia="宋体" w:cs="宋体"/>
          <w:snapToGrid w:val="0"/>
          <w:color w:val="auto"/>
          <w:kern w:val="0"/>
          <w:sz w:val="24"/>
          <w:szCs w:val="24"/>
          <w:highlight w:val="none"/>
          <w:vertAlign w:val="subscript"/>
        </w:rPr>
        <w:t>2</w:t>
      </w:r>
    </w:p>
    <w:p w14:paraId="7E05BCF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w:t>
      </w:r>
      <w:r>
        <w:rPr>
          <w:rFonts w:hint="eastAsia" w:ascii="宋体" w:hAnsi="宋体" w:eastAsia="宋体" w:cs="宋体"/>
          <w:snapToGrid w:val="0"/>
          <w:color w:val="auto"/>
          <w:kern w:val="0"/>
          <w:sz w:val="24"/>
          <w:szCs w:val="24"/>
          <w:highlight w:val="none"/>
          <w:vertAlign w:val="subscript"/>
        </w:rPr>
        <w:t>1</w:t>
      </w:r>
      <w:r>
        <w:rPr>
          <w:rFonts w:hint="eastAsia" w:ascii="宋体" w:hAnsi="宋体" w:eastAsia="宋体" w:cs="宋体"/>
          <w:snapToGrid w:val="0"/>
          <w:color w:val="auto"/>
          <w:kern w:val="0"/>
          <w:sz w:val="24"/>
          <w:szCs w:val="24"/>
          <w:highlight w:val="none"/>
        </w:rPr>
        <w:t>为某投标人的商务得分，M</w:t>
      </w:r>
      <w:r>
        <w:rPr>
          <w:rFonts w:hint="eastAsia" w:ascii="宋体" w:hAnsi="宋体" w:eastAsia="宋体" w:cs="宋体"/>
          <w:snapToGrid w:val="0"/>
          <w:color w:val="auto"/>
          <w:kern w:val="0"/>
          <w:sz w:val="24"/>
          <w:szCs w:val="24"/>
          <w:highlight w:val="none"/>
          <w:vertAlign w:val="subscript"/>
        </w:rPr>
        <w:t>2</w:t>
      </w:r>
      <w:r>
        <w:rPr>
          <w:rFonts w:hint="eastAsia" w:ascii="宋体" w:hAnsi="宋体" w:eastAsia="宋体" w:cs="宋体"/>
          <w:snapToGrid w:val="0"/>
          <w:color w:val="auto"/>
          <w:kern w:val="0"/>
          <w:sz w:val="24"/>
          <w:szCs w:val="24"/>
          <w:highlight w:val="none"/>
        </w:rPr>
        <w:t>为某投标人的技术得分。</w:t>
      </w:r>
    </w:p>
    <w:p w14:paraId="65688A7A">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（2）投标报价得分N</w:t>
      </w:r>
    </w:p>
    <w:p w14:paraId="4959AEE7">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rPr>
        <w:t>．评标委员会按照《综合评分表》投标报价部分指定的方法计算评标基准价D。</w:t>
      </w:r>
    </w:p>
    <w:p w14:paraId="2A56735D">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2"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7457B9F0">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0FF61F3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p w14:paraId="5D56130C">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（3）综合得分</w:t>
      </w:r>
    </w:p>
    <w:p w14:paraId="7CBD7B16">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综合得分换算为百分制，满分100分，公式如下：</w:t>
      </w:r>
    </w:p>
    <w:p w14:paraId="03CF0169">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jc w:val="both"/>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综合得分＝M÷商务技术合计满分×100×商务技术权重＋N×投标报价权重</w:t>
      </w:r>
    </w:p>
    <w:p w14:paraId="0F3ED5EB">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式中：M为商务技术得分，N为投标报价得分。</w:t>
      </w:r>
    </w:p>
    <w:p w14:paraId="5A7138CF">
      <w:pPr>
        <w:keepNext w:val="0"/>
        <w:keepLines w:val="0"/>
        <w:pageBreakBefore w:val="0"/>
        <w:widowControl w:val="0"/>
        <w:kinsoku/>
        <w:wordWrap w:val="0"/>
        <w:overflowPunct/>
        <w:topLinePunct w:val="0"/>
        <w:autoSpaceDE/>
        <w:autoSpaceDN/>
        <w:bidi w:val="0"/>
        <w:adjustRightInd w:val="0"/>
        <w:snapToGrid w:val="0"/>
        <w:spacing w:line="351" w:lineRule="auto"/>
        <w:ind w:left="0" w:leftChars="0" w:right="0"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sz w:val="24"/>
          <w:szCs w:val="24"/>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5B7DBDBF">
      <w:pPr>
        <w:keepNext w:val="0"/>
        <w:keepLines w:val="0"/>
        <w:pageBreakBefore w:val="0"/>
        <w:widowControl w:val="0"/>
        <w:kinsoku/>
        <w:wordWrap w:val="0"/>
        <w:overflowPunct/>
        <w:topLinePunct w:val="0"/>
        <w:autoSpaceDE/>
        <w:autoSpaceDN/>
        <w:bidi w:val="0"/>
        <w:adjustRightInd w:val="0"/>
        <w:snapToGrid w:val="0"/>
        <w:spacing w:line="360" w:lineRule="auto"/>
        <w:ind w:firstLine="0" w:firstLineChars="0"/>
        <w:jc w:val="center"/>
        <w:textAlignment w:val="auto"/>
        <w:rPr>
          <w:rFonts w:hint="eastAsia" w:ascii="宋体" w:hAnsi="宋体" w:eastAsia="宋体" w:cs="宋体"/>
          <w:b/>
          <w:bCs/>
          <w:snapToGrid w:val="0"/>
          <w:color w:val="auto"/>
          <w:kern w:val="0"/>
          <w:sz w:val="28"/>
          <w:szCs w:val="28"/>
          <w:highlight w:val="none"/>
        </w:rPr>
      </w:pPr>
      <w:r>
        <w:rPr>
          <w:rFonts w:hint="eastAsia" w:ascii="宋体" w:hAnsi="宋体" w:eastAsia="宋体" w:cs="宋体"/>
          <w:b/>
          <w:bCs/>
          <w:snapToGrid w:val="0"/>
          <w:color w:val="auto"/>
          <w:kern w:val="0"/>
          <w:sz w:val="28"/>
          <w:szCs w:val="28"/>
          <w:highlight w:val="none"/>
        </w:rPr>
        <w:t>综合评分表</w:t>
      </w:r>
    </w:p>
    <w:tbl>
      <w:tblPr>
        <w:tblStyle w:val="31"/>
        <w:tblW w:w="10853" w:type="dxa"/>
        <w:jc w:val="center"/>
        <w:tblLayout w:type="fixed"/>
        <w:tblCellMar>
          <w:top w:w="0" w:type="dxa"/>
          <w:left w:w="108" w:type="dxa"/>
          <w:bottom w:w="0" w:type="dxa"/>
          <w:right w:w="108" w:type="dxa"/>
        </w:tblCellMar>
      </w:tblPr>
      <w:tblGrid>
        <w:gridCol w:w="1493"/>
        <w:gridCol w:w="4065"/>
        <w:gridCol w:w="5295"/>
      </w:tblGrid>
      <w:tr w14:paraId="2515FCC3">
        <w:tblPrEx>
          <w:tblCellMar>
            <w:top w:w="0" w:type="dxa"/>
            <w:left w:w="108" w:type="dxa"/>
            <w:bottom w:w="0" w:type="dxa"/>
            <w:right w:w="108" w:type="dxa"/>
          </w:tblCellMar>
        </w:tblPrEx>
        <w:trPr>
          <w:trHeight w:val="23" w:hRule="atLeast"/>
          <w:jc w:val="center"/>
        </w:trPr>
        <w:tc>
          <w:tcPr>
            <w:tcW w:w="10853" w:type="dxa"/>
            <w:gridSpan w:val="3"/>
            <w:tcBorders>
              <w:top w:val="single" w:color="auto" w:sz="4" w:space="0"/>
              <w:left w:val="single" w:color="auto" w:sz="4" w:space="0"/>
              <w:bottom w:val="single" w:color="auto" w:sz="4" w:space="0"/>
              <w:right w:val="single" w:color="auto" w:sz="4" w:space="0"/>
            </w:tcBorders>
            <w:shd w:val="clear" w:color="auto" w:fill="D7D7D7"/>
            <w:noWrap w:val="0"/>
            <w:vAlign w:val="center"/>
          </w:tcPr>
          <w:p w14:paraId="163E87D1">
            <w:pPr>
              <w:pStyle w:val="11"/>
              <w:tabs>
                <w:tab w:val="left" w:pos="1354"/>
                <w:tab w:val="left" w:pos="1459"/>
                <w:tab w:val="center" w:pos="3902"/>
                <w:tab w:val="right" w:pos="7805"/>
              </w:tabs>
              <w:wordWrap w:val="0"/>
              <w:adjustRightInd w:val="0"/>
              <w:snapToGrid w:val="0"/>
              <w:spacing w:after="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商务部分，满分：</w:t>
            </w:r>
            <w:r>
              <w:rPr>
                <w:rFonts w:hint="eastAsia" w:ascii="宋体" w:hAnsi="宋体" w:eastAsia="宋体" w:cs="宋体"/>
                <w:b/>
                <w:bCs/>
                <w:snapToGrid w:val="0"/>
                <w:color w:val="auto"/>
                <w:kern w:val="0"/>
                <w:sz w:val="24"/>
                <w:szCs w:val="24"/>
                <w:highlight w:val="none"/>
                <w:u w:val="single"/>
                <w:lang w:val="en-US" w:eastAsia="zh-CN"/>
              </w:rPr>
              <w:t>80</w:t>
            </w:r>
            <w:r>
              <w:rPr>
                <w:rFonts w:hint="eastAsia" w:ascii="宋体" w:hAnsi="宋体" w:eastAsia="宋体" w:cs="宋体"/>
                <w:b/>
                <w:bCs/>
                <w:snapToGrid w:val="0"/>
                <w:color w:val="auto"/>
                <w:kern w:val="0"/>
                <w:sz w:val="24"/>
                <w:szCs w:val="24"/>
                <w:highlight w:val="none"/>
                <w:u w:val="single"/>
              </w:rPr>
              <w:t xml:space="preserve"> </w:t>
            </w:r>
            <w:r>
              <w:rPr>
                <w:rFonts w:hint="eastAsia" w:ascii="宋体" w:hAnsi="宋体" w:eastAsia="宋体" w:cs="宋体"/>
                <w:b/>
                <w:bCs/>
                <w:snapToGrid w:val="0"/>
                <w:color w:val="auto"/>
                <w:kern w:val="0"/>
                <w:sz w:val="24"/>
                <w:szCs w:val="24"/>
                <w:highlight w:val="none"/>
              </w:rPr>
              <w:t>分。</w:t>
            </w:r>
          </w:p>
        </w:tc>
      </w:tr>
      <w:tr w14:paraId="715481E6">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E5B5EE4">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评分因素</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63478C55">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评分标准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2DD875DA">
            <w:pPr>
              <w:pStyle w:val="11"/>
              <w:keepNext w:val="0"/>
              <w:keepLines w:val="0"/>
              <w:pageBreakBefore w:val="0"/>
              <w:tabs>
                <w:tab w:val="left" w:pos="1354"/>
                <w:tab w:val="left" w:pos="1459"/>
                <w:tab w:val="center" w:pos="3902"/>
                <w:tab w:val="right" w:pos="7805"/>
              </w:tabs>
              <w:kinsoku/>
              <w:wordWrap w:val="0"/>
              <w:overflowPunct/>
              <w:topLinePunct w:val="0"/>
              <w:autoSpaceDE/>
              <w:autoSpaceDN/>
              <w:bidi w:val="0"/>
              <w:adjustRightInd w:val="0"/>
              <w:snapToGrid w:val="0"/>
              <w:spacing w:after="0" w:afterLines="0" w:line="360" w:lineRule="auto"/>
              <w:jc w:val="center"/>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备注</w:t>
            </w:r>
          </w:p>
        </w:tc>
      </w:tr>
      <w:tr w14:paraId="59847AB3">
        <w:tblPrEx>
          <w:tblCellMar>
            <w:top w:w="0" w:type="dxa"/>
            <w:left w:w="108" w:type="dxa"/>
            <w:bottom w:w="0" w:type="dxa"/>
            <w:right w:w="108" w:type="dxa"/>
          </w:tblCellMar>
        </w:tblPrEx>
        <w:trPr>
          <w:trHeight w:val="318"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48EA7C5">
            <w:pPr>
              <w:widowControl w:val="0"/>
              <w:wordWrap w:val="0"/>
              <w:adjustRightInd w:val="0"/>
              <w:snapToGrid w:val="0"/>
              <w:spacing w:after="0" w:afterLines="0" w:afterAutospacing="0" w:line="360" w:lineRule="auto"/>
              <w:jc w:val="center"/>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企业奖项</w:t>
            </w:r>
          </w:p>
          <w:p w14:paraId="05D2A768">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SA"/>
              </w:rPr>
              <w:t>（15分）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2C7CC265">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企业2020年1月1日至今获得工程类奖项情况：</w:t>
            </w:r>
          </w:p>
          <w:p w14:paraId="64F1D381">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1．获得国家级奖项的，每个得</w:t>
            </w:r>
            <w:r>
              <w:rPr>
                <w:rFonts w:hint="eastAsia" w:ascii="宋体" w:hAnsi="宋体" w:eastAsia="宋体" w:cs="宋体"/>
                <w:b w:val="0"/>
                <w:bCs w:val="0"/>
                <w:snapToGrid w:val="0"/>
                <w:color w:val="auto"/>
                <w:kern w:val="0"/>
                <w:sz w:val="24"/>
                <w:szCs w:val="24"/>
                <w:highlight w:val="none"/>
                <w:u w:val="single"/>
                <w:lang w:val="en-US" w:eastAsia="zh-CN" w:bidi="ar-SA"/>
              </w:rPr>
              <w:t xml:space="preserve"> 10 </w:t>
            </w:r>
            <w:r>
              <w:rPr>
                <w:rFonts w:hint="eastAsia" w:ascii="宋体" w:hAnsi="宋体" w:eastAsia="宋体" w:cs="宋体"/>
                <w:b w:val="0"/>
                <w:bCs w:val="0"/>
                <w:snapToGrid w:val="0"/>
                <w:color w:val="auto"/>
                <w:kern w:val="0"/>
                <w:sz w:val="24"/>
                <w:szCs w:val="24"/>
                <w:highlight w:val="none"/>
                <w:lang w:val="en-US" w:eastAsia="zh-CN" w:bidi="ar-SA"/>
              </w:rPr>
              <w:t>分。</w:t>
            </w:r>
          </w:p>
          <w:p w14:paraId="654D392D">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2.获得省级奖项的，每个得</w:t>
            </w:r>
            <w:r>
              <w:rPr>
                <w:rFonts w:hint="eastAsia" w:ascii="宋体" w:hAnsi="宋体" w:eastAsia="宋体" w:cs="宋体"/>
                <w:b w:val="0"/>
                <w:bCs w:val="0"/>
                <w:snapToGrid w:val="0"/>
                <w:color w:val="auto"/>
                <w:kern w:val="0"/>
                <w:sz w:val="24"/>
                <w:szCs w:val="24"/>
                <w:highlight w:val="none"/>
                <w:u w:val="single"/>
                <w:lang w:val="en-US" w:eastAsia="zh-CN" w:bidi="ar-SA"/>
              </w:rPr>
              <w:t xml:space="preserve"> 8 </w:t>
            </w:r>
            <w:r>
              <w:rPr>
                <w:rFonts w:hint="eastAsia" w:ascii="宋体" w:hAnsi="宋体" w:eastAsia="宋体" w:cs="宋体"/>
                <w:b w:val="0"/>
                <w:bCs w:val="0"/>
                <w:snapToGrid w:val="0"/>
                <w:color w:val="auto"/>
                <w:kern w:val="0"/>
                <w:sz w:val="24"/>
                <w:szCs w:val="24"/>
                <w:highlight w:val="none"/>
                <w:lang w:val="en-US" w:eastAsia="zh-CN" w:bidi="ar-SA"/>
              </w:rPr>
              <w:t>分。</w:t>
            </w:r>
          </w:p>
          <w:p w14:paraId="49A8BC6B">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3．获得地市级奖项的，每个得</w:t>
            </w:r>
            <w:r>
              <w:rPr>
                <w:rFonts w:hint="eastAsia" w:ascii="宋体" w:hAnsi="宋体" w:eastAsia="宋体" w:cs="宋体"/>
                <w:b w:val="0"/>
                <w:bCs w:val="0"/>
                <w:snapToGrid w:val="0"/>
                <w:color w:val="auto"/>
                <w:kern w:val="0"/>
                <w:sz w:val="24"/>
                <w:szCs w:val="24"/>
                <w:highlight w:val="none"/>
                <w:u w:val="single"/>
                <w:lang w:val="en-US" w:eastAsia="zh-CN" w:bidi="ar-SA"/>
              </w:rPr>
              <w:t xml:space="preserve"> 5 </w:t>
            </w:r>
            <w:r>
              <w:rPr>
                <w:rFonts w:hint="eastAsia" w:ascii="宋体" w:hAnsi="宋体" w:eastAsia="宋体" w:cs="宋体"/>
                <w:b w:val="0"/>
                <w:bCs w:val="0"/>
                <w:snapToGrid w:val="0"/>
                <w:color w:val="auto"/>
                <w:kern w:val="0"/>
                <w:sz w:val="24"/>
                <w:szCs w:val="24"/>
                <w:highlight w:val="none"/>
                <w:lang w:val="en-US" w:eastAsia="zh-CN" w:bidi="ar-SA"/>
              </w:rPr>
              <w:t>分。</w:t>
            </w:r>
          </w:p>
          <w:p w14:paraId="0AE149A5">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4．以上奖项均未获得的，不予计分。</w:t>
            </w:r>
          </w:p>
          <w:p w14:paraId="7C25CDC0">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5．本项最高得15分。</w:t>
            </w:r>
          </w:p>
          <w:p w14:paraId="2BEAFDF0">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p>
          <w:p w14:paraId="7CA9EE6B">
            <w:pPr>
              <w:widowControl w:val="0"/>
              <w:wordWrap w:val="0"/>
              <w:adjustRightInd w:val="0"/>
              <w:snapToGrid w:val="0"/>
              <w:spacing w:after="0" w:afterLines="0" w:afterAutospacing="0" w:line="360" w:lineRule="auto"/>
              <w:jc w:val="both"/>
              <w:rPr>
                <w:rFonts w:hint="eastAsia" w:ascii="宋体" w:hAnsi="宋体" w:eastAsia="宋体" w:cs="宋体"/>
                <w:snapToGrid w:val="0"/>
                <w:color w:val="auto"/>
                <w:kern w:val="0"/>
                <w:sz w:val="22"/>
                <w:szCs w:val="22"/>
                <w:highlight w:val="none"/>
              </w:rPr>
            </w:pPr>
          </w:p>
        </w:tc>
        <w:tc>
          <w:tcPr>
            <w:tcW w:w="5295" w:type="dxa"/>
            <w:tcBorders>
              <w:top w:val="single" w:color="auto" w:sz="4" w:space="0"/>
              <w:left w:val="single" w:color="auto" w:sz="4" w:space="0"/>
              <w:bottom w:val="single" w:color="auto" w:sz="4" w:space="0"/>
              <w:right w:val="single" w:color="auto" w:sz="4" w:space="0"/>
            </w:tcBorders>
            <w:noWrap w:val="0"/>
            <w:vAlign w:val="center"/>
          </w:tcPr>
          <w:p w14:paraId="1F1EFD91">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1．允许投标人提交多个业绩，但同一业绩只按最高级别奖项计分一次。</w:t>
            </w:r>
          </w:p>
          <w:p w14:paraId="4F853D85">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2.需附有关奖项证明扫描件（或打印件）。</w:t>
            </w:r>
          </w:p>
          <w:p w14:paraId="466F84EF">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3．颁发机构限定以下范围：</w:t>
            </w:r>
          </w:p>
          <w:p w14:paraId="63B11F09">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①国家级奖项：</w:t>
            </w:r>
            <w:r>
              <w:rPr>
                <w:rFonts w:hint="eastAsia" w:ascii="宋体" w:hAnsi="宋体" w:eastAsia="宋体" w:cs="宋体"/>
                <w:b w:val="0"/>
                <w:bCs w:val="0"/>
                <w:snapToGrid w:val="0"/>
                <w:color w:val="auto"/>
                <w:kern w:val="0"/>
                <w:sz w:val="24"/>
                <w:szCs w:val="24"/>
                <w:highlight w:val="none"/>
                <w:u w:val="single"/>
                <w:lang w:val="en-US" w:eastAsia="zh-CN" w:bidi="ar-SA"/>
              </w:rPr>
              <w:t>国务院、住建部、中国市政行业协会、中国建筑业协会</w:t>
            </w:r>
            <w:r>
              <w:rPr>
                <w:rFonts w:hint="eastAsia" w:ascii="宋体" w:hAnsi="宋体" w:eastAsia="宋体" w:cs="宋体"/>
                <w:b w:val="0"/>
                <w:bCs w:val="0"/>
                <w:snapToGrid w:val="0"/>
                <w:color w:val="auto"/>
                <w:kern w:val="0"/>
                <w:sz w:val="24"/>
                <w:szCs w:val="24"/>
                <w:highlight w:val="none"/>
                <w:lang w:val="en-US" w:eastAsia="zh-CN" w:bidi="ar-SA"/>
              </w:rPr>
              <w:t>；（相关协会需经民政部门备案，须提供备案截图，否则不得分）；</w:t>
            </w:r>
          </w:p>
          <w:p w14:paraId="43697938">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②省级奖项：</w:t>
            </w:r>
            <w:r>
              <w:rPr>
                <w:rFonts w:hint="eastAsia" w:ascii="宋体" w:hAnsi="宋体" w:eastAsia="宋体" w:cs="宋体"/>
                <w:b w:val="0"/>
                <w:bCs w:val="0"/>
                <w:snapToGrid w:val="0"/>
                <w:color w:val="auto"/>
                <w:kern w:val="0"/>
                <w:sz w:val="24"/>
                <w:szCs w:val="24"/>
                <w:highlight w:val="none"/>
                <w:u w:val="single"/>
                <w:lang w:val="en-US" w:eastAsia="zh-CN" w:bidi="ar-SA"/>
              </w:rPr>
              <w:t xml:space="preserve">省级人民政府、省级建设行政主管部门、省市政行业协会、省建筑业协会 </w:t>
            </w:r>
            <w:r>
              <w:rPr>
                <w:rFonts w:hint="eastAsia" w:ascii="宋体" w:hAnsi="宋体" w:eastAsia="宋体" w:cs="宋体"/>
                <w:b w:val="0"/>
                <w:bCs w:val="0"/>
                <w:snapToGrid w:val="0"/>
                <w:color w:val="auto"/>
                <w:kern w:val="0"/>
                <w:sz w:val="24"/>
                <w:szCs w:val="24"/>
                <w:highlight w:val="none"/>
                <w:lang w:val="en-US" w:eastAsia="zh-CN" w:bidi="ar-SA"/>
              </w:rPr>
              <w:t>；（相关协会需经民政部门备案，须提供备案截图，否则不得分）；</w:t>
            </w:r>
          </w:p>
          <w:p w14:paraId="7E1ED98A">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③地市级奖项：</w:t>
            </w:r>
            <w:r>
              <w:rPr>
                <w:rFonts w:hint="eastAsia" w:ascii="宋体" w:hAnsi="宋体" w:eastAsia="宋体" w:cs="宋体"/>
                <w:b w:val="0"/>
                <w:bCs w:val="0"/>
                <w:snapToGrid w:val="0"/>
                <w:color w:val="auto"/>
                <w:kern w:val="0"/>
                <w:sz w:val="24"/>
                <w:szCs w:val="24"/>
                <w:highlight w:val="none"/>
                <w:u w:val="single"/>
                <w:lang w:val="en-US" w:eastAsia="zh-CN" w:bidi="ar-SA"/>
              </w:rPr>
              <w:t>地市级人民政府、地市级建设行政主管部门、地市级市政行业协会、地市级建筑业协会</w:t>
            </w:r>
            <w:r>
              <w:rPr>
                <w:rFonts w:hint="eastAsia" w:hAnsi="宋体" w:eastAsia="宋体" w:cs="宋体"/>
                <w:b w:val="0"/>
                <w:bCs w:val="0"/>
                <w:snapToGrid w:val="0"/>
                <w:color w:val="auto"/>
                <w:kern w:val="0"/>
                <w:sz w:val="24"/>
                <w:szCs w:val="24"/>
                <w:highlight w:val="none"/>
                <w:u w:val="none"/>
                <w:lang w:val="en-US" w:eastAsia="zh-CN" w:bidi="ar-SA"/>
              </w:rPr>
              <w:t>；</w:t>
            </w:r>
            <w:r>
              <w:rPr>
                <w:rFonts w:hint="eastAsia" w:ascii="宋体" w:hAnsi="宋体" w:eastAsia="宋体" w:cs="宋体"/>
                <w:b w:val="0"/>
                <w:bCs w:val="0"/>
                <w:snapToGrid w:val="0"/>
                <w:color w:val="auto"/>
                <w:kern w:val="0"/>
                <w:sz w:val="24"/>
                <w:szCs w:val="24"/>
                <w:highlight w:val="none"/>
                <w:lang w:val="en-US" w:eastAsia="zh-CN" w:bidi="ar-SA"/>
              </w:rPr>
              <w:t>（相关协会需经民政部门备案，须提供备案截图，否则不得分）。</w:t>
            </w:r>
          </w:p>
          <w:p w14:paraId="4475C305">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4．获奖时间以奖项证明的落款日期为准。</w:t>
            </w:r>
          </w:p>
          <w:p w14:paraId="02D25165">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5．任一奖项有以下情形之一的，该奖项视为无效，不予计分：</w:t>
            </w:r>
          </w:p>
          <w:p w14:paraId="637668B1">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①奖项不属于指定类别的；</w:t>
            </w:r>
          </w:p>
          <w:p w14:paraId="13DB6922">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②颁发机构不符合要求的；</w:t>
            </w:r>
          </w:p>
          <w:p w14:paraId="4F2AEBDD">
            <w:pPr>
              <w:widowControl w:val="0"/>
              <w:wordWrap w:val="0"/>
              <w:adjustRightInd w:val="0"/>
              <w:snapToGrid w:val="0"/>
              <w:spacing w:after="0" w:afterLines="0" w:afterAutospacing="0" w:line="360" w:lineRule="auto"/>
              <w:jc w:val="both"/>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SA"/>
              </w:rPr>
              <w:t>③获奖时间不符合要求的。</w:t>
            </w:r>
          </w:p>
        </w:tc>
      </w:tr>
      <w:tr w14:paraId="6C4C3AA6">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EC0AA48">
            <w:pPr>
              <w:widowControl w:val="0"/>
              <w:wordWrap w:val="0"/>
              <w:adjustRightInd w:val="0"/>
              <w:snapToGrid w:val="0"/>
              <w:spacing w:after="0" w:afterLines="0" w:afterAutospacing="0" w:line="360" w:lineRule="auto"/>
              <w:jc w:val="center"/>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企业业绩</w:t>
            </w:r>
          </w:p>
          <w:p w14:paraId="7E219F42">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SA"/>
              </w:rPr>
              <w:t>（10分）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2AE75CEF">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企业</w:t>
            </w:r>
            <w:r>
              <w:rPr>
                <w:rFonts w:hint="eastAsia" w:ascii="宋体" w:hAnsi="宋体" w:eastAsia="宋体" w:cs="宋体"/>
                <w:b w:val="0"/>
                <w:bCs w:val="0"/>
                <w:snapToGrid w:val="0"/>
                <w:color w:val="auto"/>
                <w:kern w:val="0"/>
                <w:sz w:val="24"/>
                <w:szCs w:val="24"/>
                <w:highlight w:val="none"/>
                <w:lang w:val="en-US" w:eastAsia="zh-CN"/>
              </w:rPr>
              <w:t>2020</w:t>
            </w:r>
            <w:r>
              <w:rPr>
                <w:rFonts w:hint="eastAsia" w:ascii="宋体" w:hAnsi="宋体" w:eastAsia="宋体" w:cs="宋体"/>
                <w:b w:val="0"/>
                <w:bCs w:val="0"/>
                <w:snapToGrid w:val="0"/>
                <w:color w:val="auto"/>
                <w:kern w:val="0"/>
                <w:sz w:val="24"/>
                <w:szCs w:val="24"/>
                <w:highlight w:val="none"/>
              </w:rPr>
              <w:t>年</w:t>
            </w:r>
            <w:r>
              <w:rPr>
                <w:rFonts w:hint="eastAsia" w:ascii="宋体" w:hAnsi="宋体" w:eastAsia="宋体" w:cs="宋体"/>
                <w:b w:val="0"/>
                <w:bCs w:val="0"/>
                <w:snapToGrid w:val="0"/>
                <w:color w:val="auto"/>
                <w:kern w:val="0"/>
                <w:sz w:val="24"/>
                <w:szCs w:val="24"/>
                <w:highlight w:val="none"/>
                <w:lang w:val="en-US" w:eastAsia="zh-CN"/>
              </w:rPr>
              <w:t>1</w:t>
            </w:r>
            <w:r>
              <w:rPr>
                <w:rFonts w:hint="eastAsia" w:ascii="宋体" w:hAnsi="宋体" w:eastAsia="宋体" w:cs="宋体"/>
                <w:b w:val="0"/>
                <w:bCs w:val="0"/>
                <w:snapToGrid w:val="0"/>
                <w:color w:val="auto"/>
                <w:kern w:val="0"/>
                <w:sz w:val="24"/>
                <w:szCs w:val="24"/>
                <w:highlight w:val="none"/>
              </w:rPr>
              <w:t>月</w:t>
            </w:r>
            <w:r>
              <w:rPr>
                <w:rFonts w:hint="eastAsia" w:ascii="宋体" w:hAnsi="宋体" w:eastAsia="宋体" w:cs="宋体"/>
                <w:b w:val="0"/>
                <w:bCs w:val="0"/>
                <w:snapToGrid w:val="0"/>
                <w:color w:val="auto"/>
                <w:kern w:val="0"/>
                <w:sz w:val="24"/>
                <w:szCs w:val="24"/>
                <w:highlight w:val="none"/>
                <w:lang w:val="en-US" w:eastAsia="zh-CN"/>
              </w:rPr>
              <w:t>1</w:t>
            </w:r>
            <w:r>
              <w:rPr>
                <w:rFonts w:hint="eastAsia" w:ascii="宋体" w:hAnsi="宋体" w:eastAsia="宋体" w:cs="宋体"/>
                <w:b w:val="0"/>
                <w:bCs w:val="0"/>
                <w:snapToGrid w:val="0"/>
                <w:color w:val="auto"/>
                <w:kern w:val="0"/>
                <w:sz w:val="24"/>
                <w:szCs w:val="24"/>
                <w:highlight w:val="none"/>
              </w:rPr>
              <w:t>日至</w:t>
            </w:r>
            <w:r>
              <w:rPr>
                <w:rFonts w:hint="eastAsia" w:ascii="宋体" w:hAnsi="宋体" w:eastAsia="宋体" w:cs="宋体"/>
                <w:b w:val="0"/>
                <w:bCs w:val="0"/>
                <w:snapToGrid w:val="0"/>
                <w:color w:val="auto"/>
                <w:kern w:val="0"/>
                <w:sz w:val="24"/>
                <w:szCs w:val="24"/>
                <w:highlight w:val="none"/>
                <w:lang w:val="en-US" w:eastAsia="zh-CN"/>
              </w:rPr>
              <w:t>今</w:t>
            </w:r>
            <w:r>
              <w:rPr>
                <w:rFonts w:hint="eastAsia" w:ascii="宋体" w:hAnsi="宋体" w:eastAsia="宋体" w:cs="宋体"/>
                <w:b w:val="0"/>
                <w:bCs w:val="0"/>
                <w:snapToGrid w:val="0"/>
                <w:color w:val="auto"/>
                <w:kern w:val="0"/>
                <w:sz w:val="24"/>
                <w:szCs w:val="24"/>
                <w:highlight w:val="none"/>
              </w:rPr>
              <w:t>业绩情况：</w:t>
            </w:r>
          </w:p>
          <w:p w14:paraId="4820D3AB">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1．</w:t>
            </w:r>
            <w:r>
              <w:rPr>
                <w:rFonts w:hint="eastAsia" w:ascii="宋体" w:hAnsi="宋体" w:eastAsia="宋体" w:cs="宋体"/>
                <w:b w:val="0"/>
                <w:bCs w:val="0"/>
                <w:snapToGrid w:val="0"/>
                <w:color w:val="auto"/>
                <w:kern w:val="0"/>
                <w:sz w:val="24"/>
                <w:szCs w:val="24"/>
                <w:highlight w:val="none"/>
                <w:u w:val="single"/>
              </w:rPr>
              <w:t xml:space="preserve"> 承接 </w:t>
            </w:r>
            <w:r>
              <w:rPr>
                <w:rFonts w:hint="eastAsia" w:ascii="宋体" w:hAnsi="宋体" w:eastAsia="宋体" w:cs="宋体"/>
                <w:b w:val="0"/>
                <w:bCs w:val="0"/>
                <w:snapToGrid w:val="0"/>
                <w:color w:val="auto"/>
                <w:kern w:val="0"/>
                <w:sz w:val="24"/>
                <w:szCs w:val="24"/>
                <w:highlight w:val="none"/>
              </w:rPr>
              <w:t>过类似工程的，每个得</w:t>
            </w:r>
            <w:r>
              <w:rPr>
                <w:rFonts w:hint="eastAsia" w:ascii="宋体" w:hAnsi="宋体" w:eastAsia="宋体" w:cs="宋体"/>
                <w:b w:val="0"/>
                <w:bCs w:val="0"/>
                <w:snapToGrid w:val="0"/>
                <w:color w:val="auto"/>
                <w:kern w:val="0"/>
                <w:sz w:val="24"/>
                <w:szCs w:val="24"/>
                <w:highlight w:val="none"/>
                <w:u w:val="single"/>
              </w:rPr>
              <w:t xml:space="preserve"> </w:t>
            </w:r>
            <w:r>
              <w:rPr>
                <w:rFonts w:hint="eastAsia" w:ascii="宋体" w:hAnsi="宋体" w:eastAsia="宋体" w:cs="宋体"/>
                <w:b w:val="0"/>
                <w:bCs w:val="0"/>
                <w:snapToGrid w:val="0"/>
                <w:color w:val="auto"/>
                <w:kern w:val="0"/>
                <w:sz w:val="24"/>
                <w:szCs w:val="24"/>
                <w:highlight w:val="none"/>
                <w:u w:val="single"/>
                <w:lang w:val="en-US" w:eastAsia="zh-CN"/>
              </w:rPr>
              <w:t>5</w:t>
            </w:r>
            <w:r>
              <w:rPr>
                <w:rFonts w:hint="eastAsia" w:ascii="宋体" w:hAnsi="宋体" w:eastAsia="宋体" w:cs="宋体"/>
                <w:b w:val="0"/>
                <w:bCs w:val="0"/>
                <w:snapToGrid w:val="0"/>
                <w:color w:val="auto"/>
                <w:kern w:val="0"/>
                <w:sz w:val="24"/>
                <w:szCs w:val="24"/>
                <w:highlight w:val="none"/>
              </w:rPr>
              <w:t>分。</w:t>
            </w:r>
          </w:p>
          <w:p w14:paraId="28B1EEB8">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2．未</w:t>
            </w:r>
            <w:r>
              <w:rPr>
                <w:rFonts w:hint="eastAsia" w:ascii="宋体" w:hAnsi="宋体" w:eastAsia="宋体" w:cs="宋体"/>
                <w:b w:val="0"/>
                <w:bCs w:val="0"/>
                <w:snapToGrid w:val="0"/>
                <w:color w:val="auto"/>
                <w:kern w:val="0"/>
                <w:sz w:val="24"/>
                <w:szCs w:val="24"/>
                <w:highlight w:val="none"/>
                <w:u w:val="single"/>
              </w:rPr>
              <w:t xml:space="preserve"> 承接 </w:t>
            </w:r>
            <w:r>
              <w:rPr>
                <w:rFonts w:hint="eastAsia" w:ascii="宋体" w:hAnsi="宋体" w:eastAsia="宋体" w:cs="宋体"/>
                <w:b w:val="0"/>
                <w:bCs w:val="0"/>
                <w:snapToGrid w:val="0"/>
                <w:color w:val="auto"/>
                <w:kern w:val="0"/>
                <w:sz w:val="24"/>
                <w:szCs w:val="24"/>
                <w:highlight w:val="none"/>
              </w:rPr>
              <w:t>过类似工程的，不予计分。</w:t>
            </w:r>
          </w:p>
          <w:p w14:paraId="5A08918A">
            <w:pPr>
              <w:wordWrap w:val="0"/>
              <w:adjustRightInd w:val="0"/>
              <w:snapToGrid w:val="0"/>
              <w:spacing w:line="360" w:lineRule="auto"/>
              <w:rPr>
                <w:rFonts w:hint="eastAsia" w:ascii="宋体" w:hAnsi="宋体" w:eastAsia="宋体" w:cs="宋体"/>
                <w:color w:val="auto"/>
                <w:kern w:val="0"/>
                <w:sz w:val="22"/>
                <w:szCs w:val="22"/>
                <w:highlight w:val="none"/>
              </w:rPr>
            </w:pPr>
            <w:r>
              <w:rPr>
                <w:rFonts w:hint="eastAsia" w:ascii="宋体" w:hAnsi="宋体" w:eastAsia="宋体" w:cs="宋体"/>
                <w:b w:val="0"/>
                <w:bCs w:val="0"/>
                <w:snapToGrid w:val="0"/>
                <w:color w:val="auto"/>
                <w:kern w:val="0"/>
                <w:sz w:val="24"/>
                <w:szCs w:val="24"/>
                <w:highlight w:val="none"/>
              </w:rPr>
              <w:t xml:space="preserve">3．本项最高得10分。 </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68E333F7">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1．类似工程指：</w:t>
            </w:r>
            <w:r>
              <w:rPr>
                <w:rFonts w:hint="eastAsia" w:ascii="宋体" w:hAnsi="宋体" w:eastAsia="宋体" w:cs="宋体"/>
                <w:b w:val="0"/>
                <w:bCs w:val="0"/>
                <w:snapToGrid w:val="0"/>
                <w:color w:val="auto"/>
                <w:kern w:val="0"/>
                <w:sz w:val="24"/>
                <w:szCs w:val="24"/>
                <w:highlight w:val="none"/>
                <w:u w:val="single"/>
                <w:lang w:val="en-US" w:eastAsia="zh-CN"/>
              </w:rPr>
              <w:t>单项工程造价</w:t>
            </w:r>
            <w:r>
              <w:rPr>
                <w:rFonts w:hint="eastAsia" w:ascii="宋体" w:hAnsi="宋体" w:eastAsia="宋体" w:cs="宋体"/>
                <w:b w:val="0"/>
                <w:bCs w:val="0"/>
                <w:snapToGrid w:val="0"/>
                <w:color w:val="auto"/>
                <w:kern w:val="0"/>
                <w:sz w:val="24"/>
                <w:szCs w:val="24"/>
                <w:highlight w:val="none"/>
                <w:u w:val="single"/>
              </w:rPr>
              <w:t>≥</w:t>
            </w:r>
            <w:r>
              <w:rPr>
                <w:rFonts w:hint="eastAsia" w:ascii="宋体" w:hAnsi="宋体" w:eastAsia="宋体" w:cs="宋体"/>
                <w:b w:val="0"/>
                <w:bCs w:val="0"/>
                <w:snapToGrid w:val="0"/>
                <w:color w:val="auto"/>
                <w:kern w:val="0"/>
                <w:sz w:val="24"/>
                <w:szCs w:val="24"/>
                <w:highlight w:val="none"/>
                <w:u w:val="single"/>
                <w:lang w:val="en-US" w:eastAsia="zh-CN"/>
              </w:rPr>
              <w:t>1000</w:t>
            </w:r>
            <w:r>
              <w:rPr>
                <w:rFonts w:hint="eastAsia" w:ascii="宋体" w:hAnsi="宋体" w:eastAsia="宋体" w:cs="宋体"/>
                <w:b w:val="0"/>
                <w:bCs w:val="0"/>
                <w:snapToGrid w:val="0"/>
                <w:color w:val="auto"/>
                <w:kern w:val="0"/>
                <w:sz w:val="24"/>
                <w:szCs w:val="24"/>
                <w:highlight w:val="none"/>
                <w:u w:val="single"/>
              </w:rPr>
              <w:t>万元</w:t>
            </w:r>
            <w:r>
              <w:rPr>
                <w:rFonts w:hint="eastAsia" w:ascii="宋体" w:hAnsi="宋体" w:eastAsia="宋体" w:cs="宋体"/>
                <w:b w:val="0"/>
                <w:bCs w:val="0"/>
                <w:snapToGrid w:val="0"/>
                <w:color w:val="auto"/>
                <w:kern w:val="0"/>
                <w:sz w:val="24"/>
                <w:szCs w:val="24"/>
                <w:highlight w:val="none"/>
                <w:u w:val="single"/>
                <w:lang w:val="en-US" w:eastAsia="zh-CN"/>
              </w:rPr>
              <w:t>的</w:t>
            </w:r>
            <w:r>
              <w:rPr>
                <w:rFonts w:hint="eastAsia" w:ascii="宋体" w:hAnsi="宋体" w:eastAsia="宋体" w:cs="宋体"/>
                <w:b w:val="0"/>
                <w:bCs w:val="0"/>
                <w:snapToGrid w:val="0"/>
                <w:color w:val="auto"/>
                <w:kern w:val="0"/>
                <w:sz w:val="24"/>
                <w:szCs w:val="24"/>
                <w:highlight w:val="none"/>
                <w:u w:val="single"/>
                <w:lang w:eastAsia="zh-CN"/>
              </w:rPr>
              <w:t>市政</w:t>
            </w:r>
            <w:r>
              <w:rPr>
                <w:rFonts w:hint="eastAsia" w:hAnsi="宋体" w:cs="宋体"/>
                <w:b w:val="0"/>
                <w:bCs w:val="0"/>
                <w:snapToGrid w:val="0"/>
                <w:color w:val="auto"/>
                <w:kern w:val="0"/>
                <w:sz w:val="24"/>
                <w:szCs w:val="24"/>
                <w:highlight w:val="none"/>
                <w:u w:val="single"/>
                <w:lang w:val="en-US" w:eastAsia="zh-CN"/>
              </w:rPr>
              <w:t>或房建</w:t>
            </w:r>
            <w:r>
              <w:rPr>
                <w:rFonts w:hint="eastAsia" w:hAnsi="宋体" w:eastAsia="宋体" w:cs="宋体"/>
                <w:b w:val="0"/>
                <w:bCs w:val="0"/>
                <w:snapToGrid w:val="0"/>
                <w:color w:val="auto"/>
                <w:kern w:val="0"/>
                <w:sz w:val="24"/>
                <w:szCs w:val="24"/>
                <w:highlight w:val="none"/>
                <w:u w:val="single"/>
                <w:lang w:val="en-US" w:eastAsia="zh-CN"/>
              </w:rPr>
              <w:t>类</w:t>
            </w:r>
            <w:r>
              <w:rPr>
                <w:rFonts w:hint="eastAsia" w:ascii="宋体" w:hAnsi="宋体" w:eastAsia="宋体" w:cs="宋体"/>
                <w:b w:val="0"/>
                <w:bCs w:val="0"/>
                <w:snapToGrid w:val="0"/>
                <w:color w:val="auto"/>
                <w:kern w:val="0"/>
                <w:sz w:val="24"/>
                <w:szCs w:val="24"/>
                <w:highlight w:val="none"/>
                <w:u w:val="single"/>
                <w:lang w:val="en-US" w:eastAsia="zh-CN"/>
              </w:rPr>
              <w:t>工程</w:t>
            </w:r>
            <w:r>
              <w:rPr>
                <w:rFonts w:hint="eastAsia" w:ascii="宋体" w:hAnsi="宋体" w:eastAsia="宋体" w:cs="宋体"/>
                <w:b w:val="0"/>
                <w:bCs w:val="0"/>
                <w:snapToGrid w:val="0"/>
                <w:color w:val="auto"/>
                <w:kern w:val="0"/>
                <w:sz w:val="24"/>
                <w:szCs w:val="24"/>
                <w:highlight w:val="none"/>
              </w:rPr>
              <w:t>。</w:t>
            </w:r>
          </w:p>
          <w:p w14:paraId="7E8FB961">
            <w:pPr>
              <w:wordWrap w:val="0"/>
              <w:adjustRightInd w:val="0"/>
              <w:snapToGrid w:val="0"/>
              <w:spacing w:line="360" w:lineRule="auto"/>
              <w:rPr>
                <w:rFonts w:hint="eastAsia" w:ascii="宋体" w:hAnsi="宋体" w:eastAsia="宋体" w:cs="宋体"/>
                <w:b w:val="0"/>
                <w:bCs w:val="0"/>
                <w:strike/>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2．需附有关业绩</w:t>
            </w:r>
            <w:r>
              <w:rPr>
                <w:rFonts w:hint="eastAsia" w:ascii="宋体" w:hAnsi="宋体" w:eastAsia="宋体" w:cs="宋体"/>
                <w:b w:val="0"/>
                <w:bCs w:val="0"/>
                <w:snapToGrid w:val="0"/>
                <w:color w:val="auto"/>
                <w:kern w:val="0"/>
                <w:sz w:val="24"/>
                <w:szCs w:val="24"/>
                <w:highlight w:val="none"/>
                <w:lang w:eastAsia="zh-CN"/>
              </w:rPr>
              <w:t>（</w:t>
            </w:r>
            <w:r>
              <w:rPr>
                <w:rFonts w:hint="eastAsia" w:ascii="宋体" w:hAnsi="宋体" w:eastAsia="宋体" w:cs="宋体"/>
                <w:b w:val="0"/>
                <w:bCs w:val="0"/>
                <w:snapToGrid w:val="0"/>
                <w:color w:val="auto"/>
                <w:kern w:val="0"/>
                <w:sz w:val="24"/>
                <w:szCs w:val="24"/>
                <w:highlight w:val="none"/>
                <w:lang w:val="en-US" w:eastAsia="zh-CN"/>
              </w:rPr>
              <w:t>仅限于以</w:t>
            </w:r>
            <w:r>
              <w:rPr>
                <w:rFonts w:hint="eastAsia" w:ascii="宋体" w:hAnsi="宋体" w:eastAsia="宋体" w:cs="宋体"/>
                <w:b w:val="0"/>
                <w:bCs w:val="0"/>
                <w:snapToGrid w:val="0"/>
                <w:color w:val="auto"/>
                <w:kern w:val="0"/>
                <w:sz w:val="24"/>
                <w:szCs w:val="24"/>
                <w:highlight w:val="none"/>
                <w:u w:val="single"/>
                <w:lang w:val="en-US" w:eastAsia="zh-CN"/>
              </w:rPr>
              <w:t>施工总承包单位/专业承包单位</w:t>
            </w:r>
            <w:r>
              <w:rPr>
                <w:rFonts w:hint="eastAsia" w:ascii="宋体" w:hAnsi="宋体" w:eastAsia="宋体" w:cs="宋体"/>
                <w:b w:val="0"/>
                <w:bCs w:val="0"/>
                <w:snapToGrid w:val="0"/>
                <w:color w:val="auto"/>
                <w:kern w:val="0"/>
                <w:sz w:val="24"/>
                <w:szCs w:val="24"/>
                <w:highlight w:val="none"/>
                <w:lang w:val="en-US" w:eastAsia="zh-CN"/>
              </w:rPr>
              <w:t>身份参建的项目</w:t>
            </w:r>
            <w:r>
              <w:rPr>
                <w:rFonts w:hint="eastAsia" w:ascii="宋体" w:hAnsi="宋体" w:eastAsia="宋体" w:cs="宋体"/>
                <w:b w:val="0"/>
                <w:bCs w:val="0"/>
                <w:snapToGrid w:val="0"/>
                <w:color w:val="auto"/>
                <w:kern w:val="0"/>
                <w:sz w:val="24"/>
                <w:szCs w:val="24"/>
                <w:highlight w:val="none"/>
                <w:lang w:eastAsia="zh-CN"/>
              </w:rPr>
              <w:t>）</w:t>
            </w:r>
            <w:r>
              <w:rPr>
                <w:rFonts w:hint="eastAsia" w:ascii="宋体" w:hAnsi="宋体" w:eastAsia="宋体" w:cs="宋体"/>
                <w:b w:val="0"/>
                <w:bCs w:val="0"/>
                <w:snapToGrid w:val="0"/>
                <w:color w:val="auto"/>
                <w:kern w:val="0"/>
                <w:sz w:val="24"/>
                <w:szCs w:val="24"/>
                <w:highlight w:val="none"/>
              </w:rPr>
              <w:t>合同协议书</w:t>
            </w:r>
            <w:r>
              <w:rPr>
                <w:rFonts w:hint="eastAsia" w:ascii="宋体" w:hAnsi="宋体" w:eastAsia="宋体" w:cs="宋体"/>
                <w:b w:val="0"/>
                <w:bCs w:val="0"/>
                <w:snapToGrid w:val="0"/>
                <w:color w:val="auto"/>
                <w:kern w:val="0"/>
                <w:sz w:val="24"/>
                <w:szCs w:val="24"/>
                <w:highlight w:val="none"/>
                <w:lang w:val="en-US" w:eastAsia="zh-CN"/>
              </w:rPr>
              <w:t>扫描件</w:t>
            </w:r>
            <w:r>
              <w:rPr>
                <w:rFonts w:hint="eastAsia" w:ascii="宋体" w:hAnsi="宋体" w:eastAsia="宋体" w:cs="宋体"/>
                <w:b w:val="0"/>
                <w:bCs w:val="0"/>
                <w:snapToGrid w:val="0"/>
                <w:color w:val="auto"/>
                <w:kern w:val="0"/>
                <w:sz w:val="24"/>
                <w:szCs w:val="24"/>
                <w:highlight w:val="none"/>
              </w:rPr>
              <w:t>。</w:t>
            </w:r>
          </w:p>
          <w:p w14:paraId="06B58D8E">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3．业绩时间以合同协议书日期为准。</w:t>
            </w:r>
          </w:p>
          <w:p w14:paraId="16AA5D9F">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4．任一业绩有以下情形之一的，该业绩视为无效，不予计分：</w:t>
            </w:r>
          </w:p>
          <w:p w14:paraId="70047EFA">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①业绩不属于类似工程的；</w:t>
            </w:r>
          </w:p>
          <w:p w14:paraId="661F18CC">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②不是以指定身份参建的；</w:t>
            </w:r>
          </w:p>
          <w:p w14:paraId="35ABFEF5">
            <w:pPr>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snapToGrid w:val="0"/>
                <w:color w:val="auto"/>
                <w:kern w:val="0"/>
                <w:sz w:val="24"/>
                <w:szCs w:val="24"/>
                <w:highlight w:val="none"/>
              </w:rPr>
              <w:t>③业绩时间不符合要求的</w:t>
            </w:r>
            <w:r>
              <w:rPr>
                <w:rFonts w:hint="eastAsia" w:ascii="宋体" w:hAnsi="宋体" w:eastAsia="宋体" w:cs="宋体"/>
                <w:b w:val="0"/>
                <w:bCs w:val="0"/>
                <w:snapToGrid w:val="0"/>
                <w:color w:val="auto"/>
                <w:kern w:val="0"/>
                <w:sz w:val="24"/>
                <w:szCs w:val="24"/>
                <w:highlight w:val="none"/>
                <w:lang w:eastAsia="zh-CN"/>
              </w:rPr>
              <w:t>。</w:t>
            </w:r>
          </w:p>
        </w:tc>
      </w:tr>
      <w:tr w14:paraId="23EEFD50">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564A83F">
            <w:pPr>
              <w:widowControl w:val="0"/>
              <w:wordWrap w:val="0"/>
              <w:adjustRightInd w:val="0"/>
              <w:snapToGrid w:val="0"/>
              <w:spacing w:after="0" w:afterLines="0" w:afterAutospacing="0" w:line="360" w:lineRule="auto"/>
              <w:jc w:val="center"/>
              <w:rPr>
                <w:rFonts w:hint="eastAsia" w:ascii="宋体" w:hAnsi="宋体" w:eastAsia="宋体" w:cs="宋体"/>
                <w:b w:val="0"/>
                <w:bCs w:val="0"/>
                <w:snapToGrid w:val="0"/>
                <w:color w:val="auto"/>
                <w:kern w:val="0"/>
                <w:sz w:val="24"/>
                <w:szCs w:val="24"/>
                <w:highlight w:val="none"/>
                <w:lang w:val="en-US" w:eastAsia="zh-CN" w:bidi="ar"/>
              </w:rPr>
            </w:pPr>
            <w:r>
              <w:rPr>
                <w:rFonts w:hint="eastAsia" w:ascii="宋体" w:hAnsi="宋体" w:eastAsia="宋体" w:cs="宋体"/>
                <w:b w:val="0"/>
                <w:bCs w:val="0"/>
                <w:snapToGrid w:val="0"/>
                <w:color w:val="auto"/>
                <w:kern w:val="0"/>
                <w:sz w:val="24"/>
                <w:szCs w:val="24"/>
                <w:highlight w:val="none"/>
                <w:lang w:val="en-US" w:eastAsia="zh-CN" w:bidi="ar"/>
              </w:rPr>
              <w:t>企业管理</w:t>
            </w:r>
          </w:p>
          <w:p w14:paraId="478C4F50">
            <w:pPr>
              <w:widowControl w:val="0"/>
              <w:wordWrap w:val="0"/>
              <w:adjustRightInd w:val="0"/>
              <w:snapToGrid w:val="0"/>
              <w:spacing w:after="0" w:afterLines="0" w:afterAutospacing="0" w:line="360" w:lineRule="auto"/>
              <w:jc w:val="center"/>
              <w:rPr>
                <w:rFonts w:hint="eastAsia" w:ascii="宋体" w:hAnsi="宋体" w:eastAsia="宋体" w:cs="宋体"/>
                <w:b w:val="0"/>
                <w:bCs w:val="0"/>
                <w:snapToGrid w:val="0"/>
                <w:color w:val="auto"/>
                <w:kern w:val="0"/>
                <w:sz w:val="24"/>
                <w:szCs w:val="24"/>
                <w:highlight w:val="none"/>
                <w:lang w:val="en-US" w:eastAsia="zh-CN" w:bidi="ar"/>
              </w:rPr>
            </w:pPr>
            <w:r>
              <w:rPr>
                <w:rFonts w:hint="eastAsia" w:ascii="宋体" w:hAnsi="宋体" w:eastAsia="宋体" w:cs="宋体"/>
                <w:b w:val="0"/>
                <w:bCs w:val="0"/>
                <w:snapToGrid w:val="0"/>
                <w:color w:val="auto"/>
                <w:kern w:val="0"/>
                <w:sz w:val="24"/>
                <w:szCs w:val="24"/>
                <w:highlight w:val="none"/>
                <w:lang w:val="en-US" w:eastAsia="zh-CN" w:bidi="ar"/>
              </w:rPr>
              <w:t>体系认证</w:t>
            </w:r>
          </w:p>
          <w:p w14:paraId="40CF94AD">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
              </w:rPr>
              <w:t>（6分）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3B96F0A7">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1．质量管理体系认证</w:t>
            </w:r>
            <w:r>
              <w:rPr>
                <w:rFonts w:hint="eastAsia" w:ascii="宋体" w:hAnsi="宋体" w:eastAsia="宋体" w:cs="宋体"/>
                <w:b w:val="0"/>
                <w:bCs w:val="0"/>
                <w:snapToGrid w:val="0"/>
                <w:color w:val="auto"/>
                <w:kern w:val="0"/>
                <w:sz w:val="24"/>
                <w:szCs w:val="24"/>
                <w:highlight w:val="none"/>
                <w:lang w:val="en-US" w:eastAsia="zh-CN" w:bidi="ar"/>
              </w:rPr>
              <w:t>、</w:t>
            </w:r>
            <w:r>
              <w:rPr>
                <w:rFonts w:hint="eastAsia" w:ascii="宋体" w:hAnsi="宋体" w:eastAsia="宋体" w:cs="宋体"/>
                <w:b w:val="0"/>
                <w:bCs w:val="0"/>
                <w:snapToGrid w:val="0"/>
                <w:color w:val="auto"/>
                <w:kern w:val="0"/>
                <w:sz w:val="24"/>
                <w:szCs w:val="24"/>
                <w:highlight w:val="none"/>
                <w:lang w:val="en-US" w:eastAsia="zh-CN" w:bidi="ar-SA"/>
              </w:rPr>
              <w:t>职业健康安全管理体系认证</w:t>
            </w:r>
            <w:r>
              <w:rPr>
                <w:rFonts w:hint="eastAsia" w:ascii="宋体" w:hAnsi="宋体" w:eastAsia="宋体" w:cs="宋体"/>
                <w:b w:val="0"/>
                <w:bCs w:val="0"/>
                <w:snapToGrid w:val="0"/>
                <w:color w:val="auto"/>
                <w:kern w:val="0"/>
                <w:sz w:val="24"/>
                <w:szCs w:val="24"/>
                <w:highlight w:val="none"/>
                <w:lang w:val="en-US" w:eastAsia="zh-CN" w:bidi="ar"/>
              </w:rPr>
              <w:t>、</w:t>
            </w:r>
            <w:r>
              <w:rPr>
                <w:rFonts w:hint="eastAsia" w:ascii="宋体" w:hAnsi="宋体" w:eastAsia="宋体" w:cs="宋体"/>
                <w:b w:val="0"/>
                <w:bCs w:val="0"/>
                <w:snapToGrid w:val="0"/>
                <w:color w:val="auto"/>
                <w:kern w:val="0"/>
                <w:sz w:val="24"/>
                <w:szCs w:val="24"/>
                <w:highlight w:val="none"/>
                <w:lang w:val="en-US" w:eastAsia="zh-CN" w:bidi="ar-SA"/>
              </w:rPr>
              <w:t>环境管理体系认证</w:t>
            </w:r>
            <w:r>
              <w:rPr>
                <w:rFonts w:hint="eastAsia" w:ascii="宋体" w:hAnsi="宋体" w:eastAsia="宋体" w:cs="宋体"/>
                <w:b w:val="0"/>
                <w:bCs w:val="0"/>
                <w:snapToGrid w:val="0"/>
                <w:color w:val="auto"/>
                <w:kern w:val="0"/>
                <w:sz w:val="24"/>
                <w:szCs w:val="24"/>
                <w:highlight w:val="none"/>
                <w:lang w:val="en-US" w:eastAsia="zh-CN" w:bidi="ar"/>
              </w:rPr>
              <w:t>中，每获得1项认证</w:t>
            </w:r>
            <w:r>
              <w:rPr>
                <w:rFonts w:hint="eastAsia" w:ascii="宋体" w:hAnsi="宋体" w:eastAsia="宋体" w:cs="宋体"/>
                <w:b w:val="0"/>
                <w:bCs w:val="0"/>
                <w:snapToGrid w:val="0"/>
                <w:color w:val="auto"/>
                <w:kern w:val="0"/>
                <w:sz w:val="24"/>
                <w:szCs w:val="24"/>
                <w:highlight w:val="none"/>
                <w:lang w:val="en-US" w:eastAsia="zh-CN" w:bidi="ar-SA"/>
              </w:rPr>
              <w:t>得2分，最高得6分。</w:t>
            </w:r>
          </w:p>
          <w:p w14:paraId="28085014">
            <w:pPr>
              <w:widowControl w:val="0"/>
              <w:wordWrap w:val="0"/>
              <w:adjustRightInd w:val="0"/>
              <w:snapToGrid w:val="0"/>
              <w:spacing w:after="0" w:afterLines="0" w:afterAutospacing="0" w:line="360" w:lineRule="auto"/>
              <w:jc w:val="both"/>
              <w:rPr>
                <w:rFonts w:hint="eastAsia" w:ascii="宋体" w:hAnsi="宋体" w:eastAsia="宋体" w:cs="宋体"/>
                <w:b w:val="0"/>
                <w:bCs w:val="0"/>
                <w:caps w:val="0"/>
                <w:smallCaps w:val="0"/>
                <w:snapToGrid w:val="0"/>
                <w:color w:val="auto"/>
                <w:spacing w:val="0"/>
                <w:kern w:val="0"/>
                <w:sz w:val="22"/>
                <w:szCs w:val="22"/>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2．未获得以上认证的，不予计分。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52657775">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1．需附在有效期内的认证证书扫描件及国家认证认可监督管理委员会官网（http：//www.cnca.gov.cn/）查询截图。</w:t>
            </w:r>
          </w:p>
          <w:p w14:paraId="6D214118">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2．任一认证证书有以下情形之一的，该认证证书视为无效，不予计分：</w:t>
            </w:r>
          </w:p>
          <w:p w14:paraId="21849169">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①认证证书不在有效期内的；</w:t>
            </w:r>
          </w:p>
          <w:p w14:paraId="0F8105FA">
            <w:pPr>
              <w:widowControl w:val="0"/>
              <w:wordWrap w:val="0"/>
              <w:adjustRightInd w:val="0"/>
              <w:snapToGrid w:val="0"/>
              <w:spacing w:after="0" w:afterLines="0" w:afterAutospacing="0" w:line="360" w:lineRule="auto"/>
              <w:jc w:val="both"/>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SA"/>
              </w:rPr>
              <w:t>②证书有效性在国家认证认可监督管理委员会官网（http：//www.cnca.gov.cn/）查询失效。</w:t>
            </w:r>
          </w:p>
        </w:tc>
      </w:tr>
      <w:tr w14:paraId="1876F594">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52234FED">
            <w:pPr>
              <w:keepNext w:val="0"/>
              <w:keepLines w:val="0"/>
              <w:pageBreakBefore w:val="0"/>
              <w:widowControl w:val="0"/>
              <w:kinsoku/>
              <w:wordWrap w:val="0"/>
              <w:overflowPunct/>
              <w:topLinePunct w:val="0"/>
              <w:autoSpaceDE/>
              <w:autoSpaceDN/>
              <w:bidi w:val="0"/>
              <w:adjustRightInd w:val="0"/>
              <w:snapToGrid w:val="0"/>
              <w:spacing w:before="0" w:beforeLines="0" w:after="0" w:afterLines="0" w:afterAutospacing="0" w:line="360" w:lineRule="auto"/>
              <w:ind w:left="0" w:leftChars="0" w:right="0" w:rightChars="0" w:firstLine="0" w:firstLineChars="0"/>
              <w:jc w:val="center"/>
              <w:textAlignment w:val="auto"/>
              <w:outlineLvl w:val="9"/>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企业</w:t>
            </w:r>
            <w:r>
              <w:rPr>
                <w:rFonts w:hint="eastAsia" w:ascii="宋体" w:hAnsi="宋体" w:eastAsia="宋体" w:cs="宋体"/>
                <w:b w:val="0"/>
                <w:bCs w:val="0"/>
                <w:snapToGrid w:val="0"/>
                <w:color w:val="auto"/>
                <w:kern w:val="0"/>
                <w:sz w:val="24"/>
                <w:szCs w:val="24"/>
                <w:highlight w:val="none"/>
                <w:lang w:val="en-US" w:eastAsia="zh-CN" w:bidi="ar-SA"/>
              </w:rPr>
              <w:t>信用</w:t>
            </w:r>
          </w:p>
          <w:p w14:paraId="50A4E475">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b w:val="0"/>
                <w:bCs w:val="0"/>
                <w:i w:val="0"/>
                <w:color w:val="auto"/>
                <w:kern w:val="0"/>
                <w:sz w:val="24"/>
                <w:szCs w:val="24"/>
                <w:highlight w:val="none"/>
                <w:u w:val="none"/>
                <w:lang w:val="en-US" w:eastAsia="zh-CN" w:bidi="ar"/>
              </w:rPr>
              <w:t>（9分）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41F571AF">
            <w:pPr>
              <w:widowControl w:val="0"/>
              <w:wordWrap w:val="0"/>
              <w:adjustRightInd w:val="0"/>
              <w:snapToGrid w:val="0"/>
              <w:spacing w:after="0" w:afterLines="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b w:val="0"/>
                <w:bCs w:val="0"/>
                <w:snapToGrid w:val="0"/>
                <w:color w:val="auto"/>
                <w:kern w:val="0"/>
                <w:sz w:val="24"/>
                <w:szCs w:val="24"/>
                <w:highlight w:val="none"/>
                <w:lang w:val="en-US" w:eastAsia="zh-CN" w:bidi="ar-SA"/>
              </w:rPr>
              <w:t>1.企业2024年度获得省级</w:t>
            </w:r>
            <w:r>
              <w:rPr>
                <w:rFonts w:hint="eastAsia" w:ascii="宋体" w:hAnsi="宋体" w:eastAsia="宋体" w:cs="宋体"/>
                <w:b w:val="0"/>
                <w:bCs w:val="0"/>
                <w:color w:val="auto"/>
                <w:sz w:val="24"/>
                <w:szCs w:val="24"/>
                <w:highlight w:val="none"/>
                <w:lang w:val="en-US" w:eastAsia="zh-CN"/>
              </w:rPr>
              <w:t>或以上市场协会颁发的“广东省诚信经营企业”称号的，得9分。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40416458">
            <w:pPr>
              <w:keepNext w:val="0"/>
              <w:keepLines w:val="0"/>
              <w:pageBreakBefore w:val="0"/>
              <w:widowControl w:val="0"/>
              <w:wordWrap w:val="0"/>
              <w:overflowPunct/>
              <w:topLinePunct w:val="0"/>
              <w:bidi w:val="0"/>
              <w:adjustRightInd w:val="0"/>
              <w:snapToGrid w:val="0"/>
              <w:spacing w:after="0" w:afterLines="0" w:afterAutospacing="0" w:line="360" w:lineRule="auto"/>
              <w:jc w:val="both"/>
              <w:rPr>
                <w:rFonts w:hint="eastAsia" w:ascii="宋体" w:hAnsi="宋体" w:eastAsia="宋体" w:cs="宋体"/>
                <w:b w:val="0"/>
                <w:bCs w:val="0"/>
                <w:color w:val="auto"/>
                <w:kern w:val="0"/>
                <w:sz w:val="24"/>
                <w:szCs w:val="24"/>
                <w:highlight w:val="none"/>
                <w:lang w:val="en-US" w:eastAsia="zh-CN" w:bidi="ar-SA"/>
              </w:rPr>
            </w:pPr>
            <w:r>
              <w:rPr>
                <w:rFonts w:hint="eastAsia" w:ascii="宋体" w:hAnsi="宋体" w:eastAsia="宋体" w:cs="宋体"/>
                <w:b w:val="0"/>
                <w:bCs w:val="0"/>
                <w:color w:val="auto"/>
                <w:kern w:val="0"/>
                <w:sz w:val="24"/>
                <w:szCs w:val="24"/>
                <w:highlight w:val="none"/>
                <w:lang w:val="en-US" w:eastAsia="zh-CN" w:bidi="ar-SA"/>
              </w:rPr>
              <w:t>1.证书由省级或以上市场协会颁发，须提供有关证书彩色扫描件</w:t>
            </w:r>
            <w:r>
              <w:rPr>
                <w:rFonts w:hint="eastAsia" w:ascii="宋体" w:hAnsi="宋体" w:eastAsia="宋体" w:cs="宋体"/>
                <w:b w:val="0"/>
                <w:bCs w:val="0"/>
                <w:snapToGrid w:val="0"/>
                <w:color w:val="auto"/>
                <w:kern w:val="0"/>
                <w:sz w:val="24"/>
                <w:szCs w:val="24"/>
                <w:highlight w:val="none"/>
                <w:lang w:val="en-US" w:eastAsia="zh-CN" w:bidi="ar-SA"/>
              </w:rPr>
              <w:t>（相关协会需经民政部门备案，须提供备案截图，否则不得分）；</w:t>
            </w:r>
          </w:p>
          <w:p w14:paraId="1F540B49">
            <w:pPr>
              <w:widowControl w:val="0"/>
              <w:wordWrap w:val="0"/>
              <w:adjustRightInd w:val="0"/>
              <w:snapToGrid w:val="0"/>
              <w:spacing w:after="0" w:afterLines="0" w:afterAutospacing="0" w:line="360" w:lineRule="auto"/>
              <w:jc w:val="both"/>
              <w:rPr>
                <w:rFonts w:hint="eastAsia" w:ascii="宋体" w:hAnsi="宋体" w:eastAsia="宋体" w:cs="宋体"/>
                <w:color w:val="auto"/>
                <w:sz w:val="24"/>
                <w:szCs w:val="24"/>
                <w:highlight w:val="none"/>
              </w:rPr>
            </w:pPr>
            <w:r>
              <w:rPr>
                <w:rFonts w:hint="eastAsia" w:ascii="宋体" w:hAnsi="宋体" w:eastAsia="宋体" w:cs="宋体"/>
                <w:b w:val="0"/>
                <w:bCs w:val="0"/>
                <w:snapToGrid w:val="0"/>
                <w:color w:val="auto"/>
                <w:kern w:val="0"/>
                <w:sz w:val="24"/>
                <w:szCs w:val="24"/>
                <w:highlight w:val="none"/>
                <w:lang w:val="en-US" w:eastAsia="zh-CN" w:bidi="ar-SA"/>
              </w:rPr>
              <w:t>2.颁发机构不符合要求的，不予得分。</w:t>
            </w:r>
          </w:p>
        </w:tc>
      </w:tr>
      <w:tr w14:paraId="5478A7D2">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59C1668">
            <w:pPr>
              <w:widowControl w:val="0"/>
              <w:wordWrap w:val="0"/>
              <w:adjustRightInd w:val="0"/>
              <w:snapToGrid w:val="0"/>
              <w:spacing w:after="0" w:afterLines="0" w:afterAutospacing="0" w:line="360" w:lineRule="auto"/>
              <w:jc w:val="center"/>
              <w:rPr>
                <w:rFonts w:hint="eastAsia" w:ascii="宋体" w:hAnsi="宋体" w:eastAsia="宋体" w:cs="宋体"/>
                <w:b w:val="0"/>
                <w:bCs w:val="0"/>
                <w:strike/>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rPr>
              <w:t>企业授信状况</w:t>
            </w:r>
          </w:p>
          <w:p w14:paraId="092C6300">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
              </w:rPr>
              <w:t>（10分）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69B2AFC5">
            <w:pPr>
              <w:widowControl w:val="0"/>
              <w:wordWrap w:val="0"/>
              <w:adjustRightInd w:val="0"/>
              <w:snapToGrid w:val="0"/>
              <w:spacing w:line="360" w:lineRule="auto"/>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1．提供不少于</w:t>
            </w:r>
            <w:r>
              <w:rPr>
                <w:rFonts w:hint="eastAsia" w:ascii="宋体" w:hAnsi="宋体" w:eastAsia="宋体" w:cs="宋体"/>
                <w:b w:val="0"/>
                <w:bCs w:val="0"/>
                <w:snapToGrid w:val="0"/>
                <w:color w:val="auto"/>
                <w:kern w:val="0"/>
                <w:sz w:val="24"/>
                <w:szCs w:val="24"/>
                <w:highlight w:val="none"/>
                <w:u w:val="single"/>
                <w:lang w:val="en-US" w:eastAsia="zh-CN"/>
              </w:rPr>
              <w:t xml:space="preserve"> 500 </w:t>
            </w:r>
            <w:r>
              <w:rPr>
                <w:rFonts w:hint="eastAsia" w:ascii="宋体" w:hAnsi="宋体" w:eastAsia="宋体" w:cs="宋体"/>
                <w:b w:val="0"/>
                <w:bCs w:val="0"/>
                <w:snapToGrid w:val="0"/>
                <w:color w:val="auto"/>
                <w:kern w:val="0"/>
                <w:sz w:val="24"/>
                <w:szCs w:val="24"/>
                <w:highlight w:val="none"/>
              </w:rPr>
              <w:t>万元以上（含</w:t>
            </w:r>
            <w:r>
              <w:rPr>
                <w:rFonts w:hint="eastAsia" w:ascii="宋体" w:hAnsi="宋体" w:eastAsia="宋体" w:cs="宋体"/>
                <w:b w:val="0"/>
                <w:bCs w:val="0"/>
                <w:snapToGrid w:val="0"/>
                <w:color w:val="auto"/>
                <w:kern w:val="0"/>
                <w:sz w:val="24"/>
                <w:szCs w:val="24"/>
                <w:highlight w:val="none"/>
                <w:lang w:val="en-US" w:eastAsia="zh-CN"/>
              </w:rPr>
              <w:t>500</w:t>
            </w:r>
            <w:r>
              <w:rPr>
                <w:rFonts w:hint="eastAsia" w:ascii="宋体" w:hAnsi="宋体" w:eastAsia="宋体" w:cs="宋体"/>
                <w:b w:val="0"/>
                <w:bCs w:val="0"/>
                <w:snapToGrid w:val="0"/>
                <w:color w:val="auto"/>
                <w:kern w:val="0"/>
                <w:sz w:val="24"/>
                <w:szCs w:val="24"/>
                <w:highlight w:val="none"/>
              </w:rPr>
              <w:t>万元）银行授信证明的，得</w:t>
            </w:r>
            <w:r>
              <w:rPr>
                <w:rFonts w:hint="eastAsia" w:ascii="宋体" w:hAnsi="宋体" w:eastAsia="宋体" w:cs="宋体"/>
                <w:b w:val="0"/>
                <w:bCs w:val="0"/>
                <w:snapToGrid w:val="0"/>
                <w:color w:val="auto"/>
                <w:kern w:val="0"/>
                <w:sz w:val="24"/>
                <w:szCs w:val="24"/>
                <w:highlight w:val="none"/>
                <w:lang w:val="en-US" w:eastAsia="zh-CN"/>
              </w:rPr>
              <w:t>10</w:t>
            </w:r>
            <w:r>
              <w:rPr>
                <w:rFonts w:hint="eastAsia" w:ascii="宋体" w:hAnsi="宋体" w:eastAsia="宋体" w:cs="宋体"/>
                <w:b w:val="0"/>
                <w:bCs w:val="0"/>
                <w:snapToGrid w:val="0"/>
                <w:color w:val="auto"/>
                <w:kern w:val="0"/>
                <w:sz w:val="24"/>
                <w:szCs w:val="24"/>
                <w:highlight w:val="none"/>
              </w:rPr>
              <w:t>分；</w:t>
            </w:r>
          </w:p>
          <w:p w14:paraId="697D6DED">
            <w:pPr>
              <w:widowControl w:val="0"/>
              <w:wordWrap w:val="0"/>
              <w:adjustRightInd w:val="0"/>
              <w:snapToGrid w:val="0"/>
              <w:spacing w:line="360" w:lineRule="auto"/>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2．提供不少于</w:t>
            </w:r>
            <w:r>
              <w:rPr>
                <w:rFonts w:hint="eastAsia" w:ascii="宋体" w:hAnsi="宋体" w:eastAsia="宋体" w:cs="宋体"/>
                <w:b w:val="0"/>
                <w:bCs w:val="0"/>
                <w:snapToGrid w:val="0"/>
                <w:color w:val="auto"/>
                <w:kern w:val="0"/>
                <w:sz w:val="24"/>
                <w:szCs w:val="24"/>
                <w:highlight w:val="none"/>
                <w:u w:val="single"/>
                <w:lang w:val="en-US" w:eastAsia="zh-CN"/>
              </w:rPr>
              <w:t xml:space="preserve"> 300 </w:t>
            </w:r>
            <w:r>
              <w:rPr>
                <w:rFonts w:hint="eastAsia" w:ascii="宋体" w:hAnsi="宋体" w:eastAsia="宋体" w:cs="宋体"/>
                <w:b w:val="0"/>
                <w:bCs w:val="0"/>
                <w:snapToGrid w:val="0"/>
                <w:color w:val="auto"/>
                <w:kern w:val="0"/>
                <w:sz w:val="24"/>
                <w:szCs w:val="24"/>
                <w:highlight w:val="none"/>
              </w:rPr>
              <w:t>万元（含</w:t>
            </w:r>
            <w:r>
              <w:rPr>
                <w:rFonts w:hint="eastAsia" w:ascii="宋体" w:hAnsi="宋体" w:eastAsia="宋体" w:cs="宋体"/>
                <w:b w:val="0"/>
                <w:bCs w:val="0"/>
                <w:snapToGrid w:val="0"/>
                <w:color w:val="auto"/>
                <w:kern w:val="0"/>
                <w:sz w:val="24"/>
                <w:szCs w:val="24"/>
                <w:highlight w:val="none"/>
                <w:u w:val="single"/>
                <w:lang w:val="en-US" w:eastAsia="zh-CN"/>
              </w:rPr>
              <w:t xml:space="preserve"> 300 </w:t>
            </w:r>
            <w:r>
              <w:rPr>
                <w:rFonts w:hint="eastAsia" w:ascii="宋体" w:hAnsi="宋体" w:eastAsia="宋体" w:cs="宋体"/>
                <w:b w:val="0"/>
                <w:bCs w:val="0"/>
                <w:snapToGrid w:val="0"/>
                <w:color w:val="auto"/>
                <w:kern w:val="0"/>
                <w:sz w:val="24"/>
                <w:szCs w:val="24"/>
                <w:highlight w:val="none"/>
              </w:rPr>
              <w:t>万元）至</w:t>
            </w:r>
            <w:r>
              <w:rPr>
                <w:rFonts w:hint="eastAsia" w:ascii="宋体" w:hAnsi="宋体" w:eastAsia="宋体" w:cs="宋体"/>
                <w:b w:val="0"/>
                <w:bCs w:val="0"/>
                <w:snapToGrid w:val="0"/>
                <w:color w:val="auto"/>
                <w:kern w:val="0"/>
                <w:sz w:val="24"/>
                <w:szCs w:val="24"/>
                <w:highlight w:val="none"/>
                <w:u w:val="single"/>
                <w:lang w:val="en-US" w:eastAsia="zh-CN"/>
              </w:rPr>
              <w:t xml:space="preserve"> 500 </w:t>
            </w:r>
            <w:r>
              <w:rPr>
                <w:rFonts w:hint="eastAsia" w:ascii="宋体" w:hAnsi="宋体" w:eastAsia="宋体" w:cs="宋体"/>
                <w:b w:val="0"/>
                <w:bCs w:val="0"/>
                <w:snapToGrid w:val="0"/>
                <w:color w:val="auto"/>
                <w:kern w:val="0"/>
                <w:sz w:val="24"/>
                <w:szCs w:val="24"/>
                <w:highlight w:val="none"/>
              </w:rPr>
              <w:t>万元</w:t>
            </w:r>
            <w:r>
              <w:rPr>
                <w:rFonts w:hint="eastAsia" w:ascii="宋体" w:hAnsi="宋体" w:eastAsia="宋体" w:cs="宋体"/>
                <w:b w:val="0"/>
                <w:bCs w:val="0"/>
                <w:snapToGrid w:val="0"/>
                <w:color w:val="auto"/>
                <w:kern w:val="0"/>
                <w:sz w:val="24"/>
                <w:szCs w:val="24"/>
                <w:highlight w:val="none"/>
                <w:lang w:eastAsia="zh-CN"/>
              </w:rPr>
              <w:t>（</w:t>
            </w:r>
            <w:r>
              <w:rPr>
                <w:rFonts w:hint="eastAsia" w:ascii="宋体" w:hAnsi="宋体" w:eastAsia="宋体" w:cs="宋体"/>
                <w:b w:val="0"/>
                <w:bCs w:val="0"/>
                <w:snapToGrid w:val="0"/>
                <w:color w:val="auto"/>
                <w:kern w:val="0"/>
                <w:sz w:val="24"/>
                <w:szCs w:val="24"/>
                <w:highlight w:val="none"/>
                <w:lang w:val="en-US" w:eastAsia="zh-CN"/>
              </w:rPr>
              <w:t>不含500万元</w:t>
            </w:r>
            <w:r>
              <w:rPr>
                <w:rFonts w:hint="eastAsia" w:ascii="宋体" w:hAnsi="宋体" w:eastAsia="宋体" w:cs="宋体"/>
                <w:b w:val="0"/>
                <w:bCs w:val="0"/>
                <w:snapToGrid w:val="0"/>
                <w:color w:val="auto"/>
                <w:kern w:val="0"/>
                <w:sz w:val="24"/>
                <w:szCs w:val="24"/>
                <w:highlight w:val="none"/>
                <w:lang w:eastAsia="zh-CN"/>
              </w:rPr>
              <w:t>）</w:t>
            </w:r>
            <w:r>
              <w:rPr>
                <w:rFonts w:hint="eastAsia" w:ascii="宋体" w:hAnsi="宋体" w:eastAsia="宋体" w:cs="宋体"/>
                <w:b w:val="0"/>
                <w:bCs w:val="0"/>
                <w:snapToGrid w:val="0"/>
                <w:color w:val="auto"/>
                <w:kern w:val="0"/>
                <w:sz w:val="24"/>
                <w:szCs w:val="24"/>
                <w:highlight w:val="none"/>
              </w:rPr>
              <w:t>银行授信证明的，得</w:t>
            </w:r>
            <w:r>
              <w:rPr>
                <w:rFonts w:hint="eastAsia" w:ascii="宋体" w:hAnsi="宋体" w:eastAsia="宋体" w:cs="宋体"/>
                <w:b w:val="0"/>
                <w:bCs w:val="0"/>
                <w:snapToGrid w:val="0"/>
                <w:color w:val="auto"/>
                <w:kern w:val="0"/>
                <w:sz w:val="24"/>
                <w:szCs w:val="24"/>
                <w:highlight w:val="none"/>
                <w:lang w:val="en-US" w:eastAsia="zh-CN"/>
              </w:rPr>
              <w:t>5</w:t>
            </w:r>
            <w:r>
              <w:rPr>
                <w:rFonts w:hint="eastAsia" w:ascii="宋体" w:hAnsi="宋体" w:eastAsia="宋体" w:cs="宋体"/>
                <w:b w:val="0"/>
                <w:bCs w:val="0"/>
                <w:snapToGrid w:val="0"/>
                <w:color w:val="auto"/>
                <w:kern w:val="0"/>
                <w:sz w:val="24"/>
                <w:szCs w:val="24"/>
                <w:highlight w:val="none"/>
              </w:rPr>
              <w:t>分；</w:t>
            </w:r>
          </w:p>
          <w:p w14:paraId="2757E20E">
            <w:pPr>
              <w:widowControl w:val="0"/>
              <w:wordWrap w:val="0"/>
              <w:adjustRightInd w:val="0"/>
              <w:snapToGrid w:val="0"/>
              <w:spacing w:line="360" w:lineRule="auto"/>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3.提供</w:t>
            </w:r>
            <w:r>
              <w:rPr>
                <w:rFonts w:hint="eastAsia" w:ascii="宋体" w:hAnsi="宋体" w:eastAsia="宋体" w:cs="宋体"/>
                <w:b w:val="0"/>
                <w:bCs w:val="0"/>
                <w:snapToGrid w:val="0"/>
                <w:color w:val="auto"/>
                <w:kern w:val="0"/>
                <w:sz w:val="24"/>
                <w:szCs w:val="24"/>
                <w:highlight w:val="none"/>
                <w:u w:val="single"/>
                <w:lang w:val="en-US" w:eastAsia="zh-CN"/>
              </w:rPr>
              <w:t xml:space="preserve"> 300 </w:t>
            </w:r>
            <w:r>
              <w:rPr>
                <w:rFonts w:hint="eastAsia" w:ascii="宋体" w:hAnsi="宋体" w:eastAsia="宋体" w:cs="宋体"/>
                <w:b w:val="0"/>
                <w:bCs w:val="0"/>
                <w:snapToGrid w:val="0"/>
                <w:color w:val="auto"/>
                <w:kern w:val="0"/>
                <w:sz w:val="24"/>
                <w:szCs w:val="24"/>
                <w:highlight w:val="none"/>
              </w:rPr>
              <w:t>万元以下的银行授信证明，不得分；</w:t>
            </w:r>
          </w:p>
          <w:p w14:paraId="7323B1B2">
            <w:pPr>
              <w:widowControl w:val="0"/>
              <w:wordWrap w:val="0"/>
              <w:adjustRightInd w:val="0"/>
              <w:snapToGrid w:val="0"/>
              <w:spacing w:line="360" w:lineRule="auto"/>
              <w:jc w:val="left"/>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4.未提供以上证明的，或证明材料无效的，不得分。</w:t>
            </w:r>
          </w:p>
          <w:p w14:paraId="6E3A6A52">
            <w:pPr>
              <w:widowControl w:val="0"/>
              <w:wordWrap w:val="0"/>
              <w:adjustRightInd w:val="0"/>
              <w:snapToGrid w:val="0"/>
              <w:spacing w:line="360" w:lineRule="auto"/>
              <w:jc w:val="left"/>
              <w:rPr>
                <w:rFonts w:hint="eastAsia" w:ascii="宋体" w:hAnsi="宋体" w:eastAsia="宋体" w:cs="宋体"/>
                <w:color w:val="auto"/>
                <w:sz w:val="22"/>
                <w:szCs w:val="22"/>
                <w:highlight w:val="none"/>
              </w:rPr>
            </w:pPr>
            <w:r>
              <w:rPr>
                <w:rFonts w:hint="eastAsia" w:ascii="宋体" w:hAnsi="宋体" w:eastAsia="宋体" w:cs="宋体"/>
                <w:b w:val="0"/>
                <w:bCs w:val="0"/>
                <w:snapToGrid w:val="0"/>
                <w:color w:val="auto"/>
                <w:kern w:val="0"/>
                <w:sz w:val="24"/>
                <w:szCs w:val="24"/>
                <w:highlight w:val="none"/>
              </w:rPr>
              <w:t>说明：本项最高可得</w:t>
            </w:r>
            <w:r>
              <w:rPr>
                <w:rFonts w:hint="eastAsia" w:ascii="宋体" w:hAnsi="宋体" w:eastAsia="宋体" w:cs="宋体"/>
                <w:b w:val="0"/>
                <w:bCs w:val="0"/>
                <w:snapToGrid w:val="0"/>
                <w:color w:val="auto"/>
                <w:kern w:val="0"/>
                <w:sz w:val="24"/>
                <w:szCs w:val="24"/>
                <w:highlight w:val="none"/>
                <w:lang w:val="en-US" w:eastAsia="zh-CN"/>
              </w:rPr>
              <w:t>10</w:t>
            </w:r>
            <w:r>
              <w:rPr>
                <w:rFonts w:hint="eastAsia" w:ascii="宋体" w:hAnsi="宋体" w:eastAsia="宋体" w:cs="宋体"/>
                <w:b w:val="0"/>
                <w:bCs w:val="0"/>
                <w:snapToGrid w:val="0"/>
                <w:color w:val="auto"/>
                <w:kern w:val="0"/>
                <w:sz w:val="24"/>
                <w:szCs w:val="24"/>
                <w:highlight w:val="none"/>
              </w:rPr>
              <w:t>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03BEEAD9">
            <w:pPr>
              <w:widowControl w:val="0"/>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1．需附在有效期内的有关证明彩色扫描件（或打印件）。</w:t>
            </w:r>
          </w:p>
          <w:p w14:paraId="03193F1D">
            <w:pPr>
              <w:widowControl w:val="0"/>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2．银行授信证明有以下情形之一的，视为无效：</w:t>
            </w:r>
          </w:p>
          <w:p w14:paraId="2007D093">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rPr>
              <w:t>①</w:t>
            </w:r>
            <w:r>
              <w:rPr>
                <w:rFonts w:hint="eastAsia" w:ascii="宋体" w:hAnsi="宋体" w:eastAsia="宋体" w:cs="宋体"/>
                <w:b w:val="0"/>
                <w:bCs w:val="0"/>
                <w:snapToGrid w:val="0"/>
                <w:color w:val="auto"/>
                <w:kern w:val="0"/>
                <w:sz w:val="24"/>
                <w:szCs w:val="24"/>
                <w:highlight w:val="none"/>
                <w:lang w:val="en-US" w:eastAsia="zh-CN"/>
              </w:rPr>
              <w:t>授信证明不是由企业基本账户开户银行出具的；</w:t>
            </w:r>
          </w:p>
          <w:p w14:paraId="140FF75D">
            <w:pPr>
              <w:wordWrap w:val="0"/>
              <w:adjustRightInd w:val="0"/>
              <w:snapToGrid w:val="0"/>
              <w:spacing w:line="360" w:lineRule="auto"/>
              <w:rPr>
                <w:rFonts w:hint="eastAsia" w:ascii="宋体" w:hAnsi="宋体" w:eastAsia="宋体" w:cs="宋体"/>
                <w:b w:val="0"/>
                <w:bCs w:val="0"/>
                <w:snapToGrid w:val="0"/>
                <w:color w:val="auto"/>
                <w:kern w:val="0"/>
                <w:sz w:val="24"/>
                <w:szCs w:val="24"/>
                <w:highlight w:val="none"/>
              </w:rPr>
            </w:pPr>
            <w:r>
              <w:rPr>
                <w:rFonts w:hint="eastAsia" w:ascii="宋体" w:hAnsi="宋体" w:eastAsia="宋体" w:cs="宋体"/>
                <w:b w:val="0"/>
                <w:bCs w:val="0"/>
                <w:snapToGrid w:val="0"/>
                <w:color w:val="auto"/>
                <w:kern w:val="0"/>
                <w:sz w:val="24"/>
                <w:szCs w:val="24"/>
                <w:highlight w:val="none"/>
              </w:rPr>
              <w:t>②授信证明不在有效期内的；</w:t>
            </w:r>
          </w:p>
          <w:p w14:paraId="1103D825">
            <w:pPr>
              <w:bidi w:val="0"/>
              <w:spacing w:line="360" w:lineRule="auto"/>
              <w:rPr>
                <w:rFonts w:hint="eastAsia" w:ascii="宋体" w:hAnsi="宋体" w:eastAsia="宋体" w:cs="宋体"/>
                <w:i/>
                <w:iCs/>
                <w:snapToGrid w:val="0"/>
                <w:color w:val="auto"/>
                <w:kern w:val="0"/>
                <w:sz w:val="22"/>
                <w:szCs w:val="22"/>
                <w:highlight w:val="none"/>
              </w:rPr>
            </w:pPr>
            <w:r>
              <w:rPr>
                <w:rFonts w:hint="eastAsia" w:ascii="宋体" w:hAnsi="宋体" w:eastAsia="宋体" w:cs="宋体"/>
                <w:color w:val="auto"/>
                <w:sz w:val="24"/>
                <w:szCs w:val="24"/>
                <w:highlight w:val="none"/>
              </w:rPr>
              <w:t>③授信额度不符合要求的</w:t>
            </w:r>
            <w:r>
              <w:rPr>
                <w:rFonts w:hint="eastAsia" w:ascii="宋体" w:hAnsi="宋体" w:eastAsia="宋体" w:cs="宋体"/>
                <w:color w:val="auto"/>
                <w:sz w:val="24"/>
                <w:szCs w:val="24"/>
                <w:highlight w:val="none"/>
                <w:lang w:eastAsia="zh-CN"/>
              </w:rPr>
              <w:t>。</w:t>
            </w:r>
          </w:p>
        </w:tc>
      </w:tr>
      <w:tr w14:paraId="01BD465F">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51DBC6E">
            <w:pPr>
              <w:widowControl w:val="0"/>
              <w:wordWrap w:val="0"/>
              <w:adjustRightInd w:val="0"/>
              <w:snapToGrid w:val="0"/>
              <w:spacing w:after="0" w:afterLines="0" w:afterAutospacing="0" w:line="360" w:lineRule="auto"/>
              <w:jc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企业创新</w:t>
            </w:r>
          </w:p>
          <w:p w14:paraId="513FB4C9">
            <w:pPr>
              <w:widowControl w:val="0"/>
              <w:wordWrap w:val="0"/>
              <w:adjustRightInd w:val="0"/>
              <w:snapToGrid w:val="0"/>
              <w:spacing w:after="0" w:afterLines="0" w:afterAutospacing="0" w:line="360" w:lineRule="auto"/>
              <w:jc w:val="center"/>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u w:val="none"/>
                <w:lang w:val="en-US" w:eastAsia="zh-CN" w:bidi="ar"/>
              </w:rPr>
              <w:t>能力</w:t>
            </w:r>
          </w:p>
          <w:p w14:paraId="28E9FACD">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i w:val="0"/>
                <w:color w:val="auto"/>
                <w:kern w:val="0"/>
                <w:sz w:val="24"/>
                <w:szCs w:val="24"/>
                <w:highlight w:val="none"/>
                <w:u w:val="none"/>
                <w:lang w:val="en-US" w:eastAsia="zh-CN" w:bidi="ar"/>
              </w:rPr>
              <w:t>（10分）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7AAB0B4A">
            <w:pPr>
              <w:pStyle w:val="59"/>
              <w:keepNext w:val="0"/>
              <w:keepLines w:val="0"/>
              <w:pageBreakBefore w:val="0"/>
              <w:widowControl/>
              <w:numPr>
                <w:ilvl w:val="0"/>
                <w:numId w:val="0"/>
              </w:numPr>
              <w:kinsoku/>
              <w:wordWrap w:val="0"/>
              <w:overflowPunct/>
              <w:topLinePunct w:val="0"/>
              <w:autoSpaceDE/>
              <w:autoSpaceDN/>
              <w:bidi w:val="0"/>
              <w:adjustRightInd w:val="0"/>
              <w:snapToGrid w:val="0"/>
              <w:spacing w:line="360" w:lineRule="auto"/>
              <w:jc w:val="left"/>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lang w:val="en-US" w:eastAsia="zh-CN" w:bidi="ar"/>
              </w:rPr>
              <w:t>1.</w:t>
            </w:r>
            <w:r>
              <w:rPr>
                <w:rFonts w:hint="eastAsia" w:ascii="宋体" w:hAnsi="宋体" w:eastAsia="宋体" w:cs="宋体"/>
                <w:b w:val="0"/>
                <w:bCs w:val="0"/>
                <w:i w:val="0"/>
                <w:color w:val="auto"/>
                <w:kern w:val="0"/>
                <w:sz w:val="24"/>
                <w:szCs w:val="24"/>
                <w:highlight w:val="none"/>
                <w:u w:val="none"/>
                <w:lang w:val="en-US" w:eastAsia="zh-CN" w:bidi="ar"/>
              </w:rPr>
              <w:t>2024年1月1日至今企业获得过省级或以上“高新技术企业”的，并在有效期内的得10分。</w:t>
            </w:r>
          </w:p>
          <w:p w14:paraId="1D76B879">
            <w:pPr>
              <w:pStyle w:val="59"/>
              <w:keepNext w:val="0"/>
              <w:keepLines w:val="0"/>
              <w:pageBreakBefore w:val="0"/>
              <w:widowControl/>
              <w:numPr>
                <w:ilvl w:val="0"/>
                <w:numId w:val="0"/>
              </w:numPr>
              <w:kinsoku/>
              <w:wordWrap w:val="0"/>
              <w:overflowPunct/>
              <w:topLinePunct w:val="0"/>
              <w:autoSpaceDE/>
              <w:autoSpaceDN/>
              <w:bidi w:val="0"/>
              <w:adjustRightInd w:val="0"/>
              <w:snapToGrid w:val="0"/>
              <w:spacing w:line="360" w:lineRule="auto"/>
              <w:jc w:val="left"/>
              <w:rPr>
                <w:rFonts w:hint="eastAsia" w:ascii="宋体" w:hAnsi="宋体" w:eastAsia="宋体" w:cs="宋体"/>
                <w:b w:val="0"/>
                <w:bCs w:val="0"/>
                <w:i w:val="0"/>
                <w:color w:val="auto"/>
                <w:kern w:val="0"/>
                <w:sz w:val="24"/>
                <w:szCs w:val="24"/>
                <w:highlight w:val="none"/>
                <w:u w:val="none"/>
                <w:lang w:val="en-US" w:eastAsia="zh-CN" w:bidi="ar"/>
              </w:rPr>
            </w:pPr>
            <w:r>
              <w:rPr>
                <w:rFonts w:hint="eastAsia" w:ascii="宋体" w:hAnsi="宋体" w:eastAsia="宋体" w:cs="宋体"/>
                <w:b w:val="0"/>
                <w:bCs w:val="0"/>
                <w:i w:val="0"/>
                <w:color w:val="auto"/>
                <w:kern w:val="0"/>
                <w:sz w:val="24"/>
                <w:szCs w:val="24"/>
                <w:highlight w:val="none"/>
                <w:lang w:val="en-US" w:eastAsia="zh-CN" w:bidi="ar"/>
              </w:rPr>
              <w:t>2.</w:t>
            </w:r>
            <w:r>
              <w:rPr>
                <w:rFonts w:hint="eastAsia" w:ascii="宋体" w:hAnsi="宋体" w:eastAsia="宋体" w:cs="宋体"/>
                <w:b w:val="0"/>
                <w:bCs w:val="0"/>
                <w:i w:val="0"/>
                <w:color w:val="auto"/>
                <w:kern w:val="0"/>
                <w:sz w:val="24"/>
                <w:szCs w:val="24"/>
                <w:highlight w:val="none"/>
                <w:u w:val="none"/>
                <w:lang w:val="en-US" w:eastAsia="zh-CN" w:bidi="ar"/>
              </w:rPr>
              <w:t>其他不得分。</w:t>
            </w:r>
          </w:p>
          <w:p w14:paraId="502CC83C">
            <w:pPr>
              <w:pStyle w:val="59"/>
              <w:keepNext w:val="0"/>
              <w:keepLines w:val="0"/>
              <w:pageBreakBefore w:val="0"/>
              <w:widowControl/>
              <w:numPr>
                <w:ilvl w:val="0"/>
                <w:numId w:val="0"/>
              </w:numPr>
              <w:kinsoku/>
              <w:wordWrap w:val="0"/>
              <w:overflowPunct/>
              <w:topLinePunct w:val="0"/>
              <w:autoSpaceDE/>
              <w:autoSpaceDN/>
              <w:bidi w:val="0"/>
              <w:adjustRightInd w:val="0"/>
              <w:snapToGrid w:val="0"/>
              <w:spacing w:line="360" w:lineRule="auto"/>
              <w:ind w:left="0" w:leftChars="0" w:firstLine="0" w:firstLineChars="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val="0"/>
                <w:bCs w:val="0"/>
                <w:snapToGrid w:val="0"/>
                <w:color w:val="auto"/>
                <w:kern w:val="0"/>
                <w:sz w:val="24"/>
                <w:szCs w:val="24"/>
                <w:highlight w:val="none"/>
              </w:rPr>
              <w:t>说明：</w:t>
            </w:r>
            <w:r>
              <w:rPr>
                <w:rFonts w:hint="eastAsia" w:ascii="宋体" w:hAnsi="宋体" w:eastAsia="宋体" w:cs="宋体"/>
                <w:b w:val="0"/>
                <w:bCs w:val="0"/>
                <w:i w:val="0"/>
                <w:color w:val="auto"/>
                <w:kern w:val="0"/>
                <w:sz w:val="24"/>
                <w:szCs w:val="24"/>
                <w:highlight w:val="none"/>
                <w:u w:val="none"/>
                <w:lang w:val="en-US" w:eastAsia="zh-CN" w:bidi="ar"/>
              </w:rPr>
              <w:t>本项最高得10分。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3D190AE1">
            <w:pPr>
              <w:pStyle w:val="11"/>
              <w:keepNext w:val="0"/>
              <w:keepLines w:val="0"/>
              <w:pageBreakBefore w:val="0"/>
              <w:widowControl/>
              <w:kinsoku/>
              <w:wordWrap w:val="0"/>
              <w:overflowPunct/>
              <w:topLinePunct w:val="0"/>
              <w:autoSpaceDE/>
              <w:autoSpaceDN/>
              <w:bidi w:val="0"/>
              <w:adjustRightInd w:val="0"/>
              <w:snapToGrid w:val="0"/>
              <w:spacing w:after="0"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b w:val="0"/>
                <w:bCs w:val="0"/>
                <w:i w:val="0"/>
                <w:color w:val="auto"/>
                <w:kern w:val="0"/>
                <w:sz w:val="24"/>
                <w:szCs w:val="24"/>
                <w:highlight w:val="none"/>
                <w:u w:val="none"/>
                <w:lang w:val="en-US" w:eastAsia="zh-CN" w:bidi="ar"/>
              </w:rPr>
              <w:t>1.需附相关证书</w:t>
            </w:r>
            <w:r>
              <w:rPr>
                <w:rFonts w:hint="eastAsia" w:ascii="宋体" w:hAnsi="宋体" w:eastAsia="宋体" w:cs="宋体"/>
                <w:b w:val="0"/>
                <w:bCs w:val="0"/>
                <w:color w:val="auto"/>
                <w:kern w:val="0"/>
                <w:sz w:val="24"/>
                <w:szCs w:val="24"/>
                <w:highlight w:val="none"/>
                <w:lang w:val="en-US" w:eastAsia="zh-CN" w:bidi="ar-SA"/>
              </w:rPr>
              <w:t>彩色扫描件</w:t>
            </w:r>
            <w:r>
              <w:rPr>
                <w:rFonts w:hint="eastAsia" w:ascii="宋体" w:hAnsi="宋体" w:eastAsia="宋体" w:cs="宋体"/>
                <w:b w:val="0"/>
                <w:bCs w:val="0"/>
                <w:i w:val="0"/>
                <w:color w:val="auto"/>
                <w:kern w:val="0"/>
                <w:sz w:val="24"/>
                <w:szCs w:val="24"/>
                <w:highlight w:val="none"/>
                <w:u w:val="none"/>
                <w:lang w:val="en-US" w:eastAsia="zh-CN" w:bidi="ar"/>
              </w:rPr>
              <w:t>（或打印件），否则不得分。</w:t>
            </w:r>
          </w:p>
        </w:tc>
      </w:tr>
      <w:tr w14:paraId="648AC0C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F82B956">
            <w:pPr>
              <w:widowControl w:val="0"/>
              <w:wordWrap w:val="0"/>
              <w:adjustRightInd w:val="0"/>
              <w:snapToGrid w:val="0"/>
              <w:spacing w:after="0" w:afterLines="0" w:afterAutospacing="0" w:line="360" w:lineRule="auto"/>
              <w:jc w:val="center"/>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rPr>
              <w:t>纳税信用</w:t>
            </w:r>
            <w:r>
              <w:rPr>
                <w:rFonts w:hint="eastAsia" w:ascii="宋体" w:hAnsi="宋体" w:eastAsia="宋体" w:cs="宋体"/>
                <w:b w:val="0"/>
                <w:bCs w:val="0"/>
                <w:snapToGrid w:val="0"/>
                <w:color w:val="auto"/>
                <w:kern w:val="0"/>
                <w:sz w:val="24"/>
                <w:szCs w:val="24"/>
                <w:highlight w:val="none"/>
                <w:lang w:val="en-US" w:eastAsia="zh-CN"/>
              </w:rPr>
              <w:t>情况</w:t>
            </w:r>
          </w:p>
          <w:p w14:paraId="433AE6E1">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
              </w:rPr>
              <w:t>（10分）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01702AAE">
            <w:pPr>
              <w:pStyle w:val="11"/>
              <w:numPr>
                <w:ilvl w:val="0"/>
                <w:numId w:val="0"/>
              </w:numPr>
              <w:wordWrap w:val="0"/>
              <w:adjustRightInd w:val="0"/>
              <w:snapToGrid w:val="0"/>
              <w:spacing w:after="0" w:line="360" w:lineRule="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kern w:val="2"/>
                <w:sz w:val="24"/>
                <w:szCs w:val="24"/>
                <w:highlight w:val="none"/>
                <w:lang w:val="en-US" w:eastAsia="zh-CN" w:bidi="ar-SA"/>
              </w:rPr>
              <w:t>1.</w:t>
            </w:r>
            <w:r>
              <w:rPr>
                <w:rFonts w:hint="eastAsia" w:ascii="宋体" w:hAnsi="宋体" w:eastAsia="宋体" w:cs="宋体"/>
                <w:b w:val="0"/>
                <w:bCs w:val="0"/>
                <w:color w:val="auto"/>
                <w:sz w:val="24"/>
                <w:szCs w:val="24"/>
                <w:highlight w:val="none"/>
              </w:rPr>
              <w:t>企业获得纳税信用A级纳税人的（其中必须有202</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年度）</w:t>
            </w:r>
          </w:p>
          <w:p w14:paraId="4ED92B2D">
            <w:pPr>
              <w:pStyle w:val="11"/>
              <w:numPr>
                <w:ilvl w:val="0"/>
                <w:numId w:val="0"/>
              </w:numPr>
              <w:wordWrap w:val="0"/>
              <w:adjustRightInd w:val="0"/>
              <w:snapToGrid w:val="0"/>
              <w:spacing w:after="0" w:line="360" w:lineRule="auto"/>
              <w:ind w:left="0" w:leftChars="0"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val="0"/>
                <w:bCs w:val="0"/>
                <w:snapToGrid w:val="0"/>
                <w:color w:val="auto"/>
                <w:kern w:val="0"/>
                <w:sz w:val="24"/>
                <w:szCs w:val="24"/>
                <w:highlight w:val="none"/>
              </w:rPr>
              <w:t>说明：</w:t>
            </w:r>
            <w:r>
              <w:rPr>
                <w:rFonts w:hint="eastAsia" w:ascii="宋体" w:hAnsi="宋体" w:eastAsia="宋体" w:cs="宋体"/>
                <w:b w:val="0"/>
                <w:bCs w:val="0"/>
                <w:i w:val="0"/>
                <w:color w:val="auto"/>
                <w:kern w:val="0"/>
                <w:sz w:val="24"/>
                <w:szCs w:val="24"/>
                <w:highlight w:val="none"/>
                <w:u w:val="none"/>
                <w:lang w:val="en-US" w:eastAsia="zh-CN" w:bidi="ar"/>
              </w:rPr>
              <w:t>本项最高得10分。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654985E0">
            <w:pPr>
              <w:pStyle w:val="11"/>
              <w:keepNext w:val="0"/>
              <w:keepLines w:val="0"/>
              <w:pageBreakBefore w:val="0"/>
              <w:widowControl/>
              <w:kinsoku/>
              <w:wordWrap w:val="0"/>
              <w:overflowPunct/>
              <w:topLinePunct w:val="0"/>
              <w:autoSpaceDE/>
              <w:autoSpaceDN/>
              <w:bidi w:val="0"/>
              <w:adjustRightInd w:val="0"/>
              <w:snapToGrid w:val="0"/>
              <w:spacing w:line="360" w:lineRule="auto"/>
              <w:textAlignment w:val="auto"/>
              <w:rPr>
                <w:rFonts w:hint="eastAsia" w:ascii="宋体" w:hAnsi="宋体" w:eastAsia="宋体" w:cs="宋体"/>
                <w:b w:val="0"/>
                <w:bCs w:val="0"/>
                <w:color w:val="auto"/>
                <w:kern w:val="0"/>
                <w:sz w:val="24"/>
                <w:szCs w:val="24"/>
                <w:highlight w:val="none"/>
              </w:rPr>
            </w:pPr>
            <w:r>
              <w:rPr>
                <w:rFonts w:hint="eastAsia" w:ascii="宋体" w:hAnsi="宋体" w:eastAsia="宋体" w:cs="宋体"/>
                <w:b w:val="0"/>
                <w:bCs w:val="0"/>
                <w:color w:val="auto"/>
                <w:kern w:val="0"/>
                <w:sz w:val="24"/>
                <w:szCs w:val="24"/>
                <w:highlight w:val="none"/>
              </w:rPr>
              <w:t>1.需</w:t>
            </w:r>
            <w:r>
              <w:rPr>
                <w:rFonts w:hint="eastAsia" w:ascii="宋体" w:hAnsi="宋体" w:eastAsia="宋体" w:cs="宋体"/>
                <w:b w:val="0"/>
                <w:bCs w:val="0"/>
                <w:color w:val="auto"/>
                <w:kern w:val="0"/>
                <w:sz w:val="24"/>
                <w:szCs w:val="24"/>
                <w:highlight w:val="none"/>
                <w:lang w:val="en-US" w:eastAsia="zh-CN"/>
              </w:rPr>
              <w:t>提供</w:t>
            </w:r>
            <w:r>
              <w:rPr>
                <w:rFonts w:hint="eastAsia" w:ascii="宋体" w:hAnsi="宋体" w:eastAsia="宋体" w:cs="宋体"/>
                <w:b w:val="0"/>
                <w:bCs w:val="0"/>
                <w:i w:val="0"/>
                <w:color w:val="auto"/>
                <w:kern w:val="0"/>
                <w:sz w:val="24"/>
                <w:szCs w:val="24"/>
                <w:highlight w:val="none"/>
                <w:u w:val="none"/>
                <w:lang w:val="en-US" w:eastAsia="zh-CN" w:bidi="ar"/>
              </w:rPr>
              <w:t>提供企业纳税信用A级纳税人证明材料（或证书）及国家税务总局（或省级电子税务局）网上查询截图，否则不得分。</w:t>
            </w:r>
          </w:p>
          <w:p w14:paraId="65F22379">
            <w:pPr>
              <w:pStyle w:val="11"/>
              <w:wordWrap w:val="0"/>
              <w:adjustRightInd w:val="0"/>
              <w:snapToGrid w:val="0"/>
              <w:spacing w:after="0" w:line="360" w:lineRule="auto"/>
              <w:rPr>
                <w:rFonts w:hint="eastAsia" w:ascii="宋体" w:hAnsi="宋体" w:eastAsia="宋体" w:cs="宋体"/>
                <w:color w:val="auto"/>
                <w:kern w:val="0"/>
                <w:sz w:val="22"/>
                <w:szCs w:val="22"/>
                <w:highlight w:val="none"/>
              </w:rPr>
            </w:pPr>
            <w:r>
              <w:rPr>
                <w:rFonts w:hint="eastAsia" w:ascii="宋体" w:hAnsi="宋体" w:eastAsia="宋体" w:cs="宋体"/>
                <w:b w:val="0"/>
                <w:bCs w:val="0"/>
                <w:color w:val="auto"/>
                <w:kern w:val="0"/>
                <w:sz w:val="24"/>
                <w:szCs w:val="24"/>
                <w:highlight w:val="none"/>
              </w:rPr>
              <w:t>2.只计算投标人自身（不计算投标人的分公司、子公司及分支机构）</w:t>
            </w:r>
            <w:r>
              <w:rPr>
                <w:rFonts w:hint="eastAsia" w:ascii="宋体" w:hAnsi="宋体" w:eastAsia="宋体" w:cs="宋体"/>
                <w:b w:val="0"/>
                <w:bCs w:val="0"/>
                <w:color w:val="auto"/>
                <w:kern w:val="0"/>
                <w:sz w:val="24"/>
                <w:szCs w:val="24"/>
                <w:highlight w:val="none"/>
                <w:lang w:eastAsia="zh-CN"/>
              </w:rPr>
              <w:t>。</w:t>
            </w:r>
          </w:p>
        </w:tc>
      </w:tr>
      <w:tr w14:paraId="003F0DB6">
        <w:tblPrEx>
          <w:tblCellMar>
            <w:top w:w="0" w:type="dxa"/>
            <w:left w:w="108" w:type="dxa"/>
            <w:bottom w:w="0" w:type="dxa"/>
            <w:right w:w="108" w:type="dxa"/>
          </w:tblCellMar>
        </w:tblPrEx>
        <w:trPr>
          <w:trHeight w:val="23" w:hRule="atLeast"/>
          <w:jc w:val="center"/>
        </w:trPr>
        <w:tc>
          <w:tcPr>
            <w:tcW w:w="1493" w:type="dxa"/>
            <w:vMerge w:val="restart"/>
            <w:tcBorders>
              <w:top w:val="single" w:color="auto" w:sz="4" w:space="0"/>
              <w:left w:val="single" w:color="auto" w:sz="4" w:space="0"/>
              <w:right w:val="single" w:color="auto" w:sz="4" w:space="0"/>
            </w:tcBorders>
            <w:noWrap w:val="0"/>
            <w:vAlign w:val="center"/>
          </w:tcPr>
          <w:p w14:paraId="3AC8BD9E">
            <w:pPr>
              <w:widowControl w:val="0"/>
              <w:wordWrap w:val="0"/>
              <w:adjustRightInd w:val="0"/>
              <w:snapToGrid w:val="0"/>
              <w:spacing w:after="120" w:afterLines="0" w:afterAutospacing="0" w:line="360" w:lineRule="auto"/>
              <w:jc w:val="center"/>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招标人</w:t>
            </w:r>
          </w:p>
          <w:p w14:paraId="14021C79">
            <w:pPr>
              <w:widowControl w:val="0"/>
              <w:wordWrap w:val="0"/>
              <w:adjustRightInd w:val="0"/>
              <w:snapToGrid w:val="0"/>
              <w:spacing w:after="120" w:afterLines="0" w:afterAutospacing="0" w:line="360" w:lineRule="auto"/>
              <w:jc w:val="center"/>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自选项</w:t>
            </w:r>
          </w:p>
          <w:p w14:paraId="0EE87561">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（10分）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6742AFBA">
            <w:pPr>
              <w:pStyle w:val="11"/>
              <w:numPr>
                <w:ilvl w:val="0"/>
                <w:numId w:val="0"/>
              </w:numPr>
              <w:wordWrap w:val="0"/>
              <w:adjustRightInd w:val="0"/>
              <w:snapToGrid w:val="0"/>
              <w:spacing w:line="360" w:lineRule="auto"/>
              <w:jc w:val="left"/>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1.</w:t>
            </w:r>
            <w:r>
              <w:rPr>
                <w:rFonts w:hint="eastAsia" w:ascii="宋体" w:hAnsi="宋体" w:eastAsia="宋体" w:cs="宋体"/>
                <w:b w:val="0"/>
                <w:bCs w:val="0"/>
                <w:snapToGrid w:val="0"/>
                <w:color w:val="auto"/>
                <w:kern w:val="0"/>
                <w:sz w:val="24"/>
                <w:szCs w:val="24"/>
                <w:highlight w:val="none"/>
                <w:lang w:val="en-US" w:eastAsia="zh-CN"/>
              </w:rPr>
              <w:t>企业获得“工程质量评价体系认证证书”5A级的得5分；</w:t>
            </w:r>
          </w:p>
          <w:p w14:paraId="7E4700C3">
            <w:pPr>
              <w:pStyle w:val="11"/>
              <w:numPr>
                <w:ilvl w:val="0"/>
                <w:numId w:val="0"/>
              </w:numPr>
              <w:wordWrap w:val="0"/>
              <w:adjustRightInd w:val="0"/>
              <w:snapToGrid w:val="0"/>
              <w:spacing w:line="360" w:lineRule="auto"/>
              <w:ind w:left="0" w:leftChars="0" w:firstLine="0" w:firstLineChars="0"/>
              <w:jc w:val="left"/>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val="en-US" w:eastAsia="zh-CN" w:bidi="ar-SA"/>
              </w:rPr>
              <w:t>2.</w:t>
            </w:r>
            <w:r>
              <w:rPr>
                <w:rFonts w:hint="eastAsia" w:ascii="宋体" w:hAnsi="宋体" w:eastAsia="宋体" w:cs="宋体"/>
                <w:b w:val="0"/>
                <w:bCs w:val="0"/>
                <w:snapToGrid w:val="0"/>
                <w:color w:val="auto"/>
                <w:kern w:val="0"/>
                <w:sz w:val="24"/>
                <w:szCs w:val="24"/>
                <w:highlight w:val="none"/>
                <w:lang w:val="en-US" w:eastAsia="zh-CN"/>
              </w:rPr>
              <w:t>企业获得“工程质量评价体系认证证书”5A级以下的得3分。</w:t>
            </w:r>
          </w:p>
          <w:p w14:paraId="60552E8B">
            <w:pPr>
              <w:pStyle w:val="11"/>
              <w:numPr>
                <w:ilvl w:val="0"/>
                <w:numId w:val="0"/>
              </w:numPr>
              <w:wordWrap w:val="0"/>
              <w:adjustRightInd w:val="0"/>
              <w:snapToGrid w:val="0"/>
              <w:spacing w:line="360" w:lineRule="auto"/>
              <w:ind w:left="0" w:leftChars="0" w:firstLine="0" w:firstLineChars="0"/>
              <w:jc w:val="left"/>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val="en-US" w:eastAsia="zh-CN" w:bidi="ar-SA"/>
              </w:rPr>
              <w:t>3.</w:t>
            </w:r>
            <w:r>
              <w:rPr>
                <w:rFonts w:hint="eastAsia" w:ascii="宋体" w:hAnsi="宋体" w:eastAsia="宋体" w:cs="宋体"/>
                <w:b w:val="0"/>
                <w:bCs w:val="0"/>
                <w:snapToGrid w:val="0"/>
                <w:color w:val="auto"/>
                <w:kern w:val="0"/>
                <w:sz w:val="24"/>
                <w:szCs w:val="24"/>
                <w:highlight w:val="none"/>
                <w:lang w:val="en-US" w:eastAsia="zh-CN"/>
              </w:rPr>
              <w:t xml:space="preserve">未获得的不得分。 </w:t>
            </w:r>
          </w:p>
          <w:p w14:paraId="054BBE76">
            <w:pPr>
              <w:pStyle w:val="11"/>
              <w:numPr>
                <w:ilvl w:val="0"/>
                <w:numId w:val="0"/>
              </w:numPr>
              <w:wordWrap w:val="0"/>
              <w:adjustRightInd w:val="0"/>
              <w:snapToGrid w:val="0"/>
              <w:spacing w:line="360" w:lineRule="auto"/>
              <w:ind w:left="0" w:leftChars="0" w:firstLine="0" w:firstLineChars="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val="0"/>
                <w:bCs w:val="0"/>
                <w:snapToGrid w:val="0"/>
                <w:color w:val="auto"/>
                <w:kern w:val="0"/>
                <w:sz w:val="24"/>
                <w:szCs w:val="24"/>
                <w:highlight w:val="none"/>
              </w:rPr>
              <w:t>说明：</w:t>
            </w:r>
            <w:r>
              <w:rPr>
                <w:rFonts w:hint="eastAsia" w:ascii="宋体" w:hAnsi="宋体" w:eastAsia="宋体" w:cs="宋体"/>
                <w:b w:val="0"/>
                <w:bCs w:val="0"/>
                <w:i w:val="0"/>
                <w:color w:val="auto"/>
                <w:kern w:val="0"/>
                <w:sz w:val="24"/>
                <w:szCs w:val="24"/>
                <w:highlight w:val="none"/>
                <w:u w:val="none"/>
                <w:lang w:val="en-US" w:eastAsia="zh-CN" w:bidi="ar"/>
              </w:rPr>
              <w:t>本项最高得5分。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42237FA1">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1．需附在有效期内的认证证书扫描件及国家认证认可监督管理委员会官网（http：//www.cnca.gov.cn/）查询截图。</w:t>
            </w:r>
          </w:p>
          <w:p w14:paraId="77A4E6FE">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2．任一认证证书有以下情形之一的，该认证证书视为无效，不予计分：</w:t>
            </w:r>
          </w:p>
          <w:p w14:paraId="0315F455">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①认证证书不在有效期内的；</w:t>
            </w:r>
          </w:p>
          <w:p w14:paraId="470B85A4">
            <w:pPr>
              <w:widowControl w:val="0"/>
              <w:wordWrap w:val="0"/>
              <w:adjustRightInd w:val="0"/>
              <w:snapToGrid w:val="0"/>
              <w:spacing w:after="0" w:afterLines="0" w:afterAutospacing="0" w:line="360" w:lineRule="auto"/>
              <w:jc w:val="both"/>
              <w:rPr>
                <w:rFonts w:hint="eastAsia" w:ascii="宋体" w:hAnsi="宋体" w:eastAsia="宋体" w:cs="宋体"/>
                <w:color w:val="auto"/>
                <w:kern w:val="0"/>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SA"/>
              </w:rPr>
              <w:t>②证书有效性在国家认证认可监督管理委员会官网（http：//www.cnca.gov.cn/）查询失效。</w:t>
            </w:r>
          </w:p>
        </w:tc>
      </w:tr>
      <w:tr w14:paraId="0194A909">
        <w:tblPrEx>
          <w:tblCellMar>
            <w:top w:w="0" w:type="dxa"/>
            <w:left w:w="108" w:type="dxa"/>
            <w:bottom w:w="0" w:type="dxa"/>
            <w:right w:w="108" w:type="dxa"/>
          </w:tblCellMar>
        </w:tblPrEx>
        <w:trPr>
          <w:trHeight w:val="23" w:hRule="atLeast"/>
          <w:jc w:val="center"/>
        </w:trPr>
        <w:tc>
          <w:tcPr>
            <w:tcW w:w="1493" w:type="dxa"/>
            <w:vMerge w:val="continue"/>
            <w:tcBorders>
              <w:left w:val="single" w:color="auto" w:sz="4" w:space="0"/>
              <w:bottom w:val="single" w:color="auto" w:sz="4" w:space="0"/>
              <w:right w:val="single" w:color="auto" w:sz="4" w:space="0"/>
            </w:tcBorders>
            <w:noWrap w:val="0"/>
            <w:vAlign w:val="center"/>
          </w:tcPr>
          <w:p w14:paraId="4CE20CA0">
            <w:pPr>
              <w:widowControl w:val="0"/>
              <w:wordWrap w:val="0"/>
              <w:adjustRightInd w:val="0"/>
              <w:snapToGrid w:val="0"/>
              <w:spacing w:after="0" w:afterLines="0" w:afterAutospacing="0" w:line="360" w:lineRule="auto"/>
              <w:jc w:val="center"/>
              <w:rPr>
                <w:rFonts w:hint="eastAsia" w:ascii="宋体" w:hAnsi="宋体" w:eastAsia="宋体" w:cs="宋体"/>
                <w:snapToGrid w:val="0"/>
                <w:color w:val="auto"/>
                <w:kern w:val="0"/>
                <w:sz w:val="22"/>
                <w:szCs w:val="22"/>
                <w:highlight w:val="none"/>
                <w:lang w:val="en-US" w:eastAsia="zh-CN"/>
              </w:rPr>
            </w:pPr>
          </w:p>
        </w:tc>
        <w:tc>
          <w:tcPr>
            <w:tcW w:w="4065" w:type="dxa"/>
            <w:tcBorders>
              <w:top w:val="single" w:color="auto" w:sz="4" w:space="0"/>
              <w:left w:val="single" w:color="auto" w:sz="4" w:space="0"/>
              <w:bottom w:val="single" w:color="auto" w:sz="4" w:space="0"/>
              <w:right w:val="single" w:color="auto" w:sz="4" w:space="0"/>
            </w:tcBorders>
            <w:noWrap w:val="0"/>
            <w:vAlign w:val="center"/>
          </w:tcPr>
          <w:p w14:paraId="5D159422">
            <w:pPr>
              <w:pStyle w:val="11"/>
              <w:numPr>
                <w:ilvl w:val="0"/>
                <w:numId w:val="0"/>
              </w:numPr>
              <w:wordWrap w:val="0"/>
              <w:adjustRightInd w:val="0"/>
              <w:snapToGrid w:val="0"/>
              <w:spacing w:after="0" w:line="360" w:lineRule="auto"/>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1.</w:t>
            </w:r>
            <w:r>
              <w:rPr>
                <w:rFonts w:hint="eastAsia" w:ascii="宋体" w:hAnsi="宋体" w:eastAsia="宋体" w:cs="宋体"/>
                <w:b w:val="0"/>
                <w:bCs w:val="0"/>
                <w:snapToGrid w:val="0"/>
                <w:color w:val="auto"/>
                <w:kern w:val="0"/>
                <w:sz w:val="24"/>
                <w:szCs w:val="24"/>
                <w:highlight w:val="none"/>
                <w:lang w:val="en-US" w:eastAsia="zh-CN"/>
              </w:rPr>
              <w:t>投标人2021年1月1日至今连续3年或以上获得“市政工程施工安全规范</w:t>
            </w:r>
            <w:r>
              <w:rPr>
                <w:rFonts w:hint="eastAsia" w:ascii="宋体" w:hAnsi="宋体" w:eastAsia="宋体" w:cs="宋体"/>
                <w:b w:val="0"/>
                <w:bCs w:val="0"/>
                <w:strike w:val="0"/>
                <w:dstrike w:val="0"/>
                <w:snapToGrid w:val="0"/>
                <w:color w:val="auto"/>
                <w:kern w:val="0"/>
                <w:sz w:val="24"/>
                <w:szCs w:val="24"/>
                <w:highlight w:val="none"/>
                <w:lang w:val="en-US" w:eastAsia="zh-CN"/>
              </w:rPr>
              <w:t>体系</w:t>
            </w:r>
            <w:r>
              <w:rPr>
                <w:rFonts w:hint="eastAsia" w:ascii="宋体" w:hAnsi="宋体" w:eastAsia="宋体" w:cs="宋体"/>
                <w:b w:val="0"/>
                <w:bCs w:val="0"/>
                <w:snapToGrid w:val="0"/>
                <w:color w:val="auto"/>
                <w:kern w:val="0"/>
                <w:sz w:val="24"/>
                <w:szCs w:val="24"/>
                <w:highlight w:val="none"/>
                <w:lang w:val="en-US" w:eastAsia="zh-CN"/>
              </w:rPr>
              <w:t>认证证书”5A级的得5分；</w:t>
            </w:r>
          </w:p>
          <w:p w14:paraId="37982373">
            <w:pPr>
              <w:pStyle w:val="11"/>
              <w:numPr>
                <w:ilvl w:val="0"/>
                <w:numId w:val="0"/>
              </w:numPr>
              <w:wordWrap w:val="0"/>
              <w:adjustRightInd w:val="0"/>
              <w:snapToGrid w:val="0"/>
              <w:spacing w:after="0" w:line="360" w:lineRule="auto"/>
              <w:rPr>
                <w:rFonts w:hint="eastAsia" w:ascii="宋体" w:hAnsi="宋体" w:eastAsia="宋体" w:cs="宋体"/>
                <w:b w:val="0"/>
                <w:bCs w:val="0"/>
                <w:color w:val="auto"/>
                <w:kern w:val="0"/>
                <w:sz w:val="24"/>
                <w:szCs w:val="24"/>
                <w:highlight w:val="none"/>
                <w:lang w:eastAsia="zh-CN"/>
              </w:rPr>
            </w:pPr>
            <w:r>
              <w:rPr>
                <w:rFonts w:hint="eastAsia" w:ascii="宋体" w:hAnsi="宋体" w:eastAsia="宋体" w:cs="宋体"/>
                <w:b w:val="0"/>
                <w:bCs w:val="0"/>
                <w:color w:val="auto"/>
                <w:kern w:val="0"/>
                <w:sz w:val="24"/>
                <w:szCs w:val="24"/>
                <w:highlight w:val="none"/>
                <w:lang w:val="en-US" w:eastAsia="zh-CN" w:bidi="ar-SA"/>
              </w:rPr>
              <w:t>2.</w:t>
            </w:r>
            <w:r>
              <w:rPr>
                <w:rFonts w:hint="eastAsia" w:ascii="宋体" w:hAnsi="宋体" w:eastAsia="宋体" w:cs="宋体"/>
                <w:b w:val="0"/>
                <w:bCs w:val="0"/>
                <w:snapToGrid w:val="0"/>
                <w:color w:val="auto"/>
                <w:kern w:val="0"/>
                <w:sz w:val="24"/>
                <w:szCs w:val="24"/>
                <w:highlight w:val="none"/>
                <w:lang w:val="en-US" w:eastAsia="zh-CN"/>
              </w:rPr>
              <w:t>投标人202</w:t>
            </w:r>
            <w:r>
              <w:rPr>
                <w:rFonts w:hint="eastAsia" w:ascii="宋体" w:hAnsi="宋体" w:cs="宋体"/>
                <w:b w:val="0"/>
                <w:bCs w:val="0"/>
                <w:snapToGrid w:val="0"/>
                <w:color w:val="auto"/>
                <w:kern w:val="0"/>
                <w:sz w:val="24"/>
                <w:szCs w:val="24"/>
                <w:highlight w:val="none"/>
                <w:lang w:val="en-US" w:eastAsia="zh-CN"/>
              </w:rPr>
              <w:t>1</w:t>
            </w:r>
            <w:r>
              <w:rPr>
                <w:rFonts w:hint="eastAsia" w:ascii="宋体" w:hAnsi="宋体" w:eastAsia="宋体" w:cs="宋体"/>
                <w:b w:val="0"/>
                <w:bCs w:val="0"/>
                <w:snapToGrid w:val="0"/>
                <w:color w:val="auto"/>
                <w:kern w:val="0"/>
                <w:sz w:val="24"/>
                <w:szCs w:val="24"/>
                <w:highlight w:val="none"/>
                <w:lang w:val="en-US" w:eastAsia="zh-CN"/>
              </w:rPr>
              <w:t>年1月1日至今连续3年或以上获得“市政工程施工安全规范</w:t>
            </w:r>
            <w:r>
              <w:rPr>
                <w:rFonts w:hint="eastAsia" w:ascii="宋体" w:hAnsi="宋体" w:eastAsia="宋体" w:cs="宋体"/>
                <w:b w:val="0"/>
                <w:bCs w:val="0"/>
                <w:strike w:val="0"/>
                <w:dstrike w:val="0"/>
                <w:snapToGrid w:val="0"/>
                <w:color w:val="auto"/>
                <w:kern w:val="0"/>
                <w:sz w:val="24"/>
                <w:szCs w:val="24"/>
                <w:highlight w:val="none"/>
                <w:lang w:val="en-US" w:eastAsia="zh-CN"/>
              </w:rPr>
              <w:t>体系</w:t>
            </w:r>
            <w:r>
              <w:rPr>
                <w:rFonts w:hint="eastAsia" w:ascii="宋体" w:hAnsi="宋体" w:eastAsia="宋体" w:cs="宋体"/>
                <w:b w:val="0"/>
                <w:bCs w:val="0"/>
                <w:snapToGrid w:val="0"/>
                <w:color w:val="auto"/>
                <w:kern w:val="0"/>
                <w:sz w:val="24"/>
                <w:szCs w:val="24"/>
                <w:highlight w:val="none"/>
                <w:lang w:val="en-US" w:eastAsia="zh-CN"/>
              </w:rPr>
              <w:t>认证证书”5A级以下的得3分。</w:t>
            </w:r>
          </w:p>
          <w:p w14:paraId="15B9401F">
            <w:pPr>
              <w:pStyle w:val="11"/>
              <w:numPr>
                <w:ilvl w:val="0"/>
                <w:numId w:val="0"/>
              </w:numPr>
              <w:wordWrap w:val="0"/>
              <w:adjustRightInd w:val="0"/>
              <w:snapToGrid w:val="0"/>
              <w:spacing w:after="0" w:line="360" w:lineRule="auto"/>
              <w:ind w:left="0" w:leftChars="0" w:firstLine="0" w:firstLineChars="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val="0"/>
                <w:bCs w:val="0"/>
                <w:snapToGrid w:val="0"/>
                <w:color w:val="auto"/>
                <w:kern w:val="0"/>
                <w:sz w:val="24"/>
                <w:szCs w:val="24"/>
                <w:highlight w:val="none"/>
                <w:lang w:val="en-US" w:eastAsia="zh-CN" w:bidi="ar-SA"/>
              </w:rPr>
              <w:t>3.</w:t>
            </w:r>
            <w:r>
              <w:rPr>
                <w:rFonts w:hint="eastAsia" w:ascii="宋体" w:hAnsi="宋体" w:eastAsia="宋体" w:cs="宋体"/>
                <w:b w:val="0"/>
                <w:bCs w:val="0"/>
                <w:snapToGrid w:val="0"/>
                <w:color w:val="auto"/>
                <w:kern w:val="0"/>
                <w:sz w:val="24"/>
                <w:szCs w:val="24"/>
                <w:highlight w:val="none"/>
                <w:lang w:val="en-US" w:eastAsia="zh-CN"/>
              </w:rPr>
              <w:t xml:space="preserve">未达到要求的不得分。 </w:t>
            </w:r>
          </w:p>
          <w:p w14:paraId="133507C3">
            <w:pPr>
              <w:pStyle w:val="11"/>
              <w:numPr>
                <w:ilvl w:val="0"/>
                <w:numId w:val="0"/>
              </w:numPr>
              <w:wordWrap w:val="0"/>
              <w:adjustRightInd w:val="0"/>
              <w:snapToGrid w:val="0"/>
              <w:spacing w:after="0" w:line="360" w:lineRule="auto"/>
              <w:ind w:left="0" w:leftChars="0" w:firstLine="0" w:firstLineChars="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val="0"/>
                <w:bCs w:val="0"/>
                <w:snapToGrid w:val="0"/>
                <w:color w:val="auto"/>
                <w:kern w:val="0"/>
                <w:sz w:val="24"/>
                <w:szCs w:val="24"/>
                <w:highlight w:val="none"/>
              </w:rPr>
              <w:t>说明：</w:t>
            </w:r>
            <w:r>
              <w:rPr>
                <w:rFonts w:hint="eastAsia" w:ascii="宋体" w:hAnsi="宋体" w:eastAsia="宋体" w:cs="宋体"/>
                <w:b w:val="0"/>
                <w:bCs w:val="0"/>
                <w:i w:val="0"/>
                <w:color w:val="auto"/>
                <w:kern w:val="0"/>
                <w:sz w:val="24"/>
                <w:szCs w:val="24"/>
                <w:highlight w:val="none"/>
                <w:u w:val="none"/>
                <w:lang w:val="en-US" w:eastAsia="zh-CN" w:bidi="ar"/>
              </w:rPr>
              <w:t>本项最高得5分。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2D58C768">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1．如投标人在规定期限内获得不同等级，按就低不就高原则评分，需附在有效期内的认证证书扫描件及国家认证认可监督管理委员会官网（http：//www.cnca.gov.cn/）查询截图。</w:t>
            </w:r>
          </w:p>
          <w:p w14:paraId="35AD418C">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2．任一认证证书有以下情形之一的，该认证证书视为无效，不予计分：</w:t>
            </w:r>
          </w:p>
          <w:p w14:paraId="78D82C46">
            <w:pPr>
              <w:widowControl w:val="0"/>
              <w:wordWrap w:val="0"/>
              <w:adjustRightInd w:val="0"/>
              <w:snapToGrid w:val="0"/>
              <w:spacing w:after="0" w:afterLines="0" w:afterAutospacing="0" w:line="360" w:lineRule="auto"/>
              <w:jc w:val="both"/>
              <w:rPr>
                <w:rFonts w:hint="eastAsia" w:ascii="宋体" w:hAnsi="宋体" w:eastAsia="宋体" w:cs="宋体"/>
                <w:b w:val="0"/>
                <w:bCs w:val="0"/>
                <w:snapToGrid w:val="0"/>
                <w:color w:val="auto"/>
                <w:kern w:val="0"/>
                <w:sz w:val="24"/>
                <w:szCs w:val="24"/>
                <w:highlight w:val="none"/>
                <w:lang w:val="en-US" w:eastAsia="zh-CN" w:bidi="ar-SA"/>
              </w:rPr>
            </w:pPr>
            <w:r>
              <w:rPr>
                <w:rFonts w:hint="eastAsia" w:ascii="宋体" w:hAnsi="宋体" w:eastAsia="宋体" w:cs="宋体"/>
                <w:b w:val="0"/>
                <w:bCs w:val="0"/>
                <w:snapToGrid w:val="0"/>
                <w:color w:val="auto"/>
                <w:kern w:val="0"/>
                <w:sz w:val="24"/>
                <w:szCs w:val="24"/>
                <w:highlight w:val="none"/>
                <w:lang w:val="en-US" w:eastAsia="zh-CN" w:bidi="ar-SA"/>
              </w:rPr>
              <w:t>①认证证书不在有效期内的；</w:t>
            </w:r>
          </w:p>
          <w:p w14:paraId="5E62E579">
            <w:pPr>
              <w:widowControl w:val="0"/>
              <w:wordWrap w:val="0"/>
              <w:adjustRightInd w:val="0"/>
              <w:snapToGrid w:val="0"/>
              <w:spacing w:after="0" w:afterLines="0" w:afterAutospacing="0" w:line="360" w:lineRule="auto"/>
              <w:jc w:val="both"/>
              <w:rPr>
                <w:rFonts w:hint="eastAsia" w:ascii="宋体" w:hAnsi="宋体" w:eastAsia="宋体" w:cs="宋体"/>
                <w:color w:val="auto"/>
                <w:kern w:val="0"/>
                <w:sz w:val="22"/>
                <w:szCs w:val="22"/>
                <w:highlight w:val="none"/>
              </w:rPr>
            </w:pPr>
            <w:r>
              <w:rPr>
                <w:rFonts w:hint="eastAsia" w:ascii="宋体" w:hAnsi="宋体" w:eastAsia="宋体" w:cs="宋体"/>
                <w:b w:val="0"/>
                <w:bCs w:val="0"/>
                <w:snapToGrid w:val="0"/>
                <w:color w:val="auto"/>
                <w:kern w:val="0"/>
                <w:sz w:val="24"/>
                <w:szCs w:val="24"/>
                <w:highlight w:val="none"/>
                <w:lang w:val="en-US" w:eastAsia="zh-CN" w:bidi="ar-SA"/>
              </w:rPr>
              <w:t>②证书有效性在国家认证认可监督管理委员会官网（http：//www.cnca.gov.cn/）查询失效。</w:t>
            </w:r>
          </w:p>
        </w:tc>
      </w:tr>
      <w:tr w14:paraId="1770ED0C">
        <w:tblPrEx>
          <w:tblCellMar>
            <w:top w:w="0" w:type="dxa"/>
            <w:left w:w="108" w:type="dxa"/>
            <w:bottom w:w="0" w:type="dxa"/>
            <w:right w:w="108" w:type="dxa"/>
          </w:tblCellMar>
        </w:tblPrEx>
        <w:trPr>
          <w:trHeight w:val="23" w:hRule="atLeast"/>
          <w:jc w:val="center"/>
        </w:trPr>
        <w:tc>
          <w:tcPr>
            <w:tcW w:w="10853"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15776CCB">
            <w:pPr>
              <w:pStyle w:val="11"/>
              <w:wordWrap w:val="0"/>
              <w:adjustRightInd w:val="0"/>
              <w:snapToGrid w:val="0"/>
              <w:spacing w:after="0"/>
              <w:jc w:val="left"/>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技术部分（施工组织设计），满分：</w:t>
            </w:r>
            <w:r>
              <w:rPr>
                <w:rFonts w:hint="eastAsia" w:ascii="宋体" w:hAnsi="宋体" w:eastAsia="宋体" w:cs="宋体"/>
                <w:b/>
                <w:bCs/>
                <w:snapToGrid w:val="0"/>
                <w:color w:val="auto"/>
                <w:kern w:val="0"/>
                <w:sz w:val="22"/>
                <w:szCs w:val="22"/>
                <w:highlight w:val="none"/>
                <w:u w:val="single"/>
                <w:lang w:val="en-US" w:eastAsia="zh-CN"/>
              </w:rPr>
              <w:t>20</w:t>
            </w:r>
            <w:r>
              <w:rPr>
                <w:rFonts w:hint="eastAsia" w:ascii="宋体" w:hAnsi="宋体" w:eastAsia="宋体" w:cs="宋体"/>
                <w:b/>
                <w:bCs/>
                <w:snapToGrid w:val="0"/>
                <w:color w:val="auto"/>
                <w:kern w:val="0"/>
                <w:sz w:val="22"/>
                <w:szCs w:val="22"/>
                <w:highlight w:val="none"/>
              </w:rPr>
              <w:t>分。</w:t>
            </w:r>
          </w:p>
        </w:tc>
      </w:tr>
      <w:tr w14:paraId="2AD7B249">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7C000DBD">
            <w:pPr>
              <w:pStyle w:val="11"/>
              <w:wordWrap w:val="0"/>
              <w:adjustRightInd w:val="0"/>
              <w:snapToGrid w:val="0"/>
              <w:spacing w:after="0"/>
              <w:jc w:val="center"/>
              <w:rPr>
                <w:rFonts w:hint="eastAsia" w:ascii="宋体" w:hAnsi="宋体" w:eastAsia="宋体" w:cs="宋体"/>
                <w:b w:val="0"/>
                <w:bCs w:val="0"/>
                <w:snapToGrid w:val="0"/>
                <w:color w:val="auto"/>
                <w:kern w:val="0"/>
                <w:sz w:val="22"/>
                <w:szCs w:val="22"/>
                <w:highlight w:val="none"/>
              </w:rPr>
            </w:pPr>
            <w:r>
              <w:rPr>
                <w:rFonts w:hint="eastAsia" w:ascii="宋体" w:hAnsi="宋体" w:eastAsia="宋体" w:cs="宋体"/>
                <w:b w:val="0"/>
                <w:bCs w:val="0"/>
                <w:snapToGrid w:val="0"/>
                <w:color w:val="auto"/>
                <w:kern w:val="0"/>
                <w:sz w:val="22"/>
                <w:szCs w:val="22"/>
                <w:highlight w:val="none"/>
              </w:rPr>
              <w:t>评分因素</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26C2747E">
            <w:pPr>
              <w:pStyle w:val="11"/>
              <w:wordWrap w:val="0"/>
              <w:adjustRightInd w:val="0"/>
              <w:snapToGrid w:val="0"/>
              <w:spacing w:after="0"/>
              <w:jc w:val="center"/>
              <w:rPr>
                <w:rFonts w:hint="eastAsia" w:ascii="宋体" w:hAnsi="宋体" w:eastAsia="宋体" w:cs="宋体"/>
                <w:b w:val="0"/>
                <w:bCs w:val="0"/>
                <w:snapToGrid w:val="0"/>
                <w:color w:val="auto"/>
                <w:kern w:val="0"/>
                <w:sz w:val="22"/>
                <w:szCs w:val="22"/>
                <w:highlight w:val="none"/>
              </w:rPr>
            </w:pPr>
            <w:r>
              <w:rPr>
                <w:rFonts w:hint="eastAsia" w:ascii="宋体" w:hAnsi="宋体" w:eastAsia="宋体" w:cs="宋体"/>
                <w:b w:val="0"/>
                <w:bCs w:val="0"/>
                <w:snapToGrid w:val="0"/>
                <w:color w:val="auto"/>
                <w:kern w:val="0"/>
                <w:sz w:val="22"/>
                <w:szCs w:val="22"/>
                <w:highlight w:val="none"/>
              </w:rPr>
              <w:t>评分标准</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43F36B56">
            <w:pPr>
              <w:pStyle w:val="11"/>
              <w:wordWrap w:val="0"/>
              <w:adjustRightInd w:val="0"/>
              <w:snapToGrid w:val="0"/>
              <w:spacing w:after="0"/>
              <w:jc w:val="center"/>
              <w:rPr>
                <w:rFonts w:hint="eastAsia" w:ascii="宋体" w:hAnsi="宋体" w:eastAsia="宋体" w:cs="宋体"/>
                <w:b w:val="0"/>
                <w:bCs w:val="0"/>
                <w:snapToGrid w:val="0"/>
                <w:color w:val="auto"/>
                <w:kern w:val="0"/>
                <w:sz w:val="22"/>
                <w:szCs w:val="22"/>
                <w:highlight w:val="none"/>
              </w:rPr>
            </w:pPr>
            <w:r>
              <w:rPr>
                <w:rFonts w:hint="eastAsia" w:ascii="宋体" w:hAnsi="宋体" w:eastAsia="宋体" w:cs="宋体"/>
                <w:b w:val="0"/>
                <w:bCs w:val="0"/>
                <w:snapToGrid w:val="0"/>
                <w:color w:val="auto"/>
                <w:kern w:val="0"/>
                <w:sz w:val="22"/>
                <w:szCs w:val="22"/>
                <w:highlight w:val="none"/>
              </w:rPr>
              <w:t>备注</w:t>
            </w:r>
          </w:p>
        </w:tc>
      </w:tr>
      <w:tr w14:paraId="0943E310">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0096C626">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总体概述</w:t>
            </w:r>
          </w:p>
          <w:p w14:paraId="4A6052FC">
            <w:pPr>
              <w:jc w:val="cente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（3分）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20754B1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7ED2EA7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4558648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4D6DC20F">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【差】得该项评分因素分值的60～70%（含60%）。</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007D2FF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1FFBBD2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【良】对项目总体有一定认识，表述清晰、完整，措施具体有效；施工段划分呼应总体表述，划分清晰，符合规范要求。</w:t>
            </w:r>
          </w:p>
          <w:p w14:paraId="2E06693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【中】对项目总体有认识，有一定的措施但部分不具体；施工段划分较合理，符合规范要求。</w:t>
            </w:r>
          </w:p>
          <w:p w14:paraId="50CCA69A">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【差】对项目认识不足，表述不清晰，措施不具体；施工段划分不合理。</w:t>
            </w:r>
          </w:p>
        </w:tc>
      </w:tr>
      <w:tr w14:paraId="398784B7">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925223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施工总进度计划及保证措施</w:t>
            </w:r>
          </w:p>
          <w:p w14:paraId="7D7AAB29">
            <w:pPr>
              <w:jc w:val="cente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（3分）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6E1F38E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1E16065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5EC08AF0">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6E39AE03">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【差】得该项评分因素分值的60～70%（含60%）。</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704F91B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关键线路清晰、准确、完整，计划编制合理、可行。关键节点的控制措施有力、合理、可行。人、材、机需求和进场计划与进度计划相呼应，较好满足施工需要，调配投入计划合理、准确。进度违约责任承诺具体，经济赔偿合理。</w:t>
            </w:r>
          </w:p>
          <w:p w14:paraId="37C55B6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经济赔偿较合理。</w:t>
            </w:r>
          </w:p>
          <w:p w14:paraId="1C330CA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【中】关键线路基本准确，计划编制基本合理。关键节点的控制措施基本可行。人、材、机需求和进场计划与进度计划相呼应，基本满足施工需要，调配投入计划基本合理。进度违约责任承诺具体。</w:t>
            </w:r>
          </w:p>
          <w:p w14:paraId="35801B5A">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【差】关键线路不准确，计划编制不合理。关键节点的控制不可行。人、材、机需求和进场计划与进度计划不相呼应，不能满足施工需要。没有违约责任承诺。</w:t>
            </w:r>
          </w:p>
        </w:tc>
      </w:tr>
      <w:tr w14:paraId="41603872">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E818CD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质量保证措施</w:t>
            </w:r>
          </w:p>
          <w:p w14:paraId="7BC60F80">
            <w:pPr>
              <w:jc w:val="cente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（4分）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40F9E74A">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7C33F0D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21E101C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4FDFFEBE">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【差】得该项评分因素分值的60～70%（含60%）。</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06DD4374">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【优】应用新技术、新工艺、新材料、新设备，针对项目实际提出先进、可行、具体的保证措施。超过招标文件的质量要求。质量违约责任承诺具体，经济赔偿合理。</w:t>
            </w:r>
          </w:p>
          <w:p w14:paraId="06292BA3">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【良】针对项目实际提出先进、可行、具体的保证措施。满足招标文件的质量要求。质量违约责任承诺具体，经济赔偿较合理。</w:t>
            </w:r>
          </w:p>
          <w:p w14:paraId="12E7A513">
            <w:pPr>
              <w:widowControl w:val="0"/>
              <w:wordWrap w:val="0"/>
              <w:adjustRightInd w:val="0"/>
              <w:snapToGrid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bidi="ar-SA"/>
              </w:rPr>
              <w:t>【中】具体措施可行。满足招标文件的质量要求。质量违约责任承诺具体。</w:t>
            </w:r>
          </w:p>
          <w:p w14:paraId="273287B9">
            <w:pPr>
              <w:rPr>
                <w:rFonts w:hint="eastAsia" w:ascii="宋体" w:hAnsi="宋体" w:eastAsia="宋体" w:cs="宋体"/>
                <w:color w:val="auto"/>
                <w:sz w:val="22"/>
                <w:szCs w:val="22"/>
                <w:highlight w:val="none"/>
              </w:rPr>
            </w:pPr>
            <w:r>
              <w:rPr>
                <w:rFonts w:hint="eastAsia" w:ascii="宋体" w:hAnsi="宋体" w:eastAsia="宋体" w:cs="宋体"/>
                <w:snapToGrid w:val="0"/>
                <w:color w:val="auto"/>
                <w:kern w:val="0"/>
                <w:sz w:val="24"/>
                <w:szCs w:val="24"/>
                <w:highlight w:val="none"/>
                <w:lang w:val="en-US" w:eastAsia="zh-CN" w:bidi="ar-SA"/>
              </w:rPr>
              <w:t>【差】措施不可行，没有质量违约责任承诺。</w:t>
            </w:r>
          </w:p>
        </w:tc>
      </w:tr>
      <w:tr w14:paraId="320C8B91">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39E74FC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施工技术措施</w:t>
            </w:r>
          </w:p>
          <w:p w14:paraId="2A9912B5">
            <w:pPr>
              <w:jc w:val="cente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w:t>
            </w:r>
            <w:r>
              <w:rPr>
                <w:rFonts w:hint="eastAsia" w:hAnsi="宋体" w:cs="宋体"/>
                <w:color w:val="auto"/>
                <w:sz w:val="24"/>
                <w:szCs w:val="24"/>
                <w:highlight w:val="none"/>
                <w:lang w:val="en-US" w:eastAsia="zh-CN"/>
              </w:rPr>
              <w:t>2</w:t>
            </w:r>
            <w:r>
              <w:rPr>
                <w:rFonts w:hint="eastAsia" w:ascii="宋体" w:hAnsi="宋体" w:eastAsia="宋体" w:cs="宋体"/>
                <w:color w:val="auto"/>
                <w:sz w:val="24"/>
                <w:szCs w:val="24"/>
                <w:highlight w:val="none"/>
              </w:rPr>
              <w:t>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0B6A52B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76CEC93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0EE88AF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0FF2E9BC">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【差】得该项评分因素分值的60～70%（含60%）。</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77CF327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经济赔偿合理。</w:t>
            </w:r>
          </w:p>
          <w:p w14:paraId="59A546B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经济赔偿较合理。</w:t>
            </w:r>
          </w:p>
          <w:p w14:paraId="022F838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2E412A16">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【差】对项目关键技术有表述，对重点、难点有建议，解决方案不可行。采用的新技术针对性不强或验证材料不可靠，对节约投资、工期没有具体收益。无违约责任承诺。</w:t>
            </w:r>
          </w:p>
        </w:tc>
      </w:tr>
      <w:tr w14:paraId="7F59B1D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612036CA">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绿色施工、安全防护、文明施工措施计划</w:t>
            </w:r>
          </w:p>
          <w:p w14:paraId="5091A7B2">
            <w:pPr>
              <w:jc w:val="cente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 3分）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4839F74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008DB564">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52674C4D">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2156CD93">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【差】得该项评分因素分值的60～70%（含60%）。</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0F9D4418">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【优】针对项目实际情况，有先进、具体、完整、可行的措施，采用规范准确、清晰。</w:t>
            </w:r>
          </w:p>
          <w:p w14:paraId="0D9987C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【良】针对项目实际情况，有合理的措施且具体、完整，采用规范准确。</w:t>
            </w:r>
          </w:p>
          <w:p w14:paraId="2DBFCFBC">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【中】有基本合理的措施，采用规范准确。</w:t>
            </w:r>
          </w:p>
          <w:p w14:paraId="2E521E5E">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【差】措施不力，采用规范不正确。</w:t>
            </w:r>
          </w:p>
        </w:tc>
      </w:tr>
      <w:tr w14:paraId="18FD32B8">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9985C7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施工平面布置和临时设施布置</w:t>
            </w:r>
          </w:p>
          <w:p w14:paraId="4A5FFDF2">
            <w:pPr>
              <w:jc w:val="cente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（2分）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42F687E9">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270AE3C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7E50EC47">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773F9698">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【差】得该项评分因素分值的60～70%（含60%）。</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3A572A01">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【优】总体布置有针对性、合理，较好满足施工需要，符合绿色施工、安全防护、文明施工要求。</w:t>
            </w:r>
          </w:p>
          <w:p w14:paraId="612DBB7E">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【良】总体布置合理，能满足施工需要，基本符合绿色施工、安全防护、文明施工要求。</w:t>
            </w:r>
          </w:p>
          <w:p w14:paraId="122D0EF6">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【中】总体布置基本合理，基本满足施工需要。</w:t>
            </w:r>
          </w:p>
          <w:p w14:paraId="69F3EFFA">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【差】总体布置不合理，不符合绿色施工、安全防护、文明施工要求。</w:t>
            </w:r>
          </w:p>
        </w:tc>
      </w:tr>
      <w:tr w14:paraId="344056C5">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5D563B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项目管理机构</w:t>
            </w:r>
          </w:p>
          <w:p w14:paraId="23B2207E">
            <w:pPr>
              <w:jc w:val="cente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w:t>
            </w:r>
            <w:r>
              <w:rPr>
                <w:rFonts w:hint="eastAsia" w:hAnsi="宋体" w:cs="宋体"/>
                <w:color w:val="auto"/>
                <w:sz w:val="24"/>
                <w:szCs w:val="24"/>
                <w:highlight w:val="none"/>
                <w:lang w:val="en-US" w:eastAsia="zh-CN"/>
              </w:rPr>
              <w:t>3</w:t>
            </w:r>
            <w:r>
              <w:rPr>
                <w:rFonts w:hint="eastAsia" w:ascii="宋体" w:hAnsi="宋体" w:eastAsia="宋体" w:cs="宋体"/>
                <w:color w:val="auto"/>
                <w:sz w:val="24"/>
                <w:szCs w:val="24"/>
                <w:highlight w:val="none"/>
              </w:rPr>
              <w:t>分）</w:t>
            </w:r>
          </w:p>
        </w:tc>
        <w:tc>
          <w:tcPr>
            <w:tcW w:w="4065" w:type="dxa"/>
            <w:tcBorders>
              <w:top w:val="single" w:color="auto" w:sz="4" w:space="0"/>
              <w:left w:val="single" w:color="auto" w:sz="4" w:space="0"/>
              <w:bottom w:val="single" w:color="auto" w:sz="4" w:space="0"/>
              <w:right w:val="single" w:color="auto" w:sz="4" w:space="0"/>
            </w:tcBorders>
            <w:noWrap w:val="0"/>
            <w:vAlign w:val="center"/>
          </w:tcPr>
          <w:p w14:paraId="4BC0E19B">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【优】得该项评分因素分值的90%～100%（含90%）。</w:t>
            </w:r>
          </w:p>
          <w:p w14:paraId="486AF452">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【良】得该项评分因素分值的80%～90%（含80%）。</w:t>
            </w:r>
          </w:p>
          <w:p w14:paraId="48F95EB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【中】得该项评分因素分值的70%～80%（含70%）。</w:t>
            </w:r>
          </w:p>
          <w:p w14:paraId="21AC7437">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【差】得该项评分因素分值的60～70%（含60%）。</w:t>
            </w:r>
          </w:p>
        </w:tc>
        <w:tc>
          <w:tcPr>
            <w:tcW w:w="5295" w:type="dxa"/>
            <w:tcBorders>
              <w:top w:val="single" w:color="auto" w:sz="4" w:space="0"/>
              <w:left w:val="single" w:color="auto" w:sz="4" w:space="0"/>
              <w:bottom w:val="single" w:color="auto" w:sz="4" w:space="0"/>
              <w:right w:val="single" w:color="auto" w:sz="4" w:space="0"/>
            </w:tcBorders>
            <w:noWrap w:val="0"/>
            <w:vAlign w:val="center"/>
          </w:tcPr>
          <w:p w14:paraId="1515FA73">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优】组织机构形式合理，有完善的指挥系统，生产及质量、绿色施工、安全、文明施工、创优达标监控系统、联络协调系统，项目管理人员内高级职称人员20%（含20%）以上、中级职称人员及以上职称60%（含60%）以上。</w:t>
            </w:r>
          </w:p>
          <w:p w14:paraId="0CFAE61F">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良】组织机构形式合理，指挥系统，生产及质量、绿色施工、安全、文明施工、创优达标监控系统、联络协调系统齐全，项目管理人员内高级职称人员15%～20%（含15%）、中级职称及以上职称人员50%～60%（含50%）。</w:t>
            </w:r>
          </w:p>
          <w:p w14:paraId="2ADA2725">
            <w:pP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组织机构形式基本合理，有指挥系统，生产及质量、绿色施工、安全、文明施工、创优达标监控系统、联络协调系统，项目管理人员内高级职称人员10%～15%（含10%）、中级职称人员及以上职称40%～50%（含40%）。</w:t>
            </w:r>
          </w:p>
          <w:p w14:paraId="582C3E41">
            <w:pPr>
              <w:rPr>
                <w:rFonts w:hint="eastAsia" w:ascii="宋体" w:hAnsi="宋体" w:eastAsia="宋体" w:cs="宋体"/>
                <w:color w:val="auto"/>
                <w:sz w:val="22"/>
                <w:szCs w:val="22"/>
                <w:highlight w:val="none"/>
              </w:rPr>
            </w:pPr>
            <w:r>
              <w:rPr>
                <w:rFonts w:hint="eastAsia" w:ascii="宋体" w:hAnsi="宋体" w:eastAsia="宋体" w:cs="宋体"/>
                <w:color w:val="auto"/>
                <w:sz w:val="24"/>
                <w:szCs w:val="24"/>
                <w:highlight w:val="none"/>
              </w:rPr>
              <w:t>【差】组织机构形式合理，指挥系统，生产及质量、绿色施工、安全、文明施工、创优达标监控系统、联络协调系统不齐全，项目管理人员内高级职称人员10%以下、中级职称人员及以上职称40%以下。</w:t>
            </w:r>
          </w:p>
        </w:tc>
      </w:tr>
      <w:tr w14:paraId="6DA566AA">
        <w:tblPrEx>
          <w:tblCellMar>
            <w:top w:w="0" w:type="dxa"/>
            <w:left w:w="108" w:type="dxa"/>
            <w:bottom w:w="0" w:type="dxa"/>
            <w:right w:w="108" w:type="dxa"/>
          </w:tblCellMar>
        </w:tblPrEx>
        <w:trPr>
          <w:trHeight w:val="23" w:hRule="atLeast"/>
          <w:jc w:val="center"/>
        </w:trPr>
        <w:tc>
          <w:tcPr>
            <w:tcW w:w="10853" w:type="dxa"/>
            <w:gridSpan w:val="3"/>
            <w:tcBorders>
              <w:top w:val="single" w:color="auto" w:sz="4" w:space="0"/>
              <w:left w:val="single" w:color="auto" w:sz="4" w:space="0"/>
              <w:bottom w:val="single" w:color="auto" w:sz="4" w:space="0"/>
              <w:right w:val="single" w:color="auto" w:sz="4" w:space="0"/>
            </w:tcBorders>
            <w:shd w:val="clear" w:color="auto" w:fill="D9D9D9"/>
            <w:noWrap w:val="0"/>
            <w:vAlign w:val="center"/>
          </w:tcPr>
          <w:p w14:paraId="4705CF4A">
            <w:pPr>
              <w:pStyle w:val="116"/>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b/>
                <w:bCs/>
                <w:snapToGrid w:val="0"/>
                <w:color w:val="auto"/>
                <w:kern w:val="0"/>
                <w:sz w:val="22"/>
                <w:szCs w:val="22"/>
                <w:highlight w:val="none"/>
              </w:rPr>
              <w:t>投标报价部分，满分：</w:t>
            </w:r>
            <w:r>
              <w:rPr>
                <w:rFonts w:hint="eastAsia" w:ascii="宋体" w:hAnsi="宋体" w:eastAsia="宋体" w:cs="宋体"/>
                <w:b/>
                <w:bCs/>
                <w:snapToGrid w:val="0"/>
                <w:color w:val="auto"/>
                <w:kern w:val="0"/>
                <w:sz w:val="22"/>
                <w:szCs w:val="22"/>
                <w:highlight w:val="none"/>
                <w:lang w:val="en-US" w:eastAsia="zh-CN"/>
              </w:rPr>
              <w:t>100</w:t>
            </w:r>
            <w:r>
              <w:rPr>
                <w:rFonts w:hint="eastAsia" w:ascii="宋体" w:hAnsi="宋体" w:eastAsia="宋体" w:cs="宋体"/>
                <w:b/>
                <w:bCs/>
                <w:snapToGrid w:val="0"/>
                <w:color w:val="auto"/>
                <w:kern w:val="0"/>
                <w:sz w:val="22"/>
                <w:szCs w:val="22"/>
                <w:highlight w:val="none"/>
              </w:rPr>
              <w:t>分。</w:t>
            </w:r>
          </w:p>
        </w:tc>
      </w:tr>
      <w:tr w14:paraId="2803E02E">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21F0920E">
            <w:pPr>
              <w:pStyle w:val="11"/>
              <w:wordWrap w:val="0"/>
              <w:adjustRightInd w:val="0"/>
              <w:snapToGrid w:val="0"/>
              <w:spacing w:after="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评分事项</w:t>
            </w:r>
          </w:p>
        </w:tc>
        <w:tc>
          <w:tcPr>
            <w:tcW w:w="9360" w:type="dxa"/>
            <w:gridSpan w:val="2"/>
            <w:tcBorders>
              <w:top w:val="single" w:color="auto" w:sz="4" w:space="0"/>
              <w:left w:val="single" w:color="auto" w:sz="4" w:space="0"/>
              <w:bottom w:val="single" w:color="auto" w:sz="4" w:space="0"/>
              <w:right w:val="single" w:color="auto" w:sz="4" w:space="0"/>
            </w:tcBorders>
            <w:noWrap w:val="0"/>
            <w:vAlign w:val="center"/>
          </w:tcPr>
          <w:p w14:paraId="3D48CD15">
            <w:pPr>
              <w:pStyle w:val="11"/>
              <w:wordWrap w:val="0"/>
              <w:adjustRightInd w:val="0"/>
              <w:snapToGrid w:val="0"/>
              <w:spacing w:after="0"/>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评分方法</w:t>
            </w:r>
          </w:p>
        </w:tc>
      </w:tr>
      <w:tr w14:paraId="2F4D8DE3">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1C934317">
            <w:pPr>
              <w:pStyle w:val="6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评标基准价D</w:t>
            </w:r>
          </w:p>
        </w:tc>
        <w:tc>
          <w:tcPr>
            <w:tcW w:w="9360" w:type="dxa"/>
            <w:gridSpan w:val="2"/>
            <w:tcBorders>
              <w:top w:val="single" w:color="auto" w:sz="4" w:space="0"/>
              <w:left w:val="single" w:color="auto" w:sz="4" w:space="0"/>
              <w:bottom w:val="single" w:color="auto" w:sz="4" w:space="0"/>
              <w:right w:val="single" w:color="auto" w:sz="4" w:space="0"/>
            </w:tcBorders>
            <w:noWrap w:val="0"/>
            <w:vAlign w:val="center"/>
          </w:tcPr>
          <w:p w14:paraId="701E6C20">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（1）确定</w:t>
            </w:r>
            <w:r>
              <w:rPr>
                <w:rFonts w:hint="eastAsia" w:hAnsi="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下浮系数n：用1～21号球分别代表一个下浮系数，由评委代表从这21个号码中随机抽取</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次，每次抽取1个号码，抽出的号球不参与下次抽取。所抽取的3个号码对应下浮系数的算术平均值作为</w:t>
            </w:r>
            <w:r>
              <w:rPr>
                <w:rFonts w:hint="eastAsia" w:hAnsi="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下浮系数n。具体号码对应的下浮系数可参考下表。</w:t>
            </w:r>
          </w:p>
          <w:tbl>
            <w:tblPr>
              <w:tblStyle w:val="31"/>
              <w:tblW w:w="0" w:type="auto"/>
              <w:jc w:val="center"/>
              <w:tblLayout w:type="fixed"/>
              <w:tblCellMar>
                <w:top w:w="0" w:type="dxa"/>
                <w:left w:w="108" w:type="dxa"/>
                <w:bottom w:w="0" w:type="dxa"/>
                <w:right w:w="108" w:type="dxa"/>
              </w:tblCellMar>
            </w:tblPr>
            <w:tblGrid>
              <w:gridCol w:w="1949"/>
              <w:gridCol w:w="794"/>
              <w:gridCol w:w="830"/>
              <w:gridCol w:w="864"/>
              <w:gridCol w:w="848"/>
              <w:gridCol w:w="882"/>
              <w:gridCol w:w="829"/>
              <w:gridCol w:w="819"/>
            </w:tblGrid>
            <w:tr w14:paraId="0DF1D792">
              <w:tblPrEx>
                <w:tblCellMar>
                  <w:top w:w="0" w:type="dxa"/>
                  <w:left w:w="108" w:type="dxa"/>
                  <w:bottom w:w="0" w:type="dxa"/>
                  <w:right w:w="108" w:type="dxa"/>
                </w:tblCellMar>
              </w:tblPrEx>
              <w:trPr>
                <w:trHeight w:val="248"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0DF82A2B">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2503CA6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830" w:type="dxa"/>
                  <w:tcBorders>
                    <w:top w:val="single" w:color="000000" w:sz="4" w:space="0"/>
                    <w:left w:val="single" w:color="000000" w:sz="4" w:space="0"/>
                    <w:bottom w:val="single" w:color="000000" w:sz="4" w:space="0"/>
                    <w:right w:val="single" w:color="000000" w:sz="4" w:space="0"/>
                  </w:tcBorders>
                  <w:vAlign w:val="center"/>
                </w:tcPr>
                <w:p w14:paraId="2A6A617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864" w:type="dxa"/>
                  <w:tcBorders>
                    <w:top w:val="single" w:color="000000" w:sz="4" w:space="0"/>
                    <w:left w:val="single" w:color="000000" w:sz="4" w:space="0"/>
                    <w:bottom w:val="single" w:color="000000" w:sz="4" w:space="0"/>
                    <w:right w:val="single" w:color="000000" w:sz="4" w:space="0"/>
                  </w:tcBorders>
                  <w:vAlign w:val="center"/>
                </w:tcPr>
                <w:p w14:paraId="371F8ED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848" w:type="dxa"/>
                  <w:tcBorders>
                    <w:top w:val="single" w:color="000000" w:sz="4" w:space="0"/>
                    <w:left w:val="single" w:color="000000" w:sz="4" w:space="0"/>
                    <w:bottom w:val="single" w:color="000000" w:sz="4" w:space="0"/>
                    <w:right w:val="single" w:color="000000" w:sz="4" w:space="0"/>
                  </w:tcBorders>
                  <w:vAlign w:val="center"/>
                </w:tcPr>
                <w:p w14:paraId="75C4F6AF">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882" w:type="dxa"/>
                  <w:tcBorders>
                    <w:top w:val="single" w:color="000000" w:sz="4" w:space="0"/>
                    <w:left w:val="single" w:color="000000" w:sz="4" w:space="0"/>
                    <w:bottom w:val="single" w:color="000000" w:sz="4" w:space="0"/>
                    <w:right w:val="single" w:color="000000" w:sz="4" w:space="0"/>
                  </w:tcBorders>
                  <w:vAlign w:val="center"/>
                </w:tcPr>
                <w:p w14:paraId="23F174A9">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829" w:type="dxa"/>
                  <w:tcBorders>
                    <w:top w:val="single" w:color="000000" w:sz="4" w:space="0"/>
                    <w:left w:val="single" w:color="000000" w:sz="4" w:space="0"/>
                    <w:bottom w:val="single" w:color="000000" w:sz="4" w:space="0"/>
                    <w:right w:val="single" w:color="000000" w:sz="4" w:space="0"/>
                  </w:tcBorders>
                  <w:vAlign w:val="center"/>
                </w:tcPr>
                <w:p w14:paraId="79333F7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819" w:type="dxa"/>
                  <w:tcBorders>
                    <w:top w:val="single" w:color="000000" w:sz="4" w:space="0"/>
                    <w:left w:val="single" w:color="000000" w:sz="4" w:space="0"/>
                    <w:bottom w:val="single" w:color="000000" w:sz="4" w:space="0"/>
                    <w:right w:val="single" w:color="000000" w:sz="4" w:space="0"/>
                  </w:tcBorders>
                  <w:vAlign w:val="center"/>
                </w:tcPr>
                <w:p w14:paraId="70068A15">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r>
            <w:tr w14:paraId="791D8E76">
              <w:tblPrEx>
                <w:tblCellMar>
                  <w:top w:w="0" w:type="dxa"/>
                  <w:left w:w="108" w:type="dxa"/>
                  <w:bottom w:w="0" w:type="dxa"/>
                  <w:right w:w="108" w:type="dxa"/>
                </w:tblCellMar>
              </w:tblPrEx>
              <w:trPr>
                <w:trHeight w:val="57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0D2BA57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732221F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30" w:type="dxa"/>
                  <w:tcBorders>
                    <w:top w:val="single" w:color="000000" w:sz="4" w:space="0"/>
                    <w:left w:val="single" w:color="000000" w:sz="4" w:space="0"/>
                    <w:bottom w:val="single" w:color="000000" w:sz="4" w:space="0"/>
                    <w:right w:val="single" w:color="000000" w:sz="4" w:space="0"/>
                  </w:tcBorders>
                  <w:vAlign w:val="center"/>
                </w:tcPr>
                <w:p w14:paraId="4DA2A8D1">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864" w:type="dxa"/>
                  <w:tcBorders>
                    <w:top w:val="single" w:color="000000" w:sz="4" w:space="0"/>
                    <w:left w:val="single" w:color="000000" w:sz="4" w:space="0"/>
                    <w:bottom w:val="single" w:color="000000" w:sz="4" w:space="0"/>
                    <w:right w:val="single" w:color="000000" w:sz="4" w:space="0"/>
                  </w:tcBorders>
                  <w:vAlign w:val="center"/>
                </w:tcPr>
                <w:p w14:paraId="72AB387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48" w:type="dxa"/>
                  <w:tcBorders>
                    <w:top w:val="single" w:color="000000" w:sz="4" w:space="0"/>
                    <w:left w:val="single" w:color="000000" w:sz="4" w:space="0"/>
                    <w:bottom w:val="single" w:color="000000" w:sz="4" w:space="0"/>
                    <w:right w:val="single" w:color="000000" w:sz="4" w:space="0"/>
                  </w:tcBorders>
                  <w:vAlign w:val="center"/>
                </w:tcPr>
                <w:p w14:paraId="55C80E80">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82" w:type="dxa"/>
                  <w:tcBorders>
                    <w:top w:val="single" w:color="000000" w:sz="4" w:space="0"/>
                    <w:left w:val="single" w:color="000000" w:sz="4" w:space="0"/>
                    <w:bottom w:val="single" w:color="000000" w:sz="4" w:space="0"/>
                    <w:right w:val="single" w:color="000000" w:sz="4" w:space="0"/>
                  </w:tcBorders>
                  <w:vAlign w:val="center"/>
                </w:tcPr>
                <w:p w14:paraId="63F20F9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829" w:type="dxa"/>
                  <w:tcBorders>
                    <w:top w:val="single" w:color="000000" w:sz="4" w:space="0"/>
                    <w:left w:val="single" w:color="000000" w:sz="4" w:space="0"/>
                    <w:bottom w:val="single" w:color="000000" w:sz="4" w:space="0"/>
                    <w:right w:val="single" w:color="000000" w:sz="4" w:space="0"/>
                  </w:tcBorders>
                  <w:vAlign w:val="center"/>
                </w:tcPr>
                <w:p w14:paraId="5C6515E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19" w:type="dxa"/>
                  <w:tcBorders>
                    <w:top w:val="single" w:color="000000" w:sz="4" w:space="0"/>
                    <w:left w:val="single" w:color="000000" w:sz="4" w:space="0"/>
                    <w:bottom w:val="single" w:color="000000" w:sz="4" w:space="0"/>
                    <w:right w:val="single" w:color="000000" w:sz="4" w:space="0"/>
                  </w:tcBorders>
                  <w:vAlign w:val="center"/>
                </w:tcPr>
                <w:p w14:paraId="3056149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r>
            <w:tr w14:paraId="3EAD1EE0">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5536D489">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3722F01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830" w:type="dxa"/>
                  <w:tcBorders>
                    <w:top w:val="single" w:color="000000" w:sz="4" w:space="0"/>
                    <w:left w:val="single" w:color="000000" w:sz="4" w:space="0"/>
                    <w:bottom w:val="single" w:color="000000" w:sz="4" w:space="0"/>
                    <w:right w:val="single" w:color="000000" w:sz="4" w:space="0"/>
                  </w:tcBorders>
                  <w:vAlign w:val="center"/>
                </w:tcPr>
                <w:p w14:paraId="471A335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864" w:type="dxa"/>
                  <w:tcBorders>
                    <w:top w:val="single" w:color="000000" w:sz="4" w:space="0"/>
                    <w:left w:val="single" w:color="000000" w:sz="4" w:space="0"/>
                    <w:bottom w:val="single" w:color="000000" w:sz="4" w:space="0"/>
                    <w:right w:val="single" w:color="000000" w:sz="4" w:space="0"/>
                  </w:tcBorders>
                  <w:vAlign w:val="center"/>
                </w:tcPr>
                <w:p w14:paraId="1D7EEDC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48" w:type="dxa"/>
                  <w:tcBorders>
                    <w:top w:val="single" w:color="000000" w:sz="4" w:space="0"/>
                    <w:left w:val="single" w:color="000000" w:sz="4" w:space="0"/>
                    <w:bottom w:val="single" w:color="000000" w:sz="4" w:space="0"/>
                    <w:right w:val="single" w:color="000000" w:sz="4" w:space="0"/>
                  </w:tcBorders>
                  <w:vAlign w:val="center"/>
                </w:tcPr>
                <w:p w14:paraId="530D318F">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882" w:type="dxa"/>
                  <w:tcBorders>
                    <w:top w:val="single" w:color="000000" w:sz="4" w:space="0"/>
                    <w:left w:val="single" w:color="000000" w:sz="4" w:space="0"/>
                    <w:bottom w:val="single" w:color="000000" w:sz="4" w:space="0"/>
                    <w:right w:val="single" w:color="000000" w:sz="4" w:space="0"/>
                  </w:tcBorders>
                  <w:vAlign w:val="center"/>
                </w:tcPr>
                <w:p w14:paraId="00C97CF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29" w:type="dxa"/>
                  <w:tcBorders>
                    <w:top w:val="single" w:color="000000" w:sz="4" w:space="0"/>
                    <w:left w:val="single" w:color="000000" w:sz="4" w:space="0"/>
                    <w:bottom w:val="single" w:color="000000" w:sz="4" w:space="0"/>
                    <w:right w:val="single" w:color="000000" w:sz="4" w:space="0"/>
                  </w:tcBorders>
                  <w:vAlign w:val="center"/>
                </w:tcPr>
                <w:p w14:paraId="33BEEA0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19" w:type="dxa"/>
                  <w:tcBorders>
                    <w:top w:val="single" w:color="000000" w:sz="4" w:space="0"/>
                    <w:left w:val="single" w:color="000000" w:sz="4" w:space="0"/>
                    <w:bottom w:val="single" w:color="000000" w:sz="4" w:space="0"/>
                    <w:right w:val="single" w:color="000000" w:sz="4" w:space="0"/>
                  </w:tcBorders>
                  <w:vAlign w:val="center"/>
                </w:tcPr>
                <w:p w14:paraId="0062697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r>
            <w:tr w14:paraId="4547A747">
              <w:tblPrEx>
                <w:tblCellMar>
                  <w:top w:w="0" w:type="dxa"/>
                  <w:left w:w="108" w:type="dxa"/>
                  <w:bottom w:w="0" w:type="dxa"/>
                  <w:right w:w="108" w:type="dxa"/>
                </w:tblCellMar>
              </w:tblPrEx>
              <w:trPr>
                <w:trHeight w:val="515"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71EE082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04D166A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30" w:type="dxa"/>
                  <w:tcBorders>
                    <w:top w:val="single" w:color="000000" w:sz="4" w:space="0"/>
                    <w:left w:val="single" w:color="000000" w:sz="4" w:space="0"/>
                    <w:bottom w:val="single" w:color="000000" w:sz="4" w:space="0"/>
                    <w:right w:val="single" w:color="000000" w:sz="4" w:space="0"/>
                  </w:tcBorders>
                  <w:vAlign w:val="center"/>
                </w:tcPr>
                <w:p w14:paraId="4BFD1C5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864" w:type="dxa"/>
                  <w:tcBorders>
                    <w:top w:val="single" w:color="000000" w:sz="4" w:space="0"/>
                    <w:left w:val="single" w:color="000000" w:sz="4" w:space="0"/>
                    <w:bottom w:val="single" w:color="000000" w:sz="4" w:space="0"/>
                    <w:right w:val="single" w:color="000000" w:sz="4" w:space="0"/>
                  </w:tcBorders>
                  <w:vAlign w:val="center"/>
                </w:tcPr>
                <w:p w14:paraId="5B40A02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48" w:type="dxa"/>
                  <w:tcBorders>
                    <w:top w:val="single" w:color="000000" w:sz="4" w:space="0"/>
                    <w:left w:val="single" w:color="000000" w:sz="4" w:space="0"/>
                    <w:bottom w:val="single" w:color="000000" w:sz="4" w:space="0"/>
                    <w:right w:val="single" w:color="000000" w:sz="4" w:space="0"/>
                  </w:tcBorders>
                  <w:vAlign w:val="center"/>
                </w:tcPr>
                <w:p w14:paraId="147FC3D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82" w:type="dxa"/>
                  <w:tcBorders>
                    <w:top w:val="single" w:color="000000" w:sz="4" w:space="0"/>
                    <w:left w:val="single" w:color="000000" w:sz="4" w:space="0"/>
                    <w:bottom w:val="single" w:color="000000" w:sz="4" w:space="0"/>
                    <w:right w:val="single" w:color="000000" w:sz="4" w:space="0"/>
                  </w:tcBorders>
                  <w:vAlign w:val="center"/>
                </w:tcPr>
                <w:p w14:paraId="6B36024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829" w:type="dxa"/>
                  <w:tcBorders>
                    <w:top w:val="single" w:color="000000" w:sz="4" w:space="0"/>
                    <w:left w:val="single" w:color="000000" w:sz="4" w:space="0"/>
                    <w:bottom w:val="single" w:color="000000" w:sz="4" w:space="0"/>
                    <w:right w:val="single" w:color="000000" w:sz="4" w:space="0"/>
                  </w:tcBorders>
                  <w:vAlign w:val="center"/>
                </w:tcPr>
                <w:p w14:paraId="07BAE1C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819" w:type="dxa"/>
                  <w:tcBorders>
                    <w:top w:val="single" w:color="000000" w:sz="4" w:space="0"/>
                    <w:left w:val="single" w:color="000000" w:sz="4" w:space="0"/>
                    <w:bottom w:val="single" w:color="000000" w:sz="4" w:space="0"/>
                    <w:right w:val="single" w:color="000000" w:sz="4" w:space="0"/>
                  </w:tcBorders>
                  <w:vAlign w:val="center"/>
                </w:tcPr>
                <w:p w14:paraId="73D30A8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r>
            <w:tr w14:paraId="71D73A2E">
              <w:tblPrEx>
                <w:tblCellMar>
                  <w:top w:w="0" w:type="dxa"/>
                  <w:left w:w="108" w:type="dxa"/>
                  <w:bottom w:w="0" w:type="dxa"/>
                  <w:right w:w="108" w:type="dxa"/>
                </w:tblCellMar>
              </w:tblPrEx>
              <w:trPr>
                <w:trHeight w:val="47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335209A5">
                  <w:pPr>
                    <w:wordWrap w:val="0"/>
                    <w:adjustRightInd w:val="0"/>
                    <w:snapToGrid w:val="0"/>
                    <w:spacing w:line="360" w:lineRule="auto"/>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794" w:type="dxa"/>
                  <w:tcBorders>
                    <w:top w:val="single" w:color="000000" w:sz="4" w:space="0"/>
                    <w:left w:val="single" w:color="000000" w:sz="4" w:space="0"/>
                    <w:bottom w:val="single" w:color="000000" w:sz="4" w:space="0"/>
                    <w:right w:val="single" w:color="000000" w:sz="4" w:space="0"/>
                  </w:tcBorders>
                  <w:vAlign w:val="center"/>
                </w:tcPr>
                <w:p w14:paraId="635216F6">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30" w:type="dxa"/>
                  <w:tcBorders>
                    <w:top w:val="single" w:color="000000" w:sz="4" w:space="0"/>
                    <w:left w:val="single" w:color="000000" w:sz="4" w:space="0"/>
                    <w:bottom w:val="single" w:color="000000" w:sz="4" w:space="0"/>
                    <w:right w:val="single" w:color="000000" w:sz="4" w:space="0"/>
                  </w:tcBorders>
                  <w:vAlign w:val="center"/>
                </w:tcPr>
                <w:p w14:paraId="142E09A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864" w:type="dxa"/>
                  <w:tcBorders>
                    <w:top w:val="single" w:color="000000" w:sz="4" w:space="0"/>
                    <w:left w:val="single" w:color="000000" w:sz="4" w:space="0"/>
                    <w:bottom w:val="single" w:color="000000" w:sz="4" w:space="0"/>
                    <w:right w:val="single" w:color="000000" w:sz="4" w:space="0"/>
                  </w:tcBorders>
                  <w:vAlign w:val="center"/>
                </w:tcPr>
                <w:p w14:paraId="0E1E685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48" w:type="dxa"/>
                  <w:tcBorders>
                    <w:top w:val="single" w:color="000000" w:sz="4" w:space="0"/>
                    <w:left w:val="single" w:color="000000" w:sz="4" w:space="0"/>
                    <w:bottom w:val="single" w:color="000000" w:sz="4" w:space="0"/>
                    <w:right w:val="single" w:color="000000" w:sz="4" w:space="0"/>
                  </w:tcBorders>
                  <w:vAlign w:val="center"/>
                </w:tcPr>
                <w:p w14:paraId="0C86F937">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882" w:type="dxa"/>
                  <w:tcBorders>
                    <w:top w:val="single" w:color="000000" w:sz="4" w:space="0"/>
                    <w:left w:val="single" w:color="000000" w:sz="4" w:space="0"/>
                    <w:bottom w:val="single" w:color="000000" w:sz="4" w:space="0"/>
                    <w:right w:val="single" w:color="000000" w:sz="4" w:space="0"/>
                  </w:tcBorders>
                  <w:vAlign w:val="center"/>
                </w:tcPr>
                <w:p w14:paraId="50AD250B">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29" w:type="dxa"/>
                  <w:tcBorders>
                    <w:top w:val="single" w:color="000000" w:sz="4" w:space="0"/>
                    <w:left w:val="single" w:color="000000" w:sz="4" w:space="0"/>
                    <w:bottom w:val="single" w:color="000000" w:sz="4" w:space="0"/>
                    <w:right w:val="single" w:color="000000" w:sz="4" w:space="0"/>
                  </w:tcBorders>
                  <w:vAlign w:val="center"/>
                </w:tcPr>
                <w:p w14:paraId="49886A84">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19" w:type="dxa"/>
                  <w:tcBorders>
                    <w:top w:val="single" w:color="000000" w:sz="4" w:space="0"/>
                    <w:left w:val="single" w:color="000000" w:sz="4" w:space="0"/>
                    <w:bottom w:val="single" w:color="000000" w:sz="4" w:space="0"/>
                    <w:right w:val="single" w:color="000000" w:sz="4" w:space="0"/>
                  </w:tcBorders>
                  <w:vAlign w:val="center"/>
                </w:tcPr>
                <w:p w14:paraId="5E09FA4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r>
            <w:tr w14:paraId="792B9D54">
              <w:tblPrEx>
                <w:tblCellMar>
                  <w:top w:w="0" w:type="dxa"/>
                  <w:left w:w="108" w:type="dxa"/>
                  <w:bottom w:w="0" w:type="dxa"/>
                  <w:right w:w="108" w:type="dxa"/>
                </w:tblCellMar>
              </w:tblPrEx>
              <w:trPr>
                <w:trHeight w:val="600" w:hRule="atLeast"/>
                <w:jc w:val="center"/>
              </w:trPr>
              <w:tc>
                <w:tcPr>
                  <w:tcW w:w="1949" w:type="dxa"/>
                  <w:tcBorders>
                    <w:top w:val="single" w:color="000000" w:sz="4" w:space="0"/>
                    <w:left w:val="single" w:color="000000" w:sz="4" w:space="0"/>
                    <w:bottom w:val="single" w:color="000000" w:sz="4" w:space="0"/>
                    <w:right w:val="single" w:color="000000" w:sz="4" w:space="0"/>
                  </w:tcBorders>
                  <w:vAlign w:val="center"/>
                </w:tcPr>
                <w:p w14:paraId="78997BCC">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vAlign w:val="center"/>
                </w:tcPr>
                <w:p w14:paraId="75A918BF">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830" w:type="dxa"/>
                  <w:tcBorders>
                    <w:top w:val="single" w:color="000000" w:sz="4" w:space="0"/>
                    <w:left w:val="single" w:color="000000" w:sz="4" w:space="0"/>
                    <w:bottom w:val="single" w:color="000000" w:sz="4" w:space="0"/>
                    <w:right w:val="single" w:color="000000" w:sz="4" w:space="0"/>
                  </w:tcBorders>
                  <w:vAlign w:val="center"/>
                </w:tcPr>
                <w:p w14:paraId="4A1DAAB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864" w:type="dxa"/>
                  <w:tcBorders>
                    <w:top w:val="single" w:color="000000" w:sz="4" w:space="0"/>
                    <w:left w:val="single" w:color="000000" w:sz="4" w:space="0"/>
                    <w:bottom w:val="single" w:color="000000" w:sz="4" w:space="0"/>
                    <w:right w:val="single" w:color="000000" w:sz="4" w:space="0"/>
                  </w:tcBorders>
                  <w:vAlign w:val="center"/>
                </w:tcPr>
                <w:p w14:paraId="65AE68DD">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848" w:type="dxa"/>
                  <w:tcBorders>
                    <w:top w:val="single" w:color="000000" w:sz="4" w:space="0"/>
                    <w:left w:val="single" w:color="000000" w:sz="4" w:space="0"/>
                    <w:bottom w:val="single" w:color="000000" w:sz="4" w:space="0"/>
                    <w:right w:val="single" w:color="000000" w:sz="4" w:space="0"/>
                  </w:tcBorders>
                  <w:vAlign w:val="center"/>
                </w:tcPr>
                <w:p w14:paraId="0FF11C22">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882" w:type="dxa"/>
                  <w:tcBorders>
                    <w:top w:val="single" w:color="000000" w:sz="4" w:space="0"/>
                    <w:left w:val="single" w:color="000000" w:sz="4" w:space="0"/>
                    <w:bottom w:val="single" w:color="000000" w:sz="4" w:space="0"/>
                    <w:right w:val="single" w:color="000000" w:sz="4" w:space="0"/>
                  </w:tcBorders>
                  <w:vAlign w:val="center"/>
                </w:tcPr>
                <w:p w14:paraId="5B044708">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2.8</w:t>
                  </w:r>
                </w:p>
              </w:tc>
              <w:tc>
                <w:tcPr>
                  <w:tcW w:w="829" w:type="dxa"/>
                  <w:tcBorders>
                    <w:top w:val="single" w:color="000000" w:sz="4" w:space="0"/>
                    <w:left w:val="single" w:color="000000" w:sz="4" w:space="0"/>
                    <w:bottom w:val="single" w:color="000000" w:sz="4" w:space="0"/>
                    <w:right w:val="single" w:color="000000" w:sz="4" w:space="0"/>
                  </w:tcBorders>
                  <w:vAlign w:val="center"/>
                </w:tcPr>
                <w:p w14:paraId="543F4C0A">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2.9</w:t>
                  </w:r>
                </w:p>
              </w:tc>
              <w:tc>
                <w:tcPr>
                  <w:tcW w:w="819" w:type="dxa"/>
                  <w:tcBorders>
                    <w:top w:val="single" w:color="000000" w:sz="4" w:space="0"/>
                    <w:left w:val="single" w:color="000000" w:sz="4" w:space="0"/>
                    <w:bottom w:val="single" w:color="000000" w:sz="4" w:space="0"/>
                    <w:right w:val="single" w:color="000000" w:sz="4" w:space="0"/>
                  </w:tcBorders>
                  <w:vAlign w:val="center"/>
                </w:tcPr>
                <w:p w14:paraId="50D535DE">
                  <w:pPr>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3.0</w:t>
                  </w:r>
                </w:p>
              </w:tc>
            </w:tr>
          </w:tbl>
          <w:p w14:paraId="6F6597A9">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（2）评标基准价D＝</w:t>
            </w:r>
            <w:r>
              <w:rPr>
                <w:rFonts w:hint="eastAsia" w:hAnsi="宋体" w:cs="宋体"/>
                <w:snapToGrid w:val="0"/>
                <w:color w:val="auto"/>
                <w:kern w:val="0"/>
                <w:sz w:val="24"/>
                <w:szCs w:val="24"/>
                <w:highlight w:val="none"/>
                <w:lang w:eastAsia="zh-CN"/>
              </w:rPr>
              <w:t>最高投标限价</w:t>
            </w:r>
            <w:r>
              <w:rPr>
                <w:rFonts w:hint="eastAsia" w:ascii="宋体" w:hAnsi="宋体" w:eastAsia="宋体" w:cs="宋体"/>
                <w:snapToGrid w:val="0"/>
                <w:color w:val="auto"/>
                <w:kern w:val="0"/>
                <w:sz w:val="24"/>
                <w:szCs w:val="24"/>
                <w:highlight w:val="none"/>
              </w:rPr>
              <w:t>×（1－n）</w:t>
            </w:r>
          </w:p>
        </w:tc>
      </w:tr>
      <w:tr w14:paraId="3318ED63">
        <w:tblPrEx>
          <w:tblCellMar>
            <w:top w:w="0" w:type="dxa"/>
            <w:left w:w="108" w:type="dxa"/>
            <w:bottom w:w="0" w:type="dxa"/>
            <w:right w:w="108" w:type="dxa"/>
          </w:tblCellMar>
        </w:tblPrEx>
        <w:trPr>
          <w:trHeight w:val="23" w:hRule="atLeast"/>
          <w:jc w:val="center"/>
        </w:trPr>
        <w:tc>
          <w:tcPr>
            <w:tcW w:w="1493" w:type="dxa"/>
            <w:tcBorders>
              <w:top w:val="single" w:color="auto" w:sz="4" w:space="0"/>
              <w:left w:val="single" w:color="auto" w:sz="4" w:space="0"/>
              <w:bottom w:val="single" w:color="auto" w:sz="4" w:space="0"/>
              <w:right w:val="single" w:color="auto" w:sz="4" w:space="0"/>
            </w:tcBorders>
            <w:noWrap w:val="0"/>
            <w:vAlign w:val="center"/>
          </w:tcPr>
          <w:p w14:paraId="4238D6E6">
            <w:pPr>
              <w:pStyle w:val="6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w:t>
            </w:r>
          </w:p>
          <w:p w14:paraId="121EC598">
            <w:pPr>
              <w:pStyle w:val="67"/>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得分N</w:t>
            </w:r>
          </w:p>
        </w:tc>
        <w:tc>
          <w:tcPr>
            <w:tcW w:w="9360" w:type="dxa"/>
            <w:gridSpan w:val="2"/>
            <w:tcBorders>
              <w:top w:val="single" w:color="auto" w:sz="4" w:space="0"/>
              <w:left w:val="single" w:color="auto" w:sz="4" w:space="0"/>
              <w:bottom w:val="single" w:color="auto" w:sz="4" w:space="0"/>
              <w:right w:val="single" w:color="auto" w:sz="4" w:space="0"/>
            </w:tcBorders>
            <w:noWrap w:val="0"/>
            <w:vAlign w:val="center"/>
          </w:tcPr>
          <w:p w14:paraId="7CFF6B52">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w:t>
            </w:r>
            <w:r>
              <w:rPr>
                <w:rFonts w:hint="eastAsia" w:ascii="宋体" w:hAnsi="宋体" w:eastAsia="宋体" w:cs="宋体"/>
                <w:snapToGrid w:val="0"/>
                <w:color w:val="auto"/>
                <w:kern w:val="0"/>
                <w:sz w:val="24"/>
                <w:szCs w:val="24"/>
                <w:highlight w:val="none"/>
                <w:lang w:val="en-US" w:eastAsia="zh-CN"/>
              </w:rPr>
              <w:t>100</w:t>
            </w:r>
            <w:r>
              <w:rPr>
                <w:rFonts w:hint="eastAsia" w:ascii="宋体" w:hAnsi="宋体" w:eastAsia="宋体" w:cs="宋体"/>
                <w:snapToGrid w:val="0"/>
                <w:color w:val="auto"/>
                <w:kern w:val="0"/>
                <w:sz w:val="24"/>
                <w:szCs w:val="24"/>
                <w:highlight w:val="none"/>
              </w:rPr>
              <w:t>分，每高于评标基准价一个百分点扣</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分, 每低于评标基准价一个百分点扣</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分，扣完为止。公式如下：</w:t>
            </w:r>
          </w:p>
          <w:p w14:paraId="41EA87FA">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0－（| Di－D | ÷D）×100×E</w:t>
            </w:r>
          </w:p>
          <w:p w14:paraId="21FF5C85">
            <w:pPr>
              <w:wordWrap w:val="0"/>
              <w:adjustRightInd w:val="0"/>
              <w:snapToGrid w:val="0"/>
              <w:spacing w:line="360" w:lineRule="auto"/>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式中：D为评标基准价；Di为某投标人的投标总价；E为扣分因子，当Di＞D时，E＝</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；当Di＜D时，E＝</w:t>
            </w:r>
            <w:r>
              <w:rPr>
                <w:rFonts w:hint="eastAsia" w:ascii="宋体" w:hAnsi="宋体" w:eastAsia="宋体" w:cs="宋体"/>
                <w:snapToGrid w:val="0"/>
                <w:color w:val="auto"/>
                <w:kern w:val="0"/>
                <w:sz w:val="24"/>
                <w:szCs w:val="24"/>
                <w:highlight w:val="none"/>
                <w:lang w:val="en-US" w:eastAsia="zh-CN"/>
              </w:rPr>
              <w:t>0.5</w:t>
            </w:r>
            <w:r>
              <w:rPr>
                <w:rFonts w:hint="eastAsia" w:ascii="宋体" w:hAnsi="宋体" w:eastAsia="宋体" w:cs="宋体"/>
                <w:snapToGrid w:val="0"/>
                <w:color w:val="auto"/>
                <w:kern w:val="0"/>
                <w:sz w:val="24"/>
                <w:szCs w:val="24"/>
                <w:highlight w:val="none"/>
              </w:rPr>
              <w:t>。</w:t>
            </w:r>
          </w:p>
        </w:tc>
      </w:tr>
    </w:tbl>
    <w:p w14:paraId="51801D79">
      <w:pPr>
        <w:keepNext w:val="0"/>
        <w:keepLines w:val="0"/>
        <w:pageBreakBefore w:val="0"/>
        <w:widowControl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15.5.2 </w:t>
      </w:r>
      <w:r>
        <w:rPr>
          <w:rFonts w:hint="eastAsia" w:ascii="宋体" w:hAnsi="宋体" w:eastAsia="宋体" w:cs="宋体"/>
          <w:snapToGrid w:val="0"/>
          <w:color w:val="auto"/>
          <w:kern w:val="0"/>
          <w:highlight w:val="none"/>
        </w:rPr>
        <w:t>否决投标说明</w:t>
      </w:r>
    </w:p>
    <w:p w14:paraId="5F21881B">
      <w:pPr>
        <w:keepNext w:val="0"/>
        <w:keepLines w:val="0"/>
        <w:pageBreakBefore w:val="0"/>
        <w:kinsoku/>
        <w:wordWrap w:val="0"/>
        <w:overflowPunct/>
        <w:topLinePunct w:val="0"/>
        <w:autoSpaceDE/>
        <w:autoSpaceDN/>
        <w:bidi w:val="0"/>
        <w:adjustRightInd w:val="0"/>
        <w:snapToGrid w:val="0"/>
        <w:spacing w:line="336"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详细评审阶段否决投标的全部条件，在本章第四节“否决投标条件”第</w:t>
      </w:r>
      <w:r>
        <w:rPr>
          <w:rFonts w:hint="eastAsia" w:ascii="宋体" w:hAnsi="宋体" w:eastAsia="宋体" w:cs="宋体"/>
          <w:b/>
          <w:bCs/>
          <w:snapToGrid w:val="0"/>
          <w:color w:val="auto"/>
          <w:kern w:val="0"/>
          <w:highlight w:val="none"/>
        </w:rPr>
        <w:t>4</w:t>
      </w:r>
      <w:r>
        <w:rPr>
          <w:rFonts w:hint="eastAsia" w:ascii="宋体" w:hAnsi="宋体" w:eastAsia="宋体" w:cs="宋体"/>
          <w:snapToGrid w:val="0"/>
          <w:color w:val="auto"/>
          <w:kern w:val="0"/>
          <w:highlight w:val="none"/>
        </w:rPr>
        <w:t>条中集中列示。投标人有其中所列任何一种情形的，由评标委员会否决其投标。</w:t>
      </w:r>
      <w:r>
        <w:rPr>
          <w:rFonts w:hint="eastAsia" w:ascii="宋体" w:hAnsi="宋体" w:eastAsia="宋体" w:cs="宋体"/>
          <w:snapToGrid w:val="0"/>
          <w:color w:val="auto"/>
          <w:kern w:val="0"/>
          <w:highlight w:val="none"/>
          <w:lang w:val="en-US" w:eastAsia="zh-CN"/>
        </w:rPr>
        <w:t>评标委员会经评审，认为所有投标都不符合招标文件要求的，可否决所有投标，项目的所有投标被否决的，招标人应依法重新组织招标。</w:t>
      </w:r>
    </w:p>
    <w:p w14:paraId="20D7B7CF">
      <w:pPr>
        <w:keepNext w:val="0"/>
        <w:keepLines w:val="0"/>
        <w:pageBreakBefore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b/>
          <w:snapToGrid w:val="0"/>
          <w:color w:val="auto"/>
          <w:kern w:val="0"/>
          <w:highlight w:val="none"/>
        </w:rPr>
      </w:pPr>
      <w:r>
        <w:rPr>
          <w:rFonts w:hint="eastAsia" w:ascii="宋体" w:hAnsi="宋体" w:eastAsia="宋体" w:cs="宋体"/>
          <w:b/>
          <w:bCs/>
          <w:snapToGrid w:val="0"/>
          <w:color w:val="auto"/>
          <w:kern w:val="0"/>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0FA5A99F">
      <w:pPr>
        <w:keepNext w:val="0"/>
        <w:keepLines w:val="0"/>
        <w:pageBreakBefore w:val="0"/>
        <w:widowControl w:val="0"/>
        <w:kinsoku/>
        <w:wordWrap/>
        <w:overflowPunct/>
        <w:topLinePunct w:val="0"/>
        <w:autoSpaceDE/>
        <w:autoSpaceDN/>
        <w:bidi w:val="0"/>
        <w:adjustRightInd/>
        <w:snapToGrid/>
        <w:spacing w:line="336" w:lineRule="auto"/>
        <w:ind w:firstLine="482" w:firstLineChars="200"/>
        <w:textAlignment w:val="auto"/>
        <w:outlineLvl w:val="1"/>
        <w:rPr>
          <w:rStyle w:val="155"/>
          <w:rFonts w:hint="eastAsia" w:ascii="宋体" w:hAnsi="宋体" w:eastAsia="宋体" w:cs="宋体"/>
          <w:color w:val="auto"/>
          <w:highlight w:val="none"/>
          <w:lang w:val="en-US" w:eastAsia="zh-CN"/>
        </w:rPr>
      </w:pPr>
      <w:bookmarkStart w:id="137" w:name="_Toc2839"/>
      <w:r>
        <w:rPr>
          <w:rStyle w:val="155"/>
          <w:rFonts w:hint="eastAsia" w:ascii="宋体" w:hAnsi="宋体" w:eastAsia="宋体" w:cs="宋体"/>
          <w:color w:val="auto"/>
          <w:highlight w:val="none"/>
          <w:lang w:val="en-US" w:eastAsia="zh-CN"/>
        </w:rPr>
        <w:t>16．中标候选人公示</w:t>
      </w:r>
      <w:bookmarkEnd w:id="137"/>
    </w:p>
    <w:p w14:paraId="6C424E97">
      <w:pPr>
        <w:keepNext w:val="0"/>
        <w:keepLines w:val="0"/>
        <w:pageBreakBefore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highlight w:val="none"/>
        </w:rPr>
        <w:t>16.1</w:t>
      </w:r>
      <w:r>
        <w:rPr>
          <w:rFonts w:hint="eastAsia" w:ascii="宋体" w:hAnsi="宋体" w:eastAsia="宋体" w:cs="宋体"/>
          <w:snapToGrid w:val="0"/>
          <w:color w:val="auto"/>
          <w:kern w:val="0"/>
          <w:highlight w:val="none"/>
        </w:rPr>
        <w:t xml:space="preserve"> 招标人自收到评标委员会提交的书面评标报告和中标候选人名单之日起3日内，将评标结果（即中标候选人名单）、中标候选人投标文件（指商务标书分册）、评标过程（评标专家姓名用代码标记）一并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eastAsia="zh-CN"/>
        </w:rPr>
        <w:t>、</w:t>
      </w:r>
      <w:r>
        <w:rPr>
          <w:rFonts w:hint="eastAsia" w:hAnsi="宋体"/>
          <w:snapToGrid w:val="0"/>
          <w:color w:val="auto"/>
          <w:kern w:val="0"/>
          <w:highlight w:val="none"/>
        </w:rPr>
        <w:t>全国公共资源交易平台（广东省·韶关市）（https://ygp.gdzwfw.gov.cn/ggzy-portal/#/440200/index）</w:t>
      </w:r>
      <w:r>
        <w:rPr>
          <w:rFonts w:hint="eastAsia" w:ascii="宋体" w:hAnsi="宋体" w:eastAsia="宋体" w:cs="宋体"/>
          <w:snapToGrid w:val="0"/>
          <w:color w:val="auto"/>
          <w:kern w:val="0"/>
          <w:highlight w:val="none"/>
        </w:rPr>
        <w:t>进行公示，公示期不得少于3天。</w:t>
      </w:r>
    </w:p>
    <w:p w14:paraId="5CC34B69">
      <w:pPr>
        <w:keepNext w:val="0"/>
        <w:keepLines w:val="0"/>
        <w:pageBreakBefore w:val="0"/>
        <w:widowControl/>
        <w:suppressLineNumbers w:val="0"/>
        <w:kinsoku/>
        <w:wordWrap/>
        <w:overflowPunct/>
        <w:topLinePunct w:val="0"/>
        <w:autoSpaceDE/>
        <w:autoSpaceDN/>
        <w:bidi w:val="0"/>
        <w:adjustRightInd/>
        <w:snapToGrid/>
        <w:spacing w:line="336" w:lineRule="auto"/>
        <w:ind w:firstLine="482" w:firstLineChars="200"/>
        <w:jc w:val="left"/>
        <w:textAlignment w:val="auto"/>
        <w:rPr>
          <w:color w:val="auto"/>
          <w:highlight w:val="none"/>
        </w:rPr>
      </w:pPr>
      <w:r>
        <w:rPr>
          <w:rFonts w:hint="eastAsia" w:ascii="宋体" w:hAnsi="宋体" w:eastAsia="宋体" w:cs="宋体"/>
          <w:b/>
          <w:bCs/>
          <w:snapToGrid w:val="0"/>
          <w:color w:val="auto"/>
          <w:kern w:val="0"/>
          <w:highlight w:val="none"/>
        </w:rPr>
        <w:t>16.3</w:t>
      </w:r>
      <w:r>
        <w:rPr>
          <w:rFonts w:hint="eastAsia" w:ascii="宋体" w:hAnsi="宋体" w:eastAsia="宋体" w:cs="宋体"/>
          <w:snapToGrid w:val="0"/>
          <w:color w:val="auto"/>
          <w:kern w:val="0"/>
          <w:highlight w:val="none"/>
        </w:rPr>
        <w:t xml:space="preserve"> 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发改〔2021〕44号）执行。</w:t>
      </w:r>
      <w:r>
        <w:rPr>
          <w:rFonts w:hint="eastAsia" w:ascii="宋体" w:hAnsi="宋体" w:eastAsia="宋体" w:cs="宋体"/>
          <w:color w:val="auto"/>
          <w:kern w:val="0"/>
          <w:sz w:val="24"/>
          <w:szCs w:val="24"/>
          <w:highlight w:val="none"/>
          <w:lang w:val="en-US" w:eastAsia="zh-CN" w:bidi="ar"/>
        </w:rPr>
        <w:t>如通过交易服务平台提出异议，投标人必须上传提交异议书扫描件（作为附件），异议书格式内容按照</w:t>
      </w:r>
      <w:r>
        <w:rPr>
          <w:rFonts w:hint="eastAsia" w:ascii="宋体" w:hAnsi="宋体" w:eastAsia="宋体" w:cs="宋体"/>
          <w:snapToGrid w:val="0"/>
          <w:color w:val="auto"/>
          <w:kern w:val="0"/>
          <w:highlight w:val="none"/>
        </w:rPr>
        <w:t>《韶关市工程建设项目招标投标活动异议和投诉处理办法》（韶发改〔2021〕44号）</w:t>
      </w:r>
      <w:r>
        <w:rPr>
          <w:rFonts w:hint="eastAsia" w:ascii="宋体" w:hAnsi="宋体" w:eastAsia="宋体" w:cs="宋体"/>
          <w:color w:val="auto"/>
          <w:kern w:val="0"/>
          <w:sz w:val="24"/>
          <w:szCs w:val="24"/>
          <w:highlight w:val="none"/>
          <w:lang w:val="en-US" w:eastAsia="zh-CN" w:bidi="ar"/>
        </w:rPr>
        <w:t>，否则招标人不予受理。投标人提出异议后，必须及时通知招标人查收，否则，由此造成的超出法律规定时限的后果，由投标人自行承担。招标人受理异议后，投标人须及时向招标人提交书面异议。项目如收到异议、投诉等情形，可以根据需要从交易中心处调取纸质档案。</w:t>
      </w:r>
    </w:p>
    <w:p w14:paraId="3613602E">
      <w:pPr>
        <w:keepNext w:val="0"/>
        <w:keepLines w:val="0"/>
        <w:pageBreakBefore w:val="0"/>
        <w:kinsoku/>
        <w:wordWrap w:val="0"/>
        <w:overflowPunct/>
        <w:topLinePunct w:val="0"/>
        <w:autoSpaceDE/>
        <w:autoSpaceDN/>
        <w:bidi w:val="0"/>
        <w:adjustRightInd w:val="0"/>
        <w:snapToGrid w:val="0"/>
        <w:spacing w:line="336"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16.4</w:t>
      </w:r>
      <w:r>
        <w:rPr>
          <w:rFonts w:hint="eastAsia" w:ascii="宋体" w:hAnsi="宋体" w:eastAsia="宋体" w:cs="宋体"/>
          <w:snapToGrid w:val="0"/>
          <w:color w:val="auto"/>
          <w:kern w:val="0"/>
          <w:highlight w:val="none"/>
        </w:rPr>
        <w:t xml:space="preserve"> 中标候选人公示期满无异议（投诉）后，招标人确定第一中标候选人为中标人，并在中标人确定之日起7日内向中标人发出中标通知书。在中标通知书发出后5个工作日内，韶关市公共资源交易中心将投标保证金（或银行保函）退还给中标候选人以外的投标人。</w:t>
      </w:r>
    </w:p>
    <w:p w14:paraId="619B9F5F">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0696D3F1">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第四节 否决投标条件</w:t>
      </w:r>
    </w:p>
    <w:p w14:paraId="3944C43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本节所集中列示的否决投标条件，是本章第三节“投标人须知正文”的组成部分，是对本章第三节所规定的否决投标条件的总结和补充。</w:t>
      </w:r>
      <w:r>
        <w:rPr>
          <w:rFonts w:hint="eastAsia" w:ascii="宋体" w:hAnsi="宋体" w:eastAsia="宋体" w:cs="宋体"/>
          <w:b/>
          <w:bCs/>
          <w:snapToGrid w:val="0"/>
          <w:color w:val="auto"/>
          <w:kern w:val="0"/>
          <w:highlight w:val="none"/>
        </w:rPr>
        <w:t>投标人未有列入本节情形的，评标时一律不得否决其投标。</w:t>
      </w:r>
      <w:r>
        <w:rPr>
          <w:rFonts w:hint="eastAsia" w:ascii="宋体" w:hAnsi="宋体" w:eastAsia="宋体" w:cs="宋体"/>
          <w:snapToGrid w:val="0"/>
          <w:color w:val="auto"/>
          <w:kern w:val="0"/>
          <w:highlight w:val="none"/>
        </w:rPr>
        <w:t>本节所称“规定”均指招标文件的规定。</w:t>
      </w:r>
    </w:p>
    <w:p w14:paraId="75F752C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5"/>
          <w:rFonts w:hint="eastAsia" w:ascii="宋体" w:hAnsi="宋体" w:eastAsia="宋体" w:cs="宋体"/>
          <w:color w:val="auto"/>
          <w:highlight w:val="none"/>
          <w:lang w:val="en-US" w:eastAsia="zh-CN"/>
        </w:rPr>
      </w:pPr>
      <w:bookmarkStart w:id="138" w:name="_Toc28628"/>
      <w:bookmarkStart w:id="139" w:name="_Toc18979"/>
      <w:bookmarkStart w:id="140" w:name="_Toc18351"/>
      <w:bookmarkStart w:id="141" w:name="_Toc867"/>
      <w:bookmarkStart w:id="142" w:name="_Toc25780"/>
      <w:r>
        <w:rPr>
          <w:rStyle w:val="155"/>
          <w:rFonts w:hint="eastAsia" w:ascii="宋体" w:hAnsi="宋体" w:eastAsia="宋体" w:cs="宋体"/>
          <w:color w:val="auto"/>
          <w:highlight w:val="none"/>
          <w:lang w:val="en-US" w:eastAsia="zh-CN"/>
        </w:rPr>
        <w:t>1．资格评审环节</w:t>
      </w:r>
      <w:bookmarkEnd w:id="138"/>
      <w:bookmarkEnd w:id="139"/>
      <w:bookmarkEnd w:id="140"/>
      <w:bookmarkEnd w:id="141"/>
      <w:bookmarkEnd w:id="142"/>
    </w:p>
    <w:p w14:paraId="6AA929F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投标人有下列情形之一的，评标委员会应否决其投标。被否决的投标人，不进入形式评审环节。</w:t>
      </w:r>
    </w:p>
    <w:p w14:paraId="1D96B39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b/>
          <w:bCs/>
          <w:snapToGrid w:val="0"/>
          <w:color w:val="auto"/>
          <w:kern w:val="0"/>
          <w:highlight w:val="none"/>
        </w:rPr>
      </w:pPr>
      <w:r>
        <w:rPr>
          <w:rFonts w:hint="eastAsia" w:ascii="宋体" w:hAnsi="宋体" w:eastAsia="宋体" w:cs="宋体"/>
          <w:snapToGrid w:val="0"/>
          <w:color w:val="auto"/>
          <w:kern w:val="0"/>
          <w:highlight w:val="none"/>
        </w:rPr>
        <w:t>（1）有本章第三节第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条“禁止投标条款”规定的任何一种情形；</w:t>
      </w:r>
    </w:p>
    <w:p w14:paraId="5C423DBA">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（2）投标人资质不符合</w:t>
      </w:r>
      <w:r>
        <w:rPr>
          <w:rFonts w:hint="eastAsia" w:ascii="宋体" w:hAnsi="宋体" w:eastAsia="宋体" w:cs="宋体"/>
          <w:snapToGrid w:val="0"/>
          <w:color w:val="auto"/>
          <w:kern w:val="0"/>
          <w:szCs w:val="18"/>
          <w:highlight w:val="none"/>
        </w:rPr>
        <w:t>规定的；</w:t>
      </w:r>
    </w:p>
    <w:p w14:paraId="4475671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0C80F85A">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22C6052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lang w:val="en-US" w:eastAsia="zh-CN"/>
        </w:rPr>
      </w:pPr>
      <w:r>
        <w:rPr>
          <w:rFonts w:hint="eastAsia" w:ascii="宋体" w:hAnsi="宋体" w:eastAsia="宋体" w:cs="宋体"/>
          <w:snapToGrid w:val="0"/>
          <w:color w:val="auto"/>
          <w:kern w:val="0"/>
          <w:highlight w:val="none"/>
        </w:rPr>
        <w:t xml:space="preserve">根据有关文件精神，投标人的企业相关证书到期的，均按该证书的发证机构相关行业主管部门最新文件执行（如自动顺延或推迟办理延期业务的通知），投标人必须将相关文件附在该证书后面中，证明在开标日继续有效。    </w:t>
      </w:r>
      <w:r>
        <w:rPr>
          <w:rFonts w:hint="eastAsia" w:ascii="宋体" w:hAnsi="宋体" w:eastAsia="宋体" w:cs="宋体"/>
          <w:snapToGrid w:val="0"/>
          <w:color w:val="auto"/>
          <w:kern w:val="0"/>
          <w:highlight w:val="none"/>
          <w:lang w:val="en-US" w:eastAsia="zh-CN"/>
        </w:rPr>
        <w:t xml:space="preserve">  </w:t>
      </w:r>
    </w:p>
    <w:p w14:paraId="689D626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（4）拟派项目经理、项目技术负责人、专职安全员的条件不符合规定的；拟派专职安全员数量不符合规定的；</w:t>
      </w:r>
    </w:p>
    <w:p w14:paraId="275EBA9B">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（5）《项目经理简历表》中拟派项目经理与《开标一览表》不一致的；</w:t>
      </w:r>
      <w:r>
        <w:rPr>
          <w:rFonts w:hint="eastAsia" w:ascii="宋体" w:hAnsi="宋体" w:eastAsia="宋体" w:cs="宋体"/>
          <w:snapToGrid w:val="0"/>
          <w:color w:val="auto"/>
          <w:kern w:val="0"/>
          <w:highlight w:val="none"/>
          <w:lang w:val="en-US" w:eastAsia="zh-CN"/>
        </w:rPr>
        <w:t>建造师的注册证书不是住建部门颁发的</w:t>
      </w:r>
      <w:r>
        <w:rPr>
          <w:rFonts w:hint="eastAsia" w:ascii="宋体" w:hAnsi="宋体" w:eastAsia="宋体" w:cs="宋体"/>
          <w:snapToGrid w:val="0"/>
          <w:color w:val="auto"/>
          <w:kern w:val="0"/>
          <w:highlight w:val="none"/>
        </w:rPr>
        <w:t>；建造师的注册单位与投标人不一致的；项目管理班子组成人员的各类证书、证件、证明不在有效期内的（建造师注册证书不在使用有效期内的）；擅自修改、遗漏《项目经理任职声明》实质性内容的；</w:t>
      </w:r>
    </w:p>
    <w:p w14:paraId="6EC677A1">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注：投标人已经工商变更，但其员工执业资格注册证书的注册单位名称未完成变更的，不得否决其投标。</w:t>
      </w:r>
    </w:p>
    <w:p w14:paraId="00769B10">
      <w:pPr>
        <w:keepNext w:val="0"/>
        <w:keepLines w:val="0"/>
        <w:pageBreakBefore w:val="0"/>
        <w:widowControl w:val="0"/>
        <w:kinsoku/>
        <w:wordWrap w:val="0"/>
        <w:overflowPunct/>
        <w:topLinePunct w:val="0"/>
        <w:autoSpaceDE/>
        <w:autoSpaceDN/>
        <w:bidi w:val="0"/>
        <w:adjustRightInd w:val="0"/>
        <w:snapToGrid w:val="0"/>
        <w:spacing w:line="336" w:lineRule="auto"/>
        <w:ind w:firstLine="482" w:firstLineChars="200"/>
        <w:textAlignment w:val="auto"/>
        <w:rPr>
          <w:rFonts w:hint="eastAsia"/>
          <w:color w:val="auto"/>
          <w:highlight w:val="none"/>
        </w:rPr>
      </w:pPr>
      <w:r>
        <w:rPr>
          <w:rFonts w:hint="eastAsia" w:ascii="宋体" w:hAnsi="宋体" w:eastAsia="宋体" w:cs="宋体"/>
          <w:b/>
          <w:bCs/>
          <w:snapToGrid w:val="0"/>
          <w:color w:val="auto"/>
          <w:kern w:val="0"/>
          <w:sz w:val="24"/>
          <w:szCs w:val="24"/>
          <w:highlight w:val="none"/>
        </w:rPr>
        <w:t>鉴于目前继续教育开展的实际情况，建筑和市政工程施工现场专业人员（</w:t>
      </w:r>
      <w:r>
        <w:rPr>
          <w:rFonts w:hint="eastAsia" w:hAnsi="宋体" w:cs="宋体"/>
          <w:b/>
          <w:bCs/>
          <w:snapToGrid w:val="0"/>
          <w:color w:val="auto"/>
          <w:kern w:val="0"/>
          <w:sz w:val="24"/>
          <w:szCs w:val="24"/>
          <w:highlight w:val="none"/>
          <w:lang w:val="en-US" w:eastAsia="zh-CN"/>
        </w:rPr>
        <w:t>例如</w:t>
      </w:r>
      <w:r>
        <w:rPr>
          <w:rFonts w:hint="eastAsia" w:ascii="宋体" w:hAnsi="宋体" w:eastAsia="宋体" w:cs="宋体"/>
          <w:b/>
          <w:bCs/>
          <w:snapToGrid w:val="0"/>
          <w:color w:val="auto"/>
          <w:kern w:val="0"/>
          <w:sz w:val="24"/>
          <w:szCs w:val="24"/>
          <w:highlight w:val="none"/>
        </w:rPr>
        <w:t>：施工员、质量员、材料员、资料员）的岗位证书或培训证书不审查其证书的有效期。</w:t>
      </w:r>
    </w:p>
    <w:p w14:paraId="500CA94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szCs w:val="18"/>
          <w:highlight w:val="none"/>
        </w:rPr>
      </w:pPr>
      <w:r>
        <w:rPr>
          <w:rFonts w:hint="eastAsia" w:ascii="宋体" w:hAnsi="宋体" w:eastAsia="宋体" w:cs="宋体"/>
          <w:snapToGrid w:val="0"/>
          <w:color w:val="auto"/>
          <w:kern w:val="0"/>
          <w:highlight w:val="none"/>
        </w:rPr>
        <w:t>（6）招标文件规定不接受联合体投标，但以联合体投标的；</w:t>
      </w:r>
    </w:p>
    <w:p w14:paraId="1F0DC44E">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7</w:t>
      </w:r>
      <w:r>
        <w:rPr>
          <w:rFonts w:hint="eastAsia" w:ascii="宋体" w:hAnsi="宋体" w:eastAsia="宋体" w:cs="宋体"/>
          <w:snapToGrid w:val="0"/>
          <w:color w:val="auto"/>
          <w:kern w:val="0"/>
          <w:highlight w:val="none"/>
        </w:rPr>
        <w:t>）投标人为外省建筑企业，但未提供“进粤企业和人员诚信信息登记平台”企业和拟派人员信息情况打印页或网页截图的。</w:t>
      </w:r>
    </w:p>
    <w:p w14:paraId="4221425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5"/>
          <w:rFonts w:hint="eastAsia" w:ascii="宋体" w:hAnsi="宋体" w:eastAsia="宋体" w:cs="宋体"/>
          <w:color w:val="auto"/>
          <w:highlight w:val="none"/>
          <w:lang w:val="en-US" w:eastAsia="zh-CN"/>
        </w:rPr>
      </w:pPr>
      <w:bookmarkStart w:id="143" w:name="_Toc30923"/>
      <w:bookmarkStart w:id="144" w:name="_Toc21442"/>
      <w:bookmarkStart w:id="145" w:name="_Toc19719"/>
      <w:bookmarkStart w:id="146" w:name="_Toc3746"/>
      <w:bookmarkStart w:id="147" w:name="_Toc12980"/>
      <w:r>
        <w:rPr>
          <w:rStyle w:val="155"/>
          <w:rFonts w:hint="eastAsia" w:ascii="宋体" w:hAnsi="宋体" w:eastAsia="宋体" w:cs="宋体"/>
          <w:color w:val="auto"/>
          <w:highlight w:val="none"/>
          <w:lang w:val="en-US" w:eastAsia="zh-CN"/>
        </w:rPr>
        <w:t>2．形式评审环节</w:t>
      </w:r>
      <w:bookmarkEnd w:id="143"/>
      <w:bookmarkEnd w:id="144"/>
      <w:bookmarkEnd w:id="145"/>
      <w:bookmarkEnd w:id="146"/>
      <w:bookmarkEnd w:id="147"/>
    </w:p>
    <w:p w14:paraId="7BA92EF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投标人有下列情形之一的，评标委员会应否决其投标。被否决的投标人，不进入响应性评审环节。</w:t>
      </w:r>
    </w:p>
    <w:p w14:paraId="1CA79946">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w:t>
      </w:r>
      <w:r>
        <w:rPr>
          <w:rStyle w:val="150"/>
          <w:rFonts w:hint="eastAsia" w:ascii="宋体" w:hAnsi="宋体" w:eastAsia="宋体" w:cs="宋体"/>
          <w:color w:val="auto"/>
          <w:kern w:val="0"/>
          <w:highlight w:val="none"/>
        </w:rPr>
        <w:t>投标文件的分册组成是否符合招标文件规定。</w:t>
      </w:r>
    </w:p>
    <w:p w14:paraId="01812C57">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）本章第三节第</w:t>
      </w:r>
      <w:r>
        <w:rPr>
          <w:rFonts w:hint="eastAsia" w:ascii="宋体" w:hAnsi="宋体" w:eastAsia="宋体" w:cs="宋体"/>
          <w:b/>
          <w:bCs/>
          <w:snapToGrid w:val="0"/>
          <w:color w:val="auto"/>
          <w:kern w:val="0"/>
          <w:szCs w:val="18"/>
          <w:highlight w:val="none"/>
        </w:rPr>
        <w:t>10.2.2</w:t>
      </w:r>
      <w:r>
        <w:rPr>
          <w:rFonts w:hint="eastAsia" w:ascii="宋体" w:hAnsi="宋体" w:eastAsia="宋体" w:cs="宋体"/>
          <w:snapToGrid w:val="0"/>
          <w:color w:val="auto"/>
          <w:kern w:val="0"/>
          <w:szCs w:val="18"/>
          <w:highlight w:val="none"/>
        </w:rPr>
        <w:t>目、</w:t>
      </w:r>
      <w:r>
        <w:rPr>
          <w:rFonts w:hint="eastAsia" w:ascii="宋体" w:hAnsi="宋体" w:eastAsia="宋体" w:cs="宋体"/>
          <w:snapToGrid w:val="0"/>
          <w:color w:val="auto"/>
          <w:kern w:val="0"/>
          <w:highlight w:val="none"/>
        </w:rPr>
        <w:t>第</w:t>
      </w:r>
      <w:r>
        <w:rPr>
          <w:rFonts w:hint="eastAsia" w:ascii="宋体" w:hAnsi="宋体" w:eastAsia="宋体" w:cs="宋体"/>
          <w:b/>
          <w:bCs/>
          <w:snapToGrid w:val="0"/>
          <w:color w:val="auto"/>
          <w:kern w:val="0"/>
          <w:szCs w:val="18"/>
          <w:highlight w:val="none"/>
        </w:rPr>
        <w:t>10.3.2</w:t>
      </w:r>
      <w:r>
        <w:rPr>
          <w:rFonts w:hint="eastAsia" w:ascii="宋体" w:hAnsi="宋体" w:eastAsia="宋体" w:cs="宋体"/>
          <w:snapToGrid w:val="0"/>
          <w:color w:val="auto"/>
          <w:kern w:val="0"/>
          <w:szCs w:val="18"/>
          <w:highlight w:val="none"/>
        </w:rPr>
        <w:t>目、第</w:t>
      </w:r>
      <w:r>
        <w:rPr>
          <w:rFonts w:hint="eastAsia" w:ascii="宋体" w:hAnsi="宋体" w:eastAsia="宋体" w:cs="宋体"/>
          <w:b/>
          <w:bCs/>
          <w:snapToGrid w:val="0"/>
          <w:color w:val="auto"/>
          <w:kern w:val="0"/>
          <w:highlight w:val="none"/>
        </w:rPr>
        <w:t>10.4.3</w:t>
      </w:r>
      <w:r>
        <w:rPr>
          <w:rFonts w:hint="eastAsia" w:ascii="宋体" w:hAnsi="宋体" w:eastAsia="宋体" w:cs="宋体"/>
          <w:snapToGrid w:val="0"/>
          <w:color w:val="auto"/>
          <w:kern w:val="0"/>
          <w:highlight w:val="none"/>
        </w:rPr>
        <w:t>目中规定的“</w:t>
      </w:r>
      <w:r>
        <w:rPr>
          <w:rFonts w:hint="eastAsia" w:ascii="宋体" w:hAnsi="宋体" w:eastAsia="宋体" w:cs="宋体"/>
          <w:snapToGrid w:val="0"/>
          <w:color w:val="auto"/>
          <w:kern w:val="0"/>
          <w:szCs w:val="18"/>
          <w:highlight w:val="none"/>
        </w:rPr>
        <w:t>所有投标人均应提供</w:t>
      </w:r>
      <w:r>
        <w:rPr>
          <w:rFonts w:hint="eastAsia" w:ascii="宋体" w:hAnsi="宋体" w:eastAsia="宋体" w:cs="宋体"/>
          <w:snapToGrid w:val="0"/>
          <w:color w:val="auto"/>
          <w:kern w:val="0"/>
          <w:highlight w:val="none"/>
        </w:rPr>
        <w:t>”的组成内容（包括该组成内容的所附资料）中，任何一项有缺漏的；</w:t>
      </w:r>
    </w:p>
    <w:p w14:paraId="433748C5">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）关键字迹模糊、无法辨认，</w:t>
      </w:r>
      <w:r>
        <w:rPr>
          <w:rFonts w:hint="eastAsia" w:ascii="宋体" w:hAnsi="宋体" w:eastAsia="宋体" w:cs="宋体"/>
          <w:b/>
          <w:bCs/>
          <w:snapToGrid w:val="0"/>
          <w:color w:val="auto"/>
          <w:kern w:val="0"/>
          <w:highlight w:val="none"/>
        </w:rPr>
        <w:t>且该种过错将导致评标委员会无法判断投标文件是否响应招标文件实质性要求的</w:t>
      </w:r>
      <w:r>
        <w:rPr>
          <w:rFonts w:hint="eastAsia" w:ascii="宋体" w:hAnsi="宋体" w:eastAsia="宋体" w:cs="宋体"/>
          <w:snapToGrid w:val="0"/>
          <w:color w:val="auto"/>
          <w:kern w:val="0"/>
          <w:highlight w:val="none"/>
        </w:rPr>
        <w:t>；有涂改、行间插字或删除，但未加盖单位章或由投标人的法定代表人或其委托代理人签字确认的；</w:t>
      </w:r>
    </w:p>
    <w:p w14:paraId="0B80B72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）投标文件未按规定签字、盖章的；</w:t>
      </w:r>
    </w:p>
    <w:p w14:paraId="3C3BB8B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48139FF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5"/>
          <w:rFonts w:hint="eastAsia" w:ascii="宋体" w:hAnsi="宋体" w:eastAsia="宋体" w:cs="宋体"/>
          <w:color w:val="auto"/>
          <w:highlight w:val="none"/>
          <w:lang w:val="en-US" w:eastAsia="zh-CN"/>
        </w:rPr>
      </w:pPr>
      <w:bookmarkStart w:id="148" w:name="_Toc23068"/>
      <w:bookmarkStart w:id="149" w:name="_Toc8201"/>
      <w:bookmarkStart w:id="150" w:name="_Toc27344"/>
      <w:bookmarkStart w:id="151" w:name="_Toc13299"/>
      <w:bookmarkStart w:id="152" w:name="_Toc31483"/>
      <w:r>
        <w:rPr>
          <w:rStyle w:val="155"/>
          <w:rFonts w:hint="eastAsia" w:ascii="宋体" w:hAnsi="宋体" w:eastAsia="宋体" w:cs="宋体"/>
          <w:color w:val="auto"/>
          <w:highlight w:val="none"/>
          <w:lang w:val="en-US" w:eastAsia="zh-CN"/>
        </w:rPr>
        <w:t>3．响应性评审环节</w:t>
      </w:r>
      <w:bookmarkEnd w:id="148"/>
      <w:bookmarkEnd w:id="149"/>
      <w:bookmarkEnd w:id="150"/>
      <w:bookmarkEnd w:id="151"/>
      <w:bookmarkEnd w:id="152"/>
    </w:p>
    <w:p w14:paraId="1EEBA7D7">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投标人有下列情形之一的，评标委员会应否决其投标。被否决的投标人，不进入详细评审阶段。</w:t>
      </w:r>
    </w:p>
    <w:p w14:paraId="5E3F8E3D">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1</w:t>
      </w:r>
      <w:r>
        <w:rPr>
          <w:rFonts w:hint="eastAsia" w:ascii="宋体" w:hAnsi="宋体" w:eastAsia="宋体" w:cs="宋体"/>
          <w:snapToGrid w:val="0"/>
          <w:color w:val="auto"/>
          <w:kern w:val="0"/>
          <w:highlight w:val="none"/>
        </w:rPr>
        <w:t>）承诺的投标有效期短于规定的；质量标准低于规定的；工期超出规定的；擅自修改、遗漏《投标函》《各项承诺一览表》实质性内容的；</w:t>
      </w:r>
    </w:p>
    <w:p w14:paraId="38FC6911">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）编制《投标总价》的</w:t>
      </w:r>
      <w:r>
        <w:rPr>
          <w:rFonts w:hint="eastAsia" w:ascii="宋体" w:hAnsi="宋体" w:eastAsia="宋体" w:cs="宋体"/>
          <w:snapToGrid w:val="0"/>
          <w:color w:val="auto"/>
          <w:kern w:val="0"/>
          <w:szCs w:val="18"/>
          <w:highlight w:val="none"/>
        </w:rPr>
        <w:t>造价工程师，其注册证书不是住建部门颁发的；其注册单位与投标人（或造价咨询人）不一致的；其注册证书</w:t>
      </w:r>
      <w:r>
        <w:rPr>
          <w:rFonts w:hint="eastAsia" w:ascii="宋体" w:hAnsi="宋体" w:eastAsia="宋体" w:cs="宋体"/>
          <w:snapToGrid w:val="0"/>
          <w:color w:val="auto"/>
          <w:kern w:val="0"/>
          <w:highlight w:val="none"/>
        </w:rPr>
        <w:t>不在有效期内的。</w:t>
      </w:r>
    </w:p>
    <w:p w14:paraId="789271B2">
      <w:pPr>
        <w:keepNext w:val="0"/>
        <w:keepLines w:val="0"/>
        <w:pageBreakBefore w:val="0"/>
        <w:kinsoku/>
        <w:wordWrap w:val="0"/>
        <w:overflowPunct/>
        <w:topLinePunct w:val="0"/>
        <w:autoSpaceDE/>
        <w:autoSpaceDN/>
        <w:bidi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注：投标人（或造价咨询人）已经工商变更，但其员工的执业资格注册证书的注册单位名称未完成变更的，不得否决其投标。</w:t>
      </w:r>
    </w:p>
    <w:p w14:paraId="4DDF576F">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）投标人委托造价咨询单位编制《投标总价》，但未在《投标总价》封面加盖造价咨询人公章的；未提供造价咨询人的营业执照</w:t>
      </w:r>
      <w:r>
        <w:rPr>
          <w:rFonts w:hint="eastAsia" w:ascii="宋体" w:hAnsi="宋体" w:eastAsia="宋体" w:cs="宋体"/>
          <w:snapToGrid w:val="0"/>
          <w:color w:val="auto"/>
          <w:kern w:val="0"/>
          <w:highlight w:val="none"/>
          <w:lang w:eastAsia="zh-CN"/>
        </w:rPr>
        <w:t>彩色扫描件</w:t>
      </w:r>
      <w:r>
        <w:rPr>
          <w:rFonts w:hint="eastAsia" w:ascii="宋体" w:hAnsi="宋体" w:eastAsia="宋体" w:cs="宋体"/>
          <w:snapToGrid w:val="0"/>
          <w:color w:val="auto"/>
          <w:kern w:val="0"/>
          <w:highlight w:val="none"/>
        </w:rPr>
        <w:t>的；</w:t>
      </w:r>
    </w:p>
    <w:p w14:paraId="10FDD5D9">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）出现两个或两个以上投标总价的（同一个投标总价大、小写不一致的除外）；投标总价超出</w:t>
      </w:r>
      <w:r>
        <w:rPr>
          <w:rFonts w:hint="eastAsia" w:hAnsi="宋体" w:cs="宋体"/>
          <w:snapToGrid w:val="0"/>
          <w:color w:val="auto"/>
          <w:kern w:val="0"/>
          <w:highlight w:val="none"/>
          <w:lang w:eastAsia="zh-CN"/>
        </w:rPr>
        <w:t>最高投标限价</w:t>
      </w:r>
      <w:r>
        <w:rPr>
          <w:rFonts w:hint="eastAsia" w:ascii="宋体" w:hAnsi="宋体" w:eastAsia="宋体" w:cs="宋体"/>
          <w:snapToGrid w:val="0"/>
          <w:color w:val="auto"/>
          <w:kern w:val="0"/>
          <w:highlight w:val="none"/>
        </w:rPr>
        <w:t>的；</w:t>
      </w:r>
      <w:r>
        <w:rPr>
          <w:rFonts w:hint="eastAsia" w:hAnsi="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少于规定的；暂列金额、暂估价未按照招标工程量清单统一报价的；投标总价下浮率超过15%，又未提供相应书面说明和佐证材料或提供的书面说明和佐证材料不能令人信服，被评标委员会认定以低于成本报价竞标的；擅自修改、增减招标工程量清单项目（包括措施项目）的；</w:t>
      </w:r>
    </w:p>
    <w:p w14:paraId="08E170B2">
      <w:pPr>
        <w:keepNext w:val="0"/>
        <w:keepLines w:val="0"/>
        <w:pageBreakBefore w:val="0"/>
        <w:kinsoku/>
        <w:wordWrap w:val="0"/>
        <w:overflowPunct/>
        <w:topLinePunct w:val="0"/>
        <w:autoSpaceDE/>
        <w:autoSpaceDN/>
        <w:bidi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）在施工组织设计评审中，评标委员会认定质量、进度保障措施与国家和省市现行有关规范、规定、标准有重大偏差，</w:t>
      </w:r>
      <w:r>
        <w:rPr>
          <w:rFonts w:hint="eastAsia" w:ascii="宋体" w:hAnsi="宋体" w:eastAsia="宋体" w:cs="宋体"/>
          <w:b/>
          <w:bCs/>
          <w:snapToGrid w:val="0"/>
          <w:color w:val="auto"/>
          <w:kern w:val="0"/>
          <w:highlight w:val="none"/>
        </w:rPr>
        <w:t>且该种过错将导致工程质量、进度管理目标无法实现的</w:t>
      </w:r>
      <w:r>
        <w:rPr>
          <w:rFonts w:hint="eastAsia" w:ascii="宋体" w:hAnsi="宋体" w:eastAsia="宋体" w:cs="宋体"/>
          <w:snapToGrid w:val="0"/>
          <w:color w:val="auto"/>
          <w:kern w:val="0"/>
          <w:highlight w:val="none"/>
        </w:rPr>
        <w:t>。</w:t>
      </w:r>
    </w:p>
    <w:p w14:paraId="5AC70DC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p>
    <w:p w14:paraId="478E18C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Style w:val="155"/>
          <w:rFonts w:hint="eastAsia" w:ascii="宋体" w:hAnsi="宋体" w:eastAsia="宋体" w:cs="宋体"/>
          <w:color w:val="auto"/>
          <w:highlight w:val="none"/>
          <w:lang w:val="en-US" w:eastAsia="zh-CN"/>
        </w:rPr>
      </w:pPr>
      <w:bookmarkStart w:id="153" w:name="_Toc24919"/>
      <w:r>
        <w:rPr>
          <w:rStyle w:val="155"/>
          <w:rFonts w:hint="eastAsia" w:ascii="宋体" w:hAnsi="宋体" w:eastAsia="宋体" w:cs="宋体"/>
          <w:color w:val="auto"/>
          <w:highlight w:val="none"/>
          <w:lang w:val="en-US" w:eastAsia="zh-CN"/>
        </w:rPr>
        <w:t>4．其他</w:t>
      </w:r>
      <w:bookmarkEnd w:id="153"/>
    </w:p>
    <w:p w14:paraId="5C2FF6B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szCs w:val="22"/>
          <w:highlight w:val="none"/>
        </w:rPr>
      </w:pPr>
      <w:r>
        <w:rPr>
          <w:rFonts w:hint="eastAsia" w:ascii="宋体" w:hAnsi="宋体" w:eastAsia="宋体" w:cs="宋体"/>
          <w:snapToGrid w:val="0"/>
          <w:color w:val="auto"/>
          <w:kern w:val="0"/>
          <w:highlight w:val="none"/>
        </w:rPr>
        <w:t>在任何评标环节（或阶段），投标人有下列情形之一的，评标委员会应否决其投标。</w:t>
      </w:r>
      <w:r>
        <w:rPr>
          <w:rFonts w:hint="eastAsia" w:ascii="宋体" w:hAnsi="宋体" w:eastAsia="宋体" w:cs="宋体"/>
          <w:snapToGrid w:val="0"/>
          <w:color w:val="auto"/>
          <w:kern w:val="0"/>
          <w:szCs w:val="22"/>
          <w:highlight w:val="none"/>
        </w:rPr>
        <w:t>被否决的投标人，不进入下一环节（或阶段）。</w:t>
      </w:r>
    </w:p>
    <w:p w14:paraId="71BB4B1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（1）不按评标委员会要求澄清、说明或补正的；</w:t>
      </w:r>
    </w:p>
    <w:p w14:paraId="1DCBB723">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（2）有下列情形之一，被评标委员会认定属于串通投标的：</w:t>
      </w:r>
    </w:p>
    <w:p w14:paraId="4BA0D47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①不同投标人的投标文件两处以上（含两处）错、漏一致；</w:t>
      </w:r>
    </w:p>
    <w:p w14:paraId="643B229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②不同投标人的投标总价相近且各分项报价、综合单价分析表内容混乱不能相互对应、乱调乱压或乱抬的，而在询标时没有合理的解释或者不能提供计算依据和报价依据；</w:t>
      </w:r>
    </w:p>
    <w:p w14:paraId="27FF91F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③不同投标人的投标各项报价存在异常一致或者呈规律性变化；</w:t>
      </w:r>
    </w:p>
    <w:p w14:paraId="18C13B0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④不同投标人的投标文件由同一单位或者同一个人编制；</w:t>
      </w:r>
    </w:p>
    <w:p w14:paraId="7E64FC6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⑤不同投标人的投标文件中投标资料（包括电子资料）相互混装或项目班子成员出现同一人；</w:t>
      </w:r>
    </w:p>
    <w:p w14:paraId="06781C1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⑥不同投标人的投标文件由同一电脑编制或同一台附属设备打印，或投标报价用同一个预算编制软件密码锁制作或出自同一电子文档；</w:t>
      </w:r>
    </w:p>
    <w:p w14:paraId="661EC41C">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⑦不同投标人的投标保证由同一企业或同一账户资金缴纳；</w:t>
      </w:r>
    </w:p>
    <w:p w14:paraId="1D31BC8A">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napToGrid w:val="0"/>
          <w:color w:val="auto"/>
          <w:kern w:val="0"/>
          <w:highlight w:val="none"/>
        </w:rPr>
        <w:sectPr>
          <w:endnotePr>
            <w:numFmt w:val="decimal"/>
          </w:endnotePr>
          <w:pgSz w:w="11906" w:h="16838"/>
          <w:pgMar w:top="1134" w:right="1134" w:bottom="1134" w:left="1134" w:header="850"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⑧不同投标人委托同一个人或注册在同一家企业的注册人员或同一家企业为其投标提供投标咨询、商务报价、技术咨询（招标项目本身要求采用专有技术的除外）等服务。</w:t>
      </w:r>
      <w:bookmarkEnd w:id="89"/>
    </w:p>
    <w:p w14:paraId="074F1233">
      <w:pPr>
        <w:pStyle w:val="2"/>
        <w:wordWrap w:val="0"/>
        <w:autoSpaceDE/>
        <w:autoSpaceDN/>
        <w:snapToGrid w:val="0"/>
        <w:spacing w:line="440" w:lineRule="exact"/>
        <w:jc w:val="center"/>
        <w:rPr>
          <w:rFonts w:hint="eastAsia" w:ascii="宋体" w:hAnsi="宋体" w:eastAsia="宋体" w:cs="宋体"/>
          <w:b/>
          <w:snapToGrid w:val="0"/>
          <w:color w:val="auto"/>
          <w:kern w:val="0"/>
          <w:highlight w:val="none"/>
        </w:rPr>
      </w:pPr>
      <w:bookmarkStart w:id="154" w:name="_Hlt69669771"/>
      <w:bookmarkEnd w:id="154"/>
      <w:bookmarkStart w:id="155" w:name="_Hlt112206772"/>
      <w:bookmarkEnd w:id="155"/>
      <w:bookmarkStart w:id="156" w:name="_Hlt87952408"/>
      <w:bookmarkEnd w:id="156"/>
      <w:bookmarkStart w:id="157" w:name="_Hlt70150994"/>
      <w:bookmarkEnd w:id="157"/>
      <w:bookmarkStart w:id="158" w:name="_Toc24543"/>
      <w:bookmarkStart w:id="159" w:name="_Toc20451"/>
      <w:bookmarkStart w:id="160" w:name="_Hlt69698722"/>
      <w:bookmarkStart w:id="161" w:name="_Hlt69698741"/>
      <w:bookmarkStart w:id="162" w:name="_Hlt69698769"/>
      <w:r>
        <w:rPr>
          <w:rFonts w:hint="eastAsia" w:ascii="宋体" w:hAnsi="宋体" w:eastAsia="宋体" w:cs="宋体"/>
          <w:b/>
          <w:snapToGrid w:val="0"/>
          <w:color w:val="auto"/>
          <w:sz w:val="24"/>
          <w:highlight w:val="none"/>
          <w:lang w:val="en-US" w:eastAsia="zh-CN"/>
        </w:rPr>
        <w:t>第</w:t>
      </w:r>
      <w:bookmarkStart w:id="163" w:name="_Hlt69669171"/>
      <w:bookmarkEnd w:id="163"/>
      <w:r>
        <w:rPr>
          <w:rFonts w:hint="eastAsia" w:ascii="宋体" w:hAnsi="宋体" w:eastAsia="宋体" w:cs="宋体"/>
          <w:b/>
          <w:snapToGrid w:val="0"/>
          <w:color w:val="auto"/>
          <w:sz w:val="24"/>
          <w:highlight w:val="none"/>
          <w:lang w:val="en-US" w:eastAsia="zh-CN"/>
        </w:rPr>
        <w:t>二章</w:t>
      </w:r>
      <w:bookmarkStart w:id="164" w:name="_Hlt87793839"/>
      <w:bookmarkEnd w:id="164"/>
      <w:r>
        <w:rPr>
          <w:rFonts w:hint="eastAsia" w:ascii="宋体" w:hAnsi="宋体" w:eastAsia="宋体" w:cs="宋体"/>
          <w:b/>
          <w:snapToGrid w:val="0"/>
          <w:color w:val="auto"/>
          <w:sz w:val="24"/>
          <w:highlight w:val="none"/>
          <w:lang w:val="en-US" w:eastAsia="zh-CN"/>
        </w:rPr>
        <w:t xml:space="preserve"> 中标人须知</w:t>
      </w:r>
      <w:bookmarkEnd w:id="158"/>
      <w:bookmarkEnd w:id="159"/>
      <w:bookmarkEnd w:id="160"/>
      <w:bookmarkEnd w:id="161"/>
      <w:bookmarkEnd w:id="162"/>
    </w:p>
    <w:p w14:paraId="72010CA4">
      <w:pPr>
        <w:pStyle w:val="4"/>
        <w:bidi w:val="0"/>
        <w:spacing w:line="360" w:lineRule="auto"/>
        <w:rPr>
          <w:rFonts w:hint="eastAsia"/>
          <w:color w:val="auto"/>
          <w:highlight w:val="none"/>
        </w:rPr>
      </w:pPr>
      <w:bookmarkStart w:id="165" w:name="_Toc2206"/>
      <w:bookmarkStart w:id="166" w:name="_Toc28684"/>
      <w:bookmarkStart w:id="167" w:name="_Toc19632"/>
      <w:bookmarkStart w:id="168" w:name="_Hlt69698713"/>
      <w:bookmarkStart w:id="169" w:name="_Hlt69698765"/>
      <w:bookmarkStart w:id="170" w:name="_Hlt69698776"/>
      <w:bookmarkStart w:id="171" w:name="_Toc28918"/>
      <w:r>
        <w:rPr>
          <w:rFonts w:hint="eastAsia"/>
          <w:color w:val="auto"/>
          <w:highlight w:val="none"/>
        </w:rPr>
        <w:t>1．中标通知书</w:t>
      </w:r>
      <w:bookmarkEnd w:id="165"/>
    </w:p>
    <w:p w14:paraId="16784DF1">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0D245D85">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79A077BF">
      <w:pPr>
        <w:pStyle w:val="4"/>
        <w:bidi w:val="0"/>
        <w:spacing w:line="360" w:lineRule="auto"/>
        <w:rPr>
          <w:rFonts w:hint="eastAsia"/>
          <w:color w:val="auto"/>
          <w:highlight w:val="none"/>
        </w:rPr>
      </w:pPr>
      <w:bookmarkStart w:id="172" w:name="_Toc14349"/>
      <w:r>
        <w:rPr>
          <w:rFonts w:hint="eastAsia"/>
          <w:color w:val="auto"/>
          <w:highlight w:val="none"/>
        </w:rPr>
        <w:t>2．中标结果公示</w:t>
      </w:r>
      <w:bookmarkEnd w:id="172"/>
    </w:p>
    <w:p w14:paraId="041EC288">
      <w:pPr>
        <w:wordWrap w:val="0"/>
        <w:adjustRightInd w:val="0"/>
        <w:snapToGrid w:val="0"/>
        <w:spacing w:line="360" w:lineRule="auto"/>
        <w:ind w:firstLine="562"/>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中标通知书发出后15日内，招标人应将中标结果在广东省招标投标监管网（</w:t>
      </w:r>
      <w:r>
        <w:rPr>
          <w:rFonts w:hint="eastAsia" w:ascii="宋体" w:hAnsi="宋体" w:eastAsia="宋体" w:cs="宋体"/>
          <w:snapToGrid w:val="0"/>
          <w:color w:val="auto"/>
          <w:kern w:val="0"/>
          <w:highlight w:val="none"/>
          <w:lang w:eastAsia="zh-CN"/>
        </w:rPr>
        <w:t>https://www.gdzwfw.gov.cn/ztbjg-portal/#/index</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lang w:eastAsia="zh-CN"/>
        </w:rPr>
        <w:t>全国公共资源交易平台（广东省·韶关市）（https://ygp.gdzwfw.gov.cn/ggzy-portal/#/440200/index）</w:t>
      </w:r>
      <w:r>
        <w:rPr>
          <w:rFonts w:hint="eastAsia" w:ascii="宋体" w:hAnsi="宋体" w:eastAsia="宋体" w:cs="宋体"/>
          <w:snapToGrid w:val="0"/>
          <w:color w:val="auto"/>
          <w:kern w:val="0"/>
          <w:highlight w:val="none"/>
        </w:rPr>
        <w:t>进行公示。</w:t>
      </w:r>
    </w:p>
    <w:p w14:paraId="1127DF11">
      <w:pPr>
        <w:wordWrap w:val="0"/>
        <w:adjustRightInd w:val="0"/>
        <w:snapToGrid w:val="0"/>
        <w:spacing w:line="360" w:lineRule="auto"/>
        <w:ind w:firstLine="562"/>
        <w:rPr>
          <w:rFonts w:hint="eastAsia" w:ascii="宋体" w:hAnsi="宋体" w:eastAsia="宋体" w:cs="宋体"/>
          <w:snapToGrid w:val="0"/>
          <w:color w:val="auto"/>
          <w:kern w:val="0"/>
          <w:highlight w:val="none"/>
        </w:rPr>
      </w:pPr>
    </w:p>
    <w:p w14:paraId="57599105">
      <w:pPr>
        <w:pStyle w:val="4"/>
        <w:pageBreakBefore w:val="0"/>
        <w:kinsoku/>
        <w:overflowPunct/>
        <w:topLinePunct w:val="0"/>
        <w:autoSpaceDE/>
        <w:autoSpaceDN/>
        <w:bidi w:val="0"/>
        <w:spacing w:beforeLines="0" w:afterLines="0" w:line="360" w:lineRule="auto"/>
        <w:ind w:firstLine="482" w:firstLineChars="200"/>
        <w:textAlignment w:val="auto"/>
        <w:rPr>
          <w:rFonts w:hint="eastAsia"/>
          <w:color w:val="auto"/>
          <w:highlight w:val="none"/>
        </w:rPr>
      </w:pPr>
      <w:bookmarkStart w:id="173" w:name="_Toc10406"/>
      <w:r>
        <w:rPr>
          <w:rFonts w:hint="eastAsia"/>
          <w:color w:val="auto"/>
          <w:highlight w:val="none"/>
        </w:rPr>
        <w:t>3．履约保证</w:t>
      </w:r>
      <w:bookmarkEnd w:id="173"/>
    </w:p>
    <w:p w14:paraId="146217A2">
      <w:pPr>
        <w:pageBreakBefore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3.1</w:t>
      </w:r>
      <w:r>
        <w:rPr>
          <w:rFonts w:hint="eastAsia" w:ascii="宋体" w:hAnsi="宋体" w:eastAsia="宋体" w:cs="宋体"/>
          <w:snapToGrid w:val="0"/>
          <w:color w:val="auto"/>
          <w:kern w:val="0"/>
          <w:highlight w:val="none"/>
        </w:rPr>
        <w:t xml:space="preserve"> 中标人须在领取中标通知书之日起</w:t>
      </w:r>
      <w:r>
        <w:rPr>
          <w:rFonts w:hint="eastAsia" w:ascii="宋体" w:hAnsi="宋体" w:eastAsia="宋体" w:cs="宋体"/>
          <w:snapToGrid w:val="0"/>
          <w:color w:val="auto"/>
          <w:kern w:val="0"/>
          <w:highlight w:val="none"/>
          <w:u w:val="single"/>
        </w:rPr>
        <w:t xml:space="preserve"> </w:t>
      </w:r>
      <w:r>
        <w:rPr>
          <w:rFonts w:hint="eastAsia" w:hAnsi="宋体" w:cs="宋体"/>
          <w:snapToGrid w:val="0"/>
          <w:color w:val="auto"/>
          <w:kern w:val="0"/>
          <w:highlight w:val="none"/>
          <w:u w:val="single"/>
          <w:lang w:val="en-US" w:eastAsia="zh-CN"/>
        </w:rPr>
        <w:t>10</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rPr>
        <w:t>个工作日内、签订合同前向招标人提交金额为中标价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5</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 xml:space="preserve">%的履约保证。 </w:t>
      </w:r>
    </w:p>
    <w:p w14:paraId="5346E332">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在建设工程交易系统中自主选择一种进行缴交。</w:t>
      </w:r>
    </w:p>
    <w:p w14:paraId="5E10CB1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hAnsi="宋体" w:cs="宋体"/>
          <w:b/>
          <w:bCs/>
          <w:color w:val="auto"/>
          <w:sz w:val="24"/>
          <w:szCs w:val="22"/>
          <w:highlight w:val="none"/>
          <w:lang w:val="en-US" w:eastAsia="zh-CN"/>
        </w:rPr>
        <w:t>2</w:t>
      </w:r>
      <w:r>
        <w:rPr>
          <w:rFonts w:hint="eastAsia" w:ascii="宋体" w:hAnsi="宋体" w:eastAsia="宋体" w:cs="宋体"/>
          <w:color w:val="auto"/>
          <w:sz w:val="24"/>
          <w:szCs w:val="22"/>
          <w:highlight w:val="none"/>
        </w:rPr>
        <w:t>中标通知书发出时，招标人应登录韶关市公共资源一体化平台发起收缴履约担保并填写担保金金额、缴交时限和项目工期。收缴信息推送至中标人账号中，向中标人收缴履约担保。</w:t>
      </w:r>
    </w:p>
    <w:p w14:paraId="52D9B16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hAnsi="宋体" w:cs="宋体"/>
          <w:b/>
          <w:bCs/>
          <w:color w:val="auto"/>
          <w:sz w:val="24"/>
          <w:szCs w:val="22"/>
          <w:highlight w:val="none"/>
          <w:lang w:val="en-US" w:eastAsia="zh-CN"/>
        </w:rPr>
        <w:t>3</w:t>
      </w:r>
      <w:r>
        <w:rPr>
          <w:rFonts w:hint="eastAsia" w:ascii="宋体" w:hAnsi="宋体" w:eastAsia="宋体" w:cs="宋体"/>
          <w:color w:val="auto"/>
          <w:sz w:val="24"/>
          <w:szCs w:val="22"/>
          <w:highlight w:val="none"/>
        </w:rPr>
        <w:t>项目通过竣工验收后招标人应登录韶关市公共资源一体化平台进行履约担保退回操作。</w:t>
      </w:r>
    </w:p>
    <w:p w14:paraId="472B688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hAnsi="宋体" w:cs="宋体"/>
          <w:b/>
          <w:bCs/>
          <w:color w:val="auto"/>
          <w:sz w:val="24"/>
          <w:szCs w:val="22"/>
          <w:highlight w:val="none"/>
          <w:lang w:val="en-US" w:eastAsia="zh-CN"/>
        </w:rPr>
        <w:t>4</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z w:val="24"/>
          <w:szCs w:val="22"/>
          <w:highlight w:val="none"/>
        </w:rPr>
        <w:t>28天内，招标人将履约担保退还给承包人。</w:t>
      </w:r>
    </w:p>
    <w:p w14:paraId="058081E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hAnsi="宋体" w:cs="宋体"/>
          <w:b/>
          <w:bCs/>
          <w:color w:val="auto"/>
          <w:sz w:val="24"/>
          <w:szCs w:val="22"/>
          <w:highlight w:val="none"/>
          <w:lang w:val="en-US" w:eastAsia="zh-CN"/>
        </w:rPr>
        <w:t>5</w:t>
      </w:r>
      <w:r>
        <w:rPr>
          <w:rFonts w:hint="eastAsia" w:ascii="宋体" w:hAnsi="宋体" w:eastAsia="宋体" w:cs="宋体"/>
          <w:color w:val="auto"/>
          <w:sz w:val="24"/>
          <w:szCs w:val="22"/>
          <w:highlight w:val="none"/>
        </w:rPr>
        <w:t>项目延期竣工的，中标人应登录韶关市公共资源一体化平台办理延长履约担保期限。</w:t>
      </w:r>
    </w:p>
    <w:p w14:paraId="1EF4D2B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2"/>
          <w:highlight w:val="none"/>
        </w:rPr>
      </w:pPr>
      <w:r>
        <w:rPr>
          <w:rFonts w:hint="eastAsia" w:ascii="宋体" w:hAnsi="宋体" w:eastAsia="宋体" w:cs="宋体"/>
          <w:b/>
          <w:bCs/>
          <w:color w:val="auto"/>
          <w:sz w:val="24"/>
          <w:szCs w:val="22"/>
          <w:highlight w:val="none"/>
        </w:rPr>
        <w:t>3.</w:t>
      </w:r>
      <w:r>
        <w:rPr>
          <w:rFonts w:hint="eastAsia" w:hAnsi="宋体" w:cs="宋体"/>
          <w:b/>
          <w:bCs/>
          <w:color w:val="auto"/>
          <w:sz w:val="24"/>
          <w:szCs w:val="22"/>
          <w:highlight w:val="none"/>
          <w:lang w:val="en-US" w:eastAsia="zh-CN"/>
        </w:rPr>
        <w:t>6</w:t>
      </w:r>
      <w:r>
        <w:rPr>
          <w:rFonts w:hint="eastAsia" w:ascii="宋体" w:hAnsi="宋体" w:eastAsia="宋体" w:cs="宋体"/>
          <w:color w:val="auto"/>
          <w:sz w:val="24"/>
          <w:szCs w:val="22"/>
          <w:highlight w:val="none"/>
        </w:rPr>
        <w:t>中标人在领取中标通知书之后按有关规定及时提交履约保证。</w:t>
      </w:r>
    </w:p>
    <w:p w14:paraId="5907BD0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color w:val="auto"/>
          <w:sz w:val="24"/>
          <w:szCs w:val="22"/>
          <w:highlight w:val="none"/>
        </w:rPr>
        <w:t>3.</w:t>
      </w:r>
      <w:r>
        <w:rPr>
          <w:rFonts w:hint="eastAsia" w:hAnsi="宋体" w:cs="宋体"/>
          <w:b/>
          <w:bCs/>
          <w:color w:val="auto"/>
          <w:sz w:val="24"/>
          <w:szCs w:val="22"/>
          <w:highlight w:val="none"/>
          <w:lang w:val="en-US" w:eastAsia="zh-CN"/>
        </w:rPr>
        <w:t>7</w:t>
      </w:r>
      <w:r>
        <w:rPr>
          <w:rFonts w:hint="eastAsia" w:ascii="宋体" w:hAnsi="宋体" w:eastAsia="宋体" w:cs="宋体"/>
          <w:color w:val="auto"/>
          <w:sz w:val="24"/>
          <w:szCs w:val="22"/>
          <w:highlight w:val="none"/>
        </w:rPr>
        <w:t>在工程实施过程中，如果承包人（即招标阶段的中标人，下同）由于自身的资金、技术、质量、非不可抗力等原因给发包人（即招标阶段的招标人，下同）造成经济损失，发包人有权扣划相应金额的履约保证。</w:t>
      </w:r>
    </w:p>
    <w:p w14:paraId="6AE92E6D">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p>
    <w:p w14:paraId="4E778795">
      <w:pPr>
        <w:pStyle w:val="4"/>
        <w:bidi w:val="0"/>
        <w:spacing w:line="360" w:lineRule="auto"/>
        <w:rPr>
          <w:rFonts w:hint="eastAsia"/>
          <w:color w:val="auto"/>
          <w:highlight w:val="none"/>
        </w:rPr>
      </w:pPr>
      <w:bookmarkStart w:id="174" w:name="_Toc9821"/>
      <w:r>
        <w:rPr>
          <w:rFonts w:hint="eastAsia"/>
          <w:color w:val="auto"/>
          <w:highlight w:val="none"/>
        </w:rPr>
        <w:t>4．合同订立</w:t>
      </w:r>
      <w:bookmarkEnd w:id="174"/>
    </w:p>
    <w:p w14:paraId="7585DDEA">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4.1</w:t>
      </w:r>
      <w:r>
        <w:rPr>
          <w:rFonts w:hint="eastAsia" w:ascii="宋体" w:hAnsi="宋体" w:eastAsia="宋体" w:cs="宋体"/>
          <w:snapToGrid w:val="0"/>
          <w:color w:val="auto"/>
          <w:kern w:val="0"/>
          <w:highlight w:val="none"/>
        </w:rPr>
        <w:t xml:space="preserve"> 招标人应当自中标通知书发出之日起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30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日内，按照招标文件、中标人的投标文件与中标人订立书面合同。</w:t>
      </w:r>
    </w:p>
    <w:p w14:paraId="500B5C5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w:t>
      </w:r>
      <w:r>
        <w:rPr>
          <w:rFonts w:hint="eastAsia" w:ascii="宋体" w:hAnsi="宋体" w:eastAsia="宋体" w:cs="宋体"/>
          <w:snapToGrid w:val="0"/>
          <w:color w:val="auto"/>
          <w:kern w:val="0"/>
          <w:highlight w:val="none"/>
        </w:rPr>
        <w:t xml:space="preserve"> 不正常报价的梳理和确认</w:t>
      </w:r>
    </w:p>
    <w:p w14:paraId="3C6E33DB">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4.2.1</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订立期间，在不改变中标人的投标总价的前提下，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highlight w:val="none"/>
        </w:rPr>
        <w:t>招标人不具备以上能力的，可授权编制本项目</w:t>
      </w:r>
      <w:r>
        <w:rPr>
          <w:rFonts w:hint="eastAsia" w:hAnsi="宋体" w:cs="宋体"/>
          <w:snapToGrid w:val="0"/>
          <w:color w:val="auto"/>
          <w:kern w:val="0"/>
          <w:highlight w:val="none"/>
          <w:lang w:eastAsia="zh-CN"/>
        </w:rPr>
        <w:t>最高投标限价</w:t>
      </w:r>
      <w:r>
        <w:rPr>
          <w:rFonts w:hint="eastAsia" w:ascii="宋体" w:hAnsi="宋体" w:eastAsia="宋体" w:cs="宋体"/>
          <w:snapToGrid w:val="0"/>
          <w:color w:val="auto"/>
          <w:kern w:val="0"/>
          <w:highlight w:val="none"/>
        </w:rPr>
        <w:t>的造价咨询单位实施。</w:t>
      </w:r>
    </w:p>
    <w:p w14:paraId="6558B3A6">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4.2.2</w:t>
      </w:r>
      <w:r>
        <w:rPr>
          <w:rFonts w:hint="eastAsia" w:ascii="宋体" w:hAnsi="宋体" w:eastAsia="宋体" w:cs="宋体"/>
          <w:snapToGrid w:val="0"/>
          <w:color w:val="auto"/>
          <w:kern w:val="0"/>
          <w:highlight w:val="none"/>
        </w:rPr>
        <w:t xml:space="preserve"> 算术性错误的分析和修正。投标报价汇总表中，投标总价与各分项费用之和不一致的，以投标总价为准修正分项费用；投标报价汇总表的各分项费用与对应分项表中的费用不一致的，以投标报价汇总表中的分项费用为准修正对应分项表中的费用；各分项表中总价金额与依据单价计算出的结果不一致的，以总价为准修正单价。</w:t>
      </w:r>
    </w:p>
    <w:p w14:paraId="702E453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4.2.3</w:t>
      </w:r>
      <w:r>
        <w:rPr>
          <w:rFonts w:hint="eastAsia" w:ascii="宋体" w:hAnsi="宋体" w:eastAsia="宋体" w:cs="宋体"/>
          <w:snapToGrid w:val="0"/>
          <w:color w:val="auto"/>
          <w:kern w:val="0"/>
          <w:highlight w:val="none"/>
        </w:rPr>
        <w:t xml:space="preserve"> 错漏项的认定。中标人已标价工程量清单中，任一清单项目未填报价格或价格为零的，视为错漏项。</w:t>
      </w:r>
    </w:p>
    <w:p w14:paraId="7D05A16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4.2.4</w:t>
      </w:r>
      <w:r>
        <w:rPr>
          <w:rFonts w:hint="eastAsia" w:ascii="宋体" w:hAnsi="宋体" w:eastAsia="宋体" w:cs="宋体"/>
          <w:snapToGrid w:val="0"/>
          <w:color w:val="auto"/>
          <w:kern w:val="0"/>
          <w:highlight w:val="none"/>
        </w:rPr>
        <w:t xml:space="preserve"> 不平衡报价的认定。经修正算术性错误后的中标人已标价工程量清单中，</w:t>
      </w:r>
      <w:r>
        <w:rPr>
          <w:rFonts w:hint="eastAsia" w:ascii="宋体" w:hAnsi="宋体" w:eastAsia="宋体" w:cs="宋体"/>
          <w:b/>
          <w:bCs/>
          <w:snapToGrid w:val="0"/>
          <w:color w:val="auto"/>
          <w:kern w:val="0"/>
          <w:highlight w:val="none"/>
          <w:u w:val="single"/>
        </w:rPr>
        <w:t>分部分项工程量清单项目的投标综合单价与</w:t>
      </w:r>
      <w:r>
        <w:rPr>
          <w:rFonts w:hint="eastAsia" w:hAnsi="宋体" w:cs="宋体"/>
          <w:b/>
          <w:bCs/>
          <w:snapToGrid w:val="0"/>
          <w:color w:val="auto"/>
          <w:kern w:val="0"/>
          <w:highlight w:val="none"/>
          <w:u w:val="single"/>
          <w:lang w:eastAsia="zh-CN"/>
        </w:rPr>
        <w:t>最高投标限价</w:t>
      </w:r>
      <w:r>
        <w:rPr>
          <w:rFonts w:hint="eastAsia" w:ascii="宋体" w:hAnsi="宋体" w:eastAsia="宋体" w:cs="宋体"/>
          <w:b/>
          <w:bCs/>
          <w:snapToGrid w:val="0"/>
          <w:color w:val="auto"/>
          <w:kern w:val="0"/>
          <w:highlight w:val="none"/>
          <w:u w:val="single"/>
        </w:rPr>
        <w:t>分部分项工程量清单项目的综合单价偏差≥20%</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的清单项目，视为不平衡报价项目。</w:t>
      </w:r>
    </w:p>
    <w:p w14:paraId="7E277DD2">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4.2.5</w:t>
      </w:r>
      <w:r>
        <w:rPr>
          <w:rFonts w:hint="eastAsia" w:ascii="宋体" w:hAnsi="宋体" w:eastAsia="宋体" w:cs="宋体"/>
          <w:snapToGrid w:val="0"/>
          <w:color w:val="auto"/>
          <w:kern w:val="0"/>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78F778E1">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4.2.6</w:t>
      </w:r>
      <w:r>
        <w:rPr>
          <w:rFonts w:hint="eastAsia" w:ascii="宋体" w:hAnsi="宋体" w:eastAsia="宋体" w:cs="宋体"/>
          <w:snapToGrid w:val="0"/>
          <w:color w:val="auto"/>
          <w:kern w:val="0"/>
          <w:highlight w:val="none"/>
        </w:rPr>
        <w:t xml:space="preserve"> </w:t>
      </w:r>
      <w:r>
        <w:rPr>
          <w:rFonts w:hint="eastAsia" w:ascii="宋体" w:hAnsi="宋体" w:eastAsia="宋体" w:cs="宋体"/>
          <w:b/>
          <w:bCs/>
          <w:snapToGrid w:val="0"/>
          <w:color w:val="auto"/>
          <w:kern w:val="0"/>
          <w:highlight w:val="none"/>
        </w:rPr>
        <w:t>合同履行过程中，被认定为错漏项的清单项目，结算时按照第三章“拟签订合同的主要条款”第2.6条规定处理。</w:t>
      </w:r>
    </w:p>
    <w:p w14:paraId="558AD17B">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bCs/>
          <w:snapToGrid w:val="0"/>
          <w:color w:val="auto"/>
          <w:kern w:val="0"/>
          <w:highlight w:val="none"/>
        </w:rPr>
        <w:t>4.2.7 合同履行过程中，合同约定的调整因素（如工程量偏差、工程变更、项目特征不符、招标工程量清单缺项等）出现时，被认定为不平衡报价的清单项目以及采用被认定为不平衡报价的清单项目的价格作为取价（或参照取价）依据的变更、新增项目，按照第三章“拟签订合同的主要条款”第2.3条的有关规定调整合同价款。</w:t>
      </w:r>
    </w:p>
    <w:p w14:paraId="0C9C79C6">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4.3 </w:t>
      </w:r>
      <w:r>
        <w:rPr>
          <w:rFonts w:hint="eastAsia" w:ascii="宋体" w:hAnsi="宋体" w:eastAsia="宋体" w:cs="宋体"/>
          <w:snapToGrid w:val="0"/>
          <w:color w:val="auto"/>
          <w:kern w:val="0"/>
          <w:highlight w:val="none"/>
        </w:rPr>
        <w:t>本招标项目合同计价方式为：</w:t>
      </w:r>
      <w:r>
        <w:rPr>
          <w:rFonts w:hint="eastAsia" w:ascii="宋体" w:hAnsi="宋体" w:eastAsia="宋体" w:cs="宋体"/>
          <w:snapToGrid w:val="0"/>
          <w:color w:val="auto"/>
          <w:kern w:val="0"/>
          <w:highlight w:val="none"/>
          <w:u w:val="single"/>
        </w:rPr>
        <w:t xml:space="preserve"> 单价 </w:t>
      </w:r>
      <w:r>
        <w:rPr>
          <w:rFonts w:hint="eastAsia" w:ascii="宋体" w:hAnsi="宋体" w:eastAsia="宋体" w:cs="宋体"/>
          <w:snapToGrid w:val="0"/>
          <w:color w:val="auto"/>
          <w:kern w:val="0"/>
          <w:highlight w:val="none"/>
        </w:rPr>
        <w:t>合同。</w:t>
      </w:r>
    </w:p>
    <w:p w14:paraId="519978E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4.4</w:t>
      </w:r>
      <w:r>
        <w:rPr>
          <w:rFonts w:hint="eastAsia" w:ascii="宋体" w:hAnsi="宋体" w:eastAsia="宋体" w:cs="宋体"/>
          <w:snapToGrid w:val="0"/>
          <w:color w:val="auto"/>
          <w:kern w:val="0"/>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2A640E25">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4.5</w:t>
      </w:r>
      <w:r>
        <w:rPr>
          <w:rFonts w:hint="eastAsia" w:ascii="宋体" w:hAnsi="宋体" w:eastAsia="宋体" w:cs="宋体"/>
          <w:snapToGrid w:val="0"/>
          <w:color w:val="auto"/>
          <w:kern w:val="0"/>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66A55A2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4.6</w:t>
      </w:r>
      <w:r>
        <w:rPr>
          <w:rFonts w:hint="eastAsia" w:ascii="宋体" w:hAnsi="宋体" w:eastAsia="宋体" w:cs="宋体"/>
          <w:snapToGrid w:val="0"/>
          <w:color w:val="auto"/>
          <w:kern w:val="0"/>
          <w:highlight w:val="none"/>
        </w:rPr>
        <w:t xml:space="preserve"> 在书面合同订立之日起2个工作日内，由中标人或招标</w:t>
      </w:r>
      <w:r>
        <w:rPr>
          <w:rFonts w:hint="eastAsia" w:hAnsi="宋体" w:cs="宋体"/>
          <w:snapToGrid w:val="0"/>
          <w:color w:val="auto"/>
          <w:kern w:val="0"/>
          <w:highlight w:val="none"/>
          <w:lang w:val="en-US" w:eastAsia="zh-CN"/>
        </w:rPr>
        <w:t>人</w:t>
      </w:r>
      <w:r>
        <w:rPr>
          <w:rFonts w:hint="eastAsia" w:ascii="宋体" w:hAnsi="宋体" w:eastAsia="宋体" w:cs="宋体"/>
          <w:snapToGrid w:val="0"/>
          <w:color w:val="auto"/>
          <w:kern w:val="0"/>
          <w:highlight w:val="none"/>
        </w:rPr>
        <w:t>将合同上传至建设工程交易系统，并发起退还投标保证的申请。韶关市公共资源交易中心在收到申请之日起3个工作日内，将投标保证金退还给中标人和其他中标候选人。</w:t>
      </w:r>
    </w:p>
    <w:p w14:paraId="43C8D710">
      <w:pPr>
        <w:wordWrap w:val="0"/>
        <w:adjustRightInd w:val="0"/>
        <w:snapToGrid w:val="0"/>
        <w:spacing w:line="360" w:lineRule="auto"/>
        <w:ind w:firstLine="482" w:firstLineChars="200"/>
        <w:rPr>
          <w:rFonts w:hint="eastAsia" w:ascii="宋体" w:hAnsi="宋体" w:eastAsia="宋体" w:cs="宋体"/>
          <w:b/>
          <w:bCs/>
          <w:snapToGrid w:val="0"/>
          <w:color w:val="auto"/>
          <w:kern w:val="0"/>
          <w:highlight w:val="none"/>
        </w:rPr>
      </w:pPr>
    </w:p>
    <w:p w14:paraId="4375DFA1">
      <w:pPr>
        <w:pStyle w:val="4"/>
        <w:bidi w:val="0"/>
        <w:spacing w:line="360" w:lineRule="auto"/>
        <w:ind w:firstLine="964"/>
        <w:rPr>
          <w:rFonts w:hint="eastAsia" w:ascii="宋体" w:hAnsi="宋体" w:eastAsia="宋体" w:cs="Times New Roman"/>
          <w:color w:val="auto"/>
          <w:highlight w:val="none"/>
        </w:rPr>
      </w:pPr>
      <w:bookmarkStart w:id="175" w:name="_Toc6695"/>
      <w:r>
        <w:rPr>
          <w:rFonts w:hint="eastAsia" w:ascii="宋体" w:hAnsi="宋体" w:eastAsia="宋体" w:cs="Times New Roman"/>
          <w:color w:val="auto"/>
          <w:highlight w:val="none"/>
        </w:rPr>
        <w:t>5．放弃中标的处理</w:t>
      </w:r>
      <w:bookmarkEnd w:id="175"/>
    </w:p>
    <w:p w14:paraId="729A45A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5.1</w:t>
      </w:r>
      <w:r>
        <w:rPr>
          <w:rFonts w:hint="eastAsia" w:ascii="宋体" w:hAnsi="宋体" w:eastAsia="宋体" w:cs="宋体"/>
          <w:snapToGrid w:val="0"/>
          <w:color w:val="auto"/>
          <w:kern w:val="0"/>
          <w:highlight w:val="none"/>
        </w:rPr>
        <w:t xml:space="preserve"> 中标人</w:t>
      </w:r>
      <w:r>
        <w:rPr>
          <w:rFonts w:hint="eastAsia" w:ascii="宋体" w:hAnsi="宋体" w:eastAsia="宋体" w:cs="宋体"/>
          <w:snapToGrid w:val="0"/>
          <w:color w:val="auto"/>
          <w:highlight w:val="none"/>
        </w:rPr>
        <w:t>无正当理由放弃中标的，</w:t>
      </w:r>
      <w:r>
        <w:rPr>
          <w:rFonts w:hint="eastAsia" w:ascii="宋体" w:hAnsi="宋体" w:eastAsia="宋体" w:cs="宋体"/>
          <w:snapToGrid w:val="0"/>
          <w:color w:val="auto"/>
          <w:kern w:val="0"/>
          <w:highlight w:val="none"/>
        </w:rPr>
        <w:t>取消其中标资格，其投标保证不予退还，给招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highlight w:val="none"/>
        </w:rPr>
        <w:t>因此种情况造成招标人重新招标的</w:t>
      </w:r>
      <w:r>
        <w:rPr>
          <w:rFonts w:hint="eastAsia" w:ascii="宋体" w:hAnsi="宋体" w:eastAsia="宋体" w:cs="宋体"/>
          <w:snapToGrid w:val="0"/>
          <w:color w:val="auto"/>
          <w:kern w:val="0"/>
          <w:highlight w:val="none"/>
        </w:rPr>
        <w:t>，招标人可不接受该弃标人再次投标。同时，招标人应将该弃标人的失信行为向行政监督部门报告。</w:t>
      </w:r>
    </w:p>
    <w:p w14:paraId="1748947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5.2</w:t>
      </w:r>
      <w:r>
        <w:rPr>
          <w:rFonts w:hint="eastAsia" w:ascii="宋体" w:hAnsi="宋体" w:eastAsia="宋体" w:cs="宋体"/>
          <w:snapToGrid w:val="0"/>
          <w:color w:val="auto"/>
          <w:kern w:val="0"/>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20E97176">
      <w:pPr>
        <w:pStyle w:val="147"/>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eastAsia" w:ascii="宋体" w:hAnsi="宋体" w:cs="宋体"/>
          <w:b/>
          <w:bCs/>
          <w:color w:val="auto"/>
          <w:kern w:val="2"/>
          <w:sz w:val="24"/>
          <w:szCs w:val="24"/>
          <w:highlight w:val="none"/>
          <w:shd w:val="clear" w:color="auto" w:fill="FFFFFF"/>
          <w:lang w:val="en-US" w:eastAsia="zh-CN" w:bidi="ar-SA"/>
        </w:rPr>
      </w:pPr>
    </w:p>
    <w:p w14:paraId="3D634CEF">
      <w:pPr>
        <w:pStyle w:val="147"/>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default" w:ascii="宋体" w:hAnsi="宋体" w:eastAsia="宋体" w:cs="宋体"/>
          <w:color w:val="auto"/>
          <w:kern w:val="2"/>
          <w:sz w:val="24"/>
          <w:szCs w:val="24"/>
          <w:highlight w:val="none"/>
          <w:shd w:val="clear" w:color="auto" w:fill="FFFFFF"/>
          <w:lang w:val="en-US" w:eastAsia="zh-CN" w:bidi="ar-SA"/>
        </w:rPr>
      </w:pPr>
      <w:r>
        <w:rPr>
          <w:rFonts w:hint="eastAsia" w:ascii="宋体" w:hAnsi="宋体" w:cs="宋体"/>
          <w:b/>
          <w:bCs/>
          <w:color w:val="auto"/>
          <w:kern w:val="2"/>
          <w:sz w:val="24"/>
          <w:szCs w:val="24"/>
          <w:highlight w:val="none"/>
          <w:shd w:val="clear" w:color="auto" w:fill="FFFFFF"/>
          <w:lang w:val="en-US" w:eastAsia="zh-CN" w:bidi="ar-SA"/>
        </w:rPr>
        <w:t>6.</w:t>
      </w:r>
      <w:r>
        <w:rPr>
          <w:rFonts w:hint="eastAsia" w:ascii="宋体" w:hAnsi="宋体" w:cs="宋体"/>
          <w:b w:val="0"/>
          <w:bCs w:val="0"/>
          <w:color w:val="auto"/>
          <w:kern w:val="2"/>
          <w:sz w:val="24"/>
          <w:szCs w:val="24"/>
          <w:highlight w:val="none"/>
          <w:shd w:val="clear" w:color="auto" w:fill="FFFFFF"/>
          <w:lang w:val="en-US" w:eastAsia="zh-CN" w:bidi="ar-SA"/>
        </w:rPr>
        <w:t>招标代理费及评标专家酬劳的支付：本项目的招标代理服务费和评标专家酬劳全部由中标人支付，该费用不再另行报价，由投标人在投标报价时综合考虑在内。招标代理费根据《招标代理服务收费管理暂行办法》（计价格[2002]1980号），以该项目最终中标价为计算基础并下浮25%后计算。</w:t>
      </w:r>
    </w:p>
    <w:p w14:paraId="5A30A767">
      <w:pPr>
        <w:pStyle w:val="147"/>
        <w:keepNext w:val="0"/>
        <w:keepLines w:val="0"/>
        <w:pageBreakBefore w:val="0"/>
        <w:widowControl/>
        <w:kinsoku/>
        <w:wordWrap/>
        <w:overflowPunct/>
        <w:topLinePunct w:val="0"/>
        <w:autoSpaceDE/>
        <w:autoSpaceDN/>
        <w:bidi w:val="0"/>
        <w:adjustRightInd/>
        <w:spacing w:line="360" w:lineRule="auto"/>
        <w:ind w:firstLine="470" w:firstLineChars="0"/>
        <w:textAlignment w:val="auto"/>
        <w:rPr>
          <w:rFonts w:hint="default" w:ascii="宋体" w:hAnsi="宋体" w:eastAsia="宋体" w:cs="宋体"/>
          <w:color w:val="auto"/>
          <w:kern w:val="2"/>
          <w:sz w:val="24"/>
          <w:szCs w:val="24"/>
          <w:highlight w:val="none"/>
          <w:shd w:val="clear" w:color="auto" w:fill="FFFFFF"/>
          <w:lang w:val="en-US" w:eastAsia="zh-CN" w:bidi="ar-SA"/>
        </w:rPr>
      </w:pPr>
    </w:p>
    <w:p w14:paraId="0E39B07B">
      <w:pPr>
        <w:rPr>
          <w:rFonts w:hint="eastAsia" w:ascii="宋体" w:hAnsi="宋体" w:eastAsia="宋体" w:cs="宋体"/>
          <w:b/>
          <w:snapToGrid w:val="0"/>
          <w:color w:val="auto"/>
          <w:sz w:val="24"/>
          <w:highlight w:val="none"/>
          <w:lang w:val="en-US" w:eastAsia="zh-CN"/>
        </w:rPr>
      </w:pPr>
      <w:bookmarkStart w:id="176" w:name="_Toc24436"/>
      <w:r>
        <w:rPr>
          <w:rFonts w:hint="eastAsia" w:ascii="宋体" w:hAnsi="宋体" w:eastAsia="宋体" w:cs="宋体"/>
          <w:b/>
          <w:snapToGrid w:val="0"/>
          <w:color w:val="auto"/>
          <w:sz w:val="24"/>
          <w:highlight w:val="none"/>
          <w:lang w:val="en-US" w:eastAsia="zh-CN"/>
        </w:rPr>
        <w:br w:type="page"/>
      </w:r>
    </w:p>
    <w:p w14:paraId="040426AF">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第三章</w:t>
      </w:r>
      <w:bookmarkStart w:id="177" w:name="_Hlt87793831"/>
      <w:bookmarkEnd w:id="177"/>
      <w:r>
        <w:rPr>
          <w:rFonts w:hint="eastAsia" w:ascii="宋体" w:hAnsi="宋体" w:eastAsia="宋体" w:cs="宋体"/>
          <w:b/>
          <w:snapToGrid w:val="0"/>
          <w:color w:val="auto"/>
          <w:sz w:val="24"/>
          <w:highlight w:val="none"/>
          <w:lang w:val="en-US" w:eastAsia="zh-CN"/>
        </w:rPr>
        <w:t xml:space="preserve"> 拟签订合同的主要条款</w:t>
      </w:r>
      <w:bookmarkEnd w:id="166"/>
      <w:bookmarkEnd w:id="167"/>
      <w:bookmarkEnd w:id="176"/>
    </w:p>
    <w:bookmarkEnd w:id="168"/>
    <w:bookmarkEnd w:id="169"/>
    <w:p w14:paraId="311BC8F6">
      <w:pPr>
        <w:pStyle w:val="3"/>
        <w:wordWrap w:val="0"/>
        <w:autoSpaceDE/>
        <w:autoSpaceDN/>
        <w:snapToGrid w:val="0"/>
        <w:spacing w:line="440" w:lineRule="exact"/>
        <w:ind w:firstLine="480"/>
        <w:jc w:val="both"/>
        <w:rPr>
          <w:rFonts w:hint="eastAsia" w:ascii="宋体" w:hAnsi="宋体" w:eastAsia="宋体" w:cs="宋体"/>
          <w:b/>
          <w:snapToGrid w:val="0"/>
          <w:color w:val="auto"/>
          <w:highlight w:val="none"/>
        </w:rPr>
      </w:pPr>
      <w:bookmarkStart w:id="178" w:name="_Toc322793288"/>
      <w:bookmarkStart w:id="179" w:name="_Toc326916629"/>
      <w:bookmarkStart w:id="180" w:name="_Toc2688"/>
    </w:p>
    <w:p w14:paraId="7B3F3A34">
      <w:pPr>
        <w:pStyle w:val="4"/>
        <w:bidi w:val="0"/>
        <w:ind w:firstLine="964"/>
        <w:rPr>
          <w:rFonts w:hint="eastAsia" w:ascii="宋体" w:hAnsi="宋体" w:eastAsia="宋体" w:cs="宋体"/>
          <w:color w:val="auto"/>
          <w:highlight w:val="none"/>
        </w:rPr>
      </w:pPr>
      <w:bookmarkStart w:id="181" w:name="_Toc17021"/>
      <w:bookmarkStart w:id="182" w:name="_Toc28441"/>
      <w:bookmarkStart w:id="183" w:name="_Toc12150"/>
      <w:r>
        <w:rPr>
          <w:rFonts w:hint="eastAsia" w:ascii="宋体" w:hAnsi="宋体" w:eastAsia="宋体" w:cs="宋体"/>
          <w:color w:val="auto"/>
          <w:highlight w:val="none"/>
        </w:rPr>
        <w:t>1．工程承包方式</w:t>
      </w:r>
      <w:bookmarkEnd w:id="178"/>
      <w:bookmarkEnd w:id="179"/>
      <w:bookmarkEnd w:id="180"/>
      <w:bookmarkEnd w:id="181"/>
      <w:bookmarkEnd w:id="182"/>
      <w:bookmarkEnd w:id="183"/>
    </w:p>
    <w:p w14:paraId="207CD343">
      <w:pPr>
        <w:wordWrap w:val="0"/>
        <w:adjustRightInd w:val="0"/>
        <w:snapToGrid w:val="0"/>
        <w:spacing w:line="440" w:lineRule="exact"/>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w:t>
      </w:r>
      <w:r>
        <w:rPr>
          <w:rFonts w:hint="eastAsia" w:ascii="宋体" w:hAnsi="宋体" w:eastAsia="宋体" w:cs="宋体"/>
          <w:snapToGrid w:val="0"/>
          <w:color w:val="auto"/>
          <w:kern w:val="0"/>
          <w:highlight w:val="none"/>
        </w:rPr>
        <w:t xml:space="preserve"> 承包人以中标价按包工</w:t>
      </w:r>
      <w:bookmarkStart w:id="184" w:name="_Hlt87948212"/>
      <w:bookmarkEnd w:id="184"/>
      <w:r>
        <w:rPr>
          <w:rFonts w:hint="eastAsia" w:ascii="宋体" w:hAnsi="宋体" w:eastAsia="宋体" w:cs="宋体"/>
          <w:snapToGrid w:val="0"/>
          <w:color w:val="auto"/>
          <w:kern w:val="0"/>
          <w:highlight w:val="none"/>
        </w:rPr>
        <w:t>包料、包质量、包安全包文明施工、包工期方式总承包施工，不允许转包和违法分包，如果确需分包须与发包人协商，在得到发包人和监理单位同意后报建设行政主管部门备案。</w:t>
      </w:r>
    </w:p>
    <w:p w14:paraId="07862F77">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1.1.1</w:t>
      </w:r>
      <w:r>
        <w:rPr>
          <w:rFonts w:hint="eastAsia" w:ascii="宋体" w:hAnsi="宋体" w:eastAsia="宋体" w:cs="宋体"/>
          <w:snapToGrid w:val="0"/>
          <w:color w:val="auto"/>
          <w:kern w:val="0"/>
          <w:highlight w:val="none"/>
        </w:rPr>
        <w:t xml:space="preserve"> 包工包料：材料符合招标文件要求并报验使用；办理用工保险。</w:t>
      </w:r>
    </w:p>
    <w:p w14:paraId="3BACB0B2">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1.1.2</w:t>
      </w:r>
      <w:r>
        <w:rPr>
          <w:rFonts w:hint="eastAsia" w:ascii="宋体" w:hAnsi="宋体" w:eastAsia="宋体" w:cs="宋体"/>
          <w:snapToGrid w:val="0"/>
          <w:color w:val="auto"/>
          <w:kern w:val="0"/>
          <w:highlight w:val="none"/>
        </w:rPr>
        <w:t xml:space="preserve"> 包质量：符合招标文件要求。</w:t>
      </w:r>
    </w:p>
    <w:p w14:paraId="6D745C9D">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1.1.3</w:t>
      </w:r>
      <w:r>
        <w:rPr>
          <w:rFonts w:hint="eastAsia" w:ascii="宋体" w:hAnsi="宋体" w:eastAsia="宋体" w:cs="宋体"/>
          <w:snapToGrid w:val="0"/>
          <w:color w:val="auto"/>
          <w:kern w:val="0"/>
          <w:highlight w:val="none"/>
        </w:rPr>
        <w:t xml:space="preserve"> 包安全包文明施工：符合招标文件要求。</w:t>
      </w:r>
    </w:p>
    <w:p w14:paraId="5D39D0D9">
      <w:pPr>
        <w:wordWrap w:val="0"/>
        <w:adjustRightInd w:val="0"/>
        <w:snapToGrid w:val="0"/>
        <w:spacing w:line="440" w:lineRule="exact"/>
        <w:ind w:firstLine="56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 xml:space="preserve">1.1.4 </w:t>
      </w:r>
      <w:r>
        <w:rPr>
          <w:rFonts w:hint="eastAsia" w:ascii="宋体" w:hAnsi="宋体" w:eastAsia="宋体" w:cs="宋体"/>
          <w:snapToGrid w:val="0"/>
          <w:color w:val="auto"/>
          <w:kern w:val="0"/>
          <w:highlight w:val="none"/>
        </w:rPr>
        <w:t>包工期：本招标项目施工必须在招标工期内完成。</w:t>
      </w:r>
    </w:p>
    <w:p w14:paraId="21564866">
      <w:pPr>
        <w:wordWrap w:val="0"/>
        <w:adjustRightInd w:val="0"/>
        <w:snapToGrid w:val="0"/>
        <w:spacing w:line="440" w:lineRule="exact"/>
        <w:ind w:firstLine="560"/>
        <w:rPr>
          <w:rFonts w:hint="eastAsia" w:ascii="宋体" w:hAnsi="宋体" w:eastAsia="宋体" w:cs="宋体"/>
          <w:snapToGrid w:val="0"/>
          <w:color w:val="auto"/>
          <w:kern w:val="0"/>
          <w:highlight w:val="none"/>
        </w:rPr>
      </w:pPr>
    </w:p>
    <w:p w14:paraId="6DB5E88B">
      <w:pPr>
        <w:pStyle w:val="4"/>
        <w:bidi w:val="0"/>
        <w:ind w:firstLine="964"/>
        <w:rPr>
          <w:rFonts w:hint="eastAsia" w:ascii="宋体" w:hAnsi="宋体" w:eastAsia="宋体" w:cs="宋体"/>
          <w:color w:val="auto"/>
          <w:highlight w:val="none"/>
        </w:rPr>
      </w:pPr>
      <w:bookmarkStart w:id="185" w:name="_2、工程结算原则"/>
      <w:bookmarkEnd w:id="185"/>
      <w:bookmarkStart w:id="186" w:name="_Toc3107"/>
      <w:bookmarkStart w:id="187" w:name="_Toc9168"/>
      <w:bookmarkStart w:id="188" w:name="_Toc21894"/>
      <w:bookmarkStart w:id="189" w:name="_Toc322793289"/>
      <w:bookmarkStart w:id="190" w:name="_Toc27001"/>
      <w:bookmarkStart w:id="191" w:name="_Toc326916630"/>
      <w:bookmarkStart w:id="192" w:name="_Hlt87948449"/>
      <w:bookmarkStart w:id="193" w:name="_Hlt87948447"/>
      <w:r>
        <w:rPr>
          <w:rFonts w:hint="eastAsia" w:ascii="宋体" w:hAnsi="宋体" w:eastAsia="宋体" w:cs="宋体"/>
          <w:color w:val="auto"/>
          <w:highlight w:val="none"/>
        </w:rPr>
        <w:t>2．工程结算原则</w:t>
      </w:r>
      <w:bookmarkEnd w:id="186"/>
      <w:bookmarkEnd w:id="187"/>
      <w:bookmarkEnd w:id="188"/>
      <w:bookmarkEnd w:id="189"/>
      <w:bookmarkEnd w:id="190"/>
      <w:bookmarkEnd w:id="191"/>
    </w:p>
    <w:p w14:paraId="3B1C80AA">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194" w:name="_Hlt88974053"/>
      <w:bookmarkEnd w:id="194"/>
      <w:r>
        <w:rPr>
          <w:rFonts w:hint="eastAsia" w:ascii="宋体" w:hAnsi="宋体" w:eastAsia="宋体" w:cs="宋体"/>
          <w:b/>
          <w:bCs/>
          <w:snapToGrid w:val="0"/>
          <w:color w:val="auto"/>
          <w:kern w:val="0"/>
          <w:szCs w:val="24"/>
          <w:highlight w:val="none"/>
        </w:rPr>
        <w:t>2.1</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人的投标总价为中标价，即为签约合同价。</w:t>
      </w:r>
    </w:p>
    <w:p w14:paraId="0B6A5EF6">
      <w:pPr>
        <w:wordWrap w:val="0"/>
        <w:adjustRightInd w:val="0"/>
        <w:snapToGrid w:val="0"/>
        <w:spacing w:line="440" w:lineRule="exact"/>
        <w:ind w:firstLine="480"/>
        <w:rPr>
          <w:rFonts w:hint="eastAsia" w:ascii="宋体" w:hAnsi="宋体" w:eastAsia="宋体" w:cs="宋体"/>
          <w:color w:val="auto"/>
          <w:highlight w:val="none"/>
        </w:rPr>
      </w:pPr>
      <w:r>
        <w:rPr>
          <w:rFonts w:hint="eastAsia" w:ascii="宋体" w:hAnsi="宋体" w:eastAsia="宋体" w:cs="宋体"/>
          <w:b/>
          <w:bCs/>
          <w:snapToGrid w:val="0"/>
          <w:color w:val="auto"/>
          <w:kern w:val="0"/>
          <w:szCs w:val="24"/>
          <w:highlight w:val="none"/>
        </w:rPr>
        <w:t>2.2</w:t>
      </w:r>
      <w:r>
        <w:rPr>
          <w:rFonts w:hint="eastAsia" w:ascii="宋体" w:hAnsi="宋体" w:eastAsia="宋体" w:cs="宋体"/>
          <w:snapToGrid w:val="0"/>
          <w:color w:val="auto"/>
          <w:kern w:val="0"/>
          <w:szCs w:val="24"/>
          <w:highlight w:val="none"/>
        </w:rPr>
        <w:t xml:space="preserve"> 招标工程量清单标明的工程量是投标人投标报价的共同基础，竣工结算的工程量按</w:t>
      </w:r>
      <w:r>
        <w:rPr>
          <w:rFonts w:hint="eastAsia" w:hAnsi="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Cs w:val="24"/>
          <w:highlight w:val="none"/>
        </w:rPr>
        <w:t>对工程计量的规定进行计量，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的工程量，发包人不予计量。</w:t>
      </w:r>
    </w:p>
    <w:p w14:paraId="113F0888">
      <w:pPr>
        <w:spacing w:line="24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w:t>
      </w:r>
      <w:r>
        <w:rPr>
          <w:rFonts w:hint="eastAsia" w:ascii="宋体" w:hAnsi="宋体" w:eastAsia="宋体" w:cs="宋体"/>
          <w:snapToGrid w:val="0"/>
          <w:color w:val="auto"/>
          <w:kern w:val="0"/>
          <w:szCs w:val="24"/>
          <w:highlight w:val="none"/>
        </w:rPr>
        <w:t xml:space="preserve"> 施工合同履行期间，若出现下列情形的，发、承包双方应当按照以下规定调整合同价款：</w:t>
      </w:r>
    </w:p>
    <w:p w14:paraId="3C4CC2D4">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w:t>
      </w:r>
      <w:r>
        <w:rPr>
          <w:rFonts w:hint="eastAsia" w:ascii="宋体" w:hAnsi="宋体" w:eastAsia="宋体" w:cs="宋体"/>
          <w:snapToGrid w:val="0"/>
          <w:color w:val="auto"/>
          <w:kern w:val="0"/>
          <w:szCs w:val="24"/>
          <w:highlight w:val="none"/>
        </w:rPr>
        <w:t xml:space="preserve"> 法律法规变化</w:t>
      </w:r>
    </w:p>
    <w:p w14:paraId="431CEA7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 xml:space="preserve"> 基准日之后，因国家法律、法规、规章和政策发生变化引起工程造价增减变化时，发、承包双方应按照省级建设主管部门（或省级行业主管部门）或其授权的工程造价管理机构据此发布的最新规定调整合同价款。</w:t>
      </w:r>
    </w:p>
    <w:p w14:paraId="38C06DB2">
      <w:pPr>
        <w:wordWrap w:val="0"/>
        <w:adjustRightInd w:val="0"/>
        <w:snapToGrid w:val="0"/>
        <w:spacing w:line="440" w:lineRule="exact"/>
        <w:ind w:firstLine="480"/>
        <w:rPr>
          <w:rFonts w:hint="eastAsia" w:ascii="宋体" w:hAnsi="宋体" w:eastAsia="宋体" w:cs="宋体"/>
          <w:b/>
          <w:bCs/>
          <w:snapToGrid w:val="0"/>
          <w:color w:val="auto"/>
          <w:kern w:val="0"/>
          <w:highlight w:val="none"/>
          <w:lang w:val="en-US" w:eastAsia="zh-CN"/>
        </w:rPr>
      </w:pPr>
      <w:r>
        <w:rPr>
          <w:rFonts w:hint="eastAsia" w:ascii="宋体" w:hAnsi="宋体" w:eastAsia="宋体" w:cs="宋体"/>
          <w:b/>
          <w:bCs/>
          <w:snapToGrid w:val="0"/>
          <w:color w:val="auto"/>
          <w:kern w:val="0"/>
          <w:highlight w:val="none"/>
        </w:rPr>
        <w:t>注：本招标文件所称“基准日”，均指投标文件递交截止时间（见第一章第二节“重要事项时间地点一览表”）前28天。</w:t>
      </w:r>
    </w:p>
    <w:p w14:paraId="16991919">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2.3.1.2</w:t>
      </w:r>
      <w:r>
        <w:rPr>
          <w:rFonts w:hint="eastAsia" w:ascii="宋体" w:hAnsi="宋体" w:eastAsia="宋体" w:cs="宋体"/>
          <w:snapToGrid w:val="0"/>
          <w:color w:val="auto"/>
          <w:kern w:val="0"/>
          <w:szCs w:val="24"/>
          <w:highlight w:val="none"/>
        </w:rPr>
        <w:t xml:space="preserve"> 因承包人原因导致工程延误，本章第</w:t>
      </w:r>
      <w:r>
        <w:rPr>
          <w:rFonts w:hint="eastAsia" w:ascii="宋体" w:hAnsi="宋体" w:eastAsia="宋体" w:cs="宋体"/>
          <w:b/>
          <w:bCs/>
          <w:snapToGrid w:val="0"/>
          <w:color w:val="auto"/>
          <w:kern w:val="0"/>
          <w:szCs w:val="24"/>
          <w:highlight w:val="none"/>
        </w:rPr>
        <w:t>2.3.1.1</w:t>
      </w:r>
      <w:r>
        <w:rPr>
          <w:rFonts w:hint="eastAsia" w:ascii="宋体" w:hAnsi="宋体" w:eastAsia="宋体" w:cs="宋体"/>
          <w:snapToGrid w:val="0"/>
          <w:color w:val="auto"/>
          <w:kern w:val="0"/>
          <w:szCs w:val="24"/>
          <w:highlight w:val="none"/>
        </w:rPr>
        <w:t>子目中的法定机构根据国家法律法规变化发布新规的时间在合同工程原定竣工时间之后的，合同价款调增的不予调整，合同价款调减的予以调整。</w:t>
      </w:r>
    </w:p>
    <w:p w14:paraId="22AD908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w:t>
      </w:r>
      <w:r>
        <w:rPr>
          <w:rFonts w:hint="eastAsia" w:ascii="宋体" w:hAnsi="宋体" w:eastAsia="宋体" w:cs="宋体"/>
          <w:snapToGrid w:val="0"/>
          <w:color w:val="auto"/>
          <w:kern w:val="0"/>
          <w:szCs w:val="24"/>
          <w:highlight w:val="none"/>
        </w:rPr>
        <w:t xml:space="preserve"> 工程量偏差或变化</w:t>
      </w:r>
    </w:p>
    <w:p w14:paraId="12EDF1AC">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 xml:space="preserve"> 合同履行期间，当应予计算的实际工程量与招标工程量清单出现偏差或因工程变更引起已标价工程量清单项目的工程数量发生变化时，工程量偏差或变化在15%以内（含15%）的，其综合单价不予调整；工程量偏差或变化超过15%的，按照以下规定调整：</w:t>
      </w:r>
    </w:p>
    <w:bookmarkEnd w:id="192"/>
    <w:bookmarkEnd w:id="193"/>
    <w:p w14:paraId="39ED405F">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bookmarkStart w:id="195" w:name="_Toc14272"/>
      <w:bookmarkStart w:id="196" w:name="_Toc326916631"/>
      <w:bookmarkStart w:id="197" w:name="_Hlt87951777"/>
      <w:bookmarkStart w:id="198" w:name="_Toc322793290"/>
      <w:r>
        <w:rPr>
          <w:rFonts w:hint="eastAsia" w:ascii="宋体" w:hAnsi="宋体" w:eastAsia="宋体" w:cs="宋体"/>
          <w:snapToGrid w:val="0"/>
          <w:color w:val="auto"/>
          <w:kern w:val="0"/>
          <w:szCs w:val="24"/>
          <w:highlight w:val="none"/>
        </w:rPr>
        <w:t>对于合理报价的清单项目，当工程量增加超过15%时，增加部分的工程量的综合单价以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Cs w:val="24"/>
          <w:highlight w:val="none"/>
        </w:rPr>
        <w:t>为基价调低</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Cs w:val="24"/>
          <w:highlight w:val="none"/>
        </w:rPr>
        <w:t>%；当工程量</w:t>
      </w:r>
      <w:r>
        <w:rPr>
          <w:rFonts w:hint="eastAsia" w:ascii="宋体" w:hAnsi="宋体" w:eastAsia="宋体" w:cs="宋体"/>
          <w:snapToGrid w:val="0"/>
          <w:color w:val="auto"/>
          <w:kern w:val="0"/>
          <w:szCs w:val="24"/>
          <w:highlight w:val="none"/>
          <w:lang w:val="en-US" w:eastAsia="zh-CN"/>
        </w:rPr>
        <w:t>减少</w:t>
      </w:r>
      <w:r>
        <w:rPr>
          <w:rFonts w:hint="eastAsia" w:ascii="宋体" w:hAnsi="宋体" w:eastAsia="宋体" w:cs="宋体"/>
          <w:snapToGrid w:val="0"/>
          <w:color w:val="auto"/>
          <w:kern w:val="0"/>
          <w:szCs w:val="24"/>
          <w:highlight w:val="none"/>
        </w:rPr>
        <w:t>超过15%时，</w:t>
      </w:r>
      <w:r>
        <w:rPr>
          <w:rFonts w:hint="eastAsia" w:ascii="宋体" w:hAnsi="宋体" w:eastAsia="宋体" w:cs="宋体"/>
          <w:snapToGrid w:val="0"/>
          <w:color w:val="auto"/>
          <w:kern w:val="0"/>
          <w:szCs w:val="24"/>
          <w:highlight w:val="none"/>
          <w:lang w:val="en-US" w:eastAsia="zh-CN"/>
        </w:rPr>
        <w:t>减少后剩余</w:t>
      </w:r>
      <w:r>
        <w:rPr>
          <w:rFonts w:hint="eastAsia" w:ascii="宋体" w:hAnsi="宋体" w:eastAsia="宋体" w:cs="宋体"/>
          <w:snapToGrid w:val="0"/>
          <w:color w:val="auto"/>
          <w:kern w:val="0"/>
          <w:szCs w:val="24"/>
          <w:highlight w:val="none"/>
        </w:rPr>
        <w:t>部分的工程量的综合单价以</w:t>
      </w:r>
      <w:r>
        <w:rPr>
          <w:rFonts w:hint="eastAsia" w:ascii="宋体" w:hAnsi="宋体" w:eastAsia="宋体" w:cs="宋体"/>
          <w:b/>
          <w:bCs/>
          <w:snapToGrid w:val="0"/>
          <w:color w:val="auto"/>
          <w:kern w:val="0"/>
          <w:sz w:val="24"/>
          <w:szCs w:val="24"/>
          <w:highlight w:val="none"/>
          <w:u w:val="single"/>
        </w:rPr>
        <w:t>该分部分项工程量清单项目原综合单价</w:t>
      </w:r>
      <w:r>
        <w:rPr>
          <w:rFonts w:hint="eastAsia" w:ascii="宋体" w:hAnsi="宋体" w:eastAsia="宋体" w:cs="宋体"/>
          <w:snapToGrid w:val="0"/>
          <w:color w:val="auto"/>
          <w:kern w:val="0"/>
          <w:sz w:val="24"/>
          <w:szCs w:val="24"/>
          <w:highlight w:val="none"/>
        </w:rPr>
        <w:t>为基价调高</w:t>
      </w:r>
      <w:r>
        <w:rPr>
          <w:rFonts w:hint="eastAsia" w:ascii="宋体" w:hAnsi="宋体" w:eastAsia="宋体" w:cs="宋体"/>
          <w:b/>
          <w:bCs/>
          <w:snapToGrid w:val="0"/>
          <w:color w:val="auto"/>
          <w:kern w:val="0"/>
          <w:sz w:val="24"/>
          <w:szCs w:val="24"/>
          <w:highlight w:val="none"/>
          <w:u w:val="single"/>
        </w:rPr>
        <w:t>该分部分项工程量清单项目原综合单价的3</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Cs w:val="24"/>
          <w:highlight w:val="none"/>
        </w:rPr>
        <w:t>。</w:t>
      </w:r>
    </w:p>
    <w:p w14:paraId="6DE2D3FC">
      <w:pPr>
        <w:wordWrap w:val="0"/>
        <w:adjustRightInd w:val="0"/>
        <w:snapToGrid w:val="0"/>
        <w:spacing w:line="440" w:lineRule="exact"/>
        <w:ind w:firstLine="482"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Cs w:val="24"/>
          <w:highlight w:val="none"/>
        </w:rPr>
        <w:t>对于按照第二章“中标人须知”第4.2条被认定为不平衡报价的清单项目，其综合单价按照以下方法调整：</w:t>
      </w:r>
      <w:r>
        <w:rPr>
          <w:rFonts w:hint="eastAsia" w:ascii="宋体" w:hAnsi="宋体" w:eastAsia="宋体" w:cs="宋体"/>
          <w:snapToGrid w:val="0"/>
          <w:color w:val="auto"/>
          <w:kern w:val="0"/>
          <w:sz w:val="24"/>
          <w:szCs w:val="24"/>
          <w:highlight w:val="none"/>
          <w:u w:val="single"/>
        </w:rPr>
        <w:t>以</w:t>
      </w:r>
      <w:r>
        <w:rPr>
          <w:rFonts w:hint="eastAsia" w:hAnsi="宋体" w:cs="宋体"/>
          <w:snapToGrid w:val="0"/>
          <w:color w:val="auto"/>
          <w:kern w:val="0"/>
          <w:sz w:val="24"/>
          <w:szCs w:val="24"/>
          <w:highlight w:val="none"/>
          <w:u w:val="single"/>
          <w:lang w:eastAsia="zh-CN"/>
        </w:rPr>
        <w:t>最高投标限价</w:t>
      </w:r>
      <w:r>
        <w:rPr>
          <w:rFonts w:hint="eastAsia" w:ascii="宋体" w:hAnsi="宋体" w:eastAsia="宋体" w:cs="宋体"/>
          <w:snapToGrid w:val="0"/>
          <w:color w:val="auto"/>
          <w:kern w:val="0"/>
          <w:sz w:val="24"/>
          <w:szCs w:val="24"/>
          <w:highlight w:val="none"/>
          <w:u w:val="single"/>
        </w:rPr>
        <w:t>中的《分部分项工程和单价措施项目清单与计价表》子目相对应综合单价×（1-中标下浮率）</w:t>
      </w:r>
      <w:r>
        <w:rPr>
          <w:rFonts w:hint="eastAsia" w:ascii="宋体" w:hAnsi="宋体" w:eastAsia="宋体" w:cs="宋体"/>
          <w:snapToGrid w:val="0"/>
          <w:color w:val="auto"/>
          <w:kern w:val="0"/>
          <w:sz w:val="24"/>
          <w:szCs w:val="24"/>
          <w:highlight w:val="none"/>
        </w:rPr>
        <w:t>。</w:t>
      </w:r>
    </w:p>
    <w:p w14:paraId="6324771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2.3.2.2</w:t>
      </w:r>
      <w:r>
        <w:rPr>
          <w:rFonts w:hint="eastAsia" w:ascii="宋体" w:hAnsi="宋体" w:eastAsia="宋体" w:cs="宋体"/>
          <w:snapToGrid w:val="0"/>
          <w:color w:val="auto"/>
          <w:kern w:val="0"/>
          <w:szCs w:val="24"/>
          <w:highlight w:val="none"/>
        </w:rPr>
        <w:t xml:space="preserve"> 如果工程量出现本章第</w:t>
      </w:r>
      <w:r>
        <w:rPr>
          <w:rFonts w:hint="eastAsia" w:ascii="宋体" w:hAnsi="宋体" w:eastAsia="宋体" w:cs="宋体"/>
          <w:b/>
          <w:bCs/>
          <w:snapToGrid w:val="0"/>
          <w:color w:val="auto"/>
          <w:kern w:val="0"/>
          <w:szCs w:val="24"/>
          <w:highlight w:val="none"/>
        </w:rPr>
        <w:t>2.3.2.1</w:t>
      </w:r>
      <w:r>
        <w:rPr>
          <w:rFonts w:hint="eastAsia" w:ascii="宋体" w:hAnsi="宋体" w:eastAsia="宋体" w:cs="宋体"/>
          <w:snapToGrid w:val="0"/>
          <w:color w:val="auto"/>
          <w:kern w:val="0"/>
          <w:szCs w:val="24"/>
          <w:highlight w:val="none"/>
        </w:rPr>
        <w:t>子目的变化，且该变化引起相关措施项目相应发生变化时，按系数或单一总价方式计价的，工程量增加的措施项目费调增，工程量减少的措施项目费调减。</w:t>
      </w:r>
    </w:p>
    <w:p w14:paraId="6E9A72CD">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 xml:space="preserve"> 工程变更</w:t>
      </w:r>
    </w:p>
    <w:p w14:paraId="3A2BE1E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 xml:space="preserve"> 合同履行期间，因工程变更引起已标价工程量清单项目发生变化时，按照以下规定调整：</w:t>
      </w:r>
    </w:p>
    <w:p w14:paraId="5A919CA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（1）已标价工程量清单中有适用于变更工程项目的，采用该项目的单价。</w:t>
      </w:r>
      <w:r>
        <w:rPr>
          <w:rFonts w:hint="eastAsia" w:ascii="宋体" w:hAnsi="宋体" w:eastAsia="宋体" w:cs="宋体"/>
          <w:b/>
          <w:bCs/>
          <w:snapToGrid w:val="0"/>
          <w:color w:val="auto"/>
          <w:kern w:val="0"/>
          <w:szCs w:val="24"/>
          <w:highlight w:val="none"/>
        </w:rPr>
        <w:t>但如果被采用的项目属于按照第二章“中标人须知”第4.2条被认定为不平衡报价的清单项目，变更工程项目的单价按照以下方法调整：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 w:val="24"/>
          <w:szCs w:val="24"/>
          <w:highlight w:val="none"/>
          <w:u w:val="single"/>
        </w:rPr>
        <w:t>以</w:t>
      </w:r>
      <w:r>
        <w:rPr>
          <w:rFonts w:hint="eastAsia" w:hAnsi="宋体" w:cs="宋体"/>
          <w:snapToGrid w:val="0"/>
          <w:color w:val="auto"/>
          <w:kern w:val="0"/>
          <w:sz w:val="24"/>
          <w:szCs w:val="20"/>
          <w:highlight w:val="none"/>
          <w:u w:val="single"/>
          <w:lang w:eastAsia="zh-CN"/>
        </w:rPr>
        <w:t>最高投标限价</w:t>
      </w:r>
      <w:r>
        <w:rPr>
          <w:rFonts w:hint="eastAsia" w:ascii="宋体" w:hAnsi="宋体" w:eastAsia="宋体" w:cs="宋体"/>
          <w:snapToGrid w:val="0"/>
          <w:color w:val="auto"/>
          <w:kern w:val="0"/>
          <w:sz w:val="24"/>
          <w:szCs w:val="20"/>
          <w:highlight w:val="none"/>
          <w:u w:val="single"/>
        </w:rPr>
        <w:t>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173EFF1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（2）已标价工程量清单中没有适用但有类似于变更工程项目的，可在合理范围内参照类似项目的单价。</w:t>
      </w:r>
      <w:r>
        <w:rPr>
          <w:rFonts w:hint="eastAsia" w:ascii="宋体" w:hAnsi="宋体" w:eastAsia="宋体" w:cs="宋体"/>
          <w:b/>
          <w:bCs/>
          <w:snapToGrid w:val="0"/>
          <w:color w:val="auto"/>
          <w:kern w:val="0"/>
          <w:szCs w:val="24"/>
          <w:highlight w:val="none"/>
        </w:rPr>
        <w:t>但如果被参考的类似项目属于按照第二章“中标人须知”第4.2条被认定为不平衡报价的清单项目，变更工程项目的单价按照以下方法调整：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 w:val="24"/>
          <w:szCs w:val="24"/>
          <w:highlight w:val="none"/>
          <w:u w:val="single"/>
        </w:rPr>
        <w:t>以</w:t>
      </w:r>
      <w:r>
        <w:rPr>
          <w:rFonts w:hint="eastAsia" w:hAnsi="宋体" w:cs="宋体"/>
          <w:snapToGrid w:val="0"/>
          <w:color w:val="auto"/>
          <w:kern w:val="0"/>
          <w:sz w:val="24"/>
          <w:szCs w:val="20"/>
          <w:highlight w:val="none"/>
          <w:u w:val="single"/>
          <w:lang w:eastAsia="zh-CN"/>
        </w:rPr>
        <w:t>最高投标限价</w:t>
      </w:r>
      <w:r>
        <w:rPr>
          <w:rFonts w:hint="eastAsia" w:ascii="宋体" w:hAnsi="宋体" w:eastAsia="宋体" w:cs="宋体"/>
          <w:snapToGrid w:val="0"/>
          <w:color w:val="auto"/>
          <w:kern w:val="0"/>
          <w:sz w:val="24"/>
          <w:szCs w:val="20"/>
          <w:highlight w:val="none"/>
          <w:u w:val="single"/>
        </w:rPr>
        <w:t>中的《分部分项工程和单价措施项目清单与计价表》子目相对应综合单价</w:t>
      </w:r>
      <w:r>
        <w:rPr>
          <w:rFonts w:hint="eastAsia" w:ascii="宋体" w:hAnsi="宋体" w:eastAsia="宋体" w:cs="宋体"/>
          <w:snapToGrid w:val="0"/>
          <w:color w:val="auto"/>
          <w:kern w:val="0"/>
          <w:sz w:val="24"/>
          <w:szCs w:val="24"/>
          <w:highlight w:val="none"/>
          <w:u w:val="single"/>
        </w:rPr>
        <w:t>×（1-中标下浮率）</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w:t>
      </w:r>
    </w:p>
    <w:p w14:paraId="2FFED022">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已标价工程量清单中没有适用也没有类似于变更工程项目的，由承包人根据变更工程资料、计量规则、计价办法、施工当月项目所在地工程造价管理机构发布的价格信息和中标下浮率提出变更工程项目的单价，报发包人确认后调整。中标下浮率的计算公式如下：</w:t>
      </w:r>
    </w:p>
    <w:p w14:paraId="4AB93DD4">
      <w:pPr>
        <w:wordWrap w:val="0"/>
        <w:adjustRightInd w:val="0"/>
        <w:snapToGrid w:val="0"/>
        <w:spacing w:line="440" w:lineRule="exact"/>
        <w:jc w:val="center"/>
        <w:rPr>
          <w:rFonts w:hint="eastAsia" w:ascii="宋体" w:hAnsi="宋体" w:eastAsia="宋体" w:cs="宋体"/>
          <w:snapToGrid w:val="0"/>
          <w:color w:val="auto"/>
          <w:kern w:val="0"/>
          <w:szCs w:val="24"/>
          <w:highlight w:val="none"/>
          <w:u w:val="wave"/>
        </w:rPr>
      </w:pPr>
      <w:r>
        <w:rPr>
          <w:rFonts w:hint="eastAsia" w:ascii="宋体" w:hAnsi="宋体" w:eastAsia="宋体" w:cs="宋体"/>
          <w:snapToGrid w:val="0"/>
          <w:color w:val="auto"/>
          <w:kern w:val="0"/>
          <w:szCs w:val="24"/>
          <w:highlight w:val="none"/>
        </w:rPr>
        <w:t>中标下浮率＝（1－中标价÷</w:t>
      </w:r>
      <w:r>
        <w:rPr>
          <w:rFonts w:hint="eastAsia" w:hAnsi="宋体" w:cs="宋体"/>
          <w:snapToGrid w:val="0"/>
          <w:color w:val="auto"/>
          <w:kern w:val="0"/>
          <w:szCs w:val="24"/>
          <w:highlight w:val="none"/>
          <w:lang w:eastAsia="zh-CN"/>
        </w:rPr>
        <w:t>最高投标限价</w:t>
      </w:r>
      <w:r>
        <w:rPr>
          <w:rFonts w:hint="eastAsia" w:ascii="宋体" w:hAnsi="宋体" w:eastAsia="宋体" w:cs="宋体"/>
          <w:snapToGrid w:val="0"/>
          <w:color w:val="auto"/>
          <w:kern w:val="0"/>
          <w:szCs w:val="24"/>
          <w:highlight w:val="none"/>
        </w:rPr>
        <w:t>）×100%</w:t>
      </w:r>
    </w:p>
    <w:p w14:paraId="52F2A33B">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4）已标价工程量清单中没有适用也没有类似于变更工程项目，且施工当月项目所在地工程造价管理机构发布的价格信息缺项的，由承包人根据变更工程资料、计量规则、计价办法和通过市场调查等取得有合法依据的市场价格提出变更工程项目的单价，报发包人确认后调整。</w:t>
      </w:r>
    </w:p>
    <w:p w14:paraId="5485B758">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 xml:space="preserve"> 工程变更引起施工方案改变并使措施项目发生变化时，承包人提出调整措施项目费的，应事先将拟实施的方案提交发包人确认，并应详细说明与原方案措施项目相比的变化情况。拟实施的方案经发、承包双方确认后执行，并按照本章下列规定调整措施项目费：</w:t>
      </w:r>
    </w:p>
    <w:p w14:paraId="7ACDFC8B">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（1）</w:t>
      </w:r>
      <w:r>
        <w:rPr>
          <w:rFonts w:hint="eastAsia" w:hAnsi="宋体" w:cs="宋体"/>
          <w:snapToGrid w:val="0"/>
          <w:color w:val="auto"/>
          <w:kern w:val="0"/>
          <w:szCs w:val="24"/>
          <w:highlight w:val="none"/>
          <w:lang w:eastAsia="zh-CN"/>
        </w:rPr>
        <w:t>安全生产措施费</w:t>
      </w:r>
      <w:r>
        <w:rPr>
          <w:rFonts w:hint="eastAsia" w:ascii="宋体" w:hAnsi="宋体" w:eastAsia="宋体" w:cs="宋体"/>
          <w:snapToGrid w:val="0"/>
          <w:color w:val="auto"/>
          <w:kern w:val="0"/>
          <w:szCs w:val="24"/>
          <w:highlight w:val="none"/>
        </w:rPr>
        <w:t>应按照实际发生变化的措施项目计算。</w:t>
      </w:r>
    </w:p>
    <w:p w14:paraId="45005664">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（2）采用单价计算的措施项目费，应按照实际发生变化的措施项目，按本章第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w:t>
      </w:r>
    </w:p>
    <w:p w14:paraId="71DB556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（3）按总价或系数计算的措施项目费，应按照实际发生变化的措施项目费调整并考虑中标下浮率因素，即调整金额</w:t>
      </w:r>
      <w:r>
        <w:rPr>
          <w:rFonts w:hint="eastAsia" w:ascii="宋体" w:hAnsi="宋体" w:eastAsia="宋体" w:cs="宋体"/>
          <w:bCs/>
          <w:snapToGrid w:val="0"/>
          <w:color w:val="auto"/>
          <w:kern w:val="0"/>
          <w:szCs w:val="28"/>
          <w:highlight w:val="none"/>
        </w:rPr>
        <w:t>＝按照实际变化调整</w:t>
      </w:r>
      <w:r>
        <w:rPr>
          <w:rFonts w:hint="eastAsia" w:ascii="宋体" w:hAnsi="宋体" w:eastAsia="宋体" w:cs="宋体"/>
          <w:snapToGrid w:val="0"/>
          <w:color w:val="auto"/>
          <w:kern w:val="0"/>
          <w:szCs w:val="24"/>
          <w:highlight w:val="none"/>
        </w:rPr>
        <w:t>后的金额</w:t>
      </w:r>
      <w:r>
        <w:rPr>
          <w:rFonts w:hint="eastAsia" w:ascii="宋体" w:hAnsi="宋体" w:eastAsia="宋体" w:cs="宋体"/>
          <w:bCs/>
          <w:snapToGrid w:val="0"/>
          <w:color w:val="auto"/>
          <w:kern w:val="0"/>
          <w:szCs w:val="28"/>
          <w:highlight w:val="none"/>
        </w:rPr>
        <w:t>×（1-</w:t>
      </w:r>
      <w:r>
        <w:rPr>
          <w:rFonts w:hint="eastAsia" w:ascii="宋体" w:hAnsi="宋体" w:eastAsia="宋体" w:cs="宋体"/>
          <w:snapToGrid w:val="0"/>
          <w:color w:val="auto"/>
          <w:kern w:val="0"/>
          <w:szCs w:val="24"/>
          <w:highlight w:val="none"/>
        </w:rPr>
        <w:t>中标下浮率）。</w:t>
      </w:r>
    </w:p>
    <w:p w14:paraId="1603DD59">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如果承包人未事先将拟实施的方案提交发包人确认，视为工程变更不引起措施项目费的调整或承包人放弃调整措施项目费的权利。</w:t>
      </w:r>
    </w:p>
    <w:p w14:paraId="7DBC08AD">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2.3.3.3</w:t>
      </w:r>
      <w:r>
        <w:rPr>
          <w:rFonts w:hint="eastAsia" w:ascii="宋体" w:hAnsi="宋体" w:eastAsia="宋体" w:cs="宋体"/>
          <w:snapToGrid w:val="0"/>
          <w:color w:val="auto"/>
          <w:kern w:val="0"/>
          <w:szCs w:val="24"/>
          <w:highlight w:val="none"/>
        </w:rPr>
        <w:t xml:space="preserve"> 当因非承包人原因，发包人提出的工程变更删减了合同中的某项原定工作或工程，致使承包人发生的费用或（和）得到的收益不能被包括在其他已支付或应支付的项目中，也未被包含在任何替代的工作或工程中时，承包人有权提出并应得到合理的费用及利润补偿。</w:t>
      </w:r>
    </w:p>
    <w:p w14:paraId="26E95ED0">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2.3.4</w:t>
      </w:r>
      <w:r>
        <w:rPr>
          <w:rFonts w:hint="eastAsia" w:ascii="宋体" w:hAnsi="宋体" w:eastAsia="宋体" w:cs="宋体"/>
          <w:snapToGrid w:val="0"/>
          <w:color w:val="auto"/>
          <w:kern w:val="0"/>
          <w:szCs w:val="24"/>
          <w:highlight w:val="none"/>
        </w:rPr>
        <w:t xml:space="preserve"> 项目特征不符</w:t>
      </w:r>
    </w:p>
    <w:p w14:paraId="1F5FF32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承包人应按照发包人提供的设计图纸实施合同工程，若在合同履行期间出现设计图纸（含设计变更）与招标工程量清单任一项目的特征描述不符，且该变化引起该项目工程造价增减变化的，应按照实际施工的项目特征，并按本章第</w:t>
      </w:r>
      <w:r>
        <w:rPr>
          <w:rFonts w:hint="eastAsia" w:ascii="宋体" w:hAnsi="宋体" w:eastAsia="宋体" w:cs="宋体"/>
          <w:b/>
          <w:bCs/>
          <w:snapToGrid w:val="0"/>
          <w:color w:val="auto"/>
          <w:kern w:val="0"/>
          <w:szCs w:val="24"/>
          <w:highlight w:val="none"/>
        </w:rPr>
        <w:t>2.3.3</w:t>
      </w:r>
      <w:r>
        <w:rPr>
          <w:rFonts w:hint="eastAsia" w:ascii="宋体" w:hAnsi="宋体" w:eastAsia="宋体" w:cs="宋体"/>
          <w:snapToGrid w:val="0"/>
          <w:color w:val="auto"/>
          <w:kern w:val="0"/>
          <w:szCs w:val="24"/>
          <w:highlight w:val="none"/>
        </w:rPr>
        <w:t>目相关条款的规定重新确定相应工程量清单项目的综合单价，并调整合同价款。</w:t>
      </w:r>
    </w:p>
    <w:p w14:paraId="3A4BA281">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w:t>
      </w:r>
      <w:r>
        <w:rPr>
          <w:rFonts w:hint="eastAsia" w:ascii="宋体" w:hAnsi="宋体" w:eastAsia="宋体" w:cs="宋体"/>
          <w:snapToGrid w:val="0"/>
          <w:color w:val="auto"/>
          <w:kern w:val="0"/>
          <w:szCs w:val="24"/>
          <w:highlight w:val="none"/>
        </w:rPr>
        <w:t xml:space="preserve"> 招标工程量清单缺项</w:t>
      </w:r>
    </w:p>
    <w:p w14:paraId="37735E4B">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2.3.5.1</w:t>
      </w:r>
      <w:r>
        <w:rPr>
          <w:rFonts w:hint="eastAsia" w:ascii="宋体" w:hAnsi="宋体" w:eastAsia="宋体" w:cs="宋体"/>
          <w:snapToGrid w:val="0"/>
          <w:color w:val="auto"/>
          <w:kern w:val="0"/>
          <w:szCs w:val="24"/>
          <w:highlight w:val="none"/>
        </w:rPr>
        <w:t xml:space="preserve"> 合同履行期间，由于招标工程量清单中缺项，新增分部分项工程清单项目，应按照本章第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子目的规定确定单价，并调整合同价款。</w:t>
      </w:r>
    </w:p>
    <w:p w14:paraId="6FE66576">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2.3.5.2</w:t>
      </w:r>
      <w:r>
        <w:rPr>
          <w:rFonts w:hint="eastAsia" w:ascii="宋体" w:hAnsi="宋体" w:eastAsia="宋体" w:cs="宋体"/>
          <w:snapToGrid w:val="0"/>
          <w:color w:val="auto"/>
          <w:kern w:val="0"/>
          <w:szCs w:val="24"/>
          <w:highlight w:val="none"/>
        </w:rPr>
        <w:t xml:space="preserve"> 新增分部分项工程清单项目后，引起措施项目发生变化的，应按照本章第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子目的规定，在承包人提交的实施方案被发包人批准后调整合同价款。</w:t>
      </w:r>
    </w:p>
    <w:p w14:paraId="1839F275">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2.3.5.3</w:t>
      </w:r>
      <w:r>
        <w:rPr>
          <w:rFonts w:hint="eastAsia" w:ascii="宋体" w:hAnsi="宋体" w:eastAsia="宋体" w:cs="宋体"/>
          <w:snapToGrid w:val="0"/>
          <w:color w:val="auto"/>
          <w:kern w:val="0"/>
          <w:szCs w:val="24"/>
          <w:highlight w:val="none"/>
        </w:rPr>
        <w:t xml:space="preserve"> 由于招标工程量清单中措施项目缺项，承包人应将新增措施项目实施方案提交发包人批准后，按照本章第</w:t>
      </w:r>
      <w:r>
        <w:rPr>
          <w:rFonts w:hint="eastAsia" w:ascii="宋体" w:hAnsi="宋体" w:eastAsia="宋体" w:cs="宋体"/>
          <w:b/>
          <w:bCs/>
          <w:snapToGrid w:val="0"/>
          <w:color w:val="auto"/>
          <w:kern w:val="0"/>
          <w:szCs w:val="24"/>
          <w:highlight w:val="none"/>
        </w:rPr>
        <w:t>2.3.3.1</w:t>
      </w:r>
      <w:r>
        <w:rPr>
          <w:rFonts w:hint="eastAsia" w:ascii="宋体" w:hAnsi="宋体" w:eastAsia="宋体" w:cs="宋体"/>
          <w:snapToGrid w:val="0"/>
          <w:color w:val="auto"/>
          <w:kern w:val="0"/>
          <w:szCs w:val="24"/>
          <w:highlight w:val="none"/>
        </w:rPr>
        <w:t>子目、第</w:t>
      </w:r>
      <w:r>
        <w:rPr>
          <w:rFonts w:hint="eastAsia" w:ascii="宋体" w:hAnsi="宋体" w:eastAsia="宋体" w:cs="宋体"/>
          <w:b/>
          <w:bCs/>
          <w:snapToGrid w:val="0"/>
          <w:color w:val="auto"/>
          <w:kern w:val="0"/>
          <w:szCs w:val="24"/>
          <w:highlight w:val="none"/>
        </w:rPr>
        <w:t>2.3.3.2</w:t>
      </w:r>
      <w:r>
        <w:rPr>
          <w:rFonts w:hint="eastAsia" w:ascii="宋体" w:hAnsi="宋体" w:eastAsia="宋体" w:cs="宋体"/>
          <w:snapToGrid w:val="0"/>
          <w:color w:val="auto"/>
          <w:kern w:val="0"/>
          <w:szCs w:val="24"/>
          <w:highlight w:val="none"/>
        </w:rPr>
        <w:t>子目的规定调整合同价款。</w:t>
      </w:r>
    </w:p>
    <w:p w14:paraId="628ACDEB">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w:t>
      </w:r>
      <w:r>
        <w:rPr>
          <w:rFonts w:hint="eastAsia" w:ascii="宋体" w:hAnsi="宋体" w:eastAsia="宋体" w:cs="宋体"/>
          <w:bCs/>
          <w:snapToGrid w:val="0"/>
          <w:color w:val="auto"/>
          <w:kern w:val="0"/>
          <w:szCs w:val="28"/>
          <w:highlight w:val="none"/>
        </w:rPr>
        <w:t xml:space="preserve"> 物价变化</w:t>
      </w:r>
    </w:p>
    <w:p w14:paraId="08F2B5DA">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2.3.6.1</w:t>
      </w:r>
      <w:r>
        <w:rPr>
          <w:rFonts w:hint="eastAsia" w:ascii="宋体" w:hAnsi="宋体" w:eastAsia="宋体" w:cs="宋体"/>
          <w:bCs/>
          <w:snapToGrid w:val="0"/>
          <w:color w:val="auto"/>
          <w:kern w:val="0"/>
          <w:szCs w:val="28"/>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auto"/>
          <w:kern w:val="0"/>
          <w:szCs w:val="24"/>
          <w:highlight w:val="none"/>
        </w:rPr>
        <w:t>以下简称“中标人工费”</w:t>
      </w:r>
      <w:r>
        <w:rPr>
          <w:rFonts w:hint="eastAsia" w:ascii="宋体" w:hAnsi="宋体" w:eastAsia="宋体" w:cs="宋体"/>
          <w:bCs/>
          <w:snapToGrid w:val="0"/>
          <w:color w:val="auto"/>
          <w:kern w:val="0"/>
          <w:szCs w:val="28"/>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5E36086D">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szCs w:val="28"/>
          <w:highlight w:val="none"/>
        </w:rPr>
        <w:t>结算人工费＝中标人工费×F</w:t>
      </w:r>
      <w:r>
        <w:rPr>
          <w:rFonts w:hint="eastAsia" w:ascii="宋体" w:hAnsi="宋体" w:eastAsia="宋体" w:cs="宋体"/>
          <w:bCs/>
          <w:snapToGrid w:val="0"/>
          <w:color w:val="auto"/>
          <w:kern w:val="0"/>
          <w:szCs w:val="28"/>
          <w:highlight w:val="none"/>
          <w:vertAlign w:val="subscript"/>
        </w:rPr>
        <w:t>1</w:t>
      </w:r>
    </w:p>
    <w:p w14:paraId="597C08FA">
      <w:pPr>
        <w:wordWrap w:val="0"/>
        <w:adjustRightInd w:val="0"/>
        <w:snapToGrid w:val="0"/>
        <w:spacing w:line="440" w:lineRule="exact"/>
        <w:ind w:firstLine="480" w:firstLineChars="200"/>
        <w:rPr>
          <w:rFonts w:hint="eastAsia" w:ascii="宋体" w:hAnsi="宋体" w:eastAsia="宋体" w:cs="宋体"/>
          <w:snapToGrid w:val="0"/>
          <w:color w:val="auto"/>
          <w:kern w:val="0"/>
          <w:szCs w:val="24"/>
          <w:highlight w:val="none"/>
        </w:rPr>
      </w:pPr>
      <w:r>
        <w:rPr>
          <w:rFonts w:hint="eastAsia" w:ascii="宋体" w:hAnsi="宋体" w:eastAsia="宋体" w:cs="宋体"/>
          <w:bCs/>
          <w:snapToGrid w:val="0"/>
          <w:color w:val="auto"/>
          <w:kern w:val="0"/>
          <w:szCs w:val="28"/>
          <w:highlight w:val="none"/>
        </w:rPr>
        <w:t>式中，F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为施工当月项目所在地工程造价管理机构发布的动态人工调整系数。</w:t>
      </w:r>
    </w:p>
    <w:p w14:paraId="50097BA6">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2.3.6.2</w:t>
      </w:r>
      <w:r>
        <w:rPr>
          <w:rFonts w:hint="eastAsia" w:ascii="宋体" w:hAnsi="宋体" w:eastAsia="宋体" w:cs="宋体"/>
          <w:snapToGrid w:val="0"/>
          <w:color w:val="auto"/>
          <w:kern w:val="0"/>
          <w:szCs w:val="24"/>
          <w:highlight w:val="none"/>
        </w:rPr>
        <w:t xml:space="preserve"> 本招标项目约定，材料、工程设备单价涨跌风险幅度值A为</w:t>
      </w:r>
      <w:r>
        <w:rPr>
          <w:rFonts w:hint="eastAsia" w:ascii="宋体" w:hAnsi="宋体" w:eastAsia="宋体" w:cs="宋体"/>
          <w:snapToGrid w:val="0"/>
          <w:color w:val="auto"/>
          <w:kern w:val="0"/>
          <w:szCs w:val="24"/>
          <w:highlight w:val="none"/>
          <w:u w:val="single"/>
        </w:rPr>
        <w:t xml:space="preserve"> 5% </w:t>
      </w:r>
      <w:r>
        <w:rPr>
          <w:rFonts w:hint="eastAsia" w:ascii="宋体" w:hAnsi="宋体" w:eastAsia="宋体" w:cs="宋体"/>
          <w:snapToGrid w:val="0"/>
          <w:color w:val="auto"/>
          <w:kern w:val="0"/>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598D257">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4BCFCB77">
      <w:pPr>
        <w:spacing w:line="418"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2336" behindDoc="1" locked="0" layoutInCell="1" allowOverlap="1">
                <wp:simplePos x="0" y="0"/>
                <wp:positionH relativeFrom="page">
                  <wp:posOffset>3107055</wp:posOffset>
                </wp:positionH>
                <wp:positionV relativeFrom="paragraph">
                  <wp:posOffset>259715</wp:posOffset>
                </wp:positionV>
                <wp:extent cx="403860" cy="1270"/>
                <wp:effectExtent l="0" t="0" r="0" b="0"/>
                <wp:wrapNone/>
                <wp:docPr id="38" name="组合 38"/>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1" name="任意多边形 24"/>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5414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MLJck6YAgAA1gUAAA4AAABkcnMvZTJvRG9jLnhtbKVU&#10;zW4TMRC+I/EOlu9k80cIq256IG0vCCq1PIDr9e5a8h+2k03uPXCDM0fUl0ARPA0FHoOx9yclBamC&#10;HDbj+fN834zn6HgjBVoz67hWGR4NhhgxRXXOVZnhN5enT+YYOU9UToRWLMNb5vDx4vGjo9qkbKwr&#10;LXJmESRRLq1NhivvTZokjlZMEjfQhikwFtpK4uFoyyS3pIbsUiTj4XCW1NrmxmrKnAPtsjHiNqN9&#10;SEJdFJyypaYryZRvslomiAdIruLG4UWstigY9a+LwjGPRIYBqY9fuATkq/BNFkckLS0xFadtCeQh&#10;JRxgkoQruLRPtSSeoJXl91JJTq12uvADqmXSAImMAIrR8ICbM6tXJmIp07o0PenQqAPW/zktfbU+&#10;t4jnGZ5A3xWR0PEfu+vbD+8QKICd2pQpOJ1Zc2HObasom1MAvCmsDP8ABW0ir9ueV7bxiIJyOpzM&#10;Z8A4BdNo/KxlnVbQmhAznT+fYgS26ag3nbShs8msiRuHYpL9fSw296XzQR2K7GuqDQym27Pl/o+t&#10;i4oYFpvgAhEtW6OOrG+73ffr97c3H39+/Xz75RMaTxvWonNPmUsdsPcHvu5j70j7K3K6cv6M6cg6&#10;WTcMwODlnUSqTqIb1YmG+KAOFQQR1RkOF4Sz1Gt2qaPFH7QQ+N5bhbrrFcvrWg1+jRWEkD52qr8S&#10;lHdrVvqUCwFtC0FNIU/DcBBYJgU8YhClgYF0qoz1OS14HkJChLPl1Qth0ZqEBx1/7WD85mas80vi&#10;qsYvmoIbSStG8hOVI781MOkKNhwOJUiWYyQYLMQgRU9PuHiIZ8QeUh9MZNfyMI5XOt/C4NSwZwDX&#10;2xWxcO3KWF5WsJFGEUE7tu00w3OPJLarKeyTu+fotV/Hi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BRPWWQ2QAAAAkBAAAPAAAAAAAAAAEAIAAAACIAAABkcnMvZG93bnJldi54bWxQSwECFAAUAAAA&#10;CACHTuJAwslyTpgCAADWBQAADgAAAAAAAAABACAAAAAoAQAAZHJzL2Uyb0RvYy54bWxQSwUGAAAA&#10;AAYABgBZAQAAMgYAAAAA&#10;">
                <o:lock v:ext="edit" aspectratio="f"/>
                <v:shape id="任意多边形 24" o:spid="_x0000_s1026" o:spt="100" style="position:absolute;left:4894;top:410;height:2;width:636;" filled="f" stroked="t" coordsize="636,1" o:gfxdata="UEsDBAoAAAAAAIdO4kAAAAAAAAAAAAAAAAAEAAAAZHJzL1BLAwQUAAAACACHTuJAphBWD7kAAADa&#10;AAAADwAAAGRycy9kb3ducmV2LnhtbEVPS4vCMBC+L/gfwix4W1M9iFSjh8KuDzys1R8wNLNtaTOp&#10;SayPX78RBE/Dx/ecxepmWtGT87VlBeNRAoK4sLrmUsHp+P01A+EDssbWMim4k4fVcvCxwFTbKx+o&#10;z0MpYgj7FBVUIXSplL6oyKAf2Y44cn/WGQwRulJqh9cYblo5SZKpNFhzbKiwo6yioskvRsEPts22&#10;z357emz369DlU7d7nJUafo6TOYhAt/AWv9wbHefD85Xnlc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QVg+5AAAA2g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a</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76B2F387">
      <w:pPr>
        <w:pStyle w:val="11"/>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63360" behindDoc="1" locked="0" layoutInCell="1" allowOverlap="1">
                <wp:simplePos x="0" y="0"/>
                <wp:positionH relativeFrom="page">
                  <wp:posOffset>3246755</wp:posOffset>
                </wp:positionH>
                <wp:positionV relativeFrom="paragraph">
                  <wp:posOffset>29845</wp:posOffset>
                </wp:positionV>
                <wp:extent cx="220980" cy="246380"/>
                <wp:effectExtent l="0" t="0" r="0" b="0"/>
                <wp:wrapNone/>
                <wp:docPr id="3" name="文本框 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77B7CB4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53120;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6NrkbxwEAAI0DAAAOAAAAZHJzL2Uyb0RvYy54bWytU0tu&#10;2zAQ3RfIHQjuaylyEaSC5QCFkaBA0RZIewCaoiwC/HWGtuQLtDfoqpvuey6fo0N93Hw2WXRDPc6Q&#10;j/PejFY3vTXsoAC1dxW/XOScKSd9rd2u4l+/3L6+5gyjcLUw3qmKHxXym/XFq1UXSlX41ptaASMS&#10;h2UXKt7GGMosQ9kqK3Dhg3KUbDxYEWkLu6wG0RG7NVmR51dZ56EO4KVCpOhmTPKJEV5C6JtGS7Xx&#10;cm+ViyMrKCMiScJWB+TrodqmUTJ+ahpUkZmKk9I4rPQI4W1as/VKlDsQodVyKkG8pIQnmqzQjh49&#10;U21EFGwP+hmV1RI8+iYupLfZKGRwhFRc5k+8uW9FUIMWshrD2XT8f7Ty4+EzMF1XfMmZE5Yafvr5&#10;4/Trz+n3d7ZM9nQBSzp1H+hc7N/5noZmjiMFk+q+AZu+pIdRnsw9ns1VfWSSgkWRv72mjKRU8eZq&#10;SZjYs3+XA2C8U96yBCoO1LvBUnH4gHE8Oh9Jbzl/q40Z+mfcowBxjhE1DMB0O+kY600o9tt+Erf1&#10;9ZG0dTQEFcdvewGKM/PekctpYmYAM9jOYB9A71oqdfAjS7TUpUHTNFFpDB7uCT/8i9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FWx4gnXAAAACAEAAA8AAAAAAAAAAQAgAAAAIgAAAGRycy9kb3du&#10;cmV2LnhtbFBLAQIUABQAAAAIAIdO4kA6NrkbxwEAAI0DAAAOAAAAAAAAAAEAIAAAACYBAABkcnMv&#10;ZTJvRG9jLnhtbFBLBQYAAAAABgAGAFkBAABfBQAAAAA=&#10;">
                <v:fill on="f" focussize="0,0"/>
                <v:stroke on="f"/>
                <v:imagedata o:title=""/>
                <o:lock v:ext="edit" aspectratio="f"/>
                <v:textbox inset="0mm,0mm,0mm,0mm">
                  <w:txbxContent>
                    <w:p w14:paraId="77B7CB44">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54466567">
      <w:pPr>
        <w:pStyle w:val="11"/>
        <w:spacing w:after="0" w:line="240" w:lineRule="exact"/>
        <w:ind w:left="3454" w:right="4848"/>
        <w:jc w:val="center"/>
        <w:rPr>
          <w:rFonts w:hint="eastAsia" w:ascii="宋体" w:hAnsi="宋体" w:eastAsia="宋体" w:cs="宋体"/>
          <w:color w:val="auto"/>
          <w:sz w:val="15"/>
          <w:szCs w:val="15"/>
          <w:highlight w:val="none"/>
        </w:rPr>
      </w:pPr>
    </w:p>
    <w:p w14:paraId="4B345399">
      <w:pPr>
        <w:spacing w:before="4" w:line="170" w:lineRule="exact"/>
        <w:rPr>
          <w:rFonts w:hint="eastAsia" w:ascii="宋体" w:hAnsi="宋体" w:eastAsia="宋体" w:cs="宋体"/>
          <w:color w:val="auto"/>
          <w:sz w:val="17"/>
          <w:szCs w:val="17"/>
          <w:highlight w:val="none"/>
        </w:rPr>
      </w:pPr>
    </w:p>
    <w:p w14:paraId="52F454C7">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4384" behindDoc="1" locked="0" layoutInCell="1" allowOverlap="1">
                <wp:simplePos x="0" y="0"/>
                <wp:positionH relativeFrom="page">
                  <wp:posOffset>3134360</wp:posOffset>
                </wp:positionH>
                <wp:positionV relativeFrom="paragraph">
                  <wp:posOffset>250825</wp:posOffset>
                </wp:positionV>
                <wp:extent cx="388620" cy="1270"/>
                <wp:effectExtent l="0" t="0" r="0" b="0"/>
                <wp:wrapNone/>
                <wp:docPr id="39" name="组合 39"/>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4" name="任意多边形 27"/>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6.8pt;margin-top:19.75pt;height:0.1pt;width:30.6pt;mso-position-horizontal-relative:page;z-index:-251652096;mso-width-relative:page;mso-height-relative:page;" coordorigin="4937,395" coordsize="612,2" o:gfxdata="UEsDBAoAAAAAAIdO4kAAAAAAAAAAAAAAAAAEAAAAZHJzL1BLAwQUAAAACACHTuJAVJix7dkAAAAJ&#10;AQAADwAAAGRycy9kb3ducmV2LnhtbE2PwU7CQBCG7ya+w2ZMvMm2liLUbokh6omQCCbE29Ad2obu&#10;btNdWnh7h5MeZ+bLP9+fLy+mFQP1vnFWQTyJQJAtnW5speB79/E0B+EDWo2ts6TgSh6Wxf1djpl2&#10;o/2iYRsqwSHWZ6igDqHLpPRlTQb9xHVk+XZ0vcHAY19J3ePI4aaVz1E0kwYbyx9q7GhVU3nano2C&#10;zxHHtyR+H9an4+r6s0s3+3VMSj0+xNEriECX8AfDTZ/VoWCngztb7UWrYLpIZowqSBYpCAbSdMpd&#10;DrfFC8gil/8bFL9QSwMEFAAAAAgAh07iQFzZX+OcAgAA1gUAAA4AAABkcnMvZTJvRG9jLnhtbKVU&#10;zY7TMBC+I/EOlu80bbq/UdM90N29IFhplwdwHSex5D9st2nve+AGZ46Il0AreBoWeAzGTtKWLkgr&#10;6CEdz5+/+WY8k7OVFGjJrONa5Xg0GGLEFNUFV1WOX99cPDvByHmiCiK0YjleM4fPpk+fTBqTsVTX&#10;WhTMIkiiXNaYHNfemyxJHK2ZJG6gDVNgLLWVxMPRVklhSQPZpUjS4fAoabQtjNWUOQfaWWvEXUb7&#10;mIS6LDllM00XkinfZrVMEA8luZobh6cRbVky6l+VpWMeiRxDpT5+4RKQ5+GbTCckqywxNacdBPIY&#10;CHs1ScIVXLpJNSOeoIXlD1JJTq12uvQDqmXSFhIZgSpGwz1uLq1emFhLlTWV2ZAOjdpj/Z/T0pfL&#10;K4t4kePxKUaKSOj4j7vb+/dvESiAncZUGThdWnNtrmynqNpTKHhVWhn+oRS0iryuN7yylUcUlOOT&#10;k6MUGKdgGqXHHeu0htaEmIPT8TFGYBufHrYNofV5F3o0Stu4NFiS7X0sNveF80EdQG4wNQYG023Z&#10;cv/H1nVNDItNcIGIjq2Dnqxvd3ffb9/df/rw8+vn+y8fUXrcshadN5S5zAF7f+DrYe09aX+tnC6c&#10;v2Q6sk6WLQMweEUvkbqX6Er1oiE+qAOCIKImx+GCcJZ6yW50tPi9FgLfW6tQu14RXt9q8GutIIT0&#10;sVObK0G5i1npCy4EtC0ERSDjwzAcBJZJCY8YRGlgIJ2qIj6nBS9CSIhwtpo/FxYtSXjQ8dcNxm9u&#10;xjo/I65u/aKpnayakeJcFcivDUy6gg2HAwTJCowEg4UYpIjNEy4e4xlrD9D2JrJveRjHuS7WMDgN&#10;7Bmo682CWLh2YSyvathIo1hBN7bdNMNzjyR2qynsk91z9Nqu4+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Jix7dkAAAAJAQAADwAAAAAAAAABACAAAAAiAAAAZHJzL2Rvd25yZXYueG1sUEsBAhQA&#10;FAAAAAgAh07iQFzZX+OcAgAA1gUAAA4AAAAAAAAAAQAgAAAAKAEAAGRycy9lMm9Eb2MueG1sUEsF&#10;BgAAAAAGAAYAWQEAADYGAAAAAA==&#10;">
                <o:lock v:ext="edit" aspectratio="f"/>
                <v:shape id="任意多边形 27" o:spid="_x0000_s1026" o:spt="100" style="position:absolute;left:4937;top:395;height:2;width:612;" filled="f" stroked="t" coordsize="612,1" o:gfxdata="UEsDBAoAAAAAAIdO4kAAAAAAAAAAAAAAAAAEAAAAZHJzL1BLAwQUAAAACACHTuJA4rO5kL4AAADa&#10;AAAADwAAAGRycy9kb3ducmV2LnhtbEWPX0vDQBDE3wv9DscWfGsvqSIl9lragn9eKlpF8G3Jrblg&#10;bjfkzqTtp+8Jgo/DzPyGWa6PvlE9daEWNpDPMlDEpdiaKwPvb/fTBagQkS02wmTgRAHWq/FoiYWV&#10;gV+pP8RKJQiHAg24GNtC61A68hhm0hIn70s6jzHJrtK2wyHBfaPnWXarPdacFhy2tHNUfh9+vIH9&#10;9eKcP28fh417qD/b/kXkIxdjriZ5dgcq0jH+h//aT9bAD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O5kL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14CA9F9E">
      <w:pPr>
        <w:pStyle w:val="11"/>
        <w:tabs>
          <w:tab w:val="left" w:pos="2870"/>
        </w:tabs>
        <w:spacing w:line="142" w:lineRule="exact"/>
        <w:ind w:left="249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5408" behindDoc="1" locked="0" layoutInCell="1" allowOverlap="1">
                <wp:simplePos x="0" y="0"/>
                <wp:positionH relativeFrom="page">
                  <wp:posOffset>3274060</wp:posOffset>
                </wp:positionH>
                <wp:positionV relativeFrom="paragraph">
                  <wp:posOffset>29845</wp:posOffset>
                </wp:positionV>
                <wp:extent cx="231140" cy="1987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285C5D92">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51072;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Bsio3PyAEAAI0DAAAOAAAAZHJzL2Uyb0RvYy54bWytU82O&#10;0zAQviPtO1i+b9OU3bJETVdC1SIkBEgLD+A6k8aS/9bjNukLwBtw4sKd5+pzMM5PWZbLHrg445nx&#10;N/N9M1nddkazAwRUzpY8n805Aytdpeyu5F8+313ecIZR2EpoZ6HkR0B+u754sWp9AQvXOF1BYARi&#10;sWh9yZsYfZFlKBswAmfOg6Vg7YIRka5hl1VBtIRudLaYz5dZ60Llg5OASN7NEOQjYngOoKtrJWHj&#10;5N6AjQNqAC0iUcJGeeTrvtu6Bhk/1jVCZLrkxDT2JxUhe5vObL0SxS4I3yg5tiCe08ITTkYoS0XP&#10;UBsRBdsH9Q+UUTI4dHWcSWeygUivCLHI50+0uW+Eh54LSY3+LDr+P1j54fApMFWVfMmZFYYGfvr+&#10;7fTj1+nnV7ZM8rQeC8q695QXuzeuo6WZ/EjOxLqrg0lf4sMoTuIez+JCF5kk5+Jlnl9RRFIof33z&#10;6vo6oWR/HvuA8S04w5JR8kCz6yUVh/cYh9QpJdWy7k5p3c9P278chDl4oF+A8XXiMfSbrNhtu5Hc&#10;1lVH4tbSEpQcH/YiAGf6nSWV08ZMRpiM7WTsfVC7hlrt9cgSLE2p5zRuVFqDx3eyH/9F6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nltRW1wAAAAgBAAAPAAAAAAAAAAEAIAAAACIAAABkcnMvZG93&#10;bnJldi54bWxQSwECFAAUAAAACACHTuJAbIqNz8gBAACNAwAADgAAAAAAAAABACAAAAAmAQAAZHJz&#10;L2Uyb0RvYy54bWxQSwUGAAAAAAYABgBZAQAAYAUAAAAA&#10;">
                <v:fill on="f" focussize="0,0"/>
                <v:stroke on="f"/>
                <v:imagedata o:title=""/>
                <o:lock v:ext="edit" aspectratio="f"/>
                <v:textbox inset="0mm,0mm,0mm,0mm">
                  <w:txbxContent>
                    <w:p w14:paraId="285C5D92">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379C0B38">
      <w:pPr>
        <w:pStyle w:val="11"/>
        <w:spacing w:before="26"/>
        <w:ind w:left="3496" w:right="4830"/>
        <w:jc w:val="center"/>
        <w:rPr>
          <w:rFonts w:hint="eastAsia" w:ascii="宋体" w:hAnsi="宋体" w:eastAsia="宋体" w:cs="宋体"/>
          <w:color w:val="auto"/>
          <w:highlight w:val="none"/>
        </w:rPr>
      </w:pPr>
    </w:p>
    <w:p w14:paraId="6FCAB2E1">
      <w:pPr>
        <w:spacing w:before="6" w:line="170" w:lineRule="exact"/>
        <w:rPr>
          <w:rFonts w:hint="eastAsia" w:ascii="宋体" w:hAnsi="宋体" w:eastAsia="宋体" w:cs="宋体"/>
          <w:color w:val="auto"/>
          <w:sz w:val="17"/>
          <w:szCs w:val="17"/>
          <w:highlight w:val="none"/>
        </w:rPr>
      </w:pPr>
    </w:p>
    <w:p w14:paraId="27A4034D">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6432" behindDoc="1" locked="0" layoutInCell="1" allowOverlap="1">
                <wp:simplePos x="0" y="0"/>
                <wp:positionH relativeFrom="page">
                  <wp:posOffset>3099435</wp:posOffset>
                </wp:positionH>
                <wp:positionV relativeFrom="paragraph">
                  <wp:posOffset>250825</wp:posOffset>
                </wp:positionV>
                <wp:extent cx="388620" cy="1270"/>
                <wp:effectExtent l="0" t="0" r="0" b="0"/>
                <wp:wrapNone/>
                <wp:docPr id="36" name="组合 36"/>
                <wp:cNvGraphicFramePr/>
                <a:graphic xmlns:a="http://schemas.openxmlformats.org/drawingml/2006/main">
                  <a:graphicData uri="http://schemas.microsoft.com/office/word/2010/wordprocessingGroup">
                    <wpg:wgp>
                      <wpg:cNvGrpSpPr/>
                      <wpg:grpSpPr>
                        <a:xfrm>
                          <a:off x="0" y="0"/>
                          <a:ext cx="388620" cy="1270"/>
                          <a:chOff x="4882" y="395"/>
                          <a:chExt cx="612" cy="2"/>
                        </a:xfrm>
                        <a:effectLst/>
                      </wpg:grpSpPr>
                      <wps:wsp>
                        <wps:cNvPr id="7" name="任意多边形 30"/>
                        <wps:cNvSpPr/>
                        <wps:spPr>
                          <a:xfrm>
                            <a:off x="4882"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05pt;margin-top:19.75pt;height:0.1pt;width:30.6pt;mso-position-horizontal-relative:page;z-index:-251650048;mso-width-relative:page;mso-height-relative:page;" coordorigin="4882,395" coordsize="612,2" o:gfxdata="UEsDBAoAAAAAAIdO4kAAAAAAAAAAAAAAAAAEAAAAZHJzL1BLAwQUAAAACACHTuJAN0ZRf9oAAAAJ&#10;AQAADwAAAGRycy9kb3ducmV2LnhtbE2PwU7DMAyG70i8Q2QkbiwNXaErTSc0AadpEhsS4ua1Xlut&#10;caoma7e3JzvB0fan39+fL8+mEyMNrrWsQc0iEMSlrVquNXzt3h9SEM4jV9hZJg0XcrAsbm9yzCo7&#10;8SeNW1+LEMIuQw2N930mpSsbMuhmticOt4MdDPowDrWsBpxCuOnkYxQ9SYMthw8N9rRqqDxuT0bD&#10;x4TTa6zexvXxsLr87JLN91qR1vd3KnoB4ens/2C46gd1KILT3p64cqLTME9TFVAN8SIBEYBkvohB&#10;7K+LZ5BFLv83KH4BUEsDBBQAAAAIAIdO4kD5RoxBnwIAANYFAAAOAAAAZHJzL2Uyb0RvYy54bWyl&#10;VM1uEzEQviPxDpbvdPND07DqpgfS9oKgUssDuF7vriWvbWwnm9x74AZnjoiXQBE8DQUegxnvblJS&#10;kCrIYTP2jMff9814jk9WtSJL4bw0OqPDgwElQnOTS11m9PXV2ZMpJT4wnTNltMjoWnh6Mnv86Lix&#10;qRiZyqhcOAJJtE8bm9EqBJsmieeVqJk/MFZocBbG1SzA0pVJ7lgD2WuVjAaDSdIYl1tnuPAeduet&#10;k3YZ3UMSmqKQXMwNX9RChzarE4oFoOQraT2dRbRFIXh4VRReBKIyCkxD/MIlYF/jN5kds7R0zFaS&#10;dxDYQyDscaqZ1HDpNtWcBUYWTt5LVUvujDdFOOCmTloiURFgMRzsaXPuzMJGLmXalHYrOhRqT/V/&#10;TstfLi8ckXlGxxNKNKuh4j82N7fv3xLYAHUaW6YQdO7spb1w3UbZrpDwqnA1/gMVsoq6rre6ilUg&#10;HDbH0+lkBIpzcA1HR53qvILS4Jmn0+mIEvCNnx22BeHVaXd0MgQXnhuhJ9ndJ2JxX/iA2whyi6mx&#10;0Jh+p5b/P7UuK2ZFLIJHITq1jnqxvm0232/e3X768PPr59svH8k4skMMELyVzKce1PuDXve596L9&#10;lTlf+HAuTFSdLVsFoPHy3mJVb/GV7k3LAm4jAjRJk1G8ANe1WYorEz1hr4Sg986r9N2oCK8vNcS1&#10;XjAwfazU9krYvItZmzOpFJQND0Ug40NsDgbDpIBHDGZtoSG9LiM+b5TM8Qie8K68fq4cWTJ80PHX&#10;NcZvYdb5MGe+auOiq+2sSrD8VOckrC10uoYJRxFCLXJKlICBiFbEFphUD4mM3BHaXkf2JcdWuDb5&#10;GhqngTkDvN4smINrF9bJsoKJNIwMurbtuhmeexSxG004T+6uY9RuHM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DdGUX/aAAAACQEAAA8AAAAAAAAAAQAgAAAAIgAAAGRycy9kb3ducmV2LnhtbFBL&#10;AQIUABQAAAAIAIdO4kD5RoxBnwIAANYFAAAOAAAAAAAAAAEAIAAAACkBAABkcnMvZTJvRG9jLnht&#10;bFBLBQYAAAAABgAGAFkBAAA6BgAAAAA=&#10;">
                <o:lock v:ext="edit" aspectratio="f"/>
                <v:shape id="任意多边形 30" o:spid="_x0000_s1026" o:spt="100" style="position:absolute;left:4882;top:395;height:2;width:612;" filled="f" stroked="t" coordsize="612,1" o:gfxdata="UEsDBAoAAAAAAIdO4kAAAAAAAAAAAAAAAAAEAAAAZHJzL1BLAwQUAAAACACHTuJAEmEn574AAADa&#10;AAAADwAAAGRycy9kb3ducmV2LnhtbEWPX0vDQBDE3wv9DscWfGsvqaAl9lragn9eKlpF8G3Jrblg&#10;bjfkzqTtp+8Jgo/DzPyGWa6PvlE9daEWNpDPMlDEpdiaKwPvb/fTBagQkS02wmTgRAHWq/FoiYWV&#10;gV+pP8RKJQiHAg24GNtC61A68hhm0hIn70s6jzHJrtK2wyHBfaPnWXajPdacFhy2tHNUfh9+vIH9&#10;9eKcP28fh417qD/b/kXkIxdjriZ5dgcq0jH+h//aT9bALfxeSTdAry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n574A&#10;AADaAAAADwAAAAAAAAABACAAAAAiAAAAZHJzL2Rvd25yZXYueG1sUEsBAhQAFAAAAAgAh07iQDMv&#10;BZ47AAAAOQAAABAAAAAAAAAAAQAgAAAADQEAAGRycy9zaGFwZXhtbC54bWxQSwUGAAAAAAYABgBb&#10;AQAAtw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b</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3EC0EC69">
      <w:pPr>
        <w:pStyle w:val="11"/>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7456" behindDoc="1" locked="0" layoutInCell="1" allowOverlap="1">
                <wp:simplePos x="0" y="0"/>
                <wp:positionH relativeFrom="page">
                  <wp:posOffset>3239135</wp:posOffset>
                </wp:positionH>
                <wp:positionV relativeFrom="paragraph">
                  <wp:posOffset>29845</wp:posOffset>
                </wp:positionV>
                <wp:extent cx="288290" cy="25527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24F8BD4A">
                            <w:r>
                              <w:rPr>
                                <w:rFonts w:ascii="Times New Roman" w:eastAsia="Times New Roman"/>
                                <w:spacing w:val="-39"/>
                                <w:position w:val="15"/>
                                <w:szCs w:val="24"/>
                              </w:rPr>
                              <w:t>F</w:t>
                            </w:r>
                            <w:r>
                              <w:rPr>
                                <w:rFonts w:ascii="Times New Roman" w:eastAsia="Times New Roman"/>
                                <w:position w:val="9"/>
                                <w:sz w:val="14"/>
                                <w:szCs w:val="14"/>
                              </w:rPr>
                              <w:t>1</w:t>
                            </w:r>
                          </w:p>
                          <w:p w14:paraId="0CFF0AC4"/>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49024;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MzgHF3IAQAAjQMAAA4AAABkcnMvZTJvRG9jLnhtbK1TzY7T&#10;MBC+I/EOlu803UgLbdR0pVW1CAkB0sIDuM6kseQ/xm6TvgC8AScu3HmuPgdjpynLctnDXpzxzPib&#10;+b6ZrG4Go9kBMChna341m3MGVrpG2V3Nv3y+e7XgLERhG6GdhZofIfCb9csXq95XULrO6QaQEYgN&#10;Ve9r3sXoq6IIsgMjwsx5sBRsHRoR6Yq7okHRE7rRRTmfvy56h41HJyEE8m7GID8j4lMAXdsqCRsn&#10;9wZsHFERtIhEKXTKB77O3bYtyPixbQNEpmtOTGM+qQjZ23QW65Wodih8p+S5BfGUFh5xMkJZKnqB&#10;2ogo2B7Vf1BGSXTBtXEmnSlGIlkRYnE1f6TNfSc8ZC4kdfAX0cPzwcoPh0/IVFPzJWdWGBr46cf3&#10;08/fp1/f2DLJ0/tQUda9p7w43LqBlmbyB3Im1kOLJn2JD6M4iXu8iAtDZJKc5WJRLikiKVReX5dv&#10;svjF38ceQ3wLzrBk1BxpdllScXgfIjVCqVNKqmXdndI6z0/bfxyUOHogL8D5deIx9pusOGyHM7mt&#10;a47EraclqHn4uhcInOl3llROGzMZOBnbydh7VLuOWs16FAmWppQbPW9UWoOHd7If/kX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Nn+KzWAAAACAEAAA8AAAAAAAAAAQAgAAAAIgAAAGRycy9kb3du&#10;cmV2LnhtbFBLAQIUABQAAAAIAIdO4kDM4BxdyAEAAI0DAAAOAAAAAAAAAAEAIAAAACUBAABkcnMv&#10;ZTJvRG9jLnhtbFBLBQYAAAAABgAGAFkBAABfBQAAAAA=&#10;">
                <v:fill on="f" focussize="0,0"/>
                <v:stroke on="f"/>
                <v:imagedata o:title=""/>
                <o:lock v:ext="edit" aspectratio="f"/>
                <v:textbox inset="0mm,0mm,0mm,0mm">
                  <w:txbxContent>
                    <w:p w14:paraId="24F8BD4A">
                      <w:r>
                        <w:rPr>
                          <w:rFonts w:ascii="Times New Roman" w:eastAsia="Times New Roman"/>
                          <w:spacing w:val="-39"/>
                          <w:position w:val="15"/>
                          <w:szCs w:val="24"/>
                        </w:rPr>
                        <w:t>F</w:t>
                      </w:r>
                      <w:r>
                        <w:rPr>
                          <w:rFonts w:ascii="Times New Roman" w:eastAsia="Times New Roman"/>
                          <w:position w:val="9"/>
                          <w:sz w:val="14"/>
                          <w:szCs w:val="14"/>
                        </w:rPr>
                        <w:t>1</w:t>
                      </w:r>
                    </w:p>
                    <w:p w14:paraId="0CFF0AC4"/>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262F68FE">
      <w:pPr>
        <w:pStyle w:val="11"/>
        <w:spacing w:before="26"/>
        <w:ind w:left="3441" w:right="4885"/>
        <w:jc w:val="center"/>
        <w:rPr>
          <w:rFonts w:hint="eastAsia" w:ascii="宋体" w:hAnsi="宋体" w:eastAsia="宋体" w:cs="宋体"/>
          <w:color w:val="auto"/>
          <w:highlight w:val="none"/>
        </w:rPr>
      </w:pPr>
    </w:p>
    <w:p w14:paraId="34E0FB22">
      <w:pPr>
        <w:spacing w:before="3" w:line="170" w:lineRule="exact"/>
        <w:rPr>
          <w:rFonts w:hint="eastAsia" w:ascii="宋体" w:hAnsi="宋体" w:eastAsia="宋体" w:cs="宋体"/>
          <w:color w:val="auto"/>
          <w:sz w:val="17"/>
          <w:szCs w:val="17"/>
          <w:highlight w:val="none"/>
        </w:rPr>
      </w:pPr>
    </w:p>
    <w:p w14:paraId="3EC31376">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68480"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3" name="组合 43"/>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0" name="任意多边形 3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8000;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CT8dwNnAIAANcFAAAOAAAAZHJzL2Uyb0RvYy54bWyl&#10;VEuOEzEQ3SNxB8t70vkRZlrpzILMZINgpBkO4Ljd3Zb8w3bSyX4W7GDNEnEJFMFpCHAMyu7OhwxI&#10;I8iiU66f670q1/hiJQVaMuu4VhnudboYMUV1zlWZ4de3V0/OMHKeqJwIrViG18zhi8njR+PapKyv&#10;Ky1yZhEkUS6tTYYr702aJI5WTBLX0YYpMBbaSuLhaMskt6SG7FIk/W53lNTa5sZqypwD7bQx4jaj&#10;fUhCXRScsqmmC8mUb7JaJogHSK7ixuFJrLYoGPWvisIxj0SGAamPX7gE5Hn4JpMxSUtLTMVpWwJ5&#10;SAknmCThCi7dp5oST9DC8nupJKdWO134DtUyaYBERgBFr3vCzczqhYlYyrQuzZ50aNQJ6/+clr5c&#10;XlvE8wwPBxgpIqHjPzZ32/dvESiAndqUKTjNrLkx17ZVlM0pAF4VVoZ/gIJWkdf1nle28oiCctgd&#10;nI2AcQqmXv9ZyzqtoDUhZng+6mEEtsH5qGkIrS7b0NFg1MT1gyU53Mdic184H9ShyH1NtYHBdAe2&#10;3P+xdVMRw2ITXCCiZasHcBq2vm023+/ebT99+Pn18/bLRzRoaYvee85c6oC+PxB2H/yOtb9Cpwvn&#10;Z0xH2smyoQAmL99JpNpJdKV2oiE+qEMFQUR1hsMF4Sz1kt3qaPEnPQTCD1ahjr1iebteg19jBSGk&#10;j63aXwnK45qVvuJCQN9CUFPI0zAdBLZJAa8YRGlgIp0qY31OC56HkBDhbDl/LixakvCi46+djN/c&#10;jHV+SlzV+EVTM1oVI/mlypFfGxh1BSsOhxIkyzESDDZikGJtnnDxEM+IPZR2MpK7lod5nOt8DZNT&#10;w6IBXG8WxMK1C2N5WcFK6kUE7dy24wzvPZLY7qawUI7P0euwjy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CT8dwNnAIAANcFAAAOAAAAAAAAAAEAIAAAACkBAABkcnMvZTJvRG9jLnhtbFBL&#10;BQYAAAAABgAGAFkBAAA3BgAAAAA=&#10;">
                <o:lock v:ext="edit" aspectratio="f"/>
                <v:shape id="任意多边形 33" o:spid="_x0000_s1026" o:spt="100" style="position:absolute;left:4961;top:396;height:2;width:636;" filled="f" stroked="t" coordsize="636,1" o:gfxdata="UEsDBAoAAAAAAIdO4kAAAAAAAAAAAAAAAAAEAAAAZHJzL1BLAwQUAAAACACHTuJAfsiBvb4AAADb&#10;AAAADwAAAGRycy9kb3ducmV2LnhtbEWPzW7CQAyE70i8w8pIvZENPaAqZeGAVH4qDjT0Aaysm0Rk&#10;vWF3G36eHh8q9WZrxjOfF6ub69RAIbaeDcyyHBRx5W3LtYHv08f0DVRMyBY7z2TgThFWy/FogYX1&#10;V/6ioUy1khCOBRpoUuoLrWPVkMOY+Z5YtB8fHCZZQ61twKuEu06/5vlcO2xZGhrsad1QdS5/nYEN&#10;duf9sD4O9Ngftqkv5+HzcTHmZTLL30EluqV/89/1zgq+0MsvMoB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Bvb4A&#10;AADbAAAADwAAAAAAAAABACAAAAAiAAAAZHJzL2Rvd25yZXYueG1sUEsBAhQAFAAAAAgAh07iQDMv&#10;BZ47AAAAOQAAABAAAAAAAAAAAQAgAAAADQEAAGRycy9zaGFwZXhtbC54bWxQSwUGAAAAAAYABgBb&#10;AQAAtw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2BF32FD6">
      <w:pPr>
        <w:pStyle w:val="11"/>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69504" behindDoc="1" locked="0" layoutInCell="1" allowOverlap="1">
                <wp:simplePos x="0" y="0"/>
                <wp:positionH relativeFrom="page">
                  <wp:posOffset>3289300</wp:posOffset>
                </wp:positionH>
                <wp:positionV relativeFrom="paragraph">
                  <wp:posOffset>29845</wp:posOffset>
                </wp:positionV>
                <wp:extent cx="220980" cy="29337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362051E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46976;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fkBkgMkBAACPAwAADgAAAGRycy9lMm9Eb2MueG1srVPN&#10;jtMwEL4j8Q6W7zTdrAS7UdOVVtUiJARICw/gOk5jyX/MuE36AvAGnLhw57n6HIydpCzLZQ97ccYz&#10;42/m+2ayuhmsYQcFqL2r+cViyZly0jfa7Wr+5fPdqyvOMArXCOOdqvlRIb9Zv3yx6kOlSt950yhg&#10;BOKw6kPNuxhDVRQoO2UFLnxQjoKtBysiXWFXNCB6QremKJfL10XvoQngpUIk72YM8gkRngLo21ZL&#10;tfFyb5WLIyooIyJRwk4H5OvcbdsqGT+2LarITM2JacwnFSF7m85ivRLVDkTotJxaEE9p4REnK7Sj&#10;omeojYiC7UH/B2W1BI++jQvpbTESyYoQi4vlI23uOxFU5kJSYziLjs8HKz8cPgHTDW1CyZkTliZ+&#10;+vH99PP36dc3Rj4SqA9YUd59oMw43PqBkmc/kjPxHlqw6UuMGMVJ3uNZXjVEJslZlsvrK4pICpXX&#10;l5dvsvzF38cBML5V3rJk1BxoellUcXiPkRqh1Dkl1XL+ThuTJ2jcPw5KHD0qr8D0OvEY+01WHLbD&#10;RG7rmyNx62kNao5f9wIUZ+adI53TzswGzMZ2NvYB9K6jVrMeRYKlOeVGp51Ki/DwTvbD/2j9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B+QGSAyQEAAI8DAAAOAAAAAAAAAAEAIAAAACcBAABk&#10;cnMvZTJvRG9jLnhtbFBLBQYAAAAABgAGAFkBAABiBQAAAAA=&#10;">
                <v:fill on="f" focussize="0,0"/>
                <v:stroke on="f"/>
                <v:imagedata o:title=""/>
                <o:lock v:ext="edit" aspectratio="f"/>
                <v:textbox inset="0mm,0mm,0mm,0mm">
                  <w:txbxContent>
                    <w:p w14:paraId="362051E1">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3D3FFEFC">
      <w:pPr>
        <w:spacing w:before="4" w:line="110" w:lineRule="exact"/>
        <w:rPr>
          <w:rFonts w:hint="eastAsia" w:ascii="宋体" w:hAnsi="宋体" w:eastAsia="宋体" w:cs="宋体"/>
          <w:color w:val="auto"/>
          <w:sz w:val="11"/>
          <w:szCs w:val="11"/>
          <w:highlight w:val="none"/>
        </w:rPr>
      </w:pPr>
    </w:p>
    <w:p w14:paraId="43E961A6">
      <w:pPr>
        <w:spacing w:line="200" w:lineRule="exact"/>
        <w:rPr>
          <w:rFonts w:hint="eastAsia" w:ascii="宋体" w:hAnsi="宋体" w:eastAsia="宋体" w:cs="宋体"/>
          <w:color w:val="auto"/>
          <w:sz w:val="20"/>
          <w:highlight w:val="none"/>
        </w:rPr>
      </w:pPr>
    </w:p>
    <w:p w14:paraId="37D54CFC">
      <w:pPr>
        <w:spacing w:line="200" w:lineRule="exact"/>
        <w:rPr>
          <w:rFonts w:hint="eastAsia" w:ascii="宋体" w:hAnsi="宋体" w:eastAsia="宋体" w:cs="宋体"/>
          <w:color w:val="auto"/>
          <w:sz w:val="20"/>
          <w:highlight w:val="none"/>
        </w:rPr>
      </w:pPr>
    </w:p>
    <w:p w14:paraId="1402F437">
      <w:pPr>
        <w:spacing w:line="404" w:lineRule="exact"/>
        <w:ind w:left="12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0528" behindDoc="1" locked="0" layoutInCell="1" allowOverlap="1">
                <wp:simplePos x="0" y="0"/>
                <wp:positionH relativeFrom="page">
                  <wp:posOffset>3107055</wp:posOffset>
                </wp:positionH>
                <wp:positionV relativeFrom="paragraph">
                  <wp:posOffset>250825</wp:posOffset>
                </wp:positionV>
                <wp:extent cx="403860" cy="1270"/>
                <wp:effectExtent l="0" t="0" r="0" b="0"/>
                <wp:wrapNone/>
                <wp:docPr id="44" name="组合 44"/>
                <wp:cNvGraphicFramePr/>
                <a:graphic xmlns:a="http://schemas.openxmlformats.org/drawingml/2006/main">
                  <a:graphicData uri="http://schemas.microsoft.com/office/word/2010/wordprocessingGroup">
                    <wpg:wgp>
                      <wpg:cNvGrpSpPr/>
                      <wpg:grpSpPr>
                        <a:xfrm>
                          <a:off x="0" y="0"/>
                          <a:ext cx="403860" cy="1270"/>
                          <a:chOff x="4894" y="396"/>
                          <a:chExt cx="636" cy="2"/>
                        </a:xfrm>
                        <a:effectLst/>
                      </wpg:grpSpPr>
                      <wps:wsp>
                        <wps:cNvPr id="13" name="任意多边形 36"/>
                        <wps:cNvSpPr/>
                        <wps:spPr>
                          <a:xfrm>
                            <a:off x="4894"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19.75pt;height:0.1pt;width:31.8pt;mso-position-horizontal-relative:page;z-index:-251645952;mso-width-relative:page;mso-height-relative:page;" coordorigin="4894,396" coordsize="636,2" o:gfxdata="UEsDBAoAAAAAAIdO4kAAAAAAAAAAAAAAAAAEAAAAZHJzL1BLAwQUAAAACACHTuJAXMh7+9oAAAAJ&#10;AQAADwAAAGRycy9kb3ducmV2LnhtbE2PwU7DMAyG70i8Q2QkbiztSmEtTSc0AadpEhsS4uY1Xlut&#10;caoma7e3JzvB0fan399fLM+mEyMNrrWsIJ5FIIgrq1uuFXzt3h8WIJxH1thZJgUXcrAsb28KzLWd&#10;+JPGra9FCGGXo4LG+z6X0lUNGXQz2xOH28EOBn0Yh1rqAacQbjo5j6InabDl8KHBnlYNVcftySj4&#10;mHB6TeK3cX08rC4/u3TzvY5Jqfu7OHoB4ens/2C46gd1KIPT3p5YO9EpeFxkSUAVJFkKIgBpOs9A&#10;7K+LZ5BlIf83KH8BUEsDBBQAAAAIAIdO4kBH4jrmnAIAANcFAAAOAAAAZHJzL2Uyb0RvYy54bWyl&#10;VM1uEzEQviPxDpbvdPNHSFfd9EDaXBBUankA1+vdteQ/bCeb3HvgBmeOiJdAETwNAR6DsXc3KSlI&#10;EeSwGc+MZ775Zjxn5ysp0JJZx7XKcP+khxFTVOdclRl+fXP5ZIKR80TlRGjFMrxmDp9PHz86q03K&#10;BrrSImcWQRDl0tpkuPLepEniaMUkcSfaMAXGQltJPBxtmeSW1BBdimTQ642TWtvcWE2Zc6CdNUbc&#10;RrTHBNRFwSmbabqQTPkmqmWCeCjJVdw4PI1oi4JR/6ooHPNIZBgq9fELSUC+Dd9kekbS0hJTcdpC&#10;IMdAOKhJEq4g6S7UjHiCFpY/CCU5tdrpwp9QLZOmkMgIVNHvHXAzt3phYi1lWpdmRzo06oD1fw5L&#10;Xy6vLOJ5hkcjjBSR0PEfm7vt+7cIFMBObcoUnObWXJsr2yrK5hQKXhVWhn8oBa0ir+sdr2zlEQXl&#10;qDecjIFxCqb+4FnLOq2gNeHOaHIKucE2PB03DaHVRXt1PBw39wbBkuzzsdjcF84HdQC5w1QbGEy3&#10;Z8v9H1vXFTEsNsEFIlq2+sOOrW+bzfe7d9tPH35+/bz98hEB4MhS9N5x5lIH9P2BsIfFd6z9tXS6&#10;cH7OdKSdLBsKYPLyTiJVJ9GV6kRDfFAHBEFEdYZDgnCWesludLT4gx4C4XurUPe9Iryu1+DXWEEI&#10;4WOrdilBeR+z0pdcCCApXGqAPA3TQWCbFPCKQZQGJtKpMuJzWvA8XAk3nC1vnwuLliS86PhrJ+M3&#10;N2OdnxFXNX7R1IxWxUh+oXLk1wZGXcGKwwGCZDlGgsFGDFLE5gkXx3jG2gO0g5HsWh7m8Vbna5ic&#10;GhYN1PVmQSykXRjLywpWUj9W0M5tO87w3iOJ7W4KC+X+OXrt9/H0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FzIe/vaAAAACQEAAA8AAAAAAAAAAQAgAAAAIgAAAGRycy9kb3ducmV2LnhtbFBLAQIU&#10;ABQAAAAIAIdO4kBH4jrmnAIAANcFAAAOAAAAAAAAAAEAIAAAACkBAABkcnMvZTJvRG9jLnhtbFBL&#10;BQYAAAAABgAGAFkBAAA3BgAAAAA=&#10;">
                <o:lock v:ext="edit" aspectratio="f"/>
                <v:shape id="任意多边形 36" o:spid="_x0000_s1026" o:spt="100" style="position:absolute;left:4894;top:396;height:2;width:636;" filled="f" stroked="t" coordsize="636,1" o:gfxdata="UEsDBAoAAAAAAIdO4kAAAAAAAAAAAAAAAAAEAAAAZHJzL1BLAwQUAAAACACHTuJAjhofyroAAADb&#10;AAAADwAAAGRycy9kb3ducmV2LnhtbEVPzYrCMBC+C75DGMGbTV1Blmr0IOiq7GG3+gBDM7bFZlKT&#10;WH+efrMgeJuP73fmy7tpREfO15YVjJMUBHFhdc2lguNhPfoE4QOyxsYyKXiQh+Wi35tjpu2Nf6nL&#10;QyliCPsMFVQhtJmUvqjIoE9sSxy5k3UGQ4SulNrhLYabRn6k6VQarDk2VNjSqqLinF+Ngg025123&#10;+unoufv+Cm0+dfvnRanhYJzOQAS6h7f45d7qOH8C/7/E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Gh/KugAAANsA&#10;AAAPAAAAAAAAAAEAIAAAACIAAABkcnMvZG93bnJldi54bWxQSwECFAAUAAAACACHTuJAMy8FnjsA&#10;AAA5AAAAEAAAAAAAAAABACAAAAAJAQAAZHJzL3NoYXBleG1sLnhtbFBLBQYAAAAABgAGAFsBAACz&#10;Aw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c</w:t>
      </w:r>
      <w:r>
        <w:rPr>
          <w:rFonts w:hint="eastAsia" w:ascii="宋体" w:hAnsi="宋体" w:eastAsia="宋体" w:cs="宋体"/>
          <w:color w:val="auto"/>
          <w:spacing w:val="-2"/>
          <w:sz w:val="21"/>
          <w:szCs w:val="21"/>
          <w:highlight w:val="none"/>
        </w:rPr>
        <w:t>.</w: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70BA9A76">
      <w:pPr>
        <w:pStyle w:val="11"/>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1552" behindDoc="1" locked="0" layoutInCell="1" allowOverlap="1">
                <wp:simplePos x="0" y="0"/>
                <wp:positionH relativeFrom="page">
                  <wp:posOffset>3246755</wp:posOffset>
                </wp:positionH>
                <wp:positionV relativeFrom="paragraph">
                  <wp:posOffset>29845</wp:posOffset>
                </wp:positionV>
                <wp:extent cx="163195" cy="20828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63B3E82E">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44928;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BwV0s8kBAACPAwAADgAAAGRycy9lMm9Eb2MueG1srVPN&#10;jtMwEL4j8Q6W7zRtEasSNV0JVYuQECAt+wCu4zSW/MeM26QvAG/AiQt3nqvPwdhJyrJ72cNenPHM&#10;+Jv5vpmsr3tr2FEBau8qvpjNOVNO+lq7fcXvvt68WnGGUbhaGO9UxU8K+fXm5Yt1F0q19K03tQJG&#10;IA7LLlS8jTGURYGyVVbgzAflKNh4sCLSFfZFDaIjdGuK5Xx+VXQe6gBeKkTybocgHxHhKYC+abRU&#10;Wy8PVrk4oIIyIhIlbHVAvsndNo2S8XPToIrMVJyYxnxSEbJ36Sw2a1HuQYRWy7EF8ZQWHnCyQjsq&#10;eoHaiijYAfQjKKslePRNnElvi4FIVoRYLOYPtLltRVCZC0mN4SI6Ph+s/HT8AkzXtAlvOHPC0sTP&#10;P3+cf/05//7OyEcCdQFLyrsNlBn7d76n5MmP5Ey8+wZs+hIjRnGS93SRV/WRyfTo6vXiLVWRFFrO&#10;V8tVlr/49zgAxvfKW5aMigNNL4sqjh8xUiOUOqWkWs7faGPyBI37z0GJg0flFRhfJx5Dv8mK/a4f&#10;ye18fSJuHa1BxfHbQYDizHxwpHPamcmAydhNxiGA3rfUatajSLA0p9zouFNpEe7fyb7/H2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Uzt7PYAAAACAEAAA8AAAAAAAAAAQAgAAAAIgAAAGRycy9k&#10;b3ducmV2LnhtbFBLAQIUABQAAAAIAIdO4kAHBXSzyQEAAI8DAAAOAAAAAAAAAAEAIAAAACcBAABk&#10;cnMvZTJvRG9jLnhtbFBLBQYAAAAABgAGAFkBAABiBQAAAAA=&#10;">
                <v:fill on="f" focussize="0,0"/>
                <v:stroke on="f"/>
                <v:imagedata o:title=""/>
                <o:lock v:ext="edit" aspectratio="f"/>
                <v:textbox inset="0mm,0mm,0mm,0mm">
                  <w:txbxContent>
                    <w:p w14:paraId="63B3E82E">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373761D9">
      <w:pPr>
        <w:pStyle w:val="11"/>
        <w:spacing w:before="26"/>
        <w:ind w:left="3454" w:right="4848"/>
        <w:jc w:val="center"/>
        <w:rPr>
          <w:rFonts w:hint="eastAsia" w:ascii="宋体" w:hAnsi="宋体" w:eastAsia="宋体" w:cs="宋体"/>
          <w:color w:val="auto"/>
          <w:sz w:val="14"/>
          <w:szCs w:val="14"/>
          <w:highlight w:val="none"/>
        </w:rPr>
      </w:pPr>
    </w:p>
    <w:p w14:paraId="617CC1C8">
      <w:pPr>
        <w:spacing w:before="4" w:line="170" w:lineRule="exact"/>
        <w:rPr>
          <w:rFonts w:hint="eastAsia" w:ascii="宋体" w:hAnsi="宋体" w:eastAsia="宋体" w:cs="宋体"/>
          <w:color w:val="auto"/>
          <w:sz w:val="17"/>
          <w:szCs w:val="17"/>
          <w:highlight w:val="none"/>
        </w:rPr>
      </w:pPr>
    </w:p>
    <w:p w14:paraId="77536381">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2576" behindDoc="1" locked="0" layoutInCell="1" allowOverlap="1">
                <wp:simplePos x="0" y="0"/>
                <wp:positionH relativeFrom="page">
                  <wp:posOffset>3150235</wp:posOffset>
                </wp:positionH>
                <wp:positionV relativeFrom="paragraph">
                  <wp:posOffset>250825</wp:posOffset>
                </wp:positionV>
                <wp:extent cx="403860" cy="1270"/>
                <wp:effectExtent l="0" t="0" r="0" b="0"/>
                <wp:wrapNone/>
                <wp:docPr id="40" name="组合 40"/>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16" name="任意多边形 3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4390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ByO27HnAIAANcFAAAOAAAAZHJzL2Uyb0RvYy54bWyl&#10;VM1uEzEQviPxDpbvdPNTQrPqpgfS5oKgUssDOF7vriX/YTvZ5N4DNzhzRLwEquBpKPAYjO1NUlKQ&#10;IshhM54/f/PNeE7PVlKgJbOOa1Xg/lEPI6aoLrmqC/z6+uLJCUbOE1USoRUr8Jo5fDZ5/Oi0NTkb&#10;6EaLklkESZTLW1PgxnuTZ5mjDZPEHWnDFBgrbSXxcLR1VlrSQnYpskGvN8pabUtjNWXOgXaajLjL&#10;aA9JqKuKUzbVdCGZ8imrZYJ4KMk13Dg8iWirilH/qqoc80gUGCr18QuXgDwP32xySvLaEtNw2kEg&#10;h0DYq0kSruDSbaop8QQtLH+QSnJqtdOVP6JaZqmQyAhU0e/tcTOzemFiLXXe1mZLOjRqj/V/Tktf&#10;Li8t4mWBj4ESRSR0/Mftzd37twgUwE5r6hycZtZcmUvbKep0CgWvKivDP5SCVpHX9ZZXtvKIgvK4&#10;NzwZQXoKpv7gWcc6baA1IeZ4POpjBLbheJQaQpvzLnQ0HKW4QbBku/tYbO4L54M6gNxiag0Mptux&#10;5f6PrauGGBab4AIRHVt9gJXY+nZ7+/3m3d2nDz+/fr778hENx4m26L3lzOUO6PsDYQ+L37D219Lp&#10;wvkZ05F2skwUwOSVG4k0G4mu1EY0xAd1QBBE1BY4XBDOUi/ZtY4Wv9dDIHxnFeq+V4S36TX4JSsI&#10;IX1s1fZKUN7HrPQFFwL6FoISkKdhOghskwpeMYjSwEQ6VUd8TgtehpAQ4Ww9fy4sWpLwouOvm4zf&#10;3Ix1fkpck/yiKY1Ww0h5rkrk1wZGXcGKwwGCZCVGgsFGDFLE5gkXh3jG2gO0vZHctDzM41yXa5ic&#10;FhYN1PVmQSxcuzCW1w2spH6soJvbbpzhvUcSu90UFsr9c/Ta7ePJ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jDrmHaAAAACQEAAA8AAAAAAAAAAQAgAAAAIgAAAGRycy9kb3ducmV2LnhtbFBLAQIU&#10;ABQAAAAIAIdO4kByO27HnAIAANcFAAAOAAAAAAAAAAEAIAAAACkBAABkcnMvZTJvRG9jLnhtbFBL&#10;BQYAAAAABgAGAFkBAAA3BgAAAAA=&#10;">
                <o:lock v:ext="edit" aspectratio="f"/>
                <v:shape id="任意多边形 39" o:spid="_x0000_s1026" o:spt="100" style="position:absolute;left:4961;top:396;height:2;width:636;" filled="f" stroked="t" coordsize="636,1" o:gfxdata="UEsDBAoAAAAAAIdO4kAAAAAAAAAAAAAAAAAEAAAAZHJzL1BLAwQUAAAACACHTuJAnm28UrkAAADb&#10;AAAADwAAAGRycy9kb3ducmV2LnhtbEVPS4vCMBC+L/gfwgje1lQPRarRg+ATD271BwzN2BabSU1i&#10;ffx6s7Cwt/n4njNbPE0jOnK+tqxgNExAEBdW11wqOJ9W3xMQPiBrbCyTghd5WMx7XzPMtH3wD3V5&#10;KEUMYZ+hgiqENpPSFxUZ9EPbEkfuYp3BEKErpXb4iOGmkeMkSaXBmmNDhS0tKyqu+d0oWGNz3XXL&#10;Y0fv3WET2jx1+/dNqUF/lExBBHqGf/Gfe6vj/BR+f4kHyP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tvFK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A</w:t>
      </w:r>
      <w:r>
        <w:rPr>
          <w:rFonts w:hint="eastAsia" w:ascii="宋体" w:hAnsi="宋体" w:eastAsia="宋体" w:cs="宋体"/>
          <w:color w:val="auto"/>
          <w:szCs w:val="24"/>
          <w:highlight w:val="none"/>
        </w:rPr>
        <w:t>）</w:t>
      </w:r>
    </w:p>
    <w:p w14:paraId="2ACABD42">
      <w:pPr>
        <w:pStyle w:val="11"/>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3600" behindDoc="1" locked="0" layoutInCell="1" allowOverlap="1">
                <wp:simplePos x="0" y="0"/>
                <wp:positionH relativeFrom="page">
                  <wp:posOffset>3289300</wp:posOffset>
                </wp:positionH>
                <wp:positionV relativeFrom="paragraph">
                  <wp:posOffset>29845</wp:posOffset>
                </wp:positionV>
                <wp:extent cx="296545" cy="24638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47875231">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4288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C7W5FxygEAAI8DAAAOAAAAZHJzL2Uyb0RvYy54bWytU82O&#10;0zAQviPxDpbvNN2yWy1R05VQtQgJAdLCA7iO01jyHzNuk74AvAEnLtx5rj4HYycpy+5lD3txxjPj&#10;b+b7ZrK66a1hBwWovav4xWzOmXLS19rtKv71y+2ra84wClcL452q+FEhv1m/fLHqQqkWvvWmVsAI&#10;xGHZhYq3MYayKFC2ygqc+aAcBRsPVkS6wq6oQXSEbk2xmM+XReehDuClQiTvZgjyERGeAuibRku1&#10;8XJvlYsDKigjIlHCVgfk69xt0ygZPzUNqshMxYlpzCcVIXubzmK9EuUORGi1HFsQT2nhAScrtKOi&#10;Z6iNiILtQT+CslqCR9/EmfS2GIhkRYjFxfyBNnetCCpzIakxnEXH54OVHw+fgemaNoHm7oSliZ9+&#10;/jj9+nP6/Z2RjwTqApaUdxcoM/ZvfU/Jkx/JmXj3Ddj0JUaM4iTv8Syv6iOT5Fy8WV5dXnEmKbS4&#10;XL6+zvIX/x4HwPhOecuSUXGg6WVRxeEDRmqEUqeUVMv5W21MnqBx/zkocfCovALj68Rj6DdZsd/2&#10;I7mtr4/EraM1qDh+2wtQnJn3jnROOzMZMBnbydgH0LuWWs16FAmW5pQbHXcqLcL9O9n3/6P1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N5C8xnXAAAACAEAAA8AAAAAAAAAAQAgAAAAIgAAAGRycy9k&#10;b3ducmV2LnhtbFBLAQIUABQAAAAIAIdO4kC7W5FxygEAAI8DAAAOAAAAAAAAAAEAIAAAACYBAABk&#10;cnMvZTJvRG9jLnhtbFBLBQYAAAAABgAGAFkBAABiBQAAAAA=&#10;">
                <v:fill on="f" focussize="0,0"/>
                <v:stroke on="f"/>
                <v:imagedata o:title=""/>
                <o:lock v:ext="edit" aspectratio="f"/>
                <v:textbox inset="0mm,0mm,0mm,0mm">
                  <w:txbxContent>
                    <w:p w14:paraId="47875231">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1213BFF2">
      <w:pPr>
        <w:pStyle w:val="11"/>
        <w:spacing w:before="26"/>
        <w:ind w:left="3521" w:right="4781"/>
        <w:jc w:val="center"/>
        <w:rPr>
          <w:rFonts w:hint="eastAsia" w:ascii="宋体" w:hAnsi="宋体" w:eastAsia="宋体" w:cs="宋体"/>
          <w:color w:val="auto"/>
          <w:sz w:val="14"/>
          <w:szCs w:val="14"/>
          <w:highlight w:val="none"/>
        </w:rPr>
      </w:pPr>
    </w:p>
    <w:p w14:paraId="4038BD76">
      <w:pPr>
        <w:spacing w:before="3" w:line="120" w:lineRule="exact"/>
        <w:rPr>
          <w:rFonts w:hint="eastAsia" w:ascii="宋体" w:hAnsi="宋体" w:eastAsia="宋体" w:cs="宋体"/>
          <w:color w:val="auto"/>
          <w:sz w:val="12"/>
          <w:szCs w:val="12"/>
          <w:highlight w:val="none"/>
        </w:rPr>
      </w:pPr>
    </w:p>
    <w:p w14:paraId="37950967">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为施工当月项目所在地工程造价管理机构发布的材料、工程设备单价；A为合同约定的材料、工程设备单价涨跌风险幅度值。</w:t>
      </w:r>
    </w:p>
    <w:p w14:paraId="73CB7F79">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bCs/>
          <w:snapToGrid w:val="0"/>
          <w:color w:val="auto"/>
          <w:kern w:val="0"/>
          <w:szCs w:val="24"/>
          <w:highlight w:val="none"/>
        </w:rPr>
        <w:t>2.3.6.3</w:t>
      </w:r>
      <w:r>
        <w:rPr>
          <w:rFonts w:hint="eastAsia" w:ascii="宋体" w:hAnsi="宋体" w:eastAsia="宋体" w:cs="宋体"/>
          <w:snapToGrid w:val="0"/>
          <w:color w:val="auto"/>
          <w:kern w:val="0"/>
          <w:szCs w:val="24"/>
          <w:highlight w:val="none"/>
        </w:rPr>
        <w:t xml:space="preserve"> 合同履行期间，当《发包人提供材料和工程设备一览表》（详见招标工程量清单）中的材料、工程设备单价发生变化时，由发包人按照实际变化调整，并列入合同价款。</w:t>
      </w:r>
    </w:p>
    <w:p w14:paraId="1647916E">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2.3.6.4</w:t>
      </w:r>
      <w:r>
        <w:rPr>
          <w:rFonts w:hint="eastAsia" w:ascii="宋体" w:hAnsi="宋体" w:eastAsia="宋体" w:cs="宋体"/>
          <w:snapToGrid w:val="0"/>
          <w:color w:val="auto"/>
          <w:kern w:val="0"/>
          <w:szCs w:val="24"/>
          <w:highlight w:val="none"/>
        </w:rPr>
        <w:t xml:space="preserve"> 本招标项目约定，施工机具台班单价涨跌风险幅度值B为</w:t>
      </w:r>
      <w:r>
        <w:rPr>
          <w:rFonts w:hint="eastAsia" w:ascii="宋体" w:hAnsi="宋体" w:eastAsia="宋体" w:cs="宋体"/>
          <w:snapToGrid w:val="0"/>
          <w:color w:val="auto"/>
          <w:kern w:val="0"/>
          <w:szCs w:val="24"/>
          <w:highlight w:val="none"/>
          <w:u w:val="single"/>
        </w:rPr>
        <w:t xml:space="preserve"> 10% </w:t>
      </w:r>
      <w:r>
        <w:rPr>
          <w:rFonts w:hint="eastAsia" w:ascii="宋体" w:hAnsi="宋体" w:eastAsia="宋体" w:cs="宋体"/>
          <w:snapToGrid w:val="0"/>
          <w:color w:val="auto"/>
          <w:kern w:val="0"/>
          <w:szCs w:val="24"/>
          <w:highlight w:val="none"/>
        </w:rPr>
        <w:t>。合同履行期间，当施工机具台班单价涨跌幅度等于或低于B值时，该施工机具台班单价不予调整；超过B值时，其超过部分可以调整。相关费用按有关规定进行相应调整。</w:t>
      </w:r>
    </w:p>
    <w:p w14:paraId="1AD9618F">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a</w:t>
      </w:r>
      <w:r>
        <w:rPr>
          <w:rFonts w:hint="eastAsia" w:ascii="宋体" w:hAnsi="宋体" w:eastAsia="宋体" w:cs="宋体"/>
          <w:snapToGrid w:val="0"/>
          <w:color w:val="auto"/>
          <w:kern w:val="0"/>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0B210D0E">
      <w:pPr>
        <w:spacing w:line="418" w:lineRule="exact"/>
        <w:ind w:left="120" w:firstLine="241" w:firstLineChars="100"/>
        <w:jc w:val="left"/>
        <w:rPr>
          <w:rFonts w:hint="eastAsia" w:ascii="宋体" w:hAnsi="宋体" w:eastAsia="宋体" w:cs="宋体"/>
          <w:color w:val="auto"/>
          <w:szCs w:val="24"/>
          <w:highlight w:val="none"/>
        </w:rPr>
      </w:pPr>
      <w:r>
        <w:rPr>
          <w:rFonts w:hint="eastAsia" w:ascii="宋体" w:hAnsi="宋体" w:eastAsia="宋体" w:cs="宋体"/>
          <w:b/>
          <w:bCs/>
          <w:color w:val="auto"/>
          <w:highlight w:val="none"/>
        </w:rPr>
        <mc:AlternateContent>
          <mc:Choice Requires="wpg">
            <w:drawing>
              <wp:anchor distT="0" distB="0" distL="114300" distR="114300" simplePos="0" relativeHeight="251674624" behindDoc="0" locked="0" layoutInCell="1" allowOverlap="1">
                <wp:simplePos x="0" y="0"/>
                <wp:positionH relativeFrom="page">
                  <wp:posOffset>3107055</wp:posOffset>
                </wp:positionH>
                <wp:positionV relativeFrom="paragraph">
                  <wp:posOffset>259715</wp:posOffset>
                </wp:positionV>
                <wp:extent cx="403860" cy="1270"/>
                <wp:effectExtent l="0" t="0" r="0" b="0"/>
                <wp:wrapNone/>
                <wp:docPr id="41" name="组合 41"/>
                <wp:cNvGraphicFramePr/>
                <a:graphic xmlns:a="http://schemas.openxmlformats.org/drawingml/2006/main">
                  <a:graphicData uri="http://schemas.microsoft.com/office/word/2010/wordprocessingGroup">
                    <wpg:wgp>
                      <wpg:cNvGrpSpPr/>
                      <wpg:grpSpPr>
                        <a:xfrm>
                          <a:off x="0" y="0"/>
                          <a:ext cx="403860" cy="1270"/>
                          <a:chOff x="4894" y="410"/>
                          <a:chExt cx="636" cy="2"/>
                        </a:xfrm>
                        <a:effectLst/>
                      </wpg:grpSpPr>
                      <wps:wsp>
                        <wps:cNvPr id="21" name="任意多边形 42"/>
                        <wps:cNvSpPr/>
                        <wps:spPr>
                          <a:xfrm>
                            <a:off x="4894" y="410"/>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4.65pt;margin-top:20.45pt;height:0.1pt;width:31.8pt;mso-position-horizontal-relative:page;z-index:251674624;mso-width-relative:page;mso-height-relative:page;" coordorigin="4894,410" coordsize="636,2" o:gfxdata="UEsDBAoAAAAAAIdO4kAAAAAAAAAAAAAAAAAEAAAAZHJzL1BLAwQUAAAACACHTuJAUT1lkNkAAAAJ&#10;AQAADwAAAGRycy9kb3ducmV2LnhtbE2PQW/CMAyF75P2HyIj7TbSwDpBaYomtO2EJgGTpt1CY9qK&#10;xqma0MK/n3fabs9+T8+f8/XVtWLAPjSeNKhpAgKp9LahSsPn4e1xASJEQ9a0nlDDDQOsi/u73GTW&#10;j7TDYR8rwSUUMqOhjrHLpAxljc6Eqe+Q2Dv53pnIY19J25uRy10rZ0nyLJ1piC/UpsNNjeV5f3Ea&#10;3kczvszV67A9nza370P68bVVqPXDRCUrEBGv8S8Mv/iMDgUzHf2FbBCthqfFcs5RFskSBAfSdMbi&#10;yAulQBa5/P9B8QNQSwMEFAAAAAgAh07iQG7mfNWcAgAA1wUAAA4AAABkcnMvZTJvRG9jLnhtbKVU&#10;zW4TMRC+I/EOlu90kzSEssqmB9L2gqBSywO4Xu+uJa9tbCeb3HvgBmeOqC+BKngaCjwGM97NJqQg&#10;VZDDZjx//uab8UyPV7UiS+G8NDqjw4MBJUJzk0tdZvTN5emTI0p8YDpnymiR0bXw9Hj2+NG0sakY&#10;mcqoXDgCSbRPG5vRKgSbJonnlaiZPzBWaDAWxtUswNGVSe5YA9lrlYwGg0nSGJdbZ7jwHrTz1ki7&#10;jO4hCU1RSC7mhi9qoUOb1QnFApTkK2k9nUW0RSF4eF0UXgSiMgqVhviFS0C+wm8ym7K0dMxWkncQ&#10;2EMg7NVUM6nh0j7VnAVGFk7eS1VL7ow3RTjgpk7aQiIjUMVwsMfNmTMLG2sp06a0PenQqD3W/zkt&#10;f7U8d0TmGR0PKdGsho7/uL2++/COgALYaWyZgtOZsxf23HWKsj1hwavC1fgPpZBV5HXd8ypWgXBQ&#10;jgeHRxNgnINpOHrWsc4raA3GjI+ejykB23jYm0660MnhpI0bIZhke5+IzX3pA6oRZI+psTCYfsuW&#10;/z+2LipmRWyCRyI6tkY9W99ub79fv7+7+fjz6+e7L5/IOCJFEODdc+ZTD/T9gbD7xW9Y+2vpfOHD&#10;mTCRdrZsKYDJyzcSqzYSX+mNaFlANSJAkTQZxQvwXJuluDTREvZ6CIRvrUrvekV4m16DX2sFAdPH&#10;VvVXgnIXszanUinoGwa1QJ7idDDYJgW8YhBrCxPpdRnxeaNkjiEY4V159UI5smT4ouOvm4zf3Kzz&#10;Yc581fpFE7qxtBIsP9E5CWsLo65hxVGEUIucEiVgI6IUPQOT6iGesXZMvTeSm5bjKFyZfA2T08Ci&#10;gbreLpiDaxfWybKClRQfGgxxnNtunOG9RxK73YQLZfccvbb7ePY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UT1lkNkAAAAJAQAADwAAAAAAAAABACAAAAAiAAAAZHJzL2Rvd25yZXYueG1sUEsBAhQA&#10;FAAAAAgAh07iQG7mfNWcAgAA1wUAAA4AAAAAAAAAAQAgAAAAKAEAAGRycy9lMm9Eb2MueG1sUEsF&#10;BgAAAAAGAAYAWQEAADYGAAAAAA==&#10;">
                <o:lock v:ext="edit" aspectratio="f"/>
                <v:shape id="任意多边形 42" o:spid="_x0000_s1026" o:spt="100" style="position:absolute;left:4894;top:410;height:2;width:636;" filled="f" stroked="t" coordsize="636,1" o:gfxdata="UEsDBAoAAAAAAIdO4kAAAAAAAAAAAAAAAAAEAAAAZHJzL1BLAwQUAAAACACHTuJA3+jum7sAAADb&#10;AAAADwAAAGRycy9kb3ducmV2LnhtbEWPQYvCMBSE74L/ITxhb5rWgyzV6EHQXcXDWv0Bj+bZFpuX&#10;msTq+uuNIHgcZuYbZra4m0Z05HxtWUE6SkAQF1bXXCo4HlbDbxA+IGtsLJOCf/KwmPd7M8y0vfGe&#10;ujyUIkLYZ6igCqHNpPRFRQb9yLbE0TtZZzBE6UqpHd4i3DRynCQTabDmuFBhS8uKinN+NQrW2Jw3&#10;3fKvo8dm9xPafOK2j4tSX4M0mYIIdA+f8Lv9qxWMU3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jum7sAAADb&#10;AAAADwAAAAAAAAABACAAAAAiAAAAZHJzL2Rvd25yZXYueG1sUEsBAhQAFAAAAAgAh07iQDMvBZ47&#10;AAAAOQAAABAAAAAAAAAAAQAgAAAACgEAAGRycy9zaGFwZXhtbC54bWxQSwUGAAAAAAYABgBbAQAA&#10;tAM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28"/>
          <w:szCs w:val="28"/>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28"/>
          <w:szCs w:val="28"/>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456E3453">
      <w:pPr>
        <w:pStyle w:val="11"/>
        <w:tabs>
          <w:tab w:val="left" w:pos="2817"/>
        </w:tabs>
        <w:spacing w:after="0" w:line="200" w:lineRule="exact"/>
        <w:ind w:left="2426"/>
        <w:jc w:val="left"/>
        <w:rPr>
          <w:rFonts w:hint="eastAsia" w:ascii="宋体" w:hAnsi="宋体" w:eastAsia="宋体" w:cs="宋体"/>
          <w:color w:val="auto"/>
          <w:sz w:val="15"/>
          <w:szCs w:val="15"/>
          <w:highlight w:val="none"/>
        </w:rPr>
      </w:pPr>
      <w:r>
        <w:rPr>
          <w:rFonts w:hint="eastAsia" w:ascii="宋体" w:hAnsi="宋体" w:eastAsia="宋体" w:cs="宋体"/>
          <w:color w:val="auto"/>
          <w:sz w:val="15"/>
          <w:szCs w:val="15"/>
          <w:highlight w:val="none"/>
        </w:rPr>
        <mc:AlternateContent>
          <mc:Choice Requires="wps">
            <w:drawing>
              <wp:anchor distT="0" distB="0" distL="114300" distR="114300" simplePos="0" relativeHeight="251675648" behindDoc="0" locked="0" layoutInCell="1" allowOverlap="1">
                <wp:simplePos x="0" y="0"/>
                <wp:positionH relativeFrom="page">
                  <wp:posOffset>3246755</wp:posOffset>
                </wp:positionH>
                <wp:positionV relativeFrom="paragraph">
                  <wp:posOffset>29845</wp:posOffset>
                </wp:positionV>
                <wp:extent cx="220980" cy="24638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220980" cy="246380"/>
                        </a:xfrm>
                        <a:prstGeom prst="rect">
                          <a:avLst/>
                        </a:prstGeom>
                        <a:noFill/>
                        <a:ln>
                          <a:noFill/>
                        </a:ln>
                        <a:effectLst/>
                      </wps:spPr>
                      <wps:txbx>
                        <w:txbxContent>
                          <w:p w14:paraId="206D93F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9.4pt;width:17.4pt;mso-position-horizontal-relative:page;z-index:251675648;mso-width-relative:page;mso-height-relative:page;" filled="f" stroked="f" coordsize="21600,21600" o:gfxdata="UEsDBAoAAAAAAIdO4kAAAAAAAAAAAAAAAAAEAAAAZHJzL1BLAwQUAAAACACHTuJAVbHiCdcAAAAI&#10;AQAADwAAAGRycy9kb3ducmV2LnhtbE2PzU7DMBCE70i8g7VI3Kht2gQIcSqE4ISEmoYDRyfeJlbj&#10;dYjdH94ec4LjaEYz35TrsxvZEedgPSmQCwEMqfPGUq/go3m9uQcWoiajR0+o4BsDrKvLi1IXxp+o&#10;xuM29iyVUCi0giHGqeA8dAM6HRZ+Qkrezs9OxyTnnptZn1K5G/mtEDl32lJaGPSEzwN2++3BKXj6&#10;pPrFfr23m3pX26Z5EPSW75W6vpLiEVjEc/wLwy9+QocqMbX+QCawUUEm5TJFFazugCU/W+USWJv0&#10;MgNelfz/geoHUEsDBBQAAAAIAIdO4kAbqaZByAEAAI8DAAAOAAAAZHJzL2Uyb0RvYy54bWytU0tu&#10;2zAQ3RfIHQjuaylKEaSC5QCBkaBA0RZIewCaGlkE+OuQtuQLJDfoqpvuey6fo0N93DTdZJEN9ThD&#10;Ps57M1pe90azPWBQzlb8fJFzBla6Wtltxb99vX17xVmIwtZCOwsVP0Dg16uzN8vOl1C41ukakBGJ&#10;DWXnK97G6MssC7IFI8LCebCUbBwaEWmL26xG0RG70VmR55dZ57D26CSEQNH1mOQTI76E0DWNkrB2&#10;cmfAxpEVQYtIkkKrfOCrodqmARk/N02AyHTFSWkcVnqE8Cat2Wopyi0K3yo5lSBeUsIzTUYoS4+e&#10;qNYiCrZD9R+VURJdcE1cSGeyUcjgCKk4z595c98KD4MWsjr4k+nh9Wjlp/0XZKqueHHBmRWGOn78&#10;8Xj8+fv464FRjAzqfCjp3L2nk7G/cT2NzRwPFEy6+wZN+pIiRnmy93CyF/rIJAWLIn9/RRlJqeLd&#10;5QVhYs/+XvYY4h04wxKoOFL3BlPF/mOI49H5SHrLulul9dBBbf8JEOcYgWEEpttJx1hvQrHf9JO4&#10;jasPpK2jMah4+L4TCJzpD5Z8TjMzA5zBZgY7j2rbUqmDH1mipT4NmqaZSoPwdE/46X+0+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VseIJ1wAAAAgBAAAPAAAAAAAAAAEAIAAAACIAAABkcnMvZG93&#10;bnJldi54bWxQSwECFAAUAAAACACHTuJAG6mmQcgBAACPAwAADgAAAAAAAAABACAAAAAmAQAAZHJz&#10;L2Uyb0RvYy54bWxQSwUGAAAAAAYABgBZAQAAYAUAAAAA&#10;">
                <v:fill on="f" focussize="0,0"/>
                <v:stroke on="f"/>
                <v:imagedata o:title=""/>
                <o:lock v:ext="edit" aspectratio="f"/>
                <v:textbox inset="0mm,0mm,0mm,0mm">
                  <w:txbxContent>
                    <w:p w14:paraId="206D93FF">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5"/>
          <w:szCs w:val="15"/>
          <w:highlight w:val="none"/>
        </w:rPr>
        <w:t>1</w:t>
      </w:r>
      <w:r>
        <w:rPr>
          <w:rFonts w:hint="eastAsia" w:ascii="宋体" w:hAnsi="宋体" w:eastAsia="宋体" w:cs="宋体"/>
          <w:color w:val="auto"/>
          <w:sz w:val="15"/>
          <w:szCs w:val="15"/>
          <w:highlight w:val="none"/>
        </w:rPr>
        <w:tab/>
      </w:r>
      <w:r>
        <w:rPr>
          <w:rFonts w:hint="eastAsia" w:ascii="宋体" w:hAnsi="宋体" w:eastAsia="宋体" w:cs="宋体"/>
          <w:color w:val="auto"/>
          <w:sz w:val="15"/>
          <w:szCs w:val="15"/>
          <w:highlight w:val="none"/>
        </w:rPr>
        <w:t>0</w:t>
      </w:r>
    </w:p>
    <w:p w14:paraId="5F906F7C">
      <w:pPr>
        <w:pStyle w:val="11"/>
        <w:spacing w:after="0" w:line="240" w:lineRule="exact"/>
        <w:ind w:left="3454" w:right="4848"/>
        <w:jc w:val="center"/>
        <w:rPr>
          <w:rFonts w:hint="eastAsia" w:ascii="宋体" w:hAnsi="宋体" w:eastAsia="宋体" w:cs="宋体"/>
          <w:color w:val="auto"/>
          <w:sz w:val="15"/>
          <w:szCs w:val="15"/>
          <w:highlight w:val="none"/>
        </w:rPr>
      </w:pPr>
    </w:p>
    <w:p w14:paraId="538C9BB6">
      <w:pPr>
        <w:spacing w:before="4" w:line="170" w:lineRule="exact"/>
        <w:rPr>
          <w:rFonts w:hint="eastAsia" w:ascii="宋体" w:hAnsi="宋体" w:eastAsia="宋体" w:cs="宋体"/>
          <w:color w:val="auto"/>
          <w:sz w:val="17"/>
          <w:szCs w:val="17"/>
          <w:highlight w:val="none"/>
        </w:rPr>
      </w:pPr>
    </w:p>
    <w:p w14:paraId="2B55985B">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6672" behindDoc="0" locked="0" layoutInCell="1" allowOverlap="1">
                <wp:simplePos x="0" y="0"/>
                <wp:positionH relativeFrom="page">
                  <wp:posOffset>3048635</wp:posOffset>
                </wp:positionH>
                <wp:positionV relativeFrom="paragraph">
                  <wp:posOffset>222250</wp:posOffset>
                </wp:positionV>
                <wp:extent cx="388620" cy="1270"/>
                <wp:effectExtent l="0" t="0" r="0" b="0"/>
                <wp:wrapNone/>
                <wp:docPr id="42" name="组合 42"/>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2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0.05pt;margin-top:17.5pt;height:0.1pt;width:30.6pt;mso-position-horizontal-relative:page;z-index:251676672;mso-width-relative:page;mso-height-relative:page;" coordorigin="4937,395" coordsize="612,2" o:gfxdata="UEsDBAoAAAAAAIdO4kAAAAAAAAAAAAAAAAAEAAAAZHJzL1BLAwQUAAAACACHTuJA6jhxnNkAAAAJ&#10;AQAADwAAAGRycy9kb3ducmV2LnhtbE2PwWrDMAyG74O9g9Fgt9Vx04ySxSmjbDuVwdrB2M2N1SQ0&#10;lkPsJu3bTz2tR0kfv76/WJ1dJ0YcQutJg5olIJAqb1uqNXzv3p+WIEI0ZE3nCTVcMMCqvL8rTG79&#10;RF84bmMtOIRCbjQ0Mfa5lKFq0Jkw8z0S3w5+cCbyONTSDmbicNfJeZI8S2da4g+N6XHdYHXcnpyG&#10;j8lMr6l6GzfHw/ryu8s+fzYKtX58UMkLiIjn+A/DVZ/VoWSnvT+RDaLTsFgmilENacadGMgWKgWx&#10;vy7mIMtC3jYo/wBQSwMEFAAAAAgAh07iQK19r0CkAgAA1wUAAA4AAABkcnMvZTJvRG9jLnhtbKVU&#10;zW4TMRC+I/EOlu9089c2XXXTA2lzQVCp5QFcr3fXkv+wnWxy74EbnDkiXgJF8DQEeAzG3t2kpCBF&#10;kMNm1jOe+b5vZuf8YikFWjDruFYZ7h/1MGKK6pyrMsOvb6+ejTFynqicCK1YhlfM4YvJ0yfntUnZ&#10;QFda5MwiSKJcWpsMV96bNEkcrZgk7kgbpsBZaCuJh1dbJrklNWSXIhn0eidJrW1urKbMOTidNk7c&#10;ZrSHJNRFwSmbajqXTPkmq2WCeKDkKm4cnkS0RcGof1UUjnkkMgxMfXxCEbDvwjOZnJO0tMRUnLYQ&#10;yCEQ9jhJwhUU3aaaEk/Q3PJHqSSnVjtd+COqZdIQiYoAi35vT5uZ1XMTuZRpXZqt6NCoPdX/OS19&#10;ubi2iOcZHg0wUkRCx3+s7zfv3yI4AHVqU6YQNLPmxlzb9qBs3gLhZWFl+AcqaBl1XW11ZUuPKBwO&#10;x+OTAShOwdUfnLaq0wpaE+6MzoanGIFveHbcNIRWl+3Vkz7ACvcimGRXj8XmvnAeICUB5BZTbWAw&#10;3U4t939q3VTEsNgEF4Ro1RqMOrW+rdff799tPn34+fXz5stHNIocAgiI3mrmUgfy/UGwx+Q71f5K&#10;nc6dnzEdZSeLRgKYvLyzSNVZdKk60xAfjgOCYKI6w6FAeJd6wW519Pi9HoLgO69QD6MivK7XENd4&#10;wQjpoSeNEUuC/RCz0ldcCOhbuBSBDI/DdBDYJgV8xWBKAxPpVBnxOS14Hq6EG86Wd8+FRQsSvuj4&#10;CzMDJX4LM9b5KXFVExddzWhVjOSXKkd+ZWDUFaw4HCBIlmMkGGzEYEVsnnBxSCSUFipA2xvJruVh&#10;FO50voLJqWHRAK83c2Kh7NxYXlawkvqRQTu37TjD9x5ZtbspLJSH7zFqt48n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DqOHGc2QAAAAkBAAAPAAAAAAAAAAEAIAAAACIAAABkcnMvZG93bnJldi54&#10;bWxQSwECFAAUAAAACACHTuJArX2vQKQCAADXBQAADgAAAAAAAAABACAAAAAoAQAAZHJzL2Uyb0Rv&#10;Yy54bWxQSwUGAAAAAAYABgBZAQAAPgYAAAAA&#10;">
                <o:lock v:ext="edit" aspectratio="f"/>
                <v:shape id="任意多边形 45" o:spid="_x0000_s1026" o:spt="100" style="position:absolute;left:4937;top:395;height:2;width:612;" filled="f" stroked="t" coordsize="612,1" o:gfxdata="UEsDBAoAAAAAAIdO4kAAAAAAAAAAAAAAAAAEAAAAZHJzL1BLAwQUAAAACACHTuJA9kZMb78AAADb&#10;AAAADwAAAGRycy9kb3ducmV2LnhtbEWPX0vDQBDE34V+h2MLvtlLqkhJey1V8M+LUttS6NuS2+ZC&#10;c7shdybVT+8Jgo/DzPyGWawuvlE9daEWNpBPMlDEpdiaKwP73dPNDFSIyBYbYTLwRQFWy9HVAgsr&#10;A39Qv42VShAOBRpwMbaF1qF05DFMpCVO3kk6jzHJrtK2wyHBfaOnWXavPdacFhy29OioPG8/vYG3&#10;29l3/v7wMqzdc31s+43IIRdjrsd5NgcV6RL/w3/tV2tgege/X9IP0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GTG+/&#10;AAAA2wAAAA8AAAAAAAAAAQAgAAAAIgAAAGRycy9kb3ducmV2LnhtbFBLAQIUABQAAAAIAIdO4kAz&#10;LwWeOwAAADkAAAAQAAAAAAAAAAEAIAAAAA4BAABkcnMvc2hhcGV4bWwueG1sUEsFBgAAAAAGAAYA&#10;WwEAALgDA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3"/>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0"/>
          <w:szCs w:val="30"/>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1"/>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59B7EC88">
      <w:pPr>
        <w:pStyle w:val="11"/>
        <w:tabs>
          <w:tab w:val="left" w:pos="2870"/>
        </w:tabs>
        <w:spacing w:line="142" w:lineRule="exact"/>
        <w:ind w:left="249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7696" behindDoc="0" locked="0" layoutInCell="1" allowOverlap="1">
                <wp:simplePos x="0" y="0"/>
                <wp:positionH relativeFrom="page">
                  <wp:posOffset>3274060</wp:posOffset>
                </wp:positionH>
                <wp:positionV relativeFrom="paragraph">
                  <wp:posOffset>29845</wp:posOffset>
                </wp:positionV>
                <wp:extent cx="231140" cy="198755"/>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231140" cy="198755"/>
                        </a:xfrm>
                        <a:prstGeom prst="rect">
                          <a:avLst/>
                        </a:prstGeom>
                        <a:noFill/>
                        <a:ln>
                          <a:noFill/>
                        </a:ln>
                        <a:effectLst/>
                      </wps:spPr>
                      <wps:txbx>
                        <w:txbxContent>
                          <w:p w14:paraId="65AC1867">
                            <w:r>
                              <w:rPr>
                                <w:rFonts w:ascii="Times New Roman" w:eastAsia="Times New Roman"/>
                                <w:spacing w:val="-39"/>
                                <w:position w:val="15"/>
                                <w:szCs w:val="24"/>
                              </w:rPr>
                              <w:t>F</w:t>
                            </w:r>
                            <w:r>
                              <w:rPr>
                                <w:rFonts w:ascii="Times New Roman" w:eastAsia="Times New Roman"/>
                                <w:position w:val="9"/>
                                <w:sz w:val="14"/>
                                <w:szCs w:val="14"/>
                              </w:rPr>
                              <w:t>1</w:t>
                            </w:r>
                          </w:p>
                        </w:txbxContent>
                      </wps:txbx>
                      <wps:bodyPr wrap="square" lIns="0" tIns="0" rIns="0" bIns="0" upright="1"/>
                    </wps:wsp>
                  </a:graphicData>
                </a:graphic>
              </wp:anchor>
            </w:drawing>
          </mc:Choice>
          <mc:Fallback>
            <w:pict>
              <v:shape id="_x0000_s1026" o:spid="_x0000_s1026" o:spt="202" type="#_x0000_t202" style="position:absolute;left:0pt;margin-left:257.8pt;margin-top:2.35pt;height:15.65pt;width:18.2pt;mso-position-horizontal-relative:page;z-index:251677696;mso-width-relative:page;mso-height-relative:page;" filled="f" stroked="f" coordsize="21600,21600" o:gfxdata="UEsDBAoAAAAAAIdO4kAAAAAAAAAAAAAAAAAEAAAAZHJzL1BLAwQUAAAACACHTuJAZ5bUVtcAAAAI&#10;AQAADwAAAGRycy9kb3ducmV2LnhtbE2PzU7DMBCE70i8g7VI3KidQkIJ2VQIwQkJkYZDj07sJlHj&#10;dYjdH96e5QTH0YxmvinWZzeKo53D4AkhWSgQllpvBuoQPuvXmxWIEDUZPXqyCN82wLq8vCh0bvyJ&#10;KnvcxE5wCYVcI/QxTrmUoe2t02HhJ0vs7fzsdGQ5d9LM+sTlbpRLpTLp9EC80OvJPve23W8ODuFp&#10;S9XL8PXefFS7aqjrB0Vv2R7x+ipRjyCiPce/MPziMzqUzNT4A5kgRoQ0STOOItzdg2A/TZf8rUG4&#10;zRTIspD/D5Q/UEsDBBQAAAAIAIdO4kD4rfATygEAAI8DAAAOAAAAZHJzL2Uyb0RvYy54bWytU0tu&#10;2zAQ3RfoHQjua1lukiaC5QCFkaJA0RZIcwCaGlkE+AuHtuQLtDfoqpvuey6fo0N9nE83WXRDDWeG&#10;b+a9GS2vO6PZHgIqZ0uez+acgZWuUnZb8rtvN28uOcMobCW0s1DyAyC/Xr1+tWx9AQvXOF1BYARi&#10;sWh9yZsYfZFlKBswAmfOg6Vg7YIRka5hm1VBtIRudLaYzy+y1oXKBycBkbzrIchHxPASQFfXSsLa&#10;yZ0BGwfUAFpEooSN8shXfbd1DTJ+qWuEyHTJiWnsTypC9iad2Wopim0QvlFybEG8pIVnnIxQloqe&#10;oNYiCrYL6h8oo2Rw6Oo4k85kA5FeEWKRz59pc9sIDz0Xkhr9SXT8f7Dy8/5rYKoq+eKCMysMTfz4&#10;88fx15/j7++MfCRQ67GgvFtPmbF77zpam8mP5Ey8uzqY9CVGjOIk7+EkL3SRSXIu3ub5GUUkhfKr&#10;y3fn5wkle3jsA8YP4AxLRskDTa8XVew/YRxSp5RUy7obpXU/QW2fOAhz8EC/AuPrxGPoN1mx23Qj&#10;uY2rDsStpTUoOd7vRADO9EdLOqedmYwwGZvJ2Pmgtg212uuRJViaU89p3Km0CI/vZD/+j1Z/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GeW1FbXAAAACAEAAA8AAAAAAAAAAQAgAAAAIgAAAGRycy9k&#10;b3ducmV2LnhtbFBLAQIUABQAAAAIAIdO4kD4rfATygEAAI8DAAAOAAAAAAAAAAEAIAAAACYBAABk&#10;cnMvZTJvRG9jLnhtbFBLBQYAAAAABgAGAFkBAABiBQAAAAA=&#10;">
                <v:fill on="f" focussize="0,0"/>
                <v:stroke on="f"/>
                <v:imagedata o:title=""/>
                <o:lock v:ext="edit" aspectratio="f"/>
                <v:textbox inset="0mm,0mm,0mm,0mm">
                  <w:txbxContent>
                    <w:p w14:paraId="65AC1867">
                      <w:r>
                        <w:rPr>
                          <w:rFonts w:ascii="Times New Roman" w:eastAsia="Times New Roman"/>
                          <w:spacing w:val="-39"/>
                          <w:position w:val="15"/>
                          <w:szCs w:val="24"/>
                        </w:rPr>
                        <w:t>F</w:t>
                      </w:r>
                      <w:r>
                        <w:rPr>
                          <w:rFonts w:ascii="Times New Roman" w:eastAsia="Times New Roman"/>
                          <w:position w:val="9"/>
                          <w:sz w:val="14"/>
                          <w:szCs w:val="14"/>
                        </w:rPr>
                        <w:t>1</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34675FDF">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b</w:t>
      </w:r>
      <w:r>
        <w:rPr>
          <w:rFonts w:hint="eastAsia" w:ascii="宋体" w:hAnsi="宋体" w:eastAsia="宋体" w:cs="宋体"/>
          <w:snapToGrid w:val="0"/>
          <w:color w:val="auto"/>
          <w:kern w:val="0"/>
          <w:szCs w:val="24"/>
          <w:highlight w:val="none"/>
        </w:rPr>
        <w:t>．如果中标单价高于基准单价，该施工机具台班的结算单价调整公式为：</w:t>
      </w:r>
    </w:p>
    <w:p w14:paraId="587FCCFA">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4864" behindDoc="0" locked="0" layoutInCell="1" allowOverlap="1">
                <wp:simplePos x="0" y="0"/>
                <wp:positionH relativeFrom="page">
                  <wp:posOffset>2962910</wp:posOffset>
                </wp:positionH>
                <wp:positionV relativeFrom="paragraph">
                  <wp:posOffset>234315</wp:posOffset>
                </wp:positionV>
                <wp:extent cx="388620" cy="1270"/>
                <wp:effectExtent l="0" t="0" r="0" b="0"/>
                <wp:wrapNone/>
                <wp:docPr id="5" name="组合 5"/>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8"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33.3pt;margin-top:18.45pt;height:0.1pt;width:30.6pt;mso-position-horizontal-relative:page;z-index:251684864;mso-width-relative:page;mso-height-relative:page;" coordorigin="4937,395" coordsize="612,2" o:gfxdata="UEsDBAoAAAAAAIdO4kAAAAAAAAAAAAAAAAAEAAAAZHJzL1BLAwQUAAAACACHTuJAv2y3ldoAAAAJ&#10;AQAADwAAAGRycy9kb3ducmV2LnhtbE2PwU7DMAyG70i8Q2QkbizNxrpRmk5oAk4TEhvSxM1rvLZa&#10;k1RN1m5vjznB0fan39+fry62FQP1ofFOg5okIMiV3jSu0vC1e3tYgggRncHWO9JwpQCr4vYmx8z4&#10;0X3SsI2V4BAXMtRQx9hlUoayJoth4jtyfDv63mLksa+k6XHkcNvKaZKk0mLj+EONHa1rKk/bs9Xw&#10;PuL4MlOvw+Z0XF+/d/OP/UaR1vd3KnkGEekS/2D41Wd1KNjp4M/OBNFqeEzTlFENs/QJBAPz6YK7&#10;HHixUCCLXP5vUPwAUEsDBBQAAAAIAIdO4kDpMWI5mwIAANQFAAAOAAAAZHJzL2Uyb0RvYy54bWyl&#10;VM1uEzEQviPxDpbvdPPT31U3PZC2FwSVWh7A9Xp3LfkP28km9x64wZkj4iVQBU9DgcdgxrtJSgpS&#10;BTlsxp7f75vxHJ8stCJz4YO0pqDDnQElwnBbSlMX9PXV2bNDSkJkpmTKGlHQpQj0ZPL0yXHrcjGy&#10;jVWl8ASCmJC3rqBNjC7PssAboVnYsU4YUFbWaxbh6Ous9KyF6Fplo8FgP2utL523XIQAt9NOSfuI&#10;/jEBbVVJLqaWz7QwsYvqhWIRIIVGukAnqdqqEjy+qqogIlEFBaQxfSEJyNf4zSbHLK89c43kfQns&#10;MSVsYdJMGki6DjVlkZGZlw9Cacm9DbaKO9zqrAOSGAEUw8EWN+fezlzCUudt7dakQ6O2WP/nsPzl&#10;/MITWRZ0jxLDNDT8x+3N3fu3ZA+5aV2dg8m5d5fuwvcXdXdCuIvKa/wHIGSRWF2uWRWLSDhcjg8P&#10;90fANwfVcHTQc84baAz67B6NDygB3fgopWQ5b0571/3hqPMbYTHZJp9IrX0RIl5jkeuaWgdjGTZc&#10;hf/j6rJhTqQWBCSi5wqeSMfVt9vb7zfv7j59+Pn1892Xj2S3Zy0ZrykLeQD2/sDXQ+wr0v6KnM9C&#10;PBc2sc7mHQMwduVKYs1K4guzEh2LeI0VoEjagmICPGs7F1c2aeJWC4HvjVaZ+1apvFWrwa7TgoDh&#10;U6fWKeHyfs3GnkmloG3olAoZ7+FwMFglFTxhELWDcQymTvUFq2SJLugRfH39XHkyZ/ic068fjN/M&#10;nA9xykLT2SUVmrG8Eaw8NSWJSweDbmC/USxBi5ISJWAdopQsI5PqMZYJO4bemshVy3Ecr225hMFp&#10;YcsArjcz5iHtzHlZN7CPhglBP7b9NMNjTyT2iwm3yf1zstos48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v2y3ldoAAAAJAQAADwAAAAAAAAABACAAAAAiAAAAZHJzL2Rvd25yZXYueG1sUEsBAhQA&#10;FAAAAAgAh07iQOkxYjmbAgAA1AUAAA4AAAAAAAAAAQAgAAAAKQEAAGRycy9lMm9Eb2MueG1sUEsF&#10;BgAAAAAGAAYAWQEAADYGAAAAAA==&#10;">
                <o:lock v:ext="edit" aspectratio="f"/>
                <v:shape id="任意多边形 45" o:spid="_x0000_s1026" o:spt="100" style="position:absolute;left:4937;top:395;height:2;width:612;" filled="f" stroked="t" coordsize="612,1" o:gfxdata="UEsDBAoAAAAAAIdO4kAAAAAAAAAAAAAAAAAEAAAAZHJzL1BLAwQUAAAACACHTuJAY/6zlbsAAADa&#10;AAAADwAAAGRycy9kb3ducmV2LnhtbEVPTWvCQBC9F/wPyxR6q5soiERXaQVrL0pri9DbkJ1mQ7Mz&#10;IbtN1F/vHgo9Pt73cn32jeqpC7WwgXycgSIuxdZcGfj82D7OQYWIbLERJgMXCrBeje6WWFgZ+J36&#10;Y6xUCuFQoAEXY1toHUpHHsNYWuLEfUvnMSbYVdp2OKRw3+hJls20x5pTg8OWNo7Kn+OvN7Cfzq/5&#10;4Xk3PLmX+qvt30ROuRjzcJ9nC1CRzvFf/Od+tQbS1nQl3QC9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zlbsAAADa&#10;AAAADwAAAAAAAAABACAAAAAiAAAAZHJzL2Rvd25yZXYueG1sUEsBAhQAFAAAAAgAh07iQDMvBZ47&#10;AAAAOQAAABAAAAAAAAAAAQAgAAAACgEAAGRycy9zaGFwZXhtbC54bWxQSwUGAAAAAAYABgBbAQAA&#10;tAM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5"/>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 w:val="32"/>
          <w:szCs w:val="32"/>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 w:val="32"/>
          <w:szCs w:val="32"/>
          <w:highlight w:val="none"/>
        </w:rPr>
        <w:t>F</w:t>
      </w:r>
      <w:r>
        <w:rPr>
          <w:rFonts w:hint="eastAsia" w:ascii="宋体" w:hAnsi="宋体" w:eastAsia="宋体" w:cs="宋体"/>
          <w:color w:val="auto"/>
          <w:spacing w:val="-7"/>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39"/>
          <w:position w:val="15"/>
          <w:szCs w:val="24"/>
          <w:highlight w:val="none"/>
        </w:rPr>
        <w:t>F</w:t>
      </w:r>
      <w:r>
        <w:rPr>
          <w:rFonts w:hint="eastAsia" w:ascii="宋体" w:hAnsi="宋体" w:eastAsia="宋体" w:cs="宋体"/>
          <w:color w:val="auto"/>
          <w:position w:val="9"/>
          <w:sz w:val="14"/>
          <w:szCs w:val="14"/>
          <w:highlight w:val="none"/>
        </w:rPr>
        <w:t>1</w:t>
      </w:r>
      <w:r>
        <w:rPr>
          <w:rFonts w:hint="eastAsia" w:ascii="宋体" w:hAnsi="宋体" w:eastAsia="宋体" w:cs="宋体"/>
          <w:color w:val="auto"/>
          <w:spacing w:val="1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761074CB">
      <w:pPr>
        <w:pStyle w:val="11"/>
        <w:tabs>
          <w:tab w:val="left" w:pos="2815"/>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78720" behindDoc="0" locked="0" layoutInCell="1" allowOverlap="1">
                <wp:simplePos x="0" y="0"/>
                <wp:positionH relativeFrom="page">
                  <wp:posOffset>3239135</wp:posOffset>
                </wp:positionH>
                <wp:positionV relativeFrom="paragraph">
                  <wp:posOffset>29845</wp:posOffset>
                </wp:positionV>
                <wp:extent cx="288290" cy="25527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288290" cy="255270"/>
                        </a:xfrm>
                        <a:prstGeom prst="rect">
                          <a:avLst/>
                        </a:prstGeom>
                        <a:noFill/>
                        <a:ln>
                          <a:noFill/>
                        </a:ln>
                        <a:effectLst/>
                      </wps:spPr>
                      <wps:txbx>
                        <w:txbxContent>
                          <w:p w14:paraId="65A89792">
                            <w:r>
                              <w:rPr>
                                <w:rFonts w:ascii="Times New Roman" w:eastAsia="Times New Roman"/>
                                <w:spacing w:val="-39"/>
                                <w:position w:val="15"/>
                                <w:szCs w:val="24"/>
                              </w:rPr>
                              <w:t>F</w:t>
                            </w:r>
                            <w:r>
                              <w:rPr>
                                <w:rFonts w:ascii="Times New Roman" w:eastAsia="Times New Roman"/>
                                <w:position w:val="9"/>
                                <w:sz w:val="14"/>
                                <w:szCs w:val="14"/>
                              </w:rPr>
                              <w:t>1</w:t>
                            </w:r>
                          </w:p>
                          <w:p w14:paraId="1977BB49"/>
                        </w:txbxContent>
                      </wps:txbx>
                      <wps:bodyPr wrap="square" lIns="0" tIns="0" rIns="0" bIns="0" upright="1"/>
                    </wps:wsp>
                  </a:graphicData>
                </a:graphic>
              </wp:anchor>
            </w:drawing>
          </mc:Choice>
          <mc:Fallback>
            <w:pict>
              <v:shape id="_x0000_s1026" o:spid="_x0000_s1026" o:spt="202" type="#_x0000_t202" style="position:absolute;left:0pt;margin-left:255.05pt;margin-top:2.35pt;height:20.1pt;width:22.7pt;mso-position-horizontal-relative:page;z-index:251678720;mso-width-relative:page;mso-height-relative:page;" filled="f" stroked="f" coordsize="21600,21600" o:gfxdata="UEsDBAoAAAAAAIdO4kAAAAAAAAAAAAAAAAAEAAAAZHJzL1BLAwQUAAAACACHTuJAc2f4rNYAAAAI&#10;AQAADwAAAGRycy9kb3ducmV2LnhtbE2PzU7DMBCE70i8g7VI3Kgd1BaaxqkQghMSIg2HHp14m1iN&#10;1yF2f3h7lhPsbTSj2W+KzcUP4oRTdIE0ZDMFAqkN1lGn4bN+vXsEEZMha4ZAqOEbI2zK66vC5Dac&#10;qcLTNnWCSyjmRkOf0phLGdsevYmzMCKxtw+TN4nl1Ek7mTOX+0HeK7WU3jjiD70Z8bnH9rA9eg1P&#10;O6pe3Nd781HtK1fXK0Vvy4PWtzeZWoNIeEl/YfjFZ3QomakJR7JRDBoWmco4qmH+AIL9BR+IhvV8&#10;BbIs5P8B5Q9QSwMEFAAAAAgAh07iQAeSs0vJAQAAjwMAAA4AAABkcnMvZTJvRG9jLnhtbK1TzY7T&#10;MBC+I/EOlu803UjLlqjpSqhahIQAaeEBXGfSWPIfY7dJXwDegBMX7jxXn4Oxk5RlueyBizOeGX8z&#10;3zeT9e1gNDsCBuVsza8WS87AStcou6/55093L1achShsI7SzUPMTBH67ef5s3fsKStc53QAyArGh&#10;6n3Nuxh9VRRBdmBEWDgPloKtQyMiXXFfNCh6Qje6KJfLl0XvsPHoJIRA3u0Y5BMiPgXQta2SsHXy&#10;YMDGERVBi0iUQqd84JvcbduCjB/aNkBkuubENOaTipC9S2exWYtqj8J3Sk4tiKe08IiTEcpS0QvU&#10;VkTBDqj+gTJKoguujQvpTDESyYoQi6vlI23uO+EhcyGpg7+IHv4frHx//IhMNTUvbzizwtDEz9+/&#10;nX/8Ov/8yshHAvU+VJR37ykzDq/dQGsz+wM5E++hRZO+xIhRnOQ9XeSFITJJznK1Kl9RRFKovL4u&#10;b7L8xZ/HHkN8A86wZNQcaXpZVHF8FyI1QqlzSqpl3Z3SOk9Q278clDh6IK/A9DrxGPtNVhx2w0Ru&#10;55oTcetpDWoevhwEAmf6rSWd087MBs7GbjYOHtW+o1azHkWCpTnlRqedSovw8E72w/9o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Z/is1gAAAAgBAAAPAAAAAAAAAAEAIAAAACIAAABkcnMvZG93&#10;bnJldi54bWxQSwECFAAUAAAACACHTuJAB5KzS8kBAACPAwAADgAAAAAAAAABACAAAAAlAQAAZHJz&#10;L2Uyb0RvYy54bWxQSwUGAAAAAAYABgBZAQAAYAUAAAAA&#10;">
                <v:fill on="f" focussize="0,0"/>
                <v:stroke on="f"/>
                <v:imagedata o:title=""/>
                <o:lock v:ext="edit" aspectratio="f"/>
                <v:textbox inset="0mm,0mm,0mm,0mm">
                  <w:txbxContent>
                    <w:p w14:paraId="65A89792">
                      <w:r>
                        <w:rPr>
                          <w:rFonts w:ascii="Times New Roman" w:eastAsia="Times New Roman"/>
                          <w:spacing w:val="-39"/>
                          <w:position w:val="15"/>
                          <w:szCs w:val="24"/>
                        </w:rPr>
                        <w:t>F</w:t>
                      </w:r>
                      <w:r>
                        <w:rPr>
                          <w:rFonts w:ascii="Times New Roman" w:eastAsia="Times New Roman"/>
                          <w:position w:val="9"/>
                          <w:sz w:val="14"/>
                          <w:szCs w:val="14"/>
                        </w:rPr>
                        <w:t>1</w:t>
                      </w:r>
                    </w:p>
                    <w:p w14:paraId="1977BB49"/>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 xml:space="preserve">  1</w:t>
      </w:r>
    </w:p>
    <w:p w14:paraId="74E4985A">
      <w:pPr>
        <w:pStyle w:val="11"/>
        <w:spacing w:before="26"/>
        <w:ind w:left="3441" w:right="4885"/>
        <w:jc w:val="center"/>
        <w:rPr>
          <w:rFonts w:hint="eastAsia" w:ascii="宋体" w:hAnsi="宋体" w:eastAsia="宋体" w:cs="宋体"/>
          <w:color w:val="auto"/>
          <w:sz w:val="20"/>
          <w:highlight w:val="none"/>
        </w:rPr>
      </w:pPr>
    </w:p>
    <w:p w14:paraId="69C30807">
      <w:pPr>
        <w:spacing w:before="3" w:line="170" w:lineRule="exact"/>
        <w:rPr>
          <w:rFonts w:hint="eastAsia" w:ascii="宋体" w:hAnsi="宋体" w:eastAsia="宋体" w:cs="宋体"/>
          <w:color w:val="auto"/>
          <w:sz w:val="17"/>
          <w:szCs w:val="17"/>
          <w:highlight w:val="none"/>
        </w:rPr>
      </w:pPr>
    </w:p>
    <w:p w14:paraId="269888D8">
      <w:pPr>
        <w:spacing w:line="404"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79744"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5" name="组合 45"/>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28" name="任意多边形 49"/>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79744;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7jrm3ngIAANcFAAAOAAAAZHJzL2Uyb0RvYy54bWyl&#10;VM1uEzEQviPxDpbvdJM0De0qmx5I2wuCSi0P4Hq9u5b8h+1kk3sP3ODMEfUlUARPQ4HHYGxvfkhB&#10;qiCHzXj+/M034xmfLqRAc2Yd16rA/YMeRkxRXXJVF/jN9fmzY4ycJ6okQitW4CVz+HTy9Mm4NTkb&#10;6EaLklkESZTLW1PgxnuTZ5mjDZPEHWjDFBgrbSXxcLR1VlrSQnYpskGvN8pabUtjNWXOgXaajLjL&#10;aB+TUFcVp2yq6Uwy5VNWywTxUJJruHF4EtFWFaP+dVU55pEoMFTq4xcuAfkmfLPJmOS1JabhtINA&#10;HgNhryZJuIJLN6mmxBM0s/xBKsmp1U5X/oBqmaVCIiNQRb+3x82F1TMTa6nztjYb0qFRe6z/c1r6&#10;an5pES8LPDzCSBEJHf+xur3/8A6BAthpTZ2D04U1V+bSdoo6nULBi8rK8A+loEXkdbnhlS08oqAc&#10;9g6PR8A4BVN/8LxjnTbQmhAzPBn1MQLb4ckoNYQ2Z13o6HCU4gbBkm3vY7G5L50P6gByg6k1MJhu&#10;y5b7P7auGmJYbIILRHRsDeCVJLa+rVbfb9/f3338+fXz/ZdPaHiSaIveG85c7oC+PxD2sPg1a38t&#10;nc6cv2A60k7miQKYvHItkWYt0YVai4b4oA4IgojaAocLwlnqObvW0eL3egiEb61C7XpFeOteg1+y&#10;ghDSx1ZtrgTlLmalz7kQ0LcQlIAchekgsE0qeMUgSgMT6VQd8TkteBlCQoSz9c0LYdGchBcdf91k&#10;/OZmrPNT4prkF01ptBpGyjNVIr80MOoKVhwOECQrMRIMNmKQIjZPuHiMZ6w9QNsbyXXLwzze6HIJ&#10;k9PCooG63s6IhWtnxvK6gZXUjxV0c9uNM7z3SGK3m8JC2T1Hr+0+nv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SMOuYdoAAAAJAQAADwAAAAAAAAABACAAAAAiAAAAZHJzL2Rvd25yZXYueG1sUEsB&#10;AhQAFAAAAAgAh07iQPuOubeeAgAA1wUAAA4AAAAAAAAAAQAgAAAAKQEAAGRycy9lMm9Eb2MueG1s&#10;UEsFBgAAAAAGAAYAWQEAADkGAAAAAA==&#10;">
                <o:lock v:ext="edit" aspectratio="f"/>
                <v:shape id="任意多边形 49" o:spid="_x0000_s1026" o:spt="100" style="position:absolute;left:4961;top:396;height:2;width:636;" filled="f" stroked="t" coordsize="636,1" o:gfxdata="UEsDBAoAAAAAAIdO4kAAAAAAAAAAAAAAAAAEAAAAZHJzL1BLAwQUAAAACACHTuJATtJHBrkAAADb&#10;AAAADwAAAGRycy9kb3ducmV2LnhtbEVPy4rCMBTdD/gP4QruxlQXItXYhaCO4mKsfsClubalzU1N&#10;MvXx9ZOF4PJw3svsYVrRk/O1ZQWTcQKCuLC65lLB5bz5noPwAVlja5kUPMlDthp8LTHV9s4n6vNQ&#10;ihjCPkUFVQhdKqUvKjLox7YjjtzVOoMhQldK7fAew00rp0kykwZrjg0VdrSuqGjyP6Ngi22z79e/&#10;Pb32x13o8pk7vG5KjYaTZAEi0CN8xG/3j1YwjWPjl/g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7SRwa5AAAA2wAA&#10;AA8AAAAAAAAAAQAgAAAAIgAAAGRycy9kb3ducmV2LnhtbFBLAQIUABQAAAAIAIdO4kAzLwWeOwAA&#10;ADkAAAAQAAAAAAAAAAEAIAAAAAgBAABkcnMvc2hhcGV4bWwueG1sUEsFBgAAAAAGAAYAWwEAALID&#10;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23C51162">
      <w:pPr>
        <w:pStyle w:val="11"/>
        <w:tabs>
          <w:tab w:val="left" w:pos="2884"/>
        </w:tabs>
        <w:spacing w:line="142" w:lineRule="exact"/>
        <w:ind w:firstLine="2520" w:firstLineChars="1800"/>
        <w:jc w:val="left"/>
        <w:rPr>
          <w:rFonts w:hint="eastAsia" w:ascii="宋体" w:hAnsi="宋体" w:eastAsia="宋体" w:cs="宋体"/>
          <w:color w:val="auto"/>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0768" behindDoc="0" locked="0" layoutInCell="1" allowOverlap="1">
                <wp:simplePos x="0" y="0"/>
                <wp:positionH relativeFrom="page">
                  <wp:posOffset>3289300</wp:posOffset>
                </wp:positionH>
                <wp:positionV relativeFrom="paragraph">
                  <wp:posOffset>29845</wp:posOffset>
                </wp:positionV>
                <wp:extent cx="220980" cy="29337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220980" cy="293370"/>
                        </a:xfrm>
                        <a:prstGeom prst="rect">
                          <a:avLst/>
                        </a:prstGeom>
                        <a:noFill/>
                        <a:ln>
                          <a:noFill/>
                        </a:ln>
                        <a:effectLst/>
                      </wps:spPr>
                      <wps:txbx>
                        <w:txbxContent>
                          <w:p w14:paraId="013FCA09">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23.1pt;width:17.4pt;mso-position-horizontal-relative:page;z-index:251680768;mso-width-relative:page;mso-height-relative:page;" filled="f" stroked="f" coordsize="21600,21600" o:gfxdata="UEsDBAoAAAAAAIdO4kAAAAAAAAAAAAAAAAAEAAAAZHJzL1BLAwQUAAAACACHTuJAw2mqedgAAAAI&#10;AQAADwAAAGRycy9kb3ducmV2LnhtbE2PTU/DMAyG70j7D5EncWNJJzq20nRCCE5IiK4cOKaN11Zr&#10;nNJkH/x7zIndbL3W6+fJtxc3iBNOofekIVkoEEiNtz21Gj6r17s1iBANWTN4Qg0/GGBbzG5yk1l/&#10;phJPu9gKLqGQGQ1djGMmZWg6dCYs/IjE2d5PzkRep1bayZy53A1yqdRKOtMTf+jMiM8dNofd0Wl4&#10;+qLypf9+rz/KfdlX1UbR2+qg9e08UY8gIl7i/zH84TM6FMxU+yPZIAYNabJml6jh/gEE52m6ZJWa&#10;B7UBWeTyWqD4BVBLAwQUAAAACACHTuJALOFwXskBAACPAwAADgAAAGRycy9lMm9Eb2MueG1srVNL&#10;btswEN0XyB0I7mspMtAmguUAhZGgQNEWSHsAmhpZBPgrh7bkC7Q36Kqb7nsun6MjSnLz2WTRDTWc&#10;GT6+9zha3fRGswMEVM5W/HKRcwZWulrZXcW/frl9fcUZRmFroZ2Fih8B+c364tWq8yUUrnW6hsAI&#10;xGLZ+Yq3Mfoyy1C2YAQunAdLxcYFIyJtwy6rg+gI3eisyPM3WedC7YOTgEjZzVjkE2J4CaBrGiVh&#10;4+TegI0jagAtIknCVnnk68S2aUDGT02DEJmuOCmNaaVLKN4Oa7ZeiXIXhG+VnCiIl1B4oskIZenS&#10;M9RGRMH2QT2DMkoGh66JC+lMNgpJjpCKy/yJN/et8JC0kNXoz6bj/4OVHw+fA1N1xZdkiRWGXvz0&#10;88fp15/T7++McmRQ57GkvntPnbF/53oamzmPlBx0900ww5cUMaoT1vFsL/SRSUoWRX59RRVJpeJ6&#10;uXyb0LN/h33AeAfOsCGoeKDXS6aKwweMRIRa55bhLutuldbpBbV9lKDGMQNpBKbTg46R7xDFfttP&#10;4rauPpK2jsag4vhtLwJwpt9b8pnoxjkIc7Cdg70PatcS1eRHNsDSOyWi00wNg/BwT/HD/2j9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NpqnnYAAAACAEAAA8AAAAAAAAAAQAgAAAAIgAAAGRycy9k&#10;b3ducmV2LnhtbFBLAQIUABQAAAAIAIdO4kAs4XBeyQEAAI8DAAAOAAAAAAAAAAEAIAAAACcBAABk&#10;cnMvZTJvRG9jLnhtbFBLBQYAAAAABgAGAFkBAABiBQAAAAA=&#10;">
                <v:fill on="f" focussize="0,0"/>
                <v:stroke on="f"/>
                <v:imagedata o:title=""/>
                <o:lock v:ext="edit" aspectratio="f"/>
                <v:textbox inset="0mm,0mm,0mm,0mm">
                  <w:txbxContent>
                    <w:p w14:paraId="013FCA09">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1    0</w:t>
      </w:r>
    </w:p>
    <w:p w14:paraId="0C5B91B8">
      <w:pPr>
        <w:spacing w:line="200" w:lineRule="exact"/>
        <w:rPr>
          <w:rFonts w:hint="eastAsia" w:ascii="宋体" w:hAnsi="宋体" w:eastAsia="宋体" w:cs="宋体"/>
          <w:color w:val="auto"/>
          <w:sz w:val="20"/>
          <w:highlight w:val="none"/>
        </w:rPr>
      </w:pPr>
    </w:p>
    <w:p w14:paraId="5E5E77F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c</w:t>
      </w:r>
      <w:r>
        <w:rPr>
          <w:rFonts w:hint="eastAsia" w:ascii="宋体" w:hAnsi="宋体" w:eastAsia="宋体" w:cs="宋体"/>
          <w:snapToGrid w:val="0"/>
          <w:color w:val="auto"/>
          <w:kern w:val="0"/>
          <w:szCs w:val="24"/>
          <w:highlight w:val="none"/>
        </w:rPr>
        <w:t>．如果中标单价等于基准单价，该施工机具台班的结算单价调整公式为：</w:t>
      </w:r>
    </w:p>
    <w:p w14:paraId="4D24D13B">
      <w:pPr>
        <w:spacing w:line="404" w:lineRule="exact"/>
        <w:ind w:left="120" w:firstLine="240" w:firstLineChars="100"/>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5888" behindDoc="0" locked="0" layoutInCell="1" allowOverlap="1">
                <wp:simplePos x="0" y="0"/>
                <wp:positionH relativeFrom="page">
                  <wp:posOffset>2848610</wp:posOffset>
                </wp:positionH>
                <wp:positionV relativeFrom="paragraph">
                  <wp:posOffset>217805</wp:posOffset>
                </wp:positionV>
                <wp:extent cx="388620" cy="1270"/>
                <wp:effectExtent l="0" t="0" r="0" b="0"/>
                <wp:wrapNone/>
                <wp:docPr id="11" name="组合 11"/>
                <wp:cNvGraphicFramePr/>
                <a:graphic xmlns:a="http://schemas.openxmlformats.org/drawingml/2006/main">
                  <a:graphicData uri="http://schemas.microsoft.com/office/word/2010/wordprocessingGroup">
                    <wpg:wgp>
                      <wpg:cNvGrpSpPr/>
                      <wpg:grpSpPr>
                        <a:xfrm>
                          <a:off x="0" y="0"/>
                          <a:ext cx="388620" cy="1270"/>
                          <a:chOff x="4937" y="395"/>
                          <a:chExt cx="612" cy="2"/>
                        </a:xfrm>
                        <a:effectLst/>
                      </wpg:grpSpPr>
                      <wps:wsp>
                        <wps:cNvPr id="14" name="任意多边形 45"/>
                        <wps:cNvSpPr/>
                        <wps:spPr>
                          <a:xfrm>
                            <a:off x="4937" y="395"/>
                            <a:ext cx="612" cy="2"/>
                          </a:xfrm>
                          <a:custGeom>
                            <a:avLst/>
                            <a:gdLst/>
                            <a:ahLst/>
                            <a:cxnLst/>
                            <a:pathLst>
                              <a:path w="612">
                                <a:moveTo>
                                  <a:pt x="0" y="0"/>
                                </a:moveTo>
                                <a:lnTo>
                                  <a:pt x="612"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24.3pt;margin-top:17.15pt;height:0.1pt;width:30.6pt;mso-position-horizontal-relative:page;z-index:251685888;mso-width-relative:page;mso-height-relative:page;" coordorigin="4937,395" coordsize="612,2" o:gfxdata="UEsDBAoAAAAAAIdO4kAAAAAAAAAAAAAAAAAEAAAAZHJzL1BLAwQUAAAACACHTuJA6NUo2tkAAAAJ&#10;AQAADwAAAGRycy9kb3ducmV2LnhtbE2PwUrDQBCG74LvsIzgze7GJKWN2RQp6qkItoL0tk2mSWh2&#10;NmS3Sfv2Tk96nJmPf74/X11sJ0YcfOtIQzRTIJBKV7VUa/jevT8tQPhgqDKdI9RwRQ+r4v4uN1nl&#10;JvrCcRtqwSHkM6OhCaHPpPRlg9b4meuR+HZ0gzWBx6GW1WAmDredfFZqLq1piT80psd1g+Vpe7Ya&#10;PiYzvcbR27g5HdfX/S79/NlEqPXjQ6ReQAS8hD8YbvqsDgU7HdyZKi86DUmymDOqIU5iEAykasld&#10;DrdFCrLI5f8GxS9QSwMEFAAAAAgAh07iQGiPK3mfAgAA1wUAAA4AAABkcnMvZTJvRG9jLnhtbKVU&#10;zW4TMRC+I/EOlu9089PfVZMeSNsLgkotD+B6vbuW/IftZJN7D9zgzBHxEqiCp6HAYzDj3U1KClIF&#10;OWzGnvH4m28+z/HJUiuyED5IayZ0uDOgRBhuC2mqCX19dfbskJIQmSmYskZM6EoEejJ9+uS4cbkY&#10;2dqqQngCSUzIGzehdYwuz7LAa6FZ2LFOGHCW1msWYemrrPCsgexaZaPBYD9rrC+ct1yEALuz1km7&#10;jP4xCW1ZSi5mls+1MLHN6oViEUoKtXSBThPashQ8virLICJREwqVxvSFS8C+xm82PWZ55ZmrJe8g&#10;sMdA2KpJM2ng0nWqGYuMzL18kEpL7m2wZdzhVmdtIYkRqGI42OLm3Nu5S7VUeVO5NenQqC3W/zkt&#10;f7m48EQWoIQhJYZp6PiP25u7928JbAA7jatyCDr37tJd+G6jaldY8LL0Gv+hFLJMvK7WvIplJBw2&#10;x4eH+yNgnINrODroWOc1tAbP7B6NDygB3/hor20Ir0+7o/vDUXtuhJ5sc59IzX0RIm4jyDWmxoEw&#10;w4at8H9sXdbMidSEgET0bO32bH27vf1+8+7u04efXz/ffflIdlMNCAKi15yFPAB9fyDsYfE9a38t&#10;nc9DPBc20c4WLQWgvKK3WN1bfGl607GI24gATdJMKF6Aa20X4somT9zqIRC+8SpzPyrB63sNca0X&#10;DEyfWrW+EjbvYzb2TCoFfcNDCch4D9XBYJqU8IrB1A4UGUyV8AWrZIFH8ETw1fVz5cmC4YtOv04Z&#10;v4U5H+KMhbqNS65WWrVgxakpSFw5kLqBEUcRghYFJUrAREQrYYtMqsdEptoR2pYk+5ajFK5tsQLl&#10;NDBooK43c+bh2rnzsqphJKWHBiJOuu3kDO89kdjNJhwo99cpajOPp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6NUo2tkAAAAJAQAADwAAAAAAAAABACAAAAAiAAAAZHJzL2Rvd25yZXYueG1sUEsB&#10;AhQAFAAAAAgAh07iQGiPK3mfAgAA1wUAAA4AAAAAAAAAAQAgAAAAKAEAAGRycy9lMm9Eb2MueG1s&#10;UEsFBgAAAAAGAAYAWQEAADkGAAAAAA==&#10;">
                <o:lock v:ext="edit" aspectratio="f"/>
                <v:shape id="任意多边形 45" o:spid="_x0000_s1026" o:spt="100" style="position:absolute;left:4937;top:395;height:2;width:612;" filled="f" stroked="t" coordsize="612,1" o:gfxdata="UEsDBAoAAAAAAIdO4kAAAAAAAAAAAAAAAAAEAAAAZHJzL1BLAwQUAAAACACHTuJAOCqG0r0AAADb&#10;AAAADwAAAGRycy9kb3ducmV2LnhtbEVPS0vDQBC+F/oflil4azepIiV2W9qCj0tFqwjehuyYDWZn&#10;QnZN2v76riB4m4/vOcv10Teqpy7UwgbyWQaKuBRbc2Xg/e1+ugAVIrLFRpgMnCjAejUeLbGwMvAr&#10;9YdYqRTCoUADLsa20DqUjjyGmbTEifuSzmNMsKu07XBI4b7R8yy71R5rTg0OW9o5Kr8PP97A/npx&#10;zp+3j8PGPdSfbf8i8pGLMVeTPLsDFekY/8V/7ieb5t/A7y/pAL2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KobSvQAA&#10;ANsAAAAPAAAAAAAAAAEAIAAAACIAAABkcnMvZG93bnJldi54bWxQSwECFAAUAAAACACHTuJAMy8F&#10;njsAAAA5AAAAEAAAAAAAAAABACAAAAAMAQAAZHJzL3NoYXBleG1sLnhtbFBLBQYAAAAABgAGAFsB&#10;AAC2AwAAAAA=&#10;" path="m0,0l612,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涨</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4"/>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5"/>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9DB5E1F">
      <w:pPr>
        <w:pStyle w:val="11"/>
        <w:tabs>
          <w:tab w:val="left" w:pos="2817"/>
        </w:tabs>
        <w:spacing w:line="142" w:lineRule="exact"/>
        <w:ind w:left="2424"/>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1792" behindDoc="0" locked="0" layoutInCell="1" allowOverlap="1">
                <wp:simplePos x="0" y="0"/>
                <wp:positionH relativeFrom="page">
                  <wp:posOffset>3246755</wp:posOffset>
                </wp:positionH>
                <wp:positionV relativeFrom="paragraph">
                  <wp:posOffset>29845</wp:posOffset>
                </wp:positionV>
                <wp:extent cx="163195" cy="20828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63195" cy="208280"/>
                        </a:xfrm>
                        <a:prstGeom prst="rect">
                          <a:avLst/>
                        </a:prstGeom>
                        <a:noFill/>
                        <a:ln>
                          <a:noFill/>
                        </a:ln>
                        <a:effectLst/>
                      </wps:spPr>
                      <wps:txbx>
                        <w:txbxContent>
                          <w:p w14:paraId="47599A6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wps:txbx>
                      <wps:bodyPr wrap="square" lIns="0" tIns="0" rIns="0" bIns="0" upright="1"/>
                    </wps:wsp>
                  </a:graphicData>
                </a:graphic>
              </wp:anchor>
            </w:drawing>
          </mc:Choice>
          <mc:Fallback>
            <w:pict>
              <v:shape id="_x0000_s1026" o:spid="_x0000_s1026" o:spt="202" type="#_x0000_t202" style="position:absolute;left:0pt;margin-left:255.65pt;margin-top:2.35pt;height:16.4pt;width:12.85pt;mso-position-horizontal-relative:page;z-index:251681792;mso-width-relative:page;mso-height-relative:page;" filled="f" stroked="f" coordsize="21600,21600" o:gfxdata="UEsDBAoAAAAAAIdO4kAAAAAAAAAAAAAAAAAEAAAAZHJzL1BLAwQUAAAACACHTuJAtTO3s9gAAAAI&#10;AQAADwAAAGRycy9kb3ducmV2LnhtbE2PzU7DMBCE70i8g7VI3KgdQpo2ZFMhBCckRBoOHJ3YTazG&#10;6xC7P7w95lSOoxnNfFNuznZkRz174wghWQhgmjqnDPUIn83r3QqYD5KUHB1phB/tYVNdX5WyUO5E&#10;tT5uQ89iCflCIgwhTAXnvhu0lX7hJk3R27nZyhDl3HM1y1MstyO/F2LJrTQUFwY56edBd/vtwSI8&#10;fVH9Yr7f2496V5umWQt6W+4Rb28S8Qgs6HO4hOEPP6JDFZladyDl2YiQJUkaowgPObDoZ2kev7UI&#10;aZ4Br0r+/0D1C1BLAwQUAAAACACHTuJAzkQvs8oBAACPAwAADgAAAGRycy9lMm9Eb2MueG1srVPN&#10;jtMwEL4j8Q6W7zRtV6xK1HSlVbUICQHSwgO4zqSx5D/GbpO+ALwBJy7cea4+B2MnKcty2cNenPH8&#10;fJ7vm8n6pjeaHQGDcrbii9mcM7DS1cruK/7l892rFWchClsL7SxU/ASB32xevlh3voSla52uARmB&#10;2FB2vuJtjL4siiBbMCLMnAdLwcahEZGuuC9qFB2hG10s5/PronNYe3QSQiDvdgjyERGfAuiaRknY&#10;OnkwYOOAiqBFJEqhVT7wTe62aUDGj00TIDJdcWIa80mPkL1LZ7FZi3KPwrdKji2Ip7TwiJMRytKj&#10;F6itiIIdUP0HZZREF1wTZ9KZYiCSFSEWi/kjbe5b4SFzIamDv4geng9Wfjh+Qqbqil8tOLPC0MTP&#10;P76ff/4+//rGyEcCdT6UlHfvKTP2t66ntZn8gZyJd9+gSV9ixChO8p4u8kIfmUxF11eLN685kxRa&#10;zlfLVZa/+FvsMcS34AxLRsWRppdFFcf3IVIjlDqlpLesu1Na5wlq+4+DEgcP5BUYqxOPod9kxX7X&#10;j+R2rj4Rt47WoOLh60EgcKbfWdI57cxk4GTsJuPgUe1bajXrUSRYmlNudNyptAgP72Q//I8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1M7ez2AAAAAgBAAAPAAAAAAAAAAEAIAAAACIAAABkcnMv&#10;ZG93bnJldi54bWxQSwECFAAUAAAACACHTuJAzkQvs8oBAACPAwAADgAAAAAAAAABACAAAAAnAQAA&#10;ZHJzL2Uyb0RvYy54bWxQSwUGAAAAAAYABgBZAQAAYwUAAAAA&#10;">
                <v:fill on="f" focussize="0,0"/>
                <v:stroke on="f"/>
                <v:imagedata o:title=""/>
                <o:lock v:ext="edit" aspectratio="f"/>
                <v:textbox inset="0mm,0mm,0mm,0mm">
                  <w:txbxContent>
                    <w:p w14:paraId="47599A6A">
                      <w:r>
                        <w:rPr>
                          <w:rFonts w:ascii="Times New Roman" w:eastAsia="Times New Roman"/>
                          <w:spacing w:val="-26"/>
                          <w:position w:val="15"/>
                          <w:szCs w:val="24"/>
                        </w:rPr>
                        <w:t>F</w:t>
                      </w:r>
                      <w:r>
                        <w:rPr>
                          <w:rFonts w:ascii="Times New Roman" w:eastAsia="Times New Roman"/>
                          <w:position w:val="9"/>
                          <w:sz w:val="14"/>
                          <w:szCs w:val="14"/>
                        </w:rPr>
                        <w:t>0</w:t>
                      </w:r>
                      <w:r>
                        <w:rPr>
                          <w:rFonts w:ascii="Times New Roman" w:eastAsia="Times New Roman"/>
                          <w:spacing w:val="20"/>
                          <w:position w:val="9"/>
                          <w:sz w:val="14"/>
                          <w:szCs w:val="14"/>
                        </w:rPr>
                        <w:t xml:space="preserve"> </w:t>
                      </w:r>
                    </w:p>
                  </w:txbxContent>
                </v:textbox>
              </v:shape>
            </w:pict>
          </mc:Fallback>
        </mc:AlternateContent>
      </w:r>
      <w:r>
        <w:rPr>
          <w:rFonts w:hint="eastAsia" w:ascii="宋体" w:hAnsi="宋体" w:eastAsia="宋体" w:cs="宋体"/>
          <w:color w:val="auto"/>
          <w:sz w:val="14"/>
          <w:szCs w:val="14"/>
          <w:highlight w:val="none"/>
        </w:rPr>
        <w:t>1</w:t>
      </w:r>
      <w:r>
        <w:rPr>
          <w:rFonts w:hint="eastAsia" w:ascii="宋体" w:hAnsi="宋体" w:eastAsia="宋体" w:cs="宋体"/>
          <w:color w:val="auto"/>
          <w:sz w:val="14"/>
          <w:szCs w:val="14"/>
          <w:highlight w:val="none"/>
        </w:rPr>
        <w:tab/>
      </w:r>
      <w:r>
        <w:rPr>
          <w:rFonts w:hint="eastAsia" w:ascii="宋体" w:hAnsi="宋体" w:eastAsia="宋体" w:cs="宋体"/>
          <w:color w:val="auto"/>
          <w:sz w:val="14"/>
          <w:szCs w:val="14"/>
          <w:highlight w:val="none"/>
        </w:rPr>
        <w:t>0</w:t>
      </w:r>
    </w:p>
    <w:p w14:paraId="4A73E462">
      <w:pPr>
        <w:pStyle w:val="11"/>
        <w:spacing w:before="26"/>
        <w:ind w:left="3454" w:right="4848"/>
        <w:jc w:val="center"/>
        <w:rPr>
          <w:rFonts w:hint="eastAsia" w:ascii="宋体" w:hAnsi="宋体" w:eastAsia="宋体" w:cs="宋体"/>
          <w:color w:val="auto"/>
          <w:sz w:val="14"/>
          <w:szCs w:val="14"/>
          <w:highlight w:val="none"/>
          <w:lang w:val="en-US" w:eastAsia="zh-CN"/>
        </w:rPr>
      </w:pPr>
      <w:r>
        <w:rPr>
          <w:rFonts w:hint="eastAsia" w:hAnsi="宋体" w:cs="宋体"/>
          <w:color w:val="auto"/>
          <w:sz w:val="14"/>
          <w:szCs w:val="14"/>
          <w:highlight w:val="none"/>
          <w:lang w:val="en-US" w:eastAsia="zh-CN"/>
        </w:rPr>
        <w:t>x</w:t>
      </w:r>
    </w:p>
    <w:p w14:paraId="3DE7F123">
      <w:pPr>
        <w:spacing w:before="4" w:line="170" w:lineRule="exact"/>
        <w:rPr>
          <w:rFonts w:hint="eastAsia" w:ascii="宋体" w:hAnsi="宋体" w:eastAsia="宋体" w:cs="宋体"/>
          <w:color w:val="auto"/>
          <w:sz w:val="17"/>
          <w:szCs w:val="17"/>
          <w:highlight w:val="none"/>
        </w:rPr>
      </w:pPr>
    </w:p>
    <w:p w14:paraId="7A2F0507">
      <w:pPr>
        <w:spacing w:line="405" w:lineRule="exact"/>
        <w:ind w:left="328"/>
        <w:jc w:val="left"/>
        <w:rPr>
          <w:rFonts w:hint="eastAsia" w:ascii="宋体" w:hAnsi="宋体" w:eastAsia="宋体" w:cs="宋体"/>
          <w:color w:val="auto"/>
          <w:szCs w:val="24"/>
          <w:highlight w:val="none"/>
        </w:rPr>
      </w:pPr>
      <w:r>
        <w:rPr>
          <w:rFonts w:hint="eastAsia" w:ascii="宋体" w:hAnsi="宋体" w:eastAsia="宋体" w:cs="宋体"/>
          <w:color w:val="auto"/>
          <w:highlight w:val="none"/>
        </w:rPr>
        <mc:AlternateContent>
          <mc:Choice Requires="wpg">
            <w:drawing>
              <wp:anchor distT="0" distB="0" distL="114300" distR="114300" simplePos="0" relativeHeight="251682816" behindDoc="0" locked="0" layoutInCell="1" allowOverlap="1">
                <wp:simplePos x="0" y="0"/>
                <wp:positionH relativeFrom="page">
                  <wp:posOffset>3150235</wp:posOffset>
                </wp:positionH>
                <wp:positionV relativeFrom="paragraph">
                  <wp:posOffset>250825</wp:posOffset>
                </wp:positionV>
                <wp:extent cx="403860" cy="1270"/>
                <wp:effectExtent l="0" t="0" r="0" b="0"/>
                <wp:wrapNone/>
                <wp:docPr id="46" name="组合 46"/>
                <wp:cNvGraphicFramePr/>
                <a:graphic xmlns:a="http://schemas.openxmlformats.org/drawingml/2006/main">
                  <a:graphicData uri="http://schemas.microsoft.com/office/word/2010/wordprocessingGroup">
                    <wpg:wgp>
                      <wpg:cNvGrpSpPr/>
                      <wpg:grpSpPr>
                        <a:xfrm>
                          <a:off x="0" y="0"/>
                          <a:ext cx="403860" cy="1270"/>
                          <a:chOff x="4961" y="396"/>
                          <a:chExt cx="636" cy="2"/>
                        </a:xfrm>
                        <a:effectLst/>
                      </wpg:grpSpPr>
                      <wps:wsp>
                        <wps:cNvPr id="32" name="任意多边形 53"/>
                        <wps:cNvSpPr/>
                        <wps:spPr>
                          <a:xfrm>
                            <a:off x="4961" y="396"/>
                            <a:ext cx="636" cy="2"/>
                          </a:xfrm>
                          <a:custGeom>
                            <a:avLst/>
                            <a:gdLst/>
                            <a:ahLst/>
                            <a:cxnLst/>
                            <a:pathLst>
                              <a:path w="636">
                                <a:moveTo>
                                  <a:pt x="0" y="0"/>
                                </a:moveTo>
                                <a:lnTo>
                                  <a:pt x="636" y="0"/>
                                </a:lnTo>
                              </a:path>
                            </a:pathLst>
                          </a:custGeom>
                          <a:noFill/>
                          <a:ln w="6350" cap="flat" cmpd="sng">
                            <a:solidFill>
                              <a:srgbClr val="000000"/>
                            </a:solidFill>
                            <a:prstDash val="solid"/>
                            <a:headEnd type="none" w="med" len="med"/>
                            <a:tailEnd type="none" w="med" len="med"/>
                          </a:ln>
                          <a:effectLst/>
                        </wps:spPr>
                        <wps:bodyPr wrap="square" upright="1"/>
                      </wps:wsp>
                    </wpg:wgp>
                  </a:graphicData>
                </a:graphic>
              </wp:anchor>
            </w:drawing>
          </mc:Choice>
          <mc:Fallback>
            <w:pict>
              <v:group id="_x0000_s1026" o:spid="_x0000_s1026" o:spt="203" style="position:absolute;left:0pt;margin-left:248.05pt;margin-top:19.75pt;height:0.1pt;width:31.8pt;mso-position-horizontal-relative:page;z-index:251682816;mso-width-relative:page;mso-height-relative:page;" coordorigin="4961,396" coordsize="636,2" o:gfxdata="UEsDBAoAAAAAAIdO4kAAAAAAAAAAAAAAAAAEAAAAZHJzL1BLAwQUAAAACACHTuJASMOuYdoAAAAJ&#10;AQAADwAAAGRycy9kb3ducmV2LnhtbE2PwU7CQBCG7ya+w2ZMvMl2xQKt3RJD1BMhEUwMt6Ed2obu&#10;bNNdWnh7l5MeZ+bLP9+fLS+mFQP1rrGsQU0iEMSFLRuuNHzvPp4WIJxHLrG1TBqu5GCZ399lmJZ2&#10;5C8atr4SIYRdihpq77tUSlfUZNBNbEccbkfbG/Rh7CtZ9jiGcNPK5yiaSYMNhw81drSqqThtz0bD&#10;54jj21S9D+vTcXXd7+LNz1qR1o8PKnoF4eni/2C46Qd1yIPTwZ65dKLV8JLMVEA1TJMYRADiOJmD&#10;ONwWc5B5Jv83yH8BUEsDBBQAAAAIAIdO4kDa1paDoAIAANcFAAAOAAAAZHJzL2Uyb0RvYy54bWyl&#10;VM1uEzEQviPxDpbvdPPThnbVTQ+k7QVBpZYHcL3eXUte29hONrn3wA3OHFFfAkXwNBR4DGa8u0lJ&#10;Qaogh814ZjzzzTfjOT5Z1ooshPPS6IwO9waUCM1NLnWZ0TdXZ88OKfGB6Zwpo0VGV8LTk+nTJ8eN&#10;TcXIVEblwhEIon3a2IxWIdg0STyvRM38nrFCg7EwrmYBjq5McscaiF6rZDQYTJLGuNw6w4X3oJ21&#10;RtpFdI8JaIpCcjEzfF4LHdqoTigWoCRfSevpNKItCsHD66LwIhCVUag0xC8kAfkav8n0mKWlY7aS&#10;vIPAHgNhp6aaSQ1JN6FmLDAyd/JBqFpyZ7wpwh43ddIWEhmBKoaDHW7OnZnbWEuZNqXdkA6N2mH9&#10;n8PyV4sLR2Se0f0JJZrV0PEf65u7D+8IKICdxpYpOJ07e2kvXKco2xMWvCxcjf9QCllGXlcbXsUy&#10;EA7K/cH4cAKMczANR8871nkFrcE7+0eTISVgGx/FlCzl1Wl3dTIGWHhvhGCSbT4Rm/vSB1QjyA2m&#10;xsJg+i1b/v/YuqyYFbEJHono2BqPera+rdffb97f3X78+fXz3ZdP5GDc0ha9N5z51AN9fyDsYfE9&#10;a38tnc99OBcm0s4WLQUweXkvsaqX+FL3omUB1YgARdJkFBPguTYLcWWiJez0EAjfWpW+7xXh9b0G&#10;v9YKAoaPrdqkBOV9zNqcSaWgb3ipBXKA08FgmxTwikGsLUyk12XE542SOV7BG96V1y+UIwuGLzr+&#10;usn4zc06H2bMV61fNKEbSyvB8lOdk7CyMOoaVhxFCLXIKVECNiJK0TMwqR7jGWvH0Dsj2bcc5/Ha&#10;5CuYnAYWDdT1ds4cpJ1bJ8sKVtIwVtDNbTfO8N4jid1uwoVy/xy9tvt4+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Iw65h2gAAAAkBAAAPAAAAAAAAAAEAIAAAACIAAABkcnMvZG93bnJldi54bWxQ&#10;SwECFAAUAAAACACHTuJA2taWg6ACAADXBQAADgAAAAAAAAABACAAAAApAQAAZHJzL2Uyb0RvYy54&#10;bWxQSwUGAAAAAAYABgBZAQAAOwYAAAAA&#10;">
                <o:lock v:ext="edit" aspectratio="f"/>
                <v:shape id="任意多边形 53" o:spid="_x0000_s1026" o:spt="100" style="position:absolute;left:4961;top:396;height:2;width:636;" filled="f" stroked="t" coordsize="636,1" o:gfxdata="UEsDBAoAAAAAAIdO4kAAAAAAAAAAAAAAAAAEAAAAZHJzL1BLAwQUAAAACACHTuJAquPmMbwAAADb&#10;AAAADwAAAGRycy9kb3ducmV2LnhtbEWP3YrCMBSE7xd8h3AE79ZUBVmq0QvBX7xwu/sAh+bYFpuT&#10;msT68/RGELwcZuYbZjq/mVq05HxlWcGgn4Agzq2uuFDw/7f8/gHhA7LG2jIpuJOH+azzNcVU2yv/&#10;UpuFQkQI+xQVlCE0qZQ+L8mg79uGOHpH6wyGKF0htcNrhJtaDpNkLA1WHBdKbGhRUn7KLkbBCuvT&#10;tl0cWnps9+vQZGO3e5yV6nUHyQREoFv4hN/tjVYwGsLrS/wB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j5jG8AAAA&#10;2wAAAA8AAAAAAAAAAQAgAAAAIgAAAGRycy9kb3ducmV2LnhtbFBLAQIUABQAAAAIAIdO4kAzLwWe&#10;OwAAADkAAAAQAAAAAAAAAAEAIAAAAAsBAABkcnMvc2hhcGV4bWwueG1sUEsFBgAAAAAGAAYAWwEA&#10;ALUDAAAAAA==&#10;" path="m0,0l636,0e">
                  <v:fill on="f" focussize="0,0"/>
                  <v:stroke weight="0.5pt" color="#000000" joinstyle="round"/>
                  <v:imagedata o:title=""/>
                  <o:lock v:ext="edit" aspectratio="f"/>
                </v:shape>
              </v:group>
            </w:pict>
          </mc:Fallback>
        </mc:AlternateContent>
      </w:r>
      <w:r>
        <w:rPr>
          <w:rFonts w:hint="eastAsia" w:ascii="宋体" w:hAnsi="宋体" w:eastAsia="宋体" w:cs="宋体"/>
          <w:color w:val="auto"/>
          <w:spacing w:val="-1"/>
          <w:sz w:val="21"/>
          <w:szCs w:val="21"/>
          <w:highlight w:val="none"/>
        </w:rPr>
        <w:t>跌</w:t>
      </w:r>
      <w:r>
        <w:rPr>
          <w:rFonts w:hint="eastAsia" w:ascii="宋体" w:hAnsi="宋体" w:eastAsia="宋体" w:cs="宋体"/>
          <w:color w:val="auto"/>
          <w:spacing w:val="2"/>
          <w:sz w:val="21"/>
          <w:szCs w:val="21"/>
          <w:highlight w:val="none"/>
        </w:rPr>
        <w:t>价</w:t>
      </w:r>
      <w:r>
        <w:rPr>
          <w:rFonts w:hint="eastAsia" w:ascii="宋体" w:hAnsi="宋体" w:eastAsia="宋体" w:cs="宋体"/>
          <w:color w:val="auto"/>
          <w:spacing w:val="-1"/>
          <w:sz w:val="21"/>
          <w:szCs w:val="21"/>
          <w:highlight w:val="none"/>
        </w:rPr>
        <w:t>时</w:t>
      </w:r>
      <w:r>
        <w:rPr>
          <w:rFonts w:hint="eastAsia" w:ascii="宋体" w:hAnsi="宋体" w:eastAsia="宋体" w:cs="宋体"/>
          <w:color w:val="auto"/>
          <w:sz w:val="21"/>
          <w:szCs w:val="21"/>
          <w:highlight w:val="none"/>
        </w:rPr>
        <w:t>，</w:t>
      </w:r>
      <w:r>
        <w:rPr>
          <w:rFonts w:hint="eastAsia" w:ascii="宋体" w:hAnsi="宋体" w:eastAsia="宋体" w:cs="宋体"/>
          <w:color w:val="auto"/>
          <w:spacing w:val="-82"/>
          <w:sz w:val="21"/>
          <w:szCs w:val="21"/>
          <w:highlight w:val="none"/>
        </w:rPr>
        <w:t xml:space="preserve"> </w:t>
      </w:r>
      <w:r>
        <w:rPr>
          <w:rFonts w:hint="eastAsia" w:ascii="宋体" w:hAnsi="宋体" w:eastAsia="宋体" w:cs="宋体"/>
          <w:color w:val="auto"/>
          <w:szCs w:val="24"/>
          <w:highlight w:val="none"/>
        </w:rPr>
        <w:t>结算单价</w:t>
      </w:r>
      <w:r>
        <w:rPr>
          <w:rFonts w:hint="eastAsia" w:ascii="宋体" w:hAnsi="宋体" w:eastAsia="宋体" w:cs="宋体"/>
          <w:color w:val="auto"/>
          <w:spacing w:val="9"/>
          <w:szCs w:val="24"/>
          <w:highlight w:val="none"/>
        </w:rPr>
        <w:t>＝</w:t>
      </w:r>
      <w:r>
        <w:rPr>
          <w:rFonts w:hint="eastAsia" w:ascii="宋体" w:hAnsi="宋体" w:eastAsia="宋体" w:cs="宋体"/>
          <w:color w:val="auto"/>
          <w:spacing w:val="7"/>
          <w:szCs w:val="24"/>
          <w:highlight w:val="none"/>
        </w:rPr>
        <w:t>F</w:t>
      </w:r>
      <w:r>
        <w:rPr>
          <w:rFonts w:hint="eastAsia" w:ascii="宋体" w:hAnsi="宋体" w:eastAsia="宋体" w:cs="宋体"/>
          <w:color w:val="auto"/>
          <w:spacing w:val="1"/>
          <w:szCs w:val="24"/>
          <w:highlight w:val="none"/>
        </w:rPr>
        <w:t>＋</w:t>
      </w:r>
      <w:r>
        <w:rPr>
          <w:rFonts w:hint="eastAsia" w:ascii="宋体" w:hAnsi="宋体" w:eastAsia="宋体" w:cs="宋体"/>
          <w:color w:val="auto"/>
          <w:szCs w:val="24"/>
          <w:highlight w:val="none"/>
        </w:rPr>
        <w:t>F</w:t>
      </w:r>
      <w:r>
        <w:rPr>
          <w:rFonts w:hint="eastAsia" w:ascii="宋体" w:hAnsi="宋体" w:eastAsia="宋体" w:cs="宋体"/>
          <w:color w:val="auto"/>
          <w:spacing w:val="16"/>
          <w:szCs w:val="24"/>
          <w:highlight w:val="none"/>
        </w:rPr>
        <w:t xml:space="preserve"> </w:t>
      </w:r>
      <w:r>
        <w:rPr>
          <w:rFonts w:hint="eastAsia" w:ascii="宋体" w:hAnsi="宋体" w:eastAsia="宋体" w:cs="宋体"/>
          <w:color w:val="auto"/>
          <w:spacing w:val="-102"/>
          <w:szCs w:val="24"/>
          <w:highlight w:val="none"/>
        </w:rPr>
        <w:t></w:t>
      </w:r>
      <w:r>
        <w:rPr>
          <w:rFonts w:hint="eastAsia" w:ascii="宋体" w:hAnsi="宋体" w:eastAsia="宋体" w:cs="宋体"/>
          <w:color w:val="auto"/>
          <w:szCs w:val="24"/>
          <w:highlight w:val="none"/>
        </w:rPr>
        <w:t xml:space="preserve">（  </w:t>
      </w:r>
      <w:r>
        <w:rPr>
          <w:rFonts w:hint="eastAsia" w:ascii="宋体" w:hAnsi="宋体" w:eastAsia="宋体" w:cs="宋体"/>
          <w:color w:val="auto"/>
          <w:spacing w:val="-100"/>
          <w:szCs w:val="24"/>
          <w:highlight w:val="none"/>
        </w:rPr>
        <w:t xml:space="preserve"> </w:t>
      </w:r>
      <w:r>
        <w:rPr>
          <w:rFonts w:hint="eastAsia" w:ascii="宋体" w:hAnsi="宋体" w:eastAsia="宋体" w:cs="宋体"/>
          <w:color w:val="auto"/>
          <w:spacing w:val="-23"/>
          <w:position w:val="15"/>
          <w:szCs w:val="24"/>
          <w:highlight w:val="none"/>
        </w:rPr>
        <w:t>F</w:t>
      </w:r>
      <w:r>
        <w:rPr>
          <w:rFonts w:hint="eastAsia" w:ascii="宋体" w:hAnsi="宋体" w:eastAsia="宋体" w:cs="宋体"/>
          <w:color w:val="auto"/>
          <w:spacing w:val="-15"/>
          <w:position w:val="9"/>
          <w:sz w:val="14"/>
          <w:szCs w:val="14"/>
          <w:highlight w:val="none"/>
        </w:rPr>
        <w:t>2</w:t>
      </w:r>
      <w:r>
        <w:rPr>
          <w:rFonts w:hint="eastAsia" w:ascii="宋体" w:hAnsi="宋体" w:eastAsia="宋体" w:cs="宋体"/>
          <w:color w:val="auto"/>
          <w:spacing w:val="1"/>
          <w:position w:val="15"/>
          <w:szCs w:val="24"/>
          <w:highlight w:val="none"/>
        </w:rPr>
        <w:t>－</w:t>
      </w:r>
      <w:r>
        <w:rPr>
          <w:rFonts w:hint="eastAsia" w:ascii="宋体" w:hAnsi="宋体" w:eastAsia="宋体" w:cs="宋体"/>
          <w:color w:val="auto"/>
          <w:spacing w:val="-26"/>
          <w:position w:val="15"/>
          <w:szCs w:val="24"/>
          <w:highlight w:val="none"/>
        </w:rPr>
        <w:t>F</w:t>
      </w:r>
      <w:r>
        <w:rPr>
          <w:rFonts w:hint="eastAsia" w:ascii="宋体" w:hAnsi="宋体" w:eastAsia="宋体" w:cs="宋体"/>
          <w:color w:val="auto"/>
          <w:position w:val="9"/>
          <w:sz w:val="14"/>
          <w:szCs w:val="14"/>
          <w:highlight w:val="none"/>
        </w:rPr>
        <w:t>0</w:t>
      </w:r>
      <w:r>
        <w:rPr>
          <w:rFonts w:hint="eastAsia" w:ascii="宋体" w:hAnsi="宋体" w:eastAsia="宋体" w:cs="宋体"/>
          <w:color w:val="auto"/>
          <w:spacing w:val="20"/>
          <w:position w:val="9"/>
          <w:sz w:val="14"/>
          <w:szCs w:val="14"/>
          <w:highlight w:val="none"/>
        </w:rPr>
        <w:t xml:space="preserve"> </w:t>
      </w:r>
      <w:r>
        <w:rPr>
          <w:rFonts w:hint="eastAsia" w:ascii="宋体" w:hAnsi="宋体" w:eastAsia="宋体" w:cs="宋体"/>
          <w:color w:val="auto"/>
          <w:spacing w:val="8"/>
          <w:szCs w:val="24"/>
          <w:highlight w:val="none"/>
        </w:rPr>
        <w:t></w:t>
      </w:r>
      <w:r>
        <w:rPr>
          <w:rFonts w:hint="eastAsia" w:hAnsi="宋体" w:cs="宋体"/>
          <w:color w:val="auto"/>
          <w:spacing w:val="8"/>
          <w:szCs w:val="24"/>
          <w:highlight w:val="none"/>
          <w:lang w:val="en-US" w:eastAsia="zh-CN"/>
        </w:rPr>
        <w:t>x</w:t>
      </w:r>
      <w:r>
        <w:rPr>
          <w:rFonts w:hint="eastAsia" w:ascii="宋体" w:hAnsi="宋体" w:eastAsia="宋体" w:cs="宋体"/>
          <w:color w:val="auto"/>
          <w:szCs w:val="24"/>
          <w:highlight w:val="none"/>
        </w:rPr>
        <w:t>10</w:t>
      </w:r>
      <w:r>
        <w:rPr>
          <w:rFonts w:hint="eastAsia" w:ascii="宋体" w:hAnsi="宋体" w:eastAsia="宋体" w:cs="宋体"/>
          <w:color w:val="auto"/>
          <w:spacing w:val="2"/>
          <w:szCs w:val="24"/>
          <w:highlight w:val="none"/>
        </w:rPr>
        <w:t>0</w:t>
      </w:r>
      <w:r>
        <w:rPr>
          <w:rFonts w:hint="eastAsia" w:ascii="宋体" w:hAnsi="宋体" w:eastAsia="宋体" w:cs="宋体"/>
          <w:color w:val="auto"/>
          <w:spacing w:val="-20"/>
          <w:szCs w:val="24"/>
          <w:highlight w:val="none"/>
        </w:rPr>
        <w:t>%</w:t>
      </w:r>
      <w:r>
        <w:rPr>
          <w:rFonts w:hint="eastAsia" w:ascii="宋体" w:hAnsi="宋体" w:eastAsia="宋体" w:cs="宋体"/>
          <w:color w:val="auto"/>
          <w:spacing w:val="1"/>
          <w:szCs w:val="24"/>
          <w:highlight w:val="none"/>
        </w:rPr>
        <w:t>＋</w:t>
      </w:r>
      <w:r>
        <w:rPr>
          <w:rFonts w:hint="eastAsia" w:ascii="宋体" w:hAnsi="宋体" w:eastAsia="宋体" w:cs="宋体"/>
          <w:color w:val="auto"/>
          <w:spacing w:val="-5"/>
          <w:szCs w:val="24"/>
          <w:highlight w:val="none"/>
        </w:rPr>
        <w:t>B</w:t>
      </w:r>
      <w:r>
        <w:rPr>
          <w:rFonts w:hint="eastAsia" w:ascii="宋体" w:hAnsi="宋体" w:eastAsia="宋体" w:cs="宋体"/>
          <w:color w:val="auto"/>
          <w:szCs w:val="24"/>
          <w:highlight w:val="none"/>
        </w:rPr>
        <w:t>）</w:t>
      </w:r>
    </w:p>
    <w:p w14:paraId="1FF45CF6">
      <w:pPr>
        <w:pStyle w:val="11"/>
        <w:tabs>
          <w:tab w:val="left" w:pos="2884"/>
        </w:tabs>
        <w:spacing w:line="142" w:lineRule="exact"/>
        <w:ind w:firstLine="2520" w:firstLineChars="1800"/>
        <w:jc w:val="left"/>
        <w:rPr>
          <w:rFonts w:hint="eastAsia" w:ascii="宋体" w:hAnsi="宋体" w:eastAsia="宋体" w:cs="宋体"/>
          <w:color w:val="auto"/>
          <w:sz w:val="14"/>
          <w:szCs w:val="14"/>
          <w:highlight w:val="none"/>
        </w:rPr>
      </w:pPr>
      <w:r>
        <w:rPr>
          <w:rFonts w:hint="eastAsia" w:ascii="宋体" w:hAnsi="宋体" w:eastAsia="宋体" w:cs="宋体"/>
          <w:color w:val="auto"/>
          <w:sz w:val="14"/>
          <w:szCs w:val="14"/>
          <w:highlight w:val="none"/>
        </w:rPr>
        <mc:AlternateContent>
          <mc:Choice Requires="wps">
            <w:drawing>
              <wp:anchor distT="0" distB="0" distL="114300" distR="114300" simplePos="0" relativeHeight="251683840" behindDoc="0" locked="0" layoutInCell="1" allowOverlap="1">
                <wp:simplePos x="0" y="0"/>
                <wp:positionH relativeFrom="page">
                  <wp:posOffset>3289300</wp:posOffset>
                </wp:positionH>
                <wp:positionV relativeFrom="paragraph">
                  <wp:posOffset>29845</wp:posOffset>
                </wp:positionV>
                <wp:extent cx="296545" cy="24638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296545" cy="246380"/>
                        </a:xfrm>
                        <a:prstGeom prst="rect">
                          <a:avLst/>
                        </a:prstGeom>
                        <a:noFill/>
                        <a:ln>
                          <a:noFill/>
                        </a:ln>
                        <a:effectLst/>
                      </wps:spPr>
                      <wps:txbx>
                        <w:txbxContent>
                          <w:p w14:paraId="52AC9BE9">
                            <w:r>
                              <w:rPr>
                                <w:rFonts w:ascii="Times New Roman" w:eastAsia="Times New Roman"/>
                                <w:spacing w:val="-26"/>
                                <w:position w:val="15"/>
                                <w:szCs w:val="24"/>
                              </w:rPr>
                              <w:t>F</w:t>
                            </w:r>
                            <w:r>
                              <w:rPr>
                                <w:rFonts w:ascii="Times New Roman" w:eastAsia="Times New Roman"/>
                                <w:position w:val="9"/>
                                <w:sz w:val="14"/>
                                <w:szCs w:val="14"/>
                              </w:rPr>
                              <w:t>0</w:t>
                            </w:r>
                          </w:p>
                        </w:txbxContent>
                      </wps:txbx>
                      <wps:bodyPr wrap="square" lIns="0" tIns="0" rIns="0" bIns="0" upright="1"/>
                    </wps:wsp>
                  </a:graphicData>
                </a:graphic>
              </wp:anchor>
            </w:drawing>
          </mc:Choice>
          <mc:Fallback>
            <w:pict>
              <v:shape id="_x0000_s1026" o:spid="_x0000_s1026" o:spt="202" type="#_x0000_t202" style="position:absolute;left:0pt;margin-left:259pt;margin-top:2.35pt;height:19.4pt;width:23.35pt;mso-position-horizontal-relative:page;z-index:251683840;mso-width-relative:page;mso-height-relative:page;" filled="f" stroked="f" coordsize="21600,21600" o:gfxdata="UEsDBAoAAAAAAIdO4kAAAAAAAAAAAAAAAAAEAAAAZHJzL1BLAwQUAAAACACHTuJA3kLzGdcAAAAI&#10;AQAADwAAAGRycy9kb3ducmV2LnhtbE2PzU7DMBCE70i8g7VI3KgdIKGEOBVCcEJCTcOBoxNvk6jx&#10;OsTuD2/P9gS3Hc1o9ptidXKjOOAcBk8akoUCgdR6O1Cn4bN+u1mCCNGQNaMn1PCDAVbl5UVhcuuP&#10;VOFhEzvBJRRyo6GPccqlDG2PzoSFn5DY2/rZmchy7qSdzZHL3ShvlcqkMwPxh95M+NJju9vsnYbn&#10;L6peh++PZl1tq6GuHxW9Zzutr68S9QQi4in+heGMz+hQMlPj92SDGDWkyZK3RA33DyDYT7Pz0bC+&#10;S0GWhfw/oPwFUEsDBBQAAAAIAIdO4kAoYIE0ywEAAI8DAAAOAAAAZHJzL2Uyb0RvYy54bWytU0uO&#10;2zAM3RfoHQTtG2cymWAaxBmgCKYoULQFpj2AItOxAP0qKrFzgfYGXXXTfc+Vcwwl2+l8NrPoRqZI&#10;6pHvkV7ddEazAwRUzpb8YjLlDKx0lbK7kn/7evvmmjOMwlZCOwslPwLym/XrV6vWL2HmGqcrCIxA&#10;LC5bX/ImRr8sCpQNGIET58FSsHbBiEjXsCuqIFpCN7qYTaeLonWh8sFJQCTvpg/yATG8BNDVtZKw&#10;cXJvwMYeNYAWkShhozzyde62rkHGz3WNEJkuOTGN+aQiZG/TWaxXYrkLwjdKDi2Il7TwhJMRylLR&#10;M9RGRMH2QT2DMkoGh66OE+lM0RPJihCLi+kTbe4a4SFzIanRn0XH/wcrPx2+BKaqkl/OObPC0MRP&#10;v36efv89/fnByEcCtR6XlHfnKTN271xHazP6kZyJd1cHk77EiFGc5D2e5YUuMknO2dvF1fyKM0mh&#10;2XxxeZ3lL/499gHje3CGJaPkgaaXRRWHjxipEUodU1It626V1nmC2j5yUGLvgbwCw+vEo+83WbHb&#10;dgO5rauOxK2lNSg5ft+LAJzpD5Z0TjszGmE0tqOx90HtGmo161EkWJpTbnTYqbQID+9kP/yP1v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eQvMZ1wAAAAgBAAAPAAAAAAAAAAEAIAAAACIAAABkcnMv&#10;ZG93bnJldi54bWxQSwECFAAUAAAACACHTuJAKGCBNMsBAACPAwAADgAAAAAAAAABACAAAAAmAQAA&#10;ZHJzL2Uyb0RvYy54bWxQSwUGAAAAAAYABgBZAQAAYwUAAAAA&#10;">
                <v:fill on="f" focussize="0,0"/>
                <v:stroke on="f"/>
                <v:imagedata o:title=""/>
                <o:lock v:ext="edit" aspectratio="f"/>
                <v:textbox inset="0mm,0mm,0mm,0mm">
                  <w:txbxContent>
                    <w:p w14:paraId="52AC9BE9">
                      <w:r>
                        <w:rPr>
                          <w:rFonts w:ascii="Times New Roman" w:eastAsia="Times New Roman"/>
                          <w:spacing w:val="-26"/>
                          <w:position w:val="15"/>
                          <w:szCs w:val="24"/>
                        </w:rPr>
                        <w:t>F</w:t>
                      </w:r>
                      <w:r>
                        <w:rPr>
                          <w:rFonts w:ascii="Times New Roman" w:eastAsia="Times New Roman"/>
                          <w:position w:val="9"/>
                          <w:sz w:val="14"/>
                          <w:szCs w:val="14"/>
                        </w:rPr>
                        <w:t>0</w:t>
                      </w:r>
                    </w:p>
                  </w:txbxContent>
                </v:textbox>
              </v:shape>
            </w:pict>
          </mc:Fallback>
        </mc:AlternateContent>
      </w:r>
      <w:r>
        <w:rPr>
          <w:rFonts w:hint="eastAsia" w:ascii="宋体" w:hAnsi="宋体" w:eastAsia="宋体" w:cs="宋体"/>
          <w:color w:val="auto"/>
          <w:sz w:val="14"/>
          <w:szCs w:val="14"/>
          <w:highlight w:val="none"/>
        </w:rPr>
        <w:t>1    0</w:t>
      </w:r>
    </w:p>
    <w:p w14:paraId="7D1EF219">
      <w:pPr>
        <w:pStyle w:val="11"/>
        <w:spacing w:before="26"/>
        <w:ind w:left="3521" w:right="4781"/>
        <w:jc w:val="center"/>
        <w:rPr>
          <w:rFonts w:hint="eastAsia" w:ascii="宋体" w:hAnsi="宋体" w:eastAsia="宋体" w:cs="宋体"/>
          <w:color w:val="auto"/>
          <w:sz w:val="14"/>
          <w:szCs w:val="14"/>
          <w:highlight w:val="none"/>
        </w:rPr>
      </w:pPr>
    </w:p>
    <w:p w14:paraId="38470333">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snapToGrid w:val="0"/>
          <w:color w:val="auto"/>
          <w:kern w:val="0"/>
          <w:szCs w:val="24"/>
          <w:highlight w:val="none"/>
        </w:rPr>
        <w:t>以上公式中，</w:t>
      </w:r>
      <w:r>
        <w:rPr>
          <w:rFonts w:hint="eastAsia" w:ascii="宋体" w:hAnsi="宋体" w:eastAsia="宋体" w:cs="宋体"/>
          <w:bCs/>
          <w:snapToGrid w:val="0"/>
          <w:color w:val="auto"/>
          <w:kern w:val="0"/>
          <w:szCs w:val="28"/>
          <w:highlight w:val="none"/>
        </w:rPr>
        <w:t>F</w:t>
      </w:r>
      <w:r>
        <w:rPr>
          <w:rFonts w:hint="eastAsia" w:ascii="宋体" w:hAnsi="宋体" w:eastAsia="宋体" w:cs="宋体"/>
          <w:bCs/>
          <w:snapToGrid w:val="0"/>
          <w:color w:val="auto"/>
          <w:kern w:val="0"/>
          <w:szCs w:val="28"/>
          <w:highlight w:val="none"/>
          <w:vertAlign w:val="subscript"/>
        </w:rPr>
        <w:t>1</w:t>
      </w:r>
      <w:r>
        <w:rPr>
          <w:rFonts w:hint="eastAsia" w:ascii="宋体" w:hAnsi="宋体" w:eastAsia="宋体" w:cs="宋体"/>
          <w:bCs/>
          <w:snapToGrid w:val="0"/>
          <w:color w:val="auto"/>
          <w:kern w:val="0"/>
          <w:szCs w:val="28"/>
          <w:highlight w:val="none"/>
        </w:rPr>
        <w:t>为中标单价；F</w:t>
      </w:r>
      <w:r>
        <w:rPr>
          <w:rFonts w:hint="eastAsia" w:ascii="宋体" w:hAnsi="宋体" w:eastAsia="宋体" w:cs="宋体"/>
          <w:bCs/>
          <w:snapToGrid w:val="0"/>
          <w:color w:val="auto"/>
          <w:kern w:val="0"/>
          <w:szCs w:val="28"/>
          <w:highlight w:val="none"/>
          <w:vertAlign w:val="subscript"/>
        </w:rPr>
        <w:t>0</w:t>
      </w:r>
      <w:r>
        <w:rPr>
          <w:rFonts w:hint="eastAsia" w:ascii="宋体" w:hAnsi="宋体" w:eastAsia="宋体" w:cs="宋体"/>
          <w:bCs/>
          <w:snapToGrid w:val="0"/>
          <w:color w:val="auto"/>
          <w:kern w:val="0"/>
          <w:szCs w:val="28"/>
          <w:highlight w:val="none"/>
        </w:rPr>
        <w:t>为基准单价；F</w:t>
      </w:r>
      <w:r>
        <w:rPr>
          <w:rFonts w:hint="eastAsia" w:ascii="宋体" w:hAnsi="宋体" w:eastAsia="宋体" w:cs="宋体"/>
          <w:bCs/>
          <w:snapToGrid w:val="0"/>
          <w:color w:val="auto"/>
          <w:kern w:val="0"/>
          <w:szCs w:val="28"/>
          <w:highlight w:val="none"/>
          <w:vertAlign w:val="subscript"/>
        </w:rPr>
        <w:t>2</w:t>
      </w:r>
      <w:r>
        <w:rPr>
          <w:rFonts w:hint="eastAsia" w:ascii="宋体" w:hAnsi="宋体" w:eastAsia="宋体" w:cs="宋体"/>
          <w:bCs/>
          <w:snapToGrid w:val="0"/>
          <w:color w:val="auto"/>
          <w:kern w:val="0"/>
          <w:szCs w:val="28"/>
          <w:highlight w:val="none"/>
        </w:rPr>
        <w:t>为施工当月项目所在地工程造价管理机构发布的施工机具台班单价；B为合同约定的施工机具台班单价涨跌风险幅度值。</w:t>
      </w:r>
    </w:p>
    <w:p w14:paraId="3D37E4A1">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w:t>
      </w:r>
      <w:r>
        <w:rPr>
          <w:rFonts w:hint="eastAsia" w:ascii="宋体" w:hAnsi="宋体" w:eastAsia="宋体" w:cs="宋体"/>
          <w:bCs/>
          <w:snapToGrid w:val="0"/>
          <w:color w:val="auto"/>
          <w:kern w:val="0"/>
          <w:szCs w:val="28"/>
          <w:highlight w:val="none"/>
        </w:rPr>
        <w:t xml:space="preserve"> 暂估价和暂列金额</w:t>
      </w:r>
    </w:p>
    <w:p w14:paraId="1E367EB2">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2.3.7.1</w:t>
      </w:r>
      <w:r>
        <w:rPr>
          <w:rFonts w:hint="eastAsia" w:ascii="宋体" w:hAnsi="宋体" w:eastAsia="宋体" w:cs="宋体"/>
          <w:bCs/>
          <w:snapToGrid w:val="0"/>
          <w:color w:val="auto"/>
          <w:kern w:val="0"/>
          <w:szCs w:val="28"/>
          <w:highlight w:val="none"/>
        </w:rPr>
        <w:t xml:space="preserve"> 暂估价项目按第一章第三节“投标人须知正文”第</w:t>
      </w:r>
      <w:r>
        <w:rPr>
          <w:rFonts w:hint="eastAsia" w:ascii="宋体" w:hAnsi="宋体" w:eastAsia="宋体" w:cs="宋体"/>
          <w:b/>
          <w:bCs/>
          <w:snapToGrid w:val="0"/>
          <w:color w:val="auto"/>
          <w:kern w:val="0"/>
          <w:highlight w:val="none"/>
        </w:rPr>
        <w:t>8.5</w:t>
      </w:r>
      <w:r>
        <w:rPr>
          <w:rFonts w:hint="eastAsia" w:ascii="宋体" w:hAnsi="宋体" w:eastAsia="宋体" w:cs="宋体"/>
          <w:bCs/>
          <w:snapToGrid w:val="0"/>
          <w:color w:val="auto"/>
          <w:kern w:val="0"/>
          <w:szCs w:val="28"/>
          <w:highlight w:val="none"/>
        </w:rPr>
        <w:t>条的规定确定专业工程承包人（或材料供应商、工程设备供应商）后，将专业工程合同价款（或材料单价、工程设备单价）取代相应暂估价，并调整合同价款。</w:t>
      </w:r>
    </w:p>
    <w:p w14:paraId="48D92A89">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2.3.7.2</w:t>
      </w:r>
      <w:r>
        <w:rPr>
          <w:rFonts w:hint="eastAsia" w:ascii="宋体" w:hAnsi="宋体" w:eastAsia="宋体" w:cs="宋体"/>
          <w:bCs/>
          <w:snapToGrid w:val="0"/>
          <w:color w:val="auto"/>
          <w:kern w:val="0"/>
          <w:szCs w:val="28"/>
          <w:highlight w:val="none"/>
        </w:rPr>
        <w:t xml:space="preserve"> 暂列金额由发包人掌握和使用。暂列金额项目若有发生，按第一章第三节“投标人须知正文”第</w:t>
      </w:r>
      <w:r>
        <w:rPr>
          <w:rFonts w:hint="eastAsia" w:ascii="宋体" w:hAnsi="宋体" w:eastAsia="宋体" w:cs="宋体"/>
          <w:b/>
          <w:snapToGrid w:val="0"/>
          <w:color w:val="auto"/>
          <w:kern w:val="0"/>
          <w:szCs w:val="28"/>
          <w:highlight w:val="none"/>
        </w:rPr>
        <w:t>8.6</w:t>
      </w:r>
      <w:r>
        <w:rPr>
          <w:rFonts w:hint="eastAsia" w:ascii="宋体" w:hAnsi="宋体" w:eastAsia="宋体" w:cs="宋体"/>
          <w:bCs/>
          <w:snapToGrid w:val="0"/>
          <w:color w:val="auto"/>
          <w:kern w:val="0"/>
          <w:szCs w:val="28"/>
          <w:highlight w:val="none"/>
        </w:rPr>
        <w:t>条的规定确定材料供应商（或工程设备供应商、服务供应商）后，材料（或工程设备、服务）的合同价款从暂列金额中支付。暂列金额扣除已发生的暂列金额项目合同价款、已发生的合同约定调整因素出现时的调整价款、已发生的索赔以及现场签证确认等的费用后，余额（若有）归发包人所有。</w:t>
      </w:r>
    </w:p>
    <w:p w14:paraId="16AA41AC">
      <w:pPr>
        <w:wordWrap w:val="0"/>
        <w:adjustRightInd w:val="0"/>
        <w:snapToGrid w:val="0"/>
        <w:spacing w:line="440" w:lineRule="exact"/>
        <w:ind w:firstLine="482" w:firstLineChars="200"/>
        <w:rPr>
          <w:rFonts w:hint="eastAsia" w:ascii="宋体" w:hAnsi="宋体" w:eastAsia="宋体" w:cs="宋体"/>
          <w:bCs/>
          <w:snapToGrid w:val="0"/>
          <w:color w:val="auto"/>
          <w:kern w:val="0"/>
          <w:szCs w:val="28"/>
          <w:highlight w:val="none"/>
        </w:rPr>
      </w:pPr>
      <w:r>
        <w:rPr>
          <w:rFonts w:hint="eastAsia" w:ascii="宋体" w:hAnsi="宋体" w:eastAsia="宋体" w:cs="宋体"/>
          <w:b/>
          <w:snapToGrid w:val="0"/>
          <w:color w:val="auto"/>
          <w:kern w:val="0"/>
          <w:szCs w:val="28"/>
          <w:highlight w:val="none"/>
        </w:rPr>
        <w:t>2.3.8</w:t>
      </w:r>
      <w:r>
        <w:rPr>
          <w:rFonts w:hint="eastAsia" w:ascii="宋体" w:hAnsi="宋体" w:eastAsia="宋体" w:cs="宋体"/>
          <w:bCs/>
          <w:snapToGrid w:val="0"/>
          <w:color w:val="auto"/>
          <w:kern w:val="0"/>
          <w:szCs w:val="28"/>
          <w:highlight w:val="none"/>
        </w:rPr>
        <w:t xml:space="preserve"> 预算包干费按照广东省建设工程计价依据（2018)有关规定执行。本招标项目的预算包干内容包括：</w:t>
      </w:r>
      <w:r>
        <w:rPr>
          <w:rFonts w:hint="eastAsia" w:ascii="宋体" w:hAnsi="宋体" w:eastAsia="宋体" w:cs="宋体"/>
          <w:bCs/>
          <w:snapToGrid w:val="0"/>
          <w:color w:val="auto"/>
          <w:kern w:val="0"/>
          <w:szCs w:val="28"/>
          <w:highlight w:val="none"/>
          <w:u w:val="single"/>
        </w:rPr>
        <w:t xml:space="preserve">施工雨水污水的排除；因地形（场地）影响造成的场内料具二次运输；工程用水加压措施；施工场地材料场地的整理；工程成品的保护；施工中的临时停水停电；基础埋深2米以内挖土方的塌方；日间照明施工增加费；完工后的场地清理等  </w:t>
      </w:r>
      <w:r>
        <w:rPr>
          <w:rFonts w:hint="eastAsia" w:ascii="宋体" w:hAnsi="宋体" w:eastAsia="宋体" w:cs="宋体"/>
          <w:bCs/>
          <w:snapToGrid w:val="0"/>
          <w:color w:val="auto"/>
          <w:kern w:val="0"/>
          <w:szCs w:val="28"/>
          <w:highlight w:val="none"/>
        </w:rPr>
        <w:t>。对于以上预算包干内容，承包人不得提出额外付款或延长工期等要求。</w:t>
      </w:r>
      <w:r>
        <w:rPr>
          <w:rFonts w:hint="eastAsia" w:ascii="宋体" w:hAnsi="宋体" w:eastAsia="宋体" w:cs="宋体"/>
          <w:snapToGrid w:val="0"/>
          <w:color w:val="auto"/>
          <w:kern w:val="0"/>
          <w:szCs w:val="24"/>
          <w:highlight w:val="none"/>
        </w:rPr>
        <w:t>对此类要求，发包人不作任何考虑及答复</w:t>
      </w:r>
      <w:r>
        <w:rPr>
          <w:rFonts w:hint="eastAsia" w:ascii="宋体" w:hAnsi="宋体" w:eastAsia="宋体" w:cs="宋体"/>
          <w:bCs/>
          <w:snapToGrid w:val="0"/>
          <w:color w:val="auto"/>
          <w:kern w:val="0"/>
          <w:szCs w:val="28"/>
          <w:highlight w:val="none"/>
        </w:rPr>
        <w:t>。</w:t>
      </w:r>
    </w:p>
    <w:p w14:paraId="1E79C503">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snapToGrid w:val="0"/>
          <w:color w:val="auto"/>
          <w:kern w:val="0"/>
          <w:szCs w:val="28"/>
          <w:highlight w:val="none"/>
        </w:rPr>
        <w:t>2.3.9</w:t>
      </w:r>
      <w:r>
        <w:rPr>
          <w:rFonts w:hint="eastAsia" w:ascii="宋体" w:hAnsi="宋体" w:eastAsia="宋体" w:cs="宋体"/>
          <w:bCs/>
          <w:snapToGrid w:val="0"/>
          <w:color w:val="auto"/>
          <w:kern w:val="0"/>
          <w:szCs w:val="28"/>
          <w:highlight w:val="none"/>
        </w:rPr>
        <w:t xml:space="preserve"> 其余事项（如不可抗力、索赔、现场签证等）的调整原则按照</w:t>
      </w:r>
      <w:r>
        <w:rPr>
          <w:rFonts w:hint="eastAsia" w:hAnsi="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bCs/>
          <w:snapToGrid w:val="0"/>
          <w:color w:val="auto"/>
          <w:kern w:val="0"/>
          <w:szCs w:val="28"/>
          <w:highlight w:val="none"/>
        </w:rPr>
        <w:t xml:space="preserve">有关规定执行。 </w:t>
      </w:r>
    </w:p>
    <w:p w14:paraId="7E0477F6">
      <w:pPr>
        <w:wordWrap w:val="0"/>
        <w:adjustRightInd w:val="0"/>
        <w:snapToGrid w:val="0"/>
        <w:spacing w:line="440" w:lineRule="exact"/>
        <w:ind w:firstLine="560"/>
        <w:rPr>
          <w:rFonts w:hint="eastAsia" w:ascii="宋体" w:hAnsi="宋体" w:eastAsia="宋体" w:cs="宋体"/>
          <w:b/>
          <w:snapToGrid w:val="0"/>
          <w:color w:val="auto"/>
          <w:kern w:val="0"/>
          <w:szCs w:val="28"/>
          <w:highlight w:val="none"/>
        </w:rPr>
      </w:pPr>
      <w:r>
        <w:rPr>
          <w:rFonts w:hint="eastAsia" w:ascii="宋体" w:hAnsi="宋体" w:eastAsia="宋体" w:cs="宋体"/>
          <w:b/>
          <w:bCs/>
          <w:snapToGrid w:val="0"/>
          <w:color w:val="auto"/>
          <w:kern w:val="0"/>
          <w:szCs w:val="24"/>
          <w:highlight w:val="none"/>
        </w:rPr>
        <w:t>2.4</w:t>
      </w:r>
      <w:r>
        <w:rPr>
          <w:rFonts w:hint="eastAsia" w:ascii="宋体" w:hAnsi="宋体" w:eastAsia="宋体" w:cs="宋体"/>
          <w:snapToGrid w:val="0"/>
          <w:color w:val="auto"/>
          <w:kern w:val="0"/>
          <w:szCs w:val="24"/>
          <w:highlight w:val="none"/>
        </w:rPr>
        <w:t xml:space="preserve"> 凡将引起合同价款调增的事项，承包人必须于拟实施14天前，将详细的报价书（含拟实施项目名称、变更部位、理由、预计造价等）报监理单位审核和发包人批准后方可实施。</w:t>
      </w:r>
      <w:bookmarkStart w:id="199" w:name="_Hlt112206782"/>
      <w:bookmarkEnd w:id="199"/>
    </w:p>
    <w:p w14:paraId="75A31870">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2.5</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人不得以不完全了解现场情况为理由，提出额外付款或延长工期等要求。对此类要求，发包人不作任何考虑及答复。</w:t>
      </w:r>
    </w:p>
    <w:p w14:paraId="58708FC4">
      <w:pPr>
        <w:wordWrap w:val="0"/>
        <w:adjustRightInd w:val="0"/>
        <w:snapToGrid w:val="0"/>
        <w:spacing w:line="440" w:lineRule="exact"/>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2.6</w:t>
      </w: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highlight w:val="none"/>
        </w:rPr>
        <w:t>承包</w:t>
      </w:r>
      <w:r>
        <w:rPr>
          <w:rFonts w:hint="eastAsia" w:ascii="宋体" w:hAnsi="宋体" w:eastAsia="宋体" w:cs="宋体"/>
          <w:snapToGrid w:val="0"/>
          <w:color w:val="auto"/>
          <w:kern w:val="0"/>
          <w:szCs w:val="24"/>
          <w:highlight w:val="none"/>
        </w:rPr>
        <w:t>人已标价工程量清单中漏报、错报或少报的清单项目，其价格均视为已经包含在其它清单项目中，竣工结算时不得重新组价和调整。</w:t>
      </w:r>
    </w:p>
    <w:p w14:paraId="01F2C212">
      <w:pPr>
        <w:wordWrap w:val="0"/>
        <w:adjustRightInd w:val="0"/>
        <w:snapToGrid w:val="0"/>
        <w:spacing w:line="440" w:lineRule="exact"/>
        <w:ind w:firstLine="48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2.7</w:t>
      </w:r>
      <w:r>
        <w:rPr>
          <w:rFonts w:hint="eastAsia" w:ascii="宋体" w:hAnsi="宋体" w:eastAsia="宋体" w:cs="宋体"/>
          <w:snapToGrid w:val="0"/>
          <w:color w:val="auto"/>
          <w:kern w:val="0"/>
          <w:szCs w:val="24"/>
          <w:highlight w:val="none"/>
        </w:rPr>
        <w:t xml:space="preserve"> 项目完工后，发、承包双方和受其委托具备相应资质的工程造价咨询单位必须按照</w:t>
      </w:r>
      <w:r>
        <w:rPr>
          <w:rFonts w:hint="eastAsia" w:hAnsi="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szCs w:val="24"/>
          <w:highlight w:val="none"/>
        </w:rPr>
        <w:t>和国家、省、市的有关规定办理竣工结算。</w:t>
      </w:r>
    </w:p>
    <w:p w14:paraId="03089C1B">
      <w:pPr>
        <w:wordWrap w:val="0"/>
        <w:adjustRightInd w:val="0"/>
        <w:snapToGrid w:val="0"/>
        <w:spacing w:line="360" w:lineRule="auto"/>
        <w:ind w:firstLine="56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2.8</w:t>
      </w:r>
      <w:r>
        <w:rPr>
          <w:rFonts w:hint="eastAsia" w:ascii="宋体" w:hAnsi="宋体" w:eastAsia="宋体" w:cs="宋体"/>
          <w:snapToGrid w:val="0"/>
          <w:color w:val="auto"/>
          <w:kern w:val="0"/>
          <w:szCs w:val="24"/>
          <w:highlight w:val="none"/>
        </w:rPr>
        <w:t xml:space="preserve"> 承包人已标价工程量清单中没有的材料（或工程设备），承包人在使用前必须将材料（或工程设备）样板、材料合格证明（或产品合格证书）、材料（或工程设备）检验报告提交给监理单位和发包人审核。发包人审定并确定价格后，承包人方可采购和使用。如果在交货验收和使用过程中发现货不对板，监理单位和发包人有权拒用，并要求承包人立即进行更换。更换后的材料（或工程设备）应再次进行检查和检验。由此增加的费用和（或）工期延误由承包人承担。</w:t>
      </w:r>
    </w:p>
    <w:p w14:paraId="7D68B70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color w:val="auto"/>
          <w:highlight w:val="none"/>
        </w:rPr>
      </w:pPr>
      <w:r>
        <w:rPr>
          <w:rFonts w:hint="eastAsia"/>
          <w:b/>
          <w:bCs/>
          <w:color w:val="auto"/>
          <w:highlight w:val="none"/>
          <w:lang w:val="en-US" w:eastAsia="zh-CN"/>
        </w:rPr>
        <w:t>2.9</w:t>
      </w:r>
      <w:r>
        <w:rPr>
          <w:rFonts w:hint="eastAsia"/>
          <w:color w:val="auto"/>
          <w:highlight w:val="none"/>
          <w:lang w:val="en-US" w:eastAsia="zh-CN"/>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5ED901E0">
      <w:pPr>
        <w:wordWrap w:val="0"/>
        <w:adjustRightInd w:val="0"/>
        <w:snapToGrid w:val="0"/>
        <w:spacing w:line="440" w:lineRule="exact"/>
        <w:ind w:firstLine="560"/>
        <w:rPr>
          <w:rFonts w:hint="eastAsia" w:ascii="宋体" w:hAnsi="宋体" w:eastAsia="宋体" w:cs="宋体"/>
          <w:snapToGrid w:val="0"/>
          <w:color w:val="auto"/>
          <w:kern w:val="0"/>
          <w:szCs w:val="24"/>
          <w:highlight w:val="none"/>
        </w:rPr>
      </w:pPr>
    </w:p>
    <w:bookmarkEnd w:id="195"/>
    <w:bookmarkEnd w:id="196"/>
    <w:bookmarkEnd w:id="197"/>
    <w:bookmarkEnd w:id="198"/>
    <w:p w14:paraId="66B4B0E0">
      <w:pPr>
        <w:pStyle w:val="4"/>
        <w:bidi w:val="0"/>
        <w:spacing w:line="360" w:lineRule="auto"/>
        <w:ind w:firstLine="964"/>
        <w:rPr>
          <w:rFonts w:hint="eastAsia" w:ascii="宋体" w:hAnsi="宋体" w:eastAsia="宋体" w:cs="宋体"/>
          <w:color w:val="auto"/>
          <w:highlight w:val="none"/>
        </w:rPr>
      </w:pPr>
      <w:bookmarkStart w:id="200" w:name="_Toc14683"/>
      <w:bookmarkStart w:id="201" w:name="_Toc26653"/>
      <w:bookmarkStart w:id="202" w:name="_Toc108200417"/>
      <w:r>
        <w:rPr>
          <w:rFonts w:hint="eastAsia" w:ascii="宋体" w:hAnsi="宋体" w:eastAsia="宋体" w:cs="宋体"/>
          <w:color w:val="auto"/>
          <w:highlight w:val="none"/>
        </w:rPr>
        <w:t>3. 工程付款办法</w:t>
      </w:r>
      <w:bookmarkEnd w:id="200"/>
      <w:bookmarkEnd w:id="201"/>
      <w:bookmarkEnd w:id="202"/>
    </w:p>
    <w:p w14:paraId="581C50CE">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3.1</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支付 </w:t>
      </w:r>
      <w:r>
        <w:rPr>
          <w:rFonts w:hint="eastAsia" w:ascii="宋体" w:hAnsi="宋体" w:eastAsia="宋体" w:cs="宋体"/>
          <w:snapToGrid w:val="0"/>
          <w:color w:val="auto"/>
          <w:kern w:val="0"/>
          <w:highlight w:val="none"/>
        </w:rPr>
        <w:t>施工预付款。</w:t>
      </w:r>
    </w:p>
    <w:p w14:paraId="292EAE33">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w:t>
      </w:r>
      <w:r>
        <w:rPr>
          <w:rFonts w:hint="eastAsia" w:ascii="宋体" w:hAnsi="宋体" w:eastAsia="宋体" w:cs="宋体"/>
          <w:snapToGrid w:val="0"/>
          <w:color w:val="auto"/>
          <w:kern w:val="0"/>
          <w:highlight w:val="none"/>
        </w:rPr>
        <w:t xml:space="preserve"> 施工预付款必须专用于合同工程，并按以下原则支付和抵扣：</w:t>
      </w:r>
    </w:p>
    <w:p w14:paraId="2082EDA8">
      <w:pPr>
        <w:wordWrap w:val="0"/>
        <w:adjustRightInd w:val="0"/>
        <w:snapToGrid w:val="0"/>
        <w:spacing w:line="360" w:lineRule="auto"/>
        <w:ind w:firstLine="482" w:firstLineChars="200"/>
        <w:rPr>
          <w:rFonts w:hint="eastAsia" w:ascii="宋体" w:hAnsi="宋体" w:eastAsia="宋体" w:cs="宋体"/>
          <w:i/>
          <w:iCs/>
          <w:snapToGrid w:val="0"/>
          <w:color w:val="auto"/>
          <w:kern w:val="0"/>
          <w:highlight w:val="none"/>
        </w:rPr>
      </w:pPr>
      <w:r>
        <w:rPr>
          <w:rFonts w:hint="eastAsia" w:ascii="宋体" w:hAnsi="宋体" w:eastAsia="宋体" w:cs="宋体"/>
          <w:b/>
          <w:bCs/>
          <w:snapToGrid w:val="0"/>
          <w:color w:val="auto"/>
          <w:kern w:val="0"/>
          <w:szCs w:val="24"/>
          <w:highlight w:val="none"/>
        </w:rPr>
        <w:t>3.2.1</w:t>
      </w:r>
      <w:r>
        <w:rPr>
          <w:rFonts w:hint="eastAsia" w:ascii="宋体" w:hAnsi="宋体" w:eastAsia="宋体" w:cs="宋体"/>
          <w:snapToGrid w:val="0"/>
          <w:color w:val="auto"/>
          <w:kern w:val="0"/>
          <w:highlight w:val="none"/>
        </w:rPr>
        <w:t xml:space="preserve"> 施工预付款支付比例为：按施工合同价（暂列金额除外）的</w:t>
      </w:r>
      <w:r>
        <w:rPr>
          <w:rFonts w:hint="eastAsia" w:ascii="宋体" w:hAnsi="宋体" w:eastAsia="宋体" w:cs="宋体"/>
          <w:snapToGrid w:val="0"/>
          <w:color w:val="auto"/>
          <w:kern w:val="0"/>
          <w:highlight w:val="none"/>
          <w:u w:val="single"/>
        </w:rPr>
        <w:t xml:space="preserve"> 30% </w:t>
      </w:r>
      <w:r>
        <w:rPr>
          <w:rFonts w:hint="eastAsia" w:ascii="宋体" w:hAnsi="宋体" w:eastAsia="宋体" w:cs="宋体"/>
          <w:snapToGrid w:val="0"/>
          <w:color w:val="auto"/>
          <w:kern w:val="0"/>
          <w:highlight w:val="none"/>
        </w:rPr>
        <w:t>支付。</w:t>
      </w:r>
    </w:p>
    <w:p w14:paraId="72BFA9C4">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3.2.2</w:t>
      </w:r>
      <w:r>
        <w:rPr>
          <w:rFonts w:hint="eastAsia" w:ascii="宋体" w:hAnsi="宋体" w:eastAsia="宋体" w:cs="宋体"/>
          <w:snapToGrid w:val="0"/>
          <w:color w:val="auto"/>
          <w:kern w:val="0"/>
          <w:highlight w:val="none"/>
        </w:rPr>
        <w:t xml:space="preserve"> 本招标项目</w:t>
      </w:r>
      <w:r>
        <w:rPr>
          <w:rFonts w:hint="eastAsia" w:ascii="宋体" w:hAnsi="宋体" w:eastAsia="宋体" w:cs="宋体"/>
          <w:snapToGrid w:val="0"/>
          <w:color w:val="auto"/>
          <w:kern w:val="0"/>
          <w:highlight w:val="none"/>
          <w:u w:val="single"/>
        </w:rPr>
        <w:t xml:space="preserve"> 要求 </w:t>
      </w:r>
      <w:r>
        <w:rPr>
          <w:rFonts w:hint="eastAsia" w:ascii="宋体" w:hAnsi="宋体" w:eastAsia="宋体" w:cs="宋体"/>
          <w:snapToGrid w:val="0"/>
          <w:color w:val="auto"/>
          <w:kern w:val="0"/>
          <w:highlight w:val="none"/>
        </w:rPr>
        <w:t>承包人提供与预付款等额的预付款保函。</w:t>
      </w:r>
    </w:p>
    <w:p w14:paraId="7072134D">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3.2.3</w:t>
      </w:r>
      <w:r>
        <w:rPr>
          <w:rFonts w:hint="eastAsia" w:ascii="宋体" w:hAnsi="宋体" w:eastAsia="宋体" w:cs="宋体"/>
          <w:snapToGrid w:val="0"/>
          <w:color w:val="auto"/>
          <w:kern w:val="0"/>
          <w:highlight w:val="none"/>
        </w:rPr>
        <w:t xml:space="preserve"> 承包人应在签订合同后，在提供符合要求的预付款保函或预付款保险及在具备施工条件的前提下，向发包人提交预付款支付申请。发包人应对在收到支付申请的7天内进行核实后向承包人发出预付款支付证书，并在签发支付证书后的7天内向承包人支付预付款。凡未签订合同或不具备施工条件的工程，发包人不得预付工程款。</w:t>
      </w:r>
    </w:p>
    <w:p w14:paraId="7BB13C86">
      <w:pPr>
        <w:wordWrap w:val="0"/>
        <w:adjustRightInd w:val="0"/>
        <w:snapToGrid w:val="0"/>
        <w:spacing w:line="360" w:lineRule="auto"/>
        <w:ind w:firstLine="482" w:firstLineChars="200"/>
        <w:rPr>
          <w:rFonts w:hint="eastAsia" w:ascii="宋体" w:hAnsi="宋体" w:eastAsia="宋体" w:cs="宋体"/>
          <w:snapToGrid w:val="0"/>
          <w:color w:val="auto"/>
          <w:kern w:val="0"/>
          <w:highlight w:val="none"/>
          <w:lang w:val="en-US" w:eastAsia="zh-CN"/>
        </w:rPr>
      </w:pPr>
      <w:r>
        <w:rPr>
          <w:rFonts w:hint="eastAsia" w:ascii="宋体" w:hAnsi="宋体" w:eastAsia="宋体" w:cs="宋体"/>
          <w:b/>
          <w:bCs/>
          <w:snapToGrid w:val="0"/>
          <w:color w:val="auto"/>
          <w:kern w:val="0"/>
          <w:szCs w:val="24"/>
          <w:highlight w:val="none"/>
        </w:rPr>
        <w:t>3.2.4</w:t>
      </w:r>
      <w:r>
        <w:rPr>
          <w:rFonts w:hint="eastAsia" w:ascii="宋体" w:hAnsi="宋体" w:eastAsia="宋体" w:cs="宋体"/>
          <w:snapToGrid w:val="0"/>
          <w:color w:val="auto"/>
          <w:kern w:val="0"/>
          <w:highlight w:val="none"/>
        </w:rPr>
        <w:t xml:space="preserve"> 预付款应从每支付期应支付给承包人的工程进度款中扣回，扣回比例为每月的工程进度款的30%，直到扣回的金额达到合同约定的预付款金额为止。如因建设工期短导致工程已完工而预付款尚未扣清的，尚未扣清的预付款余额在竣工初步验收合格后当期应支付的工程款项中一次性扣清。</w:t>
      </w:r>
    </w:p>
    <w:p w14:paraId="283B608C">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3.3</w:t>
      </w:r>
      <w:r>
        <w:rPr>
          <w:rFonts w:hint="eastAsia" w:ascii="宋体" w:hAnsi="宋体" w:eastAsia="宋体" w:cs="宋体"/>
          <w:snapToGrid w:val="0"/>
          <w:color w:val="auto"/>
          <w:kern w:val="0"/>
          <w:highlight w:val="none"/>
        </w:rPr>
        <w:t xml:space="preserve"> 施工过程中按月支付工程进度款：承包人每月按工程实际完成工程量（含变更及增加工程）申报，承包人必须将《已完成工程量报表》和《工程付款申请书》于当月26日前报监理单位核实。经监理单位审核、发包人审定后的工程进度款（指已经按照合同约定，扣除该支付期内因承包人违约而应扣除的管理费），于申报次月支付。</w:t>
      </w:r>
    </w:p>
    <w:p w14:paraId="5A15ADBF">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3.4</w:t>
      </w:r>
      <w:r>
        <w:rPr>
          <w:rFonts w:hint="eastAsia" w:ascii="宋体" w:hAnsi="宋体" w:eastAsia="宋体" w:cs="宋体"/>
          <w:snapToGrid w:val="0"/>
          <w:color w:val="auto"/>
          <w:kern w:val="0"/>
          <w:highlight w:val="none"/>
        </w:rPr>
        <w:t xml:space="preserve"> 每月的工程进度款按工程实际完成工程量的80%支付，工程进度款中的作业工人工资款项由发包人单独足额拨付到承包人的工资专户。</w:t>
      </w:r>
    </w:p>
    <w:p w14:paraId="1F6CD569">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3.5</w:t>
      </w:r>
      <w:r>
        <w:rPr>
          <w:rFonts w:hint="eastAsia" w:ascii="宋体" w:hAnsi="宋体" w:eastAsia="宋体" w:cs="宋体"/>
          <w:snapToGrid w:val="0"/>
          <w:color w:val="auto"/>
          <w:kern w:val="0"/>
          <w:highlight w:val="none"/>
        </w:rPr>
        <w:t xml:space="preserve"> 措施项目费中的“</w:t>
      </w:r>
      <w:r>
        <w:rPr>
          <w:rFonts w:hint="eastAsia" w:hAnsi="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”拨付按照《广东省建设工程计价依据（2018）》执行，按照项目所在地的建设行政主管部门有关规定支付。发生一般事故及以上等级重大安全事故的，发包人可扣除承包人金额相当于所有“</w:t>
      </w:r>
      <w:r>
        <w:rPr>
          <w:rFonts w:hint="eastAsia" w:hAnsi="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”的工程管理费。</w:t>
      </w:r>
    </w:p>
    <w:p w14:paraId="4E5BC83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3.6</w:t>
      </w:r>
      <w:r>
        <w:rPr>
          <w:rFonts w:hint="eastAsia" w:ascii="宋体" w:hAnsi="宋体" w:eastAsia="宋体" w:cs="宋体"/>
          <w:snapToGrid w:val="0"/>
          <w:color w:val="auto"/>
          <w:kern w:val="0"/>
          <w:highlight w:val="none"/>
        </w:rPr>
        <w:t xml:space="preserve"> 变更工程造价必须经监理单位核实，并经发包人核定后方可支付。</w:t>
      </w:r>
    </w:p>
    <w:p w14:paraId="603B5F51">
      <w:pPr>
        <w:wordWrap w:val="0"/>
        <w:adjustRightInd w:val="0"/>
        <w:snapToGrid w:val="0"/>
        <w:spacing w:line="360" w:lineRule="auto"/>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bCs/>
          <w:snapToGrid w:val="0"/>
          <w:color w:val="auto"/>
          <w:kern w:val="0"/>
          <w:szCs w:val="24"/>
          <w:highlight w:val="none"/>
        </w:rPr>
        <w:t>3.7</w:t>
      </w:r>
      <w:r>
        <w:rPr>
          <w:rFonts w:hint="eastAsia" w:ascii="宋体" w:hAnsi="宋体" w:eastAsia="宋体" w:cs="宋体"/>
          <w:snapToGrid w:val="0"/>
          <w:color w:val="auto"/>
          <w:kern w:val="0"/>
          <w:highlight w:val="none"/>
        </w:rPr>
        <w:t xml:space="preserve"> 结算审核完成后，于次月支付至</w:t>
      </w:r>
      <w:r>
        <w:rPr>
          <w:rFonts w:hint="eastAsia" w:ascii="宋体" w:hAnsi="宋体" w:eastAsia="宋体" w:cs="宋体"/>
          <w:snapToGrid w:val="0"/>
          <w:color w:val="auto"/>
          <w:kern w:val="0"/>
          <w:highlight w:val="none"/>
          <w:lang w:val="en-US" w:eastAsia="zh-CN"/>
        </w:rPr>
        <w:t>结算</w:t>
      </w:r>
      <w:r>
        <w:rPr>
          <w:rFonts w:hint="eastAsia" w:ascii="宋体" w:hAnsi="宋体" w:eastAsia="宋体" w:cs="宋体"/>
          <w:snapToGrid w:val="0"/>
          <w:color w:val="auto"/>
          <w:kern w:val="0"/>
          <w:highlight w:val="none"/>
        </w:rPr>
        <w:t>价的97%，剩余3%转为质量保证金；承包人提交了等额</w:t>
      </w:r>
      <w:r>
        <w:rPr>
          <w:rFonts w:hint="eastAsia" w:ascii="宋体" w:hAnsi="宋体" w:eastAsia="宋体" w:cs="宋体"/>
          <w:bCs/>
          <w:snapToGrid w:val="0"/>
          <w:color w:val="auto"/>
          <w:kern w:val="0"/>
          <w:highlight w:val="none"/>
        </w:rPr>
        <w:t>质量保证担保或质量保证保险的，于次月一次性结清</w:t>
      </w:r>
      <w:r>
        <w:rPr>
          <w:rFonts w:hint="eastAsia" w:ascii="宋体" w:hAnsi="宋体" w:eastAsia="宋体" w:cs="宋体"/>
          <w:bCs/>
          <w:snapToGrid w:val="0"/>
          <w:color w:val="auto"/>
          <w:kern w:val="0"/>
          <w:highlight w:val="none"/>
          <w:lang w:val="en-US" w:eastAsia="zh-CN"/>
        </w:rPr>
        <w:t>结算</w:t>
      </w:r>
      <w:r>
        <w:rPr>
          <w:rFonts w:hint="eastAsia" w:ascii="宋体" w:hAnsi="宋体" w:eastAsia="宋体" w:cs="宋体"/>
          <w:bCs/>
          <w:snapToGrid w:val="0"/>
          <w:color w:val="auto"/>
          <w:kern w:val="0"/>
          <w:highlight w:val="none"/>
        </w:rPr>
        <w:t>价。</w:t>
      </w:r>
    </w:p>
    <w:p w14:paraId="6DFD30D0">
      <w:pPr>
        <w:wordWrap w:val="0"/>
        <w:adjustRightInd w:val="0"/>
        <w:snapToGrid w:val="0"/>
        <w:spacing w:line="360" w:lineRule="auto"/>
        <w:ind w:firstLine="482" w:firstLineChars="200"/>
        <w:rPr>
          <w:rFonts w:hint="eastAsia" w:ascii="宋体" w:hAnsi="宋体" w:eastAsia="宋体" w:cs="宋体"/>
          <w:snapToGrid w:val="0"/>
          <w:color w:val="auto"/>
          <w:kern w:val="0"/>
          <w:highlight w:val="none"/>
        </w:rPr>
      </w:pPr>
      <w:r>
        <w:rPr>
          <w:rFonts w:hint="eastAsia" w:ascii="宋体" w:hAnsi="宋体" w:eastAsia="宋体" w:cs="宋体"/>
          <w:b/>
          <w:snapToGrid w:val="0"/>
          <w:color w:val="auto"/>
          <w:kern w:val="0"/>
          <w:highlight w:val="none"/>
        </w:rPr>
        <w:t>3.8</w:t>
      </w:r>
      <w:r>
        <w:rPr>
          <w:rFonts w:hint="eastAsia" w:ascii="宋体" w:hAnsi="宋体" w:eastAsia="宋体" w:cs="宋体"/>
          <w:bCs/>
          <w:snapToGrid w:val="0"/>
          <w:color w:val="auto"/>
          <w:kern w:val="0"/>
          <w:highlight w:val="none"/>
        </w:rPr>
        <w:t xml:space="preserve"> 本招标项目缺陷责任期为</w:t>
      </w:r>
      <w:r>
        <w:rPr>
          <w:rFonts w:hint="eastAsia" w:ascii="宋体" w:hAnsi="宋体" w:eastAsia="宋体" w:cs="宋体"/>
          <w:bCs/>
          <w:snapToGrid w:val="0"/>
          <w:color w:val="auto"/>
          <w:kern w:val="0"/>
          <w:highlight w:val="none"/>
          <w:u w:val="single"/>
        </w:rPr>
        <w:t xml:space="preserve"> </w:t>
      </w:r>
      <w:r>
        <w:rPr>
          <w:rFonts w:hint="eastAsia" w:hAnsi="宋体" w:cs="宋体"/>
          <w:bCs/>
          <w:snapToGrid w:val="0"/>
          <w:color w:val="auto"/>
          <w:kern w:val="0"/>
          <w:highlight w:val="none"/>
          <w:u w:val="single"/>
          <w:lang w:val="en-US" w:eastAsia="zh-CN"/>
        </w:rPr>
        <w:t>2</w:t>
      </w:r>
      <w:r>
        <w:rPr>
          <w:rFonts w:hint="eastAsia" w:ascii="宋体" w:hAnsi="宋体" w:eastAsia="宋体" w:cs="宋体"/>
          <w:bCs/>
          <w:snapToGrid w:val="0"/>
          <w:color w:val="auto"/>
          <w:kern w:val="0"/>
          <w:highlight w:val="none"/>
          <w:u w:val="single"/>
        </w:rPr>
        <w:t xml:space="preserve"> </w:t>
      </w:r>
      <w:r>
        <w:rPr>
          <w:rFonts w:hint="eastAsia" w:ascii="宋体" w:hAnsi="宋体" w:eastAsia="宋体" w:cs="宋体"/>
          <w:bCs/>
          <w:snapToGrid w:val="0"/>
          <w:color w:val="auto"/>
          <w:kern w:val="0"/>
          <w:highlight w:val="none"/>
        </w:rPr>
        <w:t>年（自通过竣工验收之日起计）。</w:t>
      </w:r>
      <w:r>
        <w:rPr>
          <w:rFonts w:hint="eastAsia" w:ascii="宋体" w:hAnsi="宋体" w:eastAsia="宋体" w:cs="宋体"/>
          <w:snapToGrid w:val="0"/>
          <w:color w:val="auto"/>
          <w:kern w:val="0"/>
          <w:highlight w:val="none"/>
        </w:rPr>
        <w:t>缺陷责任期到期后，承包人向发包人申请退还质量保证。发包人收到退还申请后，于14天内会同承包人进行核实。经双方核实且均无异议后，发包人在核实之日起</w:t>
      </w:r>
      <w:r>
        <w:rPr>
          <w:rFonts w:hint="eastAsia" w:ascii="宋体" w:hAnsi="宋体" w:eastAsia="宋体" w:cs="宋体"/>
          <w:snapToGrid w:val="0"/>
          <w:color w:val="auto"/>
          <w:kern w:val="0"/>
          <w:highlight w:val="none"/>
          <w:u w:val="single"/>
        </w:rPr>
        <w:t xml:space="preserve"> 14 </w:t>
      </w:r>
      <w:r>
        <w:rPr>
          <w:rFonts w:hint="eastAsia" w:ascii="宋体" w:hAnsi="宋体" w:eastAsia="宋体" w:cs="宋体"/>
          <w:snapToGrid w:val="0"/>
          <w:color w:val="auto"/>
          <w:kern w:val="0"/>
          <w:highlight w:val="none"/>
        </w:rPr>
        <w:t>天内将应返保证金（或银行保函）退还承包人。</w:t>
      </w:r>
    </w:p>
    <w:p w14:paraId="02B4D296">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szCs w:val="24"/>
          <w:highlight w:val="none"/>
        </w:rPr>
        <w:t>3.9</w:t>
      </w: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lang w:val="en-US" w:eastAsia="zh-CN"/>
        </w:rPr>
        <w:t>发包人每次支付工程款前，承包人均应提供有效的增值税专用发票。如果承包人无法提供符合要求的发票，由此造成的相应损失由承包人承担。</w:t>
      </w:r>
      <w:r>
        <w:rPr>
          <w:rFonts w:hint="eastAsia" w:ascii="宋体" w:hAnsi="宋体" w:eastAsia="宋体" w:cs="宋体"/>
          <w:snapToGrid w:val="0"/>
          <w:color w:val="auto"/>
          <w:kern w:val="0"/>
          <w:highlight w:val="none"/>
        </w:rPr>
        <w:t>所有工程款均以市财政局审核价款支付为准。</w:t>
      </w:r>
    </w:p>
    <w:p w14:paraId="2D082E56">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bCs/>
          <w:snapToGrid w:val="0"/>
          <w:color w:val="auto"/>
          <w:kern w:val="0"/>
          <w:szCs w:val="24"/>
          <w:highlight w:val="none"/>
        </w:rPr>
        <w:t>3.10</w:t>
      </w:r>
      <w:r>
        <w:rPr>
          <w:rFonts w:hint="eastAsia" w:ascii="宋体" w:hAnsi="宋体" w:eastAsia="宋体" w:cs="宋体"/>
          <w:snapToGrid w:val="0"/>
          <w:color w:val="auto"/>
          <w:kern w:val="0"/>
          <w:szCs w:val="24"/>
          <w:highlight w:val="none"/>
        </w:rPr>
        <w:t xml:space="preserve"> 暂列金额支付方式：</w:t>
      </w:r>
      <w:r>
        <w:rPr>
          <w:rFonts w:hint="eastAsia" w:ascii="宋体" w:hAnsi="宋体" w:eastAsia="宋体" w:cs="宋体"/>
          <w:color w:val="auto"/>
          <w:sz w:val="24"/>
          <w:szCs w:val="24"/>
          <w:highlight w:val="none"/>
          <w:u w:val="single"/>
        </w:rPr>
        <w:t>承包人需根据发包人发布的《工程变更管理办法》和《工程签证管理办法》完善工程变更签证相关程序后，与每个月的工程进度款一并报送；若承包人原因未按上述办法在规定时间内完善工程变更签证相关程序的，当月工程进度款暂停拨付。在暂列金额的范围内，最终经发包人确认后支付至该部分实际完成工程量的90％，其余部分待结算完成审核后支付至97%，剩余3%为工程质量保修金</w:t>
      </w:r>
      <w:r>
        <w:rPr>
          <w:rFonts w:hint="eastAsia" w:ascii="宋体" w:hAnsi="宋体" w:eastAsia="宋体" w:cs="宋体"/>
          <w:snapToGrid w:val="0"/>
          <w:color w:val="auto"/>
          <w:kern w:val="0"/>
          <w:szCs w:val="24"/>
          <w:highlight w:val="none"/>
          <w:u w:val="single"/>
        </w:rPr>
        <w:t>。</w:t>
      </w:r>
    </w:p>
    <w:p w14:paraId="2FBA866B">
      <w:pPr>
        <w:snapToGrid w:val="0"/>
        <w:spacing w:line="360" w:lineRule="auto"/>
        <w:ind w:firstLine="482" w:firstLineChars="200"/>
        <w:rPr>
          <w:rFonts w:hint="eastAsia" w:ascii="宋体" w:hAnsi="宋体" w:eastAsia="宋体" w:cs="宋体"/>
          <w:b/>
          <w:bCs/>
          <w:snapToGrid w:val="0"/>
          <w:color w:val="auto"/>
          <w:kern w:val="0"/>
          <w:highlight w:val="none"/>
        </w:rPr>
      </w:pPr>
      <w:r>
        <w:rPr>
          <w:rFonts w:hint="eastAsia" w:ascii="宋体" w:hAnsi="宋体" w:eastAsia="宋体" w:cs="宋体"/>
          <w:b/>
          <w:snapToGrid w:val="0"/>
          <w:color w:val="auto"/>
          <w:kern w:val="0"/>
          <w:szCs w:val="24"/>
          <w:highlight w:val="none"/>
        </w:rPr>
        <w:t>3.11</w:t>
      </w:r>
      <w:r>
        <w:rPr>
          <w:rFonts w:hint="eastAsia" w:ascii="宋体" w:hAnsi="宋体" w:eastAsia="宋体" w:cs="宋体"/>
          <w:color w:val="auto"/>
          <w:sz w:val="24"/>
          <w:szCs w:val="24"/>
          <w:highlight w:val="none"/>
        </w:rPr>
        <w:t>材料暂估价、专业工程暂估价支付方式：</w:t>
      </w:r>
      <w:r>
        <w:rPr>
          <w:rFonts w:hint="eastAsia" w:ascii="宋体" w:hAnsi="宋体" w:eastAsia="宋体" w:cs="宋体"/>
          <w:color w:val="auto"/>
          <w:sz w:val="24"/>
          <w:szCs w:val="24"/>
          <w:highlight w:val="none"/>
          <w:u w:val="single"/>
        </w:rPr>
        <w:t xml:space="preserve"> 材料暂估价、专业工程暂估价与每个月的工程进度款一并报送，但需要列明详细项目内容，该部分材料暂估价、专业工程暂估价按该部分实际完成工程量的50%支付，剩余部分结算完成后支付至97%，剩余3%为工程质量保修金</w:t>
      </w:r>
      <w:r>
        <w:rPr>
          <w:rFonts w:hint="eastAsia" w:ascii="宋体" w:hAnsi="宋体" w:eastAsia="宋体" w:cs="宋体"/>
          <w:color w:val="auto"/>
          <w:sz w:val="24"/>
          <w:szCs w:val="24"/>
          <w:highlight w:val="none"/>
        </w:rPr>
        <w:t>。</w:t>
      </w:r>
    </w:p>
    <w:p w14:paraId="4A99466E">
      <w:pPr>
        <w:wordWrap w:val="0"/>
        <w:adjustRightInd w:val="0"/>
        <w:snapToGrid w:val="0"/>
        <w:spacing w:line="360" w:lineRule="auto"/>
        <w:ind w:firstLine="482" w:firstLineChars="200"/>
        <w:rPr>
          <w:rFonts w:hint="eastAsia" w:ascii="宋体" w:hAnsi="宋体" w:eastAsia="宋体" w:cs="宋体"/>
          <w:b/>
          <w:bCs/>
          <w:snapToGrid w:val="0"/>
          <w:color w:val="auto"/>
          <w:kern w:val="0"/>
          <w:szCs w:val="24"/>
          <w:highlight w:val="none"/>
        </w:rPr>
      </w:pPr>
    </w:p>
    <w:p w14:paraId="7ECAAEC7">
      <w:pPr>
        <w:wordWrap w:val="0"/>
        <w:adjustRightInd w:val="0"/>
        <w:snapToGrid w:val="0"/>
        <w:spacing w:line="360" w:lineRule="auto"/>
        <w:ind w:firstLine="482" w:firstLineChars="200"/>
        <w:rPr>
          <w:rFonts w:hint="eastAsia" w:ascii="宋体" w:hAnsi="宋体" w:eastAsia="宋体" w:cs="宋体"/>
          <w:snapToGrid w:val="0"/>
          <w:color w:val="auto"/>
          <w:kern w:val="0"/>
          <w:szCs w:val="24"/>
          <w:highlight w:val="none"/>
        </w:rPr>
      </w:pPr>
      <w:r>
        <w:rPr>
          <w:rFonts w:hint="eastAsia" w:ascii="宋体" w:hAnsi="宋体" w:eastAsia="宋体" w:cs="宋体"/>
          <w:b/>
          <w:color w:val="auto"/>
          <w:kern w:val="0"/>
          <w:sz w:val="24"/>
          <w:highlight w:val="none"/>
          <w:lang w:val="en-US" w:eastAsia="zh-CN" w:bidi="ar-SA"/>
        </w:rPr>
        <w:t>4．</w:t>
      </w:r>
      <w:r>
        <w:rPr>
          <w:rFonts w:hint="eastAsia" w:hAnsi="宋体" w:cs="宋体"/>
          <w:b/>
          <w:color w:val="auto"/>
          <w:kern w:val="0"/>
          <w:sz w:val="24"/>
          <w:highlight w:val="none"/>
          <w:lang w:val="en-US" w:eastAsia="zh-CN" w:bidi="ar-SA"/>
        </w:rPr>
        <w:t>其他</w:t>
      </w:r>
      <w:r>
        <w:rPr>
          <w:rFonts w:hint="eastAsia" w:ascii="宋体" w:hAnsi="宋体" w:eastAsia="宋体" w:cs="宋体"/>
          <w:b/>
          <w:color w:val="auto"/>
          <w:kern w:val="0"/>
          <w:sz w:val="24"/>
          <w:highlight w:val="none"/>
          <w:lang w:val="en-US" w:eastAsia="zh-CN" w:bidi="ar-SA"/>
        </w:rPr>
        <w:t>专用合同条款</w:t>
      </w:r>
      <w:r>
        <w:rPr>
          <w:rFonts w:hint="eastAsia" w:ascii="宋体" w:hAnsi="宋体" w:eastAsia="宋体" w:cs="宋体"/>
          <w:snapToGrid w:val="0"/>
          <w:color w:val="auto"/>
          <w:kern w:val="0"/>
          <w:szCs w:val="24"/>
          <w:highlight w:val="none"/>
        </w:rPr>
        <w:t>（由招标人根据本工程实际情况和地方政策与中标人自行协商签定相关专用合同条款。）</w:t>
      </w:r>
    </w:p>
    <w:bookmarkEnd w:id="170"/>
    <w:bookmarkEnd w:id="171"/>
    <w:p w14:paraId="73A29480">
      <w:pPr>
        <w:pStyle w:val="4"/>
        <w:bidi w:val="0"/>
        <w:spacing w:line="360" w:lineRule="auto"/>
        <w:ind w:firstLine="964"/>
        <w:rPr>
          <w:rFonts w:hint="eastAsia" w:ascii="宋体" w:hAnsi="宋体" w:eastAsia="宋体" w:cs="Times New Roman"/>
          <w:color w:val="auto"/>
          <w:highlight w:val="none"/>
        </w:rPr>
      </w:pPr>
      <w:bookmarkStart w:id="203" w:name="_Toc9642"/>
      <w:bookmarkStart w:id="204" w:name="_Toc21669"/>
      <w:bookmarkStart w:id="205" w:name="_Hlt69698796"/>
      <w:r>
        <w:rPr>
          <w:rFonts w:hint="eastAsia" w:cs="Times New Roman"/>
          <w:color w:val="auto"/>
          <w:highlight w:val="none"/>
          <w:lang w:val="en-US" w:eastAsia="zh-CN"/>
        </w:rPr>
        <w:t>4.1.</w:t>
      </w:r>
      <w:r>
        <w:rPr>
          <w:rFonts w:hint="eastAsia" w:ascii="宋体" w:hAnsi="宋体" w:eastAsia="宋体" w:cs="Times New Roman"/>
          <w:color w:val="auto"/>
          <w:highlight w:val="none"/>
        </w:rPr>
        <w:t>专业工程分包</w:t>
      </w:r>
      <w:bookmarkEnd w:id="203"/>
    </w:p>
    <w:p w14:paraId="3CE814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snapToGrid w:val="0"/>
          <w:color w:val="auto"/>
          <w:kern w:val="0"/>
          <w:highlight w:val="none"/>
        </w:rPr>
        <w:t>合同范围内的工程未经发包人同意一律不得分包，一经发现，取消承包人的承包资格，由此引起的一切经济损失和法律责任由承包人自行承担。若有专业工程必须分包的，</w:t>
      </w:r>
      <w:r>
        <w:rPr>
          <w:rFonts w:hint="eastAsia" w:hAnsi="宋体" w:cs="宋体"/>
          <w:snapToGrid w:val="0"/>
          <w:color w:val="auto"/>
          <w:kern w:val="0"/>
          <w:highlight w:val="none"/>
          <w:lang w:val="en-US" w:eastAsia="zh-CN"/>
        </w:rPr>
        <w:t>中标人必须发包给具备相应资质的专业分包人，</w:t>
      </w:r>
      <w:r>
        <w:rPr>
          <w:rFonts w:hint="eastAsia" w:ascii="宋体" w:hAnsi="宋体" w:eastAsia="宋体" w:cs="宋体"/>
          <w:snapToGrid w:val="0"/>
          <w:color w:val="auto"/>
          <w:kern w:val="0"/>
          <w:highlight w:val="none"/>
        </w:rPr>
        <w:t>发包人不另行支付总包服务费；其分包合同由总包人与分包人双方签订，发包人不参与总包人与分包人之间的结算，该部分工程的造价仍按总包人与发包人签订的合同的有关条款进行结算。</w:t>
      </w:r>
    </w:p>
    <w:p w14:paraId="4D15650B">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06" w:name="_Toc4288"/>
      <w:bookmarkStart w:id="207" w:name="_Toc23958"/>
      <w:r>
        <w:rPr>
          <w:rFonts w:hint="eastAsia" w:ascii="宋体" w:hAnsi="宋体" w:eastAsia="宋体" w:cs="宋体"/>
          <w:b/>
          <w:bCs w:val="0"/>
          <w:snapToGrid w:val="0"/>
          <w:color w:val="auto"/>
          <w:kern w:val="0"/>
          <w:sz w:val="24"/>
          <w:szCs w:val="24"/>
          <w:highlight w:val="none"/>
        </w:rPr>
        <w:t>4.2．工人工资支付专用账户</w:t>
      </w:r>
      <w:bookmarkEnd w:id="206"/>
      <w:bookmarkEnd w:id="207"/>
    </w:p>
    <w:p w14:paraId="3EA720D2">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4.2.1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49301C50">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4.2.2依据人力资源社会保障部等十部门印发的《工程建设领域农民工工资专用账户管理暂行办法》（人社部发〔2021〕53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25EBE086">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按韶关市人力资源和社会保障局 韶关市住房和城乡建设管理局 韶关市交通运输局韶关市水务局 韶关市金融工作局 国家金融监督管理总局韶关监管分局关于印发《韶关市工程建设领域农民工工资保证金管理实施细则》的通知(韶人社规〔2023〕2 号)及《韶关市工程建设领域农民工工资保证金管理实施细则》（韶法审〔2023〕19 号）规定执行。承包人在签订工程施工承包合同后一个月内必须办妥该事项，并将办妥回执交发包人。</w:t>
      </w:r>
    </w:p>
    <w:p w14:paraId="52A65D04">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 2 倍向发包人支付违约金。</w:t>
      </w:r>
    </w:p>
    <w:p w14:paraId="37CA8F42">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4.2.3承包人应在工资专户开立后 2 个工作日内，将开户银行及其账号、开户协议等资料提交给发包人。 </w:t>
      </w:r>
    </w:p>
    <w:p w14:paraId="643C7426">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（1）用人单位应当在建设项目动工前，在建设项目所在地银行设立工人工资支付专用账户。 </w:t>
      </w:r>
    </w:p>
    <w:p w14:paraId="4695E85C">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（2）用人单位应当在用工之日起 15 日内为每一位工人办理个人银行账户。 </w:t>
      </w:r>
    </w:p>
    <w:p w14:paraId="04FEC7F4">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（3）用人单位应当指定专人负责建设项目施工现场台账管理，真实、准确记录工人名册、劳务合同、劳动合同、工程进度、工时台账、劳务承包款和工人工资支付等信息，并保存两年以上备查。 </w:t>
      </w:r>
    </w:p>
    <w:p w14:paraId="67C27170">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7488AAAA">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eastAsia="宋体" w:cs="宋体"/>
          <w:b w:val="0"/>
          <w:bCs/>
          <w:snapToGrid w:val="0"/>
          <w:color w:val="auto"/>
          <w:kern w:val="0"/>
          <w:sz w:val="24"/>
          <w:szCs w:val="24"/>
          <w:highlight w:val="none"/>
        </w:rPr>
        <w:t>4.2.</w:t>
      </w:r>
      <w:r>
        <w:rPr>
          <w:rFonts w:hint="eastAsia" w:ascii="宋体" w:hAnsi="宋体" w:cs="宋体"/>
          <w:b w:val="0"/>
          <w:bCs/>
          <w:snapToGrid w:val="0"/>
          <w:color w:val="auto"/>
          <w:kern w:val="0"/>
          <w:sz w:val="24"/>
          <w:szCs w:val="24"/>
          <w:highlight w:val="none"/>
          <w:lang w:val="en-US" w:eastAsia="zh-CN"/>
        </w:rPr>
        <w:t>4</w:t>
      </w:r>
      <w:r>
        <w:rPr>
          <w:rFonts w:hint="eastAsia" w:ascii="宋体" w:hAnsi="宋体" w:eastAsia="宋体" w:cs="宋体"/>
          <w:b w:val="0"/>
          <w:bCs/>
          <w:snapToGrid w:val="0"/>
          <w:color w:val="auto"/>
          <w:kern w:val="0"/>
          <w:sz w:val="24"/>
          <w:szCs w:val="24"/>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0D9E5498">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4.2.5承包人必须依照各相关规定做好工人工资支付保证金、工人工资支付专用账户、用工实名制管理工作。</w:t>
      </w:r>
    </w:p>
    <w:p w14:paraId="30C1DAED">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（1）施工预付款中已包括施工合同价的5%专用于承包人办理工人工资支付保证金，承包人必须于合同签订后5个工作日内办理完成保证金缴交或免缴手续。</w:t>
      </w:r>
    </w:p>
    <w:p w14:paraId="16C79322">
      <w:pPr>
        <w:pStyle w:val="61"/>
        <w:spacing w:line="360" w:lineRule="auto"/>
        <w:ind w:firstLine="480" w:firstLineChars="200"/>
        <w:jc w:val="left"/>
        <w:rPr>
          <w:rFonts w:hint="eastAsia" w:ascii="宋体" w:hAnsi="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2）承包人已依照相关规定开立工人工资支付专用账户，发包人支付工程进度款时，其中75%支付进入本合同协议书载明的承包人账户、其中25%支付进入本款载明的工人工资支付专用账户。承包人必须与所有聘用人员签订劳动合同，并按劳动合同约定每月足额通过专用账户发放工资，并按月将工资发放资料提交一份给发包人。</w:t>
      </w:r>
    </w:p>
    <w:p w14:paraId="67282E75">
      <w:pPr>
        <w:pStyle w:val="61"/>
        <w:spacing w:line="360" w:lineRule="auto"/>
        <w:ind w:firstLine="480" w:firstLineChars="200"/>
        <w:jc w:val="left"/>
        <w:rPr>
          <w:rFonts w:hint="default" w:ascii="宋体" w:hAnsi="宋体" w:eastAsia="宋体" w:cs="宋体"/>
          <w:b w:val="0"/>
          <w:bCs/>
          <w:snapToGrid w:val="0"/>
          <w:color w:val="auto"/>
          <w:kern w:val="0"/>
          <w:sz w:val="24"/>
          <w:szCs w:val="24"/>
          <w:highlight w:val="none"/>
          <w:lang w:val="en-US" w:eastAsia="zh-CN"/>
        </w:rPr>
      </w:pPr>
      <w:r>
        <w:rPr>
          <w:rFonts w:hint="eastAsia" w:ascii="宋体" w:hAnsi="宋体" w:cs="宋体"/>
          <w:b w:val="0"/>
          <w:bCs/>
          <w:snapToGrid w:val="0"/>
          <w:color w:val="auto"/>
          <w:kern w:val="0"/>
          <w:sz w:val="24"/>
          <w:szCs w:val="24"/>
          <w:highlight w:val="none"/>
          <w:lang w:val="en-US" w:eastAsia="zh-CN"/>
        </w:rPr>
        <w:t>（3）承包人应在开工前编制用工实名管理专项方案以及费用使用计划，经监理单位审批后，作为施工合同的组成部分，并依照相关规定做好用工实名信息化管理。</w:t>
      </w:r>
    </w:p>
    <w:p w14:paraId="7FB799B2">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08" w:name="_Toc15476"/>
      <w:bookmarkStart w:id="209" w:name="_Toc21233"/>
      <w:r>
        <w:rPr>
          <w:rFonts w:hint="eastAsia" w:ascii="宋体" w:hAnsi="宋体" w:eastAsia="宋体" w:cs="宋体"/>
          <w:b/>
          <w:bCs w:val="0"/>
          <w:snapToGrid w:val="0"/>
          <w:color w:val="auto"/>
          <w:kern w:val="0"/>
          <w:sz w:val="24"/>
          <w:szCs w:val="24"/>
          <w:highlight w:val="none"/>
        </w:rPr>
        <w:t>4.3．诚信登记</w:t>
      </w:r>
      <w:bookmarkEnd w:id="208"/>
      <w:bookmarkEnd w:id="209"/>
    </w:p>
    <w:p w14:paraId="58A308A9">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根据资质管理规定，许可机关应当建立、健全建筑业企业信用档案管理制度，包括企业基本信息、资质、业绩、工程质量和安全、合同履约、社会投诉和违法行为等情况。</w:t>
      </w:r>
    </w:p>
    <w:p w14:paraId="2FFED412">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0" w:name="_Toc30115"/>
      <w:bookmarkStart w:id="211" w:name="_Toc24195"/>
      <w:r>
        <w:rPr>
          <w:rFonts w:hint="eastAsia" w:ascii="宋体" w:hAnsi="宋体" w:eastAsia="宋体" w:cs="宋体"/>
          <w:b/>
          <w:bCs w:val="0"/>
          <w:snapToGrid w:val="0"/>
          <w:color w:val="auto"/>
          <w:kern w:val="0"/>
          <w:sz w:val="24"/>
          <w:szCs w:val="24"/>
          <w:highlight w:val="none"/>
        </w:rPr>
        <w:t>4.4．工期进度</w:t>
      </w:r>
      <w:bookmarkEnd w:id="210"/>
      <w:bookmarkEnd w:id="211"/>
    </w:p>
    <w:p w14:paraId="1F897EDB">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4.4.1本招标项目施工工期为</w:t>
      </w:r>
      <w:r>
        <w:rPr>
          <w:rFonts w:hint="eastAsia" w:ascii="宋体" w:hAnsi="宋体" w:cs="宋体"/>
          <w:b w:val="0"/>
          <w:bCs/>
          <w:snapToGrid w:val="0"/>
          <w:color w:val="auto"/>
          <w:kern w:val="0"/>
          <w:sz w:val="24"/>
          <w:szCs w:val="24"/>
          <w:highlight w:val="none"/>
          <w:u w:val="single"/>
          <w:lang w:val="en-US" w:eastAsia="zh-CN"/>
        </w:rPr>
        <w:t>120</w:t>
      </w:r>
      <w:r>
        <w:rPr>
          <w:rFonts w:hint="eastAsia" w:ascii="宋体" w:hAnsi="宋体" w:eastAsia="宋体" w:cs="宋体"/>
          <w:b w:val="0"/>
          <w:bCs/>
          <w:snapToGrid w:val="0"/>
          <w:color w:val="auto"/>
          <w:kern w:val="0"/>
          <w:sz w:val="24"/>
          <w:szCs w:val="24"/>
          <w:highlight w:val="none"/>
        </w:rPr>
        <w:t>个日历天，承包人必须在招标工期内完成招标范围内的全部内容。</w:t>
      </w:r>
    </w:p>
    <w:p w14:paraId="5F82ECAA">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4.4.2 施工工期从承包人收到监理单位签发的开工令之日起计，至竣工验收合格之日止。</w:t>
      </w:r>
    </w:p>
    <w:p w14:paraId="34C25D64">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4.2.3工期奖罚</w:t>
      </w:r>
    </w:p>
    <w:p w14:paraId="4017E8FB">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 xml:space="preserve">□竣工验收合格交付使用每提前/天竣工；奖/元，奖励金额不超过合同价款的%（一般为 2%～5%）且不超过/万元。 </w:t>
      </w:r>
    </w:p>
    <w:p w14:paraId="25FEAB2F">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☑按施工合同期约定，因承包人原因每延误1天竣工，罚</w:t>
      </w:r>
      <w:r>
        <w:rPr>
          <w:rFonts w:hint="eastAsia" w:ascii="宋体" w:hAnsi="宋体" w:cs="宋体"/>
          <w:b w:val="0"/>
          <w:bCs/>
          <w:snapToGrid w:val="0"/>
          <w:color w:val="auto"/>
          <w:kern w:val="0"/>
          <w:sz w:val="24"/>
          <w:szCs w:val="24"/>
          <w:highlight w:val="none"/>
          <w:lang w:val="en-US" w:eastAsia="zh-CN"/>
        </w:rPr>
        <w:t>5000.00</w:t>
      </w:r>
      <w:r>
        <w:rPr>
          <w:rFonts w:hint="eastAsia" w:ascii="宋体" w:hAnsi="宋体" w:eastAsia="宋体" w:cs="宋体"/>
          <w:b w:val="0"/>
          <w:bCs/>
          <w:snapToGrid w:val="0"/>
          <w:color w:val="auto"/>
          <w:kern w:val="0"/>
          <w:sz w:val="24"/>
          <w:szCs w:val="24"/>
          <w:highlight w:val="none"/>
        </w:rPr>
        <w:t xml:space="preserve">元。 </w:t>
      </w:r>
    </w:p>
    <w:p w14:paraId="0FB92D9A">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□按施工合同期约定，因承包人原因延误工期</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天内不处罚，自第</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天起每延误</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天竣工, 罚</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元。处罚金额不超过合同价款的 %（一般为 2%～5%）且不超过</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万元，累计延误工期达到</w:t>
      </w:r>
      <w:r>
        <w:rPr>
          <w:rFonts w:hint="eastAsia" w:ascii="宋体" w:hAnsi="宋体" w:cs="宋体"/>
          <w:b w:val="0"/>
          <w:bCs/>
          <w:snapToGrid w:val="0"/>
          <w:color w:val="auto"/>
          <w:kern w:val="0"/>
          <w:sz w:val="24"/>
          <w:szCs w:val="24"/>
          <w:highlight w:val="none"/>
          <w:lang w:val="en-US" w:eastAsia="zh-CN"/>
        </w:rPr>
        <w:t xml:space="preserve"> </w:t>
      </w:r>
      <w:r>
        <w:rPr>
          <w:rFonts w:hint="eastAsia" w:ascii="宋体" w:hAnsi="宋体" w:eastAsia="宋体" w:cs="宋体"/>
          <w:b w:val="0"/>
          <w:bCs/>
          <w:snapToGrid w:val="0"/>
          <w:color w:val="auto"/>
          <w:kern w:val="0"/>
          <w:sz w:val="24"/>
          <w:szCs w:val="24"/>
          <w:highlight w:val="none"/>
        </w:rPr>
        <w:t xml:space="preserve">天，报请建设行政主管部门作不良行为记录，非承包方原因或不可抗力造成延误的除外。 </w:t>
      </w:r>
    </w:p>
    <w:p w14:paraId="5A1DE31E">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□其它说明：/</w:t>
      </w:r>
    </w:p>
    <w:p w14:paraId="5A5D4889">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2" w:name="_Toc16363"/>
      <w:bookmarkStart w:id="213" w:name="_Toc21648"/>
      <w:r>
        <w:rPr>
          <w:rFonts w:hint="eastAsia" w:ascii="宋体" w:hAnsi="宋体" w:eastAsia="宋体" w:cs="宋体"/>
          <w:b/>
          <w:bCs w:val="0"/>
          <w:snapToGrid w:val="0"/>
          <w:color w:val="auto"/>
          <w:kern w:val="0"/>
          <w:sz w:val="24"/>
          <w:szCs w:val="24"/>
          <w:highlight w:val="none"/>
        </w:rPr>
        <w:t>4.5．项目管理机构</w:t>
      </w:r>
      <w:bookmarkEnd w:id="212"/>
      <w:bookmarkEnd w:id="213"/>
    </w:p>
    <w:p w14:paraId="5C012F1C">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4.5.1 承包人派驻的项目管理班子成员必须为其投标文件确定的人员，否则发包人有权终止合同。</w:t>
      </w:r>
    </w:p>
    <w:p w14:paraId="001A7AC6">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4.5.2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466AE90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eastAsia="宋体"/>
          <w:color w:val="auto"/>
          <w:highlight w:val="none"/>
          <w:lang w:val="en-US" w:eastAsia="zh-CN"/>
        </w:rPr>
      </w:pPr>
      <w:r>
        <w:rPr>
          <w:rFonts w:hint="eastAsia" w:hAnsi="宋体" w:cs="宋体"/>
          <w:b w:val="0"/>
          <w:bCs/>
          <w:snapToGrid w:val="0"/>
          <w:color w:val="auto"/>
          <w:kern w:val="0"/>
          <w:sz w:val="24"/>
          <w:szCs w:val="24"/>
          <w:highlight w:val="none"/>
          <w:lang w:val="en-US" w:eastAsia="zh-CN"/>
        </w:rPr>
        <w:t>4.5.3根据项目实施进度情况，发包人有权要求承包人增派项目管理人员，以满足项目的现场管理工作要求。</w:t>
      </w:r>
    </w:p>
    <w:p w14:paraId="35E7ED36">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4" w:name="_Toc21811"/>
      <w:bookmarkStart w:id="215" w:name="_Toc16233"/>
      <w:r>
        <w:rPr>
          <w:rFonts w:hint="eastAsia" w:ascii="宋体" w:hAnsi="宋体" w:eastAsia="宋体" w:cs="宋体"/>
          <w:b/>
          <w:bCs w:val="0"/>
          <w:snapToGrid w:val="0"/>
          <w:color w:val="auto"/>
          <w:kern w:val="0"/>
          <w:sz w:val="24"/>
          <w:szCs w:val="24"/>
          <w:highlight w:val="none"/>
        </w:rPr>
        <w:t>4.6．现场管理</w:t>
      </w:r>
      <w:bookmarkEnd w:id="214"/>
      <w:bookmarkEnd w:id="215"/>
    </w:p>
    <w:p w14:paraId="171D14F0">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4.61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75D9EB01">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4.6.2 承包人应按安全施工有关规定，采取严格、科学的安全防护措施，确保施工和人员（包括第三者）的安全，承担由于自身安全防护措施不力所造成的安全事故责任和发生的费用。</w:t>
      </w:r>
    </w:p>
    <w:p w14:paraId="53D2B619">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4.6.3 为保证施工现场的环境卫生，承包人在本招标项目施工过程中，所有的车辆必须按发包人规定的行车路线行驶。</w:t>
      </w:r>
    </w:p>
    <w:p w14:paraId="5373956E">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6" w:name="_Toc1176"/>
      <w:bookmarkStart w:id="217" w:name="_Toc1442"/>
      <w:r>
        <w:rPr>
          <w:rFonts w:hint="eastAsia" w:ascii="宋体" w:hAnsi="宋体" w:eastAsia="宋体" w:cs="宋体"/>
          <w:b/>
          <w:bCs w:val="0"/>
          <w:snapToGrid w:val="0"/>
          <w:color w:val="auto"/>
          <w:kern w:val="0"/>
          <w:sz w:val="24"/>
          <w:szCs w:val="24"/>
          <w:highlight w:val="none"/>
        </w:rPr>
        <w:t>4.7．监督实施</w:t>
      </w:r>
      <w:bookmarkEnd w:id="216"/>
      <w:bookmarkEnd w:id="217"/>
    </w:p>
    <w:p w14:paraId="61B36255">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5CA00D6A">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18" w:name="_Toc1485"/>
      <w:bookmarkStart w:id="219" w:name="_Toc5482"/>
      <w:r>
        <w:rPr>
          <w:rFonts w:hint="eastAsia" w:ascii="宋体" w:hAnsi="宋体" w:eastAsia="宋体" w:cs="宋体"/>
          <w:b/>
          <w:bCs w:val="0"/>
          <w:snapToGrid w:val="0"/>
          <w:color w:val="auto"/>
          <w:kern w:val="0"/>
          <w:sz w:val="24"/>
          <w:szCs w:val="24"/>
          <w:highlight w:val="none"/>
        </w:rPr>
        <w:t>4.8．主材的采购和使用</w:t>
      </w:r>
      <w:bookmarkEnd w:id="218"/>
      <w:bookmarkEnd w:id="219"/>
    </w:p>
    <w:p w14:paraId="5CFBA4FD">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0D4C92C1">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0" w:name="_Toc27130"/>
      <w:bookmarkStart w:id="221" w:name="_Toc11557"/>
      <w:r>
        <w:rPr>
          <w:rFonts w:hint="eastAsia" w:ascii="宋体" w:hAnsi="宋体" w:eastAsia="宋体" w:cs="宋体"/>
          <w:b/>
          <w:bCs w:val="0"/>
          <w:snapToGrid w:val="0"/>
          <w:color w:val="auto"/>
          <w:kern w:val="0"/>
          <w:sz w:val="24"/>
          <w:szCs w:val="24"/>
          <w:highlight w:val="none"/>
        </w:rPr>
        <w:t>4.9</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竣工资料移交</w:t>
      </w:r>
      <w:bookmarkEnd w:id="220"/>
      <w:bookmarkEnd w:id="221"/>
    </w:p>
    <w:p w14:paraId="2D74B9D8">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项目竣工验收时，承包人应向监理单位和发包人提供符合国家档案部门备案要求的，编制成册的竣工图及有关的技术档案资料（含声像档案）一式</w:t>
      </w:r>
      <w:r>
        <w:rPr>
          <w:rFonts w:hint="eastAsia" w:ascii="宋体" w:hAnsi="宋体" w:eastAsia="宋体" w:cs="宋体"/>
          <w:b w:val="0"/>
          <w:bCs/>
          <w:snapToGrid w:val="0"/>
          <w:color w:val="auto"/>
          <w:kern w:val="0"/>
          <w:sz w:val="24"/>
          <w:szCs w:val="24"/>
          <w:highlight w:val="none"/>
          <w:u w:val="single"/>
        </w:rPr>
        <w:t>八</w:t>
      </w:r>
      <w:r>
        <w:rPr>
          <w:rFonts w:hint="eastAsia" w:ascii="宋体" w:hAnsi="宋体" w:eastAsia="宋体" w:cs="宋体"/>
          <w:b w:val="0"/>
          <w:bCs/>
          <w:snapToGrid w:val="0"/>
          <w:color w:val="auto"/>
          <w:kern w:val="0"/>
          <w:sz w:val="24"/>
          <w:szCs w:val="24"/>
          <w:highlight w:val="none"/>
        </w:rPr>
        <w:t>份。</w:t>
      </w:r>
    </w:p>
    <w:p w14:paraId="153E1139">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2" w:name="_Toc14292"/>
      <w:bookmarkStart w:id="223" w:name="_Toc20949"/>
      <w:r>
        <w:rPr>
          <w:rFonts w:hint="eastAsia" w:ascii="宋体" w:hAnsi="宋体" w:eastAsia="宋体" w:cs="宋体"/>
          <w:b/>
          <w:bCs w:val="0"/>
          <w:snapToGrid w:val="0"/>
          <w:color w:val="auto"/>
          <w:kern w:val="0"/>
          <w:sz w:val="24"/>
          <w:szCs w:val="24"/>
          <w:highlight w:val="none"/>
        </w:rPr>
        <w:t>4.10</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质量保证</w:t>
      </w:r>
      <w:bookmarkEnd w:id="222"/>
      <w:bookmarkEnd w:id="223"/>
    </w:p>
    <w:p w14:paraId="7F4CAF78">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4.10.1 本招标项目缺陷责任期为</w:t>
      </w:r>
      <w:r>
        <w:rPr>
          <w:rFonts w:hint="eastAsia" w:ascii="宋体" w:hAnsi="宋体" w:eastAsia="宋体" w:cs="宋体"/>
          <w:b/>
          <w:bCs w:val="0"/>
          <w:snapToGrid w:val="0"/>
          <w:color w:val="auto"/>
          <w:kern w:val="0"/>
          <w:sz w:val="24"/>
          <w:szCs w:val="24"/>
          <w:highlight w:val="none"/>
          <w:u w:val="single"/>
        </w:rPr>
        <w:t>2</w:t>
      </w:r>
      <w:r>
        <w:rPr>
          <w:rFonts w:hint="eastAsia" w:ascii="宋体" w:hAnsi="宋体" w:eastAsia="宋体" w:cs="宋体"/>
          <w:b/>
          <w:bCs w:val="0"/>
          <w:snapToGrid w:val="0"/>
          <w:color w:val="auto"/>
          <w:kern w:val="0"/>
          <w:sz w:val="24"/>
          <w:szCs w:val="24"/>
          <w:highlight w:val="none"/>
        </w:rPr>
        <w:t>年</w:t>
      </w:r>
      <w:r>
        <w:rPr>
          <w:rFonts w:hint="eastAsia" w:ascii="宋体" w:hAnsi="宋体" w:eastAsia="宋体" w:cs="宋体"/>
          <w:b w:val="0"/>
          <w:bCs/>
          <w:snapToGrid w:val="0"/>
          <w:color w:val="auto"/>
          <w:kern w:val="0"/>
          <w:sz w:val="24"/>
          <w:szCs w:val="24"/>
          <w:highlight w:val="none"/>
        </w:rPr>
        <w:t>（自通过竣工验收之日起计），在此期间预留金额为结算价</w:t>
      </w:r>
      <w:r>
        <w:rPr>
          <w:rFonts w:hint="eastAsia" w:ascii="宋体" w:hAnsi="宋体" w:eastAsia="宋体" w:cs="宋体"/>
          <w:b/>
          <w:bCs w:val="0"/>
          <w:snapToGrid w:val="0"/>
          <w:color w:val="auto"/>
          <w:kern w:val="0"/>
          <w:sz w:val="24"/>
          <w:szCs w:val="24"/>
          <w:highlight w:val="none"/>
          <w:u w:val="single"/>
        </w:rPr>
        <w:t>3%</w:t>
      </w:r>
      <w:r>
        <w:rPr>
          <w:rFonts w:hint="eastAsia" w:ascii="宋体" w:hAnsi="宋体" w:eastAsia="宋体" w:cs="宋体"/>
          <w:b w:val="0"/>
          <w:bCs/>
          <w:snapToGrid w:val="0"/>
          <w:color w:val="auto"/>
          <w:kern w:val="0"/>
          <w:sz w:val="24"/>
          <w:szCs w:val="24"/>
          <w:highlight w:val="none"/>
        </w:rPr>
        <w:t>的质量保证。</w:t>
      </w:r>
    </w:p>
    <w:p w14:paraId="2FC3D744">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4.10.2 质量保证的形式：质量保证的形式包括质量保证金、质量保证担保、质量保证保险三种，由承包人自主选择。</w:t>
      </w:r>
    </w:p>
    <w:p w14:paraId="678237C6">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（1）采用质量保证金形式的，在结清审定总造价时一次性扣留相应金额作为质量保证金。</w:t>
      </w:r>
    </w:p>
    <w:p w14:paraId="43198DD8">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lang w:val="en-US" w:eastAsia="zh-CN"/>
        </w:rPr>
        <w:t>（2）采用质量保证担保或质量保证保险的，承包人应在竣工验收时向发包人提交有效的商业保函、银行保函或保险合同（或保险单）原件，商业保函、银行保函或保险合同（或保险单）的有效期不得短于缺陷责任期</w:t>
      </w:r>
      <w:r>
        <w:rPr>
          <w:rFonts w:hint="eastAsia" w:ascii="宋体" w:hAnsi="宋体" w:eastAsia="宋体" w:cs="宋体"/>
          <w:b w:val="0"/>
          <w:bCs/>
          <w:snapToGrid w:val="0"/>
          <w:color w:val="auto"/>
          <w:kern w:val="0"/>
          <w:sz w:val="24"/>
          <w:szCs w:val="24"/>
          <w:highlight w:val="none"/>
        </w:rPr>
        <w:t>。</w:t>
      </w:r>
    </w:p>
    <w:p w14:paraId="7D260679">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4.10.3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2FA502D8">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由他人原因造成的缺陷，发包人负责组织维修，承包人不承担费用，且发包人不得从质量保证中扣除费用。</w:t>
      </w:r>
    </w:p>
    <w:p w14:paraId="763C841D">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4.10.4 缺陷责任期内，承包人应认真履行合同约定的责任。缺陷责任期到期后，承包人向发包人申请退还质量保证，发包人应按照《建设工程质量保证金管理办法》有关规定将质量保证退还给承包人。</w:t>
      </w:r>
    </w:p>
    <w:p w14:paraId="7A891F03">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bookmarkStart w:id="224" w:name="_Toc211"/>
      <w:bookmarkStart w:id="225" w:name="_Toc9682"/>
      <w:r>
        <w:rPr>
          <w:rFonts w:hint="eastAsia" w:ascii="宋体" w:hAnsi="宋体" w:eastAsia="宋体" w:cs="宋体"/>
          <w:b/>
          <w:bCs w:val="0"/>
          <w:snapToGrid w:val="0"/>
          <w:color w:val="auto"/>
          <w:kern w:val="0"/>
          <w:sz w:val="24"/>
          <w:szCs w:val="24"/>
          <w:highlight w:val="none"/>
        </w:rPr>
        <w:t>4.11</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不良行为处理</w:t>
      </w:r>
      <w:bookmarkEnd w:id="224"/>
      <w:bookmarkEnd w:id="225"/>
    </w:p>
    <w:p w14:paraId="00651002">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5DE33D43">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（1）转包、违法分包或违反投标承诺分包工程的；</w:t>
      </w:r>
    </w:p>
    <w:p w14:paraId="253CB99F">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08756DD9">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（3）投标文件确定的大型机械设备没有进入施工现场的；</w:t>
      </w:r>
    </w:p>
    <w:p w14:paraId="3BA2B30A">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（4）与建设单位、监理单位串通，签认虚假工程量或工程造价的；</w:t>
      </w:r>
    </w:p>
    <w:p w14:paraId="110B95AF">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（5）项目经理施工现场管理不到位的；</w:t>
      </w:r>
    </w:p>
    <w:p w14:paraId="7DF6C304">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（6）项目经理在非本人资格证书注册单位从事工程项目施工管理的；</w:t>
      </w:r>
    </w:p>
    <w:p w14:paraId="039FAE7D">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（7）项目经理同时承担超过一项工程项目的；</w:t>
      </w:r>
    </w:p>
    <w:p w14:paraId="5A1E2D1E">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（8）违反有关法律、法规、规章规定的其它行为。</w:t>
      </w:r>
    </w:p>
    <w:p w14:paraId="75557C70">
      <w:pPr>
        <w:pStyle w:val="61"/>
        <w:spacing w:line="360" w:lineRule="auto"/>
        <w:ind w:firstLine="482" w:firstLineChars="200"/>
        <w:jc w:val="left"/>
        <w:rPr>
          <w:rFonts w:hint="eastAsia" w:ascii="宋体" w:hAnsi="宋体" w:eastAsia="宋体" w:cs="宋体"/>
          <w:b/>
          <w:bCs w:val="0"/>
          <w:snapToGrid w:val="0"/>
          <w:color w:val="auto"/>
          <w:kern w:val="0"/>
          <w:sz w:val="24"/>
          <w:szCs w:val="24"/>
          <w:highlight w:val="none"/>
        </w:rPr>
      </w:pPr>
      <w:bookmarkStart w:id="226" w:name="_Toc16682"/>
      <w:bookmarkStart w:id="227" w:name="_Toc15004"/>
      <w:r>
        <w:rPr>
          <w:rFonts w:hint="eastAsia" w:ascii="宋体" w:hAnsi="宋体" w:eastAsia="宋体" w:cs="宋体"/>
          <w:b/>
          <w:bCs w:val="0"/>
          <w:snapToGrid w:val="0"/>
          <w:color w:val="auto"/>
          <w:kern w:val="0"/>
          <w:sz w:val="24"/>
          <w:szCs w:val="24"/>
          <w:highlight w:val="none"/>
        </w:rPr>
        <w:t>4.12</w:t>
      </w:r>
      <w:r>
        <w:rPr>
          <w:rFonts w:hint="eastAsia" w:ascii="宋体" w:hAnsi="宋体" w:cs="宋体"/>
          <w:b/>
          <w:bCs w:val="0"/>
          <w:snapToGrid w:val="0"/>
          <w:color w:val="auto"/>
          <w:kern w:val="0"/>
          <w:sz w:val="24"/>
          <w:szCs w:val="24"/>
          <w:highlight w:val="none"/>
          <w:lang w:val="en-US" w:eastAsia="zh-CN"/>
        </w:rPr>
        <w:t>.</w:t>
      </w:r>
      <w:r>
        <w:rPr>
          <w:rFonts w:hint="eastAsia" w:ascii="宋体" w:hAnsi="宋体" w:eastAsia="宋体" w:cs="宋体"/>
          <w:b/>
          <w:bCs w:val="0"/>
          <w:snapToGrid w:val="0"/>
          <w:color w:val="auto"/>
          <w:kern w:val="0"/>
          <w:sz w:val="24"/>
          <w:szCs w:val="24"/>
          <w:highlight w:val="none"/>
        </w:rPr>
        <w:t>信用评价条款内容</w:t>
      </w:r>
      <w:bookmarkEnd w:id="226"/>
      <w:bookmarkEnd w:id="227"/>
    </w:p>
    <w:p w14:paraId="260E09D2">
      <w:pPr>
        <w:pStyle w:val="61"/>
        <w:spacing w:line="360" w:lineRule="auto"/>
        <w:ind w:firstLine="480"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 </w:t>
      </w:r>
    </w:p>
    <w:p w14:paraId="2A724234">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cs="宋体"/>
          <w:b/>
          <w:bCs w:val="0"/>
          <w:snapToGrid w:val="0"/>
          <w:color w:val="auto"/>
          <w:kern w:val="0"/>
          <w:sz w:val="24"/>
          <w:szCs w:val="24"/>
          <w:highlight w:val="none"/>
          <w:lang w:val="en-US" w:eastAsia="zh-CN"/>
        </w:rPr>
        <w:t>4.13.</w:t>
      </w:r>
      <w:r>
        <w:rPr>
          <w:rFonts w:hint="eastAsia" w:ascii="宋体" w:hAnsi="宋体" w:eastAsia="宋体" w:cs="宋体"/>
          <w:b w:val="0"/>
          <w:bCs/>
          <w:snapToGrid w:val="0"/>
          <w:color w:val="auto"/>
          <w:kern w:val="0"/>
          <w:sz w:val="24"/>
          <w:szCs w:val="24"/>
          <w:highlight w:val="none"/>
        </w:rPr>
        <w:t>危险性较大的分部分项工程安全管理约定。对危险性较大的工程必须按《危险性较大的分部分项工程安全管理规定》（中华人民共和国住房和城乡建设部令第37号）的规定编制专项施工方案。同时，从承包人必须按照《危险性较大的分部分项工程安全管理规定》的规定和经审批的专项施工方案履行安全职责，严格执行国家、地方政府有关施工安全管理方面的法律、法规及规章制度，同时严格执行发包人制订的本项目安全生产管理方面的规章制度、安全检查程序及施工安全管理要求，以及监理人有关安全工作的指令。</w:t>
      </w:r>
    </w:p>
    <w:p w14:paraId="034CC18B">
      <w:pPr>
        <w:pStyle w:val="61"/>
        <w:spacing w:line="360" w:lineRule="auto"/>
        <w:ind w:firstLine="480" w:firstLineChars="200"/>
        <w:jc w:val="left"/>
        <w:rPr>
          <w:rFonts w:hint="eastAsia" w:ascii="宋体" w:hAnsi="宋体" w:eastAsia="宋体" w:cs="宋体"/>
          <w:b/>
          <w:bCs w:val="0"/>
          <w:snapToGrid w:val="0"/>
          <w:color w:val="auto"/>
          <w:kern w:val="0"/>
          <w:sz w:val="24"/>
          <w:szCs w:val="24"/>
          <w:highlight w:val="none"/>
        </w:rPr>
      </w:pPr>
      <w:r>
        <w:rPr>
          <w:rFonts w:hint="eastAsia" w:ascii="宋体" w:hAnsi="宋体" w:eastAsia="宋体" w:cs="宋体"/>
          <w:b w:val="0"/>
          <w:bCs/>
          <w:snapToGrid w:val="0"/>
          <w:color w:val="auto"/>
          <w:kern w:val="0"/>
          <w:sz w:val="24"/>
          <w:szCs w:val="24"/>
          <w:highlight w:val="none"/>
        </w:rPr>
        <w:t>承包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 和《广东省安全生产委员会办公室 广东省住房和城乡建设厅关于&lt;严格落实危险性较大的分部分项工程“六不施工”要求的通知&gt;》（粤安办〔2020〕151 号）等有关危险性较大的分部分项工程的法规规定通知，履行建设工程安全生产管理职责。</w:t>
      </w:r>
    </w:p>
    <w:p w14:paraId="5714F8E5">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14.</w:t>
      </w:r>
      <w:r>
        <w:rPr>
          <w:rFonts w:hint="eastAsia" w:ascii="宋体" w:hAnsi="宋体" w:eastAsia="宋体" w:cs="宋体"/>
          <w:b w:val="0"/>
          <w:bCs/>
          <w:snapToGrid w:val="0"/>
          <w:color w:val="auto"/>
          <w:kern w:val="0"/>
          <w:sz w:val="24"/>
          <w:szCs w:val="24"/>
          <w:highlight w:val="none"/>
        </w:rPr>
        <w:t>承包人在工程实施过程中，按照国家、省、市的相关规定制定相关的专项安全施工方案（如高支模、基坑支护、沉井等），编制专项施工方案报监理人、招标人审批后方可开展专项工程的施工。</w:t>
      </w:r>
    </w:p>
    <w:p w14:paraId="6D850A8F">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5.</w:t>
      </w:r>
      <w:r>
        <w:rPr>
          <w:rFonts w:hint="eastAsia" w:ascii="宋体" w:hAnsi="宋体" w:eastAsia="宋体" w:cs="宋体"/>
          <w:b w:val="0"/>
          <w:bCs/>
          <w:snapToGrid w:val="0"/>
          <w:color w:val="auto"/>
          <w:kern w:val="0"/>
          <w:sz w:val="24"/>
          <w:szCs w:val="24"/>
          <w:highlight w:val="none"/>
        </w:rPr>
        <w:t>中标人须按照《韶关市建筑垃圾管理条例》（2021年5月1日起施行），将弃土运至招标人指定的场所，否则招标人有权要求中标人无条件将弃土从违约弃土点运至招标人指定的场所并扣除违约金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cs="宋体"/>
          <w:b w:val="0"/>
          <w:bCs/>
          <w:snapToGrid w:val="0"/>
          <w:color w:val="auto"/>
          <w:kern w:val="0"/>
          <w:sz w:val="24"/>
          <w:szCs w:val="24"/>
          <w:highlight w:val="none"/>
          <w:lang w:val="en-US" w:eastAsia="zh-CN"/>
        </w:rPr>
        <w:t>1</w:t>
      </w:r>
      <w:r>
        <w:rPr>
          <w:rFonts w:hint="eastAsia" w:ascii="宋体" w:hAnsi="宋体" w:eastAsia="宋体" w:cs="宋体"/>
          <w:b w:val="0"/>
          <w:bCs/>
          <w:snapToGrid w:val="0"/>
          <w:color w:val="auto"/>
          <w:kern w:val="0"/>
          <w:sz w:val="24"/>
          <w:szCs w:val="24"/>
          <w:highlight w:val="none"/>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韶关市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0F741952">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6.</w:t>
      </w:r>
      <w:r>
        <w:rPr>
          <w:rFonts w:hint="eastAsia" w:ascii="宋体" w:hAnsi="宋体" w:eastAsia="宋体" w:cs="宋体"/>
          <w:b w:val="0"/>
          <w:bCs/>
          <w:snapToGrid w:val="0"/>
          <w:color w:val="auto"/>
          <w:kern w:val="0"/>
          <w:sz w:val="24"/>
          <w:szCs w:val="24"/>
          <w:highlight w:val="none"/>
        </w:rPr>
        <w:t>工程竣工验收后15日内，中标人应按市城建档案馆的要求（质量、数量），将编制成册的施工档案资料（含声像档案和电子档案）提供给招标人、市城建档案馆、市住建管理局、管养单位及监理单位，并承担档案涉及的所有费用（制作标准和相关要求按市城建档案馆的有关规定执行）。中标人提交符合城建档案馆要求的竣工资料经招标人确认签收后，即可办理工程结算手续。</w:t>
      </w:r>
    </w:p>
    <w:p w14:paraId="119A4AF6">
      <w:pPr>
        <w:pStyle w:val="61"/>
        <w:spacing w:line="360" w:lineRule="auto"/>
        <w:ind w:firstLine="482" w:firstLineChars="200"/>
        <w:jc w:val="left"/>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17.</w:t>
      </w:r>
      <w:r>
        <w:rPr>
          <w:rFonts w:hint="eastAsia" w:ascii="宋体" w:hAnsi="宋体" w:eastAsia="宋体" w:cs="宋体"/>
          <w:b w:val="0"/>
          <w:bCs/>
          <w:snapToGrid w:val="0"/>
          <w:color w:val="auto"/>
          <w:kern w:val="0"/>
          <w:sz w:val="24"/>
          <w:szCs w:val="24"/>
          <w:highlight w:val="none"/>
        </w:rPr>
        <w:t xml:space="preserve">承包人应做好周边设施（含军用光缆、燃气、供电、供水、排水、排污、人行道、路灯、治安监控、交通电警等）的成品保护并及时与周边设施的权属单位协调解决，如因承包人原因导致上述设施发生损坏，承包人无条件按发包人规定的期限内修复，涉及成品保护费、索赔等一切费用全部由承包人自行解决。 </w:t>
      </w:r>
    </w:p>
    <w:p w14:paraId="582C81D6">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8.</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承包人中标后必须按规定及时缴交工人工资保证金、环保噪声排污费等。 </w:t>
      </w:r>
    </w:p>
    <w:p w14:paraId="129AC4D2">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4.1</w:t>
      </w:r>
      <w:r>
        <w:rPr>
          <w:rFonts w:hint="eastAsia" w:ascii="宋体" w:hAnsi="宋体" w:cs="宋体"/>
          <w:b/>
          <w:bCs w:val="0"/>
          <w:snapToGrid w:val="0"/>
          <w:color w:val="auto"/>
          <w:kern w:val="0"/>
          <w:sz w:val="24"/>
          <w:szCs w:val="24"/>
          <w:highlight w:val="none"/>
          <w:lang w:val="en-US" w:eastAsia="zh-CN"/>
        </w:rPr>
        <w:t>9.</w:t>
      </w:r>
      <w:r>
        <w:rPr>
          <w:rFonts w:hint="eastAsia" w:ascii="宋体" w:hAnsi="宋体" w:eastAsia="宋体" w:cs="宋体"/>
          <w:b w:val="0"/>
          <w:bCs/>
          <w:snapToGrid w:val="0"/>
          <w:color w:val="auto"/>
          <w:kern w:val="0"/>
          <w:sz w:val="24"/>
          <w:szCs w:val="24"/>
          <w:highlight w:val="none"/>
        </w:rPr>
        <w:t xml:space="preserve"> 工程质量保修期按《中华人民共和国建筑法》、《建设工程质量管理条例》等相关规定实施。 </w:t>
      </w:r>
    </w:p>
    <w:p w14:paraId="327AFBE1">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20.</w:t>
      </w:r>
      <w:r>
        <w:rPr>
          <w:rFonts w:hint="eastAsia" w:ascii="宋体" w:hAnsi="宋体" w:eastAsia="宋体" w:cs="宋体"/>
          <w:b w:val="0"/>
          <w:bCs/>
          <w:snapToGrid w:val="0"/>
          <w:color w:val="auto"/>
          <w:kern w:val="0"/>
          <w:sz w:val="24"/>
          <w:szCs w:val="24"/>
          <w:highlight w:val="none"/>
        </w:rPr>
        <w:t xml:space="preserve"> 如项目实施过程中发生了工程变更及工程签证，承包人需根据发包人发布的 《工程变更管理办法》和《工程签证管理办法》完善工程变更签证相关程序。 </w:t>
      </w:r>
    </w:p>
    <w:p w14:paraId="0367AB3D">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w:t>
      </w:r>
      <w:r>
        <w:rPr>
          <w:rFonts w:hint="eastAsia" w:ascii="宋体" w:hAnsi="宋体" w:cs="宋体"/>
          <w:b/>
          <w:bCs w:val="0"/>
          <w:snapToGrid w:val="0"/>
          <w:color w:val="auto"/>
          <w:kern w:val="0"/>
          <w:sz w:val="24"/>
          <w:szCs w:val="24"/>
          <w:highlight w:val="none"/>
          <w:lang w:val="en-US" w:eastAsia="zh-CN"/>
        </w:rPr>
        <w:t>21.</w:t>
      </w:r>
      <w:r>
        <w:rPr>
          <w:rFonts w:hint="eastAsia" w:ascii="宋体" w:hAnsi="宋体" w:eastAsia="宋体" w:cs="宋体"/>
          <w:b w:val="0"/>
          <w:bCs/>
          <w:snapToGrid w:val="0"/>
          <w:color w:val="auto"/>
          <w:kern w:val="0"/>
          <w:sz w:val="24"/>
          <w:szCs w:val="24"/>
          <w:highlight w:val="none"/>
        </w:rPr>
        <w:t xml:space="preserve"> 承包人需按相关规定要求，设置本工程符合相关要求的永久性标牌及规划公示牌，投标人在投标报价时综合考虑在报价内，发包人不另行支付该部分费用。 </w:t>
      </w:r>
    </w:p>
    <w:p w14:paraId="287663DB">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cs="宋体"/>
          <w:b/>
          <w:bCs w:val="0"/>
          <w:snapToGrid w:val="0"/>
          <w:color w:val="auto"/>
          <w:kern w:val="0"/>
          <w:sz w:val="24"/>
          <w:szCs w:val="24"/>
          <w:highlight w:val="none"/>
          <w:lang w:val="en-US" w:eastAsia="zh-CN"/>
        </w:rPr>
        <w:t>2.</w:t>
      </w:r>
      <w:r>
        <w:rPr>
          <w:rFonts w:hint="eastAsia" w:ascii="宋体" w:hAnsi="宋体" w:eastAsia="宋体" w:cs="宋体"/>
          <w:b/>
          <w:bCs w:val="0"/>
          <w:snapToGrid w:val="0"/>
          <w:color w:val="auto"/>
          <w:kern w:val="0"/>
          <w:sz w:val="24"/>
          <w:szCs w:val="24"/>
          <w:highlight w:val="none"/>
        </w:rPr>
        <w:t xml:space="preserve"> </w:t>
      </w:r>
      <w:r>
        <w:rPr>
          <w:rFonts w:hint="eastAsia" w:ascii="宋体" w:hAnsi="宋体" w:eastAsia="宋体" w:cs="宋体"/>
          <w:b w:val="0"/>
          <w:bCs/>
          <w:snapToGrid w:val="0"/>
          <w:color w:val="auto"/>
          <w:kern w:val="0"/>
          <w:sz w:val="24"/>
          <w:szCs w:val="24"/>
          <w:highlight w:val="none"/>
        </w:rPr>
        <w:t xml:space="preserve">承包人应在项目所在地住建管理部门办理诚信登记，发包人将严格按住建管理部门诚信登记管理办法对承包人履约情况进行考核。 </w:t>
      </w:r>
    </w:p>
    <w:p w14:paraId="2C740F39">
      <w:pPr>
        <w:pStyle w:val="61"/>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val="0"/>
          <w:bCs/>
          <w:snapToGrid w:val="0"/>
          <w:color w:val="auto"/>
          <w:kern w:val="0"/>
          <w:sz w:val="24"/>
          <w:szCs w:val="24"/>
          <w:highlight w:val="none"/>
        </w:rPr>
      </w:pPr>
      <w:r>
        <w:rPr>
          <w:rFonts w:hint="eastAsia" w:ascii="宋体" w:hAnsi="宋体" w:eastAsia="宋体" w:cs="宋体"/>
          <w:b/>
          <w:bCs w:val="0"/>
          <w:snapToGrid w:val="0"/>
          <w:color w:val="auto"/>
          <w:kern w:val="0"/>
          <w:sz w:val="24"/>
          <w:szCs w:val="24"/>
          <w:highlight w:val="none"/>
        </w:rPr>
        <w:t>4.2</w:t>
      </w:r>
      <w:r>
        <w:rPr>
          <w:rFonts w:hint="eastAsia" w:ascii="宋体" w:hAnsi="宋体" w:cs="宋体"/>
          <w:b/>
          <w:bCs w:val="0"/>
          <w:snapToGrid w:val="0"/>
          <w:color w:val="auto"/>
          <w:kern w:val="0"/>
          <w:sz w:val="24"/>
          <w:szCs w:val="24"/>
          <w:highlight w:val="none"/>
          <w:lang w:val="en-US" w:eastAsia="zh-CN"/>
        </w:rPr>
        <w:t>3.</w:t>
      </w:r>
      <w:r>
        <w:rPr>
          <w:rFonts w:hint="eastAsia" w:ascii="宋体" w:hAnsi="宋体" w:eastAsia="宋体" w:cs="宋体"/>
          <w:b w:val="0"/>
          <w:bCs/>
          <w:snapToGrid w:val="0"/>
          <w:color w:val="auto"/>
          <w:kern w:val="0"/>
          <w:sz w:val="24"/>
          <w:szCs w:val="24"/>
          <w:highlight w:val="none"/>
        </w:rPr>
        <w:t xml:space="preserve"> 承包人应按韶关市住房和城乡建设管理局、韶关市人力资源和社会保障局等职能部门对用工实名制的相关规定,落实工人及相关软硬件设施要求。</w:t>
      </w:r>
    </w:p>
    <w:p w14:paraId="5BDBF553">
      <w:pPr>
        <w:pStyle w:val="61"/>
        <w:spacing w:line="360" w:lineRule="auto"/>
        <w:ind w:firstLine="482"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val="en-US" w:eastAsia="zh-CN"/>
        </w:rPr>
        <w:t>4.2</w:t>
      </w:r>
      <w:r>
        <w:rPr>
          <w:rFonts w:hint="eastAsia" w:ascii="宋体" w:hAnsi="宋体" w:cs="宋体"/>
          <w:bCs/>
          <w:color w:val="auto"/>
          <w:sz w:val="24"/>
          <w:szCs w:val="24"/>
          <w:highlight w:val="none"/>
          <w:lang w:val="en-US" w:eastAsia="zh-CN"/>
        </w:rPr>
        <w:t xml:space="preserve">4. </w:t>
      </w:r>
      <w:r>
        <w:rPr>
          <w:rFonts w:hint="eastAsia" w:ascii="宋体" w:hAnsi="宋体" w:eastAsia="宋体" w:cs="宋体"/>
          <w:b w:val="0"/>
          <w:bCs w:val="0"/>
          <w:color w:val="auto"/>
          <w:sz w:val="24"/>
          <w:szCs w:val="24"/>
          <w:highlight w:val="none"/>
        </w:rPr>
        <w:t>根据乐昌市应急管理局《关于做好安全生产责任保险推广工作的通知》（乐安委办〔2020〕21号），安责险实施全覆盖的文件精神，投标单位须按照文件要求将项目安责险费用计入投标报价中。</w:t>
      </w:r>
    </w:p>
    <w:p w14:paraId="52280D74">
      <w:pPr>
        <w:widowControl w:val="0"/>
        <w:numPr>
          <w:ilvl w:val="0"/>
          <w:numId w:val="0"/>
        </w:numPr>
        <w:spacing w:line="360" w:lineRule="auto"/>
        <w:jc w:val="both"/>
        <w:rPr>
          <w:rFonts w:hint="eastAsia" w:ascii="宋体" w:hAnsi="宋体" w:eastAsia="宋体" w:cs="宋体"/>
          <w:color w:val="auto"/>
          <w:highlight w:val="none"/>
          <w:lang w:eastAsia="zh-CN"/>
        </w:rPr>
      </w:pPr>
    </w:p>
    <w:p w14:paraId="21D42C2F">
      <w:pPr>
        <w:pStyle w:val="10"/>
        <w:rPr>
          <w:rFonts w:hint="eastAsia" w:ascii="宋体" w:hAnsi="宋体" w:eastAsia="宋体" w:cs="宋体"/>
          <w:color w:val="auto"/>
          <w:highlight w:val="none"/>
          <w:lang w:eastAsia="zh-CN"/>
        </w:rPr>
      </w:pPr>
    </w:p>
    <w:p w14:paraId="7F9DE86D">
      <w:pPr>
        <w:rPr>
          <w:rFonts w:hint="eastAsia" w:ascii="宋体" w:hAnsi="宋体" w:eastAsia="宋体" w:cs="宋体"/>
          <w:color w:val="auto"/>
          <w:highlight w:val="none"/>
          <w:lang w:eastAsia="zh-CN"/>
        </w:rPr>
      </w:pPr>
    </w:p>
    <w:p w14:paraId="486FEDC9">
      <w:pPr>
        <w:pStyle w:val="10"/>
        <w:rPr>
          <w:rFonts w:hint="eastAsia" w:ascii="宋体" w:hAnsi="宋体" w:eastAsia="宋体" w:cs="宋体"/>
          <w:color w:val="auto"/>
          <w:highlight w:val="none"/>
          <w:lang w:eastAsia="zh-CN"/>
        </w:rPr>
      </w:pPr>
    </w:p>
    <w:p w14:paraId="6C62F16D">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bookmarkStart w:id="228" w:name="_Toc9687"/>
      <w:bookmarkStart w:id="229" w:name="_Toc3051"/>
    </w:p>
    <w:p w14:paraId="480A1774">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r>
        <w:rPr>
          <w:rFonts w:hint="eastAsia" w:ascii="宋体" w:hAnsi="宋体" w:eastAsia="宋体" w:cs="宋体"/>
          <w:b/>
          <w:snapToGrid w:val="0"/>
          <w:color w:val="auto"/>
          <w:sz w:val="24"/>
          <w:highlight w:val="none"/>
          <w:lang w:val="en-US" w:eastAsia="zh-CN"/>
        </w:rPr>
        <w:t>第四章</w:t>
      </w:r>
      <w:bookmarkStart w:id="230" w:name="_Hlt87793853"/>
      <w:bookmarkEnd w:id="230"/>
      <w:r>
        <w:rPr>
          <w:rFonts w:hint="eastAsia" w:ascii="宋体" w:hAnsi="宋体" w:eastAsia="宋体" w:cs="宋体"/>
          <w:b/>
          <w:snapToGrid w:val="0"/>
          <w:color w:val="auto"/>
          <w:sz w:val="24"/>
          <w:highlight w:val="none"/>
          <w:lang w:val="en-US" w:eastAsia="zh-CN"/>
        </w:rPr>
        <w:t xml:space="preserve"> 技术要求</w:t>
      </w:r>
      <w:bookmarkEnd w:id="204"/>
      <w:bookmarkEnd w:id="228"/>
      <w:bookmarkEnd w:id="229"/>
    </w:p>
    <w:bookmarkEnd w:id="205"/>
    <w:p w14:paraId="57C20EFC">
      <w:pPr>
        <w:pStyle w:val="4"/>
        <w:keepNext w:val="0"/>
        <w:keepLines w:val="0"/>
        <w:wordWrap w:val="0"/>
        <w:adjustRightInd w:val="0"/>
        <w:snapToGrid w:val="0"/>
        <w:spacing w:before="0" w:after="0" w:line="440" w:lineRule="exact"/>
        <w:ind w:left="643"/>
        <w:jc w:val="both"/>
        <w:rPr>
          <w:rFonts w:hint="eastAsia" w:ascii="宋体" w:hAnsi="宋体" w:eastAsia="宋体" w:cs="宋体"/>
          <w:b/>
          <w:snapToGrid w:val="0"/>
          <w:color w:val="auto"/>
          <w:kern w:val="0"/>
          <w:highlight w:val="none"/>
        </w:rPr>
      </w:pPr>
      <w:bookmarkStart w:id="231" w:name="_Hlt75685840"/>
      <w:bookmarkEnd w:id="231"/>
      <w:bookmarkStart w:id="232" w:name="_Hlt69116854"/>
      <w:bookmarkEnd w:id="232"/>
      <w:bookmarkStart w:id="233" w:name="_Hlt87793370"/>
      <w:bookmarkEnd w:id="233"/>
      <w:bookmarkStart w:id="234" w:name="_Hlt69358207"/>
      <w:bookmarkEnd w:id="234"/>
      <w:bookmarkStart w:id="235" w:name="_Hlt68774758"/>
      <w:bookmarkEnd w:id="235"/>
      <w:bookmarkStart w:id="236" w:name="_Hlt80411122"/>
      <w:bookmarkEnd w:id="236"/>
      <w:bookmarkStart w:id="237" w:name="_Hlt69359335"/>
      <w:bookmarkEnd w:id="237"/>
      <w:bookmarkStart w:id="238" w:name="_Hlt66104926"/>
      <w:bookmarkEnd w:id="238"/>
      <w:bookmarkStart w:id="239" w:name="_Hlt87793346"/>
      <w:bookmarkEnd w:id="239"/>
      <w:bookmarkStart w:id="240" w:name="_Hlt69357851"/>
      <w:bookmarkEnd w:id="240"/>
      <w:bookmarkStart w:id="241" w:name="_Hlt69265216"/>
      <w:bookmarkEnd w:id="241"/>
    </w:p>
    <w:p w14:paraId="4D342B74">
      <w:pPr>
        <w:wordWrap w:val="0"/>
        <w:adjustRightInd w:val="0"/>
        <w:snapToGrid w:val="0"/>
        <w:spacing w:line="440" w:lineRule="exact"/>
        <w:ind w:firstLine="482" w:firstLineChars="200"/>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highlight w:val="none"/>
        </w:rPr>
        <w:t>1．房屋建筑工程建设项目</w:t>
      </w:r>
    </w:p>
    <w:p w14:paraId="63DB2A0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bookmarkStart w:id="242" w:name="_Hlt69116858"/>
      <w:bookmarkEnd w:id="242"/>
      <w:bookmarkStart w:id="243" w:name="_Hlt69635252"/>
      <w:bookmarkEnd w:id="243"/>
      <w:bookmarkStart w:id="244" w:name="_Hlt69358458"/>
      <w:bookmarkEnd w:id="244"/>
      <w:bookmarkStart w:id="245" w:name="_Hlt69359086"/>
      <w:bookmarkEnd w:id="245"/>
      <w:bookmarkStart w:id="246" w:name="_Hlt69359243"/>
      <w:bookmarkEnd w:id="246"/>
      <w:bookmarkStart w:id="247" w:name="_Hlt78709799"/>
      <w:bookmarkEnd w:id="247"/>
      <w:bookmarkStart w:id="248" w:name="_Hlt69359245"/>
      <w:bookmarkEnd w:id="248"/>
      <w:r>
        <w:rPr>
          <w:rFonts w:hint="eastAsia" w:ascii="宋体" w:hAnsi="宋体" w:eastAsia="宋体" w:cs="宋体"/>
          <w:bCs/>
          <w:snapToGrid w:val="0"/>
          <w:color w:val="auto"/>
          <w:kern w:val="0"/>
          <w:highlight w:val="none"/>
        </w:rPr>
        <w:t>房屋建筑工程建设项目必须执行的现行技术规范，包括且不限于：</w:t>
      </w:r>
    </w:p>
    <w:p w14:paraId="020AD33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（1）《建筑工程施工质量验收统一标准》；</w:t>
      </w:r>
    </w:p>
    <w:p w14:paraId="0C8317D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（2）《建筑地基基础工程施工质量验收规范》；</w:t>
      </w:r>
    </w:p>
    <w:p w14:paraId="0B56E2C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（3）《砌体工程施工质量验收规范》；</w:t>
      </w:r>
    </w:p>
    <w:p w14:paraId="7FFAD12A">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（4）《混凝土结构工程施工质量验收规范》；</w:t>
      </w:r>
    </w:p>
    <w:p w14:paraId="73C0A9D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（5）《屋面工程质量验收规范》；</w:t>
      </w:r>
    </w:p>
    <w:p w14:paraId="5334B004">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（6）《地下防水工程质量验收规范》；</w:t>
      </w:r>
    </w:p>
    <w:p w14:paraId="15BDD36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w:t>
      </w:r>
      <w:bookmarkStart w:id="249" w:name="_Hlt78795211"/>
      <w:bookmarkEnd w:id="249"/>
      <w:r>
        <w:rPr>
          <w:rFonts w:hint="eastAsia" w:ascii="宋体" w:hAnsi="宋体" w:eastAsia="宋体" w:cs="宋体"/>
          <w:bCs/>
          <w:snapToGrid w:val="0"/>
          <w:color w:val="auto"/>
          <w:kern w:val="0"/>
          <w:highlight w:val="none"/>
        </w:rPr>
        <w:t>《建筑地面工程施工质量验收规范》；</w:t>
      </w:r>
    </w:p>
    <w:p w14:paraId="7ED6724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（8）《建筑装饰装修工程施工质量验收规范》；</w:t>
      </w:r>
    </w:p>
    <w:p w14:paraId="16A285E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（9）《建筑给排水及采暖工程施工质量验收规范》；</w:t>
      </w:r>
    </w:p>
    <w:p w14:paraId="46CF602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（10）《建筑电气工程施工质量验收规范》；</w:t>
      </w:r>
    </w:p>
    <w:p w14:paraId="6D75F9B2">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（11）《住建部绿色建筑评价标准》；</w:t>
      </w:r>
    </w:p>
    <w:p w14:paraId="7744793E">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（12）《建筑节能与可再生能源利用通用规范》（GB55015-2021）；</w:t>
      </w:r>
    </w:p>
    <w:p w14:paraId="28722396">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rPr>
      </w:pPr>
      <w:r>
        <w:rPr>
          <w:rFonts w:hint="eastAsia" w:ascii="宋体" w:hAnsi="宋体" w:eastAsia="宋体" w:cs="宋体"/>
          <w:b w:val="0"/>
          <w:bCs/>
          <w:snapToGrid w:val="0"/>
          <w:color w:val="auto"/>
          <w:kern w:val="0"/>
          <w:highlight w:val="none"/>
        </w:rPr>
        <w:t>（13）《建筑环境通用规范》；</w:t>
      </w:r>
    </w:p>
    <w:p w14:paraId="3A68178D">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（14）《广东省住房和城乡建设厅绿色施工导则》；</w:t>
      </w:r>
    </w:p>
    <w:p w14:paraId="68E4066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（15）《广东省建筑工程绿色施工评价标准》；</w:t>
      </w:r>
    </w:p>
    <w:p w14:paraId="713DD82A">
      <w:pPr>
        <w:wordWrap w:val="0"/>
        <w:adjustRightInd w:val="0"/>
        <w:snapToGrid w:val="0"/>
        <w:spacing w:line="440" w:lineRule="exact"/>
        <w:ind w:firstLine="480" w:firstLineChars="200"/>
        <w:rPr>
          <w:rFonts w:hint="eastAsia" w:ascii="宋体" w:hAnsi="宋体" w:eastAsia="宋体" w:cs="宋体"/>
          <w:b w:val="0"/>
          <w:bCs/>
          <w:snapToGrid w:val="0"/>
          <w:color w:val="auto"/>
          <w:kern w:val="0"/>
          <w:highlight w:val="none"/>
          <w:lang w:eastAsia="zh-CN"/>
        </w:rPr>
      </w:pPr>
      <w:r>
        <w:rPr>
          <w:rFonts w:hint="eastAsia" w:ascii="宋体" w:hAnsi="宋体" w:eastAsia="宋体" w:cs="宋体"/>
          <w:b w:val="0"/>
          <w:bCs/>
          <w:snapToGrid w:val="0"/>
          <w:color w:val="auto"/>
          <w:kern w:val="0"/>
          <w:highlight w:val="none"/>
        </w:rPr>
        <w:t>（16）《广东省建筑节能与绿色建筑工程施工质量验收规范》</w:t>
      </w:r>
      <w:r>
        <w:rPr>
          <w:rFonts w:hint="eastAsia" w:ascii="宋体" w:hAnsi="宋体" w:eastAsia="宋体" w:cs="宋体"/>
          <w:b w:val="0"/>
          <w:bCs/>
          <w:snapToGrid w:val="0"/>
          <w:color w:val="auto"/>
          <w:kern w:val="0"/>
          <w:highlight w:val="none"/>
          <w:lang w:eastAsia="zh-CN"/>
        </w:rPr>
        <w:t>；</w:t>
      </w:r>
    </w:p>
    <w:p w14:paraId="51D8D867">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（17）其他现行国家、广东省关于房建工程的施工及验收规范、定额、规程、标准。</w:t>
      </w:r>
    </w:p>
    <w:p w14:paraId="2A634BC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p>
    <w:p w14:paraId="3D24D8BC">
      <w:pPr>
        <w:wordWrap w:val="0"/>
        <w:adjustRightInd w:val="0"/>
        <w:snapToGrid w:val="0"/>
        <w:spacing w:line="440" w:lineRule="exact"/>
        <w:ind w:firstLine="482" w:firstLineChars="200"/>
        <w:rPr>
          <w:rFonts w:hint="eastAsia" w:ascii="宋体" w:hAnsi="宋体" w:eastAsia="宋体" w:cs="宋体"/>
          <w:bCs/>
          <w:snapToGrid w:val="0"/>
          <w:color w:val="auto"/>
          <w:kern w:val="0"/>
          <w:highlight w:val="none"/>
        </w:rPr>
      </w:pPr>
      <w:r>
        <w:rPr>
          <w:rFonts w:hint="eastAsia" w:ascii="宋体" w:hAnsi="宋体" w:eastAsia="宋体" w:cs="宋体"/>
          <w:b/>
          <w:snapToGrid w:val="0"/>
          <w:color w:val="auto"/>
          <w:kern w:val="0"/>
          <w:highlight w:val="none"/>
        </w:rPr>
        <w:t>2．市政基础设施工程建设项目</w:t>
      </w:r>
    </w:p>
    <w:p w14:paraId="31016C18">
      <w:pPr>
        <w:wordWrap w:val="0"/>
        <w:adjustRightInd w:val="0"/>
        <w:snapToGrid w:val="0"/>
        <w:spacing w:line="440" w:lineRule="exact"/>
        <w:ind w:firstLine="480" w:firstLineChars="200"/>
        <w:rPr>
          <w:rFonts w:hint="eastAsia" w:ascii="宋体" w:hAnsi="宋体" w:eastAsia="宋体" w:cs="宋体"/>
          <w:bCs/>
          <w:snapToGrid w:val="0"/>
          <w:color w:val="auto"/>
          <w:kern w:val="0"/>
          <w:szCs w:val="28"/>
          <w:highlight w:val="none"/>
        </w:rPr>
      </w:pPr>
      <w:r>
        <w:rPr>
          <w:rFonts w:hint="eastAsia" w:ascii="宋体" w:hAnsi="宋体" w:eastAsia="宋体" w:cs="宋体"/>
          <w:bCs/>
          <w:snapToGrid w:val="0"/>
          <w:color w:val="auto"/>
          <w:kern w:val="0"/>
          <w:highlight w:val="none"/>
        </w:rPr>
        <w:t>市政基础设施工程建设项目必须执行的现行技术规范，包括且不限于：</w:t>
      </w:r>
    </w:p>
    <w:p w14:paraId="78D6725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szCs w:val="28"/>
          <w:highlight w:val="none"/>
        </w:rPr>
        <w:t>（1）《公路路基施工技术规范》</w:t>
      </w:r>
      <w:r>
        <w:rPr>
          <w:rFonts w:hint="eastAsia" w:ascii="宋体" w:hAnsi="宋体" w:eastAsia="宋体" w:cs="宋体"/>
          <w:bCs/>
          <w:snapToGrid w:val="0"/>
          <w:color w:val="auto"/>
          <w:kern w:val="0"/>
          <w:highlight w:val="none"/>
        </w:rPr>
        <w:t>；</w:t>
      </w:r>
    </w:p>
    <w:p w14:paraId="2EFA3FFB">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（2）《市政道路工程质量检验评定标准》；</w:t>
      </w:r>
    </w:p>
    <w:p w14:paraId="2DAB4AE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（3）《市政排水管渠工程质量检验评定标准》；</w:t>
      </w:r>
    </w:p>
    <w:p w14:paraId="0BCE0539">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（4）《给水排水管道工程施工及验收规范》；</w:t>
      </w:r>
    </w:p>
    <w:p w14:paraId="71295581">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（5）《城市道路路基工程施工及验收规范》；</w:t>
      </w:r>
    </w:p>
    <w:p w14:paraId="14C52D95">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（6）《水泥砼路面施工及验收规范》；</w:t>
      </w:r>
    </w:p>
    <w:p w14:paraId="5D7B2BAC">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（7）《公路水泥砼路面施工技术规范》；</w:t>
      </w:r>
    </w:p>
    <w:p w14:paraId="260F4382">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（8）《埋地硬聚氯乙烯排水管道工程技术规程》；</w:t>
      </w:r>
    </w:p>
    <w:p w14:paraId="0B203EC6">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（9）《沥青路面施工及验收规范》；</w:t>
      </w:r>
    </w:p>
    <w:p w14:paraId="777A6260">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（10）《广东省市政工程施工质量技术资料统一用表》。</w:t>
      </w:r>
    </w:p>
    <w:p w14:paraId="6D0BDF2A">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kern w:val="0"/>
          <w:szCs w:val="21"/>
          <w:highlight w:val="none"/>
        </w:rPr>
      </w:pPr>
      <w:bookmarkStart w:id="250" w:name="_Toc30443"/>
      <w:bookmarkStart w:id="251" w:name="_Toc17128"/>
      <w:r>
        <w:rPr>
          <w:rFonts w:hint="eastAsia" w:ascii="宋体" w:hAnsi="宋体" w:eastAsia="宋体" w:cs="宋体"/>
          <w:b w:val="0"/>
          <w:bCs/>
          <w:snapToGrid w:val="0"/>
          <w:color w:val="auto"/>
          <w:kern w:val="0"/>
          <w:highlight w:val="none"/>
        </w:rPr>
        <w:t>（11）</w:t>
      </w:r>
      <w:r>
        <w:rPr>
          <w:rFonts w:hint="eastAsia" w:ascii="宋体" w:hAnsi="宋体" w:eastAsia="宋体" w:cs="宋体"/>
          <w:b w:val="0"/>
          <w:bCs/>
          <w:color w:val="auto"/>
          <w:kern w:val="0"/>
          <w:szCs w:val="21"/>
          <w:highlight w:val="none"/>
        </w:rPr>
        <w:t>《城市道路照明设计标准》（CJJ45-2015）；</w:t>
      </w:r>
      <w:bookmarkEnd w:id="250"/>
      <w:bookmarkEnd w:id="251"/>
    </w:p>
    <w:p w14:paraId="7D5CD9D6">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52" w:name="_Toc32596"/>
      <w:bookmarkStart w:id="253" w:name="_Toc31453"/>
      <w:r>
        <w:rPr>
          <w:rFonts w:hint="eastAsia" w:ascii="宋体" w:hAnsi="宋体" w:eastAsia="宋体" w:cs="宋体"/>
          <w:b w:val="0"/>
          <w:bCs/>
          <w:color w:val="auto"/>
          <w:kern w:val="0"/>
          <w:szCs w:val="21"/>
          <w:highlight w:val="none"/>
        </w:rPr>
        <w:t>（12）《低压配电设计规范》（GB50054-2011）；</w:t>
      </w:r>
      <w:bookmarkEnd w:id="252"/>
      <w:bookmarkEnd w:id="253"/>
    </w:p>
    <w:p w14:paraId="11D46717">
      <w:pPr>
        <w:widowControl/>
        <w:tabs>
          <w:tab w:val="left" w:pos="567"/>
        </w:tabs>
        <w:autoSpaceDE w:val="0"/>
        <w:autoSpaceDN w:val="0"/>
        <w:spacing w:line="500" w:lineRule="exact"/>
        <w:ind w:firstLine="480" w:firstLineChars="200"/>
        <w:jc w:val="left"/>
        <w:textAlignment w:val="bottom"/>
        <w:outlineLvl w:val="0"/>
        <w:rPr>
          <w:rFonts w:hint="eastAsia" w:ascii="宋体" w:hAnsi="宋体" w:eastAsia="宋体" w:cs="宋体"/>
          <w:b w:val="0"/>
          <w:bCs/>
          <w:color w:val="auto"/>
          <w:szCs w:val="21"/>
          <w:highlight w:val="none"/>
        </w:rPr>
      </w:pPr>
      <w:bookmarkStart w:id="254" w:name="_Toc25564"/>
      <w:bookmarkStart w:id="255" w:name="_Toc31862"/>
      <w:r>
        <w:rPr>
          <w:rFonts w:hint="eastAsia" w:ascii="宋体" w:hAnsi="宋体" w:eastAsia="宋体" w:cs="宋体"/>
          <w:b w:val="0"/>
          <w:bCs/>
          <w:color w:val="auto"/>
          <w:kern w:val="0"/>
          <w:szCs w:val="21"/>
          <w:highlight w:val="none"/>
        </w:rPr>
        <w:t>（13）《城市道路照明工程施工及验收规程》（CJJ89-2012）；</w:t>
      </w:r>
      <w:bookmarkEnd w:id="254"/>
      <w:bookmarkEnd w:id="255"/>
    </w:p>
    <w:p w14:paraId="05CFA2FC">
      <w:pPr>
        <w:pStyle w:val="90"/>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（14）《LED道路照明工程技术规范》（DB44/T 1898-2016）；</w:t>
      </w:r>
    </w:p>
    <w:p w14:paraId="11F9B3D2">
      <w:pPr>
        <w:pStyle w:val="90"/>
        <w:spacing w:line="500" w:lineRule="exact"/>
        <w:ind w:left="0" w:leftChars="0" w:firstLine="480" w:firstLineChars="200"/>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（15）《灯具第1部分：一般要求与试验》（GB7000.1-2015）；</w:t>
      </w:r>
    </w:p>
    <w:p w14:paraId="30140BEB">
      <w:pPr>
        <w:wordWrap w:val="0"/>
        <w:adjustRightInd w:val="0"/>
        <w:snapToGrid w:val="0"/>
        <w:spacing w:line="500" w:lineRule="exact"/>
        <w:ind w:firstLine="480" w:firstLineChars="200"/>
        <w:rPr>
          <w:rFonts w:hint="eastAsia" w:ascii="宋体" w:hAnsi="宋体" w:eastAsia="宋体" w:cs="宋体"/>
          <w:b w:val="0"/>
          <w:bCs/>
          <w:color w:val="auto"/>
          <w:kern w:val="0"/>
          <w:szCs w:val="21"/>
          <w:highlight w:val="none"/>
        </w:rPr>
      </w:pPr>
      <w:r>
        <w:rPr>
          <w:rFonts w:hint="eastAsia" w:ascii="宋体" w:hAnsi="宋体" w:eastAsia="宋体" w:cs="宋体"/>
          <w:b w:val="0"/>
          <w:bCs/>
          <w:color w:val="auto"/>
          <w:kern w:val="0"/>
          <w:szCs w:val="21"/>
          <w:highlight w:val="none"/>
        </w:rPr>
        <w:t>（16）《电缆工程电缆设计标准》（GB50217-2018）；</w:t>
      </w:r>
    </w:p>
    <w:p w14:paraId="0F058208">
      <w:pPr>
        <w:wordWrap w:val="0"/>
        <w:adjustRightInd w:val="0"/>
        <w:snapToGrid w:val="0"/>
        <w:spacing w:line="440" w:lineRule="exact"/>
        <w:ind w:firstLine="480" w:firstLineChars="200"/>
        <w:rPr>
          <w:rFonts w:hint="eastAsia" w:ascii="宋体" w:hAnsi="宋体" w:eastAsia="宋体" w:cs="宋体"/>
          <w:bCs/>
          <w:snapToGrid w:val="0"/>
          <w:color w:val="auto"/>
          <w:kern w:val="0"/>
          <w:highlight w:val="none"/>
        </w:rPr>
      </w:pPr>
      <w:r>
        <w:rPr>
          <w:rFonts w:hint="eastAsia" w:ascii="宋体" w:hAnsi="宋体" w:eastAsia="宋体" w:cs="宋体"/>
          <w:bCs/>
          <w:snapToGrid w:val="0"/>
          <w:color w:val="auto"/>
          <w:kern w:val="0"/>
          <w:highlight w:val="none"/>
        </w:rPr>
        <w:t>（17）其他现行国家、广东省关于市政工程的技术及验收规范、定额、规程、标准。</w:t>
      </w:r>
    </w:p>
    <w:p w14:paraId="2F624FCE">
      <w:pPr>
        <w:wordWrap w:val="0"/>
        <w:adjustRightInd w:val="0"/>
        <w:snapToGrid w:val="0"/>
        <w:spacing w:line="440" w:lineRule="exact"/>
        <w:ind w:firstLine="560"/>
        <w:rPr>
          <w:rFonts w:hint="eastAsia" w:ascii="宋体" w:hAnsi="宋体" w:eastAsia="宋体" w:cs="宋体"/>
          <w:strike/>
          <w:snapToGrid w:val="0"/>
          <w:color w:val="auto"/>
          <w:kern w:val="0"/>
          <w:highlight w:val="none"/>
        </w:rPr>
      </w:pPr>
      <w:r>
        <w:rPr>
          <w:rFonts w:hint="eastAsia" w:ascii="宋体" w:hAnsi="宋体" w:eastAsia="宋体" w:cs="宋体"/>
          <w:b/>
          <w:snapToGrid w:val="0"/>
          <w:color w:val="auto"/>
          <w:kern w:val="0"/>
          <w:highlight w:val="none"/>
        </w:rPr>
        <w:t>3．备查要求</w:t>
      </w:r>
    </w:p>
    <w:p w14:paraId="67F44935">
      <w:pPr>
        <w:wordWrap w:val="0"/>
        <w:adjustRightInd w:val="0"/>
        <w:snapToGrid w:val="0"/>
        <w:spacing w:line="440" w:lineRule="exact"/>
        <w:ind w:firstLine="560"/>
        <w:rPr>
          <w:rFonts w:hint="eastAsia" w:ascii="宋体" w:hAnsi="宋体" w:eastAsia="宋体" w:cs="宋体"/>
          <w:strike/>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人必须在施工现场准备至少一套上述规范，</w:t>
      </w:r>
      <w:r>
        <w:rPr>
          <w:rFonts w:hint="eastAsia" w:ascii="宋体" w:hAnsi="宋体" w:eastAsia="宋体" w:cs="宋体"/>
          <w:snapToGrid w:val="0"/>
          <w:color w:val="auto"/>
          <w:kern w:val="0"/>
          <w:highlight w:val="none"/>
        </w:rPr>
        <w:t>发包</w:t>
      </w:r>
      <w:r>
        <w:rPr>
          <w:rFonts w:hint="eastAsia" w:ascii="宋体" w:hAnsi="宋体" w:eastAsia="宋体" w:cs="宋体"/>
          <w:bCs/>
          <w:snapToGrid w:val="0"/>
          <w:color w:val="auto"/>
          <w:kern w:val="0"/>
          <w:highlight w:val="none"/>
        </w:rPr>
        <w:t>人和监理单位可随时检查</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人的上述规范，并监督</w:t>
      </w:r>
      <w:r>
        <w:rPr>
          <w:rFonts w:hint="eastAsia" w:ascii="宋体" w:hAnsi="宋体" w:eastAsia="宋体" w:cs="宋体"/>
          <w:snapToGrid w:val="0"/>
          <w:color w:val="auto"/>
          <w:kern w:val="0"/>
          <w:highlight w:val="none"/>
        </w:rPr>
        <w:t>承包</w:t>
      </w:r>
      <w:r>
        <w:rPr>
          <w:rFonts w:hint="eastAsia" w:ascii="宋体" w:hAnsi="宋体" w:eastAsia="宋体" w:cs="宋体"/>
          <w:bCs/>
          <w:snapToGrid w:val="0"/>
          <w:color w:val="auto"/>
          <w:kern w:val="0"/>
          <w:highlight w:val="none"/>
        </w:rPr>
        <w:t>人按规范要求执行。</w:t>
      </w:r>
      <w:bookmarkStart w:id="256" w:name="_Hlt69670335"/>
      <w:bookmarkEnd w:id="256"/>
    </w:p>
    <w:p w14:paraId="65C74E2D">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57" w:name="_Hlt69116863"/>
      <w:bookmarkEnd w:id="257"/>
      <w:bookmarkStart w:id="258" w:name="_Hlt69338190"/>
      <w:bookmarkEnd w:id="258"/>
      <w:bookmarkStart w:id="259" w:name="_Hlt69635247"/>
      <w:bookmarkEnd w:id="259"/>
      <w:bookmarkStart w:id="260" w:name="_Hlt69265207"/>
      <w:bookmarkEnd w:id="260"/>
      <w:bookmarkStart w:id="261" w:name="_Hlt69358336"/>
      <w:bookmarkEnd w:id="261"/>
      <w:bookmarkStart w:id="262" w:name="_Hlt66848640"/>
      <w:bookmarkEnd w:id="262"/>
      <w:bookmarkStart w:id="263" w:name="_Toc10057"/>
      <w:bookmarkStart w:id="264" w:name="_Toc29329"/>
      <w:bookmarkStart w:id="265" w:name="_Toc10987"/>
      <w:r>
        <w:rPr>
          <w:rFonts w:hint="eastAsia" w:ascii="宋体" w:hAnsi="宋体" w:eastAsia="宋体" w:cs="宋体"/>
          <w:b/>
          <w:snapToGrid w:val="0"/>
          <w:color w:val="auto"/>
          <w:sz w:val="24"/>
          <w:highlight w:val="none"/>
          <w:lang w:val="en-US" w:eastAsia="zh-CN"/>
        </w:rPr>
        <w:t>第五章</w:t>
      </w:r>
      <w:bookmarkStart w:id="266" w:name="_Hlt87793860"/>
      <w:bookmarkEnd w:id="266"/>
      <w:r>
        <w:rPr>
          <w:rFonts w:hint="eastAsia" w:ascii="宋体" w:hAnsi="宋体" w:eastAsia="宋体" w:cs="宋体"/>
          <w:b/>
          <w:snapToGrid w:val="0"/>
          <w:color w:val="auto"/>
          <w:sz w:val="24"/>
          <w:highlight w:val="none"/>
          <w:lang w:val="en-US" w:eastAsia="zh-CN"/>
        </w:rPr>
        <w:t xml:space="preserve"> 图纸和招标工程</w:t>
      </w:r>
      <w:bookmarkStart w:id="267" w:name="_Hlt69669215"/>
      <w:bookmarkEnd w:id="267"/>
      <w:r>
        <w:rPr>
          <w:rFonts w:hint="eastAsia" w:ascii="宋体" w:hAnsi="宋体" w:eastAsia="宋体" w:cs="宋体"/>
          <w:b/>
          <w:snapToGrid w:val="0"/>
          <w:color w:val="auto"/>
          <w:sz w:val="24"/>
          <w:highlight w:val="none"/>
          <w:lang w:val="en-US" w:eastAsia="zh-CN"/>
        </w:rPr>
        <w:t>量清单</w:t>
      </w:r>
      <w:bookmarkEnd w:id="263"/>
      <w:bookmarkEnd w:id="264"/>
      <w:bookmarkEnd w:id="265"/>
    </w:p>
    <w:p w14:paraId="3E291842">
      <w:pPr>
        <w:wordWrap w:val="0"/>
        <w:adjustRightInd w:val="0"/>
        <w:snapToGrid w:val="0"/>
        <w:spacing w:line="440" w:lineRule="exact"/>
        <w:ind w:firstLine="480" w:firstLineChars="200"/>
        <w:rPr>
          <w:rFonts w:hint="eastAsia" w:ascii="宋体" w:hAnsi="宋体" w:eastAsia="宋体" w:cs="宋体"/>
          <w:snapToGrid w:val="0"/>
          <w:color w:val="auto"/>
          <w:kern w:val="0"/>
          <w:highlight w:val="none"/>
        </w:rPr>
      </w:pPr>
      <w:bookmarkStart w:id="268" w:name="_Hlt69669182"/>
      <w:bookmarkEnd w:id="268"/>
      <w:bookmarkStart w:id="269" w:name="_Hlt87793868"/>
      <w:bookmarkEnd w:id="269"/>
      <w:bookmarkStart w:id="270" w:name="_Hlt75747203"/>
      <w:bookmarkEnd w:id="270"/>
      <w:bookmarkStart w:id="271" w:name="_Hlt66104919"/>
      <w:bookmarkEnd w:id="271"/>
      <w:bookmarkStart w:id="272" w:name="_Toc25252"/>
      <w:bookmarkStart w:id="273" w:name="_Hlt69698785"/>
    </w:p>
    <w:p w14:paraId="31CAC6F2">
      <w:pPr>
        <w:pStyle w:val="4"/>
        <w:bidi w:val="0"/>
        <w:spacing w:line="360" w:lineRule="auto"/>
        <w:ind w:firstLine="964"/>
        <w:rPr>
          <w:rFonts w:hint="eastAsia" w:ascii="宋体" w:hAnsi="宋体" w:eastAsia="宋体" w:cs="宋体"/>
          <w:color w:val="auto"/>
          <w:highlight w:val="none"/>
        </w:rPr>
      </w:pPr>
      <w:bookmarkStart w:id="274" w:name="_Toc28153"/>
      <w:r>
        <w:rPr>
          <w:rFonts w:hint="eastAsia" w:ascii="宋体" w:hAnsi="宋体" w:eastAsia="宋体" w:cs="宋体"/>
          <w:color w:val="auto"/>
          <w:highlight w:val="none"/>
        </w:rPr>
        <w:t>1．图纸</w:t>
      </w:r>
      <w:bookmarkEnd w:id="274"/>
    </w:p>
    <w:p w14:paraId="1C045677">
      <w:pPr>
        <w:wordWrap w:val="0"/>
        <w:adjustRightInd w:val="0"/>
        <w:snapToGrid w:val="0"/>
        <w:spacing w:line="360" w:lineRule="auto"/>
        <w:ind w:firstLine="480" w:firstLineChars="200"/>
        <w:rPr>
          <w:rFonts w:hint="eastAsia" w:ascii="宋体" w:hAnsi="宋体" w:eastAsia="宋体" w:cs="宋体"/>
          <w:b w:val="0"/>
          <w:bCs/>
          <w:color w:val="auto"/>
          <w:highlight w:val="none"/>
          <w:lang w:eastAsia="zh-CN"/>
        </w:rPr>
      </w:pPr>
      <w:bookmarkStart w:id="275" w:name="_Toc14740"/>
      <w:r>
        <w:rPr>
          <w:rFonts w:hint="eastAsia" w:ascii="宋体" w:hAnsi="宋体" w:eastAsia="宋体" w:cs="宋体"/>
          <w:snapToGrid w:val="0"/>
          <w:color w:val="auto"/>
          <w:kern w:val="0"/>
          <w:highlight w:val="none"/>
        </w:rPr>
        <w:t>本招标文件随文另附施工图（电子文件）各一套。</w:t>
      </w:r>
    </w:p>
    <w:bookmarkEnd w:id="275"/>
    <w:p w14:paraId="1782A57F">
      <w:pPr>
        <w:pStyle w:val="4"/>
        <w:bidi w:val="0"/>
        <w:spacing w:line="360" w:lineRule="auto"/>
        <w:ind w:firstLine="964"/>
        <w:rPr>
          <w:rFonts w:hint="eastAsia" w:ascii="宋体" w:hAnsi="宋体" w:eastAsia="宋体" w:cs="宋体"/>
          <w:color w:val="auto"/>
          <w:highlight w:val="none"/>
        </w:rPr>
      </w:pPr>
      <w:r>
        <w:rPr>
          <w:rFonts w:hint="eastAsia" w:ascii="宋体" w:hAnsi="宋体" w:eastAsia="宋体" w:cs="宋体"/>
          <w:color w:val="auto"/>
          <w:highlight w:val="none"/>
        </w:rPr>
        <w:t>2．招标工程量清单</w:t>
      </w:r>
    </w:p>
    <w:p w14:paraId="31DDF78C">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2.1</w:t>
      </w:r>
      <w:r>
        <w:rPr>
          <w:rFonts w:hint="eastAsia" w:ascii="宋体" w:hAnsi="宋体" w:eastAsia="宋体" w:cs="宋体"/>
          <w:snapToGrid w:val="0"/>
          <w:color w:val="auto"/>
          <w:kern w:val="0"/>
          <w:highlight w:val="none"/>
        </w:rPr>
        <w:t xml:space="preserve"> 本招标文件随文另附招标工程量清单一套。</w:t>
      </w:r>
    </w:p>
    <w:p w14:paraId="71F15594">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b/>
          <w:bCs/>
          <w:snapToGrid w:val="0"/>
          <w:color w:val="auto"/>
          <w:kern w:val="0"/>
          <w:highlight w:val="none"/>
        </w:rPr>
        <w:t>2.2</w:t>
      </w:r>
      <w:r>
        <w:rPr>
          <w:rFonts w:hint="eastAsia" w:ascii="宋体" w:hAnsi="宋体" w:eastAsia="宋体" w:cs="宋体"/>
          <w:snapToGrid w:val="0"/>
          <w:color w:val="auto"/>
          <w:kern w:val="0"/>
          <w:highlight w:val="none"/>
        </w:rPr>
        <w:t xml:space="preserve"> 本工程按照以下依据编制招标工程量清单：</w:t>
      </w:r>
    </w:p>
    <w:p w14:paraId="28D49375">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（1）</w:t>
      </w:r>
      <w:r>
        <w:rPr>
          <w:rFonts w:hint="eastAsia" w:hAnsi="宋体" w:cs="宋体"/>
          <w:snapToGrid w:val="0"/>
          <w:color w:val="auto"/>
          <w:kern w:val="0"/>
          <w:sz w:val="24"/>
          <w:szCs w:val="24"/>
          <w:highlight w:val="none"/>
          <w:lang w:val="en-US" w:eastAsia="zh-CN"/>
        </w:rPr>
        <w:t>《建设工程工程量清单计价标准》(GB/T50500-2024)</w:t>
      </w:r>
      <w:r>
        <w:rPr>
          <w:rFonts w:hint="eastAsia" w:ascii="宋体" w:hAnsi="宋体" w:eastAsia="宋体" w:cs="宋体"/>
          <w:snapToGrid w:val="0"/>
          <w:color w:val="auto"/>
          <w:kern w:val="0"/>
          <w:highlight w:val="none"/>
        </w:rPr>
        <w:t>；</w:t>
      </w:r>
    </w:p>
    <w:p w14:paraId="7D6D1D2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2</w:t>
      </w:r>
      <w:r>
        <w:rPr>
          <w:rFonts w:hint="eastAsia" w:ascii="宋体" w:hAnsi="宋体" w:eastAsia="宋体" w:cs="宋体"/>
          <w:snapToGrid w:val="0"/>
          <w:color w:val="auto"/>
          <w:kern w:val="0"/>
          <w:highlight w:val="none"/>
        </w:rPr>
        <w:t>）《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p>
    <w:p w14:paraId="7B348B6B">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3</w:t>
      </w:r>
      <w:r>
        <w:rPr>
          <w:rFonts w:hint="eastAsia" w:ascii="宋体" w:hAnsi="宋体" w:eastAsia="宋体" w:cs="宋体"/>
          <w:snapToGrid w:val="0"/>
          <w:color w:val="auto"/>
          <w:kern w:val="0"/>
          <w:highlight w:val="none"/>
        </w:rPr>
        <w:t>）施工图及相关资料；</w:t>
      </w:r>
    </w:p>
    <w:p w14:paraId="554436C4">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4</w:t>
      </w:r>
      <w:r>
        <w:rPr>
          <w:rFonts w:hint="eastAsia" w:ascii="宋体" w:hAnsi="宋体" w:eastAsia="宋体" w:cs="宋体"/>
          <w:snapToGrid w:val="0"/>
          <w:color w:val="auto"/>
          <w:kern w:val="0"/>
          <w:highlight w:val="none"/>
        </w:rPr>
        <w:t>）招标文件；</w:t>
      </w:r>
    </w:p>
    <w:p w14:paraId="4D95A811">
      <w:pPr>
        <w:wordWrap w:val="0"/>
        <w:adjustRightInd w:val="0"/>
        <w:snapToGrid w:val="0"/>
        <w:spacing w:line="360" w:lineRule="auto"/>
        <w:ind w:firstLine="480" w:firstLineChars="20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5）</w:t>
      </w:r>
      <w:r>
        <w:rPr>
          <w:rFonts w:hint="eastAsia" w:ascii="宋体" w:hAnsi="宋体" w:eastAsia="宋体" w:cs="宋体"/>
          <w:snapToGrid w:val="0"/>
          <w:color w:val="auto"/>
          <w:kern w:val="0"/>
          <w:highlight w:val="none"/>
        </w:rPr>
        <w:t>施工现场情况、地勘水文资料、工程特点及常规施工方案；</w:t>
      </w:r>
    </w:p>
    <w:p w14:paraId="4417B18E">
      <w:pPr>
        <w:wordWrap w:val="0"/>
        <w:adjustRightInd w:val="0"/>
        <w:snapToGrid w:val="0"/>
        <w:spacing w:line="360" w:lineRule="auto"/>
        <w:ind w:firstLine="48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w:t>
      </w:r>
      <w:r>
        <w:rPr>
          <w:rFonts w:hint="eastAsia" w:hAnsi="宋体" w:cs="宋体"/>
          <w:snapToGrid w:val="0"/>
          <w:color w:val="auto"/>
          <w:kern w:val="0"/>
          <w:highlight w:val="none"/>
          <w:lang w:val="en-US" w:eastAsia="zh-CN"/>
        </w:rPr>
        <w:t>6</w:t>
      </w:r>
      <w:r>
        <w:rPr>
          <w:rFonts w:hint="eastAsia" w:ascii="宋体" w:hAnsi="宋体" w:eastAsia="宋体" w:cs="宋体"/>
          <w:snapToGrid w:val="0"/>
          <w:color w:val="auto"/>
          <w:kern w:val="0"/>
          <w:highlight w:val="none"/>
        </w:rPr>
        <w:t>）与建设工程有关的标准、规范、技术资料。</w:t>
      </w:r>
    </w:p>
    <w:p w14:paraId="0C72BD26">
      <w:pPr>
        <w:wordWrap w:val="0"/>
        <w:adjustRightInd w:val="0"/>
        <w:snapToGrid w:val="0"/>
        <w:spacing w:line="440" w:lineRule="exact"/>
        <w:ind w:firstLine="480"/>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A5E58E8">
      <w:pPr>
        <w:pStyle w:val="2"/>
        <w:wordWrap w:val="0"/>
        <w:autoSpaceDE/>
        <w:autoSpaceDN/>
        <w:snapToGrid w:val="0"/>
        <w:spacing w:line="440" w:lineRule="exact"/>
        <w:jc w:val="center"/>
        <w:rPr>
          <w:rFonts w:hint="eastAsia" w:ascii="宋体" w:hAnsi="宋体" w:eastAsia="宋体" w:cs="宋体"/>
          <w:b/>
          <w:snapToGrid w:val="0"/>
          <w:color w:val="auto"/>
          <w:sz w:val="24"/>
          <w:highlight w:val="none"/>
          <w:lang w:val="en-US" w:eastAsia="zh-CN"/>
        </w:rPr>
      </w:pPr>
      <w:bookmarkStart w:id="276" w:name="_Toc22127"/>
      <w:bookmarkStart w:id="277" w:name="_Toc16415"/>
      <w:r>
        <w:rPr>
          <w:rFonts w:hint="eastAsia" w:ascii="宋体" w:hAnsi="宋体" w:eastAsia="宋体" w:cs="宋体"/>
          <w:b/>
          <w:snapToGrid w:val="0"/>
          <w:color w:val="auto"/>
          <w:sz w:val="24"/>
          <w:highlight w:val="none"/>
          <w:lang w:val="en-US" w:eastAsia="zh-CN"/>
        </w:rPr>
        <w:t xml:space="preserve">第六章 </w:t>
      </w:r>
      <w:bookmarkEnd w:id="272"/>
      <w:bookmarkStart w:id="278" w:name="_Hlt75747044"/>
      <w:bookmarkEnd w:id="278"/>
      <w:r>
        <w:rPr>
          <w:rFonts w:hint="eastAsia" w:ascii="宋体" w:hAnsi="宋体" w:eastAsia="宋体" w:cs="宋体"/>
          <w:b/>
          <w:snapToGrid w:val="0"/>
          <w:color w:val="auto"/>
          <w:sz w:val="24"/>
          <w:highlight w:val="none"/>
          <w:lang w:val="en-US" w:eastAsia="zh-CN"/>
        </w:rPr>
        <w:t>投标文件格式</w:t>
      </w:r>
      <w:bookmarkEnd w:id="276"/>
      <w:bookmarkEnd w:id="277"/>
    </w:p>
    <w:bookmarkEnd w:id="273"/>
    <w:p w14:paraId="3E5CA248">
      <w:pPr>
        <w:pStyle w:val="79"/>
        <w:keepNext w:val="0"/>
        <w:keepLines w:val="0"/>
        <w:widowControl w:val="0"/>
        <w:wordWrap w:val="0"/>
        <w:adjustRightInd w:val="0"/>
        <w:snapToGrid w:val="0"/>
        <w:spacing w:before="0" w:after="0" w:line="240" w:lineRule="auto"/>
        <w:ind w:left="3640" w:leftChars="15" w:hanging="3604" w:hangingChars="1496"/>
        <w:jc w:val="both"/>
        <w:rPr>
          <w:rFonts w:hint="eastAsia" w:ascii="宋体" w:hAnsi="宋体" w:eastAsia="宋体" w:cs="宋体"/>
          <w:b/>
          <w:snapToGrid w:val="0"/>
          <w:color w:val="auto"/>
          <w:highlight w:val="none"/>
        </w:rPr>
      </w:pPr>
      <w:bookmarkStart w:id="279" w:name="_附件一：投标函"/>
      <w:bookmarkEnd w:id="279"/>
      <w:bookmarkStart w:id="280" w:name="_附件一：对招标文件条款自愿接受承诺书"/>
      <w:bookmarkEnd w:id="280"/>
      <w:bookmarkStart w:id="281" w:name="_附件四：工期承诺书"/>
      <w:bookmarkEnd w:id="281"/>
      <w:bookmarkStart w:id="282" w:name="_附件五：综合评审合理低价法"/>
      <w:bookmarkEnd w:id="282"/>
      <w:bookmarkStart w:id="283" w:name="_附件二：近三年度主要施工项目（竣工及在建）一览表"/>
      <w:bookmarkEnd w:id="283"/>
      <w:bookmarkStart w:id="284" w:name="_附件二：工期承诺书"/>
      <w:bookmarkEnd w:id="284"/>
      <w:bookmarkStart w:id="285" w:name="_Toc200338097"/>
      <w:bookmarkStart w:id="286" w:name="_Toc137621693"/>
      <w:bookmarkStart w:id="287" w:name="_Toc66849200"/>
      <w:bookmarkStart w:id="288" w:name="_Hlt66847557"/>
    </w:p>
    <w:p w14:paraId="5470CEAB">
      <w:pPr>
        <w:pStyle w:val="4"/>
        <w:bidi w:val="0"/>
        <w:ind w:firstLine="964"/>
        <w:rPr>
          <w:rFonts w:hint="eastAsia" w:ascii="宋体" w:hAnsi="宋体" w:eastAsia="宋体" w:cs="宋体"/>
          <w:color w:val="auto"/>
          <w:highlight w:val="none"/>
        </w:rPr>
      </w:pPr>
      <w:bookmarkStart w:id="289" w:name="_Toc17749"/>
      <w:bookmarkStart w:id="290" w:name="_Toc14677"/>
      <w:bookmarkStart w:id="291" w:name="_Toc13462"/>
      <w:r>
        <w:rPr>
          <w:rFonts w:hint="eastAsia" w:ascii="宋体" w:hAnsi="宋体" w:eastAsia="宋体" w:cs="宋体"/>
          <w:color w:val="auto"/>
          <w:highlight w:val="none"/>
        </w:rPr>
        <w:t>格式一 封面</w:t>
      </w:r>
      <w:bookmarkEnd w:id="289"/>
      <w:bookmarkEnd w:id="290"/>
      <w:bookmarkEnd w:id="291"/>
    </w:p>
    <w:p w14:paraId="62285726">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553C2D9">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404006EB">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8E9812F">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331A9C0C">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ED3773B">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22C8C392">
      <w:pPr>
        <w:pStyle w:val="75"/>
        <w:widowControl w:val="0"/>
        <w:wordWrap w:val="0"/>
        <w:adjustRightInd w:val="0"/>
        <w:snapToGrid w:val="0"/>
        <w:spacing w:line="240" w:lineRule="auto"/>
        <w:rPr>
          <w:rFonts w:hint="eastAsia" w:ascii="宋体" w:hAnsi="宋体" w:eastAsia="宋体" w:cs="宋体"/>
          <w:b/>
          <w:snapToGrid w:val="0"/>
          <w:color w:val="auto"/>
          <w:sz w:val="24"/>
          <w:highlight w:val="none"/>
        </w:rPr>
      </w:pPr>
    </w:p>
    <w:p w14:paraId="64CADC78">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Cs/>
          <w:snapToGrid w:val="0"/>
          <w:color w:val="auto"/>
          <w:sz w:val="48"/>
          <w:szCs w:val="48"/>
          <w:highlight w:val="none"/>
          <w:u w:val="single"/>
        </w:rPr>
        <w:t xml:space="preserve">             </w:t>
      </w:r>
      <w:r>
        <w:rPr>
          <w:rFonts w:hint="eastAsia" w:ascii="宋体" w:hAnsi="宋体" w:eastAsia="宋体" w:cs="宋体"/>
          <w:b/>
          <w:snapToGrid w:val="0"/>
          <w:color w:val="auto"/>
          <w:sz w:val="48"/>
          <w:szCs w:val="48"/>
          <w:highlight w:val="none"/>
        </w:rPr>
        <w:t>（项目名称）招标</w:t>
      </w:r>
    </w:p>
    <w:p w14:paraId="74280D79">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1AF8E20E">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09EBFE22">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32"/>
          <w:highlight w:val="none"/>
        </w:rPr>
      </w:pPr>
    </w:p>
    <w:p w14:paraId="19384084">
      <w:pPr>
        <w:pStyle w:val="75"/>
        <w:widowControl w:val="0"/>
        <w:wordWrap w:val="0"/>
        <w:adjustRightInd w:val="0"/>
        <w:snapToGrid w:val="0"/>
        <w:spacing w:line="24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64B90567">
      <w:pPr>
        <w:pStyle w:val="75"/>
        <w:widowControl w:val="0"/>
        <w:wordWrap w:val="0"/>
        <w:adjustRightInd w:val="0"/>
        <w:snapToGrid w:val="0"/>
        <w:spacing w:line="240" w:lineRule="auto"/>
        <w:rPr>
          <w:rFonts w:hint="eastAsia" w:ascii="宋体" w:hAnsi="宋体" w:eastAsia="宋体" w:cs="宋体"/>
          <w:b/>
          <w:snapToGrid w:val="0"/>
          <w:color w:val="auto"/>
          <w:highlight w:val="none"/>
        </w:rPr>
      </w:pPr>
    </w:p>
    <w:p w14:paraId="189EEA00">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4DCF70B">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51B6B47E">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0C5BDB24">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B60CED4">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2F3092EB">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20C7425">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66DFF8C2">
      <w:pPr>
        <w:pStyle w:val="75"/>
        <w:widowControl w:val="0"/>
        <w:wordWrap w:val="0"/>
        <w:adjustRightInd w:val="0"/>
        <w:snapToGrid w:val="0"/>
        <w:spacing w:line="240" w:lineRule="auto"/>
        <w:rPr>
          <w:rFonts w:hint="eastAsia" w:ascii="宋体" w:hAnsi="宋体" w:eastAsia="宋体" w:cs="宋体"/>
          <w:b/>
          <w:snapToGrid w:val="0"/>
          <w:color w:val="auto"/>
          <w:sz w:val="32"/>
          <w:highlight w:val="none"/>
        </w:rPr>
      </w:pPr>
    </w:p>
    <w:p w14:paraId="45DAD187">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08001D46">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41EDE1DA">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6F7C862D">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3E637BE5">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72EA2AF6">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rPr>
      </w:pPr>
    </w:p>
    <w:p w14:paraId="1A975475">
      <w:pPr>
        <w:pStyle w:val="75"/>
        <w:widowControl w:val="0"/>
        <w:wordWrap w:val="0"/>
        <w:adjustRightInd w:val="0"/>
        <w:snapToGrid w:val="0"/>
        <w:spacing w:line="240" w:lineRule="auto"/>
        <w:ind w:firstLine="0"/>
        <w:jc w:val="center"/>
        <w:rPr>
          <w:rFonts w:hint="eastAsia" w:ascii="宋体" w:hAnsi="宋体" w:eastAsia="宋体" w:cs="宋体"/>
          <w:bCs/>
          <w:snapToGrid w:val="0"/>
          <w:color w:val="auto"/>
          <w:sz w:val="32"/>
          <w:highlight w:val="none"/>
          <w:u w:val="single"/>
        </w:rPr>
      </w:pPr>
    </w:p>
    <w:p w14:paraId="4A9347C3">
      <w:pPr>
        <w:pStyle w:val="75"/>
        <w:widowControl w:val="0"/>
        <w:wordWrap w:val="0"/>
        <w:adjustRightInd w:val="0"/>
        <w:snapToGrid w:val="0"/>
        <w:spacing w:line="240" w:lineRule="auto"/>
        <w:ind w:firstLine="0"/>
        <w:jc w:val="center"/>
        <w:rPr>
          <w:rFonts w:hint="eastAsia" w:ascii="宋体" w:hAnsi="宋体" w:eastAsia="宋体" w:cs="宋体"/>
          <w:b/>
          <w:snapToGrid w:val="0"/>
          <w:color w:val="auto"/>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52F104A7">
      <w:pPr>
        <w:pStyle w:val="75"/>
        <w:widowControl w:val="0"/>
        <w:wordWrap w:val="0"/>
        <w:adjustRightInd w:val="0"/>
        <w:snapToGrid w:val="0"/>
        <w:rPr>
          <w:rFonts w:hint="eastAsia" w:ascii="宋体" w:hAnsi="宋体" w:eastAsia="宋体" w:cs="宋体"/>
          <w:b/>
          <w:snapToGrid w:val="0"/>
          <w:color w:val="auto"/>
          <w:highlight w:val="none"/>
        </w:rPr>
      </w:pPr>
    </w:p>
    <w:p w14:paraId="53CB3B82">
      <w:pPr>
        <w:pStyle w:val="75"/>
        <w:widowControl w:val="0"/>
        <w:wordWrap w:val="0"/>
        <w:adjustRightInd w:val="0"/>
        <w:snapToGrid w:val="0"/>
        <w:rPr>
          <w:rFonts w:hint="eastAsia" w:ascii="宋体" w:hAnsi="宋体" w:eastAsia="宋体" w:cs="宋体"/>
          <w:b/>
          <w:snapToGrid w:val="0"/>
          <w:color w:val="auto"/>
          <w:highlight w:val="none"/>
        </w:rPr>
      </w:pPr>
    </w:p>
    <w:p w14:paraId="20584595">
      <w:pPr>
        <w:pStyle w:val="75"/>
        <w:widowControl w:val="0"/>
        <w:wordWrap w:val="0"/>
        <w:adjustRightInd w:val="0"/>
        <w:snapToGrid w:val="0"/>
        <w:rPr>
          <w:rFonts w:hint="eastAsia" w:ascii="宋体" w:hAnsi="宋体" w:eastAsia="宋体" w:cs="宋体"/>
          <w:b/>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B097F81">
      <w:pPr>
        <w:pStyle w:val="4"/>
        <w:bidi w:val="0"/>
        <w:ind w:firstLine="964"/>
        <w:rPr>
          <w:rFonts w:hint="eastAsia" w:ascii="宋体" w:hAnsi="宋体" w:eastAsia="宋体" w:cs="宋体"/>
          <w:color w:val="auto"/>
          <w:highlight w:val="none"/>
        </w:rPr>
      </w:pPr>
      <w:bookmarkStart w:id="292" w:name="_Toc7500"/>
      <w:bookmarkStart w:id="293" w:name="_Toc3166"/>
      <w:bookmarkStart w:id="294" w:name="_Toc17232"/>
      <w:bookmarkStart w:id="295" w:name="_Toc28280"/>
      <w:bookmarkStart w:id="296" w:name="_Toc106418843"/>
      <w:bookmarkStart w:id="297" w:name="_Toc104711098"/>
      <w:r>
        <w:rPr>
          <w:rFonts w:hint="eastAsia" w:ascii="宋体" w:hAnsi="宋体" w:eastAsia="宋体" w:cs="宋体"/>
          <w:color w:val="auto"/>
          <w:highlight w:val="none"/>
        </w:rPr>
        <w:t>格式</w:t>
      </w:r>
      <w:bookmarkStart w:id="298" w:name="_Hlt97526007"/>
      <w:bookmarkEnd w:id="298"/>
      <w:r>
        <w:rPr>
          <w:rFonts w:hint="eastAsia" w:ascii="宋体" w:hAnsi="宋体" w:eastAsia="宋体" w:cs="宋体"/>
          <w:color w:val="auto"/>
          <w:highlight w:val="none"/>
        </w:rPr>
        <w:t>二 投标函</w:t>
      </w:r>
      <w:bookmarkEnd w:id="292"/>
      <w:bookmarkEnd w:id="293"/>
      <w:bookmarkEnd w:id="294"/>
    </w:p>
    <w:p w14:paraId="3D160AA4">
      <w:pPr>
        <w:pStyle w:val="4"/>
        <w:keepNext w:val="0"/>
        <w:keepLines w:val="0"/>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bookmarkStart w:id="299" w:name="_Toc26551"/>
      <w:bookmarkStart w:id="300" w:name="_Toc23239"/>
      <w:bookmarkStart w:id="301" w:name="_Toc25895"/>
      <w:r>
        <w:rPr>
          <w:rFonts w:hint="eastAsia" w:ascii="宋体" w:hAnsi="宋体" w:eastAsia="宋体" w:cs="宋体"/>
          <w:b/>
          <w:snapToGrid w:val="0"/>
          <w:color w:val="auto"/>
          <w:kern w:val="0"/>
          <w:sz w:val="30"/>
          <w:highlight w:val="none"/>
        </w:rPr>
        <w:t>投  标  函</w:t>
      </w:r>
      <w:bookmarkEnd w:id="295"/>
      <w:bookmarkEnd w:id="296"/>
      <w:bookmarkEnd w:id="297"/>
      <w:bookmarkEnd w:id="299"/>
      <w:bookmarkEnd w:id="300"/>
      <w:bookmarkEnd w:id="301"/>
    </w:p>
    <w:p w14:paraId="5BD61156">
      <w:pPr>
        <w:wordWrap w:val="0"/>
        <w:adjustRightInd w:val="0"/>
        <w:snapToGrid w:val="0"/>
        <w:spacing w:line="440" w:lineRule="exact"/>
        <w:jc w:val="center"/>
        <w:rPr>
          <w:rFonts w:hint="eastAsia" w:ascii="宋体" w:hAnsi="宋体" w:eastAsia="宋体" w:cs="宋体"/>
          <w:b/>
          <w:snapToGrid w:val="0"/>
          <w:color w:val="auto"/>
          <w:kern w:val="0"/>
          <w:highlight w:val="none"/>
        </w:rPr>
      </w:pPr>
    </w:p>
    <w:p w14:paraId="65BB6F90">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7DF7758A">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（项目名称）（以下简称“本项目”）施工招标文件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7CCD072B">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w:t>
      </w:r>
      <w:r>
        <w:rPr>
          <w:rFonts w:hint="eastAsia" w:hAnsi="宋体" w:cs="宋体"/>
          <w:snapToGrid w:val="0"/>
          <w:color w:val="auto"/>
          <w:kern w:val="0"/>
          <w:highlight w:val="none"/>
          <w:lang w:eastAsia="zh-CN"/>
        </w:rPr>
        <w:t>安全生产措施费</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，暂列金额¥</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09C76540">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7E9D855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5C20BCCC">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48B983E4">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5．我方在此承诺，所递交投标文件的全部内容均为真实、有效、准确的，并愿意承担因我方就此弄虚作假所引起的一切法律后果，同时理解和同意有可能被要求提供更多的资料。</w:t>
      </w:r>
    </w:p>
    <w:p w14:paraId="43AF98F8">
      <w:pPr>
        <w:wordWrap w:val="0"/>
        <w:adjustRightInd w:val="0"/>
        <w:snapToGrid w:val="0"/>
        <w:spacing w:line="440" w:lineRule="exact"/>
        <w:ind w:firstLine="570"/>
        <w:rPr>
          <w:rFonts w:hint="eastAsia" w:ascii="宋体" w:hAnsi="宋体" w:eastAsia="宋体" w:cs="宋体"/>
          <w:snapToGrid w:val="0"/>
          <w:color w:val="auto"/>
          <w:kern w:val="0"/>
          <w:highlight w:val="none"/>
        </w:rPr>
      </w:pPr>
      <w:bookmarkStart w:id="302" w:name="_Hlt68771070"/>
      <w:bookmarkEnd w:id="302"/>
      <w:r>
        <w:rPr>
          <w:rFonts w:hint="eastAsia" w:ascii="宋体" w:hAnsi="宋体" w:eastAsia="宋体" w:cs="宋体"/>
          <w:snapToGrid w:val="0"/>
          <w:color w:val="auto"/>
          <w:kern w:val="0"/>
          <w:highlight w:val="none"/>
        </w:rPr>
        <w:t>6. 我方理解你方不一定要接纳收到的最低投标总价或任何投标总价的投标人中标，也不要求你方解释我方是否中标的原因。</w:t>
      </w:r>
    </w:p>
    <w:p w14:paraId="15E89DC9">
      <w:pPr>
        <w:wordWrap w:val="0"/>
        <w:adjustRightInd w:val="0"/>
        <w:snapToGrid w:val="0"/>
        <w:spacing w:line="440" w:lineRule="exact"/>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p>
    <w:p w14:paraId="7F4043DD">
      <w:pPr>
        <w:wordWrap w:val="0"/>
        <w:adjustRightInd w:val="0"/>
        <w:snapToGrid w:val="0"/>
        <w:spacing w:line="440" w:lineRule="exact"/>
        <w:rPr>
          <w:rFonts w:hint="eastAsia" w:ascii="宋体" w:hAnsi="宋体" w:eastAsia="宋体" w:cs="宋体"/>
          <w:snapToGrid w:val="0"/>
          <w:color w:val="auto"/>
          <w:kern w:val="0"/>
          <w:highlight w:val="none"/>
        </w:rPr>
      </w:pPr>
    </w:p>
    <w:p w14:paraId="55215338">
      <w:pPr>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5A1B5F53">
      <w:pPr>
        <w:wordWrap w:val="0"/>
        <w:adjustRightInd w:val="0"/>
        <w:snapToGrid w:val="0"/>
        <w:spacing w:line="440" w:lineRule="exact"/>
        <w:jc w:val="right"/>
        <w:rPr>
          <w:rFonts w:hint="eastAsia" w:ascii="宋体" w:hAnsi="宋体" w:eastAsia="宋体" w:cs="宋体"/>
          <w:snapToGrid w:val="0"/>
          <w:color w:val="auto"/>
          <w:kern w:val="0"/>
          <w:highlight w:val="none"/>
        </w:rPr>
      </w:pPr>
    </w:p>
    <w:p w14:paraId="26508364">
      <w:pPr>
        <w:wordWrap w:val="0"/>
        <w:adjustRightInd w:val="0"/>
        <w:snapToGrid w:val="0"/>
        <w:spacing w:line="440" w:lineRule="exact"/>
        <w:jc w:val="right"/>
        <w:rPr>
          <w:rFonts w:hint="eastAsia" w:ascii="宋体" w:hAnsi="宋体" w:eastAsia="宋体" w:cs="宋体"/>
          <w:snapToGrid w:val="0"/>
          <w:color w:val="auto"/>
          <w:kern w:val="0"/>
          <w:highlight w:val="none"/>
        </w:rPr>
      </w:pPr>
    </w:p>
    <w:p w14:paraId="558F4CA0">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655DCCE3">
      <w:pPr>
        <w:wordWrap w:val="0"/>
        <w:adjustRightInd w:val="0"/>
        <w:snapToGrid w:val="0"/>
        <w:spacing w:line="440" w:lineRule="exact"/>
        <w:ind w:firstLine="480" w:firstLineChars="200"/>
        <w:jc w:val="right"/>
        <w:rPr>
          <w:rFonts w:hint="eastAsia" w:ascii="宋体" w:hAnsi="宋体" w:eastAsia="宋体" w:cs="宋体"/>
          <w:snapToGrid w:val="0"/>
          <w:color w:val="auto"/>
          <w:kern w:val="0"/>
          <w:highlight w:val="none"/>
        </w:rPr>
      </w:pPr>
    </w:p>
    <w:p w14:paraId="6B3C6271">
      <w:pPr>
        <w:wordWrap w:val="0"/>
        <w:adjustRightInd w:val="0"/>
        <w:snapToGrid w:val="0"/>
        <w:spacing w:line="440" w:lineRule="exact"/>
        <w:jc w:val="left"/>
        <w:rPr>
          <w:rFonts w:hint="eastAsia" w:ascii="宋体" w:hAnsi="宋体" w:eastAsia="宋体" w:cs="宋体"/>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B22A1B2">
      <w:pPr>
        <w:pStyle w:val="4"/>
        <w:bidi w:val="0"/>
        <w:ind w:firstLine="964"/>
        <w:rPr>
          <w:rFonts w:hint="eastAsia" w:ascii="宋体" w:hAnsi="宋体" w:eastAsia="宋体" w:cs="宋体"/>
          <w:color w:val="auto"/>
          <w:highlight w:val="none"/>
        </w:rPr>
      </w:pPr>
      <w:bookmarkStart w:id="303" w:name="_Toc26367"/>
      <w:r>
        <w:rPr>
          <w:rFonts w:hint="eastAsia" w:ascii="宋体" w:hAnsi="宋体" w:eastAsia="宋体" w:cs="宋体"/>
          <w:color w:val="auto"/>
          <w:highlight w:val="none"/>
        </w:rPr>
        <w:t>格式三 各项承诺一览表</w:t>
      </w:r>
      <w:bookmarkEnd w:id="303"/>
    </w:p>
    <w:p w14:paraId="7ED1E1C4">
      <w:pPr>
        <w:pStyle w:val="79"/>
        <w:keepNext w:val="0"/>
        <w:keepLines w:val="0"/>
        <w:widowControl w:val="0"/>
        <w:wordWrap w:val="0"/>
        <w:adjustRightInd w:val="0"/>
        <w:snapToGrid w:val="0"/>
        <w:spacing w:before="260" w:after="260" w:line="440" w:lineRule="exact"/>
        <w:ind w:firstLine="0"/>
        <w:rPr>
          <w:rFonts w:hint="eastAsia" w:ascii="宋体" w:hAnsi="宋体" w:eastAsia="宋体" w:cs="宋体"/>
          <w:b/>
          <w:snapToGrid w:val="0"/>
          <w:color w:val="auto"/>
          <w:highlight w:val="none"/>
        </w:rPr>
      </w:pPr>
      <w:bookmarkStart w:id="304" w:name="_Toc29967"/>
      <w:bookmarkStart w:id="305" w:name="_Toc19422"/>
      <w:bookmarkStart w:id="306" w:name="_Toc18715"/>
      <w:r>
        <w:rPr>
          <w:rFonts w:hint="eastAsia" w:ascii="宋体" w:hAnsi="宋体" w:eastAsia="宋体" w:cs="宋体"/>
          <w:b/>
          <w:snapToGrid w:val="0"/>
          <w:color w:val="auto"/>
          <w:sz w:val="30"/>
          <w:highlight w:val="none"/>
        </w:rPr>
        <w:t>各项承诺一览表</w:t>
      </w:r>
      <w:bookmarkEnd w:id="304"/>
      <w:bookmarkEnd w:id="305"/>
      <w:bookmarkEnd w:id="306"/>
    </w:p>
    <w:tbl>
      <w:tblPr>
        <w:tblStyle w:val="31"/>
        <w:tblW w:w="102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5051"/>
      </w:tblGrid>
      <w:tr w14:paraId="6A4B6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716" w:type="dxa"/>
            <w:noWrap w:val="0"/>
            <w:vAlign w:val="center"/>
          </w:tcPr>
          <w:p w14:paraId="0523F676">
            <w:pPr>
              <w:pStyle w:val="63"/>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05516782">
            <w:pPr>
              <w:pStyle w:val="63"/>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748193F3">
            <w:pPr>
              <w:pStyle w:val="63"/>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5051" w:type="dxa"/>
            <w:noWrap w:val="0"/>
            <w:vAlign w:val="center"/>
          </w:tcPr>
          <w:p w14:paraId="789C2810">
            <w:pPr>
              <w:pStyle w:val="63"/>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11B8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73" w:hRule="atLeast"/>
          <w:jc w:val="center"/>
        </w:trPr>
        <w:tc>
          <w:tcPr>
            <w:tcW w:w="716" w:type="dxa"/>
            <w:noWrap w:val="0"/>
            <w:vAlign w:val="center"/>
          </w:tcPr>
          <w:p w14:paraId="1DAC863C">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19F39EE6">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77DBC478">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5DBBC6A2">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5051" w:type="dxa"/>
            <w:noWrap w:val="0"/>
            <w:vAlign w:val="center"/>
          </w:tcPr>
          <w:p w14:paraId="47E4CB27">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26DF6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82" w:hRule="atLeast"/>
          <w:jc w:val="center"/>
        </w:trPr>
        <w:tc>
          <w:tcPr>
            <w:tcW w:w="716" w:type="dxa"/>
            <w:noWrap w:val="0"/>
            <w:vAlign w:val="center"/>
          </w:tcPr>
          <w:p w14:paraId="37117678">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78BACBE4">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0ADD0EBE">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0D17CBC0">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5051" w:type="dxa"/>
            <w:noWrap w:val="0"/>
            <w:vAlign w:val="center"/>
          </w:tcPr>
          <w:p w14:paraId="713FE0BB">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66DD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9" w:hRule="atLeast"/>
          <w:jc w:val="center"/>
        </w:trPr>
        <w:tc>
          <w:tcPr>
            <w:tcW w:w="716" w:type="dxa"/>
            <w:noWrap w:val="0"/>
            <w:vAlign w:val="center"/>
          </w:tcPr>
          <w:p w14:paraId="1EAECE13">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75495091">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0915F300">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38DD2D73">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6078EC86">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5051" w:type="dxa"/>
            <w:noWrap w:val="0"/>
            <w:vAlign w:val="center"/>
          </w:tcPr>
          <w:p w14:paraId="69666C85">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345B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56" w:hRule="atLeast"/>
          <w:jc w:val="center"/>
        </w:trPr>
        <w:tc>
          <w:tcPr>
            <w:tcW w:w="716" w:type="dxa"/>
            <w:noWrap w:val="0"/>
            <w:vAlign w:val="center"/>
          </w:tcPr>
          <w:p w14:paraId="6D1A01CA">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6E653F04">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39D8D8B0">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247CCC5F">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5051" w:type="dxa"/>
            <w:noWrap w:val="0"/>
            <w:vAlign w:val="center"/>
          </w:tcPr>
          <w:p w14:paraId="10D09C7E">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01BE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4" w:hRule="atLeast"/>
          <w:jc w:val="center"/>
        </w:trPr>
        <w:tc>
          <w:tcPr>
            <w:tcW w:w="716" w:type="dxa"/>
            <w:noWrap w:val="0"/>
            <w:vAlign w:val="center"/>
          </w:tcPr>
          <w:p w14:paraId="67910BF8">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2DD2F65B">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738087CB">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2C049438">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5051" w:type="dxa"/>
            <w:noWrap w:val="0"/>
            <w:vAlign w:val="center"/>
          </w:tcPr>
          <w:p w14:paraId="62C904A4">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787F6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68B0DDA3">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2F332959">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04E8FAE0">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56C5303D">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Style w:val="150"/>
                <w:rFonts w:hint="eastAsia" w:ascii="宋体" w:hAnsi="宋体" w:eastAsia="宋体" w:cs="宋体"/>
                <w:color w:val="auto"/>
                <w:kern w:val="0"/>
                <w:sz w:val="21"/>
                <w:szCs w:val="21"/>
                <w:highlight w:val="none"/>
                <w:lang w:val="en-US" w:eastAsia="zh-CN" w:bidi="ar-SA"/>
              </w:rPr>
              <w:t>我方提供完整的电子文件。如果我方成为本项目中标候选人，我方同意并授权招标人在评标结果公示期内公开我方商务标书的全部内容。</w:t>
            </w:r>
          </w:p>
        </w:tc>
        <w:tc>
          <w:tcPr>
            <w:tcW w:w="5051" w:type="dxa"/>
            <w:noWrap w:val="0"/>
            <w:vAlign w:val="center"/>
            <mc:AlternateContent>
              <mc:Choice Requires="wpsCustomData">
                <wpsCustomData:diagonals>
                  <wpsCustomData:diagonal from="0" to="20000">
                    <wpsCustomData:border w:val="single" w:color="auto" w:sz="4" w:space="0"/>
                  </wpsCustomData:diagonal>
                </wpsCustomData:diagonals>
              </mc:Choice>
            </mc:AlternateContent>
          </w:tcPr>
          <w:p w14:paraId="14CEA547">
            <w:pPr>
              <w:pStyle w:val="106"/>
              <w:wordWrap w:val="0"/>
              <w:adjustRightInd w:val="0"/>
              <w:snapToGrid w:val="0"/>
              <w:spacing w:line="240" w:lineRule="auto"/>
              <w:ind w:firstLine="0" w:firstLineChars="0"/>
              <w:jc w:val="left"/>
              <mc:AlternateContent>
                <mc:Choice Requires="wpsCustomData">
                  <wpsCustomData:diagonalParaType/>
                </mc:Choice>
              </mc:AlternateConten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w:t>
            </w:r>
          </w:p>
          <w:p w14:paraId="2F2D6720">
            <w:pPr>
              <w:pStyle w:val="106"/>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70FBB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1AA2AFEC">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26CFDCE0">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0ED97ECC">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75717B94">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5051" w:type="dxa"/>
            <w:tcBorders>
              <w:tr2bl w:val="single" w:color="auto" w:sz="4" w:space="0"/>
            </w:tcBorders>
            <w:noWrap w:val="0"/>
            <w:vAlign w:val="center"/>
          </w:tcPr>
          <w:p w14:paraId="1EC5CF1B">
            <w:pPr>
              <w:pStyle w:val="106"/>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p w14:paraId="7C3A418B">
            <w:pPr>
              <w:pStyle w:val="106"/>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6F66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6EE990D8">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720FD32C">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5DADC463">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35D27895">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5051" w:type="dxa"/>
            <w:noWrap w:val="0"/>
            <w:vAlign w:val="center"/>
          </w:tcPr>
          <w:p w14:paraId="3AE88E3E">
            <w:pPr>
              <w:pStyle w:val="106"/>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4EFC9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63365C53">
            <w:pPr>
              <w:pStyle w:val="63"/>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6FA8C30A">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1BCA131A">
            <w:pPr>
              <w:pStyle w:val="106"/>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1EFF4E75">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5051" w:type="dxa"/>
            <w:noWrap w:val="0"/>
            <w:vAlign w:val="center"/>
          </w:tcPr>
          <w:p w14:paraId="1D829707">
            <w:pPr>
              <w:pStyle w:val="106"/>
              <w:wordWrap w:val="0"/>
              <w:adjustRightInd w:val="0"/>
              <w:snapToGrid w:val="0"/>
              <w:spacing w:line="360" w:lineRule="auto"/>
              <w:ind w:firstLine="42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24C13A44">
      <w:pPr>
        <w:pStyle w:val="63"/>
        <w:wordWrap w:val="0"/>
        <w:adjustRightInd w:val="0"/>
        <w:snapToGrid w:val="0"/>
        <w:spacing w:line="420" w:lineRule="exact"/>
        <w:jc w:val="left"/>
        <w:rPr>
          <w:rFonts w:hint="eastAsia" w:ascii="宋体" w:hAnsi="宋体" w:eastAsia="宋体" w:cs="宋体"/>
          <w:snapToGrid w:val="0"/>
          <w:color w:val="auto"/>
          <w:kern w:val="0"/>
          <w:highlight w:val="none"/>
        </w:rPr>
      </w:pPr>
    </w:p>
    <w:p w14:paraId="1E71F53A">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273CB0B0">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0E7A76ED">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p>
    <w:p w14:paraId="179E45B4">
      <w:pPr>
        <w:pStyle w:val="18"/>
        <w:wordWrap w:val="0"/>
        <w:adjustRightInd w:val="0"/>
        <w:snapToGrid w:val="0"/>
        <w:spacing w:line="420" w:lineRule="exact"/>
        <w:ind w:firstLine="48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02BB82C7">
      <w:pPr>
        <w:pStyle w:val="18"/>
        <w:wordWrap w:val="0"/>
        <w:adjustRightInd w:val="0"/>
        <w:snapToGrid w:val="0"/>
        <w:spacing w:line="420" w:lineRule="exact"/>
        <w:ind w:firstLine="480" w:firstLineChars="200"/>
        <w:rPr>
          <w:rFonts w:hint="eastAsia" w:ascii="宋体" w:hAnsi="宋体" w:eastAsia="宋体" w:cs="宋体"/>
          <w:snapToGrid w:val="0"/>
          <w:color w:val="auto"/>
          <w:kern w:val="0"/>
          <w:szCs w:val="24"/>
          <w:highlight w:val="none"/>
        </w:rPr>
      </w:pPr>
    </w:p>
    <w:p w14:paraId="6AF098DC">
      <w:pPr>
        <w:pStyle w:val="18"/>
        <w:wordWrap w:val="0"/>
        <w:adjustRightInd w:val="0"/>
        <w:snapToGrid w:val="0"/>
        <w:spacing w:line="420" w:lineRule="exact"/>
        <w:ind w:firstLine="480" w:firstLineChars="200"/>
        <w:jc w:val="center"/>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39F77F4D">
      <w:pPr>
        <w:wordWrap w:val="0"/>
        <w:adjustRightInd w:val="0"/>
        <w:snapToGrid w:val="0"/>
        <w:spacing w:line="420" w:lineRule="exact"/>
        <w:jc w:val="left"/>
        <w:outlineLvl w:val="2"/>
        <w:rPr>
          <w:rFonts w:hint="eastAsia" w:ascii="宋体" w:hAnsi="宋体" w:eastAsia="宋体" w:cs="宋体"/>
          <w:b/>
          <w:snapToGrid w:val="0"/>
          <w:color w:val="auto"/>
          <w:kern w:val="0"/>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0D7DEAC4">
      <w:pPr>
        <w:pStyle w:val="4"/>
        <w:bidi w:val="0"/>
        <w:ind w:firstLine="964"/>
        <w:rPr>
          <w:rFonts w:hint="eastAsia" w:ascii="宋体" w:hAnsi="宋体" w:eastAsia="宋体" w:cs="宋体"/>
          <w:color w:val="auto"/>
          <w:highlight w:val="none"/>
        </w:rPr>
      </w:pPr>
      <w:bookmarkStart w:id="307" w:name="_Toc1822"/>
      <w:bookmarkStart w:id="308" w:name="_Toc1689"/>
      <w:r>
        <w:rPr>
          <w:rFonts w:hint="eastAsia" w:ascii="宋体" w:hAnsi="宋体" w:eastAsia="宋体" w:cs="宋体"/>
          <w:color w:val="auto"/>
          <w:highlight w:val="none"/>
        </w:rPr>
        <w:t>格式四 授权委托书</w:t>
      </w:r>
      <w:bookmarkEnd w:id="307"/>
      <w:bookmarkEnd w:id="308"/>
    </w:p>
    <w:p w14:paraId="1A4B32DD">
      <w:pPr>
        <w:wordWrap w:val="0"/>
        <w:adjustRightInd w:val="0"/>
        <w:snapToGrid w:val="0"/>
        <w:spacing w:line="440" w:lineRule="exact"/>
        <w:outlineLvl w:val="2"/>
        <w:rPr>
          <w:rFonts w:hint="eastAsia" w:ascii="宋体" w:hAnsi="宋体" w:eastAsia="宋体" w:cs="宋体"/>
          <w:b/>
          <w:bCs/>
          <w:snapToGrid w:val="0"/>
          <w:color w:val="auto"/>
          <w:kern w:val="0"/>
          <w:szCs w:val="24"/>
          <w:highlight w:val="none"/>
        </w:rPr>
      </w:pPr>
    </w:p>
    <w:p w14:paraId="47660150">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793F2DE8">
      <w:pPr>
        <w:wordWrap w:val="0"/>
        <w:adjustRightInd w:val="0"/>
        <w:snapToGrid w:val="0"/>
        <w:spacing w:line="440" w:lineRule="exact"/>
        <w:rPr>
          <w:rFonts w:hint="eastAsia" w:ascii="宋体" w:hAnsi="宋体" w:eastAsia="宋体" w:cs="宋体"/>
          <w:snapToGrid w:val="0"/>
          <w:color w:val="auto"/>
          <w:kern w:val="0"/>
          <w:szCs w:val="28"/>
          <w:highlight w:val="none"/>
        </w:rPr>
      </w:pPr>
    </w:p>
    <w:p w14:paraId="07E22506">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172BCBCB">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委托期限：至</w:t>
      </w:r>
      <w:r>
        <w:rPr>
          <w:rFonts w:hint="eastAsia" w:ascii="宋体" w:hAnsi="宋体" w:eastAsia="宋体" w:cs="宋体"/>
          <w:snapToGrid w:val="0"/>
          <w:color w:val="auto"/>
          <w:kern w:val="0"/>
          <w:szCs w:val="21"/>
          <w:highlight w:val="none"/>
          <w:u w:val="single"/>
        </w:rPr>
        <w:t xml:space="preserve">     年   月   日</w:t>
      </w:r>
      <w:r>
        <w:rPr>
          <w:rFonts w:hint="eastAsia" w:ascii="宋体" w:hAnsi="宋体" w:eastAsia="宋体" w:cs="宋体"/>
          <w:i/>
          <w:iCs/>
          <w:snapToGrid w:val="0"/>
          <w:color w:val="auto"/>
          <w:kern w:val="0"/>
          <w:szCs w:val="21"/>
          <w:highlight w:val="none"/>
          <w:u w:val="single"/>
        </w:rPr>
        <w:t>（不得短于招标文件规定的投标有效期）</w:t>
      </w:r>
      <w:r>
        <w:rPr>
          <w:rFonts w:hint="eastAsia" w:ascii="宋体" w:hAnsi="宋体" w:eastAsia="宋体" w:cs="宋体"/>
          <w:snapToGrid w:val="0"/>
          <w:color w:val="auto"/>
          <w:kern w:val="0"/>
          <w:szCs w:val="21"/>
          <w:highlight w:val="none"/>
        </w:rPr>
        <w:t xml:space="preserve"> 。</w:t>
      </w:r>
    </w:p>
    <w:p w14:paraId="2DC64069">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36B1189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6BB4D931">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6114A8D">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255E44F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C5A3FD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49B8A0F4">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69A7339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36316A00">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hAnsi="宋体" w:cs="宋体"/>
          <w:snapToGrid w:val="0"/>
          <w:color w:val="auto"/>
          <w:kern w:val="0"/>
          <w:szCs w:val="21"/>
          <w:highlight w:val="none"/>
          <w:lang w:val="en-US" w:eastAsia="zh-CN"/>
        </w:rPr>
        <w:t xml:space="preserve">       </w:t>
      </w:r>
      <w:r>
        <w:rPr>
          <w:rFonts w:hint="eastAsia" w:ascii="宋体" w:hAnsi="宋体" w:eastAsia="宋体" w:cs="宋体"/>
          <w:snapToGrid w:val="0"/>
          <w:color w:val="auto"/>
          <w:kern w:val="0"/>
          <w:szCs w:val="21"/>
          <w:highlight w:val="none"/>
        </w:rPr>
        <w:t>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16DC21C6">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FBEA013">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40EAFD4F">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4457C0A">
      <w:pPr>
        <w:wordWrap w:val="0"/>
        <w:adjustRightInd w:val="0"/>
        <w:snapToGrid w:val="0"/>
        <w:spacing w:line="440" w:lineRule="exact"/>
        <w:ind w:firstLine="480" w:firstLineChars="200"/>
        <w:rPr>
          <w:rFonts w:hint="eastAsia" w:ascii="宋体" w:hAnsi="宋体" w:eastAsia="宋体" w:cs="宋体"/>
          <w:snapToGrid w:val="0"/>
          <w:color w:val="auto"/>
          <w:kern w:val="0"/>
          <w:szCs w:val="21"/>
          <w:highlight w:val="none"/>
        </w:rPr>
      </w:pPr>
    </w:p>
    <w:p w14:paraId="5045367D">
      <w:pPr>
        <w:wordWrap w:val="0"/>
        <w:adjustRightInd w:val="0"/>
        <w:snapToGrid w:val="0"/>
        <w:ind w:firstLine="6440" w:firstLineChars="2300"/>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 w:val="28"/>
          <w:szCs w:val="28"/>
          <w:highlight w:val="none"/>
          <w:u w:val="single"/>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2202815"/>
                <wp:effectExtent l="4445" t="4445" r="5080" b="21590"/>
                <wp:wrapNone/>
                <wp:docPr id="20" name="自选图形 19"/>
                <wp:cNvGraphicFramePr/>
                <a:graphic xmlns:a="http://schemas.openxmlformats.org/drawingml/2006/main">
                  <a:graphicData uri="http://schemas.microsoft.com/office/word/2010/wordprocessingShape">
                    <wps:wsp>
                      <wps:cNvSpPr/>
                      <wps:spPr>
                        <a:xfrm>
                          <a:off x="0" y="0"/>
                          <a:ext cx="3190875" cy="220281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7B94B07E">
                            <w:pPr>
                              <w:jc w:val="both"/>
                              <w:rPr>
                                <w:rFonts w:hint="eastAsia"/>
                                <w:szCs w:val="21"/>
                              </w:rPr>
                            </w:pPr>
                          </w:p>
                          <w:p w14:paraId="734E4B05">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9" o:spid="_x0000_s1026" o:spt="176" type="#_x0000_t176" style="position:absolute;left:0pt;margin-left:115.5pt;margin-top:2.6pt;height:173.45pt;width:251.25pt;z-index:251661312;mso-width-relative:page;mso-height-relative:page;" fillcolor="#FFFFFF" filled="t" stroked="t" coordsize="21600,21600" o:gfxdata="UEsDBAoAAAAAAIdO4kAAAAAAAAAAAAAAAAAEAAAAZHJzL1BLAwQUAAAACACHTuJAbdUEotgAAAAJ&#10;AQAADwAAAGRycy9kb3ducmV2LnhtbE2PQU+EMBSE7yb+h+aZeHNLadhdWR4bo9GTF3ETr4W+BSJt&#10;CS0s+uutJz1OZjLzTXFczcAWmnzvLILYJMDINk73tkU4vT/f7YH5oKxWg7OE8EUejuX1VaFy7S72&#10;jZYqtCyWWJ8rhC6EMefcNx0Z5TduJBu9s5uMClFOLdeTusRyM/A0SbbcqN7GhU6N9NhR81nNBmF9&#10;/a7v5xfRVKHbb3cfcnl6OHHE2xuRHIAFWsNfGH7xIzqUkal2s9WeDQipFPFLQMhSYNHfSZkBqxFk&#10;lgrgZcH/Pyh/AFBLAwQUAAAACACHTuJAI44BzCUCAABVBAAADgAAAGRycy9lMm9Eb2MueG1srVRL&#10;jhMxEN0jcQfLe9IfFEha6YzQhLBBMNLAASpud9qSf9hOurNjhzgDO5bcAW4zEtyCsjtkPrDIAi/c&#10;Zbv8qt6rci8uBiXJnjsvjK5pMckp4ZqZRuhtTd+/Wz+ZUeID6Aak0bymB+7pxfLxo0VvK16azsiG&#10;O4Ig2le9rWkXgq2yzLOOK/ATY7nGw9Y4BQGXbps1DnpEVzIr8/xZ1hvXWGcY9x53V+MhPSK6cwBN&#10;2wrGV4btFNdhRHVcQkBKvhPW02XKtm05C2/b1vNAZE2RaUgzBkF7E+dsuYBq68B2gh1TgHNSeMBJ&#10;gdAY9AS1ggBk58RfUEowZ7xpw4QZlY1EkiLIosgfaHPdgeWJC0rt7Ul0//9g2Zv9lSOiqWmJkmhQ&#10;WPGfn779+vj55suPm+9fSTGPGvXWV+h6ba/cceXRjISH1qn4RSpkSLoeTrryIRCGm0+LeT57PqWE&#10;4VlZ5uWsmEbU7Pa6dT684kaRaNS0laa/7MCFFzJwpyHwq7Fjksiwf+3DeP/PvZiCN1I0ayFlWrjt&#10;5lI6sges/DqNY8h7blKTvqbzaRmzA2znFtsITWVREq+3Kd69G/4ucJ7Gv4BjYivw3ZhAQohuUCmB&#10;jJLVcWhe6oaEg0XVNb42GpNRvKFEcnyc0UqeAYQ8xxMFlRp1jeUaCxStMGwGhInmxjQHrHePDY/0&#10;PuzAYcyddWLboepFIhL9sNtSeY4vI7bz3XUKcfs3WP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dUEotgAAAAJAQAADwAAAAAAAAABACAAAAAiAAAAZHJzL2Rvd25yZXYueG1sUEsBAhQAFAAAAAgA&#10;h07iQCOOAcwlAgAAVQQAAA4AAAAAAAAAAQAgAAAAJwEAAGRycy9lMm9Eb2MueG1sUEsFBgAAAAAG&#10;AAYAWQEAAL4FAAAAAA==&#10;">
                <v:fill on="t" focussize="0,0"/>
                <v:stroke color="#000000" joinstyle="miter"/>
                <v:imagedata o:title=""/>
                <o:lock v:ext="edit" aspectratio="f"/>
                <v:textbox>
                  <w:txbxContent>
                    <w:p w14:paraId="7B94B07E">
                      <w:pPr>
                        <w:jc w:val="both"/>
                        <w:rPr>
                          <w:rFonts w:hint="eastAsia"/>
                          <w:szCs w:val="21"/>
                        </w:rPr>
                      </w:pPr>
                    </w:p>
                    <w:p w14:paraId="734E4B05">
                      <w:pPr>
                        <w:jc w:val="center"/>
                        <w:rPr>
                          <w:szCs w:val="21"/>
                        </w:rPr>
                      </w:pPr>
                      <w:r>
                        <w:rPr>
                          <w:rFonts w:hint="eastAsia"/>
                          <w:szCs w:val="21"/>
                        </w:rPr>
                        <w:t>委托代理人身份证</w:t>
                      </w:r>
                      <w:r>
                        <w:rPr>
                          <w:rFonts w:hint="eastAsia"/>
                          <w:szCs w:val="21"/>
                          <w:lang w:val="en-US" w:eastAsia="zh-CN"/>
                        </w:rPr>
                        <w:t>彩色扫描件</w:t>
                      </w:r>
                      <w:r>
                        <w:rPr>
                          <w:rFonts w:hint="eastAsia"/>
                          <w:szCs w:val="21"/>
                        </w:rPr>
                        <w:t>正、反面</w:t>
                      </w:r>
                    </w:p>
                  </w:txbxContent>
                </v:textbox>
              </v:shape>
            </w:pict>
          </mc:Fallback>
        </mc:AlternateContent>
      </w:r>
    </w:p>
    <w:p w14:paraId="146ED89D">
      <w:pPr>
        <w:pStyle w:val="11"/>
        <w:wordWrap w:val="0"/>
        <w:adjustRightInd w:val="0"/>
        <w:snapToGrid w:val="0"/>
        <w:rPr>
          <w:rFonts w:hint="eastAsia" w:ascii="宋体" w:hAnsi="宋体" w:eastAsia="宋体" w:cs="宋体"/>
          <w:snapToGrid w:val="0"/>
          <w:color w:val="auto"/>
          <w:kern w:val="0"/>
          <w:szCs w:val="24"/>
          <w:highlight w:val="none"/>
        </w:rPr>
      </w:pPr>
    </w:p>
    <w:p w14:paraId="13997643">
      <w:pPr>
        <w:pStyle w:val="4"/>
        <w:keepNext w:val="0"/>
        <w:keepLines w:val="0"/>
        <w:wordWrap w:val="0"/>
        <w:adjustRightInd w:val="0"/>
        <w:snapToGrid w:val="0"/>
        <w:rPr>
          <w:rFonts w:hint="eastAsia" w:ascii="宋体" w:hAnsi="宋体" w:eastAsia="宋体" w:cs="宋体"/>
          <w:snapToGrid w:val="0"/>
          <w:color w:val="auto"/>
          <w:kern w:val="0"/>
          <w:highlight w:val="none"/>
        </w:rPr>
      </w:pPr>
    </w:p>
    <w:p w14:paraId="05D406CA">
      <w:pPr>
        <w:pStyle w:val="5"/>
        <w:widowControl w:val="0"/>
        <w:wordWrap w:val="0"/>
        <w:adjustRightInd w:val="0"/>
        <w:snapToGrid w:val="0"/>
        <w:rPr>
          <w:rFonts w:hint="eastAsia" w:ascii="宋体" w:hAnsi="宋体" w:eastAsia="宋体" w:cs="宋体"/>
          <w:snapToGrid w:val="0"/>
          <w:color w:val="auto"/>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4CA478D1">
      <w:pPr>
        <w:pStyle w:val="4"/>
        <w:bidi w:val="0"/>
        <w:ind w:firstLine="964"/>
        <w:rPr>
          <w:rFonts w:hint="eastAsia" w:ascii="宋体" w:hAnsi="宋体" w:eastAsia="宋体" w:cs="宋体"/>
          <w:color w:val="auto"/>
          <w:highlight w:val="none"/>
        </w:rPr>
      </w:pPr>
      <w:bookmarkStart w:id="309" w:name="_Toc21377"/>
      <w:bookmarkStart w:id="310" w:name="_Toc26408"/>
      <w:r>
        <w:rPr>
          <w:rFonts w:hint="eastAsia" w:ascii="宋体" w:hAnsi="宋体" w:eastAsia="宋体" w:cs="宋体"/>
          <w:color w:val="auto"/>
          <w:highlight w:val="none"/>
        </w:rPr>
        <w:t>格式五 法定代表人身份证明</w:t>
      </w:r>
      <w:bookmarkEnd w:id="309"/>
      <w:bookmarkEnd w:id="310"/>
    </w:p>
    <w:p w14:paraId="128111AD">
      <w:pPr>
        <w:wordWrap w:val="0"/>
        <w:adjustRightInd w:val="0"/>
        <w:snapToGrid w:val="0"/>
        <w:spacing w:line="440" w:lineRule="exact"/>
        <w:outlineLvl w:val="2"/>
        <w:rPr>
          <w:rFonts w:hint="eastAsia" w:ascii="宋体" w:hAnsi="宋体" w:eastAsia="宋体" w:cs="宋体"/>
          <w:b/>
          <w:snapToGrid w:val="0"/>
          <w:color w:val="auto"/>
          <w:kern w:val="0"/>
          <w:highlight w:val="none"/>
        </w:rPr>
      </w:pPr>
    </w:p>
    <w:p w14:paraId="31B9C975">
      <w:pPr>
        <w:wordWrap w:val="0"/>
        <w:adjustRightInd w:val="0"/>
        <w:snapToGrid w:val="0"/>
        <w:spacing w:before="260" w:after="260" w:line="440" w:lineRule="exact"/>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6BB54858">
      <w:pPr>
        <w:wordWrap w:val="0"/>
        <w:adjustRightInd w:val="0"/>
        <w:snapToGrid w:val="0"/>
        <w:spacing w:line="440" w:lineRule="exact"/>
        <w:rPr>
          <w:rFonts w:hint="eastAsia" w:ascii="宋体" w:hAnsi="宋体" w:eastAsia="宋体" w:cs="宋体"/>
          <w:snapToGrid w:val="0"/>
          <w:color w:val="auto"/>
          <w:kern w:val="0"/>
          <w:szCs w:val="21"/>
          <w:highlight w:val="none"/>
        </w:rPr>
      </w:pPr>
    </w:p>
    <w:p w14:paraId="59DE099D">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18EC02A4">
      <w:pPr>
        <w:wordWrap w:val="0"/>
        <w:adjustRightInd w:val="0"/>
        <w:snapToGrid w:val="0"/>
        <w:spacing w:line="440" w:lineRule="exact"/>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p>
    <w:p w14:paraId="2AE3013E">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1905C333">
      <w:pPr>
        <w:wordWrap w:val="0"/>
        <w:adjustRightInd w:val="0"/>
        <w:snapToGrid w:val="0"/>
        <w:spacing w:line="440" w:lineRule="exac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33D73E87">
      <w:pPr>
        <w:wordWrap w:val="0"/>
        <w:adjustRightInd w:val="0"/>
        <w:snapToGrid w:val="0"/>
        <w:spacing w:line="440" w:lineRule="exact"/>
        <w:rPr>
          <w:rFonts w:hint="eastAsia" w:ascii="宋体" w:hAnsi="宋体" w:eastAsia="宋体" w:cs="宋体"/>
          <w:snapToGrid w:val="0"/>
          <w:color w:val="auto"/>
          <w:kern w:val="0"/>
          <w:szCs w:val="21"/>
          <w:highlight w:val="none"/>
        </w:rPr>
      </w:pPr>
    </w:p>
    <w:p w14:paraId="78B8D652">
      <w:pPr>
        <w:wordWrap w:val="0"/>
        <w:adjustRightInd w:val="0"/>
        <w:snapToGrid w:val="0"/>
        <w:spacing w:line="440" w:lineRule="exact"/>
        <w:rPr>
          <w:rFonts w:hint="eastAsia" w:ascii="宋体" w:hAnsi="宋体" w:eastAsia="宋体" w:cs="宋体"/>
          <w:snapToGrid w:val="0"/>
          <w:color w:val="auto"/>
          <w:kern w:val="0"/>
          <w:szCs w:val="21"/>
          <w:highlight w:val="none"/>
        </w:rPr>
      </w:pPr>
    </w:p>
    <w:p w14:paraId="3EB40026">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3A983D9B">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56B50CF0">
      <w:pPr>
        <w:wordWrap w:val="0"/>
        <w:adjustRightInd w:val="0"/>
        <w:snapToGrid w:val="0"/>
        <w:spacing w:line="440" w:lineRule="exact"/>
        <w:jc w:val="right"/>
        <w:rPr>
          <w:rFonts w:hint="eastAsia" w:ascii="宋体" w:hAnsi="宋体" w:eastAsia="宋体" w:cs="宋体"/>
          <w:snapToGrid w:val="0"/>
          <w:color w:val="auto"/>
          <w:kern w:val="0"/>
          <w:szCs w:val="21"/>
          <w:highlight w:val="none"/>
        </w:rPr>
      </w:pPr>
    </w:p>
    <w:p w14:paraId="346061ED">
      <w:pPr>
        <w:wordWrap w:val="0"/>
        <w:adjustRightInd w:val="0"/>
        <w:snapToGrid w:val="0"/>
        <w:spacing w:line="440" w:lineRule="exact"/>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085EDE61">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0FE4AB79">
      <w:pPr>
        <w:wordWrap w:val="0"/>
        <w:adjustRightInd w:val="0"/>
        <w:snapToGrid w:val="0"/>
        <w:spacing w:line="440" w:lineRule="exact"/>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32092DA9">
      <w:pPr>
        <w:wordWrap w:val="0"/>
        <w:adjustRightInd w:val="0"/>
        <w:snapToGrid w:val="0"/>
        <w:spacing w:line="440" w:lineRule="exact"/>
        <w:ind w:firstLine="240" w:firstLineChars="1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3F52A745">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615D270D">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5B16402B">
      <w:pPr>
        <w:wordWrap w:val="0"/>
        <w:adjustRightInd w:val="0"/>
        <w:snapToGrid w:val="0"/>
        <w:spacing w:line="440" w:lineRule="exact"/>
        <w:ind w:firstLine="720" w:firstLineChars="300"/>
        <w:rPr>
          <w:rFonts w:hint="eastAsia" w:ascii="宋体" w:hAnsi="宋体" w:eastAsia="宋体" w:cs="宋体"/>
          <w:i/>
          <w:iCs/>
          <w:snapToGrid w:val="0"/>
          <w:color w:val="auto"/>
          <w:kern w:val="0"/>
          <w:szCs w:val="21"/>
          <w:highlight w:val="none"/>
        </w:rPr>
      </w:pPr>
    </w:p>
    <w:p w14:paraId="1597B753">
      <w:pPr>
        <w:wordWrap w:val="0"/>
        <w:adjustRightInd w:val="0"/>
        <w:snapToGrid w:val="0"/>
        <w:rPr>
          <w:rFonts w:hint="eastAsia" w:ascii="宋体" w:hAnsi="宋体" w:eastAsia="宋体" w:cs="宋体"/>
          <w:b/>
          <w:snapToGrid w:val="0"/>
          <w:color w:val="auto"/>
          <w:kern w:val="0"/>
          <w:szCs w:val="21"/>
          <w:highlight w:val="none"/>
        </w:rPr>
      </w:pPr>
      <w:r>
        <w:rPr>
          <w:rFonts w:hint="eastAsia" w:ascii="宋体" w:hAnsi="宋体" w:eastAsia="宋体" w:cs="宋体"/>
          <w:b/>
          <w:snapToGrid w:val="0"/>
          <w:color w:val="auto"/>
          <w:kern w:val="0"/>
          <w:szCs w:val="21"/>
          <w:highlight w:val="none"/>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3120390" cy="2336165"/>
                <wp:effectExtent l="4445" t="4445" r="18415" b="21590"/>
                <wp:wrapNone/>
                <wp:docPr id="19" name="自选图形 18"/>
                <wp:cNvGraphicFramePr/>
                <a:graphic xmlns:a="http://schemas.openxmlformats.org/drawingml/2006/main">
                  <a:graphicData uri="http://schemas.microsoft.com/office/word/2010/wordprocessingShape">
                    <wps:wsp>
                      <wps:cNvSpPr/>
                      <wps:spPr>
                        <a:xfrm>
                          <a:off x="0" y="0"/>
                          <a:ext cx="3120390" cy="233616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B33CAFD">
                            <w:pPr>
                              <w:jc w:val="center"/>
                              <w:rPr>
                                <w:rFonts w:hint="eastAsia"/>
                                <w:szCs w:val="21"/>
                              </w:rPr>
                            </w:pPr>
                          </w:p>
                          <w:p w14:paraId="41B32FAC">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wps:txbx>
                      <wps:bodyPr wrap="square" upright="1"/>
                    </wps:wsp>
                  </a:graphicData>
                </a:graphic>
              </wp:anchor>
            </w:drawing>
          </mc:Choice>
          <mc:Fallback>
            <w:pict>
              <v:shape id="自选图形 18" o:spid="_x0000_s1026" o:spt="176" type="#_x0000_t176" style="position:absolute;left:0pt;margin-left:127.5pt;margin-top:1.6pt;height:183.95pt;width:245.7pt;z-index:251660288;mso-width-relative:page;mso-height-relative:page;" fillcolor="#FFFFFF" filled="t" stroked="t" coordsize="21600,21600" o:gfxdata="UEsDBAoAAAAAAIdO4kAAAAAAAAAAAAAAAAAEAAAAZHJzL1BLAwQUAAAACACHTuJAHIJIytcAAAAJ&#10;AQAADwAAAGRycy9kb3ducmV2LnhtbE2PQU+EMBSE7yb+h+aZeHNL2V1YkbIxGj15ETfxWuiTEukr&#10;oYVFf731pMfJTGa+KY+rHdiCk+8dSRCbBBhS63RPnYTT29PNAZgPirQaHKGEL/RwrC4vSlVod6ZX&#10;XOrQsVhCvlASTAhjwblvDVrlN25Eit6Hm6wKUU4d15M6x3I78DRJMm5VT3HBqBEfDLaf9WwlrC/f&#10;ze38LNo6mEOWv2+Xx/sTl/L6SiR3wAKu4S8Mv/gRHarI1LiZtGeDhHS/j1+ChG0KLPr5LtsBa6LO&#10;hQBelfz/g+oHUEsDBBQAAAAIAIdO4kCFFy0zJwIAAFUEAAAOAAAAZHJzL2Uyb0RvYy54bWytVM2O&#10;0zAQviPxDpbvNEmrVrtR0xXaUi4IKi08wNRxEkv+w3ab9sYN8QzcOPIO7NusBG/B2CndHzj0gA/O&#10;2B5/M98348yv9kqSHXdeGF3RYpRTwjUztdBtRT+8X724oMQH0DVIo3lFD9zTq8XzZ/PelnxsOiNr&#10;7giCaF/2tqJdCLbMMs86rsCPjOUaDxvjFARcujarHfSIrmQ2zvNZ1htXW2cY9x53l8MhPSK6cwBN&#10;0wjGl4ZtFddhQHVcQkBKvhPW00XKtmk4C++axvNAZEWRaUgzBkF7E+dsMYeydWA7wY4pwDkpPOGk&#10;QGgMeoJaQgCydeIvKCWYM940YcSMygYiSRFkUeRPtLnpwPLEBaX29iS6/3+w7O1u7YiosRMuKdGg&#10;sOI/P3//9enL3dfbux/fSHERNeqtL9H1xq7dceXRjIT3jVPxi1TIPul6OOnK94Ew3JwU43xyiZIz&#10;PBtPJrNiNo2o2f1163x4zY0i0ahoI01/3YELL2XgTkPg66Fjksiwe+PDcP/PvZiCN1LUKyFlWrh2&#10;cy0d2QFWfpXGMeQjN6lJX9HL6XiK2QG2c4NthKayKInXbYr36IZ/CJyn8S/gmNgSfDckkBCiG5RK&#10;IKNkdRzqV7om4WBRdY2vjcZkFK8pkRwfZ7SSZwAhz/FEQaVGXWO5hgJFK+w3e4SJ5sbUB6x3jw2P&#10;9D5uwWHMrXWi7VD1IhGJfthtqTzHlxHb+eE6hbj/G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yCSMrXAAAACQEAAA8AAAAAAAAAAQAgAAAAIgAAAGRycy9kb3ducmV2LnhtbFBLAQIUABQAAAAI&#10;AIdO4kCFFy0zJwIAAFUEAAAOAAAAAAAAAAEAIAAAACYBAABkcnMvZTJvRG9jLnhtbFBLBQYAAAAA&#10;BgAGAFkBAAC/BQAAAAA=&#10;">
                <v:fill on="t" focussize="0,0"/>
                <v:stroke color="#000000" joinstyle="miter"/>
                <v:imagedata o:title=""/>
                <o:lock v:ext="edit" aspectratio="f"/>
                <v:textbox>
                  <w:txbxContent>
                    <w:p w14:paraId="3B33CAFD">
                      <w:pPr>
                        <w:jc w:val="center"/>
                        <w:rPr>
                          <w:rFonts w:hint="eastAsia"/>
                          <w:szCs w:val="21"/>
                        </w:rPr>
                      </w:pPr>
                    </w:p>
                    <w:p w14:paraId="41B32FAC">
                      <w:pPr>
                        <w:jc w:val="center"/>
                        <w:rPr>
                          <w:szCs w:val="21"/>
                        </w:rPr>
                      </w:pPr>
                      <w:r>
                        <w:rPr>
                          <w:rFonts w:hint="eastAsia"/>
                          <w:szCs w:val="21"/>
                        </w:rPr>
                        <w:t>法定代表人身份证</w:t>
                      </w:r>
                      <w:r>
                        <w:rPr>
                          <w:rFonts w:hint="eastAsia"/>
                          <w:szCs w:val="21"/>
                          <w:lang w:val="en-US" w:eastAsia="zh-CN"/>
                        </w:rPr>
                        <w:t>彩色扫描件</w:t>
                      </w:r>
                      <w:r>
                        <w:rPr>
                          <w:rFonts w:hint="eastAsia"/>
                          <w:szCs w:val="21"/>
                        </w:rPr>
                        <w:t>正、反面</w:t>
                      </w:r>
                    </w:p>
                  </w:txbxContent>
                </v:textbox>
              </v:shape>
            </w:pict>
          </mc:Fallback>
        </mc:AlternateContent>
      </w:r>
    </w:p>
    <w:p w14:paraId="22494FB9">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宋体" w:hAnsi="宋体" w:eastAsia="宋体" w:cs="宋体"/>
          <w:snapToGrid w:val="0"/>
          <w:color w:val="auto"/>
          <w:kern w:val="0"/>
          <w:sz w:val="28"/>
          <w:szCs w:val="28"/>
          <w:highlight w:val="none"/>
        </w:rPr>
      </w:pPr>
    </w:p>
    <w:p w14:paraId="62C6C69A">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68360507">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pPr>
    </w:p>
    <w:p w14:paraId="76CD6A02">
      <w:pPr>
        <w:wordWrap w:val="0"/>
        <w:adjustRightInd w:val="0"/>
        <w:snapToGrid w:val="0"/>
        <w:spacing w:line="480" w:lineRule="exact"/>
        <w:jc w:val="center"/>
        <w:rPr>
          <w:rFonts w:hint="eastAsia" w:ascii="宋体" w:hAnsi="宋体" w:eastAsia="宋体" w:cs="宋体"/>
          <w:b/>
          <w:snapToGrid w:val="0"/>
          <w:color w:val="auto"/>
          <w:kern w:val="0"/>
          <w:sz w:val="28"/>
          <w:szCs w:val="28"/>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2829A00C">
      <w:pPr>
        <w:pStyle w:val="4"/>
        <w:bidi w:val="0"/>
        <w:ind w:firstLine="964"/>
        <w:rPr>
          <w:rFonts w:hint="eastAsia" w:ascii="宋体" w:hAnsi="宋体" w:eastAsia="宋体" w:cs="宋体"/>
          <w:color w:val="auto"/>
          <w:highlight w:val="none"/>
        </w:rPr>
      </w:pPr>
      <w:bookmarkStart w:id="311" w:name="_Toc191"/>
      <w:r>
        <w:rPr>
          <w:rFonts w:hint="eastAsia" w:ascii="宋体" w:hAnsi="宋体" w:eastAsia="宋体" w:cs="宋体"/>
          <w:color w:val="auto"/>
          <w:highlight w:val="none"/>
        </w:rPr>
        <w:t>格式六 联合体协议书</w:t>
      </w:r>
      <w:bookmarkEnd w:id="311"/>
    </w:p>
    <w:p w14:paraId="5D306B4F">
      <w:pPr>
        <w:pStyle w:val="75"/>
        <w:widowControl w:val="0"/>
        <w:wordWrap w:val="0"/>
        <w:adjustRightInd w:val="0"/>
        <w:snapToGrid w:val="0"/>
        <w:spacing w:line="440" w:lineRule="exact"/>
        <w:ind w:firstLine="0"/>
        <w:rPr>
          <w:rFonts w:hint="eastAsia" w:ascii="宋体" w:hAnsi="宋体" w:eastAsia="宋体" w:cs="宋体"/>
          <w:b/>
          <w:bCs/>
          <w:snapToGrid w:val="0"/>
          <w:color w:val="auto"/>
          <w:sz w:val="24"/>
          <w:szCs w:val="24"/>
          <w:highlight w:val="none"/>
        </w:rPr>
      </w:pPr>
    </w:p>
    <w:p w14:paraId="5E87777E">
      <w:pPr>
        <w:pStyle w:val="75"/>
        <w:widowControl w:val="0"/>
        <w:wordWrap w:val="0"/>
        <w:adjustRightInd w:val="0"/>
        <w:snapToGrid w:val="0"/>
        <w:spacing w:before="240" w:after="240" w:line="440" w:lineRule="exact"/>
        <w:ind w:firstLine="0"/>
        <w:jc w:val="center"/>
        <w:rPr>
          <w:rFonts w:hint="eastAsia" w:ascii="宋体" w:hAnsi="宋体" w:eastAsia="宋体" w:cs="宋体"/>
          <w:snapToGrid w:val="0"/>
          <w:color w:val="auto"/>
          <w:sz w:val="24"/>
          <w:szCs w:val="21"/>
          <w:highlight w:val="none"/>
        </w:rPr>
      </w:pPr>
      <w:r>
        <w:rPr>
          <w:rFonts w:hint="eastAsia" w:ascii="宋体" w:hAnsi="宋体" w:eastAsia="宋体" w:cs="宋体"/>
          <w:b/>
          <w:snapToGrid w:val="0"/>
          <w:color w:val="auto"/>
          <w:sz w:val="30"/>
          <w:highlight w:val="none"/>
        </w:rPr>
        <w:t>联合体协议书</w:t>
      </w:r>
    </w:p>
    <w:p w14:paraId="69F636C0">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BCACDBF">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牵头人名称：</w:t>
      </w:r>
      <w:r>
        <w:rPr>
          <w:rFonts w:hint="eastAsia" w:ascii="宋体" w:hAnsi="宋体" w:eastAsia="宋体" w:cs="宋体"/>
          <w:snapToGrid w:val="0"/>
          <w:color w:val="auto"/>
          <w:sz w:val="24"/>
          <w:szCs w:val="24"/>
          <w:highlight w:val="none"/>
          <w:u w:val="single"/>
        </w:rPr>
        <w:t xml:space="preserve">                                                  </w:t>
      </w:r>
    </w:p>
    <w:p w14:paraId="1D3E9AB9">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319DF58B">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064EC425">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5E1A040C">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成员</w:t>
      </w:r>
      <w:r>
        <w:rPr>
          <w:rFonts w:hint="eastAsia" w:hAnsi="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p>
    <w:p w14:paraId="4DCF143E">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法定代表人：</w:t>
      </w:r>
      <w:r>
        <w:rPr>
          <w:rFonts w:hint="eastAsia" w:ascii="宋体" w:hAnsi="宋体" w:eastAsia="宋体" w:cs="宋体"/>
          <w:snapToGrid w:val="0"/>
          <w:color w:val="auto"/>
          <w:sz w:val="24"/>
          <w:szCs w:val="24"/>
          <w:highlight w:val="none"/>
          <w:u w:val="single"/>
        </w:rPr>
        <w:t xml:space="preserve">                                                  </w:t>
      </w:r>
    </w:p>
    <w:p w14:paraId="4ACB16D7">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u w:val="single"/>
        </w:rPr>
      </w:pPr>
      <w:r>
        <w:rPr>
          <w:rFonts w:hint="eastAsia" w:ascii="宋体" w:hAnsi="宋体" w:eastAsia="宋体" w:cs="宋体"/>
          <w:snapToGrid w:val="0"/>
          <w:color w:val="auto"/>
          <w:sz w:val="24"/>
          <w:szCs w:val="24"/>
          <w:highlight w:val="none"/>
        </w:rPr>
        <w:t>法定住所：</w:t>
      </w:r>
      <w:r>
        <w:rPr>
          <w:rFonts w:hint="eastAsia" w:ascii="宋体" w:hAnsi="宋体" w:eastAsia="宋体" w:cs="宋体"/>
          <w:snapToGrid w:val="0"/>
          <w:color w:val="auto"/>
          <w:sz w:val="24"/>
          <w:szCs w:val="24"/>
          <w:highlight w:val="none"/>
          <w:u w:val="single"/>
        </w:rPr>
        <w:t xml:space="preserve">                                                    </w:t>
      </w:r>
    </w:p>
    <w:p w14:paraId="31305BBC">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w:t>
      </w:r>
    </w:p>
    <w:p w14:paraId="1760019B">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上述各成员单位经过友好协商，自愿组成联合体，共同参加</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（项目名称）（以下简称“本项目”）的施工投标并争取赢得本项目施工承包合同（以下简称合同）。现就联合体投标事宜订立如下协议：</w:t>
      </w:r>
    </w:p>
    <w:p w14:paraId="189A3C00">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1．</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（某成员单位名称）为联合体牵头人。</w:t>
      </w:r>
    </w:p>
    <w:p w14:paraId="34B528C9">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1D5D3570">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连带责任。</w:t>
      </w:r>
    </w:p>
    <w:p w14:paraId="20A9AE58">
      <w:pPr>
        <w:pStyle w:val="75"/>
        <w:widowControl w:val="0"/>
        <w:wordWrap w:val="0"/>
        <w:adjustRightInd w:val="0"/>
        <w:snapToGrid w:val="0"/>
        <w:spacing w:line="440" w:lineRule="exact"/>
        <w:ind w:firstLine="48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4．联合体各成员单位内部的职责分工如下：</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w:t>
      </w:r>
    </w:p>
    <w:p w14:paraId="604386BC">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5．投标工作和联合体在中标后工程实施过程中的有关费用按各自承担的工作量分摊。</w:t>
      </w:r>
    </w:p>
    <w:p w14:paraId="3DCA25F8">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6．联合体中标后，本联合体协议是合同的附件，对联合体各成员单位有合同约束力。</w:t>
      </w:r>
    </w:p>
    <w:p w14:paraId="126F1908">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7．本协议书自签署之日起生效，联合体未中标或者中标时合同履行完毕后自动失效。</w:t>
      </w:r>
    </w:p>
    <w:p w14:paraId="434EFC00">
      <w:pPr>
        <w:pStyle w:val="75"/>
        <w:widowControl w:val="0"/>
        <w:wordWrap w:val="0"/>
        <w:adjustRightInd w:val="0"/>
        <w:snapToGrid w:val="0"/>
        <w:spacing w:line="440" w:lineRule="exact"/>
        <w:ind w:firstLine="0"/>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8．本协议书一式</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份，联合体成员和招标人各执一份。</w:t>
      </w:r>
    </w:p>
    <w:p w14:paraId="50AF13E6">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5DAF77B3">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38C141A">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牵头人名称：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1B309A60">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71CFD60E">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371FB67E">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0C71F078">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2AD1012C">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4F3A070A">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3C42CEDC">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94D54B9">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5E8DBD40">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成员</w:t>
      </w:r>
      <w:r>
        <w:rPr>
          <w:rFonts w:hint="eastAsia" w:hAnsi="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rPr>
        <w:t>名称：</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（盖单位章）</w:t>
      </w:r>
    </w:p>
    <w:p w14:paraId="07549BB1">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790189EB">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p>
    <w:p w14:paraId="1987C139">
      <w:pPr>
        <w:pStyle w:val="75"/>
        <w:widowControl w:val="0"/>
        <w:wordWrap w:val="0"/>
        <w:adjustRightInd w:val="0"/>
        <w:snapToGrid w:val="0"/>
        <w:spacing w:line="440" w:lineRule="exact"/>
        <w:jc w:val="righ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法定代表人或其委托代理人：</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（签字或盖章）</w:t>
      </w:r>
    </w:p>
    <w:p w14:paraId="18AC942D">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w:t>
      </w:r>
    </w:p>
    <w:p w14:paraId="6D26417F">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p>
    <w:p w14:paraId="061D6DDA">
      <w:pPr>
        <w:pStyle w:val="75"/>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 xml:space="preserve">                                 </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年</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月</w:t>
      </w:r>
      <w:r>
        <w:rPr>
          <w:rFonts w:hint="eastAsia" w:ascii="宋体" w:hAnsi="宋体" w:eastAsia="宋体" w:cs="宋体"/>
          <w:snapToGrid w:val="0"/>
          <w:color w:val="auto"/>
          <w:sz w:val="24"/>
          <w:szCs w:val="24"/>
          <w:highlight w:val="none"/>
          <w:u w:val="single"/>
        </w:rPr>
        <w:t xml:space="preserve">     </w:t>
      </w:r>
      <w:r>
        <w:rPr>
          <w:rFonts w:hint="eastAsia" w:ascii="宋体" w:hAnsi="宋体" w:eastAsia="宋体" w:cs="宋体"/>
          <w:snapToGrid w:val="0"/>
          <w:color w:val="auto"/>
          <w:sz w:val="24"/>
          <w:szCs w:val="24"/>
          <w:highlight w:val="none"/>
        </w:rPr>
        <w:t>日</w:t>
      </w:r>
    </w:p>
    <w:p w14:paraId="77E09E97">
      <w:pPr>
        <w:pStyle w:val="75"/>
        <w:widowControl w:val="0"/>
        <w:wordWrap w:val="0"/>
        <w:adjustRightInd w:val="0"/>
        <w:snapToGrid w:val="0"/>
        <w:spacing w:line="440" w:lineRule="exact"/>
        <w:jc w:val="center"/>
        <w:rPr>
          <w:rFonts w:hint="eastAsia" w:ascii="宋体" w:hAnsi="宋体" w:eastAsia="宋体" w:cs="宋体"/>
          <w:snapToGrid w:val="0"/>
          <w:color w:val="auto"/>
          <w:sz w:val="24"/>
          <w:szCs w:val="24"/>
          <w:highlight w:val="none"/>
        </w:rPr>
      </w:pPr>
    </w:p>
    <w:p w14:paraId="1D8D5FB5">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1"/>
          <w:szCs w:val="21"/>
          <w:highlight w:val="none"/>
        </w:rPr>
        <w:t>说明：《联合体协议书》由委托代理人签字或盖章的，应附法定代表人签字或盖章的授权委托书。</w:t>
      </w:r>
    </w:p>
    <w:p w14:paraId="0C53638E">
      <w:pPr>
        <w:pStyle w:val="75"/>
        <w:widowControl w:val="0"/>
        <w:wordWrap w:val="0"/>
        <w:adjustRightInd w:val="0"/>
        <w:snapToGrid w:val="0"/>
        <w:spacing w:line="440" w:lineRule="exact"/>
        <w:rPr>
          <w:rFonts w:hint="eastAsia" w:ascii="宋体" w:hAnsi="宋体" w:eastAsia="宋体" w:cs="宋体"/>
          <w:snapToGrid w:val="0"/>
          <w:color w:val="auto"/>
          <w:sz w:val="24"/>
          <w:szCs w:val="24"/>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5B676C02">
      <w:pPr>
        <w:pStyle w:val="4"/>
        <w:bidi w:val="0"/>
        <w:ind w:firstLine="964"/>
        <w:rPr>
          <w:rFonts w:hint="eastAsia" w:ascii="宋体" w:hAnsi="宋体" w:eastAsia="宋体" w:cs="宋体"/>
          <w:color w:val="auto"/>
          <w:highlight w:val="none"/>
        </w:rPr>
      </w:pPr>
      <w:bookmarkStart w:id="312" w:name="_Toc4289"/>
      <w:bookmarkStart w:id="313" w:name="_Toc15143"/>
      <w:r>
        <w:rPr>
          <w:rFonts w:hint="eastAsia" w:ascii="宋体" w:hAnsi="宋体" w:eastAsia="宋体" w:cs="宋体"/>
          <w:color w:val="auto"/>
          <w:highlight w:val="none"/>
        </w:rPr>
        <w:t>格式七 投标人基本情况表</w:t>
      </w:r>
      <w:bookmarkEnd w:id="312"/>
      <w:bookmarkEnd w:id="313"/>
    </w:p>
    <w:p w14:paraId="02920C33">
      <w:pPr>
        <w:pStyle w:val="75"/>
        <w:widowControl w:val="0"/>
        <w:wordWrap w:val="0"/>
        <w:adjustRightInd w:val="0"/>
        <w:snapToGrid w:val="0"/>
        <w:spacing w:before="260" w:after="260" w:line="400" w:lineRule="exact"/>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31"/>
        <w:tblW w:w="98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1236"/>
        <w:gridCol w:w="1350"/>
        <w:gridCol w:w="803"/>
        <w:gridCol w:w="457"/>
        <w:gridCol w:w="789"/>
        <w:gridCol w:w="260"/>
        <w:gridCol w:w="709"/>
        <w:gridCol w:w="1890"/>
      </w:tblGrid>
      <w:tr w14:paraId="7BAD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FCBF126">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投标人名称</w:t>
            </w:r>
          </w:p>
        </w:tc>
        <w:tc>
          <w:tcPr>
            <w:tcW w:w="7494" w:type="dxa"/>
            <w:gridSpan w:val="8"/>
            <w:noWrap w:val="0"/>
            <w:vAlign w:val="center"/>
          </w:tcPr>
          <w:p w14:paraId="1141AE83">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AD86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BD7418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注册地址</w:t>
            </w:r>
          </w:p>
        </w:tc>
        <w:tc>
          <w:tcPr>
            <w:tcW w:w="3389" w:type="dxa"/>
            <w:gridSpan w:val="3"/>
            <w:noWrap w:val="0"/>
            <w:vAlign w:val="center"/>
          </w:tcPr>
          <w:p w14:paraId="7A466E18">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60A6D937">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邮政编码</w:t>
            </w:r>
          </w:p>
        </w:tc>
        <w:tc>
          <w:tcPr>
            <w:tcW w:w="2859" w:type="dxa"/>
            <w:gridSpan w:val="3"/>
            <w:noWrap w:val="0"/>
            <w:vAlign w:val="center"/>
          </w:tcPr>
          <w:p w14:paraId="14BCFEED">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5A9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restart"/>
            <w:noWrap w:val="0"/>
            <w:vAlign w:val="center"/>
          </w:tcPr>
          <w:p w14:paraId="4493069D">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联系方式</w:t>
            </w:r>
          </w:p>
        </w:tc>
        <w:tc>
          <w:tcPr>
            <w:tcW w:w="1236" w:type="dxa"/>
            <w:noWrap w:val="0"/>
            <w:vAlign w:val="center"/>
          </w:tcPr>
          <w:p w14:paraId="1FFDA03A">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联系人</w:t>
            </w:r>
          </w:p>
        </w:tc>
        <w:tc>
          <w:tcPr>
            <w:tcW w:w="2153" w:type="dxa"/>
            <w:gridSpan w:val="2"/>
            <w:noWrap w:val="0"/>
            <w:vAlign w:val="center"/>
          </w:tcPr>
          <w:p w14:paraId="21D5388A">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0477B6CA">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  话</w:t>
            </w:r>
          </w:p>
        </w:tc>
        <w:tc>
          <w:tcPr>
            <w:tcW w:w="2859" w:type="dxa"/>
            <w:gridSpan w:val="3"/>
            <w:noWrap w:val="0"/>
            <w:vAlign w:val="center"/>
          </w:tcPr>
          <w:p w14:paraId="66E713B9">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412EF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vMerge w:val="continue"/>
            <w:noWrap w:val="0"/>
            <w:vAlign w:val="center"/>
          </w:tcPr>
          <w:p w14:paraId="1F2CA452">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36" w:type="dxa"/>
            <w:noWrap w:val="0"/>
            <w:vAlign w:val="center"/>
          </w:tcPr>
          <w:p w14:paraId="19BD0998">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传  真</w:t>
            </w:r>
          </w:p>
        </w:tc>
        <w:tc>
          <w:tcPr>
            <w:tcW w:w="2153" w:type="dxa"/>
            <w:gridSpan w:val="2"/>
            <w:noWrap w:val="0"/>
            <w:vAlign w:val="center"/>
          </w:tcPr>
          <w:p w14:paraId="4F089F0C">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46" w:type="dxa"/>
            <w:gridSpan w:val="2"/>
            <w:noWrap w:val="0"/>
            <w:vAlign w:val="center"/>
          </w:tcPr>
          <w:p w14:paraId="3D535E67">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电子邮箱</w:t>
            </w:r>
          </w:p>
        </w:tc>
        <w:tc>
          <w:tcPr>
            <w:tcW w:w="2859" w:type="dxa"/>
            <w:gridSpan w:val="3"/>
            <w:noWrap w:val="0"/>
            <w:vAlign w:val="center"/>
          </w:tcPr>
          <w:p w14:paraId="7050CDAC">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090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94BD079">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单位性质</w:t>
            </w:r>
          </w:p>
        </w:tc>
        <w:tc>
          <w:tcPr>
            <w:tcW w:w="7494" w:type="dxa"/>
            <w:gridSpan w:val="8"/>
            <w:noWrap w:val="0"/>
            <w:vAlign w:val="center"/>
          </w:tcPr>
          <w:p w14:paraId="766919B3">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7078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25AA326">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法定代表人</w:t>
            </w:r>
          </w:p>
        </w:tc>
        <w:tc>
          <w:tcPr>
            <w:tcW w:w="1236" w:type="dxa"/>
            <w:noWrap w:val="0"/>
            <w:vAlign w:val="center"/>
          </w:tcPr>
          <w:p w14:paraId="69E198DD">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姓名</w:t>
            </w:r>
          </w:p>
        </w:tc>
        <w:tc>
          <w:tcPr>
            <w:tcW w:w="1350" w:type="dxa"/>
            <w:noWrap w:val="0"/>
            <w:vAlign w:val="center"/>
          </w:tcPr>
          <w:p w14:paraId="4EB20802">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noWrap w:val="0"/>
            <w:vAlign w:val="center"/>
          </w:tcPr>
          <w:p w14:paraId="0D70779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技术职称</w:t>
            </w:r>
          </w:p>
        </w:tc>
        <w:tc>
          <w:tcPr>
            <w:tcW w:w="1049" w:type="dxa"/>
            <w:gridSpan w:val="2"/>
            <w:noWrap w:val="0"/>
            <w:vAlign w:val="center"/>
          </w:tcPr>
          <w:p w14:paraId="140ECDC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709" w:type="dxa"/>
            <w:noWrap w:val="0"/>
            <w:vAlign w:val="center"/>
          </w:tcPr>
          <w:p w14:paraId="1551EDE7">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电话</w:t>
            </w:r>
          </w:p>
        </w:tc>
        <w:tc>
          <w:tcPr>
            <w:tcW w:w="1890" w:type="dxa"/>
            <w:noWrap w:val="0"/>
            <w:vAlign w:val="center"/>
          </w:tcPr>
          <w:p w14:paraId="0D667B5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0FF13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3F85FB9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成立时间</w:t>
            </w:r>
          </w:p>
        </w:tc>
        <w:tc>
          <w:tcPr>
            <w:tcW w:w="2586" w:type="dxa"/>
            <w:gridSpan w:val="2"/>
            <w:noWrap w:val="0"/>
            <w:vAlign w:val="center"/>
          </w:tcPr>
          <w:p w14:paraId="30C36794">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4908" w:type="dxa"/>
            <w:gridSpan w:val="6"/>
            <w:noWrap w:val="0"/>
            <w:vAlign w:val="center"/>
          </w:tcPr>
          <w:p w14:paraId="26E3444A">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员工总人数（个）：</w:t>
            </w:r>
          </w:p>
        </w:tc>
      </w:tr>
      <w:tr w14:paraId="239B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9221102">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企业资质</w:t>
            </w:r>
          </w:p>
          <w:p w14:paraId="074E5BA2">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类型和等级</w:t>
            </w:r>
          </w:p>
        </w:tc>
        <w:tc>
          <w:tcPr>
            <w:tcW w:w="2586" w:type="dxa"/>
            <w:gridSpan w:val="2"/>
            <w:noWrap w:val="0"/>
            <w:vAlign w:val="center"/>
          </w:tcPr>
          <w:p w14:paraId="15D4B1AF">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restart"/>
            <w:noWrap w:val="0"/>
            <w:vAlign w:val="center"/>
          </w:tcPr>
          <w:p w14:paraId="53AEAEE4">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其中</w:t>
            </w:r>
          </w:p>
        </w:tc>
        <w:tc>
          <w:tcPr>
            <w:tcW w:w="1758" w:type="dxa"/>
            <w:gridSpan w:val="3"/>
            <w:noWrap w:val="0"/>
            <w:vAlign w:val="center"/>
          </w:tcPr>
          <w:p w14:paraId="6657B11A">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项目经理</w:t>
            </w:r>
          </w:p>
        </w:tc>
        <w:tc>
          <w:tcPr>
            <w:tcW w:w="1890" w:type="dxa"/>
            <w:noWrap w:val="0"/>
            <w:vAlign w:val="center"/>
          </w:tcPr>
          <w:p w14:paraId="2157CF26">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57499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A882B96">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营业执照号</w:t>
            </w:r>
          </w:p>
        </w:tc>
        <w:tc>
          <w:tcPr>
            <w:tcW w:w="2586" w:type="dxa"/>
            <w:gridSpan w:val="2"/>
            <w:noWrap w:val="0"/>
            <w:vAlign w:val="center"/>
          </w:tcPr>
          <w:p w14:paraId="65D93120">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203CC3E6">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54ED8B2E">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高级职称人员</w:t>
            </w:r>
          </w:p>
        </w:tc>
        <w:tc>
          <w:tcPr>
            <w:tcW w:w="1890" w:type="dxa"/>
            <w:noWrap w:val="0"/>
            <w:vAlign w:val="center"/>
          </w:tcPr>
          <w:p w14:paraId="271B76F5">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68018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14042E10">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注册资金</w:t>
            </w:r>
          </w:p>
        </w:tc>
        <w:tc>
          <w:tcPr>
            <w:tcW w:w="2586" w:type="dxa"/>
            <w:gridSpan w:val="2"/>
            <w:noWrap w:val="0"/>
            <w:vAlign w:val="center"/>
          </w:tcPr>
          <w:p w14:paraId="53B9073C">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44EF65A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7DDEF8E0">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中级职称人员</w:t>
            </w:r>
          </w:p>
        </w:tc>
        <w:tc>
          <w:tcPr>
            <w:tcW w:w="1890" w:type="dxa"/>
            <w:noWrap w:val="0"/>
            <w:vAlign w:val="center"/>
          </w:tcPr>
          <w:p w14:paraId="10FC2EF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3D15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21EB1A41">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701DEF42">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开户银行</w:t>
            </w:r>
          </w:p>
        </w:tc>
        <w:tc>
          <w:tcPr>
            <w:tcW w:w="2586" w:type="dxa"/>
            <w:gridSpan w:val="2"/>
            <w:noWrap w:val="0"/>
            <w:vAlign w:val="center"/>
          </w:tcPr>
          <w:p w14:paraId="066A1826">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082FAF1D">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6E0AB430">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初级职称人员</w:t>
            </w:r>
          </w:p>
        </w:tc>
        <w:tc>
          <w:tcPr>
            <w:tcW w:w="1890" w:type="dxa"/>
            <w:noWrap w:val="0"/>
            <w:vAlign w:val="center"/>
          </w:tcPr>
          <w:p w14:paraId="22232309">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1AEB5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4140EC42">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基本账户</w:t>
            </w:r>
          </w:p>
          <w:p w14:paraId="46413F0D">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银行账号</w:t>
            </w:r>
          </w:p>
        </w:tc>
        <w:tc>
          <w:tcPr>
            <w:tcW w:w="2586" w:type="dxa"/>
            <w:gridSpan w:val="2"/>
            <w:noWrap w:val="0"/>
            <w:vAlign w:val="center"/>
          </w:tcPr>
          <w:p w14:paraId="138DE8BA">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260" w:type="dxa"/>
            <w:gridSpan w:val="2"/>
            <w:vMerge w:val="continue"/>
            <w:noWrap w:val="0"/>
            <w:vAlign w:val="center"/>
          </w:tcPr>
          <w:p w14:paraId="415BC6A8">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c>
          <w:tcPr>
            <w:tcW w:w="1758" w:type="dxa"/>
            <w:gridSpan w:val="3"/>
            <w:noWrap w:val="0"/>
            <w:vAlign w:val="center"/>
          </w:tcPr>
          <w:p w14:paraId="18B84979">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技术员</w:t>
            </w:r>
          </w:p>
        </w:tc>
        <w:tc>
          <w:tcPr>
            <w:tcW w:w="1890" w:type="dxa"/>
            <w:noWrap w:val="0"/>
            <w:vAlign w:val="center"/>
          </w:tcPr>
          <w:p w14:paraId="08658855">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r w14:paraId="2E38E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548077D9">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经营范围</w:t>
            </w:r>
          </w:p>
        </w:tc>
        <w:tc>
          <w:tcPr>
            <w:tcW w:w="7494" w:type="dxa"/>
            <w:gridSpan w:val="8"/>
            <w:noWrap w:val="0"/>
            <w:vAlign w:val="center"/>
          </w:tcPr>
          <w:p w14:paraId="1DEAE451">
            <w:pPr>
              <w:pStyle w:val="124"/>
              <w:wordWrap w:val="0"/>
              <w:adjustRightInd w:val="0"/>
              <w:snapToGrid w:val="0"/>
              <w:spacing w:line="360" w:lineRule="auto"/>
              <w:jc w:val="left"/>
              <w:rPr>
                <w:rFonts w:hint="eastAsia" w:ascii="宋体" w:hAnsi="宋体" w:eastAsia="宋体" w:cs="宋体"/>
                <w:snapToGrid w:val="0"/>
                <w:color w:val="auto"/>
                <w:kern w:val="0"/>
                <w:sz w:val="22"/>
                <w:szCs w:val="22"/>
                <w:highlight w:val="none"/>
              </w:rPr>
            </w:pPr>
          </w:p>
        </w:tc>
      </w:tr>
      <w:tr w14:paraId="4480C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0BF9E39F">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关联企业情况</w:t>
            </w:r>
          </w:p>
        </w:tc>
        <w:tc>
          <w:tcPr>
            <w:tcW w:w="7494" w:type="dxa"/>
            <w:gridSpan w:val="8"/>
            <w:noWrap w:val="0"/>
            <w:vAlign w:val="center"/>
          </w:tcPr>
          <w:p w14:paraId="76970875">
            <w:pPr>
              <w:pStyle w:val="124"/>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包括但不限于与投标人存在以下关系的不同单位：</w:t>
            </w:r>
          </w:p>
          <w:p w14:paraId="4DFD7CE2">
            <w:pPr>
              <w:pStyle w:val="124"/>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1．法定代表人为同一人的。</w:t>
            </w:r>
          </w:p>
          <w:p w14:paraId="69B918B2">
            <w:pPr>
              <w:pStyle w:val="124"/>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2．存在控股、管理关系的。</w:t>
            </w:r>
          </w:p>
          <w:p w14:paraId="1CADA060">
            <w:pPr>
              <w:pStyle w:val="124"/>
              <w:wordWrap w:val="0"/>
              <w:adjustRightInd w:val="0"/>
              <w:snapToGrid w:val="0"/>
              <w:spacing w:line="360" w:lineRule="auto"/>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3．主要人员相互任职的。</w:t>
            </w:r>
          </w:p>
        </w:tc>
      </w:tr>
      <w:tr w14:paraId="559A5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2339" w:type="dxa"/>
            <w:noWrap w:val="0"/>
            <w:vAlign w:val="center"/>
          </w:tcPr>
          <w:p w14:paraId="7B1CA370">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备注</w:t>
            </w:r>
          </w:p>
        </w:tc>
        <w:tc>
          <w:tcPr>
            <w:tcW w:w="7494" w:type="dxa"/>
            <w:gridSpan w:val="8"/>
            <w:noWrap w:val="0"/>
            <w:vAlign w:val="center"/>
          </w:tcPr>
          <w:p w14:paraId="24CC1CC0">
            <w:pPr>
              <w:pStyle w:val="124"/>
              <w:wordWrap w:val="0"/>
              <w:adjustRightInd w:val="0"/>
              <w:snapToGrid w:val="0"/>
              <w:spacing w:line="360" w:lineRule="auto"/>
              <w:jc w:val="center"/>
              <w:rPr>
                <w:rFonts w:hint="eastAsia" w:ascii="宋体" w:hAnsi="宋体" w:eastAsia="宋体" w:cs="宋体"/>
                <w:snapToGrid w:val="0"/>
                <w:color w:val="auto"/>
                <w:kern w:val="0"/>
                <w:sz w:val="22"/>
                <w:szCs w:val="22"/>
                <w:highlight w:val="none"/>
              </w:rPr>
            </w:pPr>
          </w:p>
        </w:tc>
      </w:tr>
    </w:tbl>
    <w:p w14:paraId="4D454CB0">
      <w:pPr>
        <w:pStyle w:val="124"/>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说明：</w:t>
      </w:r>
    </w:p>
    <w:p w14:paraId="18F6A04D">
      <w:pPr>
        <w:pStyle w:val="124"/>
        <w:wordWrap w:val="0"/>
        <w:adjustRightInd w:val="0"/>
        <w:snapToGrid w:val="0"/>
        <w:spacing w:line="400" w:lineRule="exact"/>
        <w:ind w:firstLine="440" w:firstLineChars="200"/>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1．《投标人基本情况表》后应附以下资料：</w:t>
      </w:r>
    </w:p>
    <w:p w14:paraId="4AA9340D">
      <w:pPr>
        <w:pStyle w:val="124"/>
        <w:wordWrap w:val="0"/>
        <w:adjustRightInd w:val="0"/>
        <w:snapToGrid w:val="0"/>
        <w:spacing w:line="400" w:lineRule="exact"/>
        <w:ind w:firstLine="440" w:firstLineChars="200"/>
        <w:rPr>
          <w:rFonts w:hint="eastAsia" w:ascii="宋体" w:hAnsi="宋体" w:eastAsia="宋体" w:cs="宋体"/>
          <w:b/>
          <w:bCs/>
          <w:snapToGrid w:val="0"/>
          <w:color w:val="auto"/>
          <w:kern w:val="0"/>
          <w:sz w:val="22"/>
          <w:szCs w:val="22"/>
          <w:highlight w:val="none"/>
        </w:rPr>
      </w:pPr>
      <w:r>
        <w:rPr>
          <w:rFonts w:hint="eastAsia" w:ascii="宋体" w:hAnsi="宋体" w:eastAsia="宋体" w:cs="宋体"/>
          <w:snapToGrid w:val="0"/>
          <w:color w:val="auto"/>
          <w:kern w:val="0"/>
          <w:sz w:val="22"/>
          <w:szCs w:val="22"/>
          <w:highlight w:val="none"/>
        </w:rPr>
        <w:t>（1）企业营业执照、资质证书、安全生产许可证的（</w:t>
      </w:r>
      <w:r>
        <w:rPr>
          <w:rFonts w:hint="eastAsia" w:ascii="宋体" w:hAnsi="宋体" w:eastAsia="宋体" w:cs="宋体"/>
          <w:b/>
          <w:bCs/>
          <w:snapToGrid w:val="0"/>
          <w:color w:val="auto"/>
          <w:kern w:val="0"/>
          <w:sz w:val="22"/>
          <w:szCs w:val="22"/>
          <w:highlight w:val="none"/>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如中标后，投标单位安全生产许可证发生被暂扣情形，需双方另行协商）；</w:t>
      </w:r>
    </w:p>
    <w:p w14:paraId="75BA6363">
      <w:pPr>
        <w:pStyle w:val="124"/>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（2）</w:t>
      </w:r>
      <w:r>
        <w:rPr>
          <w:rFonts w:hint="eastAsia" w:ascii="宋体" w:hAnsi="宋体" w:eastAsia="宋体" w:cs="宋体"/>
          <w:snapToGrid w:val="0"/>
          <w:color w:val="auto"/>
          <w:kern w:val="0"/>
          <w:sz w:val="22"/>
          <w:szCs w:val="28"/>
          <w:highlight w:val="none"/>
        </w:rPr>
        <w:t>“进粤企业和人员诚信信息登记平台”企业信息情况打印页。（适用于省外建筑企业）</w:t>
      </w:r>
    </w:p>
    <w:p w14:paraId="7565FFDA">
      <w:pPr>
        <w:pStyle w:val="124"/>
        <w:wordWrap w:val="0"/>
        <w:adjustRightInd w:val="0"/>
        <w:snapToGrid w:val="0"/>
        <w:spacing w:line="400" w:lineRule="exact"/>
        <w:ind w:firstLine="440" w:firstLineChars="200"/>
        <w:rPr>
          <w:rFonts w:hint="eastAsia" w:ascii="宋体" w:hAnsi="宋体" w:eastAsia="宋体" w:cs="宋体"/>
          <w:snapToGrid w:val="0"/>
          <w:color w:val="auto"/>
          <w:kern w:val="0"/>
          <w:sz w:val="22"/>
          <w:szCs w:val="28"/>
          <w:highlight w:val="none"/>
        </w:rPr>
      </w:pPr>
      <w:r>
        <w:rPr>
          <w:rFonts w:hint="eastAsia" w:ascii="宋体" w:hAnsi="宋体" w:eastAsia="宋体" w:cs="宋体"/>
          <w:snapToGrid w:val="0"/>
          <w:color w:val="auto"/>
          <w:kern w:val="0"/>
          <w:sz w:val="22"/>
          <w:szCs w:val="22"/>
          <w:highlight w:val="none"/>
        </w:rPr>
        <w:t>（3）</w:t>
      </w:r>
      <w:r>
        <w:rPr>
          <w:rFonts w:hint="eastAsia" w:ascii="宋体" w:hAnsi="宋体" w:eastAsia="宋体" w:cs="宋体"/>
          <w:snapToGrid w:val="0"/>
          <w:color w:val="auto"/>
          <w:kern w:val="0"/>
          <w:sz w:val="22"/>
          <w:szCs w:val="28"/>
          <w:highlight w:val="none"/>
        </w:rPr>
        <w:t>《法人和非法人组织公共信用信息报告》（在“信用中国”网站企业查询界面中下载）。</w:t>
      </w:r>
    </w:p>
    <w:p w14:paraId="179E3ACF">
      <w:pPr>
        <w:pStyle w:val="124"/>
        <w:wordWrap w:val="0"/>
        <w:adjustRightInd w:val="0"/>
        <w:snapToGrid w:val="0"/>
        <w:spacing w:line="400" w:lineRule="exact"/>
        <w:rPr>
          <w:rFonts w:hint="eastAsia" w:ascii="宋体" w:hAnsi="宋体" w:eastAsia="宋体" w:cs="宋体"/>
          <w:snapToGrid w:val="0"/>
          <w:color w:val="auto"/>
          <w:kern w:val="0"/>
          <w:sz w:val="22"/>
          <w:szCs w:val="22"/>
          <w:highlight w:val="none"/>
        </w:rPr>
      </w:pPr>
      <w:r>
        <w:rPr>
          <w:rFonts w:hint="eastAsia" w:ascii="宋体" w:hAnsi="宋体" w:eastAsia="宋体" w:cs="宋体"/>
          <w:snapToGrid w:val="0"/>
          <w:color w:val="auto"/>
          <w:kern w:val="0"/>
          <w:sz w:val="22"/>
          <w:szCs w:val="28"/>
          <w:highlight w:val="none"/>
        </w:rPr>
        <w:t xml:space="preserve">    </w:t>
      </w:r>
    </w:p>
    <w:p w14:paraId="603E6E0C">
      <w:pPr>
        <w:pStyle w:val="75"/>
        <w:widowControl w:val="0"/>
        <w:wordWrap w:val="0"/>
        <w:adjustRightInd w:val="0"/>
        <w:snapToGrid w:val="0"/>
        <w:spacing w:line="400" w:lineRule="exact"/>
        <w:jc w:val="center"/>
        <w:rPr>
          <w:rFonts w:hint="eastAsia" w:ascii="宋体" w:hAnsi="宋体" w:eastAsia="宋体" w:cs="宋体"/>
          <w:snapToGrid w:val="0"/>
          <w:color w:val="auto"/>
          <w:sz w:val="21"/>
          <w:szCs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285"/>
    <w:bookmarkEnd w:id="286"/>
    <w:p w14:paraId="257E92EE">
      <w:pPr>
        <w:pStyle w:val="4"/>
        <w:bidi w:val="0"/>
        <w:ind w:firstLine="964"/>
        <w:rPr>
          <w:rFonts w:hint="eastAsia" w:ascii="宋体" w:hAnsi="宋体" w:eastAsia="宋体" w:cs="宋体"/>
          <w:color w:val="auto"/>
          <w:highlight w:val="none"/>
        </w:rPr>
      </w:pPr>
      <w:bookmarkStart w:id="314" w:name="_Toc10778"/>
      <w:bookmarkStart w:id="315" w:name="_Toc32402"/>
      <w:bookmarkStart w:id="316" w:name="_Toc20248"/>
      <w:bookmarkStart w:id="317" w:name="_Toc27834"/>
      <w:r>
        <w:rPr>
          <w:rFonts w:hint="eastAsia" w:ascii="宋体" w:hAnsi="宋体" w:eastAsia="宋体" w:cs="宋体"/>
          <w:color w:val="auto"/>
          <w:highlight w:val="none"/>
        </w:rPr>
        <w:t>格式八 项目经理简历表</w:t>
      </w:r>
      <w:bookmarkEnd w:id="314"/>
      <w:bookmarkEnd w:id="315"/>
      <w:bookmarkEnd w:id="316"/>
      <w:bookmarkEnd w:id="317"/>
    </w:p>
    <w:p w14:paraId="3F50AE56">
      <w:pPr>
        <w:rPr>
          <w:rFonts w:hint="eastAsia" w:ascii="宋体" w:hAnsi="宋体" w:eastAsia="宋体" w:cs="宋体"/>
          <w:color w:val="auto"/>
          <w:highlight w:val="none"/>
        </w:rPr>
      </w:pPr>
    </w:p>
    <w:tbl>
      <w:tblPr>
        <w:tblStyle w:val="31"/>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D7FB3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ADC183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1355C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35D30C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99452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D4C267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725064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44D11D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BB0F1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2E4439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452FF3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06E43C5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FD7D1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6647D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4CCC5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1D750A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2BD292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2725EFE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AF039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3928DD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3CD0CD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0F6651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901B82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C662EE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37EC84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C93901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C36633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A15EF2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2E3811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FD6510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CA1E1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DFF5D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D73B7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440F33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D75444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2C3C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5C94BBA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8DC6C0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12949D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C0660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C27E08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0E59B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55DD1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31F5CF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E39C5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3E828E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61093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EC981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27B30E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5258E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F54C1E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2315F88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97CDA4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2018A4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42E55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3832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33CD819">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18" w:name="_Toc21706"/>
      <w:bookmarkStart w:id="319" w:name="_Toc31554"/>
      <w:r>
        <w:rPr>
          <w:rFonts w:hint="eastAsia" w:ascii="宋体" w:hAnsi="宋体" w:eastAsia="宋体" w:cs="宋体"/>
          <w:b/>
          <w:snapToGrid w:val="0"/>
          <w:color w:val="auto"/>
          <w:kern w:val="0"/>
          <w:sz w:val="30"/>
          <w:highlight w:val="none"/>
        </w:rPr>
        <w:t>项目经理简历表</w:t>
      </w:r>
      <w:bookmarkEnd w:id="318"/>
      <w:bookmarkEnd w:id="319"/>
    </w:p>
    <w:p w14:paraId="70952DB3">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1A9BDCD5">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27299335">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E6483BB">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6A8A7244">
      <w:pPr>
        <w:pStyle w:val="63"/>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71B8F092">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44FCFD3F">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说明：《项目经理简历表》后应附拟派项目经理以下资料：</w:t>
      </w:r>
    </w:p>
    <w:p w14:paraId="1AAE81FB">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373EEC9B">
      <w:pPr>
        <w:wordWrap w:val="0"/>
        <w:adjustRightInd w:val="0"/>
        <w:snapToGrid w:val="0"/>
        <w:spacing w:line="360" w:lineRule="auto"/>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建造师电子注册证书（在使用有效期内的有效电子证书）彩色扫描件；</w:t>
      </w:r>
    </w:p>
    <w:p w14:paraId="6D389050">
      <w:pPr>
        <w:wordWrap w:val="0"/>
        <w:adjustRightInd w:val="0"/>
        <w:snapToGrid w:val="0"/>
        <w:spacing w:line="360" w:lineRule="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3．B类安全生产考核合格证书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或广东省建筑施工企业管理人员安全生产考核系统考核合格信息打印页；</w:t>
      </w:r>
    </w:p>
    <w:p w14:paraId="24A1F9BC">
      <w:pPr>
        <w:snapToGrid w:val="0"/>
        <w:spacing w:line="360" w:lineRule="auto"/>
        <w:ind w:firstLine="420" w:firstLineChars="200"/>
        <w:rPr>
          <w:rFonts w:hint="eastAsia" w:ascii="宋体" w:hAnsi="宋体" w:eastAsia="宋体" w:cs="宋体"/>
          <w:snapToGrid w:val="0"/>
          <w:color w:val="auto"/>
          <w:kern w:val="0"/>
          <w:sz w:val="21"/>
          <w:szCs w:val="21"/>
          <w:highlight w:val="none"/>
          <w:lang w:eastAsia="zh-CN"/>
        </w:rPr>
      </w:pPr>
      <w:r>
        <w:rPr>
          <w:rFonts w:hint="eastAsia" w:ascii="宋体" w:hAnsi="宋体" w:eastAsia="宋体" w:cs="宋体"/>
          <w:snapToGrid w:val="0"/>
          <w:color w:val="auto"/>
          <w:kern w:val="0"/>
          <w:sz w:val="21"/>
          <w:szCs w:val="21"/>
          <w:highlight w:val="none"/>
        </w:rPr>
        <w:t>4．</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hAnsi="宋体" w:cs="宋体"/>
          <w:snapToGrid w:val="0"/>
          <w:color w:val="auto"/>
          <w:kern w:val="0"/>
          <w:sz w:val="21"/>
          <w:szCs w:val="21"/>
          <w:highlight w:val="none"/>
          <w:lang w:val="en-US" w:eastAsia="zh-CN"/>
        </w:rPr>
        <w:t>一</w:t>
      </w:r>
      <w:r>
        <w:rPr>
          <w:rFonts w:hint="eastAsia" w:ascii="宋体" w:hAnsi="宋体" w:eastAsia="宋体" w:cs="宋体"/>
          <w:snapToGrid w:val="0"/>
          <w:color w:val="auto"/>
          <w:kern w:val="0"/>
          <w:sz w:val="21"/>
          <w:szCs w:val="21"/>
          <w:highlight w:val="none"/>
          <w:lang w:eastAsia="zh-CN"/>
        </w:rPr>
        <w:t>个月，其中必须有202</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11</w:t>
      </w:r>
      <w:r>
        <w:rPr>
          <w:rFonts w:hint="eastAsia" w:ascii="宋体" w:hAnsi="宋体" w:eastAsia="宋体" w:cs="宋体"/>
          <w:snapToGrid w:val="0"/>
          <w:color w:val="auto"/>
          <w:kern w:val="0"/>
          <w:sz w:val="21"/>
          <w:szCs w:val="21"/>
          <w:highlight w:val="none"/>
          <w:lang w:eastAsia="zh-CN"/>
        </w:rPr>
        <w:t>月）彩色扫描件。拟派项目经理为退休返聘人员无法提供社保证明的，提供退休证和劳动彩色扫描件；</w:t>
      </w:r>
    </w:p>
    <w:p w14:paraId="2D1A5D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eastAsia="zh-CN"/>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5DEAF4E8">
      <w:pPr>
        <w:pStyle w:val="4"/>
        <w:bidi w:val="0"/>
        <w:ind w:firstLine="964"/>
        <w:rPr>
          <w:rFonts w:hint="eastAsia" w:ascii="宋体" w:hAnsi="宋体" w:eastAsia="宋体" w:cs="宋体"/>
          <w:color w:val="auto"/>
          <w:highlight w:val="none"/>
        </w:rPr>
      </w:pPr>
      <w:bookmarkStart w:id="320" w:name="_Toc8211"/>
      <w:bookmarkStart w:id="321" w:name="_Toc21761"/>
      <w:bookmarkStart w:id="322" w:name="_Toc2842"/>
      <w:bookmarkStart w:id="323" w:name="_Toc5290"/>
      <w:r>
        <w:rPr>
          <w:rFonts w:hint="eastAsia" w:ascii="宋体" w:hAnsi="宋体" w:eastAsia="宋体" w:cs="宋体"/>
          <w:color w:val="auto"/>
          <w:highlight w:val="none"/>
        </w:rPr>
        <w:t>格式九 项目经理任职声明</w:t>
      </w:r>
      <w:bookmarkEnd w:id="320"/>
      <w:bookmarkEnd w:id="321"/>
      <w:bookmarkEnd w:id="322"/>
      <w:bookmarkEnd w:id="323"/>
    </w:p>
    <w:p w14:paraId="14F0CE43">
      <w:pPr>
        <w:rPr>
          <w:rFonts w:hint="eastAsia" w:ascii="宋体" w:hAnsi="宋体" w:eastAsia="宋体" w:cs="宋体"/>
          <w:color w:val="auto"/>
          <w:highlight w:val="none"/>
        </w:rPr>
      </w:pPr>
    </w:p>
    <w:p w14:paraId="218D3A3A">
      <w:pPr>
        <w:wordWrap w:val="0"/>
        <w:adjustRightInd w:val="0"/>
        <w:snapToGrid w:val="0"/>
        <w:spacing w:before="260" w:after="260"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45DC195A">
      <w:pPr>
        <w:wordWrap w:val="0"/>
        <w:adjustRightInd w:val="0"/>
        <w:snapToGrid w:val="0"/>
        <w:spacing w:line="440" w:lineRule="exact"/>
        <w:jc w:val="center"/>
        <w:rPr>
          <w:rFonts w:hint="eastAsia" w:ascii="宋体" w:hAnsi="宋体" w:eastAsia="宋体" w:cs="宋体"/>
          <w:snapToGrid w:val="0"/>
          <w:color w:val="auto"/>
          <w:kern w:val="0"/>
          <w:szCs w:val="28"/>
          <w:highlight w:val="none"/>
        </w:rPr>
      </w:pPr>
    </w:p>
    <w:p w14:paraId="62664D40">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647CE416">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7FB173E1">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237EEE33">
      <w:pPr>
        <w:wordWrap w:val="0"/>
        <w:adjustRightInd w:val="0"/>
        <w:snapToGrid w:val="0"/>
        <w:spacing w:line="440" w:lineRule="exact"/>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283E22E3">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02BC082B">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4235C005">
      <w:pPr>
        <w:wordWrap w:val="0"/>
        <w:adjustRightInd w:val="0"/>
        <w:snapToGrid w:val="0"/>
        <w:spacing w:line="440" w:lineRule="exac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4DC8890A">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6427A282">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1A24926C">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7729CED2">
      <w:pPr>
        <w:wordWrap w:val="0"/>
        <w:adjustRightInd w:val="0"/>
        <w:snapToGrid w:val="0"/>
        <w:spacing w:line="440" w:lineRule="exact"/>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0E109AC8">
      <w:pPr>
        <w:wordWrap w:val="0"/>
        <w:adjustRightInd w:val="0"/>
        <w:snapToGrid w:val="0"/>
        <w:spacing w:line="440" w:lineRule="exact"/>
        <w:jc w:val="right"/>
        <w:rPr>
          <w:rFonts w:hint="eastAsia" w:ascii="宋体" w:hAnsi="宋体" w:eastAsia="宋体" w:cs="宋体"/>
          <w:snapToGrid w:val="0"/>
          <w:color w:val="auto"/>
          <w:kern w:val="0"/>
          <w:szCs w:val="28"/>
          <w:highlight w:val="none"/>
        </w:rPr>
      </w:pPr>
    </w:p>
    <w:p w14:paraId="08D12FAA">
      <w:pPr>
        <w:wordWrap w:val="0"/>
        <w:adjustRightInd w:val="0"/>
        <w:snapToGrid w:val="0"/>
        <w:spacing w:line="440" w:lineRule="exact"/>
        <w:jc w:val="center"/>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6957D60E">
      <w:pPr>
        <w:wordWrap w:val="0"/>
        <w:adjustRightInd w:val="0"/>
        <w:snapToGrid w:val="0"/>
        <w:spacing w:line="440" w:lineRule="exact"/>
        <w:rPr>
          <w:rFonts w:hint="eastAsia" w:ascii="宋体" w:hAnsi="宋体" w:eastAsia="宋体" w:cs="宋体"/>
          <w:snapToGrid w:val="0"/>
          <w:color w:val="auto"/>
          <w:kern w:val="0"/>
          <w:szCs w:val="28"/>
          <w:highlight w:val="none"/>
        </w:rPr>
        <w:sectPr>
          <w:endnotePr>
            <w:numFmt w:val="decimal"/>
          </w:endnotePr>
          <w:pgSz w:w="11906" w:h="16838"/>
          <w:pgMar w:top="1134" w:right="1134" w:bottom="1134" w:left="1134" w:header="567" w:footer="567" w:gutter="0"/>
          <w:cols w:space="720" w:num="1"/>
          <w:docGrid w:linePitch="327" w:charSpace="0"/>
        </w:sectPr>
      </w:pPr>
    </w:p>
    <w:p w14:paraId="02E975E8">
      <w:pPr>
        <w:pStyle w:val="4"/>
        <w:bidi w:val="0"/>
        <w:ind w:firstLine="964"/>
        <w:rPr>
          <w:rFonts w:hint="eastAsia" w:ascii="宋体" w:hAnsi="宋体" w:eastAsia="宋体" w:cs="宋体"/>
          <w:color w:val="auto"/>
          <w:highlight w:val="none"/>
        </w:rPr>
      </w:pPr>
      <w:bookmarkStart w:id="324" w:name="_Toc12722"/>
      <w:bookmarkStart w:id="325" w:name="_Toc27257"/>
      <w:bookmarkStart w:id="326" w:name="_Toc24994"/>
      <w:bookmarkStart w:id="327" w:name="_Toc21420"/>
      <w:r>
        <w:rPr>
          <w:rFonts w:hint="eastAsia" w:ascii="宋体" w:hAnsi="宋体" w:eastAsia="宋体" w:cs="宋体"/>
          <w:color w:val="auto"/>
          <w:highlight w:val="none"/>
        </w:rPr>
        <w:t>格式十 项目技术负责人简历表</w:t>
      </w:r>
      <w:bookmarkEnd w:id="324"/>
      <w:bookmarkEnd w:id="325"/>
      <w:bookmarkEnd w:id="326"/>
      <w:bookmarkEnd w:id="327"/>
    </w:p>
    <w:p w14:paraId="259A65F5">
      <w:pPr>
        <w:rPr>
          <w:rFonts w:hint="eastAsia" w:ascii="宋体" w:hAnsi="宋体" w:eastAsia="宋体" w:cs="宋体"/>
          <w:color w:val="auto"/>
          <w:highlight w:val="none"/>
        </w:rPr>
      </w:pPr>
    </w:p>
    <w:tbl>
      <w:tblPr>
        <w:tblStyle w:val="31"/>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0E9564D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0CC8480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29C5A1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555794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691CA21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49DA6CB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4991D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53B73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2F714B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C6B06E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F3F1F3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46A4DCD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1B7AB78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C8CED6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8FFC6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9452DE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3404E8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22114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E1FD37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34558E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DF790E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093B5E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D32455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8317C9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5F423D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FF149C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C5244D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9F438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11C0C1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99ABC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167B27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33AAF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DA552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01B7D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C89E82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6DD4C6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B346A5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9B7DE3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A90E6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259A8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0417FC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2E7E22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D60E5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4FB5BA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9506DD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13265C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93B42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17B81A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8ED268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BA3CD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52AB46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30B9B6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E6D0D8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EDFD91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0DFC30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DC47E5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E9EF9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48D4848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F10B4F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272A82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DD79C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E1C898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A4B99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0AD99FDB">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28" w:name="_Toc12290"/>
      <w:bookmarkStart w:id="329" w:name="_Toc6237"/>
      <w:r>
        <w:rPr>
          <w:rFonts w:hint="eastAsia" w:ascii="宋体" w:hAnsi="宋体" w:eastAsia="宋体" w:cs="宋体"/>
          <w:b/>
          <w:snapToGrid w:val="0"/>
          <w:color w:val="auto"/>
          <w:kern w:val="0"/>
          <w:sz w:val="30"/>
          <w:highlight w:val="none"/>
        </w:rPr>
        <w:t>项目技术负责人简历表</w:t>
      </w:r>
      <w:bookmarkEnd w:id="328"/>
      <w:bookmarkEnd w:id="329"/>
    </w:p>
    <w:p w14:paraId="25012E6D">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12310E71">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55628FD1">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545BDB91">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7C9DCDF0">
      <w:pPr>
        <w:pStyle w:val="63"/>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786517CA">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34B7C81">
      <w:pPr>
        <w:pStyle w:val="10"/>
        <w:rPr>
          <w:rFonts w:hint="eastAsia" w:ascii="宋体" w:hAnsi="宋体" w:eastAsia="宋体" w:cs="宋体"/>
          <w:snapToGrid w:val="0"/>
          <w:color w:val="auto"/>
          <w:kern w:val="0"/>
          <w:szCs w:val="28"/>
          <w:highlight w:val="none"/>
        </w:rPr>
      </w:pPr>
    </w:p>
    <w:p w14:paraId="15B12F41">
      <w:pPr>
        <w:rPr>
          <w:rFonts w:hint="eastAsia" w:ascii="宋体" w:hAnsi="宋体" w:eastAsia="宋体" w:cs="宋体"/>
          <w:color w:val="auto"/>
          <w:highlight w:val="none"/>
        </w:rPr>
      </w:pPr>
    </w:p>
    <w:p w14:paraId="6AD2B7D7">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bookmarkStart w:id="330" w:name="_Toc200338098"/>
      <w:bookmarkStart w:id="331" w:name="_Toc8264"/>
      <w:r>
        <w:rPr>
          <w:rFonts w:hint="eastAsia" w:ascii="宋体" w:hAnsi="宋体" w:eastAsia="宋体" w:cs="宋体"/>
          <w:snapToGrid w:val="0"/>
          <w:color w:val="auto"/>
          <w:kern w:val="0"/>
          <w:sz w:val="21"/>
          <w:szCs w:val="28"/>
          <w:highlight w:val="none"/>
        </w:rPr>
        <w:t>说明：《项目技术负责人简历表》后应附拟派项目技术负责人以下资料：</w:t>
      </w:r>
    </w:p>
    <w:p w14:paraId="01FCF52B">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6ADCBA34">
      <w:pPr>
        <w:wordWrap w:val="0"/>
        <w:adjustRightInd w:val="0"/>
        <w:snapToGrid w:val="0"/>
        <w:spacing w:line="400" w:lineRule="exact"/>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2．职称证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6CC3A0F">
      <w:pPr>
        <w:wordWrap w:val="0"/>
        <w:adjustRightInd w:val="0"/>
        <w:snapToGrid w:val="0"/>
        <w:spacing w:line="400" w:lineRule="exact"/>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个月，其中必须有202</w:t>
      </w:r>
      <w:r>
        <w:rPr>
          <w:rFonts w:hint="eastAsia" w:hAnsi="宋体" w:cs="宋体"/>
          <w:snapToGrid w:val="0"/>
          <w:color w:val="auto"/>
          <w:kern w:val="0"/>
          <w:sz w:val="21"/>
          <w:szCs w:val="28"/>
          <w:highlight w:val="none"/>
          <w:lang w:val="en-US" w:eastAsia="zh-CN"/>
        </w:rPr>
        <w:t>5</w:t>
      </w:r>
      <w:r>
        <w:rPr>
          <w:rFonts w:hint="eastAsia" w:ascii="宋体" w:hAnsi="宋体" w:eastAsia="宋体" w:cs="宋体"/>
          <w:snapToGrid w:val="0"/>
          <w:color w:val="auto"/>
          <w:kern w:val="0"/>
          <w:sz w:val="21"/>
          <w:szCs w:val="28"/>
          <w:highlight w:val="none"/>
          <w:lang w:eastAsia="zh-CN"/>
        </w:rPr>
        <w:t>年</w:t>
      </w:r>
      <w:r>
        <w:rPr>
          <w:rFonts w:hint="eastAsia" w:hAnsi="宋体" w:cs="宋体"/>
          <w:snapToGrid w:val="0"/>
          <w:color w:val="auto"/>
          <w:kern w:val="0"/>
          <w:sz w:val="21"/>
          <w:szCs w:val="28"/>
          <w:highlight w:val="none"/>
          <w:lang w:val="en-US" w:eastAsia="zh-CN"/>
        </w:rPr>
        <w:t>11</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。拟派项目技术负责人为退休返聘人员无法提供社保证明的，提供退休证和劳动合同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67186CFC">
      <w:pPr>
        <w:ind w:firstLine="420" w:firstLineChars="200"/>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6B83A33B">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p>
    <w:p w14:paraId="43F37F8A">
      <w:pPr>
        <w:pStyle w:val="5"/>
        <w:rPr>
          <w:rFonts w:hint="eastAsia" w:ascii="宋体" w:hAnsi="宋体" w:eastAsia="宋体" w:cs="宋体"/>
          <w:color w:val="auto"/>
          <w:highlight w:val="none"/>
        </w:rPr>
      </w:pPr>
    </w:p>
    <w:p w14:paraId="48F7CA03">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pPr>
      <w:bookmarkStart w:id="332" w:name="_Toc4344"/>
      <w:bookmarkStart w:id="333" w:name="_Toc8834"/>
      <w:bookmarkStart w:id="334" w:name="_Toc9436"/>
    </w:p>
    <w:p w14:paraId="59E9416E">
      <w:pPr>
        <w:pStyle w:val="4"/>
        <w:keepNext w:val="0"/>
        <w:keepLines w:val="0"/>
        <w:widowControl w:val="0"/>
        <w:wordWrap w:val="0"/>
        <w:adjustRightInd w:val="0"/>
        <w:snapToGrid w:val="0"/>
        <w:spacing w:before="0" w:after="0" w:line="440" w:lineRule="exact"/>
        <w:ind w:firstLine="0"/>
        <w:jc w:val="left"/>
        <w:rPr>
          <w:rFonts w:hint="eastAsia" w:ascii="宋体" w:hAnsi="宋体" w:eastAsia="宋体" w:cs="宋体"/>
          <w:b/>
          <w:snapToGrid w:val="0"/>
          <w:color w:val="auto"/>
          <w:szCs w:val="22"/>
          <w:highlight w:val="none"/>
        </w:rPr>
        <w:sectPr>
          <w:endnotePr>
            <w:numFmt w:val="decimal"/>
          </w:endnotePr>
          <w:pgSz w:w="11906" w:h="16838"/>
          <w:pgMar w:top="1134" w:right="1134" w:bottom="1134" w:left="1134" w:header="567" w:footer="567" w:gutter="0"/>
          <w:cols w:space="720" w:num="1"/>
          <w:docGrid w:linePitch="327" w:charSpace="0"/>
        </w:sectPr>
      </w:pPr>
    </w:p>
    <w:p w14:paraId="78C99C8B">
      <w:pPr>
        <w:pStyle w:val="4"/>
        <w:bidi w:val="0"/>
        <w:ind w:firstLine="964"/>
        <w:rPr>
          <w:rFonts w:hint="eastAsia" w:ascii="宋体" w:hAnsi="宋体" w:eastAsia="宋体" w:cs="宋体"/>
          <w:color w:val="auto"/>
          <w:highlight w:val="none"/>
        </w:rPr>
      </w:pPr>
      <w:bookmarkStart w:id="335" w:name="_Toc16727"/>
      <w:r>
        <w:rPr>
          <w:rFonts w:hint="eastAsia" w:ascii="宋体" w:hAnsi="宋体" w:eastAsia="宋体" w:cs="宋体"/>
          <w:color w:val="auto"/>
          <w:highlight w:val="none"/>
        </w:rPr>
        <w:t>格式十一 专职安全员简历表</w:t>
      </w:r>
      <w:bookmarkEnd w:id="332"/>
      <w:bookmarkEnd w:id="333"/>
      <w:bookmarkEnd w:id="334"/>
      <w:bookmarkEnd w:id="335"/>
    </w:p>
    <w:p w14:paraId="295CE35B">
      <w:pPr>
        <w:rPr>
          <w:rFonts w:hint="eastAsia" w:ascii="宋体" w:hAnsi="宋体" w:eastAsia="宋体" w:cs="宋体"/>
          <w:color w:val="auto"/>
          <w:highlight w:val="none"/>
        </w:rPr>
      </w:pPr>
    </w:p>
    <w:tbl>
      <w:tblPr>
        <w:tblStyle w:val="31"/>
        <w:tblpPr w:leftFromText="180" w:rightFromText="180" w:vertAnchor="text" w:horzAnchor="page" w:tblpX="1490" w:tblpY="692"/>
        <w:tblOverlap w:val="never"/>
        <w:tblW w:w="927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2250E6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34E889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2FEA076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9B6EA5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7D28928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35B1923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40180B6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019C9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1DAB6B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0CDE6F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1998B56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1C195C4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905B8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D338AE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20BEF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7B7A46C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75F8F72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492E72F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62CE35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1693C5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759CE411">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以专职安全员身份参与过的主要业绩（已完工项目）</w:t>
            </w:r>
          </w:p>
        </w:tc>
      </w:tr>
      <w:tr w14:paraId="305443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6C673D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39EEA3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4878FCE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E002E7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C7F8E6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D2AD74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4A4763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1EE8CE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F5EF5B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E8E762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4F6E2A0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51271F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C24CB6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5BF79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6A428A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37A24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D33DA0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5C2B9B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2BEBD8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F1AE71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D9900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3F9D8B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7AAE7E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3ABCDF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563FF9">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EE6E57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5334E1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245144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6D86FDC">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CE8EC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01E30A3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4559236">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D433D44">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679A01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r w14:paraId="74529A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7C6EF2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2A13DCE">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FE58B2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1C2747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668309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AC20B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p>
        </w:tc>
      </w:tr>
    </w:tbl>
    <w:p w14:paraId="3E2D0D33">
      <w:pPr>
        <w:wordWrap w:val="0"/>
        <w:adjustRightInd w:val="0"/>
        <w:snapToGrid w:val="0"/>
        <w:spacing w:line="440" w:lineRule="exact"/>
        <w:jc w:val="center"/>
        <w:outlineLvl w:val="2"/>
        <w:rPr>
          <w:rFonts w:hint="eastAsia" w:ascii="宋体" w:hAnsi="宋体" w:eastAsia="宋体" w:cs="宋体"/>
          <w:b/>
          <w:bCs/>
          <w:snapToGrid w:val="0"/>
          <w:color w:val="auto"/>
          <w:kern w:val="0"/>
          <w:szCs w:val="24"/>
          <w:highlight w:val="none"/>
        </w:rPr>
      </w:pPr>
      <w:bookmarkStart w:id="336" w:name="_Toc19513"/>
      <w:bookmarkStart w:id="337" w:name="_Toc12212"/>
      <w:r>
        <w:rPr>
          <w:rFonts w:hint="eastAsia" w:ascii="宋体" w:hAnsi="宋体" w:eastAsia="宋体" w:cs="宋体"/>
          <w:b/>
          <w:snapToGrid w:val="0"/>
          <w:color w:val="auto"/>
          <w:kern w:val="0"/>
          <w:sz w:val="30"/>
          <w:highlight w:val="none"/>
        </w:rPr>
        <w:t>专职安全员简历表</w:t>
      </w:r>
      <w:bookmarkEnd w:id="336"/>
      <w:bookmarkEnd w:id="337"/>
    </w:p>
    <w:p w14:paraId="4B7B20B5">
      <w:pPr>
        <w:wordWrap w:val="0"/>
        <w:adjustRightInd w:val="0"/>
        <w:snapToGrid w:val="0"/>
        <w:spacing w:line="440" w:lineRule="exact"/>
        <w:ind w:firstLine="570"/>
        <w:rPr>
          <w:rFonts w:hint="eastAsia" w:ascii="宋体" w:hAnsi="宋体" w:eastAsia="宋体" w:cs="宋体"/>
          <w:snapToGrid w:val="0"/>
          <w:color w:val="auto"/>
          <w:kern w:val="0"/>
          <w:szCs w:val="28"/>
          <w:highlight w:val="none"/>
        </w:rPr>
      </w:pPr>
    </w:p>
    <w:p w14:paraId="73ACCF2E">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50DD7DE6">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专职安全员：</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238B7992">
      <w:pPr>
        <w:pStyle w:val="63"/>
        <w:wordWrap w:val="0"/>
        <w:adjustRightInd w:val="0"/>
        <w:snapToGrid w:val="0"/>
        <w:spacing w:line="440" w:lineRule="exact"/>
        <w:jc w:val="right"/>
        <w:rPr>
          <w:rFonts w:hint="eastAsia" w:ascii="宋体" w:hAnsi="宋体" w:eastAsia="宋体" w:cs="宋体"/>
          <w:snapToGrid w:val="0"/>
          <w:color w:val="auto"/>
          <w:kern w:val="0"/>
          <w:highlight w:val="none"/>
        </w:rPr>
      </w:pPr>
    </w:p>
    <w:p w14:paraId="374FEB97">
      <w:pPr>
        <w:pStyle w:val="63"/>
        <w:wordWrap w:val="0"/>
        <w:adjustRightInd w:val="0"/>
        <w:snapToGrid w:val="0"/>
        <w:spacing w:line="440" w:lineRule="exact"/>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032E4527">
      <w:pPr>
        <w:wordWrap w:val="0"/>
        <w:adjustRightInd w:val="0"/>
        <w:snapToGrid w:val="0"/>
        <w:spacing w:line="400" w:lineRule="exact"/>
        <w:ind w:firstLine="570"/>
        <w:rPr>
          <w:rFonts w:hint="eastAsia" w:ascii="宋体" w:hAnsi="宋体" w:eastAsia="宋体" w:cs="宋体"/>
          <w:snapToGrid w:val="0"/>
          <w:color w:val="auto"/>
          <w:kern w:val="0"/>
          <w:szCs w:val="28"/>
          <w:highlight w:val="none"/>
        </w:rPr>
      </w:pPr>
    </w:p>
    <w:p w14:paraId="3E2B8BAD">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说明：《专职安全员简历表》后应附拟派专职安全员以下资料：</w:t>
      </w:r>
    </w:p>
    <w:p w14:paraId="3CBFC8AA">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1．身份证</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w:t>
      </w:r>
    </w:p>
    <w:p w14:paraId="1F03E0A6">
      <w:pPr>
        <w:wordWrap w:val="0"/>
        <w:adjustRightInd w:val="0"/>
        <w:snapToGrid w:val="0"/>
        <w:spacing w:line="400" w:lineRule="exac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2．C类安全生产考核合格证书</w:t>
      </w:r>
      <w:r>
        <w:rPr>
          <w:rFonts w:hint="eastAsia" w:ascii="宋体" w:hAnsi="宋体" w:eastAsia="宋体" w:cs="宋体"/>
          <w:snapToGrid w:val="0"/>
          <w:color w:val="auto"/>
          <w:kern w:val="0"/>
          <w:sz w:val="21"/>
          <w:szCs w:val="21"/>
          <w:highlight w:val="none"/>
          <w:lang w:eastAsia="zh-CN"/>
        </w:rPr>
        <w:t>彩色扫描件</w:t>
      </w:r>
      <w:r>
        <w:rPr>
          <w:rFonts w:hint="eastAsia" w:ascii="宋体" w:hAnsi="宋体" w:eastAsia="宋体" w:cs="宋体"/>
          <w:snapToGrid w:val="0"/>
          <w:color w:val="auto"/>
          <w:kern w:val="0"/>
          <w:sz w:val="21"/>
          <w:szCs w:val="21"/>
          <w:highlight w:val="none"/>
        </w:rPr>
        <w:t>或“广东省建筑施工企业管理人员安全生产考核信息系统”考核合格信息打印页；</w:t>
      </w:r>
    </w:p>
    <w:p w14:paraId="6F2788D7">
      <w:pPr>
        <w:wordWrap w:val="0"/>
        <w:adjustRightInd w:val="0"/>
        <w:snapToGrid w:val="0"/>
        <w:spacing w:line="400" w:lineRule="exact"/>
        <w:ind w:firstLine="420" w:firstLineChars="200"/>
        <w:rPr>
          <w:rStyle w:val="150"/>
          <w:rFonts w:hint="eastAsia" w:ascii="宋体" w:hAnsi="宋体" w:eastAsia="宋体" w:cs="宋体"/>
          <w:color w:val="auto"/>
          <w:kern w:val="0"/>
          <w:sz w:val="21"/>
          <w:szCs w:val="21"/>
          <w:highlight w:val="none"/>
        </w:rPr>
      </w:pPr>
      <w:r>
        <w:rPr>
          <w:rFonts w:hint="eastAsia" w:ascii="宋体" w:hAnsi="宋体" w:eastAsia="宋体" w:cs="宋体"/>
          <w:snapToGrid w:val="0"/>
          <w:color w:val="auto"/>
          <w:kern w:val="0"/>
          <w:sz w:val="21"/>
          <w:szCs w:val="21"/>
          <w:highlight w:val="none"/>
        </w:rPr>
        <w:t>3．</w:t>
      </w:r>
      <w:r>
        <w:rPr>
          <w:rFonts w:hint="eastAsia" w:ascii="宋体" w:hAnsi="宋体" w:eastAsia="宋体" w:cs="宋体"/>
          <w:snapToGrid w:val="0"/>
          <w:color w:val="auto"/>
          <w:kern w:val="0"/>
          <w:sz w:val="21"/>
          <w:szCs w:val="21"/>
          <w:highlight w:val="none"/>
          <w:lang w:eastAsia="zh-CN"/>
        </w:rPr>
        <w:t>在本单位缴纳社保的证明（至少连续</w:t>
      </w:r>
      <w:r>
        <w:rPr>
          <w:rFonts w:hint="eastAsia" w:hAnsi="宋体" w:cs="宋体"/>
          <w:snapToGrid w:val="0"/>
          <w:color w:val="auto"/>
          <w:kern w:val="0"/>
          <w:sz w:val="21"/>
          <w:szCs w:val="21"/>
          <w:highlight w:val="none"/>
          <w:lang w:val="en-US" w:eastAsia="zh-CN"/>
        </w:rPr>
        <w:t>一</w:t>
      </w:r>
      <w:r>
        <w:rPr>
          <w:rFonts w:hint="eastAsia" w:ascii="宋体" w:hAnsi="宋体" w:eastAsia="宋体" w:cs="宋体"/>
          <w:snapToGrid w:val="0"/>
          <w:color w:val="auto"/>
          <w:kern w:val="0"/>
          <w:sz w:val="21"/>
          <w:szCs w:val="21"/>
          <w:highlight w:val="none"/>
          <w:lang w:eastAsia="zh-CN"/>
        </w:rPr>
        <w:t>个月，其中必须有202</w:t>
      </w:r>
      <w:r>
        <w:rPr>
          <w:rFonts w:hint="eastAsia" w:hAnsi="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lang w:eastAsia="zh-CN"/>
        </w:rPr>
        <w:t>年</w:t>
      </w:r>
      <w:r>
        <w:rPr>
          <w:rFonts w:hint="eastAsia" w:hAnsi="宋体" w:cs="宋体"/>
          <w:snapToGrid w:val="0"/>
          <w:color w:val="auto"/>
          <w:kern w:val="0"/>
          <w:sz w:val="21"/>
          <w:szCs w:val="21"/>
          <w:highlight w:val="none"/>
          <w:lang w:val="en-US" w:eastAsia="zh-CN"/>
        </w:rPr>
        <w:t>11</w:t>
      </w:r>
      <w:r>
        <w:rPr>
          <w:rFonts w:hint="eastAsia" w:ascii="宋体" w:hAnsi="宋体" w:eastAsia="宋体" w:cs="宋体"/>
          <w:snapToGrid w:val="0"/>
          <w:color w:val="auto"/>
          <w:kern w:val="0"/>
          <w:sz w:val="21"/>
          <w:szCs w:val="21"/>
          <w:highlight w:val="none"/>
          <w:lang w:eastAsia="zh-CN"/>
        </w:rPr>
        <w:t>月）彩色扫描件。拟派专职安全员为退休返聘人员无法提供社保证明的，提供退休证和劳动合同彩色扫描件；</w:t>
      </w:r>
    </w:p>
    <w:p w14:paraId="6D57810E">
      <w:pPr>
        <w:pStyle w:val="75"/>
        <w:widowControl w:val="0"/>
        <w:wordWrap w:val="0"/>
        <w:adjustRightInd w:val="0"/>
        <w:snapToGrid w:val="0"/>
        <w:spacing w:line="400" w:lineRule="exact"/>
        <w:rPr>
          <w:rFonts w:hint="eastAsia" w:ascii="宋体" w:hAnsi="宋体" w:eastAsia="宋体" w:cs="宋体"/>
          <w:snapToGrid w:val="0"/>
          <w:color w:val="auto"/>
          <w:sz w:val="21"/>
          <w:szCs w:val="28"/>
          <w:highlight w:val="none"/>
        </w:rPr>
        <w:sectPr>
          <w:endnotePr>
            <w:numFmt w:val="decimal"/>
          </w:endnotePr>
          <w:pgSz w:w="11906" w:h="16838"/>
          <w:pgMar w:top="1134" w:right="1134" w:bottom="1134" w:left="1134" w:header="567" w:footer="567" w:gutter="0"/>
          <w:cols w:space="720" w:num="1"/>
          <w:docGrid w:linePitch="327" w:charSpace="0"/>
        </w:sect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241C2AFA">
      <w:pPr>
        <w:pStyle w:val="4"/>
        <w:bidi w:val="0"/>
        <w:ind w:firstLine="964"/>
        <w:rPr>
          <w:rFonts w:hint="eastAsia" w:ascii="宋体" w:hAnsi="宋体" w:eastAsia="宋体" w:cs="宋体"/>
          <w:color w:val="auto"/>
          <w:highlight w:val="none"/>
        </w:rPr>
      </w:pPr>
      <w:bookmarkStart w:id="338" w:name="_Toc29727"/>
      <w:bookmarkStart w:id="339" w:name="_Toc14261309"/>
      <w:bookmarkStart w:id="340" w:name="_Toc994"/>
      <w:bookmarkStart w:id="341" w:name="_Toc23812"/>
      <w:bookmarkStart w:id="342" w:name="_Toc20506"/>
      <w:bookmarkStart w:id="343" w:name="_Toc14989"/>
      <w:r>
        <w:rPr>
          <w:rFonts w:hint="eastAsia" w:ascii="宋体" w:hAnsi="宋体" w:eastAsia="宋体" w:cs="宋体"/>
          <w:color w:val="auto"/>
          <w:highlight w:val="none"/>
        </w:rPr>
        <w:t>格式</w:t>
      </w:r>
      <w:bookmarkStart w:id="344" w:name="_Hlt287950384"/>
      <w:bookmarkEnd w:id="344"/>
      <w:r>
        <w:rPr>
          <w:rFonts w:hint="eastAsia" w:ascii="宋体" w:hAnsi="宋体" w:eastAsia="宋体" w:cs="宋体"/>
          <w:color w:val="auto"/>
          <w:highlight w:val="none"/>
        </w:rPr>
        <w:t>十二 项目管理机构组成表</w:t>
      </w:r>
      <w:bookmarkEnd w:id="338"/>
      <w:bookmarkEnd w:id="339"/>
      <w:bookmarkEnd w:id="340"/>
      <w:bookmarkEnd w:id="341"/>
      <w:bookmarkEnd w:id="342"/>
      <w:bookmarkEnd w:id="343"/>
    </w:p>
    <w:p w14:paraId="2A01A5B5">
      <w:pPr>
        <w:wordWrap w:val="0"/>
        <w:adjustRightInd w:val="0"/>
        <w:snapToGrid w:val="0"/>
        <w:spacing w:before="260" w:after="260" w:line="440" w:lineRule="exact"/>
        <w:jc w:val="center"/>
        <w:outlineLvl w:val="2"/>
        <w:rPr>
          <w:rFonts w:hint="eastAsia" w:ascii="宋体" w:hAnsi="宋体" w:eastAsia="宋体" w:cs="宋体"/>
          <w:b/>
          <w:snapToGrid w:val="0"/>
          <w:color w:val="auto"/>
          <w:kern w:val="0"/>
          <w:highlight w:val="none"/>
        </w:rPr>
      </w:pPr>
      <w:bookmarkStart w:id="345" w:name="_Toc14261751"/>
      <w:bookmarkStart w:id="346" w:name="_Toc3834"/>
      <w:bookmarkStart w:id="347" w:name="_Toc21803"/>
      <w:r>
        <w:rPr>
          <w:rFonts w:hint="eastAsia" w:ascii="宋体" w:hAnsi="宋体" w:eastAsia="宋体" w:cs="宋体"/>
          <w:b/>
          <w:snapToGrid w:val="0"/>
          <w:color w:val="auto"/>
          <w:kern w:val="0"/>
          <w:sz w:val="30"/>
          <w:highlight w:val="none"/>
        </w:rPr>
        <w:t>项目管理机构组成表</w:t>
      </w:r>
      <w:bookmarkEnd w:id="345"/>
      <w:bookmarkEnd w:id="346"/>
      <w:bookmarkEnd w:id="347"/>
    </w:p>
    <w:tbl>
      <w:tblPr>
        <w:tblStyle w:val="31"/>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30758C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7D14144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DEFD67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2BB2BF8">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5455DA0">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603BCCB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D7DF99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5372F05">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5723F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3D162B1">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7030D70B">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F3C4B0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BE49E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6D946AD">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9CDD42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9F2031E">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267699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320F2CD4">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129DD5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364C082F">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FF63CA6">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FEAE2C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54E7BF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F66FD4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AC31E1E">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FB86D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61E0FF45">
            <w:pPr>
              <w:wordWrap w:val="0"/>
              <w:adjustRightInd w:val="0"/>
              <w:snapToGrid w:val="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0DFA5BF2">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103D7F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4E1C0C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8DC546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667B8A0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00176E15">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04AA82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BE8F7EF">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F4FF35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4DEF1FE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08AA47A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5EDBB61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3F5F9E3">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BD58CBC">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77B58D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3C3488D4">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206DD33">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1BDEDBE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FD9A99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20E2949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56C38A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9505E2B">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5B0262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0D52610">
            <w:pPr>
              <w:wordWrap w:val="0"/>
              <w:adjustRightInd w:val="0"/>
              <w:snapToGrid w:val="0"/>
              <w:jc w:val="center"/>
              <w:rPr>
                <w:rFonts w:hint="eastAsia" w:ascii="宋体" w:hAnsi="宋体" w:eastAsia="宋体" w:cs="宋体"/>
                <w:snapToGrid w:val="0"/>
                <w:color w:val="auto"/>
                <w:kern w:val="0"/>
                <w:sz w:val="21"/>
                <w:szCs w:val="21"/>
                <w:highlight w:val="none"/>
                <w:lang w:val="en-US" w:eastAsia="zh-CN" w:bidi="ar-SA"/>
              </w:rPr>
            </w:pPr>
            <w:r>
              <w:rPr>
                <w:rFonts w:hint="eastAsia" w:hAnsi="宋体" w:cs="宋体"/>
                <w:snapToGrid w:val="0"/>
                <w:color w:val="auto"/>
                <w:kern w:val="0"/>
                <w:sz w:val="21"/>
                <w:szCs w:val="21"/>
                <w:highlight w:val="none"/>
                <w:lang w:val="en-US" w:eastAsia="zh-CN"/>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CF89D0D">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E313652">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3871C2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AB74900">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9346C4B">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33F87039">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B288E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8A4D24B">
            <w:pPr>
              <w:wordWrap w:val="0"/>
              <w:adjustRightInd w:val="0"/>
              <w:snapToGrid w:val="0"/>
              <w:jc w:val="center"/>
              <w:rPr>
                <w:rFonts w:hint="eastAsia" w:ascii="宋体" w:hAnsi="宋体" w:eastAsia="宋体" w:cs="宋体"/>
                <w:snapToGrid w:val="0"/>
                <w:color w:val="auto"/>
                <w:kern w:val="0"/>
                <w:sz w:val="21"/>
                <w:szCs w:val="21"/>
                <w:highlight w:val="none"/>
                <w:lang w:val="en-US" w:eastAsia="zh-CN"/>
              </w:rPr>
            </w:pPr>
            <w:r>
              <w:rPr>
                <w:rFonts w:hint="eastAsia" w:hAnsi="宋体" w:cs="宋体"/>
                <w:snapToGrid w:val="0"/>
                <w:color w:val="auto"/>
                <w:kern w:val="0"/>
                <w:sz w:val="21"/>
                <w:szCs w:val="21"/>
                <w:highlight w:val="none"/>
                <w:lang w:val="en-US" w:eastAsia="zh-CN"/>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BEB727A">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C4FB39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663BD55C">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2B5206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3A7FFE8E">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9744306">
            <w:pPr>
              <w:wordWrap w:val="0"/>
              <w:adjustRightInd w:val="0"/>
              <w:snapToGrid w:val="0"/>
              <w:jc w:val="center"/>
              <w:rPr>
                <w:rFonts w:hint="eastAsia" w:ascii="宋体" w:hAnsi="宋体" w:eastAsia="宋体" w:cs="宋体"/>
                <w:snapToGrid w:val="0"/>
                <w:color w:val="auto"/>
                <w:kern w:val="0"/>
                <w:sz w:val="21"/>
                <w:szCs w:val="21"/>
                <w:highlight w:val="none"/>
              </w:rPr>
            </w:pPr>
          </w:p>
        </w:tc>
      </w:tr>
      <w:tr w14:paraId="16E17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4B203E25">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6AE75267">
            <w:pPr>
              <w:wordWrap w:val="0"/>
              <w:adjustRightInd w:val="0"/>
              <w:snapToGrid w:val="0"/>
              <w:spacing w:line="24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51F2B1B8">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B8F9361">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77F8F894">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27D41AF">
            <w:pPr>
              <w:wordWrap w:val="0"/>
              <w:adjustRightInd w:val="0"/>
              <w:snapToGrid w:val="0"/>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0112A35">
            <w:pPr>
              <w:wordWrap w:val="0"/>
              <w:adjustRightInd w:val="0"/>
              <w:snapToGrid w:val="0"/>
              <w:jc w:val="center"/>
              <w:rPr>
                <w:rFonts w:hint="eastAsia" w:ascii="宋体" w:hAnsi="宋体" w:eastAsia="宋体" w:cs="宋体"/>
                <w:snapToGrid w:val="0"/>
                <w:color w:val="auto"/>
                <w:kern w:val="0"/>
                <w:sz w:val="21"/>
                <w:szCs w:val="21"/>
                <w:highlight w:val="none"/>
              </w:rPr>
            </w:pPr>
          </w:p>
        </w:tc>
        <w:bookmarkStart w:id="348" w:name="_Hlt69116778"/>
        <w:bookmarkStart w:id="349" w:name="_附件二十五：综合评审合理低价法"/>
        <w:bookmarkStart w:id="350" w:name="_附件十：单项工程费汇总表"/>
        <w:bookmarkStart w:id="351" w:name="_Hlt68774664"/>
        <w:bookmarkStart w:id="352" w:name="_附件二十四：技术标提问单"/>
      </w:tr>
      <w:bookmarkEnd w:id="330"/>
      <w:bookmarkEnd w:id="331"/>
      <w:bookmarkEnd w:id="348"/>
      <w:bookmarkEnd w:id="349"/>
      <w:bookmarkEnd w:id="350"/>
      <w:bookmarkEnd w:id="351"/>
      <w:bookmarkEnd w:id="352"/>
    </w:tbl>
    <w:p w14:paraId="4E531D2D">
      <w:pPr>
        <w:pStyle w:val="151"/>
        <w:snapToGrid w:val="0"/>
        <w:spacing w:line="400" w:lineRule="exact"/>
        <w:rPr>
          <w:rStyle w:val="150"/>
          <w:rFonts w:hint="eastAsia" w:ascii="宋体" w:hAnsi="宋体" w:eastAsia="宋体" w:cs="宋体"/>
          <w:color w:val="auto"/>
          <w:sz w:val="21"/>
          <w:szCs w:val="21"/>
          <w:highlight w:val="none"/>
        </w:rPr>
      </w:pPr>
      <w:r>
        <w:rPr>
          <w:rStyle w:val="150"/>
          <w:rFonts w:hint="eastAsia" w:ascii="宋体" w:hAnsi="宋体" w:eastAsia="宋体" w:cs="宋体"/>
          <w:color w:val="auto"/>
          <w:sz w:val="21"/>
          <w:szCs w:val="21"/>
          <w:highlight w:val="none"/>
        </w:rPr>
        <w:t>说明：</w:t>
      </w:r>
    </w:p>
    <w:p w14:paraId="257996AB">
      <w:pPr>
        <w:pStyle w:val="75"/>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rPr>
        <w:t>．</w:t>
      </w:r>
      <w:r>
        <w:rPr>
          <w:rFonts w:hint="eastAsia" w:ascii="宋体" w:hAnsi="宋体" w:eastAsia="宋体" w:cs="宋体"/>
          <w:snapToGrid w:val="0"/>
          <w:color w:val="auto"/>
          <w:sz w:val="21"/>
          <w:highlight w:val="none"/>
        </w:rPr>
        <w:t>《项目管理机构组成表》后应附表中拟派人员（项目经理、项目技术负责人、专职安全员除外）以下资料：</w:t>
      </w:r>
    </w:p>
    <w:p w14:paraId="69C3B13C">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8"/>
          <w:highlight w:val="none"/>
        </w:rPr>
        <w:t>；</w:t>
      </w:r>
    </w:p>
    <w:p w14:paraId="7AEA615F">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 w:val="21"/>
          <w:szCs w:val="28"/>
          <w:highlight w:val="none"/>
          <w:lang w:eastAsia="zh-CN"/>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职称证或</w:t>
      </w:r>
      <w:r>
        <w:rPr>
          <w:rFonts w:hint="eastAsia" w:ascii="宋体" w:hAnsi="宋体" w:eastAsia="宋体" w:cs="宋体"/>
          <w:snapToGrid w:val="0"/>
          <w:color w:val="auto"/>
          <w:kern w:val="0"/>
          <w:sz w:val="21"/>
          <w:szCs w:val="28"/>
          <w:highlight w:val="none"/>
        </w:rPr>
        <w:t>岗位证或培训证</w:t>
      </w:r>
      <w:r>
        <w:rPr>
          <w:rFonts w:hint="eastAsia" w:ascii="宋体" w:hAnsi="宋体" w:eastAsia="宋体" w:cs="宋体"/>
          <w:snapToGrid w:val="0"/>
          <w:color w:val="auto"/>
          <w:kern w:val="0"/>
          <w:sz w:val="21"/>
          <w:szCs w:val="28"/>
          <w:highlight w:val="none"/>
          <w:lang w:eastAsia="zh-CN"/>
        </w:rPr>
        <w:t>彩色扫描件</w:t>
      </w:r>
      <w:r>
        <w:rPr>
          <w:rFonts w:hint="eastAsia" w:ascii="宋体" w:hAnsi="宋体" w:eastAsia="宋体" w:cs="宋体"/>
          <w:snapToGrid w:val="0"/>
          <w:color w:val="auto"/>
          <w:kern w:val="0"/>
          <w:sz w:val="21"/>
          <w:szCs w:val="21"/>
          <w:highlight w:val="none"/>
        </w:rPr>
        <w:t>（或打印件）；</w:t>
      </w:r>
    </w:p>
    <w:p w14:paraId="4115CCF7">
      <w:pPr>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8"/>
          <w:highlight w:val="none"/>
          <w:lang w:val="en-US" w:eastAsia="zh-CN"/>
        </w:rPr>
        <w:t>3</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至少连续</w:t>
      </w:r>
      <w:r>
        <w:rPr>
          <w:rFonts w:hint="eastAsia" w:hAnsi="宋体" w:cs="宋体"/>
          <w:snapToGrid w:val="0"/>
          <w:color w:val="auto"/>
          <w:kern w:val="0"/>
          <w:sz w:val="21"/>
          <w:szCs w:val="28"/>
          <w:highlight w:val="none"/>
          <w:lang w:val="en-US" w:eastAsia="zh-CN"/>
        </w:rPr>
        <w:t>一</w:t>
      </w:r>
      <w:r>
        <w:rPr>
          <w:rFonts w:hint="eastAsia" w:ascii="宋体" w:hAnsi="宋体" w:eastAsia="宋体" w:cs="宋体"/>
          <w:snapToGrid w:val="0"/>
          <w:color w:val="auto"/>
          <w:kern w:val="0"/>
          <w:sz w:val="21"/>
          <w:szCs w:val="28"/>
          <w:highlight w:val="none"/>
          <w:lang w:eastAsia="zh-CN"/>
        </w:rPr>
        <w:t>个月，其中必须有202</w:t>
      </w:r>
      <w:r>
        <w:rPr>
          <w:rFonts w:hint="eastAsia" w:hAnsi="宋体" w:cs="宋体"/>
          <w:snapToGrid w:val="0"/>
          <w:color w:val="auto"/>
          <w:kern w:val="0"/>
          <w:sz w:val="21"/>
          <w:szCs w:val="28"/>
          <w:highlight w:val="none"/>
          <w:lang w:val="en-US" w:eastAsia="zh-CN"/>
        </w:rPr>
        <w:t>5</w:t>
      </w:r>
      <w:r>
        <w:rPr>
          <w:rFonts w:hint="eastAsia" w:ascii="宋体" w:hAnsi="宋体" w:eastAsia="宋体" w:cs="宋体"/>
          <w:snapToGrid w:val="0"/>
          <w:color w:val="auto"/>
          <w:kern w:val="0"/>
          <w:sz w:val="21"/>
          <w:szCs w:val="28"/>
          <w:highlight w:val="none"/>
          <w:lang w:eastAsia="zh-CN"/>
        </w:rPr>
        <w:t>年</w:t>
      </w:r>
      <w:r>
        <w:rPr>
          <w:rFonts w:hint="eastAsia" w:hAnsi="宋体" w:cs="宋体"/>
          <w:snapToGrid w:val="0"/>
          <w:color w:val="auto"/>
          <w:kern w:val="0"/>
          <w:sz w:val="21"/>
          <w:szCs w:val="28"/>
          <w:highlight w:val="none"/>
          <w:lang w:val="en-US" w:eastAsia="zh-CN"/>
        </w:rPr>
        <w:t>11</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。拟派</w:t>
      </w:r>
      <w:r>
        <w:rPr>
          <w:rFonts w:hint="eastAsia" w:ascii="宋体" w:hAnsi="宋体" w:eastAsia="宋体" w:cs="宋体"/>
          <w:snapToGrid w:val="0"/>
          <w:color w:val="auto"/>
          <w:kern w:val="0"/>
          <w:sz w:val="21"/>
          <w:szCs w:val="28"/>
          <w:highlight w:val="none"/>
          <w:lang w:val="en-US" w:eastAsia="zh-CN"/>
        </w:rPr>
        <w:t>人员</w:t>
      </w:r>
      <w:r>
        <w:rPr>
          <w:rFonts w:hint="eastAsia" w:ascii="宋体" w:hAnsi="宋体" w:eastAsia="宋体" w:cs="宋体"/>
          <w:snapToGrid w:val="0"/>
          <w:color w:val="auto"/>
          <w:kern w:val="0"/>
          <w:sz w:val="21"/>
          <w:szCs w:val="28"/>
          <w:highlight w:val="none"/>
        </w:rPr>
        <w:t>为退休返聘人员无法提供社保证明的，提供退休证和劳动合同</w:t>
      </w:r>
      <w:r>
        <w:rPr>
          <w:rFonts w:hint="eastAsia" w:ascii="宋体" w:hAnsi="宋体" w:eastAsia="宋体" w:cs="宋体"/>
          <w:snapToGrid w:val="0"/>
          <w:color w:val="auto"/>
          <w:kern w:val="0"/>
          <w:sz w:val="21"/>
          <w:szCs w:val="21"/>
          <w:highlight w:val="none"/>
        </w:rPr>
        <w:t>彩色扫描件</w:t>
      </w:r>
      <w:r>
        <w:rPr>
          <w:rFonts w:hint="eastAsia" w:ascii="宋体" w:hAnsi="宋体" w:eastAsia="宋体" w:cs="宋体"/>
          <w:snapToGrid w:val="0"/>
          <w:color w:val="auto"/>
          <w:kern w:val="0"/>
          <w:sz w:val="21"/>
          <w:szCs w:val="28"/>
          <w:highlight w:val="none"/>
        </w:rPr>
        <w:t>。</w:t>
      </w:r>
    </w:p>
    <w:p w14:paraId="78C426FF">
      <w:pPr>
        <w:keepNext w:val="0"/>
        <w:keepLines w:val="0"/>
        <w:pageBreakBefore w:val="0"/>
        <w:widowControl w:val="0"/>
        <w:kinsoku/>
        <w:overflowPunct/>
        <w:topLinePunct w:val="0"/>
        <w:autoSpaceDE/>
        <w:autoSpaceDN/>
        <w:bidi w:val="0"/>
        <w:spacing w:line="360" w:lineRule="auto"/>
        <w:ind w:firstLine="420" w:firstLineChars="200"/>
        <w:textAlignment w:val="auto"/>
        <w:rPr>
          <w:rFonts w:hint="eastAsia" w:ascii="宋体" w:hAnsi="宋体" w:eastAsia="宋体" w:cs="宋体"/>
          <w:color w:val="auto"/>
          <w:sz w:val="21"/>
          <w:szCs w:val="16"/>
          <w:highlight w:val="none"/>
          <w:lang w:eastAsia="zh-CN"/>
        </w:rPr>
        <w:sectPr>
          <w:pgSz w:w="11907" w:h="16840"/>
          <w:pgMar w:top="1134" w:right="1134" w:bottom="1134" w:left="1134" w:header="567" w:footer="567" w:gutter="0"/>
          <w:cols w:space="720" w:num="1"/>
        </w:sectPr>
      </w:pPr>
      <w:r>
        <w:rPr>
          <w:rFonts w:hint="eastAsia" w:ascii="宋体" w:hAnsi="宋体" w:eastAsia="宋体" w:cs="宋体"/>
          <w:color w:val="auto"/>
          <w:sz w:val="21"/>
          <w:szCs w:val="16"/>
          <w:highlight w:val="none"/>
          <w:lang w:eastAsia="zh-CN"/>
        </w:rPr>
        <w:t>（</w:t>
      </w:r>
      <w:r>
        <w:rPr>
          <w:rFonts w:hint="eastAsia" w:ascii="宋体" w:hAnsi="宋体" w:eastAsia="宋体" w:cs="宋体"/>
          <w:color w:val="auto"/>
          <w:sz w:val="21"/>
          <w:szCs w:val="16"/>
          <w:highlight w:val="none"/>
          <w:lang w:val="en-US" w:eastAsia="zh-CN"/>
        </w:rPr>
        <w:t>4</w:t>
      </w:r>
      <w:r>
        <w:rPr>
          <w:rFonts w:hint="eastAsia" w:ascii="宋体" w:hAnsi="宋体" w:eastAsia="宋体" w:cs="宋体"/>
          <w:color w:val="auto"/>
          <w:sz w:val="21"/>
          <w:szCs w:val="16"/>
          <w:highlight w:val="none"/>
          <w:lang w:eastAsia="zh-CN"/>
        </w:rPr>
        <w:t>）</w:t>
      </w:r>
      <w:r>
        <w:rPr>
          <w:rFonts w:hint="eastAsia" w:ascii="宋体" w:hAnsi="宋体" w:eastAsia="宋体" w:cs="宋体"/>
          <w:color w:val="auto"/>
          <w:sz w:val="21"/>
          <w:szCs w:val="21"/>
          <w:highlight w:val="none"/>
          <w:lang w:eastAsia="zh-CN"/>
        </w:rPr>
        <w:t>“进粤企业和人员诚信信息登记平台”个人信息情况截图。（适用于省外建筑企业）。</w:t>
      </w:r>
    </w:p>
    <w:p w14:paraId="132C37FB">
      <w:pPr>
        <w:pStyle w:val="4"/>
        <w:bidi w:val="0"/>
        <w:ind w:firstLine="964"/>
        <w:rPr>
          <w:rFonts w:hint="eastAsia" w:ascii="宋体" w:hAnsi="宋体" w:eastAsia="宋体" w:cs="宋体"/>
          <w:color w:val="auto"/>
          <w:highlight w:val="none"/>
        </w:rPr>
      </w:pPr>
      <w:bookmarkStart w:id="353" w:name="_Toc13555"/>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 xml:space="preserve"> 建造师查询页（有效期+建造师签字）</w:t>
      </w:r>
      <w:bookmarkEnd w:id="353"/>
    </w:p>
    <w:p w14:paraId="30C5F9AE">
      <w:pPr>
        <w:pStyle w:val="75"/>
        <w:widowControl w:val="0"/>
        <w:wordWrap w:val="0"/>
        <w:adjustRightInd w:val="0"/>
        <w:snapToGrid w:val="0"/>
        <w:spacing w:line="240" w:lineRule="auto"/>
        <w:ind w:firstLine="0"/>
        <w:jc w:val="center"/>
        <w:rPr>
          <w:rFonts w:hint="eastAsia" w:ascii="宋体" w:hAnsi="宋体" w:eastAsia="宋体" w:cs="宋体"/>
          <w:snapToGrid w:val="0"/>
          <w:color w:val="auto"/>
          <w:sz w:val="21"/>
          <w:highlight w:val="none"/>
        </w:rPr>
      </w:pPr>
      <w:r>
        <w:rPr>
          <w:rFonts w:hint="eastAsia" w:ascii="宋体" w:hAnsi="宋体" w:eastAsia="宋体" w:cs="宋体"/>
          <w:caps w:val="0"/>
          <w:smallCaps w:val="0"/>
          <w:snapToGrid w:val="0"/>
          <w:color w:val="auto"/>
          <w:spacing w:val="0"/>
          <w:kern w:val="0"/>
          <w:sz w:val="21"/>
          <w:highlight w:val="none"/>
          <w:lang w:val="en-US" w:eastAsia="zh-CN"/>
        </w:rPr>
        <w:drawing>
          <wp:inline distT="0" distB="0" distL="114300" distR="114300">
            <wp:extent cx="5768975" cy="8063865"/>
            <wp:effectExtent l="0" t="0" r="3175" b="13335"/>
            <wp:docPr id="2" name="图片 2"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2d7491b2f9802d8de0f2607fe015bb"/>
                    <pic:cNvPicPr>
                      <a:picLocks noChangeAspect="1"/>
                    </pic:cNvPicPr>
                  </pic:nvPicPr>
                  <pic:blipFill>
                    <a:blip r:embed="rId8"/>
                    <a:stretch>
                      <a:fillRect/>
                    </a:stretch>
                  </pic:blipFill>
                  <pic:spPr>
                    <a:xfrm>
                      <a:off x="0" y="0"/>
                      <a:ext cx="5768975" cy="8063865"/>
                    </a:xfrm>
                    <a:prstGeom prst="rect">
                      <a:avLst/>
                    </a:prstGeom>
                    <a:noFill/>
                    <a:ln>
                      <a:noFill/>
                    </a:ln>
                  </pic:spPr>
                </pic:pic>
              </a:graphicData>
            </a:graphic>
          </wp:inline>
        </w:drawing>
      </w:r>
      <w:r>
        <w:rPr>
          <w:rFonts w:hint="eastAsia" w:ascii="宋体" w:hAnsi="宋体" w:eastAsia="宋体" w:cs="宋体"/>
          <w:color w:val="auto"/>
          <w:sz w:val="24"/>
          <w:szCs w:val="24"/>
          <w:highlight w:val="none"/>
        </w:rPr>
        <w:drawing>
          <wp:inline distT="0" distB="0" distL="114300" distR="114300">
            <wp:extent cx="6507480" cy="7734300"/>
            <wp:effectExtent l="0" t="0" r="7620" b="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9"/>
                    <a:stretch>
                      <a:fillRect/>
                    </a:stretch>
                  </pic:blipFill>
                  <pic:spPr>
                    <a:xfrm>
                      <a:off x="0" y="0"/>
                      <a:ext cx="6507480" cy="7734300"/>
                    </a:xfrm>
                    <a:prstGeom prst="rect">
                      <a:avLst/>
                    </a:prstGeom>
                    <a:noFill/>
                    <a:ln w="9525">
                      <a:noFill/>
                    </a:ln>
                  </pic:spPr>
                </pic:pic>
              </a:graphicData>
            </a:graphic>
          </wp:inline>
        </w:drawing>
      </w:r>
    </w:p>
    <w:p w14:paraId="044BAB73">
      <w:pPr>
        <w:rPr>
          <w:rFonts w:hint="eastAsia" w:ascii="宋体" w:hAnsi="宋体" w:eastAsia="宋体" w:cs="宋体"/>
          <w:b/>
          <w:bCs/>
          <w:snapToGrid w:val="0"/>
          <w:color w:val="auto"/>
          <w:sz w:val="21"/>
          <w:highlight w:val="none"/>
          <w:lang w:val="en-US" w:eastAsia="zh-CN"/>
        </w:rPr>
      </w:pPr>
      <w:r>
        <w:rPr>
          <w:rFonts w:hint="eastAsia" w:ascii="宋体" w:hAnsi="宋体" w:eastAsia="宋体" w:cs="宋体"/>
          <w:snapToGrid w:val="0"/>
          <w:color w:val="auto"/>
          <w:sz w:val="21"/>
          <w:highlight w:val="none"/>
        </w:rPr>
        <w:br w:type="page"/>
      </w:r>
    </w:p>
    <w:p w14:paraId="68893148">
      <w:pPr>
        <w:pStyle w:val="75"/>
        <w:widowControl w:val="0"/>
        <w:wordWrap w:val="0"/>
        <w:adjustRightInd w:val="0"/>
        <w:snapToGrid w:val="0"/>
        <w:spacing w:line="240" w:lineRule="auto"/>
        <w:ind w:firstLine="0"/>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bookmarkEnd w:id="7"/>
    <w:bookmarkEnd w:id="287"/>
    <w:bookmarkEnd w:id="288"/>
    <w:p w14:paraId="1F1A3B36">
      <w:pPr>
        <w:pStyle w:val="4"/>
        <w:bidi w:val="0"/>
        <w:ind w:firstLine="964"/>
        <w:rPr>
          <w:rFonts w:hint="eastAsia" w:ascii="宋体" w:hAnsi="宋体" w:eastAsia="宋体" w:cs="宋体"/>
          <w:color w:val="auto"/>
          <w:highlight w:val="none"/>
        </w:rPr>
      </w:pPr>
      <w:bookmarkStart w:id="354" w:name="_Hlt87793582"/>
      <w:bookmarkEnd w:id="354"/>
      <w:bookmarkStart w:id="355" w:name="_附件十六：措施项目清单计价表"/>
      <w:bookmarkEnd w:id="355"/>
      <w:bookmarkStart w:id="356" w:name="_Hlt87783244"/>
      <w:bookmarkEnd w:id="356"/>
      <w:bookmarkStart w:id="357" w:name="_附件二十一：土建工程、电气工程、给排水工程工程清单项目费汇总表"/>
      <w:bookmarkEnd w:id="357"/>
      <w:bookmarkStart w:id="358" w:name="_Toc13122"/>
      <w:bookmarkStart w:id="359" w:name="_Toc2067"/>
      <w:bookmarkStart w:id="360" w:name="_Toc9569"/>
      <w:bookmarkStart w:id="361" w:name="_Toc346"/>
      <w:bookmarkStart w:id="362" w:name="_Toc132687128"/>
      <w:bookmarkStart w:id="363" w:name="_Toc13722"/>
      <w:bookmarkStart w:id="364" w:name="_Toc133160683"/>
      <w:bookmarkStart w:id="365" w:name="_Toc137444778"/>
      <w:bookmarkStart w:id="366" w:name="_Toc142468134"/>
      <w:bookmarkStart w:id="367" w:name="_Toc78794873"/>
      <w:bookmarkStart w:id="368" w:name="_Toc133815902"/>
      <w:r>
        <w:rPr>
          <w:rFonts w:hint="eastAsia" w:ascii="宋体" w:hAnsi="宋体" w:eastAsia="宋体" w:cs="宋体"/>
          <w:color w:val="auto"/>
          <w:highlight w:val="none"/>
        </w:rPr>
        <w:t>格式十</w:t>
      </w: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rPr>
        <w:t xml:space="preserve"> 原件一览表</w:t>
      </w:r>
      <w:bookmarkEnd w:id="358"/>
      <w:bookmarkEnd w:id="359"/>
      <w:bookmarkEnd w:id="360"/>
      <w:bookmarkEnd w:id="361"/>
    </w:p>
    <w:p w14:paraId="58E5E4F8">
      <w:pPr>
        <w:spacing w:line="336" w:lineRule="auto"/>
        <w:contextualSpacing/>
        <w:jc w:val="left"/>
        <w:rPr>
          <w:rFonts w:hint="eastAsia" w:ascii="宋体" w:hAnsi="宋体" w:eastAsia="宋体" w:cs="宋体"/>
          <w:color w:val="auto"/>
          <w:highlight w:val="none"/>
        </w:rPr>
      </w:pPr>
    </w:p>
    <w:tbl>
      <w:tblPr>
        <w:tblStyle w:val="31"/>
        <w:tblpPr w:leftFromText="180" w:rightFromText="180" w:vertAnchor="text" w:horzAnchor="page" w:tblpX="1664" w:tblpY="438"/>
        <w:tblOverlap w:val="never"/>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1"/>
        <w:gridCol w:w="1506"/>
        <w:gridCol w:w="92"/>
        <w:gridCol w:w="1902"/>
        <w:gridCol w:w="1625"/>
        <w:gridCol w:w="754"/>
        <w:gridCol w:w="958"/>
        <w:gridCol w:w="1570"/>
      </w:tblGrid>
      <w:tr w14:paraId="68B2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108" w:type="dxa"/>
            <w:gridSpan w:val="8"/>
            <w:shd w:val="clear" w:color="000000" w:fill="FFFFFF"/>
            <w:noWrap w:val="0"/>
            <w:tcMar>
              <w:left w:w="108" w:type="dxa"/>
              <w:right w:w="108" w:type="dxa"/>
            </w:tcMar>
            <w:vAlign w:val="center"/>
          </w:tcPr>
          <w:p w14:paraId="782E7337">
            <w:pPr>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57AC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8ECE8F6">
            <w:pPr>
              <w:jc w:val="center"/>
              <w:rPr>
                <w:rFonts w:hint="eastAsia" w:ascii="宋体" w:hAnsi="宋体" w:eastAsia="宋体" w:cs="宋体"/>
                <w:color w:val="auto"/>
                <w:sz w:val="20"/>
                <w:highlight w:val="none"/>
              </w:rPr>
            </w:pPr>
            <w:r>
              <w:rPr>
                <w:rFonts w:hint="eastAsia" w:hAnsi="宋体" w:cs="宋体"/>
                <w:color w:val="auto"/>
                <w:sz w:val="20"/>
                <w:highlight w:val="none"/>
                <w:lang w:val="en-US" w:eastAsia="zh-CN"/>
              </w:rPr>
              <w:t>项目</w:t>
            </w:r>
            <w:r>
              <w:rPr>
                <w:rFonts w:hint="eastAsia" w:ascii="宋体" w:hAnsi="宋体" w:eastAsia="宋体" w:cs="宋体"/>
                <w:color w:val="auto"/>
                <w:sz w:val="20"/>
                <w:highlight w:val="none"/>
              </w:rPr>
              <w:t>名称</w:t>
            </w:r>
          </w:p>
        </w:tc>
        <w:tc>
          <w:tcPr>
            <w:tcW w:w="6809" w:type="dxa"/>
            <w:gridSpan w:val="5"/>
            <w:shd w:val="clear" w:color="000000" w:fill="FFFFFF"/>
            <w:noWrap w:val="0"/>
            <w:tcMar>
              <w:left w:w="108" w:type="dxa"/>
              <w:right w:w="108" w:type="dxa"/>
            </w:tcMar>
            <w:vAlign w:val="center"/>
          </w:tcPr>
          <w:p w14:paraId="2A454562">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xml:space="preserve"> </w:t>
            </w:r>
          </w:p>
        </w:tc>
      </w:tr>
      <w:tr w14:paraId="27EB1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1559497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投标人名称                (请务必填写单位全称)</w:t>
            </w:r>
          </w:p>
        </w:tc>
        <w:tc>
          <w:tcPr>
            <w:tcW w:w="6809" w:type="dxa"/>
            <w:gridSpan w:val="5"/>
            <w:shd w:val="clear" w:color="000000" w:fill="FFFFFF"/>
            <w:noWrap w:val="0"/>
            <w:tcMar>
              <w:left w:w="108" w:type="dxa"/>
              <w:right w:w="108" w:type="dxa"/>
            </w:tcMar>
            <w:vAlign w:val="center"/>
          </w:tcPr>
          <w:p w14:paraId="564CAB2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0FD04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299" w:type="dxa"/>
            <w:gridSpan w:val="3"/>
            <w:shd w:val="clear" w:color="000000" w:fill="FFFFFF"/>
            <w:noWrap w:val="0"/>
            <w:tcMar>
              <w:left w:w="108" w:type="dxa"/>
              <w:right w:w="108" w:type="dxa"/>
            </w:tcMar>
            <w:vAlign w:val="center"/>
          </w:tcPr>
          <w:p w14:paraId="6A358BA3">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投标人法定代表人或其</w:t>
            </w:r>
          </w:p>
          <w:p w14:paraId="3AC60E4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委托代理人签名</w:t>
            </w:r>
          </w:p>
        </w:tc>
        <w:tc>
          <w:tcPr>
            <w:tcW w:w="3527" w:type="dxa"/>
            <w:gridSpan w:val="2"/>
            <w:shd w:val="clear" w:color="000000" w:fill="FFFFFF"/>
            <w:noWrap w:val="0"/>
            <w:tcMar>
              <w:left w:w="108" w:type="dxa"/>
              <w:right w:w="108" w:type="dxa"/>
            </w:tcMar>
            <w:vAlign w:val="center"/>
          </w:tcPr>
          <w:p w14:paraId="2B124D22">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c>
          <w:tcPr>
            <w:tcW w:w="754" w:type="dxa"/>
            <w:shd w:val="clear" w:color="000000" w:fill="FFFFFF"/>
            <w:noWrap w:val="0"/>
            <w:tcMar>
              <w:left w:w="108" w:type="dxa"/>
              <w:right w:w="108" w:type="dxa"/>
            </w:tcMar>
            <w:vAlign w:val="center"/>
          </w:tcPr>
          <w:p w14:paraId="64C0891A">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手机号码</w:t>
            </w:r>
          </w:p>
        </w:tc>
        <w:tc>
          <w:tcPr>
            <w:tcW w:w="2528" w:type="dxa"/>
            <w:gridSpan w:val="2"/>
            <w:shd w:val="clear" w:color="000000" w:fill="FFFFFF"/>
            <w:noWrap w:val="0"/>
            <w:tcMar>
              <w:left w:w="108" w:type="dxa"/>
              <w:right w:w="108" w:type="dxa"/>
            </w:tcMar>
            <w:vAlign w:val="center"/>
          </w:tcPr>
          <w:p w14:paraId="775FC6D7">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　</w:t>
            </w:r>
          </w:p>
        </w:tc>
      </w:tr>
      <w:tr w14:paraId="3F8AD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108" w:type="dxa"/>
            <w:gridSpan w:val="8"/>
            <w:shd w:val="clear" w:color="000000" w:fill="FFFFFF"/>
            <w:noWrap w:val="0"/>
            <w:tcMar>
              <w:left w:w="108" w:type="dxa"/>
              <w:right w:w="108" w:type="dxa"/>
            </w:tcMar>
            <w:vAlign w:val="center"/>
          </w:tcPr>
          <w:p w14:paraId="02EF021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递交的证明材料原件如下：</w:t>
            </w:r>
          </w:p>
        </w:tc>
      </w:tr>
      <w:tr w14:paraId="1D0F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auto" w:fill="FFFFFF"/>
            <w:noWrap w:val="0"/>
            <w:tcMar>
              <w:left w:w="108" w:type="dxa"/>
              <w:right w:w="108" w:type="dxa"/>
            </w:tcMar>
            <w:vAlign w:val="center"/>
          </w:tcPr>
          <w:p w14:paraId="05582F4C">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序号</w:t>
            </w:r>
          </w:p>
        </w:tc>
        <w:tc>
          <w:tcPr>
            <w:tcW w:w="5125" w:type="dxa"/>
            <w:gridSpan w:val="4"/>
            <w:shd w:val="clear" w:color="auto" w:fill="FFFFFF"/>
            <w:noWrap w:val="0"/>
            <w:tcMar>
              <w:left w:w="108" w:type="dxa"/>
              <w:right w:w="108" w:type="dxa"/>
            </w:tcMar>
            <w:vAlign w:val="center"/>
          </w:tcPr>
          <w:p w14:paraId="559FA8DE">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证明材料原件名称</w:t>
            </w:r>
          </w:p>
        </w:tc>
        <w:tc>
          <w:tcPr>
            <w:tcW w:w="1712" w:type="dxa"/>
            <w:gridSpan w:val="2"/>
            <w:shd w:val="clear" w:color="auto" w:fill="FFFFFF"/>
            <w:noWrap w:val="0"/>
            <w:tcMar>
              <w:left w:w="108" w:type="dxa"/>
              <w:right w:w="108" w:type="dxa"/>
            </w:tcMar>
            <w:vAlign w:val="center"/>
          </w:tcPr>
          <w:p w14:paraId="106B125B">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单位</w:t>
            </w:r>
          </w:p>
        </w:tc>
        <w:tc>
          <w:tcPr>
            <w:tcW w:w="1570" w:type="dxa"/>
            <w:shd w:val="clear" w:color="auto" w:fill="FFFFFF"/>
            <w:noWrap w:val="0"/>
            <w:tcMar>
              <w:left w:w="108" w:type="dxa"/>
              <w:right w:w="108" w:type="dxa"/>
            </w:tcMar>
            <w:vAlign w:val="center"/>
          </w:tcPr>
          <w:p w14:paraId="308476C4">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数量</w:t>
            </w:r>
          </w:p>
        </w:tc>
      </w:tr>
      <w:tr w14:paraId="3F9B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2929E57C">
            <w:pPr>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5125" w:type="dxa"/>
            <w:gridSpan w:val="4"/>
            <w:shd w:val="clear" w:color="000000" w:fill="FFFFFF"/>
            <w:noWrap w:val="0"/>
            <w:tcMar>
              <w:left w:w="108" w:type="dxa"/>
              <w:right w:w="108" w:type="dxa"/>
            </w:tcMar>
            <w:vAlign w:val="center"/>
          </w:tcPr>
          <w:p w14:paraId="4099C3BD">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5839CDEF">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3500F32A">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51A9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BA16B22">
            <w:pPr>
              <w:jc w:val="center"/>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5125" w:type="dxa"/>
            <w:gridSpan w:val="4"/>
            <w:shd w:val="clear" w:color="000000" w:fill="FFFFFF"/>
            <w:noWrap w:val="0"/>
            <w:tcMar>
              <w:left w:w="108" w:type="dxa"/>
              <w:right w:w="108" w:type="dxa"/>
            </w:tcMar>
            <w:vAlign w:val="center"/>
          </w:tcPr>
          <w:p w14:paraId="514DDB9A">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AA4DB01">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55C4B9FF">
            <w:pPr>
              <w:jc w:val="center"/>
              <w:rPr>
                <w:rFonts w:hint="eastAsia" w:ascii="宋体" w:hAnsi="宋体" w:eastAsia="宋体" w:cs="宋体"/>
                <w:color w:val="auto"/>
                <w:highlight w:val="none"/>
              </w:rPr>
            </w:pPr>
          </w:p>
        </w:tc>
      </w:tr>
      <w:tr w14:paraId="6E72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7B07D806">
            <w:pPr>
              <w:jc w:val="center"/>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5125" w:type="dxa"/>
            <w:gridSpan w:val="4"/>
            <w:shd w:val="clear" w:color="000000" w:fill="FFFFFF"/>
            <w:noWrap w:val="0"/>
            <w:tcMar>
              <w:left w:w="108" w:type="dxa"/>
              <w:right w:w="108" w:type="dxa"/>
            </w:tcMar>
            <w:vAlign w:val="center"/>
          </w:tcPr>
          <w:p w14:paraId="4843CD22">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041D69FC">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1216FF6A">
            <w:pPr>
              <w:jc w:val="center"/>
              <w:rPr>
                <w:rFonts w:hint="eastAsia" w:ascii="宋体" w:hAnsi="宋体" w:eastAsia="宋体" w:cs="宋体"/>
                <w:color w:val="auto"/>
                <w:highlight w:val="none"/>
              </w:rPr>
            </w:pPr>
          </w:p>
        </w:tc>
      </w:tr>
      <w:tr w14:paraId="27E0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701" w:type="dxa"/>
            <w:shd w:val="clear" w:color="000000" w:fill="FFFFFF"/>
            <w:noWrap w:val="0"/>
            <w:tcMar>
              <w:left w:w="108" w:type="dxa"/>
              <w:right w:w="108" w:type="dxa"/>
            </w:tcMar>
            <w:vAlign w:val="center"/>
          </w:tcPr>
          <w:p w14:paraId="177E8FBB">
            <w:pPr>
              <w:jc w:val="center"/>
              <w:rPr>
                <w:rFonts w:hint="eastAsia" w:ascii="宋体" w:hAnsi="宋体" w:eastAsia="宋体" w:cs="宋体"/>
                <w:color w:val="auto"/>
                <w:highlight w:val="none"/>
              </w:rPr>
            </w:pPr>
            <w:r>
              <w:rPr>
                <w:rFonts w:hint="eastAsia" w:ascii="宋体" w:hAnsi="宋体" w:eastAsia="宋体" w:cs="宋体"/>
                <w:color w:val="auto"/>
                <w:highlight w:val="none"/>
              </w:rPr>
              <w:t>...</w:t>
            </w:r>
          </w:p>
        </w:tc>
        <w:tc>
          <w:tcPr>
            <w:tcW w:w="5125" w:type="dxa"/>
            <w:gridSpan w:val="4"/>
            <w:shd w:val="clear" w:color="000000" w:fill="FFFFFF"/>
            <w:noWrap w:val="0"/>
            <w:tcMar>
              <w:left w:w="108" w:type="dxa"/>
              <w:right w:w="108" w:type="dxa"/>
            </w:tcMar>
            <w:vAlign w:val="center"/>
          </w:tcPr>
          <w:p w14:paraId="475F2F9E">
            <w:pPr>
              <w:jc w:val="center"/>
              <w:rPr>
                <w:rFonts w:hint="eastAsia" w:ascii="宋体" w:hAnsi="宋体" w:eastAsia="宋体" w:cs="宋体"/>
                <w:color w:val="auto"/>
                <w:highlight w:val="none"/>
              </w:rPr>
            </w:pPr>
          </w:p>
        </w:tc>
        <w:tc>
          <w:tcPr>
            <w:tcW w:w="1712" w:type="dxa"/>
            <w:gridSpan w:val="2"/>
            <w:shd w:val="clear" w:color="000000" w:fill="FFFFFF"/>
            <w:noWrap w:val="0"/>
            <w:tcMar>
              <w:left w:w="108" w:type="dxa"/>
              <w:right w:w="108" w:type="dxa"/>
            </w:tcMar>
            <w:vAlign w:val="center"/>
          </w:tcPr>
          <w:p w14:paraId="744FA12F">
            <w:pPr>
              <w:jc w:val="center"/>
              <w:rPr>
                <w:rFonts w:hint="eastAsia" w:ascii="宋体" w:hAnsi="宋体" w:eastAsia="宋体" w:cs="宋体"/>
                <w:color w:val="auto"/>
                <w:highlight w:val="none"/>
              </w:rPr>
            </w:pPr>
          </w:p>
        </w:tc>
        <w:tc>
          <w:tcPr>
            <w:tcW w:w="1570" w:type="dxa"/>
            <w:shd w:val="clear" w:color="000000" w:fill="FFFFFF"/>
            <w:noWrap w:val="0"/>
            <w:tcMar>
              <w:left w:w="108" w:type="dxa"/>
              <w:right w:w="108" w:type="dxa"/>
            </w:tcMar>
            <w:vAlign w:val="center"/>
          </w:tcPr>
          <w:p w14:paraId="4FE0A12E">
            <w:pPr>
              <w:jc w:val="center"/>
              <w:rPr>
                <w:rFonts w:hint="eastAsia" w:ascii="宋体" w:hAnsi="宋体" w:eastAsia="宋体" w:cs="宋体"/>
                <w:color w:val="auto"/>
                <w:highlight w:val="none"/>
              </w:rPr>
            </w:pPr>
            <w:r>
              <w:rPr>
                <w:rFonts w:hint="eastAsia" w:ascii="宋体" w:hAnsi="宋体" w:eastAsia="宋体" w:cs="宋体"/>
                <w:color w:val="auto"/>
                <w:highlight w:val="none"/>
              </w:rPr>
              <w:t>　</w:t>
            </w:r>
          </w:p>
        </w:tc>
      </w:tr>
      <w:tr w14:paraId="1451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701" w:type="dxa"/>
            <w:shd w:val="clear" w:color="auto" w:fill="FFFFFF"/>
            <w:noWrap w:val="0"/>
            <w:tcMar>
              <w:left w:w="108" w:type="dxa"/>
              <w:right w:w="108" w:type="dxa"/>
            </w:tcMar>
            <w:vAlign w:val="center"/>
          </w:tcPr>
          <w:p w14:paraId="7E184362">
            <w:pPr>
              <w:ind w:left="8" w:hanging="94"/>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注意：</w:t>
            </w:r>
          </w:p>
        </w:tc>
        <w:tc>
          <w:tcPr>
            <w:tcW w:w="8407" w:type="dxa"/>
            <w:gridSpan w:val="7"/>
            <w:shd w:val="clear" w:color="auto" w:fill="FFFFFF"/>
            <w:noWrap w:val="0"/>
            <w:tcMar>
              <w:left w:w="108" w:type="dxa"/>
              <w:right w:w="108" w:type="dxa"/>
            </w:tcMar>
            <w:vAlign w:val="center"/>
          </w:tcPr>
          <w:p w14:paraId="34137430">
            <w:pPr>
              <w:ind w:firstLine="480"/>
              <w:rPr>
                <w:rFonts w:hint="eastAsia" w:ascii="宋体" w:hAnsi="宋体" w:eastAsia="宋体" w:cs="宋体"/>
                <w:color w:val="auto"/>
                <w:sz w:val="20"/>
                <w:highlight w:val="none"/>
              </w:rPr>
            </w:pPr>
            <w:r>
              <w:rPr>
                <w:rFonts w:hint="eastAsia" w:ascii="宋体" w:hAnsi="宋体" w:eastAsia="宋体" w:cs="宋体"/>
                <w:color w:val="auto"/>
                <w:sz w:val="20"/>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3A3D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207" w:type="dxa"/>
            <w:gridSpan w:val="2"/>
            <w:shd w:val="clear" w:color="000000" w:fill="FFFFFF"/>
            <w:noWrap w:val="0"/>
            <w:tcMar>
              <w:left w:w="108" w:type="dxa"/>
              <w:right w:w="108" w:type="dxa"/>
            </w:tcMar>
            <w:vAlign w:val="center"/>
          </w:tcPr>
          <w:p w14:paraId="11BE785A">
            <w:pPr>
              <w:jc w:val="center"/>
              <w:rPr>
                <w:rFonts w:hint="eastAsia" w:ascii="宋体" w:hAnsi="宋体" w:eastAsia="宋体" w:cs="宋体"/>
                <w:color w:val="auto"/>
                <w:sz w:val="20"/>
                <w:highlight w:val="none"/>
              </w:rPr>
            </w:pPr>
          </w:p>
          <w:p w14:paraId="6432014F">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接收原件经办人(招标代理)：</w:t>
            </w:r>
          </w:p>
        </w:tc>
        <w:tc>
          <w:tcPr>
            <w:tcW w:w="1994" w:type="dxa"/>
            <w:gridSpan w:val="2"/>
            <w:shd w:val="clear" w:color="000000" w:fill="FFFFFF"/>
            <w:noWrap w:val="0"/>
            <w:tcMar>
              <w:left w:w="108" w:type="dxa"/>
              <w:right w:w="108" w:type="dxa"/>
            </w:tcMar>
            <w:vAlign w:val="center"/>
          </w:tcPr>
          <w:p w14:paraId="64EF6556">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2C62D6CD">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接收时间：</w:t>
            </w:r>
          </w:p>
        </w:tc>
        <w:tc>
          <w:tcPr>
            <w:tcW w:w="3282" w:type="dxa"/>
            <w:gridSpan w:val="3"/>
            <w:shd w:val="clear" w:color="000000" w:fill="FFFFFF"/>
            <w:noWrap w:val="0"/>
            <w:tcMar>
              <w:left w:w="108" w:type="dxa"/>
              <w:right w:w="108" w:type="dxa"/>
            </w:tcMar>
            <w:vAlign w:val="center"/>
          </w:tcPr>
          <w:p w14:paraId="41E5D9AB">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r w14:paraId="45B82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207" w:type="dxa"/>
            <w:gridSpan w:val="2"/>
            <w:shd w:val="clear" w:color="000000" w:fill="FFFFFF"/>
            <w:noWrap w:val="0"/>
            <w:tcMar>
              <w:left w:w="108" w:type="dxa"/>
              <w:right w:w="108" w:type="dxa"/>
            </w:tcMar>
            <w:vAlign w:val="center"/>
          </w:tcPr>
          <w:p w14:paraId="0359AF54">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退还原件接收人(投标人)：</w:t>
            </w:r>
          </w:p>
        </w:tc>
        <w:tc>
          <w:tcPr>
            <w:tcW w:w="1994" w:type="dxa"/>
            <w:gridSpan w:val="2"/>
            <w:shd w:val="clear" w:color="000000" w:fill="FFFFFF"/>
            <w:noWrap w:val="0"/>
            <w:tcMar>
              <w:left w:w="108" w:type="dxa"/>
              <w:right w:w="108" w:type="dxa"/>
            </w:tcMar>
            <w:vAlign w:val="center"/>
          </w:tcPr>
          <w:p w14:paraId="77E741D3">
            <w:pPr>
              <w:jc w:val="center"/>
              <w:rPr>
                <w:rFonts w:hint="eastAsia" w:ascii="宋体" w:hAnsi="宋体" w:eastAsia="宋体" w:cs="宋体"/>
                <w:color w:val="auto"/>
                <w:sz w:val="20"/>
                <w:highlight w:val="none"/>
              </w:rPr>
            </w:pPr>
          </w:p>
        </w:tc>
        <w:tc>
          <w:tcPr>
            <w:tcW w:w="1625" w:type="dxa"/>
            <w:shd w:val="clear" w:color="000000" w:fill="FFFFFF"/>
            <w:noWrap w:val="0"/>
            <w:tcMar>
              <w:left w:w="108" w:type="dxa"/>
              <w:right w:w="108" w:type="dxa"/>
            </w:tcMar>
            <w:vAlign w:val="center"/>
          </w:tcPr>
          <w:p w14:paraId="115DC5D1">
            <w:pPr>
              <w:jc w:val="center"/>
              <w:rPr>
                <w:rFonts w:hint="eastAsia" w:ascii="宋体" w:hAnsi="宋体" w:eastAsia="宋体" w:cs="宋体"/>
                <w:color w:val="auto"/>
                <w:sz w:val="20"/>
                <w:highlight w:val="none"/>
              </w:rPr>
            </w:pPr>
            <w:r>
              <w:rPr>
                <w:rFonts w:hint="eastAsia" w:ascii="宋体" w:hAnsi="宋体" w:eastAsia="宋体" w:cs="宋体"/>
                <w:color w:val="auto"/>
                <w:sz w:val="20"/>
                <w:highlight w:val="none"/>
              </w:rPr>
              <w:t>退还时间：</w:t>
            </w:r>
          </w:p>
        </w:tc>
        <w:tc>
          <w:tcPr>
            <w:tcW w:w="3282" w:type="dxa"/>
            <w:gridSpan w:val="3"/>
            <w:shd w:val="clear" w:color="000000" w:fill="FFFFFF"/>
            <w:noWrap w:val="0"/>
            <w:tcMar>
              <w:left w:w="108" w:type="dxa"/>
              <w:right w:w="108" w:type="dxa"/>
            </w:tcMar>
            <w:vAlign w:val="center"/>
          </w:tcPr>
          <w:p w14:paraId="01FC9EBC">
            <w:pPr>
              <w:ind w:firstLine="600" w:firstLineChars="300"/>
              <w:jc w:val="left"/>
              <w:rPr>
                <w:rFonts w:hint="eastAsia" w:ascii="宋体" w:hAnsi="宋体" w:eastAsia="宋体" w:cs="宋体"/>
                <w:color w:val="auto"/>
                <w:sz w:val="20"/>
                <w:highlight w:val="none"/>
              </w:rPr>
            </w:pPr>
            <w:r>
              <w:rPr>
                <w:rFonts w:hint="eastAsia" w:ascii="宋体" w:hAnsi="宋体" w:eastAsia="宋体" w:cs="宋体"/>
                <w:color w:val="auto"/>
                <w:sz w:val="20"/>
                <w:highlight w:val="none"/>
              </w:rPr>
              <w:t>年   月   日   时   分</w:t>
            </w:r>
          </w:p>
        </w:tc>
      </w:tr>
    </w:tbl>
    <w:p w14:paraId="79F98C6B">
      <w:pPr>
        <w:pStyle w:val="75"/>
        <w:widowControl w:val="0"/>
        <w:wordWrap w:val="0"/>
        <w:adjustRightInd w:val="0"/>
        <w:snapToGrid w:val="0"/>
        <w:spacing w:line="400" w:lineRule="exact"/>
        <w:rPr>
          <w:rFonts w:hint="eastAsia" w:ascii="宋体" w:hAnsi="宋体" w:eastAsia="宋体" w:cs="宋体"/>
          <w:snapToGrid w:val="0"/>
          <w:color w:val="auto"/>
          <w:sz w:val="21"/>
          <w:highlight w:val="none"/>
        </w:rPr>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pPr>
    </w:p>
    <w:p w14:paraId="36FA6E8B">
      <w:pPr>
        <w:pStyle w:val="2"/>
        <w:wordWrap w:val="0"/>
        <w:autoSpaceDE/>
        <w:autoSpaceDN/>
        <w:snapToGrid w:val="0"/>
        <w:spacing w:line="440" w:lineRule="exact"/>
        <w:jc w:val="center"/>
        <w:rPr>
          <w:rFonts w:hint="eastAsia" w:ascii="宋体" w:hAnsi="宋体" w:eastAsia="宋体" w:cs="宋体"/>
          <w:b/>
          <w:snapToGrid w:val="0"/>
          <w:color w:val="auto"/>
          <w:sz w:val="24"/>
          <w:highlight w:val="none"/>
        </w:rPr>
      </w:pPr>
      <w:bookmarkStart w:id="369" w:name="_Toc13959"/>
      <w:bookmarkStart w:id="370" w:name="_Toc17586"/>
      <w:r>
        <w:rPr>
          <w:rFonts w:hint="eastAsia" w:ascii="宋体" w:hAnsi="宋体" w:eastAsia="宋体" w:cs="宋体"/>
          <w:b/>
          <w:snapToGrid w:val="0"/>
          <w:color w:val="auto"/>
          <w:sz w:val="24"/>
          <w:highlight w:val="none"/>
        </w:rPr>
        <w:t>第七章 建设工程施工合同</w:t>
      </w:r>
      <w:bookmarkEnd w:id="362"/>
      <w:bookmarkEnd w:id="363"/>
      <w:bookmarkEnd w:id="364"/>
      <w:bookmarkEnd w:id="365"/>
      <w:bookmarkEnd w:id="366"/>
      <w:bookmarkEnd w:id="369"/>
      <w:bookmarkEnd w:id="370"/>
    </w:p>
    <w:p w14:paraId="0A013BA5">
      <w:pPr>
        <w:wordWrap w:val="0"/>
        <w:adjustRightInd w:val="0"/>
        <w:snapToGrid w:val="0"/>
        <w:spacing w:line="440" w:lineRule="exact"/>
        <w:rPr>
          <w:rFonts w:hint="eastAsia" w:ascii="宋体" w:hAnsi="宋体" w:eastAsia="宋体" w:cs="宋体"/>
          <w:snapToGrid w:val="0"/>
          <w:color w:val="auto"/>
          <w:kern w:val="0"/>
          <w:highlight w:val="none"/>
        </w:rPr>
      </w:pPr>
    </w:p>
    <w:p w14:paraId="33681202">
      <w:pPr>
        <w:wordWrap w:val="0"/>
        <w:adjustRightInd w:val="0"/>
        <w:snapToGrid w:val="0"/>
        <w:spacing w:line="440" w:lineRule="exac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367"/>
      <w:bookmarkEnd w:id="368"/>
      <w:r>
        <w:rPr>
          <w:rFonts w:hint="eastAsia" w:ascii="宋体" w:hAnsi="宋体" w:eastAsia="宋体" w:cs="宋体"/>
          <w:snapToGrid w:val="0"/>
          <w:color w:val="auto"/>
          <w:kern w:val="0"/>
          <w:highlight w:val="none"/>
        </w:rPr>
        <w:t>按《广东省建设工程标准施工合同》（2009年版）或《建设工程施工合同（示范文本）》（GF—2017—0201）执行。</w:t>
      </w:r>
    </w:p>
    <w:sectPr>
      <w:endnotePr>
        <w:numFmt w:val="decimal"/>
      </w:endnotePr>
      <w:pgSz w:w="11906" w:h="16838"/>
      <w:pgMar w:top="1134" w:right="1134" w:bottom="1134" w:left="1134" w:header="567" w:footer="567" w:gutter="0"/>
      <w:pgBorders>
        <w:top w:val="none" w:sz="0" w:space="0"/>
        <w:left w:val="none" w:sz="0" w:space="0"/>
        <w:bottom w:val="none" w:sz="0" w:space="0"/>
        <w:right w:val="none" w:sz="0" w:space="0"/>
      </w:pgBorders>
      <w:cols w:space="720" w:num="1"/>
      <w:docGrid w:linePitch="327"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69D89">
    <w:pPr>
      <w:pStyle w:val="20"/>
      <w:pBdr>
        <w:between w:val="none" w:color="auto" w:sz="0" w:space="0"/>
      </w:pBdr>
      <w:rPr>
        <w:rFonts w:hint="eastAsia"/>
      </w:rPr>
    </w:pPr>
  </w:p>
  <w:p w14:paraId="4472F7EC">
    <w:pPr>
      <w:pStyle w:val="20"/>
      <w:pBdr>
        <w:between w:val="none" w:color="auto" w:sz="0" w:space="0"/>
      </w:pBd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759D6">
    <w:pPr>
      <w:pStyle w:val="20"/>
      <w:pBdr>
        <w:between w:val="none" w:color="auto" w:sz="0" w:space="0"/>
      </w:pBd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6C9EB6">
                          <w:pPr>
                            <w:pStyle w:val="20"/>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wps:txbx>
                    <wps:bodyPr wrap="none" lIns="0" tIns="0" rIns="0" bIns="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2tjnsoBAACaAwAADgAAAGRycy9lMm9Eb2MueG1srVPNjtMwEL4j8Q6W&#10;79TZrgRV1HS1qFqEhABp4QFcx24s+U8et0lfAN6AExfuPFefg7GTdGG57GEvznhm/M1830zWN4M1&#10;5CgjaO8aerWoKJFO+Fa7fUO/frl7taIEEnctN97Jhp4k0JvNyxfrPtRy6TtvWhkJgjio+9DQLqVQ&#10;Mwaik5bDwgfpMKh8tDzhNe5ZG3mP6NawZVW9Zr2PbYheSAD0bscgnRDjUwC9UlrIrRcHK10aUaM0&#10;PCEl6HQAuindKiVF+qQUyERMQ5FpKicWQXuXT7ZZ83ofeei0mFrgT2nhESfLtcOiF6gtT5wcov4P&#10;ymoRPXiVFsJbNhIpiiCLq+qRNvcdD7JwQakhXESH54MVH4+fI9FtQ6/fUOK4xYmff3w///x9/vWN&#10;XGd9+gA1pt0HTEzDWz/g1sx+QGemPaho8xcJEYyjuqeLunJIRORHq+VqVWFIYGy+ID57eB4ipHfS&#10;W5KNhkYcX1GVHz9AGlPnlFzN+TttTBmhcf84EDN7WO597DFbadgNE6Gdb0/Ip8fJN9TholNi3jsU&#10;Ni/JbMTZ2M3GIUS978oW5XoQbg8Jmyi95Qoj7FQYR1bYTeuVd+Lve8l6+KU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o2tjnsoBAACaAwAADgAAAAAAAAABACAAAAAeAQAAZHJzL2Uyb0Rv&#10;Yy54bWxQSwUGAAAAAAYABgBZAQAAWgUAAAAA&#10;">
              <v:fill on="f" focussize="0,0"/>
              <v:stroke on="f"/>
              <v:imagedata o:title=""/>
              <o:lock v:ext="edit" aspectratio="f"/>
              <v:textbox inset="0mm,0mm,0mm,0mm" style="mso-fit-shape-to-text:t;">
                <w:txbxContent>
                  <w:p w14:paraId="726C9EB6">
                    <w:pPr>
                      <w:pStyle w:val="20"/>
                      <w:rPr>
                        <w:rFonts w:hint="eastAsia"/>
                      </w:rPr>
                    </w:pPr>
                    <w:r>
                      <w:rPr>
                        <w:rFonts w:hint="eastAsia" w:ascii="Times New Roman"/>
                        <w:sz w:val="21"/>
                      </w:rPr>
                      <w:t>—</w:t>
                    </w:r>
                    <w:r>
                      <w:rPr>
                        <w:rFonts w:hint="eastAsia" w:ascii="宋体" w:hAnsi="宋体" w:eastAsia="宋体" w:cs="宋体"/>
                        <w:sz w:val="21"/>
                      </w:rPr>
                      <w:fldChar w:fldCharType="begin"/>
                    </w:r>
                    <w:r>
                      <w:rPr>
                        <w:rFonts w:hint="eastAsia" w:ascii="宋体" w:hAnsi="宋体" w:eastAsia="宋体" w:cs="宋体"/>
                        <w:sz w:val="21"/>
                      </w:rPr>
                      <w:instrText xml:space="preserve"> PAGE  \* MERGEFORMAT </w:instrText>
                    </w:r>
                    <w:r>
                      <w:rPr>
                        <w:rFonts w:hint="eastAsia" w:ascii="宋体" w:hAnsi="宋体" w:eastAsia="宋体" w:cs="宋体"/>
                        <w:sz w:val="21"/>
                      </w:rPr>
                      <w:fldChar w:fldCharType="separate"/>
                    </w:r>
                    <w:r>
                      <w:rPr>
                        <w:rFonts w:hint="eastAsia" w:ascii="宋体" w:hAnsi="宋体" w:eastAsia="宋体" w:cs="宋体"/>
                      </w:rPr>
                      <w:t>54</w:t>
                    </w:r>
                    <w:r>
                      <w:rPr>
                        <w:rFonts w:hint="eastAsia" w:ascii="宋体" w:hAnsi="宋体" w:eastAsia="宋体" w:cs="宋体"/>
                        <w:sz w:val="21"/>
                      </w:rPr>
                      <w:fldChar w:fldCharType="end"/>
                    </w:r>
                    <w:r>
                      <w:rPr>
                        <w:rFonts w:hint="eastAsia" w:ascii="Times New Roman"/>
                        <w:sz w:val="21"/>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hyphenationZone w:val="360"/>
  <w:drawingGridHorizontalSpacing w:val="240"/>
  <w:drawingGridVerticalSpacing w:val="164"/>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1"/>
    </o:shapelayout>
  </w:hdrShapeDefaults>
  <w:footnotePr>
    <w:footnote w:id="0"/>
    <w:footnote w:id="1"/>
  </w:footnotePr>
  <w:endnotePr>
    <w:numFmt w:val="decimal"/>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wMjY2NzBhZWQ3Zjc5NDdhZTU5NDg5NTA0ZGM3N2UifQ=="/>
    <w:docVar w:name="KSO_WPS_MARK_KEY" w:val="339fc04a-30c4-466d-ab1a-b9d928989bea"/>
  </w:docVars>
  <w:rsids>
    <w:rsidRoot w:val="00172A27"/>
    <w:rsid w:val="000813CE"/>
    <w:rsid w:val="00156E02"/>
    <w:rsid w:val="001740E2"/>
    <w:rsid w:val="00204CA9"/>
    <w:rsid w:val="00253E2F"/>
    <w:rsid w:val="004804C4"/>
    <w:rsid w:val="00485BD6"/>
    <w:rsid w:val="004A677C"/>
    <w:rsid w:val="005D2C6E"/>
    <w:rsid w:val="00662AF1"/>
    <w:rsid w:val="00735061"/>
    <w:rsid w:val="00783750"/>
    <w:rsid w:val="008859E0"/>
    <w:rsid w:val="008B6453"/>
    <w:rsid w:val="00947E79"/>
    <w:rsid w:val="00976E7B"/>
    <w:rsid w:val="009E1A7B"/>
    <w:rsid w:val="009E7023"/>
    <w:rsid w:val="009F585C"/>
    <w:rsid w:val="00C4516D"/>
    <w:rsid w:val="00D5717A"/>
    <w:rsid w:val="01065CF6"/>
    <w:rsid w:val="011A0428"/>
    <w:rsid w:val="011F3697"/>
    <w:rsid w:val="01635D69"/>
    <w:rsid w:val="01D953BA"/>
    <w:rsid w:val="020227A1"/>
    <w:rsid w:val="021717B9"/>
    <w:rsid w:val="02227179"/>
    <w:rsid w:val="02FC76B4"/>
    <w:rsid w:val="03315C3D"/>
    <w:rsid w:val="034C6D1C"/>
    <w:rsid w:val="035B58E7"/>
    <w:rsid w:val="03D006DB"/>
    <w:rsid w:val="04061CFF"/>
    <w:rsid w:val="041025A8"/>
    <w:rsid w:val="041341B1"/>
    <w:rsid w:val="04EB042F"/>
    <w:rsid w:val="05235E1B"/>
    <w:rsid w:val="05533E9B"/>
    <w:rsid w:val="05717EE4"/>
    <w:rsid w:val="057E6B27"/>
    <w:rsid w:val="06127454"/>
    <w:rsid w:val="065C6C4B"/>
    <w:rsid w:val="066300E8"/>
    <w:rsid w:val="06A32407"/>
    <w:rsid w:val="06C4753C"/>
    <w:rsid w:val="06CC5B3F"/>
    <w:rsid w:val="07031B00"/>
    <w:rsid w:val="072C105E"/>
    <w:rsid w:val="07311844"/>
    <w:rsid w:val="0732071C"/>
    <w:rsid w:val="076B1CFB"/>
    <w:rsid w:val="07852DBD"/>
    <w:rsid w:val="07982AEC"/>
    <w:rsid w:val="07D62FDE"/>
    <w:rsid w:val="082A5712"/>
    <w:rsid w:val="0837398B"/>
    <w:rsid w:val="08472853"/>
    <w:rsid w:val="0878647D"/>
    <w:rsid w:val="08D32CA6"/>
    <w:rsid w:val="08DB54AE"/>
    <w:rsid w:val="09573962"/>
    <w:rsid w:val="0957416C"/>
    <w:rsid w:val="09AA019F"/>
    <w:rsid w:val="09CE23B5"/>
    <w:rsid w:val="0A0A7E5D"/>
    <w:rsid w:val="0A1575E9"/>
    <w:rsid w:val="0A345888"/>
    <w:rsid w:val="0A860745"/>
    <w:rsid w:val="0ADD2F10"/>
    <w:rsid w:val="0B112BB9"/>
    <w:rsid w:val="0B337C85"/>
    <w:rsid w:val="0B3F61A8"/>
    <w:rsid w:val="0B426AEA"/>
    <w:rsid w:val="0B4B1C27"/>
    <w:rsid w:val="0B957346"/>
    <w:rsid w:val="0B9D0C4F"/>
    <w:rsid w:val="0BAB2723"/>
    <w:rsid w:val="0BAF665A"/>
    <w:rsid w:val="0C264F0A"/>
    <w:rsid w:val="0C473915"/>
    <w:rsid w:val="0C5965C6"/>
    <w:rsid w:val="0C6F50D1"/>
    <w:rsid w:val="0C982D80"/>
    <w:rsid w:val="0CAD246E"/>
    <w:rsid w:val="0CC207F1"/>
    <w:rsid w:val="0CE56967"/>
    <w:rsid w:val="0D161723"/>
    <w:rsid w:val="0D1C34B4"/>
    <w:rsid w:val="0D366D45"/>
    <w:rsid w:val="0D4232B6"/>
    <w:rsid w:val="0D53151A"/>
    <w:rsid w:val="0DB20DDC"/>
    <w:rsid w:val="0DC04DCE"/>
    <w:rsid w:val="0E054EB6"/>
    <w:rsid w:val="0E1919B2"/>
    <w:rsid w:val="0E9B7F81"/>
    <w:rsid w:val="0EA35515"/>
    <w:rsid w:val="0EAD2C13"/>
    <w:rsid w:val="0F427539"/>
    <w:rsid w:val="0F8B63BB"/>
    <w:rsid w:val="0F933B9D"/>
    <w:rsid w:val="0FB5646C"/>
    <w:rsid w:val="0FD6408A"/>
    <w:rsid w:val="10162E29"/>
    <w:rsid w:val="101B48E8"/>
    <w:rsid w:val="10223C6A"/>
    <w:rsid w:val="102739F7"/>
    <w:rsid w:val="10336C65"/>
    <w:rsid w:val="1055163A"/>
    <w:rsid w:val="10637A6B"/>
    <w:rsid w:val="10817DC1"/>
    <w:rsid w:val="10B416E8"/>
    <w:rsid w:val="10C42F37"/>
    <w:rsid w:val="10CD6A2A"/>
    <w:rsid w:val="10DF5DAE"/>
    <w:rsid w:val="10E70644"/>
    <w:rsid w:val="11024F3F"/>
    <w:rsid w:val="114C494B"/>
    <w:rsid w:val="11934328"/>
    <w:rsid w:val="11C404D9"/>
    <w:rsid w:val="121F5395"/>
    <w:rsid w:val="123635C4"/>
    <w:rsid w:val="124226EB"/>
    <w:rsid w:val="129920B1"/>
    <w:rsid w:val="12A80195"/>
    <w:rsid w:val="12C12CBB"/>
    <w:rsid w:val="135F0966"/>
    <w:rsid w:val="138B03FE"/>
    <w:rsid w:val="14060DE1"/>
    <w:rsid w:val="14485E2D"/>
    <w:rsid w:val="149D77CF"/>
    <w:rsid w:val="15226C56"/>
    <w:rsid w:val="153C6A85"/>
    <w:rsid w:val="153E45AB"/>
    <w:rsid w:val="15B42ABF"/>
    <w:rsid w:val="15C12761"/>
    <w:rsid w:val="160F6D81"/>
    <w:rsid w:val="162B0E39"/>
    <w:rsid w:val="163E52CD"/>
    <w:rsid w:val="16465E0D"/>
    <w:rsid w:val="16825090"/>
    <w:rsid w:val="16B20DAC"/>
    <w:rsid w:val="16DD6444"/>
    <w:rsid w:val="16F17BE3"/>
    <w:rsid w:val="1751770F"/>
    <w:rsid w:val="179A65EF"/>
    <w:rsid w:val="17B95607"/>
    <w:rsid w:val="183C2959"/>
    <w:rsid w:val="184719C8"/>
    <w:rsid w:val="18534570"/>
    <w:rsid w:val="18A80D52"/>
    <w:rsid w:val="18C36995"/>
    <w:rsid w:val="18FF1058"/>
    <w:rsid w:val="193A1629"/>
    <w:rsid w:val="1986632D"/>
    <w:rsid w:val="19C37774"/>
    <w:rsid w:val="1A232E93"/>
    <w:rsid w:val="1A3D3083"/>
    <w:rsid w:val="1A556A4F"/>
    <w:rsid w:val="1A6554FA"/>
    <w:rsid w:val="1A9F7572"/>
    <w:rsid w:val="1AE6196C"/>
    <w:rsid w:val="1AF5570C"/>
    <w:rsid w:val="1B21189C"/>
    <w:rsid w:val="1B9D1DD5"/>
    <w:rsid w:val="1BF06998"/>
    <w:rsid w:val="1C5635D6"/>
    <w:rsid w:val="1C744DB0"/>
    <w:rsid w:val="1C7562B0"/>
    <w:rsid w:val="1D141CAC"/>
    <w:rsid w:val="1D55171C"/>
    <w:rsid w:val="1D69459E"/>
    <w:rsid w:val="1D742D80"/>
    <w:rsid w:val="1DB02AA1"/>
    <w:rsid w:val="1DE1641B"/>
    <w:rsid w:val="1E76451C"/>
    <w:rsid w:val="1ECB21F4"/>
    <w:rsid w:val="1F26151A"/>
    <w:rsid w:val="1F6F04E9"/>
    <w:rsid w:val="1F8F29A7"/>
    <w:rsid w:val="1FB73684"/>
    <w:rsid w:val="1FDA10C4"/>
    <w:rsid w:val="2036210F"/>
    <w:rsid w:val="206E2053"/>
    <w:rsid w:val="20713F99"/>
    <w:rsid w:val="207B66B3"/>
    <w:rsid w:val="21224762"/>
    <w:rsid w:val="218A22F4"/>
    <w:rsid w:val="218D0B38"/>
    <w:rsid w:val="2192066D"/>
    <w:rsid w:val="219569C3"/>
    <w:rsid w:val="21DB149C"/>
    <w:rsid w:val="21F25DE8"/>
    <w:rsid w:val="226B1A58"/>
    <w:rsid w:val="226C0772"/>
    <w:rsid w:val="227E0643"/>
    <w:rsid w:val="228A7CE8"/>
    <w:rsid w:val="230C3197"/>
    <w:rsid w:val="23381CEE"/>
    <w:rsid w:val="234E0189"/>
    <w:rsid w:val="23713D9D"/>
    <w:rsid w:val="23E9602A"/>
    <w:rsid w:val="23FD1838"/>
    <w:rsid w:val="24132B71"/>
    <w:rsid w:val="24962A42"/>
    <w:rsid w:val="24BA4892"/>
    <w:rsid w:val="24EF141E"/>
    <w:rsid w:val="25236495"/>
    <w:rsid w:val="254A2AF8"/>
    <w:rsid w:val="25A16BBC"/>
    <w:rsid w:val="25C04D26"/>
    <w:rsid w:val="25CD411B"/>
    <w:rsid w:val="26393298"/>
    <w:rsid w:val="26526878"/>
    <w:rsid w:val="26730090"/>
    <w:rsid w:val="26A5092E"/>
    <w:rsid w:val="26D43BC6"/>
    <w:rsid w:val="26DC6022"/>
    <w:rsid w:val="27001050"/>
    <w:rsid w:val="270B2978"/>
    <w:rsid w:val="27303202"/>
    <w:rsid w:val="28096C9A"/>
    <w:rsid w:val="286E29AA"/>
    <w:rsid w:val="28BE4088"/>
    <w:rsid w:val="29135C0E"/>
    <w:rsid w:val="29421D31"/>
    <w:rsid w:val="299F64A8"/>
    <w:rsid w:val="2A251746"/>
    <w:rsid w:val="2ABA5542"/>
    <w:rsid w:val="2AC27A05"/>
    <w:rsid w:val="2B4166E9"/>
    <w:rsid w:val="2BDD46C6"/>
    <w:rsid w:val="2BFE4F67"/>
    <w:rsid w:val="2C0B1A81"/>
    <w:rsid w:val="2C183670"/>
    <w:rsid w:val="2C290723"/>
    <w:rsid w:val="2C4D3FF3"/>
    <w:rsid w:val="2C4F43C7"/>
    <w:rsid w:val="2C724190"/>
    <w:rsid w:val="2D38581D"/>
    <w:rsid w:val="2D4B4E2D"/>
    <w:rsid w:val="2D51162C"/>
    <w:rsid w:val="2D79041E"/>
    <w:rsid w:val="2D973D96"/>
    <w:rsid w:val="2DAD3E66"/>
    <w:rsid w:val="2DF51B3E"/>
    <w:rsid w:val="2E1D2B43"/>
    <w:rsid w:val="2E204C18"/>
    <w:rsid w:val="2E2F0ABD"/>
    <w:rsid w:val="2E6B5FB9"/>
    <w:rsid w:val="2E7D4319"/>
    <w:rsid w:val="2F2F348A"/>
    <w:rsid w:val="2F3C5BA7"/>
    <w:rsid w:val="2F3E191F"/>
    <w:rsid w:val="2F896F93"/>
    <w:rsid w:val="2FDA63FB"/>
    <w:rsid w:val="30105A39"/>
    <w:rsid w:val="3018665F"/>
    <w:rsid w:val="303074BA"/>
    <w:rsid w:val="30536D05"/>
    <w:rsid w:val="305A2B4D"/>
    <w:rsid w:val="307D4226"/>
    <w:rsid w:val="30B30AAC"/>
    <w:rsid w:val="30B337A6"/>
    <w:rsid w:val="30C222D2"/>
    <w:rsid w:val="30C85944"/>
    <w:rsid w:val="30D501D4"/>
    <w:rsid w:val="31210BB1"/>
    <w:rsid w:val="317433D6"/>
    <w:rsid w:val="31A041CB"/>
    <w:rsid w:val="31D51879"/>
    <w:rsid w:val="31DE6AA2"/>
    <w:rsid w:val="32A63A63"/>
    <w:rsid w:val="32BE2779"/>
    <w:rsid w:val="32D305D1"/>
    <w:rsid w:val="32EC6719"/>
    <w:rsid w:val="33182487"/>
    <w:rsid w:val="33266BDE"/>
    <w:rsid w:val="33377574"/>
    <w:rsid w:val="33557238"/>
    <w:rsid w:val="34117689"/>
    <w:rsid w:val="342C1BED"/>
    <w:rsid w:val="34437F20"/>
    <w:rsid w:val="352D168F"/>
    <w:rsid w:val="35586B6B"/>
    <w:rsid w:val="35812CF5"/>
    <w:rsid w:val="35EA0C71"/>
    <w:rsid w:val="35F15BE6"/>
    <w:rsid w:val="35F55F65"/>
    <w:rsid w:val="360A3E4F"/>
    <w:rsid w:val="361C403D"/>
    <w:rsid w:val="36211653"/>
    <w:rsid w:val="362700CC"/>
    <w:rsid w:val="36436AD9"/>
    <w:rsid w:val="365B7948"/>
    <w:rsid w:val="36653C36"/>
    <w:rsid w:val="369F1D0C"/>
    <w:rsid w:val="36F80606"/>
    <w:rsid w:val="36FE3E1F"/>
    <w:rsid w:val="37935F95"/>
    <w:rsid w:val="383D25F2"/>
    <w:rsid w:val="38841C4D"/>
    <w:rsid w:val="389B38FE"/>
    <w:rsid w:val="38BB0C62"/>
    <w:rsid w:val="38EE5BAC"/>
    <w:rsid w:val="38F90665"/>
    <w:rsid w:val="390F3BFF"/>
    <w:rsid w:val="39143A18"/>
    <w:rsid w:val="39387BD3"/>
    <w:rsid w:val="39644BE0"/>
    <w:rsid w:val="398B779E"/>
    <w:rsid w:val="398C62F9"/>
    <w:rsid w:val="39DF5703"/>
    <w:rsid w:val="3A005EB0"/>
    <w:rsid w:val="3A091E3B"/>
    <w:rsid w:val="3A096720"/>
    <w:rsid w:val="3A38094F"/>
    <w:rsid w:val="3A385253"/>
    <w:rsid w:val="3B0D7690"/>
    <w:rsid w:val="3B464036"/>
    <w:rsid w:val="3B5A482F"/>
    <w:rsid w:val="3BAB6E46"/>
    <w:rsid w:val="3BB50377"/>
    <w:rsid w:val="3C501C16"/>
    <w:rsid w:val="3C6B3628"/>
    <w:rsid w:val="3C7F192E"/>
    <w:rsid w:val="3C890B1C"/>
    <w:rsid w:val="3CDC0368"/>
    <w:rsid w:val="3CE82F45"/>
    <w:rsid w:val="3CF27EE4"/>
    <w:rsid w:val="3D142020"/>
    <w:rsid w:val="3D90085D"/>
    <w:rsid w:val="3D934BE4"/>
    <w:rsid w:val="3DA821F1"/>
    <w:rsid w:val="3DCE34F0"/>
    <w:rsid w:val="3DE93F38"/>
    <w:rsid w:val="3DFA3EDF"/>
    <w:rsid w:val="3E3642DC"/>
    <w:rsid w:val="3E94568C"/>
    <w:rsid w:val="3EF77497"/>
    <w:rsid w:val="3F47212A"/>
    <w:rsid w:val="3F95226A"/>
    <w:rsid w:val="3FBB5D0C"/>
    <w:rsid w:val="3FC61702"/>
    <w:rsid w:val="40295CD4"/>
    <w:rsid w:val="40876255"/>
    <w:rsid w:val="408847A8"/>
    <w:rsid w:val="40FB5077"/>
    <w:rsid w:val="414836DE"/>
    <w:rsid w:val="4173714A"/>
    <w:rsid w:val="41EC0D67"/>
    <w:rsid w:val="42240113"/>
    <w:rsid w:val="42783DA7"/>
    <w:rsid w:val="42A4461E"/>
    <w:rsid w:val="42B526FB"/>
    <w:rsid w:val="42DE3A88"/>
    <w:rsid w:val="42E020F1"/>
    <w:rsid w:val="432F1B40"/>
    <w:rsid w:val="435A387A"/>
    <w:rsid w:val="4415344F"/>
    <w:rsid w:val="44250560"/>
    <w:rsid w:val="4439334D"/>
    <w:rsid w:val="4484172B"/>
    <w:rsid w:val="44A818BD"/>
    <w:rsid w:val="44C90CE4"/>
    <w:rsid w:val="44F3240C"/>
    <w:rsid w:val="45307B43"/>
    <w:rsid w:val="454E4597"/>
    <w:rsid w:val="458B507A"/>
    <w:rsid w:val="45CE4402"/>
    <w:rsid w:val="45D16987"/>
    <w:rsid w:val="462C48A5"/>
    <w:rsid w:val="4666543F"/>
    <w:rsid w:val="46830038"/>
    <w:rsid w:val="46A3216A"/>
    <w:rsid w:val="46B20A58"/>
    <w:rsid w:val="46BD7176"/>
    <w:rsid w:val="46C4592F"/>
    <w:rsid w:val="4759106A"/>
    <w:rsid w:val="477D10DD"/>
    <w:rsid w:val="47D51828"/>
    <w:rsid w:val="48CB6044"/>
    <w:rsid w:val="48D507A7"/>
    <w:rsid w:val="491F2342"/>
    <w:rsid w:val="493C6C84"/>
    <w:rsid w:val="49516671"/>
    <w:rsid w:val="49ED3E05"/>
    <w:rsid w:val="4A2C1F1B"/>
    <w:rsid w:val="4A2D0433"/>
    <w:rsid w:val="4A6D370F"/>
    <w:rsid w:val="4A927004"/>
    <w:rsid w:val="4AA462C2"/>
    <w:rsid w:val="4AB17999"/>
    <w:rsid w:val="4AD17C6A"/>
    <w:rsid w:val="4ADD673C"/>
    <w:rsid w:val="4AFD42C5"/>
    <w:rsid w:val="4BEC431A"/>
    <w:rsid w:val="4C26753E"/>
    <w:rsid w:val="4C7B39D2"/>
    <w:rsid w:val="4C7D6B0F"/>
    <w:rsid w:val="4C83676C"/>
    <w:rsid w:val="4CEE1D65"/>
    <w:rsid w:val="4CF54FD3"/>
    <w:rsid w:val="4CFB6302"/>
    <w:rsid w:val="4D0D7455"/>
    <w:rsid w:val="4D184DDC"/>
    <w:rsid w:val="4D305F93"/>
    <w:rsid w:val="4D6245D3"/>
    <w:rsid w:val="4DCB3F26"/>
    <w:rsid w:val="4DE60D60"/>
    <w:rsid w:val="4DE906B8"/>
    <w:rsid w:val="4E034506"/>
    <w:rsid w:val="4E9D3A56"/>
    <w:rsid w:val="4ED06ACC"/>
    <w:rsid w:val="4EF11423"/>
    <w:rsid w:val="4F9D61B1"/>
    <w:rsid w:val="500A476B"/>
    <w:rsid w:val="50154140"/>
    <w:rsid w:val="501B7800"/>
    <w:rsid w:val="5076449B"/>
    <w:rsid w:val="511424B5"/>
    <w:rsid w:val="5167777C"/>
    <w:rsid w:val="51E341EA"/>
    <w:rsid w:val="51EE072E"/>
    <w:rsid w:val="521F6F37"/>
    <w:rsid w:val="52831CC6"/>
    <w:rsid w:val="52DD4AA0"/>
    <w:rsid w:val="53334E5E"/>
    <w:rsid w:val="53414F13"/>
    <w:rsid w:val="53C02167"/>
    <w:rsid w:val="53EC2E48"/>
    <w:rsid w:val="545A2A0D"/>
    <w:rsid w:val="54DB6CF8"/>
    <w:rsid w:val="550860CF"/>
    <w:rsid w:val="553053B0"/>
    <w:rsid w:val="55490F06"/>
    <w:rsid w:val="558419F7"/>
    <w:rsid w:val="55843DEA"/>
    <w:rsid w:val="565572D8"/>
    <w:rsid w:val="56B87FEA"/>
    <w:rsid w:val="571C57F3"/>
    <w:rsid w:val="577E6AC5"/>
    <w:rsid w:val="57ED15F0"/>
    <w:rsid w:val="587F6039"/>
    <w:rsid w:val="58CF6A0F"/>
    <w:rsid w:val="58E30CBE"/>
    <w:rsid w:val="592C5BD7"/>
    <w:rsid w:val="59326E77"/>
    <w:rsid w:val="59A63D9B"/>
    <w:rsid w:val="59BE7B1D"/>
    <w:rsid w:val="59C53DD7"/>
    <w:rsid w:val="59CD3A40"/>
    <w:rsid w:val="59D61BA3"/>
    <w:rsid w:val="5A9A7FEA"/>
    <w:rsid w:val="5AD7215D"/>
    <w:rsid w:val="5B8272E2"/>
    <w:rsid w:val="5BA1515F"/>
    <w:rsid w:val="5BBB26A2"/>
    <w:rsid w:val="5C8A5924"/>
    <w:rsid w:val="5CD361A8"/>
    <w:rsid w:val="5CE45E53"/>
    <w:rsid w:val="5CED5785"/>
    <w:rsid w:val="5CF35248"/>
    <w:rsid w:val="5CFA7B59"/>
    <w:rsid w:val="5D081B2B"/>
    <w:rsid w:val="5D7E531B"/>
    <w:rsid w:val="5DB9003E"/>
    <w:rsid w:val="5DDF1B27"/>
    <w:rsid w:val="5DFF4CA0"/>
    <w:rsid w:val="5E162F9C"/>
    <w:rsid w:val="5E23390B"/>
    <w:rsid w:val="5E806055"/>
    <w:rsid w:val="5EA252A9"/>
    <w:rsid w:val="5EFC720B"/>
    <w:rsid w:val="5F335282"/>
    <w:rsid w:val="5F456F62"/>
    <w:rsid w:val="5F6850AE"/>
    <w:rsid w:val="5FA338FA"/>
    <w:rsid w:val="5FB971CA"/>
    <w:rsid w:val="5FC15189"/>
    <w:rsid w:val="5FDA7209"/>
    <w:rsid w:val="5FE7724F"/>
    <w:rsid w:val="60304EEA"/>
    <w:rsid w:val="608839CA"/>
    <w:rsid w:val="60E94998"/>
    <w:rsid w:val="61144667"/>
    <w:rsid w:val="61810B92"/>
    <w:rsid w:val="61A134C4"/>
    <w:rsid w:val="61D2232C"/>
    <w:rsid w:val="61EA1238"/>
    <w:rsid w:val="61EE5FDE"/>
    <w:rsid w:val="61FD278D"/>
    <w:rsid w:val="624A6826"/>
    <w:rsid w:val="62650996"/>
    <w:rsid w:val="626E7E8B"/>
    <w:rsid w:val="62EF7FF6"/>
    <w:rsid w:val="636812F3"/>
    <w:rsid w:val="63BB50B2"/>
    <w:rsid w:val="640367E2"/>
    <w:rsid w:val="647257A1"/>
    <w:rsid w:val="64BD6E23"/>
    <w:rsid w:val="64E9313E"/>
    <w:rsid w:val="64FE49C2"/>
    <w:rsid w:val="656C0B78"/>
    <w:rsid w:val="657219D1"/>
    <w:rsid w:val="65B348B5"/>
    <w:rsid w:val="660404C6"/>
    <w:rsid w:val="66136878"/>
    <w:rsid w:val="661E19B4"/>
    <w:rsid w:val="662D2233"/>
    <w:rsid w:val="66594E7C"/>
    <w:rsid w:val="66717333"/>
    <w:rsid w:val="66B91619"/>
    <w:rsid w:val="66C043ED"/>
    <w:rsid w:val="66C11F13"/>
    <w:rsid w:val="66E57306"/>
    <w:rsid w:val="670D43FE"/>
    <w:rsid w:val="674622CC"/>
    <w:rsid w:val="674F55EC"/>
    <w:rsid w:val="67553AAB"/>
    <w:rsid w:val="676A713E"/>
    <w:rsid w:val="676F0E01"/>
    <w:rsid w:val="67830574"/>
    <w:rsid w:val="67B176A0"/>
    <w:rsid w:val="67DB2196"/>
    <w:rsid w:val="681D04F5"/>
    <w:rsid w:val="68667456"/>
    <w:rsid w:val="68A76E4E"/>
    <w:rsid w:val="68D97D4B"/>
    <w:rsid w:val="68F8079F"/>
    <w:rsid w:val="6919541B"/>
    <w:rsid w:val="69CA10DE"/>
    <w:rsid w:val="6A090914"/>
    <w:rsid w:val="6A60658C"/>
    <w:rsid w:val="6AF64BE0"/>
    <w:rsid w:val="6B306F2E"/>
    <w:rsid w:val="6BED7202"/>
    <w:rsid w:val="6BF14433"/>
    <w:rsid w:val="6C4C35F0"/>
    <w:rsid w:val="6C986FDB"/>
    <w:rsid w:val="6CC961B8"/>
    <w:rsid w:val="6D390A55"/>
    <w:rsid w:val="6D594D13"/>
    <w:rsid w:val="6D9258E0"/>
    <w:rsid w:val="6DA25CBE"/>
    <w:rsid w:val="6DD24CB8"/>
    <w:rsid w:val="6E385CCB"/>
    <w:rsid w:val="6E3D4575"/>
    <w:rsid w:val="6E4121AE"/>
    <w:rsid w:val="6E435064"/>
    <w:rsid w:val="6E530EB1"/>
    <w:rsid w:val="6E8B56BC"/>
    <w:rsid w:val="6EB45747"/>
    <w:rsid w:val="6EED58A5"/>
    <w:rsid w:val="6F37578E"/>
    <w:rsid w:val="6F8306AD"/>
    <w:rsid w:val="6FA80114"/>
    <w:rsid w:val="703A1840"/>
    <w:rsid w:val="705F3682"/>
    <w:rsid w:val="70B328CC"/>
    <w:rsid w:val="70F7175E"/>
    <w:rsid w:val="70F8517F"/>
    <w:rsid w:val="71540B5A"/>
    <w:rsid w:val="71861FE4"/>
    <w:rsid w:val="71EA67C2"/>
    <w:rsid w:val="71F238C8"/>
    <w:rsid w:val="72702E0F"/>
    <w:rsid w:val="72A43708"/>
    <w:rsid w:val="72D9462C"/>
    <w:rsid w:val="72EB5955"/>
    <w:rsid w:val="73001740"/>
    <w:rsid w:val="73611130"/>
    <w:rsid w:val="737F2CF3"/>
    <w:rsid w:val="7386251A"/>
    <w:rsid w:val="73F303E1"/>
    <w:rsid w:val="74623C1E"/>
    <w:rsid w:val="74A40D4F"/>
    <w:rsid w:val="75067AB9"/>
    <w:rsid w:val="752B3379"/>
    <w:rsid w:val="75551EC0"/>
    <w:rsid w:val="75995495"/>
    <w:rsid w:val="75C61952"/>
    <w:rsid w:val="75F401CA"/>
    <w:rsid w:val="760B2304"/>
    <w:rsid w:val="760D3533"/>
    <w:rsid w:val="760D7FFA"/>
    <w:rsid w:val="764A3CD3"/>
    <w:rsid w:val="76A96199"/>
    <w:rsid w:val="771C4781"/>
    <w:rsid w:val="77494EF6"/>
    <w:rsid w:val="77912588"/>
    <w:rsid w:val="77C22EB1"/>
    <w:rsid w:val="781E5D2E"/>
    <w:rsid w:val="7843417C"/>
    <w:rsid w:val="78BA5C3B"/>
    <w:rsid w:val="78F833FC"/>
    <w:rsid w:val="795D44C5"/>
    <w:rsid w:val="798049F2"/>
    <w:rsid w:val="798149F9"/>
    <w:rsid w:val="79A62319"/>
    <w:rsid w:val="79AA0D57"/>
    <w:rsid w:val="79B06543"/>
    <w:rsid w:val="79F91F7E"/>
    <w:rsid w:val="7A0128FA"/>
    <w:rsid w:val="7A1A1600"/>
    <w:rsid w:val="7A1F2D6A"/>
    <w:rsid w:val="7A4805DF"/>
    <w:rsid w:val="7A686FCC"/>
    <w:rsid w:val="7A6F427A"/>
    <w:rsid w:val="7AA11B1E"/>
    <w:rsid w:val="7ABE3062"/>
    <w:rsid w:val="7AEC04F3"/>
    <w:rsid w:val="7AF4245F"/>
    <w:rsid w:val="7B026E3F"/>
    <w:rsid w:val="7B570210"/>
    <w:rsid w:val="7B6126DB"/>
    <w:rsid w:val="7BFC4D17"/>
    <w:rsid w:val="7C002AEE"/>
    <w:rsid w:val="7C06244A"/>
    <w:rsid w:val="7C7400FF"/>
    <w:rsid w:val="7C8B0BA1"/>
    <w:rsid w:val="7D402DFE"/>
    <w:rsid w:val="7D4F6A43"/>
    <w:rsid w:val="7D622B91"/>
    <w:rsid w:val="7D77701F"/>
    <w:rsid w:val="7DB10393"/>
    <w:rsid w:val="7DBF2BE5"/>
    <w:rsid w:val="7DCF7B93"/>
    <w:rsid w:val="7E077CFD"/>
    <w:rsid w:val="7E6B47E6"/>
    <w:rsid w:val="7F06714D"/>
    <w:rsid w:val="7F2B4AF7"/>
    <w:rsid w:val="7F947D6D"/>
    <w:rsid w:val="7F9B734D"/>
    <w:rsid w:val="7FD90FAC"/>
    <w:rsid w:val="7FF13D92"/>
    <w:rsid w:val="7FF8030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styleId="2">
    <w:name w:val="heading 1"/>
    <w:basedOn w:val="1"/>
    <w:next w:val="1"/>
    <w:qFormat/>
    <w:uiPriority w:val="0"/>
    <w:pPr>
      <w:autoSpaceDE w:val="0"/>
      <w:autoSpaceDN w:val="0"/>
      <w:adjustRightInd w:val="0"/>
      <w:jc w:val="left"/>
      <w:outlineLvl w:val="0"/>
    </w:pPr>
    <w:rPr>
      <w:kern w:val="0"/>
      <w:sz w:val="30"/>
    </w:rPr>
  </w:style>
  <w:style w:type="paragraph" w:styleId="3">
    <w:name w:val="heading 2"/>
    <w:basedOn w:val="1"/>
    <w:next w:val="1"/>
    <w:qFormat/>
    <w:uiPriority w:val="0"/>
    <w:pPr>
      <w:autoSpaceDE w:val="0"/>
      <w:autoSpaceDN w:val="0"/>
      <w:adjustRightInd w:val="0"/>
      <w:jc w:val="left"/>
      <w:outlineLvl w:val="1"/>
    </w:pPr>
    <w:rPr>
      <w:rFonts w:ascii="宋体" w:hAnsi="宋体" w:eastAsia="宋体"/>
      <w:b/>
      <w:kern w:val="0"/>
    </w:rPr>
  </w:style>
  <w:style w:type="paragraph" w:styleId="4">
    <w:name w:val="heading 3"/>
    <w:basedOn w:val="5"/>
    <w:next w:val="5"/>
    <w:link w:val="155"/>
    <w:qFormat/>
    <w:uiPriority w:val="0"/>
    <w:pPr>
      <w:keepNext/>
      <w:keepLines/>
      <w:spacing w:beforeLines="0" w:beforeAutospacing="0" w:afterLines="0" w:afterAutospacing="0"/>
      <w:ind w:firstLine="964" w:firstLineChars="200"/>
      <w:jc w:val="left"/>
      <w:outlineLvl w:val="2"/>
    </w:pPr>
    <w:rPr>
      <w:rFonts w:ascii="宋体" w:hAnsi="宋体" w:eastAsia="宋体"/>
      <w:b/>
      <w:sz w:val="24"/>
    </w:rPr>
  </w:style>
  <w:style w:type="paragraph" w:styleId="6">
    <w:name w:val="heading 4"/>
    <w:basedOn w:val="1"/>
    <w:next w:val="1"/>
    <w:qFormat/>
    <w:uiPriority w:val="0"/>
    <w:pPr>
      <w:keepNext/>
      <w:keepLines/>
      <w:spacing w:before="280" w:beforeLines="0" w:beforeAutospacing="0" w:after="290" w:afterLines="0" w:afterAutospacing="0" w:line="374" w:lineRule="auto"/>
      <w:outlineLvl w:val="3"/>
    </w:pPr>
    <w:rPr>
      <w:rFonts w:ascii="Arial" w:hAnsi="Arial"/>
      <w:sz w:val="24"/>
    </w:rPr>
  </w:style>
  <w:style w:type="character" w:default="1" w:styleId="33">
    <w:name w:val="Default Paragraph Font"/>
    <w:qFormat/>
    <w:uiPriority w:val="0"/>
  </w:style>
  <w:style w:type="table" w:default="1" w:styleId="31">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kern w:val="0"/>
      <w:sz w:val="20"/>
    </w:rPr>
  </w:style>
  <w:style w:type="paragraph" w:styleId="7">
    <w:name w:val="toc 7"/>
    <w:basedOn w:val="1"/>
    <w:next w:val="1"/>
    <w:qFormat/>
    <w:uiPriority w:val="0"/>
    <w:pPr>
      <w:ind w:left="1680"/>
      <w:jc w:val="left"/>
    </w:pPr>
  </w:style>
  <w:style w:type="paragraph" w:styleId="8">
    <w:name w:val="table of authorities"/>
    <w:basedOn w:val="1"/>
    <w:next w:val="1"/>
    <w:qFormat/>
    <w:uiPriority w:val="0"/>
    <w:pPr>
      <w:ind w:left="420" w:leftChars="200"/>
    </w:pPr>
  </w:style>
  <w:style w:type="paragraph" w:styleId="9">
    <w:name w:val="Document Map"/>
    <w:basedOn w:val="1"/>
    <w:qFormat/>
    <w:uiPriority w:val="0"/>
    <w:pPr>
      <w:shd w:val="clear" w:color="auto" w:fill="000080"/>
    </w:pPr>
  </w:style>
  <w:style w:type="paragraph" w:styleId="10">
    <w:name w:val="annotation text"/>
    <w:basedOn w:val="1"/>
    <w:next w:val="1"/>
    <w:qFormat/>
    <w:uiPriority w:val="0"/>
    <w:pPr>
      <w:adjustRightInd w:val="0"/>
      <w:spacing w:line="360" w:lineRule="atLeast"/>
      <w:jc w:val="left"/>
      <w:textAlignment w:val="baseline"/>
    </w:pPr>
    <w:rPr>
      <w:rFonts w:ascii="宋体"/>
      <w:kern w:val="0"/>
      <w:sz w:val="24"/>
    </w:rPr>
  </w:style>
  <w:style w:type="paragraph" w:styleId="11">
    <w:name w:val="Body Text"/>
    <w:basedOn w:val="1"/>
    <w:qFormat/>
    <w:uiPriority w:val="0"/>
    <w:pPr>
      <w:spacing w:after="120" w:afterLines="0" w:afterAutospacing="0"/>
    </w:pPr>
  </w:style>
  <w:style w:type="paragraph" w:styleId="12">
    <w:name w:val="Body Text Indent"/>
    <w:basedOn w:val="1"/>
    <w:next w:val="13"/>
    <w:link w:val="40"/>
    <w:qFormat/>
    <w:uiPriority w:val="0"/>
    <w:pPr>
      <w:ind w:firstLine="560" w:firstLineChars="200"/>
    </w:pPr>
  </w:style>
  <w:style w:type="paragraph" w:styleId="13">
    <w:name w:val="envelope return"/>
    <w:basedOn w:val="1"/>
    <w:qFormat/>
    <w:uiPriority w:val="99"/>
    <w:pPr>
      <w:snapToGrid w:val="0"/>
    </w:pPr>
    <w:rPr>
      <w:rFonts w:ascii="Arial" w:hAnsi="Arial"/>
    </w:rPr>
  </w:style>
  <w:style w:type="paragraph" w:styleId="14">
    <w:name w:val="toc 5"/>
    <w:basedOn w:val="1"/>
    <w:next w:val="1"/>
    <w:qFormat/>
    <w:uiPriority w:val="0"/>
    <w:pPr>
      <w:ind w:left="1120"/>
      <w:jc w:val="left"/>
    </w:pPr>
  </w:style>
  <w:style w:type="paragraph" w:styleId="15">
    <w:name w:val="toc 3"/>
    <w:basedOn w:val="1"/>
    <w:next w:val="1"/>
    <w:qFormat/>
    <w:uiPriority w:val="0"/>
    <w:pPr>
      <w:ind w:left="561"/>
      <w:jc w:val="left"/>
    </w:pPr>
    <w:rPr>
      <w:sz w:val="24"/>
    </w:rPr>
  </w:style>
  <w:style w:type="paragraph" w:styleId="16">
    <w:name w:val="Plain Text"/>
    <w:basedOn w:val="1"/>
    <w:qFormat/>
    <w:uiPriority w:val="0"/>
    <w:rPr>
      <w:rFonts w:ascii="宋体" w:hAnsi="Courier New" w:eastAsia="宋体" w:cs="Courier New"/>
      <w:szCs w:val="21"/>
    </w:rPr>
  </w:style>
  <w:style w:type="paragraph" w:styleId="17">
    <w:name w:val="toc 8"/>
    <w:basedOn w:val="1"/>
    <w:next w:val="1"/>
    <w:qFormat/>
    <w:uiPriority w:val="0"/>
    <w:pPr>
      <w:ind w:left="1960"/>
      <w:jc w:val="left"/>
    </w:pPr>
  </w:style>
  <w:style w:type="paragraph" w:styleId="18">
    <w:name w:val="Body Text Indent 2"/>
    <w:basedOn w:val="1"/>
    <w:qFormat/>
    <w:uiPriority w:val="0"/>
    <w:pPr>
      <w:spacing w:line="480" w:lineRule="auto"/>
      <w:ind w:firstLine="561"/>
    </w:pPr>
    <w:rPr>
      <w:rFonts w:ascii="宋体"/>
    </w:rPr>
  </w:style>
  <w:style w:type="paragraph" w:styleId="19">
    <w:name w:val="Balloon Text"/>
    <w:basedOn w:val="1"/>
    <w:qFormat/>
    <w:uiPriority w:val="0"/>
    <w:rPr>
      <w:sz w:val="18"/>
      <w:szCs w:val="18"/>
    </w:rPr>
  </w:style>
  <w:style w:type="paragraph" w:styleId="20">
    <w:name w:val="footer"/>
    <w:basedOn w:val="1"/>
    <w:qFormat/>
    <w:uiPriority w:val="0"/>
    <w:pPr>
      <w:widowControl/>
      <w:tabs>
        <w:tab w:val="center" w:pos="4153"/>
        <w:tab w:val="right" w:pos="8306"/>
      </w:tabs>
      <w:snapToGrid w:val="0"/>
      <w:jc w:val="left"/>
    </w:pPr>
    <w:rPr>
      <w:kern w:val="0"/>
      <w:sz w:val="18"/>
    </w:rPr>
  </w:style>
  <w:style w:type="paragraph" w:styleId="21">
    <w:name w:val="header"/>
    <w:basedOn w:val="1"/>
    <w:qFormat/>
    <w:uiPriority w:val="0"/>
    <w:pPr>
      <w:widowControl/>
      <w:pBdr>
        <w:bottom w:val="single" w:color="auto" w:sz="6" w:space="1"/>
      </w:pBdr>
      <w:tabs>
        <w:tab w:val="center" w:pos="4153"/>
        <w:tab w:val="right" w:pos="8306"/>
      </w:tabs>
      <w:snapToGrid w:val="0"/>
      <w:jc w:val="center"/>
    </w:pPr>
    <w:rPr>
      <w:kern w:val="0"/>
      <w:sz w:val="18"/>
    </w:rPr>
  </w:style>
  <w:style w:type="paragraph" w:styleId="22">
    <w:name w:val="toc 1"/>
    <w:basedOn w:val="1"/>
    <w:next w:val="1"/>
    <w:qFormat/>
    <w:uiPriority w:val="0"/>
    <w:pPr>
      <w:spacing w:before="120" w:beforeLines="0" w:beforeAutospacing="0" w:after="120" w:afterLines="0" w:afterAutospacing="0"/>
      <w:jc w:val="left"/>
    </w:pPr>
    <w:rPr>
      <w:caps/>
      <w:sz w:val="24"/>
    </w:rPr>
  </w:style>
  <w:style w:type="paragraph" w:styleId="23">
    <w:name w:val="toc 4"/>
    <w:basedOn w:val="1"/>
    <w:next w:val="1"/>
    <w:qFormat/>
    <w:uiPriority w:val="0"/>
    <w:pPr>
      <w:ind w:left="840"/>
      <w:jc w:val="left"/>
    </w:pPr>
  </w:style>
  <w:style w:type="paragraph" w:styleId="24">
    <w:name w:val="toc 6"/>
    <w:basedOn w:val="1"/>
    <w:next w:val="1"/>
    <w:qFormat/>
    <w:uiPriority w:val="0"/>
    <w:pPr>
      <w:ind w:left="1400"/>
      <w:jc w:val="left"/>
    </w:pPr>
  </w:style>
  <w:style w:type="paragraph" w:styleId="25">
    <w:name w:val="Body Text Indent 3"/>
    <w:basedOn w:val="1"/>
    <w:link w:val="41"/>
    <w:qFormat/>
    <w:uiPriority w:val="0"/>
    <w:pPr>
      <w:ind w:firstLine="560"/>
    </w:pPr>
    <w:rPr>
      <w:color w:val="FF0000"/>
    </w:rPr>
  </w:style>
  <w:style w:type="paragraph" w:styleId="26">
    <w:name w:val="toc 2"/>
    <w:basedOn w:val="1"/>
    <w:next w:val="1"/>
    <w:qFormat/>
    <w:uiPriority w:val="0"/>
    <w:pPr>
      <w:ind w:left="278"/>
      <w:jc w:val="left"/>
    </w:pPr>
    <w:rPr>
      <w:smallCaps/>
      <w:sz w:val="24"/>
    </w:rPr>
  </w:style>
  <w:style w:type="paragraph" w:styleId="27">
    <w:name w:val="toc 9"/>
    <w:basedOn w:val="1"/>
    <w:next w:val="1"/>
    <w:qFormat/>
    <w:uiPriority w:val="0"/>
    <w:pPr>
      <w:ind w:left="2240"/>
      <w:jc w:val="left"/>
    </w:pPr>
  </w:style>
  <w:style w:type="paragraph" w:styleId="28">
    <w:name w:val="Body Text 2"/>
    <w:basedOn w:val="1"/>
    <w:qFormat/>
    <w:uiPriority w:val="0"/>
    <w:pPr>
      <w:spacing w:line="500" w:lineRule="exact"/>
    </w:pPr>
    <w:rPr>
      <w:rFonts w:ascii="宋体"/>
      <w:sz w:val="24"/>
    </w:rPr>
  </w:style>
  <w:style w:type="paragraph" w:styleId="29">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30">
    <w:name w:val="annotation subject"/>
    <w:basedOn w:val="10"/>
    <w:next w:val="10"/>
    <w:qFormat/>
    <w:uiPriority w:val="0"/>
    <w:pPr>
      <w:adjustRightInd/>
      <w:spacing w:line="360" w:lineRule="auto"/>
      <w:textAlignment w:val="auto"/>
    </w:pPr>
    <w:rPr>
      <w:b/>
      <w:bCs/>
      <w:kern w:val="2"/>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qFormat/>
    <w:uiPriority w:val="0"/>
    <w:rPr>
      <w:b/>
      <w:bCs/>
    </w:rPr>
  </w:style>
  <w:style w:type="character" w:styleId="35">
    <w:name w:val="page number"/>
    <w:qFormat/>
    <w:uiPriority w:val="0"/>
  </w:style>
  <w:style w:type="character" w:styleId="36">
    <w:name w:val="FollowedHyperlink"/>
    <w:qFormat/>
    <w:uiPriority w:val="0"/>
    <w:rPr>
      <w:color w:val="800080"/>
      <w:u w:val="single"/>
    </w:rPr>
  </w:style>
  <w:style w:type="character" w:styleId="37">
    <w:name w:val="Emphasis"/>
    <w:qFormat/>
    <w:uiPriority w:val="0"/>
    <w:rPr>
      <w:i/>
    </w:rPr>
  </w:style>
  <w:style w:type="character" w:styleId="38">
    <w:name w:val="Hyperlink"/>
    <w:qFormat/>
    <w:uiPriority w:val="0"/>
    <w:rPr>
      <w:color w:val="0000FF"/>
      <w:u w:val="single"/>
    </w:rPr>
  </w:style>
  <w:style w:type="character" w:styleId="39">
    <w:name w:val="annotation reference"/>
    <w:qFormat/>
    <w:uiPriority w:val="0"/>
    <w:rPr>
      <w:sz w:val="21"/>
    </w:rPr>
  </w:style>
  <w:style w:type="character" w:customStyle="1" w:styleId="40">
    <w:name w:val="正文文本缩进 字符"/>
    <w:link w:val="12"/>
    <w:qFormat/>
    <w:uiPriority w:val="0"/>
    <w:rPr>
      <w:rFonts w:ascii="宋体"/>
      <w:kern w:val="2"/>
      <w:sz w:val="24"/>
    </w:rPr>
  </w:style>
  <w:style w:type="character" w:customStyle="1" w:styleId="41">
    <w:name w:val="正文文本缩进 3 字符"/>
    <w:link w:val="25"/>
    <w:qFormat/>
    <w:uiPriority w:val="0"/>
    <w:rPr>
      <w:rFonts w:ascii="宋体" w:eastAsia="宋体"/>
      <w:color w:val="FF0000"/>
      <w:kern w:val="2"/>
      <w:sz w:val="24"/>
      <w:lang w:val="en-US" w:eastAsia="zh-CN" w:bidi="ar-SA"/>
    </w:rPr>
  </w:style>
  <w:style w:type="paragraph" w:customStyle="1" w:styleId="42">
    <w:name w:val=" Char Char2"/>
    <w:basedOn w:val="9"/>
    <w:qFormat/>
    <w:uiPriority w:val="0"/>
    <w:pPr>
      <w:spacing w:line="240" w:lineRule="auto"/>
    </w:pPr>
  </w:style>
  <w:style w:type="character" w:customStyle="1" w:styleId="43">
    <w:name w:val="超链接 New"/>
    <w:qFormat/>
    <w:uiPriority w:val="0"/>
    <w:rPr>
      <w:color w:val="000000"/>
      <w:sz w:val="18"/>
      <w:szCs w:val="18"/>
      <w:u w:val="none"/>
    </w:rPr>
  </w:style>
  <w:style w:type="character" w:customStyle="1" w:styleId="44">
    <w:name w:val=" Char Char1"/>
    <w:qFormat/>
    <w:uiPriority w:val="0"/>
    <w:rPr>
      <w:rFonts w:ascii="宋体" w:eastAsia="宋体"/>
      <w:color w:val="FF0000"/>
      <w:kern w:val="2"/>
      <w:sz w:val="24"/>
      <w:lang w:val="en-US" w:eastAsia="zh-CN" w:bidi="ar-SA"/>
    </w:rPr>
  </w:style>
  <w:style w:type="character" w:customStyle="1" w:styleId="45">
    <w:name w:val="Default Paragraph Font"/>
    <w:qFormat/>
    <w:uiPriority w:val="0"/>
    <w:rPr>
      <w:rFonts w:hint="default"/>
    </w:rPr>
  </w:style>
  <w:style w:type="character" w:customStyle="1" w:styleId="46">
    <w:name w:val="正文文本 (2) + 间距 0 pt3"/>
    <w:qFormat/>
    <w:uiPriority w:val="99"/>
    <w:rPr>
      <w:rFonts w:ascii="MingLiU" w:eastAsia="MingLiU" w:cs="MingLiU"/>
      <w:spacing w:val="0"/>
      <w:sz w:val="22"/>
      <w:szCs w:val="22"/>
      <w:u w:val="none"/>
    </w:rPr>
  </w:style>
  <w:style w:type="character" w:customStyle="1" w:styleId="47">
    <w:name w:val="页码 New New"/>
    <w:qFormat/>
    <w:uiPriority w:val="0"/>
    <w:rPr>
      <w:rFonts w:eastAsia="宋体"/>
      <w:kern w:val="2"/>
      <w:sz w:val="24"/>
      <w:szCs w:val="24"/>
      <w:lang w:val="en-US" w:eastAsia="zh-CN" w:bidi="ar-SA"/>
    </w:rPr>
  </w:style>
  <w:style w:type="character" w:customStyle="1" w:styleId="48">
    <w:name w:val="默认段落字体 New New"/>
    <w:link w:val="49"/>
    <w:qFormat/>
    <w:uiPriority w:val="0"/>
    <w:rPr>
      <w:rFonts w:ascii="Tahoma" w:hAnsi="Tahoma"/>
      <w:szCs w:val="24"/>
    </w:rPr>
  </w:style>
  <w:style w:type="paragraph" w:customStyle="1" w:styleId="49">
    <w:name w:val=" Char New New"/>
    <w:basedOn w:val="1"/>
    <w:link w:val="48"/>
    <w:qFormat/>
    <w:uiPriority w:val="0"/>
    <w:pPr>
      <w:spacing w:line="240" w:lineRule="auto"/>
    </w:pPr>
    <w:rPr>
      <w:rFonts w:ascii="Tahoma" w:hAnsi="Tahoma"/>
      <w:kern w:val="0"/>
      <w:sz w:val="20"/>
      <w:szCs w:val="24"/>
    </w:rPr>
  </w:style>
  <w:style w:type="character" w:customStyle="1" w:styleId="50">
    <w:name w:val="超链接 New New"/>
    <w:qFormat/>
    <w:uiPriority w:val="0"/>
    <w:rPr>
      <w:color w:val="000000"/>
      <w:sz w:val="18"/>
      <w:szCs w:val="18"/>
      <w:u w:val="none"/>
    </w:rPr>
  </w:style>
  <w:style w:type="character" w:customStyle="1" w:styleId="51">
    <w:name w:val="页码 New New New"/>
    <w:qFormat/>
    <w:uiPriority w:val="0"/>
    <w:rPr>
      <w:rFonts w:eastAsia="宋体"/>
      <w:kern w:val="2"/>
      <w:sz w:val="24"/>
      <w:szCs w:val="24"/>
      <w:lang w:val="en-US" w:eastAsia="zh-CN" w:bidi="ar-SA"/>
    </w:rPr>
  </w:style>
  <w:style w:type="character" w:customStyle="1" w:styleId="52">
    <w:name w:val="页码 New"/>
    <w:qFormat/>
    <w:uiPriority w:val="0"/>
    <w:rPr>
      <w:rFonts w:eastAsia="宋体"/>
      <w:kern w:val="2"/>
      <w:sz w:val="24"/>
      <w:szCs w:val="24"/>
      <w:lang w:val="en-US" w:eastAsia="zh-CN" w:bidi="ar-SA"/>
    </w:rPr>
  </w:style>
  <w:style w:type="character" w:customStyle="1" w:styleId="53">
    <w:name w:val="默认段落字体 New"/>
    <w:link w:val="54"/>
    <w:qFormat/>
    <w:uiPriority w:val="0"/>
    <w:rPr>
      <w:rFonts w:ascii="Tahoma" w:hAnsi="Tahoma"/>
      <w:szCs w:val="24"/>
    </w:rPr>
  </w:style>
  <w:style w:type="paragraph" w:customStyle="1" w:styleId="54">
    <w:name w:val=" Char New"/>
    <w:basedOn w:val="1"/>
    <w:link w:val="53"/>
    <w:qFormat/>
    <w:uiPriority w:val="0"/>
    <w:pPr>
      <w:spacing w:line="240" w:lineRule="auto"/>
    </w:pPr>
    <w:rPr>
      <w:rFonts w:ascii="Tahoma" w:hAnsi="Tahoma"/>
      <w:kern w:val="0"/>
      <w:sz w:val="20"/>
      <w:szCs w:val="24"/>
    </w:rPr>
  </w:style>
  <w:style w:type="paragraph" w:customStyle="1" w:styleId="55">
    <w:name w:val="页脚 New New"/>
    <w:basedOn w:val="56"/>
    <w:qFormat/>
    <w:uiPriority w:val="0"/>
    <w:pPr>
      <w:tabs>
        <w:tab w:val="center" w:pos="4153"/>
        <w:tab w:val="right" w:pos="8306"/>
      </w:tabs>
      <w:snapToGrid w:val="0"/>
      <w:jc w:val="left"/>
    </w:pPr>
    <w:rPr>
      <w:sz w:val="18"/>
      <w:szCs w:val="18"/>
    </w:rPr>
  </w:style>
  <w:style w:type="paragraph" w:customStyle="1" w:styleId="56">
    <w:name w:val="正文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7">
    <w:name w:val="正文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58">
    <w:name w:val="p18"/>
    <w:qFormat/>
    <w:uiPriority w:val="0"/>
    <w:pPr>
      <w:spacing w:after="120" w:line="360" w:lineRule="auto"/>
    </w:pPr>
    <w:rPr>
      <w:rFonts w:ascii="宋体" w:hAnsi="宋体" w:eastAsia="宋体" w:cs="宋体"/>
      <w:sz w:val="24"/>
      <w:szCs w:val="24"/>
      <w:lang w:val="en-US" w:eastAsia="zh-CN" w:bidi="ar-SA"/>
    </w:rPr>
  </w:style>
  <w:style w:type="paragraph" w:customStyle="1" w:styleId="59">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0">
    <w:name w:val="正文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1">
    <w:name w:val="样式 宋体 行距: 1.5 倍行距"/>
    <w:basedOn w:val="62"/>
    <w:next w:val="1"/>
    <w:qFormat/>
    <w:uiPriority w:val="99"/>
    <w:pPr>
      <w:jc w:val="center"/>
    </w:pPr>
    <w:rPr>
      <w:b/>
    </w:rPr>
  </w:style>
  <w:style w:type="paragraph" w:customStyle="1" w:styleId="62">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61"/>
    <w:qFormat/>
    <w:uiPriority w:val="0"/>
    <w:pPr>
      <w:widowControl w:val="0"/>
      <w:jc w:val="both"/>
    </w:pPr>
    <w:rPr>
      <w:rFonts w:ascii="Calibri" w:hAnsi="Calibri" w:eastAsia="宋体" w:cs="黑体"/>
      <w:kern w:val="2"/>
      <w:sz w:val="21"/>
      <w:szCs w:val="24"/>
      <w:lang w:val="en-US" w:eastAsia="zh-CN" w:bidi="ar-SA"/>
    </w:rPr>
  </w:style>
  <w:style w:type="paragraph" w:customStyle="1" w:styleId="63">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4">
    <w:name w:val="纯文本 New New"/>
    <w:basedOn w:val="57"/>
    <w:qFormat/>
    <w:uiPriority w:val="0"/>
    <w:rPr>
      <w:rFonts w:ascii="宋体" w:hAnsi="Courier New" w:eastAsia="楷体_GB2312"/>
      <w:kern w:val="2"/>
      <w:sz w:val="21"/>
      <w:szCs w:val="24"/>
      <w:lang w:val="en-US" w:eastAsia="zh-CN" w:bidi="ar-SA"/>
    </w:rPr>
  </w:style>
  <w:style w:type="paragraph" w:customStyle="1" w:styleId="65">
    <w:name w:val="正文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6">
    <w:name w:val="正文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7">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8">
    <w:name w:val="页脚 New New New New"/>
    <w:basedOn w:val="69"/>
    <w:qFormat/>
    <w:uiPriority w:val="0"/>
    <w:pPr>
      <w:tabs>
        <w:tab w:val="center" w:pos="4153"/>
        <w:tab w:val="right" w:pos="8306"/>
      </w:tabs>
      <w:snapToGrid w:val="0"/>
      <w:jc w:val="left"/>
    </w:pPr>
    <w:rPr>
      <w:sz w:val="18"/>
      <w:szCs w:val="18"/>
    </w:rPr>
  </w:style>
  <w:style w:type="paragraph" w:customStyle="1" w:styleId="69">
    <w:name w:val="正文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0">
    <w:name w:val="正文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71">
    <w:name w:val="正文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72">
    <w:name w:val="页眉 New New New New New New New"/>
    <w:basedOn w:val="70"/>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73">
    <w:name w:val="样式2"/>
    <w:basedOn w:val="22"/>
    <w:qFormat/>
    <w:uiPriority w:val="0"/>
    <w:pPr>
      <w:tabs>
        <w:tab w:val="right" w:leader="dot" w:pos="9345"/>
      </w:tabs>
    </w:pPr>
    <w:rPr>
      <w:rFonts w:ascii="宋体" w:hAnsi="宋体"/>
      <w:b/>
      <w:color w:val="0000FF"/>
      <w:u w:val="single"/>
    </w:rPr>
  </w:style>
  <w:style w:type="paragraph" w:customStyle="1" w:styleId="74">
    <w:name w:val="正文 New New New New New New New New New New New New New New New New New New New New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75">
    <w:name w:val="正文缩进 New"/>
    <w:basedOn w:val="63"/>
    <w:qFormat/>
    <w:uiPriority w:val="0"/>
    <w:pPr>
      <w:widowControl/>
      <w:ind w:firstLine="420"/>
      <w:jc w:val="left"/>
    </w:pPr>
    <w:rPr>
      <w:kern w:val="0"/>
      <w:sz w:val="20"/>
    </w:rPr>
  </w:style>
  <w:style w:type="paragraph" w:customStyle="1" w:styleId="76">
    <w:name w:val="页眉 New"/>
    <w:basedOn w:val="77"/>
    <w:qFormat/>
    <w:uiPriority w:val="0"/>
    <w:pPr>
      <w:pBdr>
        <w:bottom w:val="single" w:color="auto" w:sz="6" w:space="1"/>
      </w:pBdr>
      <w:tabs>
        <w:tab w:val="center" w:pos="4153"/>
        <w:tab w:val="right" w:pos="8306"/>
      </w:tabs>
      <w:snapToGrid w:val="0"/>
      <w:jc w:val="center"/>
    </w:pPr>
    <w:rPr>
      <w:sz w:val="18"/>
      <w:szCs w:val="18"/>
    </w:rPr>
  </w:style>
  <w:style w:type="paragraph" w:customStyle="1" w:styleId="77">
    <w:name w:val="正文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8">
    <w:name w:val="样式1"/>
    <w:basedOn w:val="6"/>
    <w:qFormat/>
    <w:uiPriority w:val="0"/>
    <w:pPr>
      <w:tabs>
        <w:tab w:val="right" w:leader="dot" w:pos="9345"/>
      </w:tabs>
    </w:pPr>
    <w:rPr>
      <w:rFonts w:ascii="宋体" w:hAnsi="宋体" w:eastAsia="宋体"/>
      <w:b/>
      <w:caps/>
      <w:sz w:val="24"/>
      <w:u w:val="single"/>
    </w:rPr>
  </w:style>
  <w:style w:type="paragraph" w:customStyle="1" w:styleId="79">
    <w:name w:val="标题 3 New New"/>
    <w:basedOn w:val="75"/>
    <w:next w:val="75"/>
    <w:qFormat/>
    <w:uiPriority w:val="0"/>
    <w:pPr>
      <w:keepNext/>
      <w:keepLines/>
      <w:spacing w:before="120" w:beforeLines="0" w:beforeAutospacing="0" w:after="120" w:afterLines="0" w:afterAutospacing="0"/>
      <w:jc w:val="center"/>
      <w:outlineLvl w:val="2"/>
    </w:pPr>
    <w:rPr>
      <w:sz w:val="24"/>
    </w:rPr>
  </w:style>
  <w:style w:type="paragraph" w:customStyle="1" w:styleId="80">
    <w:name w:val="页脚 New New New New New New New New New New New New"/>
    <w:basedOn w:val="81"/>
    <w:qFormat/>
    <w:uiPriority w:val="0"/>
    <w:pPr>
      <w:tabs>
        <w:tab w:val="center" w:pos="4153"/>
        <w:tab w:val="right" w:pos="8306"/>
      </w:tabs>
      <w:snapToGrid w:val="0"/>
      <w:jc w:val="left"/>
    </w:pPr>
    <w:rPr>
      <w:rFonts w:eastAsia="楷体_GB2312"/>
      <w:kern w:val="2"/>
      <w:sz w:val="18"/>
      <w:szCs w:val="18"/>
    </w:rPr>
  </w:style>
  <w:style w:type="paragraph" w:customStyle="1" w:styleId="81">
    <w:name w:val="正文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82">
    <w:name w:val="页脚 New New New New New New New New New"/>
    <w:basedOn w:val="83"/>
    <w:qFormat/>
    <w:uiPriority w:val="0"/>
    <w:pPr>
      <w:tabs>
        <w:tab w:val="center" w:pos="4153"/>
        <w:tab w:val="right" w:pos="8306"/>
      </w:tabs>
      <w:snapToGrid w:val="0"/>
      <w:jc w:val="left"/>
    </w:pPr>
    <w:rPr>
      <w:kern w:val="2"/>
      <w:sz w:val="18"/>
      <w:szCs w:val="18"/>
    </w:rPr>
  </w:style>
  <w:style w:type="paragraph" w:customStyle="1" w:styleId="83">
    <w:name w:val="正文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4">
    <w:name w:val="页眉 New New New"/>
    <w:basedOn w:val="57"/>
    <w:qFormat/>
    <w:uiPriority w:val="0"/>
    <w:pPr>
      <w:pBdr>
        <w:bottom w:val="single" w:color="auto" w:sz="6" w:space="1"/>
      </w:pBdr>
      <w:tabs>
        <w:tab w:val="center" w:pos="4153"/>
        <w:tab w:val="right" w:pos="8306"/>
      </w:tabs>
      <w:snapToGrid w:val="0"/>
      <w:jc w:val="center"/>
    </w:pPr>
    <w:rPr>
      <w:sz w:val="18"/>
      <w:szCs w:val="18"/>
    </w:rPr>
  </w:style>
  <w:style w:type="paragraph" w:customStyle="1" w:styleId="85">
    <w:name w:val="正文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6">
    <w:name w:val="正文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7">
    <w:name w:val="正文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88">
    <w:name w:val="正文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89">
    <w:name w:val="正文 New New New New New New New New New New New New New New New New New New New New New New New New New New New New New New New New New New New New New New New New New New New New New"/>
    <w:qFormat/>
    <w:uiPriority w:val="0"/>
    <w:pPr>
      <w:widowControl w:val="0"/>
      <w:jc w:val="both"/>
    </w:pPr>
    <w:rPr>
      <w:rFonts w:ascii="Calibri" w:hAnsi="Calibri" w:eastAsia="宋体" w:cs="Times New Roman"/>
      <w:kern w:val="2"/>
      <w:sz w:val="21"/>
      <w:szCs w:val="22"/>
      <w:lang w:val="en-US" w:eastAsia="zh-CN" w:bidi="ar-SA"/>
    </w:rPr>
  </w:style>
  <w:style w:type="paragraph" w:customStyle="1" w:styleId="90">
    <w:name w:val="正文缩进1"/>
    <w:basedOn w:val="1"/>
    <w:qFormat/>
    <w:uiPriority w:val="0"/>
    <w:pPr>
      <w:widowControl/>
      <w:ind w:firstLine="420"/>
      <w:jc w:val="left"/>
    </w:pPr>
    <w:rPr>
      <w:kern w:val="0"/>
      <w:szCs w:val="20"/>
    </w:rPr>
  </w:style>
  <w:style w:type="paragraph" w:customStyle="1" w:styleId="91">
    <w:name w:val="页眉 New New"/>
    <w:basedOn w:val="56"/>
    <w:qFormat/>
    <w:uiPriority w:val="0"/>
    <w:pPr>
      <w:pBdr>
        <w:bottom w:val="single" w:color="auto" w:sz="6" w:space="1"/>
      </w:pBdr>
      <w:tabs>
        <w:tab w:val="center" w:pos="4153"/>
        <w:tab w:val="right" w:pos="8306"/>
      </w:tabs>
      <w:snapToGrid w:val="0"/>
      <w:jc w:val="center"/>
    </w:pPr>
    <w:rPr>
      <w:sz w:val="18"/>
      <w:szCs w:val="18"/>
    </w:rPr>
  </w:style>
  <w:style w:type="paragraph" w:customStyle="1" w:styleId="92">
    <w:name w:val="正文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93">
    <w:name w:val=" Char"/>
    <w:basedOn w:val="9"/>
    <w:qFormat/>
    <w:uiPriority w:val="0"/>
    <w:pPr>
      <w:spacing w:line="240" w:lineRule="auto"/>
    </w:pPr>
  </w:style>
  <w:style w:type="paragraph" w:customStyle="1" w:styleId="94">
    <w:name w:val="正文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5">
    <w:name w:val="正文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96">
    <w:name w:val="正文 New New New New New New New New New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97">
    <w:name w:val="页眉 New New New New New New New New New"/>
    <w:basedOn w:val="98"/>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98">
    <w:name w:val="正文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99">
    <w:name w:val="页脚 New New New New New New"/>
    <w:basedOn w:val="88"/>
    <w:qFormat/>
    <w:uiPriority w:val="0"/>
    <w:pPr>
      <w:tabs>
        <w:tab w:val="center" w:pos="4153"/>
        <w:tab w:val="right" w:pos="8306"/>
      </w:tabs>
      <w:snapToGrid w:val="0"/>
      <w:jc w:val="left"/>
    </w:pPr>
    <w:rPr>
      <w:sz w:val="18"/>
    </w:rPr>
  </w:style>
  <w:style w:type="paragraph" w:customStyle="1" w:styleId="100">
    <w:name w:val="正文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1">
    <w:name w:val="正文文本缩进 New New New New"/>
    <w:basedOn w:val="94"/>
    <w:qFormat/>
    <w:uiPriority w:val="0"/>
    <w:pPr>
      <w:ind w:firstLine="560" w:firstLineChars="200"/>
    </w:pPr>
    <w:rPr>
      <w:rFonts w:ascii="宋体"/>
      <w:kern w:val="2"/>
      <w:sz w:val="24"/>
      <w:szCs w:val="28"/>
    </w:rPr>
  </w:style>
  <w:style w:type="paragraph" w:customStyle="1" w:styleId="102">
    <w:name w:val="正文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3">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04">
    <w:name w:val="正文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5">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6">
    <w:name w:val="正文文本缩进 New"/>
    <w:basedOn w:val="63"/>
    <w:qFormat/>
    <w:uiPriority w:val="0"/>
    <w:pPr>
      <w:ind w:firstLine="560" w:firstLineChars="200"/>
    </w:pPr>
    <w:rPr>
      <w:rFonts w:ascii="宋体"/>
      <w:kern w:val="2"/>
      <w:sz w:val="24"/>
    </w:rPr>
  </w:style>
  <w:style w:type="paragraph" w:customStyle="1" w:styleId="107">
    <w:name w:val="正文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08">
    <w:name w:val="Normal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109">
    <w:name w:val="页脚 New New New New New"/>
    <w:basedOn w:val="95"/>
    <w:qFormat/>
    <w:uiPriority w:val="0"/>
    <w:pPr>
      <w:tabs>
        <w:tab w:val="center" w:pos="4153"/>
        <w:tab w:val="right" w:pos="8306"/>
      </w:tabs>
      <w:snapToGrid w:val="0"/>
      <w:jc w:val="left"/>
    </w:pPr>
    <w:rPr>
      <w:sz w:val="18"/>
    </w:rPr>
  </w:style>
  <w:style w:type="paragraph" w:customStyle="1" w:styleId="110">
    <w:name w:val="页眉 New New New New"/>
    <w:basedOn w:val="9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11">
    <w:name w:val="页脚 New New New"/>
    <w:basedOn w:val="57"/>
    <w:qFormat/>
    <w:uiPriority w:val="0"/>
    <w:pPr>
      <w:tabs>
        <w:tab w:val="center" w:pos="4153"/>
        <w:tab w:val="right" w:pos="8306"/>
      </w:tabs>
      <w:snapToGrid w:val="0"/>
      <w:jc w:val="left"/>
    </w:pPr>
    <w:rPr>
      <w:sz w:val="18"/>
      <w:szCs w:val="18"/>
    </w:rPr>
  </w:style>
  <w:style w:type="paragraph" w:customStyle="1" w:styleId="112">
    <w:name w:val="toc 3"/>
    <w:basedOn w:val="113"/>
    <w:next w:val="113"/>
    <w:qFormat/>
    <w:uiPriority w:val="0"/>
    <w:pPr>
      <w:ind w:left="561"/>
      <w:jc w:val="left"/>
    </w:pPr>
    <w:rPr>
      <w:rFonts w:hint="eastAsia"/>
    </w:rPr>
  </w:style>
  <w:style w:type="paragraph" w:customStyle="1" w:styleId="113">
    <w:name w:val="Normal"/>
    <w:qFormat/>
    <w:uiPriority w:val="0"/>
    <w:pPr>
      <w:widowControl w:val="0"/>
      <w:spacing w:line="360" w:lineRule="auto"/>
      <w:jc w:val="both"/>
    </w:pPr>
    <w:rPr>
      <w:rFonts w:hint="eastAsia" w:ascii="宋体" w:hAnsi="Times New Roman" w:eastAsia="宋体" w:cs="Times New Roman"/>
      <w:kern w:val="2"/>
      <w:sz w:val="24"/>
      <w:lang w:val="en-US" w:eastAsia="zh-CN" w:bidi="ar-SA"/>
    </w:rPr>
  </w:style>
  <w:style w:type="paragraph" w:customStyle="1" w:styleId="114">
    <w:name w:val="页脚 New New New New New New New"/>
    <w:basedOn w:val="103"/>
    <w:qFormat/>
    <w:uiPriority w:val="0"/>
    <w:pPr>
      <w:widowControl/>
      <w:tabs>
        <w:tab w:val="center" w:pos="4153"/>
        <w:tab w:val="right" w:pos="8306"/>
      </w:tabs>
      <w:snapToGrid w:val="0"/>
      <w:jc w:val="left"/>
    </w:pPr>
    <w:rPr>
      <w:kern w:val="0"/>
      <w:sz w:val="18"/>
      <w:szCs w:val="20"/>
    </w:rPr>
  </w:style>
  <w:style w:type="paragraph" w:customStyle="1" w:styleId="115">
    <w:name w:val="页眉 New New New New New New"/>
    <w:basedOn w:val="103"/>
    <w:qFormat/>
    <w:uiPriority w:val="0"/>
    <w:pPr>
      <w:widowControl/>
      <w:pBdr>
        <w:bottom w:val="single" w:color="auto" w:sz="6" w:space="1"/>
      </w:pBdr>
      <w:tabs>
        <w:tab w:val="center" w:pos="4153"/>
        <w:tab w:val="right" w:pos="8306"/>
      </w:tabs>
      <w:snapToGrid w:val="0"/>
      <w:jc w:val="center"/>
    </w:pPr>
    <w:rPr>
      <w:kern w:val="0"/>
      <w:sz w:val="18"/>
      <w:szCs w:val="20"/>
    </w:rPr>
  </w:style>
  <w:style w:type="paragraph" w:customStyle="1" w:styleId="116">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17">
    <w:name w:val="footer"/>
    <w:basedOn w:val="113"/>
    <w:qFormat/>
    <w:uiPriority w:val="0"/>
    <w:pPr>
      <w:widowControl/>
      <w:tabs>
        <w:tab w:val="center" w:pos="4153"/>
        <w:tab w:val="right" w:pos="8306"/>
      </w:tabs>
      <w:snapToGrid w:val="0"/>
      <w:jc w:val="left"/>
    </w:pPr>
    <w:rPr>
      <w:rFonts w:hint="eastAsia"/>
      <w:kern w:val="0"/>
      <w:sz w:val="18"/>
    </w:rPr>
  </w:style>
  <w:style w:type="paragraph" w:customStyle="1" w:styleId="118">
    <w:name w:val="p0"/>
    <w:basedOn w:val="89"/>
    <w:qFormat/>
    <w:uiPriority w:val="0"/>
    <w:pPr>
      <w:widowControl/>
      <w:spacing w:line="360" w:lineRule="auto"/>
    </w:pPr>
    <w:rPr>
      <w:rFonts w:ascii="宋体" w:hAnsi="宋体" w:eastAsia="宋体" w:cs="宋体"/>
      <w:kern w:val="0"/>
      <w:sz w:val="24"/>
      <w:szCs w:val="24"/>
    </w:rPr>
  </w:style>
  <w:style w:type="paragraph" w:customStyle="1" w:styleId="119">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20">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1">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22">
    <w:name w:val="正文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3">
    <w:name w:val="正文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4">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5">
    <w:name w:val="正文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26">
    <w:name w:val="正文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7">
    <w:name w:val="标题 3 New"/>
    <w:basedOn w:val="5"/>
    <w:next w:val="5"/>
    <w:qFormat/>
    <w:uiPriority w:val="0"/>
    <w:pPr>
      <w:keepNext/>
      <w:keepLines/>
      <w:spacing w:before="120" w:beforeLines="0" w:after="120" w:afterLines="0"/>
      <w:jc w:val="center"/>
      <w:outlineLvl w:val="2"/>
    </w:pPr>
    <w:rPr>
      <w:sz w:val="24"/>
    </w:rPr>
  </w:style>
  <w:style w:type="paragraph" w:customStyle="1" w:styleId="128">
    <w:name w:val="页脚 New New New New New New New New New New"/>
    <w:basedOn w:val="70"/>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29">
    <w:name w:val="页眉 New New New New New New New New"/>
    <w:basedOn w:val="130"/>
    <w:qFormat/>
    <w:uiPriority w:val="0"/>
    <w:pPr>
      <w:widowControl/>
      <w:pBdr>
        <w:bottom w:val="single" w:color="auto" w:sz="6" w:space="1"/>
      </w:pBdr>
      <w:tabs>
        <w:tab w:val="center" w:pos="4153"/>
        <w:tab w:val="right" w:pos="8306"/>
      </w:tabs>
      <w:snapToGrid w:val="0"/>
      <w:jc w:val="center"/>
    </w:pPr>
    <w:rPr>
      <w:rFonts w:ascii="宋体" w:eastAsia="宋体"/>
      <w:sz w:val="18"/>
      <w:lang w:val="en-US" w:eastAsia="zh-CN" w:bidi="ar-SA"/>
    </w:rPr>
  </w:style>
  <w:style w:type="paragraph" w:customStyle="1" w:styleId="130">
    <w:name w:val="正文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131">
    <w:name w:val="页眉 New New New New New"/>
    <w:basedOn w:val="8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customStyle="1" w:styleId="132">
    <w:name w:val="页脚 New New New New New New New New New New New New New"/>
    <w:basedOn w:val="98"/>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3">
    <w:name w:val="正文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4">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5">
    <w:name w:val="正文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136">
    <w:name w:val="正文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137">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8">
    <w:name w:val="页脚 New New New New New New New New New New New"/>
    <w:basedOn w:val="130"/>
    <w:qFormat/>
    <w:uiPriority w:val="0"/>
    <w:pPr>
      <w:widowControl/>
      <w:tabs>
        <w:tab w:val="center" w:pos="4153"/>
        <w:tab w:val="right" w:pos="8306"/>
      </w:tabs>
      <w:snapToGrid w:val="0"/>
      <w:jc w:val="left"/>
    </w:pPr>
    <w:rPr>
      <w:rFonts w:ascii="宋体" w:eastAsia="宋体"/>
      <w:sz w:val="18"/>
      <w:lang w:val="en-US" w:eastAsia="zh-CN" w:bidi="ar-SA"/>
    </w:rPr>
  </w:style>
  <w:style w:type="paragraph" w:customStyle="1" w:styleId="139">
    <w:name w:val="正文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40">
    <w:name w:val="正文 New New New New New New New New New New New New New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2"/>
      <w:lang w:val="en-US" w:eastAsia="zh-CN" w:bidi="ar-SA"/>
    </w:rPr>
  </w:style>
  <w:style w:type="paragraph" w:customStyle="1" w:styleId="141">
    <w:name w:val="普通(网站) New"/>
    <w:basedOn w:val="88"/>
    <w:qFormat/>
    <w:uiPriority w:val="0"/>
    <w:rPr>
      <w:sz w:val="24"/>
    </w:rPr>
  </w:style>
  <w:style w:type="paragraph" w:customStyle="1" w:styleId="142">
    <w:name w:val="页脚 New New New New New New New New"/>
    <w:basedOn w:val="139"/>
    <w:qFormat/>
    <w:uiPriority w:val="0"/>
    <w:pPr>
      <w:tabs>
        <w:tab w:val="center" w:pos="4153"/>
        <w:tab w:val="right" w:pos="8306"/>
      </w:tabs>
      <w:snapToGrid w:val="0"/>
      <w:jc w:val="left"/>
    </w:pPr>
    <w:rPr>
      <w:kern w:val="2"/>
      <w:sz w:val="18"/>
      <w:szCs w:val="18"/>
    </w:rPr>
  </w:style>
  <w:style w:type="paragraph" w:customStyle="1" w:styleId="143">
    <w:name w:val="标题 2 New"/>
    <w:basedOn w:val="137"/>
    <w:qFormat/>
    <w:uiPriority w:val="0"/>
    <w:pPr>
      <w:widowControl/>
      <w:spacing w:before="100" w:beforeLines="0" w:beforeAutospacing="1" w:after="100" w:afterLines="0" w:afterAutospacing="1"/>
      <w:jc w:val="left"/>
      <w:outlineLvl w:val="1"/>
    </w:pPr>
    <w:rPr>
      <w:rFonts w:ascii="宋体" w:hAnsi="宋体" w:cs="宋体"/>
      <w:b/>
      <w:bCs/>
      <w:kern w:val="0"/>
      <w:sz w:val="36"/>
      <w:szCs w:val="36"/>
    </w:rPr>
  </w:style>
  <w:style w:type="paragraph" w:customStyle="1" w:styleId="144">
    <w:name w:val="blockquote"/>
    <w:basedOn w:val="1"/>
    <w:qFormat/>
    <w:uiPriority w:val="0"/>
    <w:pPr>
      <w:widowControl/>
      <w:spacing w:before="100" w:beforeLines="0" w:beforeAutospacing="1" w:after="100" w:afterLines="0" w:afterAutospacing="1" w:line="240" w:lineRule="auto"/>
      <w:jc w:val="left"/>
    </w:pPr>
    <w:rPr>
      <w:rFonts w:hAnsi="宋体"/>
      <w:kern w:val="0"/>
    </w:rPr>
  </w:style>
  <w:style w:type="paragraph" w:customStyle="1" w:styleId="145">
    <w:name w:val="纯文本 New"/>
    <w:basedOn w:val="56"/>
    <w:qFormat/>
    <w:uiPriority w:val="0"/>
    <w:rPr>
      <w:rFonts w:ascii="宋体" w:hAnsi="Courier New" w:eastAsia="楷体_GB2312"/>
      <w:kern w:val="2"/>
      <w:sz w:val="21"/>
      <w:szCs w:val="24"/>
      <w:lang w:val="en-US" w:eastAsia="zh-CN" w:bidi="ar-SA"/>
    </w:rPr>
  </w:style>
  <w:style w:type="paragraph" w:customStyle="1" w:styleId="146">
    <w:name w:val="页脚 New"/>
    <w:basedOn w:val="77"/>
    <w:qFormat/>
    <w:uiPriority w:val="0"/>
    <w:pPr>
      <w:tabs>
        <w:tab w:val="center" w:pos="4153"/>
        <w:tab w:val="right" w:pos="8306"/>
      </w:tabs>
      <w:snapToGrid w:val="0"/>
      <w:jc w:val="left"/>
    </w:pPr>
    <w:rPr>
      <w:sz w:val="18"/>
      <w:szCs w:val="18"/>
    </w:rPr>
  </w:style>
  <w:style w:type="paragraph" w:customStyle="1" w:styleId="147">
    <w:name w:val="_Style 1"/>
    <w:basedOn w:val="1"/>
    <w:qFormat/>
    <w:uiPriority w:val="0"/>
    <w:pPr>
      <w:spacing w:line="240" w:lineRule="auto"/>
      <w:ind w:firstLine="420" w:firstLineChars="200"/>
    </w:pPr>
    <w:rPr>
      <w:rFonts w:ascii="Calibri" w:hAnsi="Calibri"/>
      <w:sz w:val="21"/>
      <w:szCs w:val="22"/>
    </w:rPr>
  </w:style>
  <w:style w:type="paragraph" w:customStyle="1" w:styleId="148">
    <w:name w:val="文一"/>
    <w:basedOn w:val="1"/>
    <w:qFormat/>
    <w:uiPriority w:val="0"/>
    <w:pPr>
      <w:topLinePunct/>
      <w:adjustRightInd w:val="0"/>
      <w:snapToGrid w:val="0"/>
      <w:ind w:firstLine="200" w:firstLineChars="200"/>
    </w:pPr>
    <w:rPr>
      <w:rFonts w:hint="default" w:ascii="Calibri" w:hAnsi="Calibri" w:eastAsia="宋体" w:cs="Times New Roman"/>
      <w:snapToGrid w:val="0"/>
      <w:spacing w:val="4"/>
      <w:kern w:val="0"/>
      <w:szCs w:val="22"/>
    </w:rPr>
  </w:style>
  <w:style w:type="paragraph" w:customStyle="1" w:styleId="149">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character" w:customStyle="1" w:styleId="150">
    <w:name w:val="NormalCharacter"/>
    <w:semiHidden/>
    <w:qFormat/>
    <w:uiPriority w:val="0"/>
    <w:rPr>
      <w:rFonts w:ascii="宋体"/>
      <w:kern w:val="2"/>
      <w:sz w:val="24"/>
      <w:lang w:val="en-US" w:eastAsia="zh-CN" w:bidi="ar-SA"/>
    </w:rPr>
  </w:style>
  <w:style w:type="paragraph" w:customStyle="1" w:styleId="151">
    <w:name w:val="UserStyle_76"/>
    <w:basedOn w:val="152"/>
    <w:qFormat/>
    <w:uiPriority w:val="99"/>
    <w:pPr>
      <w:ind w:firstLine="420"/>
      <w:jc w:val="left"/>
    </w:pPr>
    <w:rPr>
      <w:kern w:val="0"/>
      <w:sz w:val="20"/>
      <w:szCs w:val="20"/>
    </w:rPr>
  </w:style>
  <w:style w:type="paragraph" w:customStyle="1" w:styleId="152">
    <w:name w:val="UserStyle_1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153">
    <w:name w:val="Heading2"/>
    <w:basedOn w:val="1"/>
    <w:next w:val="1"/>
    <w:qFormat/>
    <w:uiPriority w:val="99"/>
    <w:pPr>
      <w:jc w:val="left"/>
    </w:pPr>
    <w:rPr>
      <w:kern w:val="0"/>
    </w:rPr>
  </w:style>
  <w:style w:type="paragraph" w:customStyle="1" w:styleId="154">
    <w:name w:val="Table Text"/>
    <w:basedOn w:val="1"/>
    <w:semiHidden/>
    <w:qFormat/>
    <w:uiPriority w:val="0"/>
    <w:rPr>
      <w:rFonts w:ascii="宋体" w:hAnsi="宋体" w:eastAsia="宋体" w:cs="宋体"/>
      <w:sz w:val="19"/>
      <w:szCs w:val="19"/>
      <w:lang w:val="en-US" w:eastAsia="en-US" w:bidi="ar-SA"/>
    </w:rPr>
  </w:style>
  <w:style w:type="character" w:customStyle="1" w:styleId="155">
    <w:name w:val="标题 3 Char"/>
    <w:link w:val="4"/>
    <w:qFormat/>
    <w:uiPriority w:val="0"/>
    <w:rPr>
      <w:rFonts w:ascii="宋体" w:hAnsi="宋体" w:eastAsia="宋体"/>
      <w:b/>
      <w:sz w:val="24"/>
    </w:rPr>
  </w:style>
  <w:style w:type="table" w:customStyle="1" w:styleId="156">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Norma3"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Norma3</Template>
  <Company>1</Company>
  <Pages>78</Pages>
  <Words>17350</Words>
  <Characters>18830</Characters>
  <Lines>721</Lines>
  <Paragraphs>203</Paragraphs>
  <TotalTime>2</TotalTime>
  <ScaleCrop>false</ScaleCrop>
  <LinksUpToDate>false</LinksUpToDate>
  <CharactersWithSpaces>19225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2022-12-20T03:27:00Z</dcterms:created>
  <dc:creator>kingsons</dc:creator>
  <cp:lastModifiedBy>妮子</cp:lastModifiedBy>
  <cp:lastPrinted>2025-12-26T02:52:00Z</cp:lastPrinted>
  <dcterms:modified xsi:type="dcterms:W3CDTF">2025-12-26T08:40:33Z</dcterms:modified>
  <dc:title>广东省韶关学院第三期学生公寓第一、二组团工程施工</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C0F5A6E8A1F44BEC87C1DA1D38289D7A_13</vt:lpwstr>
  </property>
  <property fmtid="{D5CDD505-2E9C-101B-9397-08002B2CF9AE}" pid="4" name="ribbonExt">
    <vt:lpwstr>{"WPSExtOfficeTab":{"OnGetEnabled":false,"OnGetVisible":false}}</vt:lpwstr>
  </property>
  <property fmtid="{D5CDD505-2E9C-101B-9397-08002B2CF9AE}" pid="5" name="KSOTemplateDocerSaveRecord">
    <vt:lpwstr>eyJoZGlkIjoiNzJlODJlZWIyMWViOTBjNDFkZDAwODdjNDFmYTk2MjUiLCJ1c2VySWQiOiIxMzczNjgyNDAzIn0=</vt:lpwstr>
  </property>
</Properties>
</file>